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right="0" w:rightChars="0" w:firstLine="0" w:firstLineChars="0"/>
        <w:jc w:val="left"/>
        <w:rPr>
          <w:rFonts w:hint="eastAsia" w:ascii="宋体" w:hAnsi="宋体" w:eastAsia="宋体" w:cs="宋体"/>
          <w:b/>
          <w:bCs/>
          <w:color w:val="auto"/>
          <w:sz w:val="44"/>
          <w:szCs w:val="44"/>
          <w:highlight w:val="none"/>
          <w:lang w:eastAsia="zh-CN"/>
        </w:rPr>
      </w:pP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HLH-CG-22-005</w:t>
      </w:r>
    </w:p>
    <w:p>
      <w:pPr>
        <w:pStyle w:val="9"/>
        <w:ind w:left="0" w:leftChars="0" w:right="0" w:rightChars="0" w:firstLine="0" w:firstLineChars="0"/>
        <w:jc w:val="center"/>
        <w:rPr>
          <w:rFonts w:hint="eastAsia" w:ascii="宋体" w:hAnsi="宋体" w:eastAsia="宋体" w:cs="宋体"/>
          <w:b/>
          <w:bCs/>
          <w:color w:val="auto"/>
          <w:sz w:val="44"/>
          <w:szCs w:val="44"/>
          <w:highlight w:val="none"/>
          <w:lang w:eastAsia="zh-CN"/>
        </w:rPr>
      </w:pPr>
    </w:p>
    <w:p>
      <w:pPr>
        <w:rPr>
          <w:rFonts w:hint="eastAsia" w:ascii="宋体" w:hAnsi="宋体" w:eastAsia="宋体" w:cs="宋体"/>
          <w:b/>
          <w:bCs/>
          <w:color w:val="auto"/>
          <w:sz w:val="44"/>
          <w:szCs w:val="44"/>
          <w:highlight w:val="none"/>
          <w:lang w:eastAsia="zh-CN"/>
        </w:rPr>
      </w:pPr>
    </w:p>
    <w:p>
      <w:pPr>
        <w:rPr>
          <w:rFonts w:hint="eastAsia"/>
          <w:color w:val="auto"/>
          <w:highlight w:val="none"/>
          <w:lang w:eastAsia="zh-CN"/>
        </w:rPr>
      </w:pPr>
    </w:p>
    <w:p>
      <w:pPr>
        <w:pStyle w:val="9"/>
        <w:spacing w:line="360" w:lineRule="auto"/>
        <w:ind w:left="0" w:leftChars="0" w:right="0" w:rightChars="0" w:firstLine="0" w:firstLineChars="0"/>
        <w:jc w:val="center"/>
        <w:rPr>
          <w:rFonts w:hint="eastAsia" w:ascii="宋体" w:hAnsi="宋体" w:eastAsia="宋体" w:cs="宋体"/>
          <w:b/>
          <w:bCs/>
          <w:color w:val="auto"/>
          <w:sz w:val="52"/>
          <w:szCs w:val="52"/>
          <w:highlight w:val="none"/>
        </w:rPr>
      </w:pPr>
      <w:r>
        <w:rPr>
          <w:rFonts w:hint="eastAsia" w:ascii="宋体" w:hAnsi="宋体" w:cs="宋体"/>
          <w:b/>
          <w:bCs/>
          <w:color w:val="auto"/>
          <w:sz w:val="44"/>
          <w:szCs w:val="44"/>
          <w:highlight w:val="none"/>
          <w:lang w:eastAsia="zh-CN"/>
        </w:rPr>
        <w:t>印台区矿区生活污水处理厂一体化智能污水处理设备采购项目</w:t>
      </w: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ind w:left="0" w:leftChars="0" w:right="0" w:rightChars="0" w:firstLine="0" w:firstLineChars="0"/>
        <w:jc w:val="center"/>
        <w:rPr>
          <w:rFonts w:hint="eastAsia"/>
          <w:color w:val="auto"/>
          <w:sz w:val="28"/>
          <w:szCs w:val="24"/>
          <w:highlight w:val="none"/>
        </w:rPr>
      </w:pPr>
      <w:r>
        <w:rPr>
          <w:rFonts w:hint="eastAsia" w:ascii="宋体" w:hAnsi="宋体" w:eastAsia="宋体" w:cs="宋体"/>
          <w:b/>
          <w:bCs/>
          <w:color w:val="auto"/>
          <w:sz w:val="72"/>
          <w:szCs w:val="72"/>
          <w:highlight w:val="none"/>
          <w:lang w:eastAsia="zh-CN"/>
        </w:rPr>
        <w:t>招标文件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ind w:left="0" w:leftChars="0" w:firstLine="0" w:firstLineChars="0"/>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ind w:left="0" w:leftChars="0" w:right="0" w:rightChars="0" w:firstLine="0" w:firstLineChars="0"/>
        <w:jc w:val="center"/>
        <w:rPr>
          <w:rFonts w:hint="eastAsia" w:ascii="宋体" w:hAnsi="宋体" w:eastAsia="宋体" w:cs="宋体"/>
          <w:b w:val="0"/>
          <w:bCs w:val="0"/>
          <w:color w:val="auto"/>
          <w:sz w:val="28"/>
          <w:szCs w:val="28"/>
          <w:highlight w:val="none"/>
        </w:rPr>
      </w:pPr>
    </w:p>
    <w:p>
      <w:pPr>
        <w:pStyle w:val="7"/>
        <w:spacing w:line="360" w:lineRule="auto"/>
        <w:ind w:left="1260" w:leftChars="600" w:right="0" w:rightChars="0" w:firstLine="0" w:firstLineChars="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购</w:t>
      </w:r>
      <w:r>
        <w:rPr>
          <w:rFonts w:hint="eastAsia" w:ascii="宋体" w:hAnsi="宋体" w:eastAsia="宋体" w:cs="宋体"/>
          <w:b/>
          <w:bCs/>
          <w:color w:val="auto"/>
          <w:sz w:val="28"/>
          <w:szCs w:val="28"/>
          <w:highlight w:val="none"/>
          <w:lang w:val="en-US" w:eastAsia="zh-CN"/>
        </w:rPr>
        <w:t xml:space="preserve">   人：</w:t>
      </w:r>
      <w:r>
        <w:rPr>
          <w:rFonts w:hint="eastAsia" w:ascii="宋体" w:hAnsi="宋体" w:cs="宋体"/>
          <w:b/>
          <w:bCs/>
          <w:color w:val="auto"/>
          <w:sz w:val="28"/>
          <w:szCs w:val="28"/>
          <w:highlight w:val="none"/>
          <w:lang w:val="en-US" w:eastAsia="zh-CN"/>
        </w:rPr>
        <w:t>铜川市印台区住房和城乡建设局</w:t>
      </w:r>
    </w:p>
    <w:p>
      <w:pPr>
        <w:pStyle w:val="7"/>
        <w:spacing w:line="360" w:lineRule="auto"/>
        <w:ind w:left="1260" w:leftChars="600" w:right="0" w:rightChars="0" w:firstLine="0" w:firstLineChars="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采购代理机构：陕西华禄恒企业管理咨询有限公司</w:t>
      </w:r>
    </w:p>
    <w:p>
      <w:pPr>
        <w:spacing w:line="600" w:lineRule="auto"/>
        <w:jc w:val="center"/>
        <w:rPr>
          <w:rFonts w:ascii="宋体" w:hAnsi="宋体" w:cs="宋体"/>
          <w:b/>
          <w:bCs/>
          <w:color w:val="auto"/>
          <w:sz w:val="32"/>
          <w:szCs w:val="32"/>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04</w:t>
      </w:r>
      <w:r>
        <w:rPr>
          <w:rFonts w:hint="eastAsia" w:ascii="宋体" w:hAnsi="宋体" w:eastAsia="宋体" w:cs="宋体"/>
          <w:b/>
          <w:bCs/>
          <w:color w:val="auto"/>
          <w:sz w:val="28"/>
          <w:szCs w:val="28"/>
          <w:highlight w:val="none"/>
        </w:rPr>
        <w:t>月</w:t>
      </w:r>
    </w:p>
    <w:p>
      <w:pPr>
        <w:spacing w:line="360" w:lineRule="auto"/>
        <w:jc w:val="center"/>
        <w:rPr>
          <w:rFonts w:ascii="宋体" w:hAnsi="宋体"/>
          <w:b/>
          <w:color w:val="auto"/>
          <w:sz w:val="32"/>
          <w:highlight w:val="none"/>
        </w:rPr>
      </w:pPr>
      <w:r>
        <w:rPr>
          <w:rFonts w:ascii="宋体" w:hAnsi="宋体"/>
          <w:b/>
          <w:color w:val="auto"/>
          <w:sz w:val="32"/>
          <w:highlight w:val="none"/>
        </w:rPr>
        <w:t>目   录</w:t>
      </w:r>
    </w:p>
    <w:p>
      <w:pPr>
        <w:tabs>
          <w:tab w:val="left" w:pos="6444"/>
        </w:tabs>
        <w:spacing w:line="360" w:lineRule="auto"/>
        <w:jc w:val="left"/>
        <w:rPr>
          <w:rFonts w:hint="eastAsia" w:ascii="宋体" w:hAnsi="宋体"/>
          <w:b/>
          <w:color w:val="auto"/>
          <w:sz w:val="32"/>
          <w:highlight w:val="none"/>
        </w:rPr>
      </w:pPr>
      <w:r>
        <w:rPr>
          <w:rFonts w:hint="eastAsia" w:ascii="宋体" w:hAnsi="宋体"/>
          <w:b/>
          <w:color w:val="auto"/>
          <w:sz w:val="32"/>
          <w:highlight w:val="none"/>
        </w:rPr>
        <w:tab/>
      </w:r>
    </w:p>
    <w:p>
      <w:pPr>
        <w:pStyle w:val="14"/>
        <w:tabs>
          <w:tab w:val="right" w:leader="dot" w:pos="8619"/>
        </w:tabs>
      </w:pPr>
      <w:bookmarkStart w:id="0" w:name="_Toc293999489"/>
      <w:bookmarkStart w:id="1" w:name="_Toc280800413"/>
      <w:bookmarkStart w:id="2" w:name="_Toc238899376"/>
      <w:bookmarkStart w:id="3" w:name="_Toc269407610"/>
      <w:bookmarkStart w:id="4" w:name="_Toc250572262"/>
      <w:bookmarkStart w:id="5" w:name="_Toc260140524"/>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r>
        <w:rPr>
          <w:rFonts w:ascii="宋体" w:hAnsi="宋体"/>
          <w:color w:val="auto"/>
          <w:szCs w:val="28"/>
          <w:highlight w:val="none"/>
        </w:rPr>
        <w:fldChar w:fldCharType="begin"/>
      </w:r>
      <w:r>
        <w:rPr>
          <w:rFonts w:ascii="宋体" w:hAnsi="宋体"/>
          <w:szCs w:val="28"/>
          <w:highlight w:val="none"/>
        </w:rPr>
        <w:instrText xml:space="preserve"> HYPERLINK \l _Toc25909 </w:instrText>
      </w:r>
      <w:r>
        <w:rPr>
          <w:rFonts w:ascii="宋体" w:hAnsi="宋体"/>
          <w:szCs w:val="28"/>
          <w:highlight w:val="none"/>
        </w:rPr>
        <w:fldChar w:fldCharType="separate"/>
      </w:r>
      <w:r>
        <w:rPr>
          <w:rFonts w:hint="eastAsia" w:ascii="宋体" w:hAnsi="宋体"/>
          <w:highlight w:val="none"/>
        </w:rPr>
        <w:t>第一章</w:t>
      </w:r>
      <w:r>
        <w:rPr>
          <w:rFonts w:ascii="宋体" w:hAnsi="宋体"/>
          <w:highlight w:val="none"/>
        </w:rPr>
        <w:t xml:space="preserve"> </w:t>
      </w:r>
      <w:r>
        <w:rPr>
          <w:rFonts w:hint="eastAsia" w:ascii="宋体" w:hAnsi="宋体"/>
          <w:highlight w:val="none"/>
        </w:rPr>
        <w:t xml:space="preserve"> 招标公告</w:t>
      </w:r>
      <w:r>
        <w:tab/>
      </w:r>
      <w:r>
        <w:fldChar w:fldCharType="begin"/>
      </w:r>
      <w:r>
        <w:instrText xml:space="preserve"> PAGEREF _Toc25909 \h </w:instrText>
      </w:r>
      <w:r>
        <w:fldChar w:fldCharType="separate"/>
      </w:r>
      <w:r>
        <w:t>1</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_Toc14069 </w:instrText>
      </w:r>
      <w:r>
        <w:rPr>
          <w:rFonts w:ascii="宋体" w:hAnsi="宋体"/>
          <w:szCs w:val="28"/>
          <w:highlight w:val="none"/>
        </w:rPr>
        <w:fldChar w:fldCharType="separate"/>
      </w:r>
      <w:r>
        <w:rPr>
          <w:rFonts w:ascii="宋体" w:hAnsi="宋体"/>
          <w:highlight w:val="none"/>
        </w:rPr>
        <w:t xml:space="preserve">第二章  </w:t>
      </w:r>
      <w:r>
        <w:rPr>
          <w:rFonts w:hint="eastAsia" w:ascii="宋体" w:hAnsi="宋体"/>
          <w:highlight w:val="none"/>
          <w:lang w:eastAsia="zh-CN"/>
        </w:rPr>
        <w:t>投标单位</w:t>
      </w:r>
      <w:r>
        <w:rPr>
          <w:rFonts w:ascii="宋体" w:hAnsi="宋体"/>
          <w:highlight w:val="none"/>
        </w:rPr>
        <w:t>须知</w:t>
      </w:r>
      <w:r>
        <w:tab/>
      </w:r>
      <w:r>
        <w:fldChar w:fldCharType="begin"/>
      </w:r>
      <w:r>
        <w:instrText xml:space="preserve"> PAGEREF _Toc14069 \h </w:instrText>
      </w:r>
      <w:r>
        <w:fldChar w:fldCharType="separate"/>
      </w:r>
      <w:r>
        <w:t>4</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_Toc1614 </w:instrText>
      </w:r>
      <w:r>
        <w:rPr>
          <w:rFonts w:ascii="宋体" w:hAnsi="宋体"/>
          <w:szCs w:val="28"/>
          <w:highlight w:val="none"/>
        </w:rPr>
        <w:fldChar w:fldCharType="separate"/>
      </w:r>
      <w:r>
        <w:rPr>
          <w:rFonts w:ascii="宋体" w:hAnsi="宋体"/>
          <w:kern w:val="44"/>
          <w:highlight w:val="none"/>
        </w:rPr>
        <w:t xml:space="preserve">第三章  </w:t>
      </w:r>
      <w:r>
        <w:rPr>
          <w:rFonts w:hint="eastAsia" w:ascii="宋体" w:hAnsi="宋体"/>
          <w:kern w:val="44"/>
          <w:highlight w:val="none"/>
          <w:lang w:eastAsia="zh-CN"/>
        </w:rPr>
        <w:t>采购内容及要求</w:t>
      </w:r>
      <w:r>
        <w:tab/>
      </w:r>
      <w:r>
        <w:fldChar w:fldCharType="begin"/>
      </w:r>
      <w:r>
        <w:instrText xml:space="preserve"> PAGEREF _Toc1614 \h </w:instrText>
      </w:r>
      <w:r>
        <w:fldChar w:fldCharType="separate"/>
      </w:r>
      <w:r>
        <w:t>17</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_Toc13603 </w:instrText>
      </w:r>
      <w:r>
        <w:rPr>
          <w:rFonts w:ascii="宋体" w:hAnsi="宋体"/>
          <w:szCs w:val="28"/>
          <w:highlight w:val="none"/>
        </w:rPr>
        <w:fldChar w:fldCharType="separate"/>
      </w:r>
      <w:r>
        <w:rPr>
          <w:rFonts w:ascii="宋体" w:hAnsi="宋体" w:eastAsia="宋体"/>
          <w:kern w:val="44"/>
          <w:szCs w:val="22"/>
          <w:highlight w:val="none"/>
        </w:rPr>
        <w:t>第</w:t>
      </w:r>
      <w:r>
        <w:rPr>
          <w:rFonts w:hint="eastAsia" w:ascii="宋体" w:hAnsi="宋体" w:eastAsia="宋体"/>
          <w:kern w:val="44"/>
          <w:szCs w:val="22"/>
          <w:highlight w:val="none"/>
          <w:lang w:eastAsia="zh-CN"/>
        </w:rPr>
        <w:t>四</w:t>
      </w:r>
      <w:r>
        <w:rPr>
          <w:rFonts w:ascii="宋体" w:hAnsi="宋体" w:eastAsia="宋体"/>
          <w:kern w:val="44"/>
          <w:szCs w:val="22"/>
          <w:highlight w:val="none"/>
        </w:rPr>
        <w:t>章  评标标准及方法</w:t>
      </w:r>
      <w:r>
        <w:tab/>
      </w:r>
      <w:r>
        <w:fldChar w:fldCharType="begin"/>
      </w:r>
      <w:r>
        <w:instrText xml:space="preserve"> PAGEREF _Toc13603 \h </w:instrText>
      </w:r>
      <w:r>
        <w:fldChar w:fldCharType="separate"/>
      </w:r>
      <w:r>
        <w:t>24</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_Toc20983 </w:instrText>
      </w:r>
      <w:r>
        <w:rPr>
          <w:rFonts w:ascii="宋体" w:hAnsi="宋体"/>
          <w:szCs w:val="28"/>
          <w:highlight w:val="none"/>
        </w:rPr>
        <w:fldChar w:fldCharType="separate"/>
      </w:r>
      <w:r>
        <w:rPr>
          <w:rFonts w:ascii="宋体" w:hAnsi="宋体"/>
          <w:bCs/>
          <w:highlight w:val="none"/>
        </w:rPr>
        <w:t>第</w:t>
      </w:r>
      <w:r>
        <w:rPr>
          <w:rFonts w:hint="eastAsia" w:ascii="宋体" w:hAnsi="宋体"/>
          <w:bCs/>
          <w:highlight w:val="none"/>
          <w:lang w:eastAsia="zh-CN"/>
        </w:rPr>
        <w:t>五</w:t>
      </w:r>
      <w:r>
        <w:rPr>
          <w:rFonts w:ascii="宋体" w:hAnsi="宋体"/>
          <w:bCs/>
          <w:highlight w:val="none"/>
        </w:rPr>
        <w:t>章  合同条款</w:t>
      </w:r>
      <w:r>
        <w:rPr>
          <w:rFonts w:hint="eastAsia" w:ascii="宋体" w:hAnsi="宋体"/>
          <w:bCs/>
          <w:highlight w:val="none"/>
        </w:rPr>
        <w:t>（范文）</w:t>
      </w:r>
      <w:r>
        <w:tab/>
      </w:r>
      <w:r>
        <w:fldChar w:fldCharType="begin"/>
      </w:r>
      <w:r>
        <w:instrText xml:space="preserve"> PAGEREF _Toc20983 \h </w:instrText>
      </w:r>
      <w:r>
        <w:fldChar w:fldCharType="separate"/>
      </w:r>
      <w:r>
        <w:t>31</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_Toc5624 </w:instrText>
      </w:r>
      <w:r>
        <w:rPr>
          <w:rFonts w:ascii="宋体" w:hAnsi="宋体"/>
          <w:szCs w:val="28"/>
          <w:highlight w:val="none"/>
        </w:rPr>
        <w:fldChar w:fldCharType="separate"/>
      </w:r>
      <w:r>
        <w:rPr>
          <w:rFonts w:ascii="宋体" w:hAnsi="宋体"/>
          <w:highlight w:val="none"/>
        </w:rPr>
        <w:t>第</w:t>
      </w:r>
      <w:r>
        <w:rPr>
          <w:rFonts w:hint="eastAsia" w:ascii="宋体" w:hAnsi="宋体"/>
          <w:highlight w:val="none"/>
          <w:lang w:eastAsia="zh-CN"/>
        </w:rPr>
        <w:t>六</w:t>
      </w:r>
      <w:r>
        <w:rPr>
          <w:rFonts w:ascii="宋体" w:hAnsi="宋体"/>
          <w:highlight w:val="none"/>
        </w:rPr>
        <w:t>章  投标文件格式</w:t>
      </w:r>
      <w:r>
        <w:tab/>
      </w:r>
      <w:r>
        <w:fldChar w:fldCharType="begin"/>
      </w:r>
      <w:r>
        <w:instrText xml:space="preserve"> PAGEREF _Toc5624 \h </w:instrText>
      </w:r>
      <w:r>
        <w:fldChar w:fldCharType="separate"/>
      </w:r>
      <w:r>
        <w:t>41</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_Toc31837 </w:instrText>
      </w:r>
      <w:r>
        <w:rPr>
          <w:rFonts w:ascii="宋体" w:hAnsi="宋体"/>
          <w:szCs w:val="28"/>
          <w:highlight w:val="none"/>
        </w:rPr>
        <w:fldChar w:fldCharType="separate"/>
      </w:r>
      <w:r>
        <w:rPr>
          <w:rFonts w:ascii="宋体" w:hAnsi="宋体"/>
          <w:bCs/>
          <w:szCs w:val="28"/>
          <w:highlight w:val="none"/>
        </w:rPr>
        <w:t>第一部分</w:t>
      </w:r>
      <w:r>
        <w:rPr>
          <w:rFonts w:hint="eastAsia" w:ascii="宋体" w:hAnsi="宋体"/>
          <w:bCs/>
          <w:szCs w:val="28"/>
          <w:highlight w:val="none"/>
        </w:rPr>
        <w:t xml:space="preserve">  </w:t>
      </w:r>
      <w:r>
        <w:rPr>
          <w:rFonts w:ascii="宋体" w:hAnsi="宋体"/>
          <w:bCs/>
          <w:szCs w:val="28"/>
          <w:highlight w:val="none"/>
        </w:rPr>
        <w:t>投标函</w:t>
      </w:r>
      <w:r>
        <w:tab/>
      </w:r>
      <w:r>
        <w:fldChar w:fldCharType="begin"/>
      </w:r>
      <w:r>
        <w:instrText xml:space="preserve"> PAGEREF _Toc31837 \h </w:instrText>
      </w:r>
      <w:r>
        <w:fldChar w:fldCharType="separate"/>
      </w:r>
      <w:r>
        <w:t>43</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_Toc16698 </w:instrText>
      </w:r>
      <w:r>
        <w:rPr>
          <w:rFonts w:ascii="宋体" w:hAnsi="宋体"/>
          <w:szCs w:val="28"/>
          <w:highlight w:val="none"/>
        </w:rPr>
        <w:fldChar w:fldCharType="separate"/>
      </w:r>
      <w:r>
        <w:rPr>
          <w:rFonts w:ascii="宋体" w:hAnsi="宋体"/>
          <w:highlight w:val="none"/>
        </w:rPr>
        <w:t>第</w:t>
      </w:r>
      <w:r>
        <w:rPr>
          <w:rFonts w:hint="eastAsia" w:ascii="宋体" w:hAnsi="宋体"/>
          <w:highlight w:val="none"/>
        </w:rPr>
        <w:t>二</w:t>
      </w:r>
      <w:r>
        <w:rPr>
          <w:rFonts w:ascii="宋体" w:hAnsi="宋体"/>
          <w:highlight w:val="none"/>
        </w:rPr>
        <w:t>部分  投标</w:t>
      </w:r>
      <w:r>
        <w:rPr>
          <w:rFonts w:hint="eastAsia" w:ascii="宋体" w:hAnsi="宋体"/>
          <w:highlight w:val="none"/>
        </w:rPr>
        <w:t>报价表</w:t>
      </w:r>
      <w:r>
        <w:tab/>
      </w:r>
      <w:r>
        <w:fldChar w:fldCharType="begin"/>
      </w:r>
      <w:r>
        <w:instrText xml:space="preserve"> PAGEREF _Toc16698 \h </w:instrText>
      </w:r>
      <w:r>
        <w:fldChar w:fldCharType="separate"/>
      </w:r>
      <w:r>
        <w:t>44</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_Toc18039 </w:instrText>
      </w:r>
      <w:r>
        <w:rPr>
          <w:rFonts w:ascii="宋体" w:hAnsi="宋体"/>
          <w:szCs w:val="28"/>
          <w:highlight w:val="none"/>
        </w:rPr>
        <w:fldChar w:fldCharType="separate"/>
      </w:r>
      <w:r>
        <w:rPr>
          <w:rFonts w:ascii="宋体" w:hAnsi="宋体"/>
          <w:highlight w:val="none"/>
        </w:rPr>
        <w:t>第</w:t>
      </w:r>
      <w:r>
        <w:rPr>
          <w:rFonts w:hint="eastAsia" w:ascii="宋体" w:hAnsi="宋体"/>
          <w:highlight w:val="none"/>
        </w:rPr>
        <w:t>三</w:t>
      </w:r>
      <w:r>
        <w:rPr>
          <w:rFonts w:ascii="宋体" w:hAnsi="宋体"/>
          <w:highlight w:val="none"/>
        </w:rPr>
        <w:t xml:space="preserve">部分  </w:t>
      </w:r>
      <w:r>
        <w:rPr>
          <w:rFonts w:hint="eastAsia" w:ascii="宋体" w:hAnsi="宋体"/>
          <w:highlight w:val="none"/>
          <w:lang w:eastAsia="zh-CN"/>
        </w:rPr>
        <w:t>投标单位</w:t>
      </w:r>
      <w:r>
        <w:rPr>
          <w:rFonts w:ascii="宋体" w:hAnsi="宋体"/>
          <w:highlight w:val="none"/>
        </w:rPr>
        <w:t>资格</w:t>
      </w:r>
      <w:r>
        <w:tab/>
      </w:r>
      <w:r>
        <w:fldChar w:fldCharType="begin"/>
      </w:r>
      <w:r>
        <w:instrText xml:space="preserve"> PAGEREF _Toc18039 \h </w:instrText>
      </w:r>
      <w:r>
        <w:fldChar w:fldCharType="separate"/>
      </w:r>
      <w:r>
        <w:t>45</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_Toc11574 </w:instrText>
      </w:r>
      <w:r>
        <w:rPr>
          <w:rFonts w:ascii="宋体" w:hAnsi="宋体"/>
          <w:szCs w:val="28"/>
          <w:highlight w:val="none"/>
        </w:rPr>
        <w:fldChar w:fldCharType="separate"/>
      </w:r>
      <w:r>
        <w:rPr>
          <w:rFonts w:hint="eastAsia" w:ascii="宋体" w:hAnsi="宋体"/>
          <w:highlight w:val="none"/>
        </w:rPr>
        <w:t>第四部分  施工组织计划</w:t>
      </w:r>
      <w:r>
        <w:tab/>
      </w:r>
      <w:r>
        <w:fldChar w:fldCharType="begin"/>
      </w:r>
      <w:r>
        <w:instrText xml:space="preserve"> PAGEREF _Toc11574 \h </w:instrText>
      </w:r>
      <w:r>
        <w:fldChar w:fldCharType="separate"/>
      </w:r>
      <w:r>
        <w:t>55</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_Toc32714 </w:instrText>
      </w:r>
      <w:r>
        <w:rPr>
          <w:rFonts w:ascii="宋体" w:hAnsi="宋体"/>
          <w:szCs w:val="28"/>
          <w:highlight w:val="none"/>
        </w:rPr>
        <w:fldChar w:fldCharType="separate"/>
      </w:r>
      <w:r>
        <w:rPr>
          <w:rFonts w:ascii="宋体" w:hAnsi="宋体" w:eastAsia="宋体"/>
          <w:highlight w:val="none"/>
        </w:rPr>
        <w:t>第</w:t>
      </w:r>
      <w:r>
        <w:rPr>
          <w:rFonts w:hint="eastAsia" w:ascii="宋体" w:hAnsi="宋体" w:eastAsia="宋体"/>
          <w:highlight w:val="none"/>
        </w:rPr>
        <w:t>五</w:t>
      </w:r>
      <w:r>
        <w:rPr>
          <w:rFonts w:ascii="宋体" w:hAnsi="宋体" w:eastAsia="宋体"/>
          <w:highlight w:val="none"/>
        </w:rPr>
        <w:t xml:space="preserve">部分  </w:t>
      </w:r>
      <w:r>
        <w:rPr>
          <w:rFonts w:hint="eastAsia" w:ascii="宋体" w:hAnsi="宋体" w:eastAsia="宋体"/>
          <w:highlight w:val="none"/>
        </w:rPr>
        <w:t>业绩证明材料</w:t>
      </w:r>
      <w:r>
        <w:tab/>
      </w:r>
      <w:r>
        <w:fldChar w:fldCharType="begin"/>
      </w:r>
      <w:r>
        <w:instrText xml:space="preserve"> PAGEREF _Toc32714 \h </w:instrText>
      </w:r>
      <w:r>
        <w:fldChar w:fldCharType="separate"/>
      </w:r>
      <w:r>
        <w:t>56</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_Toc29959 </w:instrText>
      </w:r>
      <w:r>
        <w:rPr>
          <w:rFonts w:ascii="宋体" w:hAnsi="宋体"/>
          <w:szCs w:val="28"/>
          <w:highlight w:val="none"/>
        </w:rPr>
        <w:fldChar w:fldCharType="separate"/>
      </w:r>
      <w:r>
        <w:rPr>
          <w:rFonts w:hint="eastAsia" w:ascii="宋体" w:hAnsi="宋体"/>
          <w:szCs w:val="32"/>
          <w:highlight w:val="none"/>
        </w:rPr>
        <w:t>第五部分</w:t>
      </w:r>
      <w:r>
        <w:rPr>
          <w:rFonts w:hint="eastAsia" w:ascii="宋体" w:hAnsi="宋体"/>
          <w:szCs w:val="32"/>
          <w:highlight w:val="none"/>
          <w:lang w:val="en-US" w:eastAsia="zh-CN"/>
        </w:rPr>
        <w:t xml:space="preserve"> </w:t>
      </w:r>
      <w:r>
        <w:rPr>
          <w:rFonts w:hint="eastAsia" w:ascii="宋体" w:hAnsi="宋体"/>
          <w:szCs w:val="32"/>
          <w:highlight w:val="none"/>
        </w:rPr>
        <w:t xml:space="preserve"> 业绩证明材料</w:t>
      </w:r>
      <w:r>
        <w:tab/>
      </w:r>
      <w:r>
        <w:fldChar w:fldCharType="begin"/>
      </w:r>
      <w:r>
        <w:instrText xml:space="preserve"> PAGEREF _Toc29959 \h </w:instrText>
      </w:r>
      <w:r>
        <w:fldChar w:fldCharType="separate"/>
      </w:r>
      <w:r>
        <w:t>56</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_Toc2575 </w:instrText>
      </w:r>
      <w:r>
        <w:rPr>
          <w:rFonts w:ascii="宋体" w:hAnsi="宋体"/>
          <w:szCs w:val="28"/>
          <w:highlight w:val="none"/>
        </w:rPr>
        <w:fldChar w:fldCharType="separate"/>
      </w:r>
      <w:r>
        <w:rPr>
          <w:rFonts w:hint="eastAsia" w:ascii="宋体" w:hAnsi="宋体"/>
          <w:szCs w:val="32"/>
          <w:highlight w:val="none"/>
          <w:lang w:val="en-US" w:eastAsia="zh-CN"/>
        </w:rPr>
        <w:t>第六部分  售后服务承诺及培训计划</w:t>
      </w:r>
      <w:r>
        <w:tab/>
      </w:r>
      <w:r>
        <w:fldChar w:fldCharType="begin"/>
      </w:r>
      <w:r>
        <w:instrText xml:space="preserve"> PAGEREF _Toc2575 \h </w:instrText>
      </w:r>
      <w:r>
        <w:fldChar w:fldCharType="separate"/>
      </w:r>
      <w:r>
        <w:t>57</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_Toc31147 </w:instrText>
      </w:r>
      <w:r>
        <w:rPr>
          <w:rFonts w:ascii="宋体" w:hAnsi="宋体"/>
          <w:szCs w:val="28"/>
          <w:highlight w:val="none"/>
        </w:rPr>
        <w:fldChar w:fldCharType="separate"/>
      </w:r>
      <w:r>
        <w:rPr>
          <w:rFonts w:hint="eastAsia" w:ascii="宋体" w:hAnsi="宋体"/>
          <w:szCs w:val="32"/>
          <w:lang w:val="en-US" w:eastAsia="zh-CN"/>
        </w:rPr>
        <w:t xml:space="preserve">第七部分  </w:t>
      </w:r>
      <w:r>
        <w:rPr>
          <w:rFonts w:hint="eastAsia" w:ascii="宋体" w:hAnsi="宋体"/>
          <w:szCs w:val="32"/>
          <w:highlight w:val="none"/>
          <w:lang w:val="en-US" w:eastAsia="zh-CN"/>
        </w:rPr>
        <w:t>商务条款偏离表</w:t>
      </w:r>
      <w:r>
        <w:tab/>
      </w:r>
      <w:r>
        <w:fldChar w:fldCharType="begin"/>
      </w:r>
      <w:r>
        <w:instrText xml:space="preserve"> PAGEREF _Toc31147 \h </w:instrText>
      </w:r>
      <w:r>
        <w:fldChar w:fldCharType="separate"/>
      </w:r>
      <w:r>
        <w:t>58</w:t>
      </w:r>
      <w:r>
        <w:fldChar w:fldCharType="end"/>
      </w:r>
      <w:r>
        <w:rPr>
          <w:rFonts w:ascii="宋体" w:hAnsi="宋体"/>
          <w:color w:val="auto"/>
          <w:szCs w:val="28"/>
          <w:highlight w:val="none"/>
        </w:rPr>
        <w:fldChar w:fldCharType="end"/>
      </w:r>
    </w:p>
    <w:p>
      <w:pPr>
        <w:pStyle w:val="14"/>
        <w:tabs>
          <w:tab w:val="right" w:leader="dot" w:pos="8619"/>
        </w:tabs>
      </w:pPr>
      <w:r>
        <w:rPr>
          <w:rFonts w:ascii="宋体" w:hAnsi="宋体"/>
          <w:color w:val="auto"/>
          <w:szCs w:val="28"/>
          <w:highlight w:val="none"/>
        </w:rPr>
        <w:fldChar w:fldCharType="begin"/>
      </w:r>
      <w:r>
        <w:rPr>
          <w:rFonts w:ascii="宋体" w:hAnsi="宋体"/>
          <w:szCs w:val="28"/>
          <w:highlight w:val="none"/>
        </w:rPr>
        <w:instrText xml:space="preserve"> HYPERLINK \l _Toc14314 </w:instrText>
      </w:r>
      <w:r>
        <w:rPr>
          <w:rFonts w:ascii="宋体" w:hAnsi="宋体"/>
          <w:szCs w:val="28"/>
          <w:highlight w:val="none"/>
        </w:rPr>
        <w:fldChar w:fldCharType="separate"/>
      </w:r>
      <w:r>
        <w:rPr>
          <w:rFonts w:hint="eastAsia" w:ascii="宋体" w:hAnsi="宋体"/>
          <w:szCs w:val="32"/>
          <w:highlight w:val="none"/>
          <w:lang w:val="en-US" w:eastAsia="zh-CN"/>
        </w:rPr>
        <w:t>第八部分  投标产品说明及其他</w:t>
      </w:r>
      <w:r>
        <w:tab/>
      </w:r>
      <w:r>
        <w:fldChar w:fldCharType="begin"/>
      </w:r>
      <w:r>
        <w:instrText xml:space="preserve"> PAGEREF _Toc14314 \h </w:instrText>
      </w:r>
      <w:r>
        <w:fldChar w:fldCharType="separate"/>
      </w:r>
      <w:r>
        <w:t>59</w:t>
      </w:r>
      <w:r>
        <w:fldChar w:fldCharType="end"/>
      </w:r>
      <w:r>
        <w:rPr>
          <w:rFonts w:ascii="宋体" w:hAnsi="宋体"/>
          <w:color w:val="auto"/>
          <w:szCs w:val="28"/>
          <w:highlight w:val="none"/>
        </w:rPr>
        <w:fldChar w:fldCharType="end"/>
      </w:r>
    </w:p>
    <w:p>
      <w:pPr>
        <w:spacing w:line="480" w:lineRule="auto"/>
        <w:jc w:val="center"/>
        <w:rPr>
          <w:rFonts w:ascii="宋体" w:hAnsi="宋体"/>
          <w:color w:val="auto"/>
          <w:highlight w:val="none"/>
        </w:rPr>
      </w:pPr>
      <w:r>
        <w:rPr>
          <w:rFonts w:ascii="宋体" w:hAnsi="宋体"/>
          <w:color w:val="auto"/>
          <w:szCs w:val="28"/>
          <w:highlight w:val="none"/>
        </w:rPr>
        <w:fldChar w:fldCharType="end"/>
      </w:r>
    </w:p>
    <w:bookmarkEnd w:id="0"/>
    <w:bookmarkEnd w:id="1"/>
    <w:p>
      <w:pPr>
        <w:pStyle w:val="3"/>
        <w:spacing w:before="312" w:beforeLines="100" w:after="312" w:afterLines="100" w:line="340" w:lineRule="exact"/>
        <w:jc w:val="center"/>
        <w:outlineLvl w:val="9"/>
        <w:rPr>
          <w:rFonts w:hint="eastAsia" w:ascii="宋体" w:hAnsi="宋体"/>
          <w:color w:val="auto"/>
          <w:sz w:val="32"/>
          <w:highlight w:val="none"/>
        </w:rPr>
        <w:sectPr>
          <w:headerReference r:id="rId4" w:type="first"/>
          <w:footerReference r:id="rId7" w:type="first"/>
          <w:headerReference r:id="rId3" w:type="default"/>
          <w:footerReference r:id="rId5" w:type="default"/>
          <w:footerReference r:id="rId6" w:type="even"/>
          <w:pgSz w:w="11907" w:h="16840"/>
          <w:pgMar w:top="1247" w:right="1644" w:bottom="1247" w:left="1644" w:header="851" w:footer="851" w:gutter="0"/>
          <w:pgNumType w:start="1"/>
          <w:cols w:space="720" w:num="1"/>
          <w:titlePg/>
          <w:docGrid w:type="linesAndChars" w:linePitch="312" w:charSpace="0"/>
        </w:sectPr>
      </w:pPr>
      <w:bookmarkStart w:id="6" w:name="_Toc372193325"/>
      <w:bookmarkStart w:id="7" w:name="_Toc4290"/>
    </w:p>
    <w:p>
      <w:pPr>
        <w:pStyle w:val="3"/>
        <w:spacing w:before="312" w:beforeLines="100" w:after="312" w:afterLines="100" w:line="340" w:lineRule="exact"/>
        <w:jc w:val="center"/>
        <w:rPr>
          <w:rFonts w:ascii="宋体" w:hAnsi="宋体"/>
          <w:color w:val="auto"/>
          <w:sz w:val="32"/>
          <w:highlight w:val="none"/>
        </w:rPr>
      </w:pPr>
      <w:bookmarkStart w:id="8" w:name="_Toc25909"/>
      <w:r>
        <w:rPr>
          <w:rFonts w:hint="eastAsia" w:ascii="宋体" w:hAnsi="宋体"/>
          <w:color w:val="auto"/>
          <w:sz w:val="32"/>
          <w:highlight w:val="none"/>
        </w:rPr>
        <w:t>第一章</w:t>
      </w:r>
      <w:r>
        <w:rPr>
          <w:rFonts w:ascii="宋体" w:hAnsi="宋体"/>
          <w:color w:val="auto"/>
          <w:sz w:val="32"/>
          <w:highlight w:val="none"/>
        </w:rPr>
        <w:t xml:space="preserve"> </w:t>
      </w:r>
      <w:r>
        <w:rPr>
          <w:rFonts w:hint="eastAsia" w:ascii="宋体" w:hAnsi="宋体"/>
          <w:color w:val="auto"/>
          <w:sz w:val="32"/>
          <w:highlight w:val="none"/>
        </w:rPr>
        <w:t xml:space="preserve"> 招标公告</w:t>
      </w:r>
      <w:bookmarkEnd w:id="6"/>
      <w:bookmarkEnd w:id="7"/>
      <w:bookmarkEnd w:id="8"/>
    </w:p>
    <w:p>
      <w:pPr>
        <w:widowControl/>
        <w:spacing w:line="360" w:lineRule="auto"/>
        <w:ind w:right="-197" w:firstLine="480"/>
        <w:jc w:val="left"/>
        <w:rPr>
          <w:rFonts w:ascii="宋体" w:hAnsi="宋体"/>
          <w:color w:val="auto"/>
          <w:sz w:val="24"/>
          <w:szCs w:val="24"/>
          <w:highlight w:val="none"/>
        </w:rPr>
      </w:pPr>
      <w:r>
        <w:rPr>
          <w:rFonts w:hint="eastAsia" w:ascii="宋体" w:hAnsi="宋体" w:cs="宋体"/>
          <w:color w:val="auto"/>
          <w:sz w:val="21"/>
          <w:szCs w:val="21"/>
          <w:highlight w:val="none"/>
          <w:lang w:val="en-US" w:eastAsia="zh-CN"/>
        </w:rPr>
        <w:t>印台区矿区生活污水处理厂一体化智能污水处理设备采购项目</w:t>
      </w:r>
      <w:r>
        <w:rPr>
          <w:rFonts w:hint="eastAsia" w:ascii="宋体" w:hAnsi="宋体" w:eastAsia="宋体" w:cs="宋体"/>
          <w:color w:val="auto"/>
          <w:sz w:val="21"/>
          <w:szCs w:val="21"/>
          <w:highlight w:val="none"/>
          <w:lang w:val="en-US" w:eastAsia="zh-CN"/>
        </w:rPr>
        <w:t>招标项目潜在的投标人可在</w:t>
      </w:r>
      <w:r>
        <w:rPr>
          <w:rFonts w:hint="eastAsia" w:ascii="宋体" w:hAnsi="宋体" w:cs="宋体"/>
          <w:color w:val="auto"/>
          <w:sz w:val="21"/>
          <w:szCs w:val="21"/>
          <w:highlight w:val="none"/>
          <w:lang w:val="en-US" w:eastAsia="zh-CN"/>
        </w:rPr>
        <w:t>陕西华禄恒企业管理咨询有限公司</w:t>
      </w:r>
      <w:r>
        <w:rPr>
          <w:rFonts w:hint="eastAsia" w:ascii="宋体" w:hAnsi="宋体" w:eastAsia="宋体" w:cs="宋体"/>
          <w:color w:val="auto"/>
          <w:sz w:val="21"/>
          <w:szCs w:val="21"/>
          <w:highlight w:val="none"/>
          <w:lang w:val="en-US" w:eastAsia="zh-CN"/>
        </w:rPr>
        <w:t>（铜川市耀州区锦阳路南段）获取招标文件，并于</w:t>
      </w:r>
      <w:r>
        <w:rPr>
          <w:rFonts w:hint="eastAsia" w:ascii="宋体" w:hAnsi="宋体" w:cs="宋体"/>
          <w:color w:val="0000FF"/>
          <w:sz w:val="21"/>
          <w:szCs w:val="21"/>
          <w:highlight w:val="none"/>
          <w:lang w:val="en-US" w:eastAsia="zh-CN"/>
        </w:rPr>
        <w:t>2022年05月10日</w:t>
      </w:r>
      <w:r>
        <w:rPr>
          <w:rFonts w:hint="eastAsia" w:ascii="宋体" w:hAnsi="宋体" w:eastAsia="宋体" w:cs="宋体"/>
          <w:color w:val="auto"/>
          <w:sz w:val="21"/>
          <w:szCs w:val="21"/>
          <w:highlight w:val="none"/>
          <w:lang w:val="en-US" w:eastAsia="zh-CN"/>
        </w:rPr>
        <w:t>前递交投标文件。</w:t>
      </w:r>
    </w:p>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rPr>
      </w:pPr>
      <w:bookmarkStart w:id="9" w:name="_Toc35393790"/>
      <w:bookmarkStart w:id="10" w:name="_Toc35393621"/>
      <w:bookmarkStart w:id="11" w:name="_Toc28359079"/>
      <w:bookmarkStart w:id="12" w:name="_Toc28359002"/>
      <w:bookmarkStart w:id="13" w:name="_Hlk24379207"/>
      <w:r>
        <w:rPr>
          <w:rFonts w:hint="eastAsia" w:ascii="宋体" w:hAnsi="宋体" w:eastAsia="宋体" w:cs="宋体"/>
          <w:b/>
          <w:bCs/>
          <w:color w:val="auto"/>
          <w:sz w:val="21"/>
          <w:szCs w:val="21"/>
          <w:highlight w:val="none"/>
        </w:rPr>
        <w:t>一、项目基本情况</w:t>
      </w:r>
      <w:bookmarkEnd w:id="9"/>
      <w:bookmarkEnd w:id="10"/>
      <w:bookmarkEnd w:id="11"/>
      <w:bookmarkEnd w:id="12"/>
    </w:p>
    <w:bookmarkEnd w:id="13"/>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w:t>
      </w:r>
      <w:r>
        <w:rPr>
          <w:rFonts w:hint="eastAsia" w:ascii="宋体" w:hAnsi="宋体" w:cs="宋体"/>
          <w:color w:val="auto"/>
          <w:sz w:val="21"/>
          <w:szCs w:val="21"/>
          <w:highlight w:val="none"/>
          <w:lang w:eastAsia="zh-CN"/>
        </w:rPr>
        <w:t>HLH-CG-22-005</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印台区矿区生活污水处理厂一体化智能污水处理设备采购项目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3、预算金额：</w:t>
      </w:r>
      <w:r>
        <w:rPr>
          <w:rFonts w:hint="eastAsia" w:ascii="宋体" w:hAnsi="宋体" w:cs="宋体"/>
          <w:color w:val="auto"/>
          <w:sz w:val="21"/>
          <w:szCs w:val="21"/>
          <w:highlight w:val="none"/>
          <w:lang w:val="en-US" w:eastAsia="zh-CN"/>
        </w:rPr>
        <w:t>188.5万</w:t>
      </w:r>
      <w:r>
        <w:rPr>
          <w:rFonts w:hint="eastAsia" w:ascii="宋体" w:hAnsi="宋体" w:eastAsia="宋体" w:cs="宋体"/>
          <w:color w:val="auto"/>
          <w:sz w:val="21"/>
          <w:szCs w:val="21"/>
          <w:highlight w:val="none"/>
        </w:rPr>
        <w:t>元</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4、最高限价：188.5万元</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5、采购需求： </w:t>
      </w:r>
      <w:r>
        <w:rPr>
          <w:rFonts w:hint="eastAsia" w:ascii="宋体" w:hAnsi="宋体" w:cs="宋体"/>
          <w:color w:val="auto"/>
          <w:sz w:val="21"/>
          <w:szCs w:val="21"/>
          <w:highlight w:val="none"/>
          <w:lang w:eastAsia="zh-CN"/>
        </w:rPr>
        <w:t>印台区矿区生活污水处理厂一体化智能污水处理设备采购项目</w:t>
      </w:r>
      <w:r>
        <w:rPr>
          <w:rFonts w:hint="eastAsia" w:ascii="宋体" w:hAnsi="宋体" w:eastAsia="宋体" w:cs="宋体"/>
          <w:color w:val="auto"/>
          <w:sz w:val="21"/>
          <w:szCs w:val="21"/>
          <w:highlight w:val="none"/>
        </w:rPr>
        <w:t>，1项， 采购预算： 188.5万元， 项目概况：东坡煤矿生活污水处理厂、徐家沟煤矿生活污水处理厂和王石凹煤矿生活污水处理厂需采购四套一体化设备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以形成解决冬季处理水量远低于设计进水量和进水浓度超出设计范围问题的长效机制。 简要技术要求、用途：</w:t>
      </w:r>
      <w:r>
        <w:rPr>
          <w:rFonts w:hint="eastAsia" w:ascii="宋体" w:hAnsi="宋体" w:cs="宋体"/>
          <w:color w:val="auto"/>
          <w:sz w:val="21"/>
          <w:szCs w:val="21"/>
          <w:highlight w:val="none"/>
          <w:lang w:eastAsia="zh-CN"/>
        </w:rPr>
        <w:t>污水处理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6、合同履行期限：</w:t>
      </w:r>
      <w:r>
        <w:rPr>
          <w:rFonts w:hint="eastAsia" w:ascii="宋体" w:hAnsi="宋体" w:cs="宋体"/>
          <w:color w:val="auto"/>
          <w:sz w:val="21"/>
          <w:szCs w:val="21"/>
          <w:highlight w:val="none"/>
          <w:lang w:val="en-US" w:eastAsia="zh-CN"/>
        </w:rPr>
        <w:t>10天</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7、本项目是否接受联合体投标：否</w:t>
      </w:r>
    </w:p>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rPr>
      </w:pPr>
      <w:bookmarkStart w:id="14" w:name="_Toc28359080"/>
      <w:bookmarkStart w:id="15" w:name="_Toc35393622"/>
      <w:bookmarkStart w:id="16" w:name="_Toc35393791"/>
      <w:bookmarkStart w:id="17" w:name="_Toc28359003"/>
      <w:r>
        <w:rPr>
          <w:rFonts w:hint="eastAsia" w:ascii="宋体" w:hAnsi="宋体" w:eastAsia="宋体" w:cs="宋体"/>
          <w:b/>
          <w:bCs/>
          <w:color w:val="auto"/>
          <w:sz w:val="21"/>
          <w:szCs w:val="21"/>
          <w:highlight w:val="none"/>
        </w:rPr>
        <w:t>二、申请人的资格要求：</w:t>
      </w:r>
      <w:bookmarkEnd w:id="14"/>
      <w:bookmarkEnd w:id="15"/>
      <w:bookmarkEnd w:id="16"/>
      <w:bookmarkEnd w:id="1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8" w:name="_Toc28359004"/>
      <w:bookmarkStart w:id="19" w:name="_Toc28359081"/>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2、落实政府采购政策需满足的资格要求：（1）《财政部 国家发展改革委关于印发〈节能产品政府采购实施意见〉的通知》（财库〔2004〕185号）； （2）《国务院办公厅关于建立政府强制采购节能产品制度的通知》（国办发〔2007〕51号）； （3）《财政部环保总局关于环境标志产品政府采购实施的意见》（财库〔2006〕90号）； （4）《财政部 发展改革委 生态环境部 市场监管总局关于调整优化节能产品环境标志产品政府采购执行机制的通知》（财库〔2019〕9号） （5）《政府采购促进中小企业发展管理办法》（财库〔2020〕46号）； （6）《财政部 司法部关于政府采购支持监狱企业发展有关问题的通知》（财库〔2014〕68号）； （7）《三部门联合发布关于促进残疾人就业政府采购政策的通知》（财库〔2017〕141号）；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）《陕西省中小企业政府采购信用融资办法》（陕财办采〔2018〕23号））；</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）《陕西省财政厅关于加快推进我省中小企业政府采购信用融资工作的通知》（陕财办采〔2020〕15 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）其他需要落实的政府采购政策。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（1）具有独立承担民事责任能力的法人、其他组织或自然人，并出具合法有效的营业执照或事业单位法人证书等国家规定的相关证明，自然人参与的提供其身份证明。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（2）财务状况报告：提供2020年度</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 xml:space="preserve">年度的财务审计报告（成立时间至提交响应文件截止时间不足一年的可提供成立后任意时段的资产负债表），或其基本存款账户开户银行出具的资信证明。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（3）税收缴纳证明：提供2021年6月至今已缴纳的至少一个月的纳税证明或完税证明，依法免税的单位应提供相关证明材料。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（4）社会保障资金缴纳证明：提供2021年6月至今已缴存的至少一个月的社会保障资金缴存单据或社保机构开具的社会保险参保缴费情况证明，依法不需要缴纳社会保障资金的单位应提供相关证明材料。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（5）提供具有履行合同所必需的设备和专业技术能力的承诺函。</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（6）书面声明：参加本次政府采购活动前三年内在经营活动中没有重大违纪，以及未被列入失信被执行人、重大税收违法案件当事人名单、政府采购严重违法失信行为记录名单的书面声明。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应授权合法的人员参加投标全过程，其中法定代表人直接投标，须提交法定代表人身份证明；授权代表参加投标的，须出具法定代表授权委托书及授权代表身份证；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投标单位</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市政公用工程施工总</w:t>
      </w:r>
      <w:r>
        <w:rPr>
          <w:rFonts w:hint="eastAsia" w:ascii="宋体" w:hAnsi="宋体" w:eastAsia="宋体" w:cs="宋体"/>
          <w:color w:val="auto"/>
          <w:sz w:val="21"/>
          <w:szCs w:val="21"/>
          <w:highlight w:val="none"/>
        </w:rPr>
        <w:t>承包三级及以上资质和有效的安全生产许可证；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（9）拟派项目经理</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具备市政公用工程二级及以上注册建造师，有效的安全生产考核合格证书（建安B证）；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截止至投标文件递交截止时间之前，投标人不得被列入“中国执行信息公开网 （http://zxgk.court.gov.cn/shixin）”失信被执行人名单、“信用中国(www.creditchina.gov.cn)”重大税收违法案件当事人名单，不得被列入“中国政府采购网(www.ccgp.gov.cn)” 政府采购严重违法失信行为记录名单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以相关网站截图查询结果为准；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color w:val="auto"/>
          <w:sz w:val="21"/>
          <w:szCs w:val="21"/>
          <w:highlight w:val="none"/>
          <w:u w:val="none"/>
        </w:rPr>
      </w:pPr>
      <w:r>
        <w:rPr>
          <w:rFonts w:hint="eastAsia" w:ascii="宋体" w:hAnsi="宋体" w:eastAsia="宋体" w:cs="宋体"/>
          <w:color w:val="auto"/>
          <w:sz w:val="21"/>
          <w:szCs w:val="21"/>
          <w:highlight w:val="none"/>
        </w:rPr>
        <w:t>（11）本项目不接受联合体投标。</w:t>
      </w:r>
    </w:p>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rPr>
      </w:pPr>
      <w:bookmarkStart w:id="20" w:name="_Toc35393623"/>
      <w:bookmarkStart w:id="21" w:name="_Toc35393792"/>
      <w:r>
        <w:rPr>
          <w:rFonts w:hint="eastAsia" w:ascii="宋体" w:hAnsi="宋体" w:eastAsia="宋体" w:cs="宋体"/>
          <w:b/>
          <w:bCs/>
          <w:color w:val="auto"/>
          <w:sz w:val="21"/>
          <w:szCs w:val="21"/>
          <w:highlight w:val="none"/>
        </w:rPr>
        <w:t>三、</w:t>
      </w:r>
      <w:bookmarkEnd w:id="18"/>
      <w:bookmarkEnd w:id="19"/>
      <w:bookmarkEnd w:id="20"/>
      <w:bookmarkEnd w:id="21"/>
      <w:r>
        <w:rPr>
          <w:rFonts w:hint="eastAsia" w:ascii="宋体" w:hAnsi="宋体" w:eastAsia="宋体" w:cs="宋体"/>
          <w:b/>
          <w:bCs/>
          <w:color w:val="auto"/>
          <w:sz w:val="21"/>
          <w:szCs w:val="21"/>
          <w:highlight w:val="none"/>
        </w:rPr>
        <w:t>招标文件的获取方式</w:t>
      </w:r>
    </w:p>
    <w:p>
      <w:pPr>
        <w:pageBreakBefore w:val="0"/>
        <w:widowControl w:val="0"/>
        <w:kinsoku/>
        <w:wordWrap/>
        <w:overflowPunct/>
        <w:topLinePunct w:val="0"/>
        <w:bidi w:val="0"/>
        <w:snapToGrid/>
        <w:spacing w:line="360" w:lineRule="auto"/>
        <w:ind w:firstLine="540"/>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highlight w:val="none"/>
        </w:rPr>
        <w:t>时间：</w:t>
      </w:r>
      <w:r>
        <w:rPr>
          <w:rFonts w:hint="eastAsia" w:ascii="宋体" w:hAnsi="宋体" w:cs="宋体"/>
          <w:i w:val="0"/>
          <w:iCs w:val="0"/>
          <w:color w:val="auto"/>
          <w:sz w:val="21"/>
          <w:szCs w:val="21"/>
          <w:highlight w:val="none"/>
          <w:u w:val="single"/>
          <w:lang w:val="en-US" w:eastAsia="zh-CN"/>
        </w:rPr>
        <w:t>2022年04月19日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04</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24</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lang w:val="en-US" w:eastAsia="zh-CN"/>
        </w:rPr>
        <w:t xml:space="preserve"> 0</w:t>
      </w:r>
      <w:r>
        <w:rPr>
          <w:rFonts w:hint="eastAsia" w:ascii="宋体" w:hAnsi="宋体" w:cs="宋体"/>
          <w:i w:val="0"/>
          <w:iCs w:val="0"/>
          <w:color w:val="auto"/>
          <w:sz w:val="21"/>
          <w:szCs w:val="21"/>
          <w:highlight w:val="none"/>
          <w:u w:val="single"/>
          <w:lang w:val="en-US" w:eastAsia="zh-CN"/>
        </w:rPr>
        <w:t>9</w:t>
      </w:r>
      <w:bookmarkStart w:id="401" w:name="_GoBack"/>
      <w:bookmarkEnd w:id="401"/>
      <w:r>
        <w:rPr>
          <w:rFonts w:hint="eastAsia" w:ascii="宋体" w:hAnsi="宋体" w:eastAsia="宋体" w:cs="宋体"/>
          <w:i w:val="0"/>
          <w:iCs w:val="0"/>
          <w:color w:val="auto"/>
          <w:sz w:val="21"/>
          <w:szCs w:val="21"/>
          <w:highlight w:val="none"/>
          <w:u w:val="single"/>
          <w:lang w:val="en-US" w:eastAsia="zh-CN"/>
        </w:rPr>
        <w:t xml:space="preserve">：00 </w:t>
      </w:r>
      <w:r>
        <w:rPr>
          <w:rFonts w:hint="eastAsia" w:ascii="宋体" w:hAnsi="宋体" w:eastAsia="宋体" w:cs="宋体"/>
          <w:i w:val="0"/>
          <w:iCs w:val="0"/>
          <w:color w:val="auto"/>
          <w:sz w:val="21"/>
          <w:szCs w:val="21"/>
          <w:highlight w:val="none"/>
        </w:rPr>
        <w:t>至</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lang w:val="en-US" w:eastAsia="zh-CN"/>
        </w:rPr>
        <w:t xml:space="preserve">12:00 </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lang w:val="en-US" w:eastAsia="zh-CN"/>
        </w:rPr>
        <w:t xml:space="preserve">14:00 </w:t>
      </w:r>
      <w:r>
        <w:rPr>
          <w:rFonts w:hint="eastAsia" w:ascii="宋体" w:hAnsi="宋体" w:eastAsia="宋体" w:cs="宋体"/>
          <w:i w:val="0"/>
          <w:iCs w:val="0"/>
          <w:color w:val="auto"/>
          <w:sz w:val="21"/>
          <w:szCs w:val="21"/>
        </w:rPr>
        <w:t>至</w:t>
      </w:r>
      <w:r>
        <w:rPr>
          <w:rFonts w:hint="eastAsia" w:ascii="宋体" w:hAnsi="宋体" w:eastAsia="宋体" w:cs="宋体"/>
          <w:i w:val="0"/>
          <w:iCs w:val="0"/>
          <w:color w:val="auto"/>
          <w:sz w:val="21"/>
          <w:szCs w:val="21"/>
          <w:u w:val="single"/>
          <w:lang w:val="en-US" w:eastAsia="zh-CN"/>
        </w:rPr>
        <w:t xml:space="preserve">17:30 </w:t>
      </w:r>
      <w:r>
        <w:rPr>
          <w:rFonts w:hint="eastAsia" w:ascii="宋体" w:hAnsi="宋体" w:eastAsia="宋体" w:cs="宋体"/>
          <w:i w:val="0"/>
          <w:iCs w:val="0"/>
          <w:color w:val="auto"/>
          <w:sz w:val="21"/>
          <w:szCs w:val="21"/>
        </w:rPr>
        <w:t>（北京时间，法定节假日除外 ）</w:t>
      </w:r>
    </w:p>
    <w:p>
      <w:pPr>
        <w:pageBreakBefore w:val="0"/>
        <w:widowControl w:val="0"/>
        <w:kinsoku/>
        <w:wordWrap/>
        <w:overflowPunct/>
        <w:topLinePunct w:val="0"/>
        <w:bidi w:val="0"/>
        <w:snapToGrid/>
        <w:spacing w:line="360" w:lineRule="auto"/>
        <w:ind w:firstLine="540"/>
        <w:jc w:val="left"/>
        <w:textAlignment w:val="auto"/>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rPr>
        <w:t>地点：</w:t>
      </w:r>
      <w:r>
        <w:rPr>
          <w:rFonts w:hint="eastAsia" w:ascii="宋体" w:hAnsi="宋体" w:cs="宋体"/>
          <w:color w:val="auto"/>
          <w:sz w:val="21"/>
          <w:szCs w:val="21"/>
        </w:rPr>
        <w:t>陕西华禄恒企业管理咨询有限公司-招标部（铜川市耀州区锦阳路南段）</w:t>
      </w:r>
    </w:p>
    <w:p>
      <w:pPr>
        <w:pageBreakBefore w:val="0"/>
        <w:widowControl w:val="0"/>
        <w:kinsoku/>
        <w:wordWrap/>
        <w:overflowPunct/>
        <w:topLinePunct w:val="0"/>
        <w:bidi w:val="0"/>
        <w:snapToGrid/>
        <w:spacing w:line="360" w:lineRule="auto"/>
        <w:ind w:firstLine="540"/>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方式：</w:t>
      </w:r>
      <w:r>
        <w:rPr>
          <w:rFonts w:hint="eastAsia" w:ascii="宋体" w:hAnsi="宋体" w:eastAsia="宋体" w:cs="宋体"/>
          <w:i w:val="0"/>
          <w:iCs w:val="0"/>
          <w:color w:val="auto"/>
          <w:sz w:val="21"/>
          <w:szCs w:val="21"/>
          <w:lang w:val="en-US" w:eastAsia="zh-CN"/>
        </w:rPr>
        <w:t>1、</w:t>
      </w:r>
      <w:r>
        <w:rPr>
          <w:rFonts w:hint="eastAsia"/>
          <w:color w:val="auto"/>
          <w:sz w:val="21"/>
          <w:szCs w:val="21"/>
          <w:highlight w:val="none"/>
        </w:rPr>
        <w:t>获取文件时请携带</w:t>
      </w:r>
      <w:r>
        <w:rPr>
          <w:rFonts w:hint="eastAsia"/>
          <w:color w:val="auto"/>
          <w:sz w:val="21"/>
          <w:szCs w:val="21"/>
          <w:highlight w:val="none"/>
          <w:lang w:eastAsia="zh-CN"/>
        </w:rPr>
        <w:t>有效的</w:t>
      </w:r>
      <w:r>
        <w:rPr>
          <w:rFonts w:hint="eastAsia"/>
          <w:b/>
          <w:bCs/>
          <w:color w:val="auto"/>
          <w:sz w:val="21"/>
          <w:szCs w:val="21"/>
          <w:highlight w:val="none"/>
        </w:rPr>
        <w:t>单位介绍信</w:t>
      </w:r>
      <w:r>
        <w:rPr>
          <w:rFonts w:hint="eastAsia"/>
          <w:color w:val="auto"/>
          <w:sz w:val="21"/>
          <w:szCs w:val="21"/>
          <w:highlight w:val="none"/>
          <w:lang w:eastAsia="zh-CN"/>
        </w:rPr>
        <w:t>、</w:t>
      </w:r>
      <w:r>
        <w:rPr>
          <w:rFonts w:hint="eastAsia"/>
          <w:b/>
          <w:bCs/>
          <w:color w:val="auto"/>
          <w:sz w:val="21"/>
          <w:szCs w:val="21"/>
          <w:highlight w:val="none"/>
          <w:lang w:eastAsia="zh-CN"/>
        </w:rPr>
        <w:t>企业营业执照副本复印件加盖单位公章</w:t>
      </w:r>
      <w:r>
        <w:rPr>
          <w:rFonts w:hint="eastAsia"/>
          <w:color w:val="auto"/>
          <w:sz w:val="21"/>
          <w:szCs w:val="21"/>
          <w:highlight w:val="none"/>
          <w:lang w:eastAsia="zh-CN"/>
        </w:rPr>
        <w:t>、</w:t>
      </w:r>
      <w:r>
        <w:rPr>
          <w:rFonts w:hint="eastAsia"/>
          <w:b/>
          <w:bCs/>
          <w:color w:val="auto"/>
          <w:sz w:val="21"/>
          <w:szCs w:val="21"/>
          <w:highlight w:val="none"/>
          <w:lang w:eastAsia="zh-CN"/>
        </w:rPr>
        <w:t>经办人</w:t>
      </w:r>
      <w:r>
        <w:rPr>
          <w:rFonts w:hint="eastAsia"/>
          <w:b/>
          <w:bCs/>
          <w:color w:val="auto"/>
          <w:sz w:val="21"/>
          <w:szCs w:val="21"/>
          <w:highlight w:val="none"/>
        </w:rPr>
        <w:t>身份证原件</w:t>
      </w:r>
      <w:r>
        <w:rPr>
          <w:rFonts w:hint="eastAsia"/>
          <w:color w:val="auto"/>
          <w:sz w:val="21"/>
          <w:szCs w:val="21"/>
          <w:highlight w:val="none"/>
        </w:rPr>
        <w:t>（法定代表人直接参加的，须提供法定代表人身份证原件，并与营业执照上信息一致；被授权人参加的，须出具</w:t>
      </w:r>
      <w:r>
        <w:rPr>
          <w:rFonts w:hint="eastAsia"/>
          <w:b/>
          <w:bCs/>
          <w:color w:val="auto"/>
          <w:sz w:val="21"/>
          <w:szCs w:val="21"/>
          <w:highlight w:val="none"/>
        </w:rPr>
        <w:t>法定代表人授权书</w:t>
      </w:r>
      <w:r>
        <w:rPr>
          <w:rFonts w:hint="eastAsia"/>
          <w:b/>
          <w:bCs/>
          <w:color w:val="auto"/>
          <w:sz w:val="21"/>
          <w:szCs w:val="21"/>
          <w:highlight w:val="none"/>
          <w:lang w:eastAsia="zh-CN"/>
        </w:rPr>
        <w:t>原件</w:t>
      </w:r>
      <w:r>
        <w:rPr>
          <w:rFonts w:hint="eastAsia"/>
          <w:color w:val="auto"/>
          <w:sz w:val="21"/>
          <w:szCs w:val="21"/>
          <w:highlight w:val="none"/>
        </w:rPr>
        <w:t>、</w:t>
      </w:r>
      <w:r>
        <w:rPr>
          <w:rFonts w:hint="eastAsia"/>
          <w:b/>
          <w:bCs/>
          <w:color w:val="auto"/>
          <w:sz w:val="21"/>
          <w:szCs w:val="21"/>
          <w:highlight w:val="none"/>
        </w:rPr>
        <w:t>被授权人身份证</w:t>
      </w:r>
      <w:r>
        <w:rPr>
          <w:rFonts w:hint="eastAsia"/>
          <w:b/>
          <w:bCs/>
          <w:color w:val="auto"/>
          <w:sz w:val="21"/>
          <w:szCs w:val="21"/>
          <w:highlight w:val="none"/>
          <w:lang w:eastAsia="zh-CN"/>
        </w:rPr>
        <w:t>原件</w:t>
      </w:r>
      <w:r>
        <w:rPr>
          <w:rFonts w:hint="eastAsia"/>
          <w:color w:val="auto"/>
          <w:sz w:val="21"/>
          <w:szCs w:val="21"/>
          <w:highlight w:val="none"/>
        </w:rPr>
        <w:t>）</w:t>
      </w:r>
      <w:r>
        <w:rPr>
          <w:rFonts w:hint="eastAsia"/>
          <w:color w:val="auto"/>
          <w:sz w:val="21"/>
          <w:szCs w:val="21"/>
          <w:highlight w:val="none"/>
          <w:lang w:eastAsia="zh-CN"/>
        </w:rPr>
        <w:t>，</w:t>
      </w:r>
      <w:r>
        <w:rPr>
          <w:rFonts w:hint="eastAsia" w:ascii="宋体" w:hAnsi="宋体" w:eastAsia="宋体" w:cs="宋体"/>
          <w:i w:val="0"/>
          <w:iCs w:val="0"/>
          <w:color w:val="auto"/>
          <w:sz w:val="21"/>
          <w:szCs w:val="21"/>
          <w:lang w:eastAsia="zh-CN"/>
        </w:rPr>
        <w:t>携带资料需加盖鲜章</w:t>
      </w:r>
      <w:r>
        <w:rPr>
          <w:rFonts w:hint="eastAsia"/>
          <w:color w:val="auto"/>
          <w:sz w:val="21"/>
          <w:szCs w:val="21"/>
          <w:highlight w:val="none"/>
          <w:lang w:eastAsia="zh-CN"/>
        </w:rPr>
        <w:t>。</w:t>
      </w:r>
    </w:p>
    <w:p>
      <w:pPr>
        <w:pageBreakBefore w:val="0"/>
        <w:widowControl w:val="0"/>
        <w:kinsoku/>
        <w:wordWrap/>
        <w:overflowPunct/>
        <w:topLinePunct w:val="0"/>
        <w:bidi w:val="0"/>
        <w:snapToGrid/>
        <w:spacing w:line="360" w:lineRule="auto"/>
        <w:ind w:firstLine="540"/>
        <w:jc w:val="left"/>
        <w:textAlignment w:val="auto"/>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rPr>
        <w:t>2、请供应商按照陕西省财政厅关于政府采购供应商注册登记有关事项</w:t>
      </w:r>
      <w:r>
        <w:rPr>
          <w:rFonts w:hint="eastAsia" w:ascii="宋体" w:hAnsi="宋体" w:cs="宋体"/>
          <w:color w:val="auto"/>
          <w:sz w:val="21"/>
          <w:szCs w:val="21"/>
        </w:rPr>
        <w:t>的通知中的要求，通过陕西省政府采购网（http://www.ccgp-shaanxi.gov.cn/）注册登记加入陕西省政府采购供应商库。</w:t>
      </w:r>
    </w:p>
    <w:p>
      <w:pPr>
        <w:widowControl w:val="0"/>
        <w:spacing w:line="360" w:lineRule="auto"/>
        <w:ind w:firstLine="540"/>
        <w:rPr>
          <w:rFonts w:ascii="宋体" w:hAnsi="宋体" w:cs="宋体"/>
          <w:color w:val="auto"/>
          <w:sz w:val="21"/>
          <w:szCs w:val="21"/>
        </w:rPr>
      </w:pPr>
      <w:r>
        <w:rPr>
          <w:rFonts w:hint="eastAsia" w:ascii="宋体" w:hAnsi="宋体" w:cs="宋体"/>
          <w:color w:val="auto"/>
          <w:sz w:val="21"/>
          <w:szCs w:val="21"/>
        </w:rPr>
        <w:t>售价：免费赠送。</w:t>
      </w:r>
    </w:p>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lang w:val="en-US" w:eastAsia="zh-CN"/>
        </w:rPr>
      </w:pPr>
      <w:bookmarkStart w:id="22" w:name="_Toc35393794"/>
      <w:bookmarkStart w:id="23" w:name="_Toc35393625"/>
      <w:bookmarkStart w:id="24" w:name="_Toc28359084"/>
      <w:bookmarkStart w:id="25" w:name="_Toc28359007"/>
      <w:r>
        <w:rPr>
          <w:rFonts w:hint="eastAsia" w:ascii="宋体" w:hAnsi="宋体" w:eastAsia="宋体" w:cs="宋体"/>
          <w:b/>
          <w:bCs/>
          <w:color w:val="auto"/>
          <w:sz w:val="21"/>
          <w:szCs w:val="21"/>
          <w:highlight w:val="none"/>
          <w:lang w:val="en-US" w:eastAsia="zh-CN"/>
        </w:rPr>
        <w:t>四、投标文件递交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截止时间： </w:t>
      </w:r>
      <w:r>
        <w:rPr>
          <w:rFonts w:hint="eastAsia" w:ascii="宋体" w:hAnsi="宋体" w:cs="宋体"/>
          <w:color w:val="auto"/>
          <w:sz w:val="21"/>
          <w:szCs w:val="21"/>
          <w:highlight w:val="none"/>
          <w:lang w:val="en-US" w:eastAsia="zh-CN"/>
        </w:rPr>
        <w:t>2022年05月10日</w:t>
      </w:r>
      <w:r>
        <w:rPr>
          <w:rFonts w:hint="default" w:ascii="宋体" w:hAnsi="宋体" w:eastAsia="宋体" w:cs="宋体"/>
          <w:color w:val="auto"/>
          <w:sz w:val="21"/>
          <w:szCs w:val="21"/>
          <w:highlight w:val="non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铜川市王益区七一路79号寓园宾馆六楼会议室</w:t>
      </w:r>
    </w:p>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22"/>
      <w:bookmarkEnd w:id="23"/>
      <w:bookmarkEnd w:id="24"/>
      <w:bookmarkEnd w:id="2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rPr>
      </w:pPr>
      <w:bookmarkStart w:id="26" w:name="_Toc35393626"/>
      <w:bookmarkStart w:id="27" w:name="_Toc35393795"/>
      <w:r>
        <w:rPr>
          <w:rFonts w:hint="eastAsia" w:ascii="宋体" w:hAnsi="宋体" w:eastAsia="宋体" w:cs="宋体"/>
          <w:b/>
          <w:bCs/>
          <w:color w:val="auto"/>
          <w:sz w:val="21"/>
          <w:szCs w:val="21"/>
          <w:highlight w:val="none"/>
        </w:rPr>
        <w:t>六、其他补充事宜</w:t>
      </w:r>
      <w:bookmarkEnd w:id="26"/>
      <w:bookmarkEnd w:id="27"/>
    </w:p>
    <w:p>
      <w:pPr>
        <w:widowControl/>
        <w:spacing w:line="360" w:lineRule="auto"/>
        <w:ind w:right="-197" w:firstLine="420" w:firstLineChars="200"/>
        <w:jc w:val="left"/>
        <w:rPr>
          <w:rFonts w:hint="eastAsia" w:ascii="宋体" w:hAnsi="宋体" w:eastAsia="宋体"/>
          <w:bCs/>
          <w:color w:val="auto"/>
          <w:szCs w:val="21"/>
          <w:highlight w:val="none"/>
          <w:lang w:val="en-US" w:eastAsia="zh-CN"/>
        </w:rPr>
      </w:pPr>
      <w:bookmarkStart w:id="28" w:name="_Toc35393796"/>
      <w:bookmarkStart w:id="29" w:name="_Toc28359008"/>
      <w:bookmarkStart w:id="30" w:name="_Toc28359085"/>
      <w:bookmarkStart w:id="31" w:name="_Toc35393627"/>
      <w:r>
        <w:rPr>
          <w:rFonts w:hint="eastAsia" w:ascii="宋体" w:hAnsi="宋体"/>
          <w:bCs/>
          <w:color w:val="auto"/>
          <w:szCs w:val="21"/>
          <w:highlight w:val="none"/>
          <w:lang w:val="en-US" w:eastAsia="zh-CN"/>
        </w:rPr>
        <w:t>/</w:t>
      </w:r>
    </w:p>
    <w:bookmarkEnd w:id="28"/>
    <w:bookmarkEnd w:id="29"/>
    <w:bookmarkEnd w:id="30"/>
    <w:bookmarkEnd w:id="31"/>
    <w:p>
      <w:pPr>
        <w:pStyle w:val="4"/>
        <w:pageBreakBefore w:val="0"/>
        <w:widowControl w:val="0"/>
        <w:tabs>
          <w:tab w:val="left" w:pos="567"/>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1、采购人信息：</w:t>
      </w:r>
      <w:r>
        <w:rPr>
          <w:rFonts w:hint="eastAsia" w:ascii="宋体" w:hAnsi="宋体" w:cs="宋体"/>
          <w:color w:val="auto"/>
          <w:kern w:val="0"/>
          <w:sz w:val="21"/>
          <w:szCs w:val="21"/>
          <w:highlight w:val="none"/>
          <w:lang w:eastAsia="zh-CN"/>
        </w:rPr>
        <w:t>铜川市印台区住房和城乡建设局</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eastAsia="zh-CN"/>
        </w:rPr>
        <w:t>张先生</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联系地址：</w:t>
      </w:r>
      <w:r>
        <w:rPr>
          <w:rFonts w:hint="eastAsia" w:ascii="宋体" w:hAnsi="宋体" w:cs="宋体"/>
          <w:color w:val="auto"/>
          <w:kern w:val="0"/>
          <w:sz w:val="21"/>
          <w:szCs w:val="21"/>
          <w:highlight w:val="none"/>
          <w:lang w:eastAsia="zh-CN"/>
        </w:rPr>
        <w:t>陕西省铜川市印台区同官路80号印台区政府大院</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0919-4189051</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2、项目联系方式</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项目联系人：</w:t>
      </w:r>
      <w:r>
        <w:rPr>
          <w:rFonts w:hint="eastAsia" w:ascii="宋体" w:hAnsi="宋体" w:cs="宋体"/>
          <w:color w:val="auto"/>
          <w:kern w:val="0"/>
          <w:sz w:val="21"/>
          <w:szCs w:val="21"/>
          <w:highlight w:val="none"/>
          <w:lang w:val="en-US" w:eastAsia="zh-CN"/>
        </w:rPr>
        <w:t>武工</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 话：</w:t>
      </w:r>
      <w:r>
        <w:rPr>
          <w:rFonts w:hint="eastAsia" w:ascii="宋体" w:hAnsi="宋体" w:cs="宋体"/>
          <w:color w:val="auto"/>
          <w:kern w:val="0"/>
          <w:sz w:val="21"/>
          <w:szCs w:val="21"/>
          <w:highlight w:val="none"/>
          <w:lang w:eastAsia="zh-CN"/>
        </w:rPr>
        <w:t>13992985506</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3、采购代理机构信息</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eastAsia="zh-CN"/>
        </w:rPr>
        <w:t>陕西华禄恒企业管理咨询有限公司</w:t>
      </w:r>
    </w:p>
    <w:p>
      <w:pPr>
        <w:keepNext w:val="0"/>
        <w:keepLines w:val="0"/>
        <w:pageBreakBefore w:val="0"/>
        <w:widowControl w:val="0"/>
        <w:kinsoku/>
        <w:wordWrap/>
        <w:overflowPunct/>
        <w:topLinePunct w:val="0"/>
        <w:autoSpaceDE/>
        <w:autoSpaceDN/>
        <w:bidi w:val="0"/>
        <w:adjustRightInd/>
        <w:snapToGrid/>
        <w:spacing w:line="360" w:lineRule="auto"/>
        <w:ind w:left="493" w:firstLine="0" w:firstLineChars="0"/>
        <w:textAlignment w:val="auto"/>
        <w:rPr>
          <w:color w:val="auto"/>
          <w:highlight w:val="none"/>
        </w:rPr>
      </w:pPr>
      <w:r>
        <w:rPr>
          <w:rFonts w:hint="eastAsia" w:ascii="宋体" w:hAnsi="宋体" w:eastAsia="宋体" w:cs="宋体"/>
          <w:color w:val="auto"/>
          <w:kern w:val="0"/>
          <w:sz w:val="21"/>
          <w:szCs w:val="21"/>
          <w:highlight w:val="none"/>
        </w:rPr>
        <w:t>联系地址：铜川市耀州区耀州路南段与 210 国道交汇处向北 200 米</w:t>
      </w:r>
    </w:p>
    <w:p>
      <w:pPr>
        <w:widowControl/>
        <w:spacing w:line="360" w:lineRule="auto"/>
        <w:ind w:firstLine="840" w:firstLineChars="400"/>
        <w:jc w:val="left"/>
        <w:rPr>
          <w:rFonts w:hint="eastAsia" w:ascii="宋体" w:hAnsi="宋体" w:cs="宋体"/>
          <w:color w:val="auto"/>
          <w:szCs w:val="21"/>
          <w:highlight w:val="none"/>
        </w:rPr>
      </w:pPr>
    </w:p>
    <w:p>
      <w:pPr>
        <w:pStyle w:val="5"/>
        <w:jc w:val="center"/>
        <w:outlineLvl w:val="0"/>
        <w:rPr>
          <w:rFonts w:ascii="宋体" w:hAnsi="宋体"/>
          <w:color w:val="auto"/>
          <w:sz w:val="28"/>
          <w:szCs w:val="28"/>
          <w:highlight w:val="none"/>
        </w:rPr>
      </w:pPr>
      <w:bookmarkStart w:id="32" w:name="_Toc293999490"/>
      <w:bookmarkStart w:id="33" w:name="_Toc372193326"/>
      <w:bookmarkStart w:id="34" w:name="_Toc27048"/>
      <w:r>
        <w:rPr>
          <w:rFonts w:ascii="宋体" w:hAnsi="宋体"/>
          <w:color w:val="auto"/>
          <w:highlight w:val="none"/>
        </w:rPr>
        <w:br w:type="page"/>
      </w:r>
      <w:bookmarkStart w:id="35" w:name="_Toc14069"/>
      <w:r>
        <w:rPr>
          <w:rFonts w:ascii="宋体" w:hAnsi="宋体"/>
          <w:color w:val="auto"/>
          <w:highlight w:val="none"/>
        </w:rPr>
        <w:t xml:space="preserve">第二章  </w:t>
      </w:r>
      <w:r>
        <w:rPr>
          <w:rFonts w:hint="eastAsia" w:ascii="宋体" w:hAnsi="宋体"/>
          <w:color w:val="auto"/>
          <w:highlight w:val="none"/>
          <w:lang w:eastAsia="zh-CN"/>
        </w:rPr>
        <w:t>投标单位</w:t>
      </w:r>
      <w:r>
        <w:rPr>
          <w:rFonts w:ascii="宋体" w:hAnsi="宋体"/>
          <w:color w:val="auto"/>
          <w:highlight w:val="none"/>
        </w:rPr>
        <w:t>须知</w:t>
      </w:r>
      <w:bookmarkEnd w:id="2"/>
      <w:bookmarkEnd w:id="3"/>
      <w:bookmarkEnd w:id="4"/>
      <w:bookmarkEnd w:id="5"/>
      <w:bookmarkEnd w:id="32"/>
      <w:bookmarkEnd w:id="33"/>
      <w:bookmarkEnd w:id="34"/>
      <w:bookmarkEnd w:id="35"/>
      <w:bookmarkStart w:id="36" w:name="_Toc238899377"/>
    </w:p>
    <w:p>
      <w:pPr>
        <w:spacing w:line="360" w:lineRule="auto"/>
        <w:jc w:val="center"/>
        <w:rPr>
          <w:rFonts w:ascii="宋体" w:hAnsi="宋体"/>
          <w:b/>
          <w:color w:val="auto"/>
          <w:szCs w:val="21"/>
          <w:highlight w:val="none"/>
        </w:rPr>
      </w:pPr>
      <w:r>
        <w:rPr>
          <w:rFonts w:hint="eastAsia" w:ascii="宋体" w:hAnsi="宋体"/>
          <w:b/>
          <w:color w:val="auto"/>
          <w:szCs w:val="21"/>
          <w:highlight w:val="none"/>
          <w:lang w:eastAsia="zh-CN"/>
        </w:rPr>
        <w:t>投标单位</w:t>
      </w:r>
      <w:r>
        <w:rPr>
          <w:rFonts w:ascii="宋体" w:hAnsi="宋体"/>
          <w:b/>
          <w:color w:val="auto"/>
          <w:szCs w:val="21"/>
          <w:highlight w:val="none"/>
        </w:rPr>
        <w:t>须知前附表</w:t>
      </w:r>
    </w:p>
    <w:tbl>
      <w:tblPr>
        <w:tblStyle w:val="18"/>
        <w:tblW w:w="9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71"/>
        <w:gridCol w:w="6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71" w:type="dxa"/>
            <w:noWrap w:val="0"/>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条 款 名 称</w:t>
            </w:r>
          </w:p>
        </w:tc>
        <w:tc>
          <w:tcPr>
            <w:tcW w:w="6646" w:type="dxa"/>
            <w:noWrap w:val="0"/>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 xml:space="preserve"> 内</w:t>
            </w:r>
            <w:r>
              <w:rPr>
                <w:rFonts w:hint="eastAsia" w:ascii="宋体" w:hAnsi="宋体"/>
                <w:b/>
                <w:color w:val="auto"/>
                <w:szCs w:val="21"/>
                <w:highlight w:val="none"/>
              </w:rPr>
              <w:t xml:space="preserve">   </w:t>
            </w:r>
            <w:r>
              <w:rPr>
                <w:rFonts w:ascii="宋体" w:hAnsi="宋体"/>
                <w:b/>
                <w:color w:val="auto"/>
                <w:szCs w:val="21"/>
                <w:highlight w:val="none"/>
              </w:rPr>
              <w:t xml:space="preserve">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7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w:t>
            </w:r>
            <w:r>
              <w:rPr>
                <w:rFonts w:ascii="宋体" w:hAnsi="宋体"/>
                <w:color w:val="auto"/>
                <w:szCs w:val="21"/>
                <w:highlight w:val="none"/>
              </w:rPr>
              <w:t xml:space="preserve"> </w:t>
            </w:r>
            <w:r>
              <w:rPr>
                <w:rFonts w:hint="eastAsia" w:ascii="宋体" w:hAnsi="宋体"/>
                <w:color w:val="auto"/>
                <w:szCs w:val="21"/>
                <w:highlight w:val="none"/>
              </w:rPr>
              <w:t>购</w:t>
            </w:r>
            <w:r>
              <w:rPr>
                <w:rFonts w:ascii="宋体" w:hAnsi="宋体"/>
                <w:color w:val="auto"/>
                <w:szCs w:val="21"/>
                <w:highlight w:val="none"/>
              </w:rPr>
              <w:t xml:space="preserve"> 人</w:t>
            </w:r>
          </w:p>
        </w:tc>
        <w:tc>
          <w:tcPr>
            <w:tcW w:w="6646" w:type="dxa"/>
            <w:noWrap w:val="0"/>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铜川市印台区住房和城乡建设局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监督单位</w:t>
            </w:r>
          </w:p>
        </w:tc>
        <w:tc>
          <w:tcPr>
            <w:tcW w:w="6646" w:type="dxa"/>
            <w:noWrap w:val="0"/>
            <w:vAlign w:val="center"/>
          </w:tcPr>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铜川市印台区</w:t>
            </w:r>
            <w:r>
              <w:rPr>
                <w:rFonts w:hint="eastAsia" w:ascii="宋体" w:hAnsi="宋体"/>
                <w:color w:val="auto"/>
                <w:szCs w:val="21"/>
                <w:highlight w:val="none"/>
              </w:rPr>
              <w:t>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采购代理机构</w:t>
            </w:r>
          </w:p>
        </w:tc>
        <w:tc>
          <w:tcPr>
            <w:tcW w:w="6646" w:type="dxa"/>
            <w:noWrap w:val="0"/>
            <w:vAlign w:val="center"/>
          </w:tcPr>
          <w:p>
            <w:pPr>
              <w:spacing w:line="360" w:lineRule="auto"/>
              <w:rPr>
                <w:rFonts w:hint="eastAsia" w:ascii="宋体" w:hAnsi="宋体" w:eastAsia="宋体"/>
                <w:color w:val="auto"/>
                <w:szCs w:val="21"/>
                <w:highlight w:val="none"/>
                <w:lang w:eastAsia="zh-CN"/>
              </w:rPr>
            </w:pPr>
            <w:r>
              <w:rPr>
                <w:rFonts w:ascii="宋体" w:hAnsi="宋体"/>
                <w:color w:val="auto"/>
                <w:szCs w:val="21"/>
                <w:highlight w:val="none"/>
              </w:rPr>
              <w:t>名  称：</w:t>
            </w:r>
            <w:r>
              <w:rPr>
                <w:rFonts w:hint="eastAsia" w:ascii="宋体" w:hAnsi="宋体"/>
                <w:color w:val="auto"/>
                <w:szCs w:val="21"/>
                <w:highlight w:val="none"/>
                <w:lang w:eastAsia="zh-CN"/>
              </w:rPr>
              <w:t>陕西华禄恒企业管理咨询有限公司</w:t>
            </w:r>
          </w:p>
          <w:p>
            <w:pPr>
              <w:spacing w:line="360" w:lineRule="auto"/>
              <w:rPr>
                <w:rFonts w:hint="eastAsia" w:ascii="宋体" w:hAnsi="宋体" w:eastAsia="宋体"/>
                <w:color w:val="auto"/>
                <w:szCs w:val="21"/>
                <w:highlight w:val="none"/>
                <w:lang w:eastAsia="zh-CN"/>
              </w:rPr>
            </w:pPr>
            <w:r>
              <w:rPr>
                <w:rFonts w:ascii="宋体" w:hAnsi="宋体"/>
                <w:color w:val="auto"/>
                <w:szCs w:val="21"/>
                <w:highlight w:val="none"/>
              </w:rPr>
              <w:t>地  址：</w:t>
            </w:r>
            <w:r>
              <w:rPr>
                <w:rFonts w:hint="eastAsia" w:ascii="宋体" w:hAnsi="宋体"/>
                <w:color w:val="auto"/>
                <w:szCs w:val="21"/>
                <w:highlight w:val="none"/>
                <w:lang w:eastAsia="zh-CN"/>
              </w:rPr>
              <w:t>铜川市耀州区耀州路南段与 210 国道交汇处向北 200 米</w:t>
            </w:r>
          </w:p>
          <w:p>
            <w:pPr>
              <w:spacing w:line="360" w:lineRule="auto"/>
              <w:rPr>
                <w:rFonts w:hint="eastAsia"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lang w:val="en-US" w:eastAsia="zh-CN"/>
              </w:rPr>
              <w:t>武工</w:t>
            </w:r>
            <w:r>
              <w:rPr>
                <w:rFonts w:hint="eastAsia" w:ascii="宋体" w:hAnsi="宋体"/>
                <w:color w:val="auto"/>
                <w:szCs w:val="21"/>
                <w:highlight w:val="none"/>
              </w:rPr>
              <w:t xml:space="preserve"> </w:t>
            </w:r>
          </w:p>
          <w:p>
            <w:pPr>
              <w:spacing w:line="360" w:lineRule="auto"/>
              <w:rPr>
                <w:rFonts w:hint="eastAsia" w:ascii="宋体" w:hAnsi="宋体" w:eastAsia="宋体"/>
                <w:color w:val="auto"/>
                <w:szCs w:val="21"/>
                <w:highlight w:val="none"/>
                <w:lang w:eastAsia="zh-CN"/>
              </w:rPr>
            </w:pPr>
            <w:r>
              <w:rPr>
                <w:rFonts w:ascii="宋体" w:hAnsi="宋体"/>
                <w:color w:val="auto"/>
                <w:szCs w:val="21"/>
                <w:highlight w:val="none"/>
              </w:rPr>
              <w:t>电  话：</w:t>
            </w:r>
            <w:r>
              <w:rPr>
                <w:rFonts w:hint="eastAsia" w:ascii="宋体" w:hAnsi="宋体"/>
                <w:color w:val="auto"/>
                <w:szCs w:val="21"/>
                <w:highlight w:val="none"/>
                <w:lang w:eastAsia="zh-CN"/>
              </w:rPr>
              <w:t>13992985506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项目名称</w:t>
            </w:r>
          </w:p>
        </w:tc>
        <w:tc>
          <w:tcPr>
            <w:tcW w:w="6646"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印台区矿区生活污水处理厂一体化智能污水处理设备采购项目</w:t>
            </w:r>
            <w:r>
              <w:rPr>
                <w:rFonts w:hint="eastAsia" w:ascii="宋体" w:hAnsi="宋体"/>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77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采购内容</w:t>
            </w:r>
          </w:p>
        </w:tc>
        <w:tc>
          <w:tcPr>
            <w:tcW w:w="6646" w:type="dxa"/>
            <w:noWrap w:val="0"/>
            <w:vAlign w:val="center"/>
          </w:tcPr>
          <w:p>
            <w:pPr>
              <w:spacing w:line="360" w:lineRule="auto"/>
              <w:rPr>
                <w:rFonts w:hint="eastAsia" w:ascii="宋体" w:hAnsi="宋体"/>
                <w:color w:val="auto"/>
                <w:szCs w:val="21"/>
                <w:highlight w:val="none"/>
              </w:rPr>
            </w:pPr>
            <w:r>
              <w:rPr>
                <w:rFonts w:hint="eastAsia" w:ascii="宋体" w:hAnsi="宋体" w:eastAsia="宋体" w:cs="宋体"/>
                <w:color w:val="auto"/>
                <w:sz w:val="21"/>
                <w:szCs w:val="21"/>
                <w:highlight w:val="none"/>
                <w:lang w:eastAsia="zh-CN"/>
              </w:rPr>
              <w:t>东坡煤矿生活污水处理厂、徐家沟煤矿生活污水处理厂和王石凹煤矿生活污水处理厂需采购四套一体化设备，以形成解决冬季处理水量远低于设计进水量和进水浓度超出设计范围问题的长效机制。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77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项目预算</w:t>
            </w:r>
          </w:p>
        </w:tc>
        <w:tc>
          <w:tcPr>
            <w:tcW w:w="6646" w:type="dxa"/>
            <w:noWrap w:val="0"/>
            <w:vAlign w:val="center"/>
          </w:tcPr>
          <w:p>
            <w:pPr>
              <w:widowControl/>
              <w:spacing w:line="360" w:lineRule="auto"/>
              <w:jc w:val="both"/>
              <w:rPr>
                <w:rFonts w:hint="eastAsia" w:ascii="宋体" w:hAnsi="宋体"/>
                <w:b/>
                <w:color w:val="auto"/>
                <w:szCs w:val="21"/>
                <w:highlight w:val="none"/>
              </w:rPr>
            </w:pPr>
            <w:r>
              <w:rPr>
                <w:rFonts w:hint="eastAsia" w:ascii="宋体" w:hAnsi="宋体" w:cs="宋体"/>
                <w:color w:val="auto"/>
                <w:sz w:val="21"/>
                <w:szCs w:val="21"/>
                <w:highlight w:val="none"/>
                <w:lang w:eastAsia="zh-CN"/>
              </w:rPr>
              <w:t>188.5万元</w:t>
            </w:r>
            <w:r>
              <w:rPr>
                <w:rFonts w:hint="eastAsia" w:ascii="宋体" w:hAnsi="宋体"/>
                <w:color w:val="auto"/>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771" w:type="dxa"/>
            <w:noWrap w:val="0"/>
            <w:vAlign w:val="center"/>
          </w:tcPr>
          <w:p>
            <w:pPr>
              <w:spacing w:line="360" w:lineRule="auto"/>
              <w:jc w:val="center"/>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最高限价</w:t>
            </w:r>
          </w:p>
        </w:tc>
        <w:tc>
          <w:tcPr>
            <w:tcW w:w="6646" w:type="dxa"/>
            <w:noWrap w:val="0"/>
            <w:vAlign w:val="center"/>
          </w:tcPr>
          <w:p>
            <w:pPr>
              <w:widowControl/>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188.5万元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供货地点</w:t>
            </w:r>
          </w:p>
        </w:tc>
        <w:tc>
          <w:tcPr>
            <w:tcW w:w="6646"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p>
        </w:tc>
        <w:tc>
          <w:tcPr>
            <w:tcW w:w="1771" w:type="dxa"/>
            <w:noWrap w:val="0"/>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工期</w:t>
            </w:r>
          </w:p>
        </w:tc>
        <w:tc>
          <w:tcPr>
            <w:tcW w:w="6646" w:type="dxa"/>
            <w:noWrap w:val="0"/>
            <w:vAlign w:val="center"/>
          </w:tcPr>
          <w:p>
            <w:pPr>
              <w:spacing w:line="360" w:lineRule="auto"/>
              <w:rPr>
                <w:rFonts w:hint="default" w:eastAsia="宋体"/>
                <w:color w:val="auto"/>
                <w:highlight w:val="none"/>
                <w:u w:val="single"/>
                <w:lang w:val="en-US" w:eastAsia="zh-CN"/>
              </w:rPr>
            </w:pPr>
            <w:r>
              <w:rPr>
                <w:rFonts w:hint="eastAsia"/>
                <w:color w:val="auto"/>
                <w:highlight w:val="none"/>
                <w:u w:val="none"/>
                <w:lang w:val="en-US" w:eastAsia="zh-CN"/>
              </w:rPr>
              <w:t>10</w:t>
            </w:r>
            <w:r>
              <w:rPr>
                <w:rFonts w:hint="eastAsia" w:eastAsia="宋体"/>
                <w:color w:val="auto"/>
                <w:highlight w:val="none"/>
                <w:u w:val="none"/>
                <w:lang w:val="en-US" w:eastAsia="zh-CN"/>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9.1</w:t>
            </w:r>
          </w:p>
        </w:tc>
        <w:tc>
          <w:tcPr>
            <w:tcW w:w="1771" w:type="dxa"/>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质保期</w:t>
            </w:r>
          </w:p>
        </w:tc>
        <w:tc>
          <w:tcPr>
            <w:tcW w:w="6646" w:type="dxa"/>
            <w:noWrap w:val="0"/>
            <w:vAlign w:val="center"/>
          </w:tcPr>
          <w:p>
            <w:pPr>
              <w:spacing w:line="360" w:lineRule="auto"/>
              <w:rPr>
                <w:rFonts w:hint="default"/>
                <w:color w:val="auto"/>
                <w:highlight w:val="none"/>
                <w:u w:val="none"/>
                <w:lang w:val="en-US" w:eastAsia="zh-CN"/>
              </w:rPr>
            </w:pPr>
            <w:r>
              <w:rPr>
                <w:rFonts w:hint="eastAsia"/>
                <w:color w:val="auto"/>
                <w:highlight w:val="none"/>
                <w:u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0" w:type="dxa"/>
            <w:noWrap w:val="0"/>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1771" w:type="dxa"/>
            <w:noWrap w:val="0"/>
            <w:vAlign w:val="center"/>
          </w:tcPr>
          <w:p>
            <w:pPr>
              <w:spacing w:line="360" w:lineRule="auto"/>
              <w:jc w:val="center"/>
              <w:rPr>
                <w:rFonts w:hint="eastAsia"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标准</w:t>
            </w:r>
          </w:p>
        </w:tc>
        <w:tc>
          <w:tcPr>
            <w:tcW w:w="6646"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11</w:t>
            </w:r>
          </w:p>
        </w:tc>
        <w:tc>
          <w:tcPr>
            <w:tcW w:w="177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资</w:t>
            </w:r>
            <w:r>
              <w:rPr>
                <w:rFonts w:hint="eastAsia" w:ascii="宋体" w:hAnsi="宋体"/>
                <w:color w:val="auto"/>
                <w:szCs w:val="21"/>
                <w:highlight w:val="none"/>
              </w:rPr>
              <w:t>格要求</w:t>
            </w:r>
          </w:p>
        </w:tc>
        <w:tc>
          <w:tcPr>
            <w:tcW w:w="6646" w:type="dxa"/>
            <w:noWrap w:val="0"/>
            <w:vAlign w:val="center"/>
          </w:tcPr>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（1）具有独立承担民事责任能力的法人、其他组织或自然人，并出具合法有效的营业执照或事业单位法人证书等国家规定的相关证明，自然人参与的提供其身份证明。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（2）财务状况报告：提供2020年度</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 xml:space="preserve">年度的财务审计报告（成立时间至提交响应文件截止时间不足一年的可提供成立后任意时段的资产负债表），或其基本存款账户开户银行出具的资信证明。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（3）税收缴纳证明：提供2021年6月至今已缴纳的至少一个月的纳税证明或完税证明，依法免税的单位应提供相关证明材料。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（4）社会保障资金缴纳证明：提供2021年6月至今已缴存的至少一个月的社会保障资金缴存单据或社保机构开具的社会保险参保缴费情况证明，依法不需要缴纳社会保障资金的单位应提供相关证明材料。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（5）提供具有履行合同所必需的设备和专业技术能力的承诺函。</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（6）书面声明：参加本次政府采购活动前三年内在经营活动中没有重大违纪，以及未被列入失信被执行人、重大税收违法案件当事人名单、政府采购严重违法失信行为记录名单的书面声明。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应授权合法的人员参加投标全过程，其中法定代表人直接投标，须提交法定代表人身份证明；授权代表参加投标的，须出具法定代表授权委托书及授权代表身份证；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投标单位</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市政公用工程施工总</w:t>
            </w:r>
            <w:r>
              <w:rPr>
                <w:rFonts w:hint="eastAsia" w:ascii="宋体" w:hAnsi="宋体" w:eastAsia="宋体" w:cs="宋体"/>
                <w:color w:val="auto"/>
                <w:sz w:val="21"/>
                <w:szCs w:val="21"/>
                <w:highlight w:val="none"/>
              </w:rPr>
              <w:t>承包三级及以上资质和有效的安全生产许可证；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（9）拟派项目经理</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具备市政公用工程二级及以上注册建造师，有效的安全生产考核合格证书（建安B证）；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截止至投标文件递交截止时间之前，投标人不得被列入“中国执行信息公开网 （http://zxgk.court.gov.cn/shixin）”失信被执行人名单、“信用中国(www.creditchina.gov.cn)”重大税收违法案件当事人名单，不得被列入“中国政府采购网(www.ccgp.gov.cn)” 政府采购严重违法失信行为记录名单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以相关网站截图查询结果为准；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（11）本项目不接受联合体投标。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12</w:t>
            </w:r>
          </w:p>
        </w:tc>
        <w:tc>
          <w:tcPr>
            <w:tcW w:w="17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采购方式</w:t>
            </w:r>
          </w:p>
        </w:tc>
        <w:tc>
          <w:tcPr>
            <w:tcW w:w="6646"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00" w:type="dxa"/>
            <w:noWrap w:val="0"/>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13</w:t>
            </w:r>
          </w:p>
        </w:tc>
        <w:tc>
          <w:tcPr>
            <w:tcW w:w="177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澄清与答疑</w:t>
            </w:r>
          </w:p>
        </w:tc>
        <w:tc>
          <w:tcPr>
            <w:tcW w:w="664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lang w:eastAsia="zh-CN"/>
              </w:rPr>
              <w:t>已领取本招标文件的投标人对本招标文件有疑问需要招标人或采购代理机构回复的各投标人应在投标截止时间前15天前，向采购代理机构指定邮箱提交全部的word版电子文件以及加盖公章的扫描件，并电话通知。发送至采购代理机构邮箱的书面答疑问题如缺少材料或逾期提交的，采购代理机构将不予接收且不予进行回复。指定邮箱为：365644106@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1771" w:type="dxa"/>
            <w:noWrap w:val="0"/>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人书面澄清的时间</w:t>
            </w:r>
          </w:p>
        </w:tc>
        <w:tc>
          <w:tcPr>
            <w:tcW w:w="6646"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投标截止时间15日前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15</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投标截止时间</w:t>
            </w:r>
          </w:p>
        </w:tc>
        <w:tc>
          <w:tcPr>
            <w:tcW w:w="6646"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2022年05月10日14时30分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16</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投标有效期</w:t>
            </w:r>
          </w:p>
        </w:tc>
        <w:tc>
          <w:tcPr>
            <w:tcW w:w="6646" w:type="dxa"/>
            <w:noWrap w:val="0"/>
            <w:vAlign w:val="center"/>
          </w:tcPr>
          <w:p>
            <w:pPr>
              <w:spacing w:line="360" w:lineRule="auto"/>
              <w:rPr>
                <w:rFonts w:hint="eastAsia" w:ascii="宋体" w:hAnsi="宋体"/>
                <w:color w:val="auto"/>
                <w:szCs w:val="21"/>
                <w:highlight w:val="none"/>
              </w:rPr>
            </w:pPr>
            <w:r>
              <w:rPr>
                <w:rFonts w:ascii="宋体" w:hAnsi="宋体"/>
                <w:color w:val="auto"/>
                <w:szCs w:val="21"/>
                <w:highlight w:val="none"/>
              </w:rPr>
              <w:t>投标截止时间后</w:t>
            </w:r>
            <w:r>
              <w:rPr>
                <w:rFonts w:hint="eastAsia" w:ascii="宋体" w:hAnsi="宋体"/>
                <w:color w:val="auto"/>
                <w:szCs w:val="21"/>
                <w:highlight w:val="none"/>
              </w:rPr>
              <w:t>90</w:t>
            </w:r>
            <w:r>
              <w:rPr>
                <w:rFonts w:ascii="宋体" w:hAnsi="宋体"/>
                <w:color w:val="auto"/>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17</w:t>
            </w:r>
          </w:p>
        </w:tc>
        <w:tc>
          <w:tcPr>
            <w:tcW w:w="1771" w:type="dxa"/>
            <w:noWrap w:val="0"/>
            <w:vAlign w:val="center"/>
          </w:tcPr>
          <w:p>
            <w:pPr>
              <w:spacing w:line="240" w:lineRule="auto"/>
              <w:jc w:val="center"/>
              <w:rPr>
                <w:rFonts w:ascii="宋体" w:hAnsi="宋体"/>
                <w:color w:val="auto"/>
                <w:szCs w:val="21"/>
                <w:highlight w:val="none"/>
              </w:rPr>
            </w:pPr>
            <w:r>
              <w:rPr>
                <w:rFonts w:ascii="宋体" w:hAnsi="宋体"/>
                <w:color w:val="auto"/>
                <w:szCs w:val="21"/>
                <w:highlight w:val="none"/>
              </w:rPr>
              <w:t>是否允许递交备选投标方案</w:t>
            </w:r>
          </w:p>
        </w:tc>
        <w:tc>
          <w:tcPr>
            <w:tcW w:w="6646"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18</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签字</w:t>
            </w:r>
            <w:r>
              <w:rPr>
                <w:rFonts w:hint="eastAsia" w:ascii="宋体" w:hAnsi="宋体"/>
                <w:color w:val="auto"/>
                <w:szCs w:val="21"/>
                <w:highlight w:val="none"/>
              </w:rPr>
              <w:t>或</w:t>
            </w:r>
            <w:r>
              <w:rPr>
                <w:rFonts w:ascii="宋体" w:hAnsi="宋体"/>
                <w:color w:val="auto"/>
                <w:szCs w:val="21"/>
                <w:highlight w:val="none"/>
              </w:rPr>
              <w:t>盖章要求</w:t>
            </w:r>
          </w:p>
        </w:tc>
        <w:tc>
          <w:tcPr>
            <w:tcW w:w="6646"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正、副本</w:t>
            </w:r>
            <w:r>
              <w:rPr>
                <w:rFonts w:ascii="宋体" w:hAnsi="宋体"/>
                <w:color w:val="auto"/>
                <w:szCs w:val="21"/>
                <w:highlight w:val="none"/>
              </w:rPr>
              <w:t>封面、投标函等应均加盖</w:t>
            </w:r>
            <w:r>
              <w:rPr>
                <w:rFonts w:hint="eastAsia" w:ascii="宋体" w:hAnsi="宋体"/>
                <w:color w:val="auto"/>
                <w:szCs w:val="21"/>
                <w:highlight w:val="none"/>
                <w:lang w:eastAsia="zh-CN"/>
              </w:rPr>
              <w:t>投标单位</w:t>
            </w:r>
            <w:r>
              <w:rPr>
                <w:rFonts w:ascii="宋体" w:hAnsi="宋体"/>
                <w:color w:val="auto"/>
                <w:szCs w:val="21"/>
                <w:highlight w:val="none"/>
              </w:rPr>
              <w:t>印章并经法定代表人或其委托代理人</w:t>
            </w:r>
            <w:r>
              <w:rPr>
                <w:rFonts w:hint="eastAsia" w:ascii="宋体" w:hAnsi="宋体"/>
                <w:color w:val="auto"/>
                <w:szCs w:val="21"/>
                <w:highlight w:val="none"/>
              </w:rPr>
              <w:t>签字或盖章</w:t>
            </w:r>
            <w:r>
              <w:rPr>
                <w:rFonts w:ascii="宋体" w:hAnsi="宋体"/>
                <w:color w:val="auto"/>
                <w:szCs w:val="21"/>
                <w:highlight w:val="none"/>
              </w:rPr>
              <w:t>。由委托代理人签字</w:t>
            </w:r>
            <w:r>
              <w:rPr>
                <w:rFonts w:hint="eastAsia" w:ascii="宋体" w:hAnsi="宋体"/>
                <w:color w:val="auto"/>
                <w:szCs w:val="21"/>
                <w:highlight w:val="none"/>
              </w:rPr>
              <w:t>或盖章</w:t>
            </w:r>
            <w:r>
              <w:rPr>
                <w:rFonts w:ascii="宋体" w:hAnsi="宋体"/>
                <w:color w:val="auto"/>
                <w:szCs w:val="21"/>
                <w:highlight w:val="none"/>
              </w:rPr>
              <w:t>的在投标文件中须同时提交投标文件签署授权委托书。除</w:t>
            </w:r>
            <w:r>
              <w:rPr>
                <w:rFonts w:hint="eastAsia" w:ascii="宋体" w:hAnsi="宋体"/>
                <w:color w:val="auto"/>
                <w:szCs w:val="21"/>
                <w:highlight w:val="none"/>
                <w:lang w:eastAsia="zh-CN"/>
              </w:rPr>
              <w:t>投标单位</w:t>
            </w:r>
            <w:r>
              <w:rPr>
                <w:rFonts w:ascii="宋体" w:hAnsi="宋体"/>
                <w:color w:val="auto"/>
                <w:szCs w:val="21"/>
                <w:highlight w:val="none"/>
              </w:rPr>
              <w:t>对错误处须修改外，全套投标文件应无涂改或行间插字和增删。如有修改，修改处应由</w:t>
            </w:r>
            <w:r>
              <w:rPr>
                <w:rFonts w:hint="eastAsia" w:ascii="宋体" w:hAnsi="宋体"/>
                <w:color w:val="auto"/>
                <w:szCs w:val="21"/>
                <w:highlight w:val="none"/>
                <w:lang w:eastAsia="zh-CN"/>
              </w:rPr>
              <w:t>投标单位</w:t>
            </w:r>
            <w:r>
              <w:rPr>
                <w:rFonts w:ascii="宋体" w:hAnsi="宋体"/>
                <w:color w:val="auto"/>
                <w:szCs w:val="21"/>
                <w:highlight w:val="none"/>
              </w:rPr>
              <w:t>加盖</w:t>
            </w:r>
            <w:r>
              <w:rPr>
                <w:rFonts w:hint="eastAsia" w:ascii="宋体" w:hAnsi="宋体"/>
                <w:color w:val="auto"/>
                <w:szCs w:val="21"/>
                <w:highlight w:val="none"/>
                <w:lang w:eastAsia="zh-CN"/>
              </w:rPr>
              <w:t>投标单位</w:t>
            </w:r>
            <w:r>
              <w:rPr>
                <w:rFonts w:ascii="宋体" w:hAnsi="宋体"/>
                <w:color w:val="auto"/>
                <w:szCs w:val="21"/>
                <w:highlight w:val="none"/>
              </w:rPr>
              <w:t>的印章或由投标文件签字人</w:t>
            </w:r>
            <w:r>
              <w:rPr>
                <w:rFonts w:hint="eastAsia" w:ascii="宋体" w:hAnsi="宋体"/>
                <w:color w:val="auto"/>
                <w:szCs w:val="21"/>
                <w:highlight w:val="none"/>
              </w:rPr>
              <w:t>签字或盖章</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19</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投标文件</w:t>
            </w:r>
          </w:p>
        </w:tc>
        <w:tc>
          <w:tcPr>
            <w:tcW w:w="6646"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1、正本1份，</w:t>
            </w:r>
            <w:r>
              <w:rPr>
                <w:rFonts w:ascii="宋体" w:hAnsi="宋体"/>
                <w:color w:val="auto"/>
                <w:szCs w:val="21"/>
                <w:highlight w:val="none"/>
              </w:rPr>
              <w:t>副本</w:t>
            </w:r>
            <w:r>
              <w:rPr>
                <w:rFonts w:hint="eastAsia" w:ascii="宋体" w:hAnsi="宋体"/>
                <w:color w:val="auto"/>
                <w:szCs w:val="21"/>
                <w:highlight w:val="none"/>
                <w:lang w:val="en-US" w:eastAsia="zh-CN"/>
              </w:rPr>
              <w:t>2</w:t>
            </w:r>
            <w:r>
              <w:rPr>
                <w:rFonts w:ascii="宋体" w:hAnsi="宋体"/>
                <w:color w:val="auto"/>
                <w:szCs w:val="21"/>
                <w:highlight w:val="none"/>
              </w:rPr>
              <w:t>份</w:t>
            </w:r>
            <w:r>
              <w:rPr>
                <w:rFonts w:hint="eastAsia" w:ascii="宋体" w:hAnsi="宋体" w:cs="仿宋_GB2312"/>
                <w:color w:val="auto"/>
                <w:kern w:val="0"/>
                <w:szCs w:val="21"/>
                <w:highlight w:val="none"/>
              </w:rPr>
              <w:t>和</w:t>
            </w:r>
            <w:r>
              <w:rPr>
                <w:rFonts w:hint="eastAsia" w:ascii="宋体" w:hAnsi="宋体" w:cs="仿宋_GB2312"/>
                <w:color w:val="auto"/>
                <w:kern w:val="0"/>
                <w:szCs w:val="21"/>
                <w:highlight w:val="none"/>
                <w:lang w:val="en-US" w:eastAsia="zh-CN"/>
              </w:rPr>
              <w:t>1份</w:t>
            </w:r>
            <w:r>
              <w:rPr>
                <w:rFonts w:hint="eastAsia" w:ascii="宋体" w:hAnsi="宋体" w:cs="仿宋_GB2312"/>
                <w:color w:val="auto"/>
                <w:kern w:val="0"/>
                <w:szCs w:val="21"/>
                <w:highlight w:val="none"/>
              </w:rPr>
              <w:t>电子标书（</w:t>
            </w:r>
            <w:r>
              <w:rPr>
                <w:rFonts w:hint="eastAsia" w:ascii="宋体" w:hAnsi="宋体" w:cs="仿宋_GB2312"/>
                <w:color w:val="auto"/>
                <w:kern w:val="0"/>
                <w:szCs w:val="21"/>
                <w:highlight w:val="none"/>
                <w:lang w:val="en-US" w:eastAsia="zh-CN"/>
              </w:rPr>
              <w:t>U盘，放于正本内</w:t>
            </w:r>
            <w:r>
              <w:rPr>
                <w:rFonts w:hint="eastAsia" w:ascii="宋体" w:hAnsi="宋体" w:cs="仿宋_GB2312"/>
                <w:color w:val="auto"/>
                <w:kern w:val="0"/>
                <w:szCs w:val="21"/>
                <w:highlight w:val="none"/>
              </w:rPr>
              <w:t>）</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装订要求：胶装，不允许活页装订</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r>
              <w:rPr>
                <w:rFonts w:hint="eastAsia" w:ascii="宋体" w:hAnsi="宋体"/>
                <w:color w:val="auto"/>
                <w:szCs w:val="21"/>
                <w:highlight w:val="none"/>
              </w:rPr>
              <w:t>3、</w:t>
            </w:r>
            <w:r>
              <w:rPr>
                <w:rFonts w:ascii="宋体" w:hAnsi="宋体"/>
                <w:bCs/>
                <w:color w:val="auto"/>
                <w:szCs w:val="21"/>
                <w:highlight w:val="none"/>
              </w:rPr>
              <w:t>分别在外包装上清楚标明“正本”、“副本”字样</w:t>
            </w:r>
            <w:r>
              <w:rPr>
                <w:rFonts w:hint="eastAsia" w:ascii="宋体" w:hAnsi="宋体"/>
                <w:bCs/>
                <w:color w:val="auto"/>
                <w:szCs w:val="21"/>
                <w:highlight w:val="none"/>
              </w:rPr>
              <w:t>；</w:t>
            </w:r>
          </w:p>
          <w:p>
            <w:pPr>
              <w:spacing w:line="360" w:lineRule="auto"/>
              <w:rPr>
                <w:rFonts w:hint="eastAsia" w:ascii="宋体" w:hAnsi="宋体"/>
                <w:color w:val="auto"/>
                <w:szCs w:val="21"/>
                <w:highlight w:val="none"/>
              </w:rPr>
            </w:pPr>
            <w:r>
              <w:rPr>
                <w:rFonts w:hint="eastAsia" w:ascii="宋体" w:hAnsi="宋体"/>
                <w:color w:val="auto"/>
                <w:szCs w:val="21"/>
                <w:highlight w:val="none"/>
              </w:rPr>
              <w:t>4、无论成交与否，</w:t>
            </w:r>
            <w:r>
              <w:rPr>
                <w:rFonts w:hint="eastAsia" w:ascii="宋体" w:hAnsi="宋体"/>
                <w:bCs/>
                <w:color w:val="auto"/>
                <w:szCs w:val="21"/>
                <w:highlight w:val="none"/>
              </w:rPr>
              <w:t>所有文件递交后一律不予退还。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20</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密封袋封套上</w:t>
            </w:r>
          </w:p>
          <w:p>
            <w:pPr>
              <w:spacing w:line="360" w:lineRule="auto"/>
              <w:jc w:val="center"/>
              <w:rPr>
                <w:rFonts w:ascii="宋体" w:hAnsi="宋体"/>
                <w:color w:val="auto"/>
                <w:szCs w:val="21"/>
                <w:highlight w:val="none"/>
              </w:rPr>
            </w:pPr>
            <w:r>
              <w:rPr>
                <w:rFonts w:ascii="宋体" w:hAnsi="宋体"/>
                <w:color w:val="auto"/>
                <w:szCs w:val="21"/>
                <w:highlight w:val="none"/>
              </w:rPr>
              <w:t>写明</w:t>
            </w:r>
          </w:p>
        </w:tc>
        <w:tc>
          <w:tcPr>
            <w:tcW w:w="6646" w:type="dxa"/>
            <w:noWrap w:val="0"/>
            <w:vAlign w:val="center"/>
          </w:tcPr>
          <w:p>
            <w:pPr>
              <w:spacing w:line="360" w:lineRule="auto"/>
              <w:jc w:val="right"/>
              <w:rPr>
                <w:rFonts w:ascii="宋体" w:hAnsi="宋体"/>
                <w:color w:val="auto"/>
                <w:szCs w:val="21"/>
                <w:highlight w:val="none"/>
              </w:rPr>
            </w:pPr>
            <w:r>
              <w:rPr>
                <w:rFonts w:ascii="宋体" w:hAnsi="宋体"/>
                <w:color w:val="auto"/>
                <w:szCs w:val="21"/>
                <w:highlight w:val="none"/>
              </w:rPr>
              <w:t>正本/副本</w:t>
            </w:r>
          </w:p>
          <w:p>
            <w:pPr>
              <w:spacing w:line="360" w:lineRule="auto"/>
              <w:ind w:left="0" w:leftChars="0" w:right="0" w:rightChars="0" w:firstLine="0" w:firstLineChars="0"/>
              <w:jc w:val="center"/>
              <w:rPr>
                <w:rFonts w:hint="eastAsia" w:ascii="宋体" w:hAnsi="宋体"/>
                <w:color w:val="auto"/>
                <w:szCs w:val="21"/>
                <w:highlight w:val="none"/>
              </w:rPr>
            </w:pPr>
            <w:r>
              <w:rPr>
                <w:rFonts w:ascii="宋体" w:hAnsi="宋体"/>
                <w:color w:val="auto"/>
                <w:szCs w:val="21"/>
                <w:highlight w:val="none"/>
              </w:rPr>
              <w:t>（项目名称）</w:t>
            </w:r>
          </w:p>
          <w:p>
            <w:pPr>
              <w:spacing w:line="360" w:lineRule="auto"/>
              <w:ind w:left="0" w:leftChars="0" w:right="0" w:rightChars="0" w:firstLine="0" w:firstLineChars="0"/>
              <w:jc w:val="center"/>
              <w:rPr>
                <w:rFonts w:hint="eastAsia" w:ascii="宋体" w:hAnsi="宋体"/>
                <w:color w:val="auto"/>
                <w:szCs w:val="21"/>
                <w:highlight w:val="none"/>
              </w:rPr>
            </w:pPr>
            <w:r>
              <w:rPr>
                <w:rFonts w:ascii="宋体" w:hAnsi="宋体"/>
                <w:color w:val="auto"/>
                <w:szCs w:val="21"/>
                <w:highlight w:val="none"/>
              </w:rPr>
              <w:t>（项目</w:t>
            </w:r>
            <w:r>
              <w:rPr>
                <w:rFonts w:hint="eastAsia" w:ascii="宋体" w:hAnsi="宋体"/>
                <w:color w:val="auto"/>
                <w:szCs w:val="21"/>
                <w:highlight w:val="none"/>
              </w:rPr>
              <w:t>编号</w:t>
            </w:r>
            <w:r>
              <w:rPr>
                <w:rFonts w:ascii="宋体" w:hAnsi="宋体"/>
                <w:color w:val="auto"/>
                <w:szCs w:val="21"/>
                <w:highlight w:val="none"/>
              </w:rPr>
              <w:t>）</w:t>
            </w:r>
          </w:p>
          <w:p>
            <w:pPr>
              <w:spacing w:line="360" w:lineRule="auto"/>
              <w:ind w:left="0" w:leftChars="0" w:right="0" w:rightChars="0" w:firstLine="0" w:firstLineChars="0"/>
              <w:jc w:val="center"/>
              <w:rPr>
                <w:rFonts w:hint="eastAsia" w:ascii="宋体" w:hAnsi="宋体"/>
                <w:color w:val="auto"/>
                <w:szCs w:val="21"/>
                <w:highlight w:val="none"/>
              </w:rPr>
            </w:pPr>
            <w:r>
              <w:rPr>
                <w:rFonts w:ascii="宋体" w:hAnsi="宋体"/>
                <w:color w:val="auto"/>
                <w:szCs w:val="21"/>
                <w:highlight w:val="none"/>
              </w:rPr>
              <w:t>投标文件</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(单位盖章)</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法定代表人或其授权委托人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jc w:val="center"/>
              <w:rPr>
                <w:rFonts w:ascii="宋体" w:hAnsi="宋体"/>
                <w:color w:val="auto"/>
                <w:szCs w:val="21"/>
                <w:highlight w:val="none"/>
              </w:rPr>
            </w:pPr>
            <w:r>
              <w:rPr>
                <w:rFonts w:ascii="宋体" w:hAnsi="宋体"/>
                <w:color w:val="auto"/>
                <w:szCs w:val="21"/>
                <w:highlight w:val="none"/>
              </w:rPr>
              <w:t>在</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rPr>
              <w:t>时</w:t>
            </w:r>
            <w:r>
              <w:rPr>
                <w:rFonts w:hint="eastAsia" w:ascii="宋体" w:hAnsi="宋体"/>
                <w:color w:val="auto"/>
                <w:szCs w:val="21"/>
                <w:highlight w:val="none"/>
              </w:rPr>
              <w:t xml:space="preserve">  </w:t>
            </w:r>
            <w:r>
              <w:rPr>
                <w:rFonts w:ascii="宋体" w:hAnsi="宋体"/>
                <w:color w:val="auto"/>
                <w:szCs w:val="21"/>
                <w:highlight w:val="none"/>
              </w:rPr>
              <w:t>分（填投标截止时间）前不得开启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21</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递交投标文件</w:t>
            </w:r>
          </w:p>
          <w:p>
            <w:pPr>
              <w:spacing w:line="360" w:lineRule="auto"/>
              <w:jc w:val="center"/>
              <w:rPr>
                <w:rFonts w:ascii="宋体" w:hAnsi="宋体"/>
                <w:color w:val="auto"/>
                <w:szCs w:val="21"/>
                <w:highlight w:val="none"/>
              </w:rPr>
            </w:pPr>
            <w:r>
              <w:rPr>
                <w:rFonts w:ascii="宋体" w:hAnsi="宋体"/>
                <w:color w:val="auto"/>
                <w:szCs w:val="21"/>
                <w:highlight w:val="none"/>
              </w:rPr>
              <w:t>地点</w:t>
            </w:r>
          </w:p>
        </w:tc>
        <w:tc>
          <w:tcPr>
            <w:tcW w:w="6646" w:type="dxa"/>
            <w:noWrap w:val="0"/>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铜川市王益区七一路79号寓园宾馆六楼会议室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22</w:t>
            </w:r>
          </w:p>
        </w:tc>
        <w:tc>
          <w:tcPr>
            <w:tcW w:w="177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开标时间和地点</w:t>
            </w:r>
          </w:p>
        </w:tc>
        <w:tc>
          <w:tcPr>
            <w:tcW w:w="6646"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开标时间：同投标截止时间</w:t>
            </w:r>
          </w:p>
          <w:p>
            <w:pPr>
              <w:spacing w:line="360" w:lineRule="auto"/>
              <w:rPr>
                <w:rFonts w:ascii="宋体" w:hAnsi="宋体"/>
                <w:color w:val="auto"/>
                <w:szCs w:val="21"/>
                <w:highlight w:val="none"/>
              </w:rPr>
            </w:pPr>
            <w:r>
              <w:rPr>
                <w:rFonts w:ascii="宋体" w:hAnsi="宋体"/>
                <w:color w:val="auto"/>
                <w:szCs w:val="21"/>
                <w:highlight w:val="none"/>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23</w:t>
            </w:r>
          </w:p>
        </w:tc>
        <w:tc>
          <w:tcPr>
            <w:tcW w:w="1771" w:type="dxa"/>
            <w:noWrap w:val="0"/>
            <w:vAlign w:val="center"/>
          </w:tcPr>
          <w:p>
            <w:pPr>
              <w:spacing w:line="360" w:lineRule="auto"/>
              <w:jc w:val="center"/>
              <w:rPr>
                <w:rFonts w:hint="eastAsia" w:ascii="宋体" w:hAnsi="宋体"/>
                <w:color w:val="auto"/>
                <w:szCs w:val="21"/>
                <w:highlight w:val="none"/>
              </w:rPr>
            </w:pPr>
            <w:r>
              <w:rPr>
                <w:rFonts w:ascii="宋体" w:hAnsi="宋体"/>
                <w:color w:val="auto"/>
                <w:szCs w:val="21"/>
                <w:highlight w:val="none"/>
              </w:rPr>
              <w:t>评标委员会</w:t>
            </w:r>
          </w:p>
          <w:p>
            <w:pPr>
              <w:spacing w:line="360" w:lineRule="auto"/>
              <w:jc w:val="center"/>
              <w:rPr>
                <w:rFonts w:ascii="宋体" w:hAnsi="宋体"/>
                <w:color w:val="auto"/>
                <w:szCs w:val="21"/>
                <w:highlight w:val="none"/>
              </w:rPr>
            </w:pPr>
            <w:r>
              <w:rPr>
                <w:rFonts w:ascii="宋体" w:hAnsi="宋体"/>
                <w:color w:val="auto"/>
                <w:szCs w:val="21"/>
                <w:highlight w:val="none"/>
              </w:rPr>
              <w:t>的组建</w:t>
            </w:r>
          </w:p>
        </w:tc>
        <w:tc>
          <w:tcPr>
            <w:tcW w:w="6646" w:type="dxa"/>
            <w:noWrap w:val="0"/>
            <w:vAlign w:val="center"/>
          </w:tcPr>
          <w:p>
            <w:pPr>
              <w:tabs>
                <w:tab w:val="left" w:pos="1180"/>
              </w:tabs>
              <w:spacing w:line="276" w:lineRule="auto"/>
              <w:rPr>
                <w:rFonts w:hint="eastAsia" w:ascii="宋体" w:hAnsi="宋体"/>
                <w:color w:val="auto"/>
                <w:sz w:val="21"/>
                <w:szCs w:val="21"/>
                <w:highlight w:val="none"/>
              </w:rPr>
            </w:pPr>
            <w:r>
              <w:rPr>
                <w:rFonts w:hint="eastAsia" w:ascii="宋体" w:hAnsi="宋体"/>
                <w:color w:val="auto"/>
                <w:sz w:val="21"/>
                <w:szCs w:val="21"/>
                <w:highlight w:val="none"/>
              </w:rPr>
              <w:t>评标委员会构成：</w:t>
            </w:r>
            <w:r>
              <w:rPr>
                <w:rFonts w:hint="eastAsia" w:ascii="宋体" w:hAnsi="宋体"/>
                <w:color w:val="auto"/>
                <w:sz w:val="21"/>
                <w:szCs w:val="21"/>
                <w:highlight w:val="none"/>
                <w:u w:val="single"/>
              </w:rPr>
              <w:t xml:space="preserve"> 5 </w:t>
            </w:r>
            <w:r>
              <w:rPr>
                <w:rFonts w:hint="eastAsia" w:ascii="宋体" w:hAnsi="宋体"/>
                <w:color w:val="auto"/>
                <w:sz w:val="21"/>
                <w:szCs w:val="21"/>
                <w:highlight w:val="none"/>
              </w:rPr>
              <w:t>人</w:t>
            </w:r>
          </w:p>
          <w:p>
            <w:pPr>
              <w:spacing w:line="360" w:lineRule="auto"/>
              <w:rPr>
                <w:rFonts w:ascii="宋体" w:hAnsi="宋体"/>
                <w:color w:val="auto"/>
                <w:szCs w:val="21"/>
                <w:highlight w:val="none"/>
              </w:rPr>
            </w:pPr>
            <w:r>
              <w:rPr>
                <w:rFonts w:hint="eastAsia" w:ascii="宋体" w:hAnsi="宋体"/>
                <w:color w:val="auto"/>
                <w:sz w:val="21"/>
                <w:szCs w:val="21"/>
                <w:highlight w:val="none"/>
              </w:rPr>
              <w:t>评标专家的确定方式：陕西省政府采购专家库随机抽取4人及采购人代表1人组成。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24</w:t>
            </w:r>
          </w:p>
        </w:tc>
        <w:tc>
          <w:tcPr>
            <w:tcW w:w="1771" w:type="dxa"/>
            <w:noWrap w:val="0"/>
            <w:vAlign w:val="center"/>
          </w:tcPr>
          <w:p>
            <w:pPr>
              <w:spacing w:line="360" w:lineRule="auto"/>
              <w:jc w:val="center"/>
              <w:rPr>
                <w:rFonts w:hint="eastAsia" w:ascii="宋体" w:hAnsi="宋体" w:eastAsia="宋体"/>
                <w:color w:val="auto"/>
                <w:szCs w:val="21"/>
                <w:highlight w:val="none"/>
                <w:lang w:eastAsia="zh-CN"/>
              </w:rPr>
            </w:pPr>
            <w:r>
              <w:rPr>
                <w:rFonts w:ascii="宋体" w:hAnsi="宋体"/>
                <w:color w:val="auto"/>
                <w:szCs w:val="21"/>
                <w:highlight w:val="none"/>
              </w:rPr>
              <w:t>是否授权评标委员会确定</w:t>
            </w:r>
            <w:r>
              <w:rPr>
                <w:rFonts w:hint="eastAsia" w:ascii="宋体" w:hAnsi="宋体"/>
                <w:color w:val="auto"/>
                <w:szCs w:val="21"/>
                <w:highlight w:val="none"/>
              </w:rPr>
              <w:t>中标</w:t>
            </w:r>
            <w:r>
              <w:rPr>
                <w:rFonts w:hint="eastAsia" w:ascii="宋体" w:hAnsi="宋体"/>
                <w:color w:val="auto"/>
                <w:szCs w:val="21"/>
                <w:highlight w:val="none"/>
                <w:lang w:eastAsia="zh-CN"/>
              </w:rPr>
              <w:t>人</w:t>
            </w:r>
          </w:p>
        </w:tc>
        <w:tc>
          <w:tcPr>
            <w:tcW w:w="664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否，由评标委员会推选得分较高的前三名为中标候选人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0" w:type="dxa"/>
            <w:noWrap w:val="0"/>
            <w:vAlign w:val="center"/>
          </w:tcPr>
          <w:p>
            <w:pPr>
              <w:jc w:val="center"/>
              <w:rPr>
                <w:rFonts w:hint="default"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25</w:t>
            </w:r>
          </w:p>
        </w:tc>
        <w:tc>
          <w:tcPr>
            <w:tcW w:w="1771" w:type="dxa"/>
            <w:noWrap w:val="0"/>
            <w:vAlign w:val="center"/>
          </w:tcPr>
          <w:p>
            <w:pPr>
              <w:autoSpaceDE w:val="0"/>
              <w:autoSpaceDN w:val="0"/>
              <w:jc w:val="center"/>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Cs w:val="21"/>
                <w:highlight w:val="none"/>
              </w:rPr>
              <w:t>招标代理服务费</w:t>
            </w:r>
          </w:p>
        </w:tc>
        <w:tc>
          <w:tcPr>
            <w:tcW w:w="6646" w:type="dxa"/>
            <w:noWrap w:val="0"/>
            <w:vAlign w:val="center"/>
          </w:tcPr>
          <w:p>
            <w:pPr>
              <w:spacing w:line="400" w:lineRule="exact"/>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招标代理服务费参考《国家计委关于印发招标代理服务收费管理暂行办法的通知》（计价格【2002】1980号）和国家发改委办公厅颁发的《关于招标代理服务收费有关问题的通知》（发改办价格【2003】857号）文件规定计取及其它费用由中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26</w:t>
            </w:r>
          </w:p>
        </w:tc>
        <w:tc>
          <w:tcPr>
            <w:tcW w:w="1771" w:type="dxa"/>
            <w:noWrap w:val="0"/>
            <w:vAlign w:val="center"/>
          </w:tcPr>
          <w:p>
            <w:pPr>
              <w:autoSpaceDE w:val="0"/>
              <w:autoSpaceDN w:val="0"/>
              <w:jc w:val="center"/>
              <w:rPr>
                <w:rFonts w:hint="eastAsia" w:ascii="宋体" w:hAnsi="宋体" w:cs="仿宋_GB2312"/>
                <w:color w:val="auto"/>
                <w:kern w:val="0"/>
                <w:szCs w:val="21"/>
                <w:highlight w:val="none"/>
                <w:lang w:val="en-US" w:eastAsia="zh-CN"/>
              </w:rPr>
            </w:pPr>
            <w:r>
              <w:rPr>
                <w:rFonts w:hint="eastAsia" w:ascii="宋体" w:hAnsi="宋体" w:cs="仿宋_GB2312"/>
                <w:color w:val="auto"/>
                <w:kern w:val="0"/>
                <w:szCs w:val="21"/>
                <w:highlight w:val="none"/>
                <w:lang w:val="en-US" w:eastAsia="zh-CN"/>
              </w:rPr>
              <w:t>开标现场</w:t>
            </w:r>
          </w:p>
          <w:p>
            <w:pPr>
              <w:autoSpaceDE w:val="0"/>
              <w:autoSpaceDN w:val="0"/>
              <w:jc w:val="center"/>
              <w:rPr>
                <w:rFonts w:hint="default" w:ascii="宋体" w:hAnsi="宋体" w:eastAsia="宋体" w:cs="仿宋_GB2312"/>
                <w:color w:val="auto"/>
                <w:kern w:val="0"/>
                <w:szCs w:val="21"/>
                <w:highlight w:val="none"/>
                <w:lang w:val="en-US" w:eastAsia="zh-CN"/>
              </w:rPr>
            </w:pPr>
            <w:r>
              <w:rPr>
                <w:rFonts w:hint="eastAsia" w:ascii="宋体" w:hAnsi="宋体" w:cs="仿宋_GB2312"/>
                <w:color w:val="auto"/>
                <w:kern w:val="0"/>
                <w:szCs w:val="21"/>
                <w:highlight w:val="none"/>
                <w:lang w:val="en-US" w:eastAsia="zh-CN"/>
              </w:rPr>
              <w:t>疫情防控要求</w:t>
            </w:r>
          </w:p>
        </w:tc>
        <w:tc>
          <w:tcPr>
            <w:tcW w:w="6646" w:type="dxa"/>
            <w:noWrap w:val="0"/>
            <w:vAlign w:val="center"/>
          </w:tcPr>
          <w:p>
            <w:pPr>
              <w:spacing w:line="400" w:lineRule="exact"/>
              <w:rPr>
                <w:rFonts w:hint="eastAsia"/>
                <w:lang w:val="en-US" w:eastAsia="zh-CN"/>
              </w:rPr>
            </w:pPr>
            <w:r>
              <w:rPr>
                <w:rFonts w:hint="eastAsia"/>
                <w:lang w:val="en-US" w:eastAsia="zh-CN"/>
              </w:rPr>
              <w:t>由于疫情原因，开标现场需要提供“两码一核酸”并做好防护工作，</w:t>
            </w:r>
          </w:p>
          <w:p>
            <w:pPr>
              <w:pStyle w:val="2"/>
              <w:rPr>
                <w:rFonts w:hint="eastAsia"/>
                <w:lang w:val="en-US" w:eastAsia="zh-CN"/>
              </w:rPr>
            </w:pPr>
            <w:r>
              <w:rPr>
                <w:rFonts w:hint="eastAsia"/>
                <w:lang w:val="en-US" w:eastAsia="zh-CN"/>
              </w:rPr>
              <w:t>详情可咨询代理机构工作人员。</w:t>
            </w:r>
          </w:p>
          <w:p>
            <w:pPr>
              <w:rPr>
                <w:rFonts w:hint="default"/>
                <w:lang w:val="en-US" w:eastAsia="zh-CN"/>
              </w:rPr>
            </w:pPr>
            <w:r>
              <w:rPr>
                <w:rFonts w:hint="eastAsia" w:ascii="宋体" w:hAnsi="宋体" w:cs="仿宋_GB2312"/>
                <w:color w:val="auto"/>
                <w:kern w:val="0"/>
                <w:sz w:val="21"/>
                <w:szCs w:val="21"/>
                <w:highlight w:val="none"/>
                <w:lang w:val="en-US" w:eastAsia="zh-CN" w:bidi="ar-SA"/>
              </w:rPr>
              <w:t>其余政策请自行查询。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0"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26</w:t>
            </w:r>
          </w:p>
        </w:tc>
        <w:tc>
          <w:tcPr>
            <w:tcW w:w="8417" w:type="dxa"/>
            <w:gridSpan w:val="2"/>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7" w:type="dxa"/>
            <w:gridSpan w:val="3"/>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招标文件的最终解释权归</w:t>
            </w:r>
            <w:r>
              <w:rPr>
                <w:rFonts w:hint="eastAsia" w:ascii="宋体" w:hAnsi="宋体"/>
                <w:color w:val="auto"/>
                <w:szCs w:val="21"/>
                <w:highlight w:val="none"/>
              </w:rPr>
              <w:t>采购</w:t>
            </w:r>
            <w:r>
              <w:rPr>
                <w:rFonts w:ascii="宋体" w:hAnsi="宋体"/>
                <w:color w:val="auto"/>
                <w:szCs w:val="21"/>
                <w:highlight w:val="none"/>
              </w:rPr>
              <w:t>人所有</w:t>
            </w:r>
          </w:p>
        </w:tc>
      </w:tr>
    </w:tbl>
    <w:p>
      <w:pPr>
        <w:jc w:val="center"/>
        <w:rPr>
          <w:rFonts w:ascii="宋体" w:hAnsi="宋体"/>
          <w:color w:val="auto"/>
          <w:sz w:val="28"/>
          <w:szCs w:val="28"/>
          <w:highlight w:val="none"/>
        </w:rPr>
      </w:pPr>
      <w:bookmarkStart w:id="37" w:name="_Toc250572263"/>
      <w:bookmarkStart w:id="38" w:name="_Toc269407611"/>
      <w:bookmarkStart w:id="39" w:name="_Toc9230"/>
      <w:r>
        <w:rPr>
          <w:rFonts w:hint="eastAsia" w:ascii="宋体" w:hAnsi="宋体" w:cs="宋体"/>
          <w:b/>
          <w:color w:val="auto"/>
          <w:kern w:val="0"/>
          <w:szCs w:val="21"/>
          <w:highlight w:val="none"/>
          <w:lang w:bidi="ar"/>
        </w:rPr>
        <w:br w:type="page"/>
      </w:r>
      <w:r>
        <w:rPr>
          <w:rFonts w:ascii="宋体" w:hAnsi="宋体"/>
          <w:b/>
          <w:bCs/>
          <w:color w:val="auto"/>
          <w:sz w:val="28"/>
          <w:szCs w:val="28"/>
          <w:highlight w:val="none"/>
        </w:rPr>
        <w:t>一、总  则</w:t>
      </w:r>
      <w:bookmarkEnd w:id="36"/>
      <w:bookmarkEnd w:id="37"/>
      <w:bookmarkEnd w:id="38"/>
      <w:bookmarkEnd w:id="39"/>
    </w:p>
    <w:p>
      <w:pPr>
        <w:spacing w:line="360" w:lineRule="auto"/>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本招标文件仅适用于本次招标中所叙述项目的货物采购及服务，依据</w:t>
      </w:r>
      <w:r>
        <w:rPr>
          <w:rFonts w:hint="eastAsia" w:ascii="宋体" w:hAnsi="宋体"/>
          <w:color w:val="auto"/>
          <w:szCs w:val="21"/>
          <w:highlight w:val="none"/>
        </w:rPr>
        <w:t>《中华人民共和国政府采购法》、《中华人民共和国政府采购法实施条例》、《中华人民共和国合同法》</w:t>
      </w:r>
      <w:r>
        <w:rPr>
          <w:rFonts w:ascii="宋体" w:hAnsi="宋体"/>
          <w:color w:val="auto"/>
          <w:szCs w:val="21"/>
          <w:highlight w:val="none"/>
        </w:rPr>
        <w:t>及相关法律法规，采用公开招标的形式选择合格的</w:t>
      </w:r>
      <w:r>
        <w:rPr>
          <w:rFonts w:hint="eastAsia" w:ascii="宋体" w:hAnsi="宋体"/>
          <w:color w:val="auto"/>
          <w:szCs w:val="21"/>
          <w:highlight w:val="none"/>
        </w:rPr>
        <w:t>生产商</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2．定义</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 xml:space="preserve"> 采购</w:t>
      </w:r>
      <w:r>
        <w:rPr>
          <w:rFonts w:ascii="宋体" w:hAnsi="宋体"/>
          <w:color w:val="auto"/>
          <w:szCs w:val="21"/>
          <w:highlight w:val="none"/>
        </w:rPr>
        <w:t>人</w:t>
      </w:r>
      <w:r>
        <w:rPr>
          <w:rFonts w:hint="eastAsia" w:ascii="宋体" w:hAnsi="宋体"/>
          <w:color w:val="auto"/>
          <w:szCs w:val="21"/>
          <w:highlight w:val="none"/>
        </w:rPr>
        <w:t>：</w:t>
      </w:r>
      <w:r>
        <w:rPr>
          <w:rFonts w:ascii="宋体" w:hAnsi="宋体"/>
          <w:color w:val="auto"/>
          <w:szCs w:val="21"/>
          <w:highlight w:val="none"/>
        </w:rPr>
        <w:t>系指本次货物</w:t>
      </w:r>
      <w:r>
        <w:rPr>
          <w:rFonts w:hint="eastAsia" w:ascii="宋体" w:hAnsi="宋体"/>
          <w:color w:val="auto"/>
          <w:szCs w:val="21"/>
          <w:highlight w:val="none"/>
        </w:rPr>
        <w:t>及服务</w:t>
      </w:r>
      <w:r>
        <w:rPr>
          <w:rFonts w:ascii="宋体" w:hAnsi="宋体"/>
          <w:color w:val="auto"/>
          <w:szCs w:val="21"/>
          <w:highlight w:val="none"/>
        </w:rPr>
        <w:t>采购招标的组织单位。</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hint="eastAsia" w:ascii="宋体" w:hAnsi="宋体"/>
          <w:color w:val="auto"/>
          <w:szCs w:val="21"/>
          <w:highlight w:val="none"/>
        </w:rPr>
        <w:t>：</w:t>
      </w:r>
      <w:r>
        <w:rPr>
          <w:rFonts w:ascii="宋体" w:hAnsi="宋体"/>
          <w:color w:val="auto"/>
          <w:szCs w:val="21"/>
          <w:highlight w:val="none"/>
        </w:rPr>
        <w:t>系指向</w:t>
      </w:r>
      <w:r>
        <w:rPr>
          <w:rFonts w:hint="eastAsia" w:ascii="宋体" w:hAnsi="宋体"/>
          <w:color w:val="auto"/>
          <w:szCs w:val="21"/>
          <w:highlight w:val="none"/>
        </w:rPr>
        <w:t>采购</w:t>
      </w:r>
      <w:r>
        <w:rPr>
          <w:rFonts w:ascii="宋体" w:hAnsi="宋体"/>
          <w:color w:val="auto"/>
          <w:szCs w:val="21"/>
          <w:highlight w:val="none"/>
        </w:rPr>
        <w:t>人提交投标文件的</w:t>
      </w:r>
      <w:r>
        <w:rPr>
          <w:rFonts w:hint="eastAsia" w:ascii="宋体" w:hAnsi="宋体"/>
          <w:color w:val="auto"/>
          <w:szCs w:val="21"/>
          <w:highlight w:val="none"/>
          <w:lang w:eastAsia="zh-CN"/>
        </w:rPr>
        <w:t>投标单位</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 xml:space="preserve"> 使用单位：</w:t>
      </w:r>
      <w:r>
        <w:rPr>
          <w:rFonts w:ascii="宋体" w:hAnsi="宋体"/>
          <w:color w:val="auto"/>
          <w:szCs w:val="21"/>
          <w:highlight w:val="none"/>
        </w:rPr>
        <w:t>系指通过招标采购，接受合同货物及服务的企业或单位。</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 监管机关：</w:t>
      </w:r>
      <w:r>
        <w:rPr>
          <w:rFonts w:hint="eastAsia" w:ascii="宋体" w:hAnsi="宋体" w:cs="Times New Roman"/>
          <w:color w:val="auto"/>
          <w:szCs w:val="21"/>
          <w:highlight w:val="none"/>
          <w:lang w:val="en-US" w:eastAsia="zh-CN"/>
        </w:rPr>
        <w:t>铜川市印台区财政局</w:t>
      </w:r>
      <w:r>
        <w:rPr>
          <w:rFonts w:hint="eastAsia" w:ascii="宋体" w:hAnsi="宋体" w:eastAsia="宋体" w:cs="Times New Roman"/>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5 </w:t>
      </w:r>
      <w:r>
        <w:rPr>
          <w:rFonts w:ascii="宋体" w:hAnsi="宋体"/>
          <w:color w:val="auto"/>
          <w:szCs w:val="21"/>
          <w:highlight w:val="none"/>
        </w:rPr>
        <w:t>货物</w:t>
      </w:r>
      <w:r>
        <w:rPr>
          <w:rFonts w:hint="eastAsia" w:ascii="宋体" w:hAnsi="宋体"/>
          <w:color w:val="auto"/>
          <w:szCs w:val="21"/>
          <w:highlight w:val="none"/>
        </w:rPr>
        <w:t>：</w:t>
      </w:r>
      <w:r>
        <w:rPr>
          <w:rFonts w:ascii="宋体" w:hAnsi="宋体"/>
          <w:color w:val="auto"/>
          <w:szCs w:val="21"/>
          <w:highlight w:val="none"/>
        </w:rPr>
        <w:t>系指</w:t>
      </w:r>
      <w:r>
        <w:rPr>
          <w:rFonts w:hint="eastAsia" w:ascii="宋体" w:hAnsi="宋体"/>
          <w:color w:val="auto"/>
          <w:szCs w:val="21"/>
          <w:highlight w:val="none"/>
          <w:lang w:eastAsia="zh-CN"/>
        </w:rPr>
        <w:t>投标单位</w:t>
      </w:r>
      <w:r>
        <w:rPr>
          <w:rFonts w:ascii="宋体" w:hAnsi="宋体"/>
          <w:color w:val="auto"/>
          <w:szCs w:val="21"/>
          <w:highlight w:val="none"/>
        </w:rPr>
        <w:t>按招标文件规定，须向采购人提供的一切设备、材料、机械、仪器仪表、备品备件、工具、手册及其它有关技术资料和材料。</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6 </w:t>
      </w:r>
      <w:r>
        <w:rPr>
          <w:rFonts w:ascii="宋体" w:hAnsi="宋体"/>
          <w:color w:val="auto"/>
          <w:szCs w:val="21"/>
          <w:highlight w:val="none"/>
        </w:rPr>
        <w:t>服务</w:t>
      </w:r>
      <w:r>
        <w:rPr>
          <w:rFonts w:hint="eastAsia" w:ascii="宋体" w:hAnsi="宋体"/>
          <w:color w:val="auto"/>
          <w:szCs w:val="21"/>
          <w:highlight w:val="none"/>
        </w:rPr>
        <w:t>：</w:t>
      </w:r>
      <w:r>
        <w:rPr>
          <w:rFonts w:ascii="宋体" w:hAnsi="宋体"/>
          <w:color w:val="auto"/>
          <w:szCs w:val="21"/>
          <w:highlight w:val="none"/>
        </w:rPr>
        <w:t>系指招标文件规定</w:t>
      </w:r>
      <w:r>
        <w:rPr>
          <w:rFonts w:hint="eastAsia" w:ascii="宋体" w:hAnsi="宋体"/>
          <w:color w:val="auto"/>
          <w:szCs w:val="21"/>
          <w:highlight w:val="none"/>
          <w:lang w:eastAsia="zh-CN"/>
        </w:rPr>
        <w:t>投标单位</w:t>
      </w:r>
      <w:r>
        <w:rPr>
          <w:rFonts w:ascii="宋体" w:hAnsi="宋体"/>
          <w:color w:val="auto"/>
          <w:szCs w:val="21"/>
          <w:highlight w:val="none"/>
        </w:rPr>
        <w:t>须承担的技术协助以及其它类似的义务。</w:t>
      </w:r>
    </w:p>
    <w:p>
      <w:pPr>
        <w:pStyle w:val="5"/>
        <w:jc w:val="center"/>
        <w:rPr>
          <w:rFonts w:ascii="宋体" w:hAnsi="宋体"/>
          <w:color w:val="auto"/>
          <w:sz w:val="28"/>
          <w:szCs w:val="28"/>
          <w:highlight w:val="none"/>
        </w:rPr>
      </w:pPr>
      <w:bookmarkStart w:id="40" w:name="_Toc67552688"/>
      <w:bookmarkStart w:id="41" w:name="_Toc269407612"/>
      <w:bookmarkStart w:id="42" w:name="_Toc250572264"/>
      <w:bookmarkStart w:id="43" w:name="_Toc30853"/>
      <w:bookmarkStart w:id="44" w:name="_Toc235544703"/>
      <w:bookmarkStart w:id="45" w:name="_Toc238899378"/>
      <w:bookmarkStart w:id="46" w:name="_Toc54404815"/>
      <w:r>
        <w:rPr>
          <w:rFonts w:ascii="宋体" w:hAnsi="宋体"/>
          <w:color w:val="auto"/>
          <w:sz w:val="28"/>
          <w:szCs w:val="28"/>
          <w:highlight w:val="none"/>
        </w:rPr>
        <w:t>二、招标文件</w:t>
      </w:r>
      <w:bookmarkEnd w:id="40"/>
      <w:bookmarkEnd w:id="41"/>
      <w:bookmarkEnd w:id="42"/>
      <w:bookmarkEnd w:id="43"/>
      <w:bookmarkEnd w:id="44"/>
      <w:bookmarkEnd w:id="45"/>
      <w:bookmarkEnd w:id="46"/>
    </w:p>
    <w:p>
      <w:pPr>
        <w:spacing w:line="360" w:lineRule="auto"/>
        <w:ind w:firstLine="411" w:firstLineChars="196"/>
        <w:rPr>
          <w:rFonts w:ascii="宋体" w:hAnsi="宋体"/>
          <w:color w:val="auto"/>
          <w:szCs w:val="21"/>
          <w:highlight w:val="none"/>
        </w:rPr>
      </w:pPr>
      <w:r>
        <w:rPr>
          <w:rFonts w:ascii="宋体" w:hAnsi="宋体"/>
          <w:color w:val="auto"/>
          <w:szCs w:val="21"/>
          <w:highlight w:val="none"/>
        </w:rPr>
        <w:t>3．招标文件的构成</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3.1 招标文件包括下列内容：</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 xml:space="preserve">第一章  </w:t>
      </w:r>
      <w:r>
        <w:rPr>
          <w:rFonts w:hint="eastAsia" w:ascii="宋体" w:hAnsi="宋体"/>
          <w:color w:val="auto"/>
          <w:szCs w:val="21"/>
          <w:highlight w:val="none"/>
        </w:rPr>
        <w:t>招标公告</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 xml:space="preserve">第二章  </w:t>
      </w:r>
      <w:r>
        <w:rPr>
          <w:rFonts w:hint="eastAsia" w:ascii="宋体" w:hAnsi="宋体"/>
          <w:color w:val="auto"/>
          <w:szCs w:val="21"/>
          <w:highlight w:val="none"/>
          <w:lang w:eastAsia="zh-CN"/>
        </w:rPr>
        <w:t>投标单位</w:t>
      </w:r>
      <w:r>
        <w:rPr>
          <w:rFonts w:hint="eastAsia" w:ascii="宋体" w:hAnsi="宋体"/>
          <w:color w:val="auto"/>
          <w:szCs w:val="21"/>
          <w:highlight w:val="none"/>
        </w:rPr>
        <w:t>须知</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 xml:space="preserve">第三章  </w:t>
      </w:r>
      <w:r>
        <w:rPr>
          <w:rFonts w:hint="eastAsia" w:ascii="宋体" w:hAnsi="宋体"/>
          <w:color w:val="auto"/>
          <w:szCs w:val="21"/>
          <w:highlight w:val="none"/>
        </w:rPr>
        <w:t>技术规范及要求</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第四章  评标标准及方法</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第五章  合同条款</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第六章  </w:t>
      </w:r>
      <w:r>
        <w:rPr>
          <w:rFonts w:hint="eastAsia" w:ascii="宋体" w:hAnsi="宋体"/>
          <w:color w:val="auto"/>
          <w:szCs w:val="21"/>
          <w:highlight w:val="none"/>
        </w:rPr>
        <w:t>投标文件</w:t>
      </w:r>
      <w:r>
        <w:rPr>
          <w:rFonts w:ascii="宋体" w:hAnsi="宋体"/>
          <w:color w:val="auto"/>
          <w:szCs w:val="21"/>
          <w:highlight w:val="none"/>
        </w:rPr>
        <w:t>格式</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采购代理机构</w:t>
      </w:r>
      <w:r>
        <w:rPr>
          <w:rFonts w:ascii="宋体" w:hAnsi="宋体"/>
          <w:color w:val="auto"/>
          <w:szCs w:val="21"/>
          <w:highlight w:val="none"/>
        </w:rPr>
        <w:t>以书面形式发给</w:t>
      </w:r>
      <w:r>
        <w:rPr>
          <w:rFonts w:hint="eastAsia" w:ascii="宋体" w:hAnsi="宋体"/>
          <w:color w:val="auto"/>
          <w:szCs w:val="21"/>
          <w:highlight w:val="none"/>
          <w:lang w:eastAsia="zh-CN"/>
        </w:rPr>
        <w:t>投标单位</w:t>
      </w:r>
      <w:r>
        <w:rPr>
          <w:rFonts w:ascii="宋体" w:hAnsi="宋体"/>
          <w:color w:val="auto"/>
          <w:szCs w:val="21"/>
          <w:highlight w:val="none"/>
        </w:rPr>
        <w:t>的解释、修改、补充通知等也是本招标文件的正式组成部分。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4．招标文件的澄清</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对招标文件如有疑问，可要求澄清，</w:t>
      </w:r>
      <w:r>
        <w:rPr>
          <w:rFonts w:hint="eastAsia" w:ascii="宋体" w:hAnsi="宋体"/>
          <w:color w:val="auto"/>
          <w:szCs w:val="21"/>
          <w:highlight w:val="none"/>
          <w:lang w:eastAsia="zh-CN"/>
        </w:rPr>
        <w:t>投标单位</w:t>
      </w:r>
      <w:r>
        <w:rPr>
          <w:rFonts w:ascii="宋体" w:hAnsi="宋体"/>
          <w:color w:val="auto"/>
          <w:szCs w:val="21"/>
          <w:highlight w:val="none"/>
        </w:rPr>
        <w:t>应在</w:t>
      </w:r>
      <w:r>
        <w:rPr>
          <w:rFonts w:hint="eastAsia" w:ascii="宋体" w:hAnsi="宋体"/>
          <w:color w:val="auto"/>
          <w:szCs w:val="21"/>
          <w:highlight w:val="none"/>
        </w:rPr>
        <w:t>法律</w:t>
      </w:r>
      <w:r>
        <w:rPr>
          <w:rFonts w:ascii="宋体" w:hAnsi="宋体"/>
          <w:color w:val="auto"/>
          <w:szCs w:val="21"/>
          <w:highlight w:val="none"/>
        </w:rPr>
        <w:t>规定的时间前，按招标文件中载明的地址以书面形式通知</w:t>
      </w:r>
      <w:r>
        <w:rPr>
          <w:rFonts w:hint="eastAsia" w:ascii="宋体" w:hAnsi="宋体"/>
          <w:color w:val="auto"/>
          <w:szCs w:val="21"/>
          <w:highlight w:val="none"/>
        </w:rPr>
        <w:t>采购代理机构</w:t>
      </w:r>
      <w:r>
        <w:rPr>
          <w:rFonts w:ascii="宋体" w:hAnsi="宋体"/>
          <w:color w:val="auto"/>
          <w:szCs w:val="21"/>
          <w:highlight w:val="none"/>
        </w:rPr>
        <w:t>。</w:t>
      </w:r>
      <w:r>
        <w:rPr>
          <w:rFonts w:hint="eastAsia" w:ascii="宋体" w:hAnsi="宋体"/>
          <w:color w:val="auto"/>
          <w:szCs w:val="21"/>
          <w:highlight w:val="none"/>
        </w:rPr>
        <w:t>采购代理机构</w:t>
      </w:r>
      <w:r>
        <w:rPr>
          <w:rFonts w:ascii="宋体" w:hAnsi="宋体"/>
          <w:color w:val="auto"/>
          <w:szCs w:val="21"/>
          <w:highlight w:val="none"/>
        </w:rPr>
        <w:t>将以书面形式予以答复,并在其认为必要时，将不标明查询来源的书面答复发给已购买招标文件的每一</w:t>
      </w:r>
      <w:r>
        <w:rPr>
          <w:rFonts w:hint="eastAsia" w:ascii="宋体" w:hAnsi="宋体"/>
          <w:color w:val="auto"/>
          <w:szCs w:val="21"/>
          <w:highlight w:val="none"/>
        </w:rPr>
        <w:t>位</w:t>
      </w:r>
      <w:r>
        <w:rPr>
          <w:rFonts w:hint="eastAsia" w:ascii="宋体" w:hAnsi="宋体"/>
          <w:color w:val="auto"/>
          <w:szCs w:val="21"/>
          <w:highlight w:val="none"/>
          <w:lang w:eastAsia="zh-CN"/>
        </w:rPr>
        <w:t>投标单位</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5．招标文件的修改</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5.1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w:t>
      </w:r>
      <w:r>
        <w:rPr>
          <w:rFonts w:hint="eastAsia" w:ascii="宋体" w:hAnsi="宋体"/>
          <w:color w:val="auto"/>
          <w:szCs w:val="21"/>
          <w:highlight w:val="none"/>
          <w:lang w:eastAsia="zh-CN"/>
        </w:rPr>
        <w:t>投标单位</w:t>
      </w:r>
      <w:r>
        <w:rPr>
          <w:rFonts w:hint="eastAsia" w:ascii="宋体" w:hAnsi="宋体"/>
          <w:color w:val="auto"/>
          <w:szCs w:val="21"/>
          <w:highlight w:val="none"/>
        </w:rPr>
        <w:t>。</w:t>
      </w:r>
    </w:p>
    <w:p>
      <w:pPr>
        <w:spacing w:line="360" w:lineRule="auto"/>
        <w:ind w:firstLine="411" w:firstLineChars="196"/>
        <w:rPr>
          <w:rFonts w:ascii="宋体" w:hAnsi="宋体"/>
          <w:color w:val="auto"/>
          <w:sz w:val="24"/>
          <w:szCs w:val="24"/>
          <w:highlight w:val="none"/>
        </w:rPr>
      </w:pPr>
      <w:r>
        <w:rPr>
          <w:rFonts w:ascii="宋体" w:hAnsi="宋体"/>
          <w:color w:val="auto"/>
          <w:szCs w:val="21"/>
          <w:highlight w:val="none"/>
        </w:rPr>
        <w:t>5.2 为使</w:t>
      </w:r>
      <w:r>
        <w:rPr>
          <w:rFonts w:hint="eastAsia" w:ascii="宋体" w:hAnsi="宋体"/>
          <w:color w:val="auto"/>
          <w:szCs w:val="21"/>
          <w:highlight w:val="none"/>
          <w:lang w:eastAsia="zh-CN"/>
        </w:rPr>
        <w:t>投标单位</w:t>
      </w:r>
      <w:r>
        <w:rPr>
          <w:rFonts w:ascii="宋体" w:hAnsi="宋体"/>
          <w:color w:val="auto"/>
          <w:szCs w:val="21"/>
          <w:highlight w:val="none"/>
        </w:rPr>
        <w:t>在准备投标文件时有合理的时间考虑招标文件的修改，</w:t>
      </w:r>
      <w:r>
        <w:rPr>
          <w:rFonts w:hint="eastAsia" w:ascii="宋体" w:hAnsi="宋体"/>
          <w:color w:val="auto"/>
          <w:szCs w:val="21"/>
          <w:highlight w:val="none"/>
        </w:rPr>
        <w:t>采购代理机构</w:t>
      </w:r>
      <w:r>
        <w:rPr>
          <w:rFonts w:ascii="宋体" w:hAnsi="宋体"/>
          <w:color w:val="auto"/>
          <w:szCs w:val="21"/>
          <w:highlight w:val="none"/>
        </w:rPr>
        <w:t>有权推迟招标截止时间和开标时间，并以书面形式通知购买招标文件的每一</w:t>
      </w:r>
      <w:r>
        <w:rPr>
          <w:rFonts w:hint="eastAsia" w:ascii="宋体" w:hAnsi="宋体"/>
          <w:color w:val="auto"/>
          <w:szCs w:val="21"/>
          <w:highlight w:val="none"/>
          <w:lang w:eastAsia="zh-CN"/>
        </w:rPr>
        <w:t>投标单位</w:t>
      </w:r>
      <w:r>
        <w:rPr>
          <w:rFonts w:ascii="宋体" w:hAnsi="宋体"/>
          <w:color w:val="auto"/>
          <w:sz w:val="24"/>
          <w:szCs w:val="24"/>
          <w:highlight w:val="none"/>
        </w:rPr>
        <w:t>。</w:t>
      </w:r>
    </w:p>
    <w:p>
      <w:pPr>
        <w:pStyle w:val="5"/>
        <w:jc w:val="center"/>
        <w:rPr>
          <w:rFonts w:ascii="宋体" w:hAnsi="宋体"/>
          <w:color w:val="auto"/>
          <w:sz w:val="28"/>
          <w:szCs w:val="28"/>
          <w:highlight w:val="none"/>
        </w:rPr>
      </w:pPr>
      <w:bookmarkStart w:id="47" w:name="_Toc67552689"/>
      <w:bookmarkStart w:id="48" w:name="_Toc14169"/>
      <w:bookmarkStart w:id="49" w:name="_Toc269407613"/>
      <w:bookmarkStart w:id="50" w:name="_Toc54404816"/>
      <w:bookmarkStart w:id="51" w:name="_Toc235544704"/>
      <w:bookmarkStart w:id="52" w:name="_Toc238899379"/>
      <w:bookmarkStart w:id="53" w:name="_Toc250572265"/>
      <w:r>
        <w:rPr>
          <w:rFonts w:ascii="宋体" w:hAnsi="宋体"/>
          <w:color w:val="auto"/>
          <w:sz w:val="28"/>
          <w:szCs w:val="28"/>
          <w:highlight w:val="none"/>
        </w:rPr>
        <w:t>三、投标文件</w:t>
      </w:r>
      <w:bookmarkEnd w:id="47"/>
      <w:bookmarkEnd w:id="48"/>
      <w:bookmarkEnd w:id="49"/>
      <w:bookmarkEnd w:id="50"/>
      <w:bookmarkEnd w:id="51"/>
      <w:bookmarkEnd w:id="52"/>
      <w:bookmarkEnd w:id="53"/>
    </w:p>
    <w:p>
      <w:pPr>
        <w:spacing w:line="360" w:lineRule="auto"/>
        <w:ind w:firstLine="411" w:firstLineChars="196"/>
        <w:rPr>
          <w:rFonts w:ascii="宋体" w:hAnsi="宋体"/>
          <w:color w:val="auto"/>
          <w:szCs w:val="21"/>
          <w:highlight w:val="none"/>
        </w:rPr>
      </w:pPr>
      <w:r>
        <w:rPr>
          <w:rFonts w:ascii="宋体" w:hAnsi="宋体"/>
          <w:color w:val="auto"/>
          <w:szCs w:val="21"/>
          <w:highlight w:val="none"/>
        </w:rPr>
        <w:t>6．投标要求</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获取招标文件后，应仔细检查招标文件的所有内容，如有残缺、印刷不清等问题应在获得招标文件2日内向</w:t>
      </w:r>
      <w:r>
        <w:rPr>
          <w:rFonts w:hint="eastAsia" w:ascii="宋体" w:hAnsi="宋体"/>
          <w:color w:val="auto"/>
          <w:szCs w:val="21"/>
          <w:highlight w:val="none"/>
        </w:rPr>
        <w:t>采购代理机构</w:t>
      </w:r>
      <w:r>
        <w:rPr>
          <w:rFonts w:ascii="宋体" w:hAnsi="宋体"/>
          <w:color w:val="auto"/>
          <w:szCs w:val="21"/>
          <w:highlight w:val="none"/>
        </w:rPr>
        <w:t>提出，否则，由此引起的损失由</w:t>
      </w:r>
      <w:r>
        <w:rPr>
          <w:rFonts w:hint="eastAsia" w:ascii="宋体" w:hAnsi="宋体"/>
          <w:color w:val="auto"/>
          <w:szCs w:val="21"/>
          <w:highlight w:val="none"/>
          <w:lang w:eastAsia="zh-CN"/>
        </w:rPr>
        <w:t>投标单位</w:t>
      </w:r>
      <w:r>
        <w:rPr>
          <w:rFonts w:ascii="宋体" w:hAnsi="宋体"/>
          <w:color w:val="auto"/>
          <w:szCs w:val="21"/>
          <w:highlight w:val="none"/>
        </w:rPr>
        <w:t>自己承担。</w:t>
      </w:r>
      <w:r>
        <w:rPr>
          <w:rFonts w:hint="eastAsia" w:ascii="宋体" w:hAnsi="宋体"/>
          <w:color w:val="auto"/>
          <w:szCs w:val="21"/>
          <w:highlight w:val="none"/>
          <w:lang w:eastAsia="zh-CN"/>
        </w:rPr>
        <w:t>投标单位</w:t>
      </w:r>
      <w:r>
        <w:rPr>
          <w:rFonts w:ascii="宋体" w:hAnsi="宋体"/>
          <w:color w:val="auto"/>
          <w:szCs w:val="21"/>
          <w:highlight w:val="none"/>
        </w:rPr>
        <w:t>同时应认真阅读招标文件中的所有内容、格式、条款和规范要求，按招标文件的要求编写和提交投标文件，并保证所提供的全部资料的真实性。若</w:t>
      </w:r>
      <w:r>
        <w:rPr>
          <w:rFonts w:hint="eastAsia" w:ascii="宋体" w:hAnsi="宋体"/>
          <w:color w:val="auto"/>
          <w:szCs w:val="21"/>
          <w:highlight w:val="none"/>
          <w:lang w:eastAsia="zh-CN"/>
        </w:rPr>
        <w:t>投标单位</w:t>
      </w:r>
      <w:r>
        <w:rPr>
          <w:rFonts w:ascii="宋体" w:hAnsi="宋体"/>
          <w:color w:val="auto"/>
          <w:szCs w:val="21"/>
          <w:highlight w:val="none"/>
        </w:rPr>
        <w:t>的投标文件没有按招标文件要求提交，或投标文件没有对招标文件作出实质性的响应等，根据相关条款规定其投标可能被拒绝。</w:t>
      </w:r>
    </w:p>
    <w:p>
      <w:pPr>
        <w:spacing w:line="360" w:lineRule="auto"/>
        <w:ind w:firstLine="411" w:firstLineChars="196"/>
        <w:rPr>
          <w:rFonts w:hint="eastAsia" w:ascii="宋体" w:hAnsi="宋体" w:eastAsia="宋体"/>
          <w:color w:val="auto"/>
          <w:szCs w:val="21"/>
          <w:highlight w:val="none"/>
          <w:lang w:eastAsia="zh-CN"/>
        </w:rPr>
      </w:pPr>
      <w:r>
        <w:rPr>
          <w:rFonts w:ascii="宋体" w:hAnsi="宋体"/>
          <w:color w:val="auto"/>
          <w:szCs w:val="21"/>
          <w:highlight w:val="none"/>
        </w:rPr>
        <w:t>6.2 合格</w:t>
      </w:r>
      <w:r>
        <w:rPr>
          <w:rFonts w:hint="eastAsia" w:ascii="宋体" w:hAnsi="宋体"/>
          <w:color w:val="auto"/>
          <w:szCs w:val="21"/>
          <w:highlight w:val="none"/>
          <w:lang w:eastAsia="zh-CN"/>
        </w:rPr>
        <w:t>投标单位</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详见投标前附表 “</w:t>
      </w:r>
      <w:r>
        <w:rPr>
          <w:rFonts w:hint="eastAsia" w:ascii="宋体" w:hAnsi="宋体"/>
          <w:color w:val="auto"/>
          <w:szCs w:val="21"/>
          <w:highlight w:val="none"/>
          <w:lang w:eastAsia="zh-CN"/>
        </w:rPr>
        <w:t>投标单位</w:t>
      </w:r>
      <w:r>
        <w:rPr>
          <w:rFonts w:hint="eastAsia" w:ascii="宋体" w:hAnsi="宋体"/>
          <w:color w:val="auto"/>
          <w:szCs w:val="21"/>
          <w:highlight w:val="none"/>
        </w:rPr>
        <w:t>资格</w:t>
      </w:r>
      <w:r>
        <w:rPr>
          <w:rFonts w:hint="eastAsia" w:ascii="宋体" w:hAnsi="宋体"/>
          <w:color w:val="auto"/>
          <w:szCs w:val="21"/>
          <w:highlight w:val="none"/>
          <w:lang w:val="en-US" w:eastAsia="zh-CN"/>
        </w:rPr>
        <w:t>要求</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7．计量单位</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除在招标文件的技术规格中另有规定外，计量单位均应使用中华人民共和国法定计量单位。不在法定计量单位范围内的，将使用国际计量单位和国家选定的其它计量单位。</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8．投标文件的组成</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投标文件由以下内容、并按顺序以及提供的格式（如有）组成：</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第一部分      投标函</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第二部分      投标报价表</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第三部分      </w:t>
      </w:r>
      <w:r>
        <w:rPr>
          <w:rFonts w:hint="eastAsia" w:ascii="宋体" w:hAnsi="宋体"/>
          <w:color w:val="auto"/>
          <w:szCs w:val="21"/>
          <w:highlight w:val="none"/>
          <w:lang w:eastAsia="zh-CN"/>
        </w:rPr>
        <w:t>投标单位</w:t>
      </w:r>
      <w:r>
        <w:rPr>
          <w:rFonts w:hint="eastAsia" w:ascii="宋体" w:hAnsi="宋体"/>
          <w:color w:val="auto"/>
          <w:szCs w:val="21"/>
          <w:highlight w:val="none"/>
        </w:rPr>
        <w:t>资格</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第四部分      施工组织计划</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第五部分      业绩证明材料</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第六部分      售后服务承诺及培训计划</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第七部分      商务条款偏离表</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第八部分      投标产品说明及其他</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9．投标文件格式</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9.1</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提供的投标文件应设置目录且逐页标注页码。</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应严格按招标文件中提供的投标文件格式填写投标函、技术</w:t>
      </w:r>
      <w:r>
        <w:rPr>
          <w:rFonts w:hint="eastAsia" w:ascii="宋体" w:hAnsi="宋体"/>
          <w:color w:val="auto"/>
          <w:szCs w:val="21"/>
          <w:highlight w:val="none"/>
        </w:rPr>
        <w:t>要求</w:t>
      </w:r>
      <w:r>
        <w:rPr>
          <w:rFonts w:ascii="宋体" w:hAnsi="宋体"/>
          <w:color w:val="auto"/>
          <w:szCs w:val="21"/>
          <w:highlight w:val="none"/>
        </w:rPr>
        <w:t>响应表、投标报价清单</w:t>
      </w:r>
      <w:r>
        <w:rPr>
          <w:rFonts w:hint="eastAsia" w:ascii="宋体" w:hAnsi="宋体"/>
          <w:color w:val="auto"/>
          <w:szCs w:val="21"/>
          <w:highlight w:val="none"/>
        </w:rPr>
        <w:t>中涉及的产品</w:t>
      </w:r>
      <w:r>
        <w:rPr>
          <w:rFonts w:ascii="宋体" w:hAnsi="宋体"/>
          <w:color w:val="auto"/>
          <w:szCs w:val="21"/>
          <w:highlight w:val="none"/>
        </w:rPr>
        <w:t>简要说明一览表等。</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只能对本招标文件指定的货物</w:t>
      </w:r>
      <w:r>
        <w:rPr>
          <w:rFonts w:hint="eastAsia" w:ascii="宋体" w:hAnsi="宋体"/>
          <w:color w:val="auto"/>
          <w:szCs w:val="21"/>
          <w:highlight w:val="none"/>
        </w:rPr>
        <w:t>采购</w:t>
      </w:r>
      <w:r>
        <w:rPr>
          <w:rFonts w:ascii="宋体" w:hAnsi="宋体"/>
          <w:color w:val="auto"/>
          <w:szCs w:val="21"/>
          <w:highlight w:val="none"/>
        </w:rPr>
        <w:t>范围内的所有内容进行投标，不得将指定货物的内容拆开或针对某一项进行投标，否则，投标将被视为废标。</w:t>
      </w:r>
    </w:p>
    <w:p>
      <w:pPr>
        <w:numPr>
          <w:ilvl w:val="0"/>
          <w:numId w:val="1"/>
        </w:numPr>
        <w:spacing w:line="360" w:lineRule="auto"/>
        <w:ind w:firstLine="411" w:firstLineChars="196"/>
        <w:rPr>
          <w:rFonts w:ascii="宋体" w:hAnsi="宋体"/>
          <w:color w:val="auto"/>
          <w:szCs w:val="21"/>
          <w:highlight w:val="none"/>
        </w:rPr>
      </w:pPr>
      <w:r>
        <w:rPr>
          <w:rFonts w:ascii="宋体" w:hAnsi="宋体"/>
          <w:color w:val="auto"/>
          <w:szCs w:val="21"/>
          <w:highlight w:val="none"/>
        </w:rPr>
        <w:t>投标报价</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10.1投标总报价不得超过本</w:t>
      </w:r>
      <w:r>
        <w:rPr>
          <w:rFonts w:hint="eastAsia" w:ascii="宋体" w:hAnsi="宋体"/>
          <w:color w:val="auto"/>
          <w:szCs w:val="21"/>
          <w:highlight w:val="none"/>
          <w:lang w:eastAsia="zh-CN"/>
        </w:rPr>
        <w:t>项目最高限价</w:t>
      </w:r>
      <w:r>
        <w:rPr>
          <w:rFonts w:hint="eastAsia" w:ascii="宋体" w:hAnsi="宋体"/>
          <w:color w:val="auto"/>
          <w:szCs w:val="21"/>
          <w:highlight w:val="none"/>
        </w:rPr>
        <w:t>，否则其投标文件按废标处理。</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10.2</w:t>
      </w:r>
      <w:r>
        <w:rPr>
          <w:rFonts w:hint="eastAsia" w:ascii="宋体" w:hAnsi="宋体"/>
          <w:color w:val="auto"/>
          <w:szCs w:val="21"/>
          <w:highlight w:val="none"/>
          <w:lang w:eastAsia="zh-CN"/>
        </w:rPr>
        <w:t>投标单位</w:t>
      </w:r>
      <w:r>
        <w:rPr>
          <w:rFonts w:hint="eastAsia" w:ascii="宋体" w:hAnsi="宋体"/>
          <w:color w:val="auto"/>
          <w:szCs w:val="21"/>
          <w:highlight w:val="none"/>
        </w:rPr>
        <w:t>应对此项目所列的所有</w:t>
      </w:r>
      <w:r>
        <w:rPr>
          <w:rFonts w:hint="eastAsia" w:ascii="宋体" w:hAnsi="宋体"/>
          <w:color w:val="auto"/>
          <w:szCs w:val="21"/>
          <w:highlight w:val="none"/>
          <w:lang w:eastAsia="zh-CN"/>
        </w:rPr>
        <w:t>货物、</w:t>
      </w:r>
      <w:r>
        <w:rPr>
          <w:rFonts w:hint="eastAsia" w:ascii="宋体" w:hAnsi="宋体"/>
          <w:color w:val="auto"/>
          <w:szCs w:val="21"/>
          <w:highlight w:val="none"/>
        </w:rPr>
        <w:t>服务及附带产品进行报价，</w:t>
      </w:r>
      <w:r>
        <w:rPr>
          <w:rFonts w:hint="eastAsia" w:ascii="宋体" w:hAnsi="宋体"/>
          <w:color w:val="auto"/>
          <w:szCs w:val="21"/>
          <w:highlight w:val="none"/>
          <w:lang w:eastAsia="zh-CN"/>
        </w:rPr>
        <w:t>投标单位</w:t>
      </w:r>
      <w:r>
        <w:rPr>
          <w:rFonts w:ascii="宋体" w:hAnsi="宋体"/>
          <w:color w:val="auto"/>
          <w:szCs w:val="21"/>
          <w:highlight w:val="none"/>
        </w:rPr>
        <w:t>应在招标文件所附的报价清单上写明所有投标</w:t>
      </w:r>
      <w:r>
        <w:rPr>
          <w:rFonts w:hint="eastAsia" w:ascii="宋体" w:hAnsi="宋体"/>
          <w:color w:val="auto"/>
          <w:szCs w:val="21"/>
          <w:highlight w:val="none"/>
          <w:lang w:eastAsia="zh-CN"/>
        </w:rPr>
        <w:t>货物、</w:t>
      </w:r>
      <w:r>
        <w:rPr>
          <w:rFonts w:hint="eastAsia" w:ascii="宋体" w:hAnsi="宋体"/>
          <w:color w:val="auto"/>
          <w:szCs w:val="21"/>
          <w:highlight w:val="none"/>
        </w:rPr>
        <w:t>服务及附带产品</w:t>
      </w:r>
      <w:r>
        <w:rPr>
          <w:rFonts w:ascii="宋体" w:hAnsi="宋体"/>
          <w:color w:val="auto"/>
          <w:szCs w:val="21"/>
          <w:highlight w:val="none"/>
        </w:rPr>
        <w:t>的单价和投标总价。</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r>
        <w:rPr>
          <w:rFonts w:ascii="宋体" w:hAnsi="宋体"/>
          <w:color w:val="auto"/>
          <w:szCs w:val="21"/>
          <w:highlight w:val="none"/>
        </w:rPr>
        <w:t xml:space="preserve"> 任何有选择的投标报价</w:t>
      </w:r>
      <w:r>
        <w:rPr>
          <w:rFonts w:hint="eastAsia" w:ascii="宋体" w:hAnsi="宋体"/>
          <w:color w:val="auto"/>
          <w:szCs w:val="21"/>
          <w:highlight w:val="none"/>
        </w:rPr>
        <w:t>采购</w:t>
      </w:r>
      <w:r>
        <w:rPr>
          <w:rFonts w:ascii="宋体" w:hAnsi="宋体"/>
          <w:color w:val="auto"/>
          <w:szCs w:val="21"/>
          <w:highlight w:val="none"/>
        </w:rPr>
        <w:t>人不接受。</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应列出详细的货物清单及报价。</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r>
        <w:rPr>
          <w:rFonts w:ascii="宋体" w:hAnsi="宋体"/>
          <w:color w:val="auto"/>
          <w:szCs w:val="21"/>
          <w:highlight w:val="none"/>
        </w:rPr>
        <w:t>投标报价是</w:t>
      </w:r>
      <w:r>
        <w:rPr>
          <w:rFonts w:hint="eastAsia" w:ascii="宋体" w:hAnsi="宋体"/>
          <w:color w:val="auto"/>
          <w:szCs w:val="21"/>
          <w:highlight w:val="none"/>
          <w:lang w:eastAsia="zh-CN"/>
        </w:rPr>
        <w:t>投标单位</w:t>
      </w:r>
      <w:r>
        <w:rPr>
          <w:rFonts w:ascii="宋体" w:hAnsi="宋体"/>
          <w:color w:val="auto"/>
          <w:szCs w:val="21"/>
          <w:highlight w:val="none"/>
        </w:rPr>
        <w:t>在制造厂或供货地到</w:t>
      </w:r>
      <w:r>
        <w:rPr>
          <w:rFonts w:hint="eastAsia" w:ascii="宋体" w:hAnsi="宋体"/>
          <w:color w:val="auto"/>
          <w:szCs w:val="21"/>
          <w:highlight w:val="none"/>
        </w:rPr>
        <w:t>采购人指定地点</w:t>
      </w:r>
      <w:r>
        <w:rPr>
          <w:rFonts w:ascii="宋体" w:hAnsi="宋体"/>
          <w:color w:val="auto"/>
          <w:szCs w:val="21"/>
          <w:highlight w:val="none"/>
        </w:rPr>
        <w:t>的落地价</w:t>
      </w:r>
      <w:r>
        <w:rPr>
          <w:rFonts w:hint="eastAsia" w:ascii="宋体" w:hAnsi="宋体"/>
          <w:color w:val="auto"/>
          <w:szCs w:val="21"/>
          <w:highlight w:val="none"/>
        </w:rPr>
        <w:t>，应包含</w:t>
      </w:r>
      <w:r>
        <w:rPr>
          <w:rFonts w:hint="eastAsia" w:ascii="宋体" w:hAnsi="宋体"/>
          <w:color w:val="auto"/>
          <w:szCs w:val="21"/>
          <w:highlight w:val="none"/>
          <w:lang w:eastAsia="zh-CN"/>
        </w:rPr>
        <w:t>投标单位</w:t>
      </w:r>
      <w:r>
        <w:rPr>
          <w:rFonts w:hint="eastAsia" w:ascii="宋体" w:hAnsi="宋体"/>
          <w:color w:val="auto"/>
          <w:szCs w:val="21"/>
          <w:highlight w:val="none"/>
        </w:rPr>
        <w:t>为完成合同规定的全部内同所发生的费用</w:t>
      </w:r>
      <w:r>
        <w:rPr>
          <w:rFonts w:hint="eastAsia" w:ascii="宋体" w:hAnsi="宋体" w:cs="宋体"/>
          <w:color w:val="auto"/>
          <w:szCs w:val="21"/>
          <w:highlight w:val="none"/>
        </w:rPr>
        <w:t>设备供应价、包装费、运杂费（含保险费）、</w:t>
      </w:r>
      <w:r>
        <w:rPr>
          <w:rFonts w:hint="eastAsia" w:ascii="宋体" w:hAnsi="宋体" w:cs="宋体"/>
          <w:color w:val="auto"/>
          <w:szCs w:val="21"/>
          <w:highlight w:val="none"/>
          <w:lang w:val="en-US" w:eastAsia="zh-CN"/>
        </w:rPr>
        <w:t>进口设备清关费、</w:t>
      </w:r>
      <w:r>
        <w:rPr>
          <w:rFonts w:hint="eastAsia" w:ascii="宋体" w:hAnsi="宋体" w:cs="宋体"/>
          <w:color w:val="auto"/>
          <w:szCs w:val="21"/>
          <w:highlight w:val="none"/>
        </w:rPr>
        <w:t>装卸费、二次吊装费、检测费（含质保期内的检测）、</w:t>
      </w:r>
      <w:r>
        <w:rPr>
          <w:rFonts w:hint="eastAsia" w:ascii="宋体" w:hAnsi="宋体" w:cs="宋体"/>
          <w:color w:val="auto"/>
          <w:szCs w:val="21"/>
          <w:highlight w:val="none"/>
          <w:lang w:val="zh-CN"/>
        </w:rPr>
        <w:t>设备安装调试费、</w:t>
      </w:r>
      <w:r>
        <w:rPr>
          <w:rFonts w:hint="eastAsia" w:ascii="宋体" w:hAnsi="宋体" w:cs="宋体"/>
          <w:color w:val="auto"/>
          <w:szCs w:val="21"/>
          <w:highlight w:val="none"/>
        </w:rPr>
        <w:t>安全费、验货前现场保管、验货、安装前现场保管、配合验收及验收前保管、培训、技术服务（包括技术资料、图纸的提供）、质保期保障、相关售后服务、管理费、利润、规费、税金</w:t>
      </w:r>
      <w:r>
        <w:rPr>
          <w:rFonts w:ascii="宋体" w:hAnsi="宋体"/>
          <w:color w:val="auto"/>
          <w:szCs w:val="21"/>
          <w:highlight w:val="none"/>
        </w:rPr>
        <w:t>等所有费用，</w:t>
      </w:r>
      <w:r>
        <w:rPr>
          <w:rFonts w:hint="eastAsia" w:ascii="宋体" w:hAnsi="宋体"/>
          <w:color w:val="auto"/>
          <w:szCs w:val="21"/>
          <w:highlight w:val="none"/>
          <w:lang w:eastAsia="zh-CN"/>
        </w:rPr>
        <w:t>投标单位</w:t>
      </w:r>
      <w:r>
        <w:rPr>
          <w:rFonts w:ascii="宋体" w:hAnsi="宋体"/>
          <w:color w:val="auto"/>
          <w:szCs w:val="21"/>
          <w:highlight w:val="none"/>
        </w:rPr>
        <w:t>应充分考虑各种费用、市场风险、责任、合同主要条款和付款条件等。</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11．投标货币</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投标函、投标报价清单中的报价一律用人民币填报。</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lang w:eastAsia="zh-CN"/>
        </w:rPr>
        <w:t>投标单位</w:t>
      </w:r>
      <w:r>
        <w:rPr>
          <w:rFonts w:ascii="宋体" w:hAnsi="宋体"/>
          <w:color w:val="auto"/>
          <w:szCs w:val="21"/>
          <w:highlight w:val="none"/>
        </w:rPr>
        <w:t>资格的证明文件</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必须提交证明其有资格进行投标和有能力履行合同的文件，详细填写有关表格，作为投标文件的一部分。</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lang w:eastAsia="zh-CN"/>
        </w:rPr>
        <w:t>投标单位</w:t>
      </w:r>
      <w:r>
        <w:rPr>
          <w:rFonts w:hint="eastAsia" w:ascii="宋体" w:hAnsi="宋体"/>
          <w:color w:val="auto"/>
          <w:szCs w:val="21"/>
          <w:highlight w:val="none"/>
        </w:rPr>
        <w:t>应符合招标文件中资格要求的所有内容。</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13．投标货物符合招标文件规定的技术</w:t>
      </w:r>
      <w:r>
        <w:rPr>
          <w:rFonts w:hint="eastAsia" w:ascii="宋体" w:hAnsi="宋体"/>
          <w:color w:val="auto"/>
          <w:szCs w:val="21"/>
          <w:highlight w:val="none"/>
        </w:rPr>
        <w:t>规范及要求。</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lang w:eastAsia="zh-CN"/>
        </w:rPr>
        <w:t>投标单位</w:t>
      </w:r>
      <w:r>
        <w:rPr>
          <w:rFonts w:hint="eastAsia" w:ascii="宋体" w:hAnsi="宋体"/>
          <w:color w:val="auto"/>
          <w:szCs w:val="21"/>
          <w:highlight w:val="none"/>
        </w:rPr>
        <w:t>应对招标文件中的各项条款做出清晰准确的答复。</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13.2 上述文件可以是文字资料、图纸和数据，并须提供货物主要性能的详细描述。</w:t>
      </w:r>
    </w:p>
    <w:p>
      <w:pPr>
        <w:spacing w:line="360" w:lineRule="auto"/>
        <w:ind w:firstLine="411" w:firstLineChars="196"/>
        <w:rPr>
          <w:rFonts w:hint="default" w:ascii="宋体" w:hAnsi="宋体" w:eastAsia="宋体"/>
          <w:color w:val="auto"/>
          <w:szCs w:val="21"/>
          <w:highlight w:val="none"/>
          <w:lang w:val="en-US" w:eastAsia="zh-CN"/>
        </w:rPr>
      </w:pPr>
      <w:r>
        <w:rPr>
          <w:rFonts w:ascii="宋体" w:hAnsi="宋体"/>
          <w:color w:val="auto"/>
          <w:szCs w:val="21"/>
          <w:highlight w:val="none"/>
        </w:rPr>
        <w:t>14．投标保证金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无</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15．投标有效期</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 xml:space="preserve"> </w:t>
      </w:r>
      <w:r>
        <w:rPr>
          <w:rFonts w:ascii="宋体" w:hAnsi="宋体"/>
          <w:color w:val="auto"/>
          <w:szCs w:val="21"/>
          <w:highlight w:val="none"/>
        </w:rPr>
        <w:t>投标有效期：见</w:t>
      </w:r>
      <w:r>
        <w:rPr>
          <w:rFonts w:hint="eastAsia" w:ascii="宋体" w:hAnsi="宋体"/>
          <w:color w:val="auto"/>
          <w:szCs w:val="21"/>
          <w:highlight w:val="none"/>
          <w:lang w:eastAsia="zh-CN"/>
        </w:rPr>
        <w:t>投标单位</w:t>
      </w:r>
      <w:r>
        <w:rPr>
          <w:rFonts w:ascii="宋体" w:hAnsi="宋体"/>
          <w:color w:val="auto"/>
          <w:szCs w:val="21"/>
          <w:highlight w:val="none"/>
        </w:rPr>
        <w:t>须知前附表。</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15.2</w:t>
      </w:r>
      <w:r>
        <w:rPr>
          <w:rFonts w:hint="eastAsia" w:ascii="宋体" w:hAnsi="宋体"/>
          <w:color w:val="auto"/>
          <w:szCs w:val="21"/>
          <w:highlight w:val="none"/>
        </w:rPr>
        <w:t xml:space="preserve"> </w:t>
      </w:r>
      <w:r>
        <w:rPr>
          <w:rFonts w:ascii="宋体" w:hAnsi="宋体"/>
          <w:color w:val="auto"/>
          <w:szCs w:val="21"/>
          <w:highlight w:val="none"/>
        </w:rPr>
        <w:t>特殊情况下，</w:t>
      </w:r>
      <w:r>
        <w:rPr>
          <w:rFonts w:hint="eastAsia" w:ascii="宋体" w:hAnsi="宋体"/>
          <w:color w:val="auto"/>
          <w:szCs w:val="21"/>
          <w:highlight w:val="none"/>
          <w:lang w:eastAsia="zh-CN"/>
        </w:rPr>
        <w:t>投标单位</w:t>
      </w:r>
      <w:r>
        <w:rPr>
          <w:rFonts w:ascii="宋体" w:hAnsi="宋体"/>
          <w:color w:val="auto"/>
          <w:szCs w:val="21"/>
          <w:highlight w:val="none"/>
        </w:rPr>
        <w:t>可于投标有效期满之前要求</w:t>
      </w:r>
      <w:r>
        <w:rPr>
          <w:rFonts w:hint="eastAsia" w:ascii="宋体" w:hAnsi="宋体"/>
          <w:color w:val="auto"/>
          <w:szCs w:val="21"/>
          <w:highlight w:val="none"/>
          <w:lang w:eastAsia="zh-CN"/>
        </w:rPr>
        <w:t>投标单位</w:t>
      </w:r>
      <w:r>
        <w:rPr>
          <w:rFonts w:ascii="宋体" w:hAnsi="宋体"/>
          <w:color w:val="auto"/>
          <w:szCs w:val="21"/>
          <w:highlight w:val="none"/>
        </w:rPr>
        <w:t>同意延长有效期，要求与答复均以书面形式。</w:t>
      </w:r>
      <w:r>
        <w:rPr>
          <w:rFonts w:hint="eastAsia" w:ascii="宋体" w:hAnsi="宋体"/>
          <w:color w:val="auto"/>
          <w:szCs w:val="21"/>
          <w:highlight w:val="none"/>
          <w:lang w:eastAsia="zh-CN"/>
        </w:rPr>
        <w:t>投标单位</w:t>
      </w:r>
      <w:r>
        <w:rPr>
          <w:rFonts w:ascii="宋体" w:hAnsi="宋体"/>
          <w:color w:val="auto"/>
          <w:szCs w:val="21"/>
          <w:highlight w:val="none"/>
        </w:rPr>
        <w:t>可以拒绝上述要求。对于同意该要求的</w:t>
      </w:r>
      <w:r>
        <w:rPr>
          <w:rFonts w:hint="eastAsia" w:ascii="宋体" w:hAnsi="宋体"/>
          <w:color w:val="auto"/>
          <w:szCs w:val="21"/>
          <w:highlight w:val="none"/>
          <w:lang w:eastAsia="zh-CN"/>
        </w:rPr>
        <w:t>投标单位</w:t>
      </w:r>
      <w:r>
        <w:rPr>
          <w:rFonts w:ascii="宋体" w:hAnsi="宋体"/>
          <w:color w:val="auto"/>
          <w:szCs w:val="21"/>
          <w:highlight w:val="none"/>
        </w:rPr>
        <w:t>，既不要求也不允许其修改投标文件。</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16．投标文件的签署及规定</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16.1</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须按照招标文件的份数要求提供投标文件，在每一份投标文件上要明确注明“正本”</w:t>
      </w:r>
      <w:r>
        <w:rPr>
          <w:rFonts w:hint="eastAsia" w:ascii="宋体" w:hAnsi="宋体"/>
          <w:color w:val="auto"/>
          <w:szCs w:val="21"/>
          <w:highlight w:val="none"/>
        </w:rPr>
        <w:t>、</w:t>
      </w:r>
      <w:r>
        <w:rPr>
          <w:rFonts w:ascii="宋体" w:hAnsi="宋体"/>
          <w:color w:val="auto"/>
          <w:szCs w:val="21"/>
          <w:highlight w:val="none"/>
        </w:rPr>
        <w:t>“副本”字样，一旦正本和副本有差异，以正本为准。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16.2</w:t>
      </w:r>
      <w:r>
        <w:rPr>
          <w:rFonts w:hint="eastAsia" w:ascii="宋体" w:hAnsi="宋体"/>
          <w:color w:val="auto"/>
          <w:szCs w:val="21"/>
          <w:highlight w:val="none"/>
        </w:rPr>
        <w:t xml:space="preserve"> </w:t>
      </w:r>
      <w:r>
        <w:rPr>
          <w:rFonts w:ascii="宋体" w:hAnsi="宋体"/>
          <w:color w:val="auto"/>
          <w:szCs w:val="21"/>
          <w:highlight w:val="none"/>
        </w:rPr>
        <w:t>投标文件正本和副本均应使用不能擦去的墨水打印或书写，并由</w:t>
      </w:r>
      <w:r>
        <w:rPr>
          <w:rFonts w:hint="eastAsia" w:ascii="宋体" w:hAnsi="宋体"/>
          <w:color w:val="auto"/>
          <w:szCs w:val="21"/>
          <w:highlight w:val="none"/>
          <w:lang w:eastAsia="zh-CN"/>
        </w:rPr>
        <w:t>投标单位</w:t>
      </w:r>
      <w:r>
        <w:rPr>
          <w:rFonts w:ascii="宋体" w:hAnsi="宋体"/>
          <w:color w:val="auto"/>
          <w:szCs w:val="21"/>
          <w:highlight w:val="none"/>
        </w:rPr>
        <w:t>法定代表人或其正式授权的委托代理人签署，且加盖</w:t>
      </w:r>
      <w:r>
        <w:rPr>
          <w:rFonts w:hint="eastAsia" w:ascii="宋体" w:hAnsi="宋体"/>
          <w:color w:val="auto"/>
          <w:szCs w:val="21"/>
          <w:highlight w:val="none"/>
          <w:lang w:eastAsia="zh-CN"/>
        </w:rPr>
        <w:t>投标单位</w:t>
      </w:r>
      <w:r>
        <w:rPr>
          <w:rFonts w:ascii="宋体" w:hAnsi="宋体"/>
          <w:color w:val="auto"/>
          <w:szCs w:val="21"/>
          <w:highlight w:val="none"/>
        </w:rPr>
        <w:t>公章。</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lang w:eastAsia="zh-CN"/>
        </w:rPr>
        <w:t>投标单位</w:t>
      </w:r>
      <w:r>
        <w:rPr>
          <w:rFonts w:ascii="宋体" w:hAnsi="宋体"/>
          <w:color w:val="auto"/>
          <w:szCs w:val="21"/>
          <w:highlight w:val="none"/>
        </w:rPr>
        <w:t>除对错处作必要修改外，投标文件中不许有加行、涂抹或改写。若有修改须由投标文件签署人签</w:t>
      </w:r>
      <w:r>
        <w:rPr>
          <w:rFonts w:hint="eastAsia" w:ascii="宋体" w:hAnsi="宋体"/>
          <w:color w:val="auto"/>
          <w:szCs w:val="21"/>
          <w:highlight w:val="none"/>
        </w:rPr>
        <w:t>字</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16.4 以电报、电话、传真、电子邮件等形式投标概不接受。</w:t>
      </w:r>
    </w:p>
    <w:p>
      <w:pPr>
        <w:pStyle w:val="5"/>
        <w:jc w:val="center"/>
        <w:rPr>
          <w:rFonts w:ascii="宋体" w:hAnsi="宋体"/>
          <w:color w:val="auto"/>
          <w:sz w:val="28"/>
          <w:szCs w:val="28"/>
          <w:highlight w:val="none"/>
        </w:rPr>
      </w:pPr>
      <w:bookmarkStart w:id="54" w:name="_Toc269407614"/>
      <w:bookmarkStart w:id="55" w:name="_Toc54404817"/>
      <w:bookmarkStart w:id="56" w:name="_Toc67552690"/>
      <w:bookmarkStart w:id="57" w:name="_Toc250572266"/>
      <w:bookmarkStart w:id="58" w:name="_Toc12453"/>
      <w:bookmarkStart w:id="59" w:name="_Toc235544705"/>
      <w:bookmarkStart w:id="60" w:name="_Toc238899380"/>
      <w:r>
        <w:rPr>
          <w:rFonts w:ascii="宋体" w:hAnsi="宋体"/>
          <w:color w:val="auto"/>
          <w:sz w:val="28"/>
          <w:szCs w:val="28"/>
          <w:highlight w:val="none"/>
        </w:rPr>
        <w:t>四、投标文件的递交</w:t>
      </w:r>
      <w:bookmarkEnd w:id="54"/>
      <w:bookmarkEnd w:id="55"/>
      <w:bookmarkEnd w:id="56"/>
      <w:bookmarkEnd w:id="57"/>
      <w:bookmarkEnd w:id="58"/>
      <w:bookmarkEnd w:id="59"/>
      <w:bookmarkEnd w:id="60"/>
    </w:p>
    <w:p>
      <w:pPr>
        <w:spacing w:line="360" w:lineRule="auto"/>
        <w:ind w:firstLine="411" w:firstLineChars="196"/>
        <w:rPr>
          <w:rFonts w:ascii="宋体" w:hAnsi="宋体"/>
          <w:color w:val="auto"/>
          <w:szCs w:val="21"/>
          <w:highlight w:val="none"/>
        </w:rPr>
      </w:pPr>
      <w:r>
        <w:rPr>
          <w:rFonts w:ascii="宋体" w:hAnsi="宋体"/>
          <w:color w:val="auto"/>
          <w:szCs w:val="21"/>
          <w:highlight w:val="none"/>
        </w:rPr>
        <w:t>17．投标文件的密封、标记</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lang w:eastAsia="zh-CN"/>
        </w:rPr>
        <w:t>投标单位</w:t>
      </w:r>
      <w:r>
        <w:rPr>
          <w:rFonts w:ascii="宋体" w:hAnsi="宋体"/>
          <w:color w:val="auto"/>
          <w:szCs w:val="21"/>
          <w:highlight w:val="none"/>
        </w:rPr>
        <w:t>应将</w:t>
      </w:r>
      <w:r>
        <w:rPr>
          <w:rFonts w:hint="eastAsia" w:ascii="宋体" w:hAnsi="宋体"/>
          <w:color w:val="auto"/>
          <w:szCs w:val="21"/>
          <w:highlight w:val="none"/>
        </w:rPr>
        <w:t>正、副本</w:t>
      </w:r>
      <w:r>
        <w:rPr>
          <w:rFonts w:ascii="宋体" w:hAnsi="宋体"/>
          <w:color w:val="auto"/>
          <w:szCs w:val="21"/>
          <w:highlight w:val="none"/>
        </w:rPr>
        <w:t>分别装订，密封袋上应标明“项目名称”及“</w:t>
      </w:r>
      <w:r>
        <w:rPr>
          <w:rFonts w:hint="eastAsia" w:ascii="宋体" w:hAnsi="宋体"/>
          <w:color w:val="auto"/>
          <w:szCs w:val="21"/>
          <w:highlight w:val="none"/>
        </w:rPr>
        <w:t>项目</w:t>
      </w:r>
      <w:r>
        <w:rPr>
          <w:rFonts w:ascii="宋体" w:hAnsi="宋体"/>
          <w:color w:val="auto"/>
          <w:szCs w:val="21"/>
          <w:highlight w:val="none"/>
        </w:rPr>
        <w:t>编号”，并加盖</w:t>
      </w:r>
      <w:r>
        <w:rPr>
          <w:rFonts w:hint="eastAsia" w:ascii="宋体" w:hAnsi="宋体"/>
          <w:color w:val="auto"/>
          <w:szCs w:val="21"/>
          <w:highlight w:val="none"/>
          <w:lang w:eastAsia="zh-CN"/>
        </w:rPr>
        <w:t>投标单位</w:t>
      </w:r>
      <w:r>
        <w:rPr>
          <w:rFonts w:ascii="宋体" w:hAnsi="宋体"/>
          <w:color w:val="auto"/>
          <w:szCs w:val="21"/>
          <w:highlight w:val="none"/>
        </w:rPr>
        <w:t>公章</w:t>
      </w:r>
      <w:r>
        <w:rPr>
          <w:rFonts w:hint="eastAsia" w:ascii="宋体" w:hAnsi="宋体"/>
          <w:color w:val="auto"/>
          <w:szCs w:val="21"/>
          <w:highlight w:val="none"/>
        </w:rPr>
        <w:t>及法定代表人或其授权委托人签字或盖章</w:t>
      </w:r>
      <w:r>
        <w:rPr>
          <w:rFonts w:ascii="宋体" w:hAnsi="宋体"/>
          <w:color w:val="auto"/>
          <w:szCs w:val="21"/>
          <w:highlight w:val="none"/>
        </w:rPr>
        <w:t>。密封袋上应注明“于________之前（指</w:t>
      </w:r>
      <w:r>
        <w:rPr>
          <w:rFonts w:hint="eastAsia" w:ascii="宋体" w:hAnsi="宋体"/>
          <w:color w:val="auto"/>
          <w:szCs w:val="21"/>
          <w:highlight w:val="none"/>
          <w:lang w:eastAsia="zh-CN"/>
        </w:rPr>
        <w:t>投标单位</w:t>
      </w:r>
      <w:r>
        <w:rPr>
          <w:rFonts w:ascii="宋体" w:hAnsi="宋体"/>
          <w:color w:val="auto"/>
          <w:szCs w:val="21"/>
          <w:highlight w:val="none"/>
        </w:rPr>
        <w:t>须知中规定的开标日期及时间）不准启封”的字样。</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17.2</w:t>
      </w:r>
      <w:r>
        <w:rPr>
          <w:rFonts w:hint="eastAsia" w:ascii="宋体" w:hAnsi="宋体"/>
          <w:color w:val="auto"/>
          <w:szCs w:val="21"/>
          <w:highlight w:val="none"/>
        </w:rPr>
        <w:t xml:space="preserve"> </w:t>
      </w:r>
      <w:r>
        <w:rPr>
          <w:rFonts w:ascii="宋体" w:hAnsi="宋体"/>
          <w:color w:val="auto"/>
          <w:szCs w:val="21"/>
          <w:highlight w:val="none"/>
        </w:rPr>
        <w:t>如果未按上述规定进行密封和标记，</w:t>
      </w:r>
      <w:r>
        <w:rPr>
          <w:rFonts w:hint="eastAsia" w:ascii="宋体" w:hAnsi="宋体"/>
          <w:color w:val="auto"/>
          <w:szCs w:val="21"/>
          <w:highlight w:val="none"/>
        </w:rPr>
        <w:t>采购</w:t>
      </w:r>
      <w:r>
        <w:rPr>
          <w:rFonts w:ascii="宋体" w:hAnsi="宋体"/>
          <w:color w:val="auto"/>
          <w:szCs w:val="21"/>
          <w:highlight w:val="none"/>
        </w:rPr>
        <w:t>人可以拒收或者告知</w:t>
      </w:r>
      <w:r>
        <w:rPr>
          <w:rFonts w:hint="eastAsia" w:ascii="宋体" w:hAnsi="宋体"/>
          <w:color w:val="auto"/>
          <w:szCs w:val="21"/>
          <w:highlight w:val="none"/>
          <w:lang w:eastAsia="zh-CN"/>
        </w:rPr>
        <w:t>投标单位</w:t>
      </w:r>
      <w:r>
        <w:rPr>
          <w:rFonts w:ascii="宋体" w:hAnsi="宋体"/>
          <w:color w:val="auto"/>
          <w:szCs w:val="21"/>
          <w:highlight w:val="none"/>
        </w:rPr>
        <w:t>，</w:t>
      </w:r>
      <w:r>
        <w:rPr>
          <w:rFonts w:hint="eastAsia" w:ascii="宋体" w:hAnsi="宋体"/>
          <w:color w:val="auto"/>
          <w:szCs w:val="21"/>
          <w:highlight w:val="none"/>
        </w:rPr>
        <w:t>采购</w:t>
      </w:r>
      <w:r>
        <w:rPr>
          <w:rFonts w:ascii="宋体" w:hAnsi="宋体"/>
          <w:color w:val="auto"/>
          <w:szCs w:val="21"/>
          <w:highlight w:val="none"/>
        </w:rPr>
        <w:t>人将不承担投标文件错放、提前开封、泄露商业机密等任何责任。对于提前开封的投标文件将视为投标无效。</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18．递交投标文件的截止时间</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18.1</w:t>
      </w:r>
      <w:r>
        <w:rPr>
          <w:rFonts w:hint="eastAsia" w:ascii="宋体" w:hAnsi="宋体"/>
          <w:color w:val="auto"/>
          <w:szCs w:val="21"/>
          <w:highlight w:val="none"/>
        </w:rPr>
        <w:t xml:space="preserve"> </w:t>
      </w:r>
      <w:r>
        <w:rPr>
          <w:rFonts w:ascii="宋体" w:hAnsi="宋体"/>
          <w:color w:val="auto"/>
          <w:szCs w:val="21"/>
          <w:highlight w:val="none"/>
        </w:rPr>
        <w:t>投标文件由专人提交，</w:t>
      </w:r>
      <w:r>
        <w:rPr>
          <w:rFonts w:hint="eastAsia" w:ascii="宋体" w:hAnsi="宋体"/>
          <w:color w:val="auto"/>
          <w:szCs w:val="21"/>
          <w:highlight w:val="none"/>
          <w:lang w:eastAsia="zh-CN"/>
        </w:rPr>
        <w:t>投标单位</w:t>
      </w:r>
      <w:r>
        <w:rPr>
          <w:rFonts w:ascii="宋体" w:hAnsi="宋体"/>
          <w:color w:val="auto"/>
          <w:szCs w:val="21"/>
          <w:highlight w:val="none"/>
        </w:rPr>
        <w:t>应将</w:t>
      </w:r>
      <w:r>
        <w:rPr>
          <w:rFonts w:hint="eastAsia" w:ascii="宋体" w:hAnsi="宋体"/>
          <w:color w:val="auto"/>
          <w:szCs w:val="21"/>
          <w:highlight w:val="none"/>
        </w:rPr>
        <w:t>投</w:t>
      </w:r>
      <w:r>
        <w:rPr>
          <w:rFonts w:ascii="宋体" w:hAnsi="宋体"/>
          <w:color w:val="auto"/>
          <w:szCs w:val="21"/>
          <w:highlight w:val="none"/>
        </w:rPr>
        <w:t>标文件按</w:t>
      </w:r>
      <w:r>
        <w:rPr>
          <w:rFonts w:hint="eastAsia" w:ascii="宋体" w:hAnsi="宋体"/>
          <w:color w:val="auto"/>
          <w:szCs w:val="21"/>
          <w:highlight w:val="none"/>
          <w:lang w:eastAsia="zh-CN"/>
        </w:rPr>
        <w:t>投标单位</w:t>
      </w:r>
      <w:r>
        <w:rPr>
          <w:rFonts w:hint="eastAsia" w:ascii="宋体" w:hAnsi="宋体"/>
          <w:color w:val="auto"/>
          <w:szCs w:val="21"/>
          <w:highlight w:val="none"/>
        </w:rPr>
        <w:t>须知</w:t>
      </w:r>
      <w:r>
        <w:rPr>
          <w:rFonts w:ascii="宋体" w:hAnsi="宋体"/>
          <w:color w:val="auto"/>
          <w:szCs w:val="21"/>
          <w:highlight w:val="none"/>
        </w:rPr>
        <w:t>的规定进行密封和标记，按</w:t>
      </w:r>
      <w:r>
        <w:rPr>
          <w:rFonts w:hint="eastAsia" w:ascii="宋体" w:hAnsi="宋体"/>
          <w:color w:val="auto"/>
          <w:szCs w:val="21"/>
          <w:highlight w:val="none"/>
          <w:lang w:eastAsia="zh-CN"/>
        </w:rPr>
        <w:t>投标单位</w:t>
      </w:r>
      <w:r>
        <w:rPr>
          <w:rFonts w:hint="eastAsia" w:ascii="宋体" w:hAnsi="宋体"/>
          <w:color w:val="auto"/>
          <w:szCs w:val="21"/>
          <w:highlight w:val="none"/>
        </w:rPr>
        <w:t>须知</w:t>
      </w:r>
      <w:r>
        <w:rPr>
          <w:rFonts w:ascii="宋体" w:hAnsi="宋体"/>
          <w:color w:val="auto"/>
          <w:szCs w:val="21"/>
          <w:highlight w:val="none"/>
        </w:rPr>
        <w:t>前附表要求的时间、地点送交</w:t>
      </w:r>
      <w:r>
        <w:rPr>
          <w:rFonts w:hint="eastAsia" w:ascii="宋体" w:hAnsi="宋体"/>
          <w:color w:val="auto"/>
          <w:szCs w:val="21"/>
          <w:highlight w:val="none"/>
        </w:rPr>
        <w:t>采购代理机构</w:t>
      </w:r>
      <w:r>
        <w:rPr>
          <w:rFonts w:ascii="宋体" w:hAnsi="宋体"/>
          <w:color w:val="auto"/>
          <w:szCs w:val="21"/>
          <w:highlight w:val="none"/>
        </w:rPr>
        <w:t>，超过规定时限送交的投标文件，</w:t>
      </w:r>
      <w:r>
        <w:rPr>
          <w:rFonts w:hint="eastAsia" w:ascii="宋体" w:hAnsi="宋体"/>
          <w:color w:val="auto"/>
          <w:szCs w:val="21"/>
          <w:highlight w:val="none"/>
        </w:rPr>
        <w:t>采购</w:t>
      </w:r>
      <w:r>
        <w:rPr>
          <w:rFonts w:ascii="宋体" w:hAnsi="宋体"/>
          <w:color w:val="auto"/>
          <w:szCs w:val="21"/>
          <w:highlight w:val="none"/>
        </w:rPr>
        <w:t>人将</w:t>
      </w:r>
      <w:r>
        <w:rPr>
          <w:rFonts w:hint="eastAsia" w:ascii="宋体" w:hAnsi="宋体"/>
          <w:color w:val="auto"/>
          <w:szCs w:val="21"/>
          <w:highlight w:val="none"/>
        </w:rPr>
        <w:t>不</w:t>
      </w:r>
      <w:r>
        <w:rPr>
          <w:rFonts w:ascii="宋体" w:hAnsi="宋体"/>
          <w:color w:val="auto"/>
          <w:szCs w:val="21"/>
          <w:highlight w:val="none"/>
        </w:rPr>
        <w:t>予接收。</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18.2</w:t>
      </w:r>
      <w:r>
        <w:rPr>
          <w:rFonts w:hint="eastAsia" w:ascii="宋体" w:hAnsi="宋体"/>
          <w:color w:val="auto"/>
          <w:szCs w:val="21"/>
          <w:highlight w:val="none"/>
        </w:rPr>
        <w:t xml:space="preserve"> 采购</w:t>
      </w:r>
      <w:r>
        <w:rPr>
          <w:rFonts w:ascii="宋体" w:hAnsi="宋体"/>
          <w:color w:val="auto"/>
          <w:szCs w:val="21"/>
          <w:highlight w:val="none"/>
        </w:rPr>
        <w:t>人可以以修改补充通知的方式，酌情延长提交投标文件的截止时间。在此情况下，</w:t>
      </w:r>
      <w:r>
        <w:rPr>
          <w:rFonts w:hint="eastAsia" w:ascii="宋体" w:hAnsi="宋体"/>
          <w:color w:val="auto"/>
          <w:szCs w:val="21"/>
          <w:highlight w:val="none"/>
          <w:lang w:eastAsia="zh-CN"/>
        </w:rPr>
        <w:t>投标单位</w:t>
      </w:r>
      <w:r>
        <w:rPr>
          <w:rFonts w:ascii="宋体" w:hAnsi="宋体"/>
          <w:color w:val="auto"/>
          <w:szCs w:val="21"/>
          <w:highlight w:val="none"/>
        </w:rPr>
        <w:t>的所有权利和义务以及</w:t>
      </w:r>
      <w:r>
        <w:rPr>
          <w:rFonts w:hint="eastAsia" w:ascii="宋体" w:hAnsi="宋体"/>
          <w:color w:val="auto"/>
          <w:szCs w:val="21"/>
          <w:highlight w:val="none"/>
          <w:lang w:eastAsia="zh-CN"/>
        </w:rPr>
        <w:t>投标单位</w:t>
      </w:r>
      <w:r>
        <w:rPr>
          <w:rFonts w:ascii="宋体" w:hAnsi="宋体"/>
          <w:color w:val="auto"/>
          <w:szCs w:val="21"/>
          <w:highlight w:val="none"/>
        </w:rPr>
        <w:t>受制约的截止时间，均以延长后新的投标截止时间为准。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19．迟交的投标文件</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人将拒绝在投标截止时间后递交的投标文件。</w:t>
      </w:r>
    </w:p>
    <w:p>
      <w:pPr>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20．投标文件的修改和撤</w:t>
      </w:r>
      <w:r>
        <w:rPr>
          <w:rFonts w:hint="eastAsia" w:ascii="宋体" w:hAnsi="宋体"/>
          <w:color w:val="auto"/>
          <w:szCs w:val="21"/>
          <w:highlight w:val="none"/>
        </w:rPr>
        <w:t>销</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20.1</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在提交投标文件以后，在规定的投标截止时间之前，可以书面形式补充修改或撤回已提交的投标文件，并以书面形式通知</w:t>
      </w:r>
      <w:r>
        <w:rPr>
          <w:rFonts w:hint="eastAsia" w:ascii="宋体" w:hAnsi="宋体"/>
          <w:color w:val="auto"/>
          <w:szCs w:val="21"/>
          <w:highlight w:val="none"/>
        </w:rPr>
        <w:t>采购</w:t>
      </w:r>
      <w:r>
        <w:rPr>
          <w:rFonts w:ascii="宋体" w:hAnsi="宋体"/>
          <w:color w:val="auto"/>
          <w:szCs w:val="21"/>
          <w:highlight w:val="none"/>
        </w:rPr>
        <w:t>人。补充、修改的内容作为投标文件的组成部分。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对投标文件的补充、修改，应按本须知有关规定密封、标记和提交，并在内外层投标文件密封袋上清楚标明“补充、修改”或“撤回”字样。</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20.3</w:t>
      </w:r>
      <w:r>
        <w:rPr>
          <w:rFonts w:hint="eastAsia" w:ascii="宋体" w:hAnsi="宋体"/>
          <w:color w:val="auto"/>
          <w:szCs w:val="21"/>
          <w:highlight w:val="none"/>
        </w:rPr>
        <w:t xml:space="preserve"> </w:t>
      </w:r>
      <w:r>
        <w:rPr>
          <w:rFonts w:ascii="宋体" w:hAnsi="宋体"/>
          <w:color w:val="auto"/>
          <w:szCs w:val="21"/>
          <w:highlight w:val="none"/>
        </w:rPr>
        <w:t>投标截止时间以后，</w:t>
      </w:r>
      <w:r>
        <w:rPr>
          <w:rFonts w:hint="eastAsia" w:ascii="宋体" w:hAnsi="宋体"/>
          <w:color w:val="auto"/>
          <w:szCs w:val="21"/>
          <w:highlight w:val="none"/>
          <w:lang w:eastAsia="zh-CN"/>
        </w:rPr>
        <w:t>投标单位</w:t>
      </w:r>
      <w:r>
        <w:rPr>
          <w:rFonts w:ascii="宋体" w:hAnsi="宋体"/>
          <w:color w:val="auto"/>
          <w:szCs w:val="21"/>
          <w:highlight w:val="none"/>
        </w:rPr>
        <w:t>不得补充、修改投标文件。</w:t>
      </w:r>
    </w:p>
    <w:p>
      <w:pPr>
        <w:spacing w:line="360" w:lineRule="auto"/>
        <w:ind w:firstLine="411" w:firstLineChars="196"/>
        <w:rPr>
          <w:rFonts w:ascii="宋体" w:hAnsi="宋体"/>
          <w:color w:val="auto"/>
          <w:sz w:val="24"/>
          <w:szCs w:val="24"/>
          <w:highlight w:val="none"/>
        </w:rPr>
      </w:pPr>
      <w:r>
        <w:rPr>
          <w:rFonts w:ascii="宋体" w:hAnsi="宋体"/>
          <w:color w:val="auto"/>
          <w:szCs w:val="21"/>
          <w:highlight w:val="none"/>
        </w:rPr>
        <w:t>20.4</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投标单位</w:t>
      </w:r>
      <w:r>
        <w:rPr>
          <w:rFonts w:ascii="宋体" w:hAnsi="宋体"/>
          <w:color w:val="auto"/>
          <w:szCs w:val="21"/>
          <w:highlight w:val="none"/>
        </w:rPr>
        <w:t>不得在投标有效期</w:t>
      </w:r>
      <w:r>
        <w:rPr>
          <w:rFonts w:hint="eastAsia" w:ascii="宋体" w:hAnsi="宋体"/>
          <w:color w:val="auto"/>
          <w:szCs w:val="21"/>
          <w:highlight w:val="none"/>
        </w:rPr>
        <w:t>内</w:t>
      </w:r>
      <w:r>
        <w:rPr>
          <w:rFonts w:ascii="宋体" w:hAnsi="宋体"/>
          <w:color w:val="auto"/>
          <w:szCs w:val="21"/>
          <w:highlight w:val="none"/>
        </w:rPr>
        <w:t>，撤</w:t>
      </w:r>
      <w:r>
        <w:rPr>
          <w:rFonts w:hint="eastAsia" w:ascii="宋体" w:hAnsi="宋体"/>
          <w:color w:val="auto"/>
          <w:szCs w:val="21"/>
          <w:highlight w:val="none"/>
        </w:rPr>
        <w:t>销</w:t>
      </w:r>
      <w:r>
        <w:rPr>
          <w:rFonts w:ascii="宋体" w:hAnsi="宋体"/>
          <w:color w:val="auto"/>
          <w:szCs w:val="21"/>
          <w:highlight w:val="none"/>
        </w:rPr>
        <w:t>投标文件。</w:t>
      </w:r>
    </w:p>
    <w:p>
      <w:pPr>
        <w:pStyle w:val="5"/>
        <w:jc w:val="center"/>
        <w:rPr>
          <w:rFonts w:ascii="宋体" w:hAnsi="宋体"/>
          <w:color w:val="auto"/>
          <w:sz w:val="28"/>
          <w:szCs w:val="28"/>
          <w:highlight w:val="none"/>
        </w:rPr>
      </w:pPr>
      <w:bookmarkStart w:id="61" w:name="_Toc54404818"/>
      <w:bookmarkStart w:id="62" w:name="_Toc67552691"/>
      <w:bookmarkStart w:id="63" w:name="_Toc235544706"/>
      <w:bookmarkStart w:id="64" w:name="_Toc250572267"/>
      <w:bookmarkStart w:id="65" w:name="_Toc238899381"/>
      <w:bookmarkStart w:id="66" w:name="_Toc9240"/>
      <w:bookmarkStart w:id="67" w:name="_Toc269407615"/>
      <w:r>
        <w:rPr>
          <w:rFonts w:ascii="宋体" w:hAnsi="宋体"/>
          <w:color w:val="auto"/>
          <w:sz w:val="28"/>
          <w:szCs w:val="28"/>
          <w:highlight w:val="none"/>
        </w:rPr>
        <w:t>五、开标、评标</w:t>
      </w:r>
      <w:bookmarkEnd w:id="61"/>
      <w:bookmarkEnd w:id="62"/>
      <w:bookmarkEnd w:id="63"/>
      <w:r>
        <w:rPr>
          <w:rFonts w:ascii="宋体" w:hAnsi="宋体"/>
          <w:color w:val="auto"/>
          <w:sz w:val="28"/>
          <w:szCs w:val="28"/>
          <w:highlight w:val="none"/>
        </w:rPr>
        <w:t>、推荐</w:t>
      </w:r>
      <w:r>
        <w:rPr>
          <w:rFonts w:hint="eastAsia" w:ascii="宋体" w:hAnsi="宋体"/>
          <w:color w:val="auto"/>
          <w:sz w:val="28"/>
          <w:szCs w:val="28"/>
          <w:highlight w:val="none"/>
        </w:rPr>
        <w:t>成交</w:t>
      </w:r>
      <w:r>
        <w:rPr>
          <w:rFonts w:ascii="宋体" w:hAnsi="宋体"/>
          <w:color w:val="auto"/>
          <w:sz w:val="28"/>
          <w:szCs w:val="28"/>
          <w:highlight w:val="none"/>
        </w:rPr>
        <w:t>候选人</w:t>
      </w:r>
      <w:bookmarkEnd w:id="64"/>
      <w:bookmarkEnd w:id="65"/>
      <w:bookmarkEnd w:id="66"/>
      <w:bookmarkEnd w:id="67"/>
    </w:p>
    <w:p>
      <w:pPr>
        <w:spacing w:line="360" w:lineRule="auto"/>
        <w:ind w:firstLine="411" w:firstLineChars="196"/>
        <w:rPr>
          <w:rFonts w:ascii="宋体" w:hAnsi="宋体"/>
          <w:color w:val="auto"/>
          <w:szCs w:val="21"/>
          <w:highlight w:val="none"/>
        </w:rPr>
      </w:pPr>
      <w:r>
        <w:rPr>
          <w:rFonts w:ascii="宋体" w:hAnsi="宋体"/>
          <w:color w:val="auto"/>
          <w:szCs w:val="21"/>
          <w:highlight w:val="none"/>
        </w:rPr>
        <w:t>21．开标</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21.1 开标会议在监督机构监督下，由采购代理机构组织并主持。</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21.2 开标</w:t>
      </w:r>
      <w:r>
        <w:rPr>
          <w:rFonts w:hint="eastAsia" w:ascii="宋体" w:hAnsi="宋体"/>
          <w:color w:val="auto"/>
          <w:szCs w:val="21"/>
          <w:highlight w:val="none"/>
        </w:rPr>
        <w:t>时</w:t>
      </w:r>
      <w:r>
        <w:rPr>
          <w:rFonts w:ascii="宋体" w:hAnsi="宋体"/>
          <w:color w:val="auto"/>
          <w:szCs w:val="21"/>
          <w:highlight w:val="none"/>
        </w:rPr>
        <w:t>，由监标人</w:t>
      </w:r>
      <w:r>
        <w:rPr>
          <w:rFonts w:hint="eastAsia" w:ascii="宋体" w:hAnsi="宋体"/>
          <w:color w:val="auto"/>
          <w:szCs w:val="21"/>
          <w:highlight w:val="none"/>
        </w:rPr>
        <w:t>和各</w:t>
      </w:r>
      <w:r>
        <w:rPr>
          <w:rFonts w:hint="eastAsia" w:ascii="宋体" w:hAnsi="宋体"/>
          <w:color w:val="auto"/>
          <w:szCs w:val="21"/>
          <w:highlight w:val="none"/>
          <w:lang w:eastAsia="zh-CN"/>
        </w:rPr>
        <w:t>投标单位</w:t>
      </w:r>
      <w:r>
        <w:rPr>
          <w:rFonts w:ascii="宋体" w:hAnsi="宋体"/>
          <w:color w:val="auto"/>
          <w:szCs w:val="21"/>
          <w:highlight w:val="none"/>
        </w:rPr>
        <w:t>现场对投标文件密封情况共同查验确认后签字。</w:t>
      </w:r>
      <w:r>
        <w:rPr>
          <w:rFonts w:hint="eastAsia" w:ascii="宋体" w:hAnsi="宋体"/>
          <w:color w:val="auto"/>
          <w:szCs w:val="21"/>
          <w:highlight w:val="none"/>
        </w:rPr>
        <w:t>开标过程接受</w:t>
      </w:r>
      <w:r>
        <w:rPr>
          <w:rFonts w:hint="eastAsia" w:ascii="宋体" w:hAnsi="宋体"/>
          <w:color w:val="auto"/>
          <w:szCs w:val="21"/>
          <w:highlight w:val="none"/>
          <w:lang w:eastAsia="zh-CN"/>
        </w:rPr>
        <w:t>铜川市印台区财政局</w:t>
      </w:r>
      <w:r>
        <w:rPr>
          <w:rFonts w:hint="eastAsia" w:ascii="宋体" w:hAnsi="宋体"/>
          <w:color w:val="auto"/>
          <w:szCs w:val="21"/>
          <w:highlight w:val="none"/>
        </w:rPr>
        <w:t>的监督。</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22．开标程序</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1</w:t>
      </w:r>
      <w:r>
        <w:rPr>
          <w:rFonts w:ascii="宋体" w:hAnsi="宋体"/>
          <w:color w:val="auto"/>
          <w:szCs w:val="21"/>
          <w:highlight w:val="none"/>
        </w:rPr>
        <w:t xml:space="preserve"> 投标文件经确认无误后，当众拆封，唱标人宣读</w:t>
      </w:r>
      <w:r>
        <w:rPr>
          <w:rFonts w:hint="eastAsia" w:ascii="宋体" w:hAnsi="宋体"/>
          <w:color w:val="auto"/>
          <w:szCs w:val="21"/>
          <w:highlight w:val="none"/>
          <w:lang w:eastAsia="zh-CN"/>
        </w:rPr>
        <w:t>投标单位</w:t>
      </w:r>
      <w:r>
        <w:rPr>
          <w:rFonts w:ascii="宋体" w:hAnsi="宋体"/>
          <w:color w:val="auto"/>
          <w:szCs w:val="21"/>
          <w:highlight w:val="none"/>
        </w:rPr>
        <w:t>名称、投标价格、</w:t>
      </w:r>
      <w:r>
        <w:rPr>
          <w:rFonts w:hint="eastAsia" w:ascii="宋体" w:hAnsi="宋体"/>
          <w:color w:val="auto"/>
          <w:szCs w:val="21"/>
          <w:highlight w:val="none"/>
          <w:lang w:val="en-US" w:eastAsia="zh-CN"/>
        </w:rPr>
        <w:t>工期</w:t>
      </w:r>
      <w:r>
        <w:rPr>
          <w:rFonts w:hint="eastAsia" w:ascii="宋体" w:hAnsi="宋体"/>
          <w:color w:val="auto"/>
          <w:szCs w:val="21"/>
          <w:highlight w:val="none"/>
        </w:rPr>
        <w:t>等</w:t>
      </w:r>
      <w:r>
        <w:rPr>
          <w:rFonts w:ascii="宋体" w:hAnsi="宋体"/>
          <w:color w:val="auto"/>
          <w:szCs w:val="21"/>
          <w:highlight w:val="none"/>
        </w:rPr>
        <w:t>内容。</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采购</w:t>
      </w:r>
      <w:r>
        <w:rPr>
          <w:rFonts w:ascii="宋体" w:hAnsi="宋体"/>
          <w:color w:val="auto"/>
          <w:szCs w:val="21"/>
          <w:highlight w:val="none"/>
        </w:rPr>
        <w:t>人在招标文件要求提交投标文件截止时间收到的被认为有效的投标文件，开标时都将当众予以拆封、唱标。</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23．评标委员会</w:t>
      </w:r>
    </w:p>
    <w:p>
      <w:pPr>
        <w:spacing w:line="360" w:lineRule="auto"/>
        <w:ind w:firstLine="411" w:firstLineChars="196"/>
        <w:rPr>
          <w:rFonts w:hint="eastAsia" w:ascii="宋体" w:hAnsi="宋体" w:eastAsia="宋体" w:cs="Times New Roman"/>
          <w:color w:val="auto"/>
          <w:szCs w:val="21"/>
          <w:highlight w:val="none"/>
        </w:rPr>
      </w:pPr>
      <w:r>
        <w:rPr>
          <w:rFonts w:ascii="宋体" w:hAnsi="宋体"/>
          <w:color w:val="auto"/>
          <w:szCs w:val="21"/>
          <w:highlight w:val="none"/>
        </w:rPr>
        <w:t xml:space="preserve">23.1 </w:t>
      </w:r>
      <w:r>
        <w:rPr>
          <w:rFonts w:hint="eastAsia" w:ascii="宋体" w:hAnsi="宋体"/>
          <w:color w:val="auto"/>
          <w:szCs w:val="21"/>
          <w:highlight w:val="none"/>
        </w:rPr>
        <w:t>采购</w:t>
      </w:r>
      <w:r>
        <w:rPr>
          <w:rFonts w:ascii="宋体" w:hAnsi="宋体"/>
          <w:color w:val="auto"/>
          <w:szCs w:val="21"/>
          <w:highlight w:val="none"/>
        </w:rPr>
        <w:t>人依法组建评标委员会，其成员由</w:t>
      </w:r>
      <w:r>
        <w:rPr>
          <w:rFonts w:hint="eastAsia" w:ascii="宋体" w:hAnsi="宋体"/>
          <w:color w:val="auto"/>
          <w:szCs w:val="21"/>
          <w:highlight w:val="none"/>
        </w:rPr>
        <w:t>采购</w:t>
      </w:r>
      <w:r>
        <w:rPr>
          <w:rFonts w:ascii="宋体" w:hAnsi="宋体"/>
          <w:color w:val="auto"/>
          <w:szCs w:val="21"/>
          <w:highlight w:val="none"/>
        </w:rPr>
        <w:t>人代表和有关技术、经济方面的专家组成，</w:t>
      </w:r>
      <w:r>
        <w:rPr>
          <w:rFonts w:ascii="宋体" w:hAnsi="宋体" w:eastAsia="宋体" w:cs="Times New Roman"/>
          <w:color w:val="auto"/>
          <w:szCs w:val="21"/>
          <w:highlight w:val="none"/>
        </w:rPr>
        <w:t>其中技术、经济等方面专家不少于成员总数的三分之二。</w:t>
      </w:r>
      <w:r>
        <w:rPr>
          <w:rFonts w:hint="eastAsia" w:ascii="宋体" w:hAnsi="宋体" w:eastAsia="宋体" w:cs="Times New Roman"/>
          <w:color w:val="auto"/>
          <w:szCs w:val="21"/>
          <w:highlight w:val="none"/>
        </w:rPr>
        <w:t>专家名单在专家库中随机抽取。</w:t>
      </w:r>
    </w:p>
    <w:p>
      <w:pPr>
        <w:spacing w:line="360" w:lineRule="auto"/>
        <w:ind w:firstLine="411" w:firstLineChars="196"/>
        <w:rPr>
          <w:rFonts w:ascii="宋体" w:hAnsi="宋体"/>
          <w:color w:val="auto"/>
          <w:szCs w:val="21"/>
          <w:highlight w:val="none"/>
        </w:rPr>
      </w:pPr>
      <w:r>
        <w:rPr>
          <w:rFonts w:ascii="宋体" w:hAnsi="宋体" w:eastAsia="宋体" w:cs="Times New Roman"/>
          <w:color w:val="auto"/>
          <w:szCs w:val="21"/>
          <w:highlight w:val="none"/>
        </w:rPr>
        <w:t>23.2 评标委员会应当根据招标文件规定的评标标准和方法，对投标文件进行系统地评审和</w:t>
      </w:r>
      <w:r>
        <w:rPr>
          <w:rFonts w:ascii="宋体" w:hAnsi="宋体"/>
          <w:color w:val="auto"/>
          <w:szCs w:val="21"/>
          <w:highlight w:val="none"/>
        </w:rPr>
        <w:t>比较。</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23.3 评标委员会可以书面方式要求</w:t>
      </w:r>
      <w:r>
        <w:rPr>
          <w:rFonts w:hint="eastAsia" w:ascii="宋体" w:hAnsi="宋体"/>
          <w:color w:val="auto"/>
          <w:szCs w:val="21"/>
          <w:highlight w:val="none"/>
          <w:lang w:eastAsia="zh-CN"/>
        </w:rPr>
        <w:t>投标单位</w:t>
      </w:r>
      <w:r>
        <w:rPr>
          <w:rFonts w:ascii="宋体" w:hAnsi="宋体"/>
          <w:color w:val="auto"/>
          <w:szCs w:val="21"/>
          <w:highlight w:val="none"/>
        </w:rPr>
        <w:t>对投标文件中含义不明确、对同类问题表述不一致或者有明显文字和计算错误的内容均应以书面方式作必要的澄清、说明或者补正。所作澄清、说明或者补正不得超出投标文件的范围或者改变投标文件的实质性内容。</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23.4 在评标过程中，评标委员会发现</w:t>
      </w:r>
      <w:r>
        <w:rPr>
          <w:rFonts w:hint="eastAsia" w:ascii="宋体" w:hAnsi="宋体"/>
          <w:color w:val="auto"/>
          <w:szCs w:val="21"/>
          <w:highlight w:val="none"/>
          <w:lang w:eastAsia="zh-CN"/>
        </w:rPr>
        <w:t>投标单位</w:t>
      </w:r>
      <w:r>
        <w:rPr>
          <w:rFonts w:ascii="宋体" w:hAnsi="宋体"/>
          <w:color w:val="auto"/>
          <w:szCs w:val="21"/>
          <w:highlight w:val="none"/>
        </w:rPr>
        <w:t>以他人的名义投标、串通投标、以行贿手段谋取成交或者以其它弄虚作假等方式投标的，该</w:t>
      </w:r>
      <w:r>
        <w:rPr>
          <w:rFonts w:hint="eastAsia" w:ascii="宋体" w:hAnsi="宋体"/>
          <w:color w:val="auto"/>
          <w:szCs w:val="21"/>
          <w:highlight w:val="none"/>
          <w:lang w:eastAsia="zh-CN"/>
        </w:rPr>
        <w:t>投标单位</w:t>
      </w:r>
      <w:r>
        <w:rPr>
          <w:rFonts w:ascii="宋体" w:hAnsi="宋体"/>
          <w:color w:val="auto"/>
          <w:szCs w:val="21"/>
          <w:highlight w:val="none"/>
        </w:rPr>
        <w:t>的投标应作废标处理。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23.5 在评标过程中，评标委员会发现</w:t>
      </w:r>
      <w:r>
        <w:rPr>
          <w:rFonts w:hint="eastAsia" w:ascii="宋体" w:hAnsi="宋体"/>
          <w:color w:val="auto"/>
          <w:szCs w:val="21"/>
          <w:highlight w:val="none"/>
          <w:lang w:eastAsia="zh-CN"/>
        </w:rPr>
        <w:t>投标单位</w:t>
      </w:r>
      <w:r>
        <w:rPr>
          <w:rFonts w:ascii="宋体" w:hAnsi="宋体"/>
          <w:color w:val="auto"/>
          <w:szCs w:val="21"/>
          <w:highlight w:val="none"/>
        </w:rPr>
        <w:t>的报价明显低于其它投标报价，使得其投标报价可能低于其个别成本的，应当要求该</w:t>
      </w:r>
      <w:r>
        <w:rPr>
          <w:rFonts w:hint="eastAsia" w:ascii="宋体" w:hAnsi="宋体"/>
          <w:color w:val="auto"/>
          <w:szCs w:val="21"/>
          <w:highlight w:val="none"/>
          <w:lang w:eastAsia="zh-CN"/>
        </w:rPr>
        <w:t>投标单位</w:t>
      </w:r>
      <w:r>
        <w:rPr>
          <w:rFonts w:ascii="宋体" w:hAnsi="宋体"/>
          <w:color w:val="auto"/>
          <w:szCs w:val="21"/>
          <w:highlight w:val="none"/>
        </w:rPr>
        <w:t>作出书面说明并提供相关证明材料。</w:t>
      </w:r>
      <w:r>
        <w:rPr>
          <w:rFonts w:hint="eastAsia" w:ascii="宋体" w:hAnsi="宋体"/>
          <w:color w:val="auto"/>
          <w:szCs w:val="21"/>
          <w:highlight w:val="none"/>
          <w:lang w:eastAsia="zh-CN"/>
        </w:rPr>
        <w:t>投标单位</w:t>
      </w:r>
      <w:r>
        <w:rPr>
          <w:rFonts w:ascii="宋体" w:hAnsi="宋体"/>
          <w:color w:val="auto"/>
          <w:szCs w:val="21"/>
          <w:highlight w:val="none"/>
        </w:rPr>
        <w:t>不能合理说明或者不能提供相关证明材料的，由评标委员会认定该</w:t>
      </w:r>
      <w:r>
        <w:rPr>
          <w:rFonts w:hint="eastAsia" w:ascii="宋体" w:hAnsi="宋体"/>
          <w:color w:val="auto"/>
          <w:szCs w:val="21"/>
          <w:highlight w:val="none"/>
          <w:lang w:eastAsia="zh-CN"/>
        </w:rPr>
        <w:t>投标单位</w:t>
      </w:r>
      <w:r>
        <w:rPr>
          <w:rFonts w:ascii="宋体" w:hAnsi="宋体"/>
          <w:color w:val="auto"/>
          <w:szCs w:val="21"/>
          <w:highlight w:val="none"/>
        </w:rPr>
        <w:t>以低于成本报价竞标，其投标应作废标处理。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23.6</w:t>
      </w:r>
      <w:r>
        <w:rPr>
          <w:rFonts w:hint="eastAsia" w:ascii="宋体" w:hAnsi="宋体"/>
          <w:color w:val="auto"/>
          <w:szCs w:val="21"/>
          <w:highlight w:val="none"/>
          <w:lang w:eastAsia="zh-CN"/>
        </w:rPr>
        <w:t>投标单位</w:t>
      </w:r>
      <w:r>
        <w:rPr>
          <w:rFonts w:ascii="宋体" w:hAnsi="宋体"/>
          <w:color w:val="auto"/>
          <w:szCs w:val="21"/>
          <w:highlight w:val="none"/>
        </w:rPr>
        <w:t>资格条件不符合国家有关规定和招标文件要求的，或者拒不按照要求对投标文件进行澄清、说明或者补正的，评标委员会可以否决其投标。</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23.7</w:t>
      </w:r>
      <w:r>
        <w:rPr>
          <w:rFonts w:hint="eastAsia" w:ascii="宋体" w:hAnsi="宋体"/>
          <w:color w:val="auto"/>
          <w:szCs w:val="21"/>
          <w:highlight w:val="none"/>
        </w:rPr>
        <w:t xml:space="preserve"> </w:t>
      </w:r>
      <w:r>
        <w:rPr>
          <w:rFonts w:ascii="宋体" w:hAnsi="宋体"/>
          <w:color w:val="auto"/>
          <w:szCs w:val="21"/>
          <w:highlight w:val="none"/>
        </w:rPr>
        <w:t>评标委员会将审查投标文件是否对招标文件提出的所有实质性要求和条件作出响应。</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23.8</w:t>
      </w:r>
      <w:r>
        <w:rPr>
          <w:rFonts w:hint="eastAsia" w:ascii="宋体" w:hAnsi="宋体"/>
          <w:color w:val="auto"/>
          <w:szCs w:val="21"/>
          <w:highlight w:val="none"/>
        </w:rPr>
        <w:t xml:space="preserve"> </w:t>
      </w:r>
      <w:r>
        <w:rPr>
          <w:rFonts w:ascii="宋体" w:hAnsi="宋体"/>
          <w:color w:val="auto"/>
          <w:szCs w:val="21"/>
          <w:highlight w:val="none"/>
        </w:rPr>
        <w:t>评标委员会完成评标后，提出书面评标报告，推荐</w:t>
      </w:r>
      <w:r>
        <w:rPr>
          <w:rFonts w:hint="eastAsia" w:ascii="宋体" w:hAnsi="宋体"/>
          <w:color w:val="auto"/>
          <w:szCs w:val="21"/>
          <w:highlight w:val="none"/>
        </w:rPr>
        <w:t>成交</w:t>
      </w:r>
      <w:r>
        <w:rPr>
          <w:rFonts w:ascii="宋体" w:hAnsi="宋体"/>
          <w:color w:val="auto"/>
          <w:szCs w:val="21"/>
          <w:highlight w:val="none"/>
        </w:rPr>
        <w:t>候选人</w:t>
      </w:r>
      <w:r>
        <w:rPr>
          <w:rFonts w:hint="eastAsia" w:ascii="宋体" w:hAnsi="宋体"/>
          <w:color w:val="auto"/>
          <w:szCs w:val="21"/>
          <w:highlight w:val="none"/>
        </w:rPr>
        <w:t>有</w:t>
      </w:r>
      <w:r>
        <w:rPr>
          <w:rFonts w:ascii="宋体" w:hAnsi="宋体"/>
          <w:color w:val="auto"/>
          <w:szCs w:val="21"/>
          <w:highlight w:val="none"/>
        </w:rPr>
        <w:t>排序</w:t>
      </w:r>
      <w:r>
        <w:rPr>
          <w:rFonts w:hint="eastAsia" w:ascii="宋体" w:hAnsi="宋体"/>
          <w:color w:val="auto"/>
          <w:szCs w:val="21"/>
          <w:highlight w:val="none"/>
        </w:rPr>
        <w:t>的前三名</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23.9</w:t>
      </w:r>
      <w:r>
        <w:rPr>
          <w:rFonts w:hint="eastAsia" w:ascii="宋体" w:hAnsi="宋体"/>
          <w:color w:val="auto"/>
          <w:szCs w:val="21"/>
          <w:highlight w:val="none"/>
        </w:rPr>
        <w:t xml:space="preserve"> </w:t>
      </w:r>
      <w:r>
        <w:rPr>
          <w:rFonts w:ascii="宋体" w:hAnsi="宋体"/>
          <w:color w:val="auto"/>
          <w:szCs w:val="21"/>
          <w:highlight w:val="none"/>
        </w:rPr>
        <w:t>评标委员会成员名单在公布评标结果前必须保密。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24．评标原则及纪律</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24.1 评标原则</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公平、公正、科学</w:t>
      </w:r>
      <w:r>
        <w:rPr>
          <w:rFonts w:hint="eastAsia" w:ascii="宋体" w:hAnsi="宋体"/>
          <w:color w:val="auto"/>
          <w:szCs w:val="21"/>
          <w:highlight w:val="none"/>
        </w:rPr>
        <w:t>、</w:t>
      </w:r>
      <w:r>
        <w:rPr>
          <w:rFonts w:ascii="宋体" w:hAnsi="宋体"/>
          <w:color w:val="auto"/>
          <w:szCs w:val="21"/>
          <w:highlight w:val="none"/>
        </w:rPr>
        <w:t>择优</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24.2 评标纪律</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24.2.1</w:t>
      </w:r>
      <w:r>
        <w:rPr>
          <w:rFonts w:hint="eastAsia" w:ascii="宋体" w:hAnsi="宋体"/>
          <w:color w:val="auto"/>
          <w:szCs w:val="21"/>
          <w:highlight w:val="none"/>
        </w:rPr>
        <w:t xml:space="preserve"> </w:t>
      </w:r>
      <w:r>
        <w:rPr>
          <w:rFonts w:ascii="宋体" w:hAnsi="宋体"/>
          <w:color w:val="auto"/>
          <w:szCs w:val="21"/>
          <w:highlight w:val="none"/>
        </w:rPr>
        <w:t>评标委员会依法进行评标，任何单位和个人不得以任何理由非法干预或者影响评标过程和结果。</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24.2.2</w:t>
      </w:r>
      <w:r>
        <w:rPr>
          <w:rFonts w:hint="eastAsia" w:ascii="宋体" w:hAnsi="宋体"/>
          <w:color w:val="auto"/>
          <w:szCs w:val="21"/>
          <w:highlight w:val="none"/>
        </w:rPr>
        <w:t xml:space="preserve"> </w:t>
      </w:r>
      <w:r>
        <w:rPr>
          <w:rFonts w:ascii="宋体" w:hAnsi="宋体"/>
          <w:color w:val="auto"/>
          <w:szCs w:val="21"/>
          <w:highlight w:val="none"/>
        </w:rPr>
        <w:t>评标委员会成员将</w:t>
      </w:r>
      <w:r>
        <w:rPr>
          <w:rFonts w:hint="eastAsia" w:ascii="宋体" w:hAnsi="宋体"/>
          <w:color w:val="auto"/>
          <w:szCs w:val="21"/>
          <w:highlight w:val="none"/>
        </w:rPr>
        <w:t>恪</w:t>
      </w:r>
      <w:r>
        <w:rPr>
          <w:rFonts w:ascii="宋体" w:hAnsi="宋体"/>
          <w:color w:val="auto"/>
          <w:szCs w:val="21"/>
          <w:highlight w:val="none"/>
        </w:rPr>
        <w:t>守职业道德，客观、公正的履行职责，对所提出的评审意见承担个人责任。</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24.2.3</w:t>
      </w:r>
      <w:r>
        <w:rPr>
          <w:rFonts w:hint="eastAsia" w:ascii="宋体" w:hAnsi="宋体"/>
          <w:color w:val="auto"/>
          <w:szCs w:val="21"/>
          <w:highlight w:val="none"/>
        </w:rPr>
        <w:t xml:space="preserve"> </w:t>
      </w:r>
      <w:r>
        <w:rPr>
          <w:rFonts w:ascii="宋体" w:hAnsi="宋体"/>
          <w:color w:val="auto"/>
          <w:szCs w:val="21"/>
          <w:highlight w:val="none"/>
        </w:rPr>
        <w:t>评标委员会成员不得与任何</w:t>
      </w:r>
      <w:r>
        <w:rPr>
          <w:rFonts w:hint="eastAsia" w:ascii="宋体" w:hAnsi="宋体"/>
          <w:color w:val="auto"/>
          <w:szCs w:val="21"/>
          <w:highlight w:val="none"/>
          <w:lang w:eastAsia="zh-CN"/>
        </w:rPr>
        <w:t>投标单位</w:t>
      </w:r>
      <w:r>
        <w:rPr>
          <w:rFonts w:ascii="宋体" w:hAnsi="宋体"/>
          <w:color w:val="auto"/>
          <w:szCs w:val="21"/>
          <w:highlight w:val="none"/>
        </w:rPr>
        <w:t>或者与招标结果有利害关系的人进行私下接触，不得收受</w:t>
      </w:r>
      <w:r>
        <w:rPr>
          <w:rFonts w:hint="eastAsia" w:ascii="宋体" w:hAnsi="宋体"/>
          <w:color w:val="auto"/>
          <w:szCs w:val="21"/>
          <w:highlight w:val="none"/>
          <w:lang w:eastAsia="zh-CN"/>
        </w:rPr>
        <w:t>投标单位</w:t>
      </w:r>
      <w:r>
        <w:rPr>
          <w:rFonts w:ascii="宋体" w:hAnsi="宋体"/>
          <w:color w:val="auto"/>
          <w:szCs w:val="21"/>
          <w:highlight w:val="none"/>
        </w:rPr>
        <w:t>、其他利害关系人的财物或者其它好处。</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24.2.4</w:t>
      </w:r>
      <w:r>
        <w:rPr>
          <w:rFonts w:hint="eastAsia" w:ascii="宋体" w:hAnsi="宋体"/>
          <w:color w:val="auto"/>
          <w:szCs w:val="21"/>
          <w:highlight w:val="none"/>
        </w:rPr>
        <w:t xml:space="preserve"> </w:t>
      </w:r>
      <w:r>
        <w:rPr>
          <w:rFonts w:ascii="宋体" w:hAnsi="宋体"/>
          <w:color w:val="auto"/>
          <w:szCs w:val="21"/>
          <w:highlight w:val="none"/>
        </w:rPr>
        <w:t>评标委员会成员以及评标工作人员不得透露对投标文件的评审和比较、</w:t>
      </w:r>
      <w:r>
        <w:rPr>
          <w:rFonts w:hint="eastAsia" w:ascii="宋体" w:hAnsi="宋体"/>
          <w:color w:val="auto"/>
          <w:szCs w:val="21"/>
          <w:highlight w:val="none"/>
        </w:rPr>
        <w:t>中标</w:t>
      </w:r>
      <w:r>
        <w:rPr>
          <w:rFonts w:ascii="宋体" w:hAnsi="宋体"/>
          <w:color w:val="auto"/>
          <w:szCs w:val="21"/>
          <w:highlight w:val="none"/>
        </w:rPr>
        <w:t>候选人的推荐情况以及与评标有关的其它情况。</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24.2.5</w:t>
      </w:r>
      <w:r>
        <w:rPr>
          <w:rFonts w:hint="eastAsia" w:ascii="宋体" w:hAnsi="宋体"/>
          <w:color w:val="auto"/>
          <w:szCs w:val="21"/>
          <w:highlight w:val="none"/>
        </w:rPr>
        <w:t xml:space="preserve"> </w:t>
      </w:r>
      <w:r>
        <w:rPr>
          <w:rFonts w:ascii="宋体" w:hAnsi="宋体"/>
          <w:color w:val="auto"/>
          <w:szCs w:val="21"/>
          <w:highlight w:val="none"/>
        </w:rPr>
        <w:t>采购代理机构将采取有效措施，保证评标活动在严格保密的情况下进行。</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24.3 评标标准及方法</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详见</w:t>
      </w:r>
      <w:r>
        <w:rPr>
          <w:rFonts w:hint="eastAsia" w:ascii="宋体" w:hAnsi="宋体"/>
          <w:color w:val="auto"/>
          <w:szCs w:val="21"/>
          <w:highlight w:val="none"/>
        </w:rPr>
        <w:t>招标文件</w:t>
      </w:r>
      <w:r>
        <w:rPr>
          <w:rFonts w:ascii="宋体" w:hAnsi="宋体"/>
          <w:color w:val="auto"/>
          <w:szCs w:val="21"/>
          <w:highlight w:val="none"/>
        </w:rPr>
        <w:t>第</w:t>
      </w:r>
      <w:r>
        <w:rPr>
          <w:rFonts w:hint="eastAsia" w:ascii="宋体" w:hAnsi="宋体"/>
          <w:color w:val="auto"/>
          <w:szCs w:val="21"/>
          <w:highlight w:val="none"/>
        </w:rPr>
        <w:t>四</w:t>
      </w:r>
      <w:r>
        <w:rPr>
          <w:rFonts w:ascii="宋体" w:hAnsi="宋体"/>
          <w:color w:val="auto"/>
          <w:szCs w:val="21"/>
          <w:highlight w:val="none"/>
        </w:rPr>
        <w:t>章评标标准及方法。</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25．错误修正原则</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评标委员会将对确定为实质上响应招标文件要求的投标文件进行校核，看其是否有计算上或累计上的算术错误，修正错误的原则</w:t>
      </w:r>
      <w:r>
        <w:rPr>
          <w:rFonts w:hint="eastAsia" w:ascii="宋体" w:hAnsi="宋体"/>
          <w:color w:val="auto"/>
          <w:szCs w:val="21"/>
          <w:highlight w:val="none"/>
        </w:rPr>
        <w:t>详见招标文件第四章评标标准及方法。</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经</w:t>
      </w:r>
      <w:r>
        <w:rPr>
          <w:rFonts w:hint="eastAsia" w:ascii="宋体" w:hAnsi="宋体"/>
          <w:color w:val="auto"/>
          <w:szCs w:val="21"/>
          <w:highlight w:val="none"/>
          <w:lang w:eastAsia="zh-CN"/>
        </w:rPr>
        <w:t>投标单位</w:t>
      </w:r>
      <w:r>
        <w:rPr>
          <w:rFonts w:ascii="宋体" w:hAnsi="宋体"/>
          <w:color w:val="auto"/>
          <w:szCs w:val="21"/>
          <w:highlight w:val="none"/>
        </w:rPr>
        <w:t>确认同意，调整后的报价对</w:t>
      </w:r>
      <w:r>
        <w:rPr>
          <w:rFonts w:hint="eastAsia" w:ascii="宋体" w:hAnsi="宋体"/>
          <w:color w:val="auto"/>
          <w:szCs w:val="21"/>
          <w:highlight w:val="none"/>
          <w:lang w:eastAsia="zh-CN"/>
        </w:rPr>
        <w:t>投标单位</w:t>
      </w:r>
      <w:r>
        <w:rPr>
          <w:rFonts w:ascii="宋体" w:hAnsi="宋体"/>
          <w:color w:val="auto"/>
          <w:szCs w:val="21"/>
          <w:highlight w:val="none"/>
        </w:rPr>
        <w:t>起约束作用。不得调整投标函中的投标总报价。</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26．投标文件的澄清</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为了有助于对投标文件的审查、评价和比较，评标委员会可以书面形式要求</w:t>
      </w:r>
      <w:r>
        <w:rPr>
          <w:rFonts w:hint="eastAsia" w:ascii="宋体" w:hAnsi="宋体"/>
          <w:color w:val="auto"/>
          <w:szCs w:val="21"/>
          <w:highlight w:val="none"/>
          <w:lang w:eastAsia="zh-CN"/>
        </w:rPr>
        <w:t>投标单位</w:t>
      </w:r>
      <w:r>
        <w:rPr>
          <w:rFonts w:ascii="宋体" w:hAnsi="宋体"/>
          <w:color w:val="auto"/>
          <w:szCs w:val="21"/>
          <w:highlight w:val="none"/>
        </w:rPr>
        <w:t>对投标文件含义不明确的内容作必要的澄清或说明，</w:t>
      </w:r>
      <w:r>
        <w:rPr>
          <w:rFonts w:hint="eastAsia" w:ascii="宋体" w:hAnsi="宋体"/>
          <w:color w:val="auto"/>
          <w:szCs w:val="21"/>
          <w:highlight w:val="none"/>
          <w:lang w:eastAsia="zh-CN"/>
        </w:rPr>
        <w:t>投标单位</w:t>
      </w:r>
      <w:r>
        <w:rPr>
          <w:rFonts w:ascii="宋体" w:hAnsi="宋体"/>
          <w:color w:val="auto"/>
          <w:szCs w:val="21"/>
          <w:highlight w:val="none"/>
        </w:rPr>
        <w:t>应采用书面形式进行澄清或说明，但不得超出投标文件的范围或改变投标文件的实质性内容。</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27．</w:t>
      </w:r>
      <w:r>
        <w:rPr>
          <w:rFonts w:hint="eastAsia" w:ascii="宋体" w:hAnsi="宋体"/>
          <w:color w:val="auto"/>
          <w:szCs w:val="21"/>
          <w:highlight w:val="none"/>
        </w:rPr>
        <w:t>中标</w:t>
      </w:r>
      <w:r>
        <w:rPr>
          <w:rFonts w:ascii="宋体" w:hAnsi="宋体"/>
          <w:color w:val="auto"/>
          <w:szCs w:val="21"/>
          <w:highlight w:val="none"/>
        </w:rPr>
        <w:t>候选人条件</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本次评标采用综合评分法。评标委员会根据得分由高至低排序，向采购人推荐三名成交候选人。</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评标结束后，</w:t>
      </w:r>
      <w:r>
        <w:rPr>
          <w:rFonts w:hint="eastAsia" w:ascii="宋体" w:hAnsi="宋体"/>
          <w:color w:val="auto"/>
          <w:szCs w:val="21"/>
          <w:highlight w:val="none"/>
        </w:rPr>
        <w:t>采购</w:t>
      </w:r>
      <w:r>
        <w:rPr>
          <w:rFonts w:ascii="宋体" w:hAnsi="宋体"/>
          <w:color w:val="auto"/>
          <w:szCs w:val="21"/>
          <w:highlight w:val="none"/>
        </w:rPr>
        <w:t>人按评标</w:t>
      </w:r>
      <w:r>
        <w:rPr>
          <w:rFonts w:hint="eastAsia" w:ascii="宋体" w:hAnsi="宋体"/>
          <w:color w:val="auto"/>
          <w:szCs w:val="21"/>
          <w:highlight w:val="none"/>
        </w:rPr>
        <w:t>标准及方</w:t>
      </w:r>
      <w:r>
        <w:rPr>
          <w:rFonts w:ascii="宋体" w:hAnsi="宋体"/>
          <w:color w:val="auto"/>
          <w:szCs w:val="21"/>
          <w:highlight w:val="none"/>
        </w:rPr>
        <w:t>法的规定对评标结果进行审核，审核无误后，从评标委员会推荐的成交候选人中按照相关法律法规确定</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28．评标过程的保密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28.1</w:t>
      </w:r>
      <w:r>
        <w:rPr>
          <w:rFonts w:hint="eastAsia" w:ascii="宋体" w:hAnsi="宋体"/>
          <w:color w:val="auto"/>
          <w:szCs w:val="21"/>
          <w:highlight w:val="none"/>
        </w:rPr>
        <w:t xml:space="preserve"> </w:t>
      </w:r>
      <w:r>
        <w:rPr>
          <w:rFonts w:ascii="宋体" w:hAnsi="宋体"/>
          <w:color w:val="auto"/>
          <w:szCs w:val="21"/>
          <w:highlight w:val="none"/>
        </w:rPr>
        <w:t>开标后，直与</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签订合同为止，凡属于对投标文件的审查、澄清、评价和比较的有关资料以及成交候选人的推荐情况，与评标有关的其它任何情况均严格保密。</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28.2</w:t>
      </w:r>
      <w:r>
        <w:rPr>
          <w:rFonts w:hint="eastAsia" w:ascii="宋体" w:hAnsi="宋体"/>
          <w:color w:val="auto"/>
          <w:szCs w:val="21"/>
          <w:highlight w:val="none"/>
        </w:rPr>
        <w:t xml:space="preserve"> </w:t>
      </w:r>
      <w:r>
        <w:rPr>
          <w:rFonts w:ascii="宋体" w:hAnsi="宋体"/>
          <w:color w:val="auto"/>
          <w:szCs w:val="21"/>
          <w:highlight w:val="none"/>
        </w:rPr>
        <w:t>在投标文件的评审和比较、</w:t>
      </w:r>
      <w:r>
        <w:rPr>
          <w:rFonts w:hint="eastAsia" w:ascii="宋体" w:hAnsi="宋体"/>
          <w:color w:val="auto"/>
          <w:szCs w:val="21"/>
          <w:highlight w:val="none"/>
        </w:rPr>
        <w:t>成交</w:t>
      </w:r>
      <w:r>
        <w:rPr>
          <w:rFonts w:ascii="宋体" w:hAnsi="宋体"/>
          <w:color w:val="auto"/>
          <w:szCs w:val="21"/>
          <w:highlight w:val="none"/>
        </w:rPr>
        <w:t>候选人推荐以及签订合同的过程中，</w:t>
      </w:r>
      <w:r>
        <w:rPr>
          <w:rFonts w:hint="eastAsia" w:ascii="宋体" w:hAnsi="宋体"/>
          <w:color w:val="auto"/>
          <w:szCs w:val="21"/>
          <w:highlight w:val="none"/>
          <w:lang w:eastAsia="zh-CN"/>
        </w:rPr>
        <w:t>投标单位</w:t>
      </w:r>
      <w:r>
        <w:rPr>
          <w:rFonts w:ascii="宋体" w:hAnsi="宋体"/>
          <w:color w:val="auto"/>
          <w:szCs w:val="21"/>
          <w:highlight w:val="none"/>
        </w:rPr>
        <w:t>向</w:t>
      </w:r>
      <w:r>
        <w:rPr>
          <w:rFonts w:hint="eastAsia" w:ascii="宋体" w:hAnsi="宋体"/>
          <w:color w:val="auto"/>
          <w:szCs w:val="21"/>
          <w:highlight w:val="none"/>
        </w:rPr>
        <w:t>采购</w:t>
      </w:r>
      <w:r>
        <w:rPr>
          <w:rFonts w:ascii="宋体" w:hAnsi="宋体"/>
          <w:color w:val="auto"/>
          <w:szCs w:val="21"/>
          <w:highlight w:val="none"/>
        </w:rPr>
        <w:t>人和评标委员会施加影响的任何行为，都将导致其投标被拒绝。</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28.3</w:t>
      </w:r>
      <w:r>
        <w:rPr>
          <w:rFonts w:hint="eastAsia" w:ascii="宋体" w:hAnsi="宋体"/>
          <w:color w:val="auto"/>
          <w:szCs w:val="21"/>
          <w:highlight w:val="none"/>
        </w:rPr>
        <w:t xml:space="preserve"> 中标</w:t>
      </w:r>
      <w:r>
        <w:rPr>
          <w:rFonts w:hint="eastAsia" w:ascii="宋体" w:hAnsi="宋体"/>
          <w:color w:val="auto"/>
          <w:szCs w:val="21"/>
          <w:highlight w:val="none"/>
          <w:lang w:eastAsia="zh-CN"/>
        </w:rPr>
        <w:t>投标单位</w:t>
      </w:r>
      <w:r>
        <w:rPr>
          <w:rFonts w:ascii="宋体" w:hAnsi="宋体"/>
          <w:color w:val="auto"/>
          <w:szCs w:val="21"/>
          <w:highlight w:val="none"/>
        </w:rPr>
        <w:t>确定后，未</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不得向评标委员会组成人员或其他有关人员索问评标过程的情况和材料。</w:t>
      </w:r>
    </w:p>
    <w:p>
      <w:pPr>
        <w:pStyle w:val="5"/>
        <w:jc w:val="center"/>
        <w:rPr>
          <w:rFonts w:ascii="宋体" w:hAnsi="宋体"/>
          <w:color w:val="auto"/>
          <w:sz w:val="28"/>
          <w:szCs w:val="28"/>
          <w:highlight w:val="none"/>
        </w:rPr>
      </w:pPr>
      <w:bookmarkStart w:id="68" w:name="_Toc235544707"/>
      <w:bookmarkStart w:id="69" w:name="_Toc238899382"/>
      <w:bookmarkStart w:id="70" w:name="_Toc250572268"/>
      <w:bookmarkStart w:id="71" w:name="_Toc249799510"/>
      <w:bookmarkStart w:id="72" w:name="_Toc54404819"/>
      <w:bookmarkStart w:id="73" w:name="_Toc27052"/>
      <w:bookmarkStart w:id="74" w:name="_Toc58923548"/>
      <w:bookmarkStart w:id="75" w:name="_Toc269407616"/>
      <w:bookmarkStart w:id="76" w:name="_Toc67552692"/>
      <w:r>
        <w:rPr>
          <w:rFonts w:ascii="宋体" w:hAnsi="宋体"/>
          <w:color w:val="auto"/>
          <w:sz w:val="28"/>
          <w:szCs w:val="28"/>
          <w:highlight w:val="none"/>
        </w:rPr>
        <w:t>六、定标和</w:t>
      </w:r>
      <w:bookmarkStart w:id="77" w:name="_Hlt67537697"/>
      <w:bookmarkEnd w:id="77"/>
      <w:r>
        <w:rPr>
          <w:rFonts w:ascii="宋体" w:hAnsi="宋体"/>
          <w:color w:val="auto"/>
          <w:sz w:val="28"/>
          <w:szCs w:val="28"/>
          <w:highlight w:val="none"/>
        </w:rPr>
        <w:t>签订合同</w:t>
      </w:r>
      <w:bookmarkEnd w:id="68"/>
      <w:bookmarkEnd w:id="69"/>
      <w:bookmarkEnd w:id="70"/>
      <w:bookmarkEnd w:id="71"/>
      <w:bookmarkEnd w:id="72"/>
      <w:bookmarkEnd w:id="73"/>
      <w:bookmarkEnd w:id="74"/>
      <w:bookmarkEnd w:id="75"/>
      <w:bookmarkEnd w:id="76"/>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．定标及</w:t>
      </w:r>
      <w:r>
        <w:rPr>
          <w:rFonts w:hint="eastAsia" w:ascii="宋体" w:hAnsi="宋体"/>
          <w:color w:val="auto"/>
          <w:szCs w:val="21"/>
          <w:highlight w:val="none"/>
        </w:rPr>
        <w:t>成交</w:t>
      </w:r>
      <w:r>
        <w:rPr>
          <w:rFonts w:ascii="宋体" w:hAnsi="宋体"/>
          <w:color w:val="auto"/>
          <w:szCs w:val="21"/>
          <w:highlight w:val="none"/>
        </w:rPr>
        <w:t>通知</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评标委员会根据招标文件规定，推荐</w:t>
      </w:r>
      <w:r>
        <w:rPr>
          <w:rFonts w:hint="eastAsia" w:ascii="宋体" w:hAnsi="宋体"/>
          <w:color w:val="auto"/>
          <w:szCs w:val="21"/>
          <w:highlight w:val="none"/>
        </w:rPr>
        <w:t>中标</w:t>
      </w:r>
      <w:r>
        <w:rPr>
          <w:rFonts w:ascii="宋体" w:hAnsi="宋体"/>
          <w:color w:val="auto"/>
          <w:szCs w:val="21"/>
          <w:highlight w:val="none"/>
        </w:rPr>
        <w:t>候选人，</w:t>
      </w:r>
      <w:r>
        <w:rPr>
          <w:rFonts w:hint="eastAsia" w:ascii="宋体" w:hAnsi="宋体"/>
          <w:color w:val="auto"/>
          <w:szCs w:val="21"/>
          <w:highlight w:val="none"/>
        </w:rPr>
        <w:t>采购人应当自收到评审报告之日起5个工作日内在评审报告推荐的中标候选人中按顺序确定中标</w:t>
      </w:r>
      <w:r>
        <w:rPr>
          <w:rFonts w:hint="eastAsia" w:ascii="宋体" w:hAnsi="宋体"/>
          <w:color w:val="auto"/>
          <w:szCs w:val="21"/>
          <w:highlight w:val="none"/>
          <w:lang w:eastAsia="zh-CN"/>
        </w:rPr>
        <w:t>投标单位</w:t>
      </w:r>
      <w:r>
        <w:rPr>
          <w:rFonts w:hint="eastAsia"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r>
        <w:rPr>
          <w:rFonts w:hint="eastAsia" w:ascii="宋体" w:hAnsi="宋体"/>
          <w:color w:val="auto"/>
          <w:szCs w:val="21"/>
          <w:highlight w:val="none"/>
        </w:rPr>
        <w:t xml:space="preserve"> 中标</w:t>
      </w:r>
      <w:r>
        <w:rPr>
          <w:rFonts w:hint="eastAsia" w:ascii="宋体" w:hAnsi="宋体"/>
          <w:color w:val="auto"/>
          <w:szCs w:val="21"/>
          <w:highlight w:val="none"/>
          <w:lang w:eastAsia="zh-CN"/>
        </w:rPr>
        <w:t>投标单位</w:t>
      </w:r>
      <w:r>
        <w:rPr>
          <w:rFonts w:ascii="宋体" w:hAnsi="宋体"/>
          <w:color w:val="auto"/>
          <w:szCs w:val="21"/>
          <w:highlight w:val="none"/>
        </w:rPr>
        <w:t>确定，</w:t>
      </w:r>
      <w:r>
        <w:rPr>
          <w:rFonts w:hint="eastAsia" w:ascii="宋体" w:hAnsi="宋体"/>
          <w:color w:val="auto"/>
          <w:szCs w:val="21"/>
          <w:highlight w:val="none"/>
          <w:lang w:val="en-US" w:eastAsia="zh-CN"/>
        </w:rPr>
        <w:t>在陕西省政府采购网站上公示中标结果的同时，采购人向中标人签发中标通知书</w:t>
      </w:r>
      <w:r>
        <w:rPr>
          <w:rFonts w:ascii="宋体" w:hAnsi="宋体"/>
          <w:color w:val="auto"/>
          <w:szCs w:val="21"/>
          <w:highlight w:val="none"/>
        </w:rPr>
        <w:t>。如有特殊原因也可延期发出，但发出时间不超过投标有效期。《</w:t>
      </w:r>
      <w:r>
        <w:rPr>
          <w:rFonts w:hint="eastAsia" w:ascii="宋体" w:hAnsi="宋体"/>
          <w:color w:val="auto"/>
          <w:szCs w:val="21"/>
          <w:highlight w:val="none"/>
        </w:rPr>
        <w:t>中标</w:t>
      </w:r>
      <w:r>
        <w:rPr>
          <w:rFonts w:ascii="宋体" w:hAnsi="宋体"/>
          <w:color w:val="auto"/>
          <w:szCs w:val="21"/>
          <w:highlight w:val="none"/>
        </w:rPr>
        <w:t>通知书》一经发出即具有法律效力。</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中标</w:t>
      </w:r>
      <w:r>
        <w:rPr>
          <w:rFonts w:ascii="宋体" w:hAnsi="宋体"/>
          <w:color w:val="auto"/>
          <w:szCs w:val="21"/>
          <w:highlight w:val="none"/>
        </w:rPr>
        <w:t>通知书》发出后，</w:t>
      </w:r>
      <w:r>
        <w:rPr>
          <w:rFonts w:hint="eastAsia" w:ascii="宋体" w:hAnsi="宋体"/>
          <w:color w:val="auto"/>
          <w:szCs w:val="21"/>
          <w:highlight w:val="none"/>
        </w:rPr>
        <w:t>采购</w:t>
      </w:r>
      <w:r>
        <w:rPr>
          <w:rFonts w:ascii="宋体" w:hAnsi="宋体"/>
          <w:color w:val="auto"/>
          <w:szCs w:val="21"/>
          <w:highlight w:val="none"/>
        </w:rPr>
        <w:t>人同时通知未</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hint="eastAsia" w:ascii="宋体" w:hAnsi="宋体"/>
          <w:color w:val="auto"/>
          <w:szCs w:val="21"/>
          <w:highlight w:val="none"/>
        </w:rPr>
        <w:t>中标</w:t>
      </w:r>
      <w:r>
        <w:rPr>
          <w:rFonts w:ascii="宋体" w:hAnsi="宋体"/>
          <w:color w:val="auto"/>
          <w:szCs w:val="21"/>
          <w:highlight w:val="none"/>
        </w:rPr>
        <w:t>结果。</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中标</w:t>
      </w:r>
      <w:r>
        <w:rPr>
          <w:rFonts w:ascii="宋体" w:hAnsi="宋体"/>
          <w:color w:val="auto"/>
          <w:szCs w:val="21"/>
          <w:highlight w:val="none"/>
        </w:rPr>
        <w:t>通知书》作为签订合同的法律依据。</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．签订合同</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.1</w:t>
      </w:r>
      <w:r>
        <w:rPr>
          <w:rFonts w:hint="eastAsia" w:ascii="宋体" w:hAnsi="宋体"/>
          <w:color w:val="auto"/>
          <w:szCs w:val="21"/>
          <w:highlight w:val="none"/>
        </w:rPr>
        <w:t xml:space="preserve"> 中标</w:t>
      </w:r>
      <w:r>
        <w:rPr>
          <w:rFonts w:hint="eastAsia" w:ascii="宋体" w:hAnsi="宋体"/>
          <w:color w:val="auto"/>
          <w:szCs w:val="21"/>
          <w:highlight w:val="none"/>
          <w:lang w:eastAsia="zh-CN"/>
        </w:rPr>
        <w:t>投标单位</w:t>
      </w:r>
      <w:r>
        <w:rPr>
          <w:rFonts w:ascii="宋体" w:hAnsi="宋体"/>
          <w:color w:val="auto"/>
          <w:szCs w:val="21"/>
          <w:highlight w:val="none"/>
        </w:rPr>
        <w:t>按《</w:t>
      </w:r>
      <w:r>
        <w:rPr>
          <w:rFonts w:hint="eastAsia" w:ascii="宋体" w:hAnsi="宋体"/>
          <w:color w:val="auto"/>
          <w:szCs w:val="21"/>
          <w:highlight w:val="none"/>
        </w:rPr>
        <w:t>中标</w:t>
      </w:r>
      <w:r>
        <w:rPr>
          <w:rFonts w:ascii="宋体" w:hAnsi="宋体"/>
          <w:color w:val="auto"/>
          <w:szCs w:val="21"/>
          <w:highlight w:val="none"/>
        </w:rPr>
        <w:t>通知书》指定的时间、地点，按照招标文件和</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的投标文件与</w:t>
      </w:r>
      <w:r>
        <w:rPr>
          <w:rFonts w:hint="eastAsia" w:ascii="宋体" w:hAnsi="宋体"/>
          <w:color w:val="auto"/>
          <w:szCs w:val="21"/>
          <w:highlight w:val="none"/>
        </w:rPr>
        <w:t>采购人</w:t>
      </w:r>
      <w:r>
        <w:rPr>
          <w:rFonts w:ascii="宋体" w:hAnsi="宋体"/>
          <w:color w:val="auto"/>
          <w:szCs w:val="21"/>
          <w:highlight w:val="none"/>
        </w:rPr>
        <w:t>签订合同。</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招标文件、</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的投标文件及其澄清文件等，均为合同的组成部分，与合同具有同等法律效力。</w:t>
      </w:r>
    </w:p>
    <w:p>
      <w:pPr>
        <w:snapToGrid w:val="0"/>
        <w:spacing w:line="360" w:lineRule="auto"/>
        <w:ind w:firstLine="411" w:firstLineChars="196"/>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.3</w:t>
      </w:r>
      <w:r>
        <w:rPr>
          <w:rFonts w:hint="eastAsia" w:ascii="宋体" w:hAnsi="宋体"/>
          <w:color w:val="auto"/>
          <w:szCs w:val="21"/>
          <w:highlight w:val="none"/>
        </w:rPr>
        <w:t xml:space="preserve"> 中标</w:t>
      </w:r>
      <w:r>
        <w:rPr>
          <w:rFonts w:hint="eastAsia" w:ascii="宋体" w:hAnsi="宋体"/>
          <w:color w:val="auto"/>
          <w:szCs w:val="21"/>
          <w:highlight w:val="none"/>
          <w:lang w:eastAsia="zh-CN"/>
        </w:rPr>
        <w:t>投标单位</w:t>
      </w:r>
      <w:r>
        <w:rPr>
          <w:rFonts w:ascii="宋体" w:hAnsi="宋体"/>
          <w:color w:val="auto"/>
          <w:szCs w:val="21"/>
          <w:highlight w:val="none"/>
        </w:rPr>
        <w:t>放弃成交或者因不可抗力提出不能履行合同的，</w:t>
      </w:r>
      <w:r>
        <w:rPr>
          <w:rFonts w:hint="eastAsia" w:ascii="宋体" w:hAnsi="宋体"/>
          <w:color w:val="auto"/>
          <w:szCs w:val="21"/>
          <w:highlight w:val="none"/>
        </w:rPr>
        <w:t>采购</w:t>
      </w:r>
      <w:r>
        <w:rPr>
          <w:rFonts w:ascii="宋体" w:hAnsi="宋体"/>
          <w:color w:val="auto"/>
          <w:szCs w:val="21"/>
          <w:highlight w:val="none"/>
        </w:rPr>
        <w:t>人可以依照排序重新确定</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4 采购代理机构作为鉴证方参与合同的执行，协调和处理履约过程中出现的问题，并向采购管理处报告情况。</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5</w:t>
      </w:r>
      <w:r>
        <w:rPr>
          <w:rFonts w:hint="eastAsia" w:ascii="宋体" w:hAnsi="宋体"/>
          <w:color w:val="auto"/>
          <w:szCs w:val="21"/>
          <w:highlight w:val="none"/>
          <w:lang w:eastAsia="zh-CN"/>
        </w:rPr>
        <w:t>铜川市印台区财政局</w:t>
      </w:r>
      <w:r>
        <w:rPr>
          <w:rFonts w:hint="eastAsia" w:ascii="宋体" w:hAnsi="宋体"/>
          <w:color w:val="auto"/>
          <w:szCs w:val="21"/>
          <w:highlight w:val="none"/>
        </w:rPr>
        <w:t>在合同履行期间以及履行期后，可以随时检查项目的执行，对招标标准、招标内容进行调查核实，并对发现的问题进行处理。</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 xml:space="preserve">6 </w:t>
      </w:r>
      <w:r>
        <w:rPr>
          <w:rFonts w:ascii="宋体" w:hAnsi="宋体"/>
          <w:color w:val="auto"/>
          <w:szCs w:val="21"/>
          <w:highlight w:val="none"/>
        </w:rPr>
        <w:t>因</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原因，</w:t>
      </w:r>
      <w:r>
        <w:rPr>
          <w:rFonts w:hint="eastAsia" w:ascii="宋体" w:hAnsi="宋体"/>
          <w:color w:val="auto"/>
          <w:szCs w:val="21"/>
          <w:highlight w:val="none"/>
        </w:rPr>
        <w:t>中标</w:t>
      </w:r>
      <w:r>
        <w:rPr>
          <w:rFonts w:hint="eastAsia" w:ascii="宋体" w:hAnsi="宋体"/>
          <w:color w:val="auto"/>
          <w:szCs w:val="21"/>
          <w:highlight w:val="none"/>
          <w:lang w:eastAsia="zh-CN"/>
        </w:rPr>
        <w:t>投标单位</w:t>
      </w:r>
      <w:r>
        <w:rPr>
          <w:rFonts w:ascii="宋体" w:hAnsi="宋体"/>
          <w:color w:val="auto"/>
          <w:szCs w:val="21"/>
          <w:highlight w:val="none"/>
        </w:rPr>
        <w:t>不与</w:t>
      </w:r>
      <w:r>
        <w:rPr>
          <w:rFonts w:hint="eastAsia" w:ascii="宋体" w:hAnsi="宋体"/>
          <w:color w:val="auto"/>
          <w:szCs w:val="21"/>
          <w:highlight w:val="none"/>
        </w:rPr>
        <w:t>采购人</w:t>
      </w:r>
      <w:r>
        <w:rPr>
          <w:rFonts w:ascii="宋体" w:hAnsi="宋体"/>
          <w:color w:val="auto"/>
          <w:szCs w:val="21"/>
          <w:highlight w:val="none"/>
        </w:rPr>
        <w:t>签订合同的，</w:t>
      </w:r>
      <w:r>
        <w:rPr>
          <w:rFonts w:hint="eastAsia" w:ascii="宋体" w:hAnsi="宋体"/>
          <w:color w:val="auto"/>
          <w:szCs w:val="21"/>
          <w:highlight w:val="none"/>
        </w:rPr>
        <w:t>采购</w:t>
      </w:r>
      <w:r>
        <w:rPr>
          <w:rFonts w:ascii="宋体" w:hAnsi="宋体"/>
          <w:color w:val="auto"/>
          <w:szCs w:val="21"/>
          <w:highlight w:val="none"/>
        </w:rPr>
        <w:t>人将废除其</w:t>
      </w:r>
      <w:r>
        <w:rPr>
          <w:rFonts w:hint="eastAsia" w:ascii="宋体" w:hAnsi="宋体"/>
          <w:color w:val="auto"/>
          <w:szCs w:val="21"/>
          <w:highlight w:val="none"/>
        </w:rPr>
        <w:t>成交</w:t>
      </w:r>
      <w:r>
        <w:rPr>
          <w:rFonts w:ascii="宋体" w:hAnsi="宋体"/>
          <w:color w:val="auto"/>
          <w:szCs w:val="21"/>
          <w:highlight w:val="none"/>
        </w:rPr>
        <w:t>资格。给</w:t>
      </w:r>
      <w:r>
        <w:rPr>
          <w:rFonts w:hint="eastAsia" w:ascii="宋体" w:hAnsi="宋体"/>
          <w:color w:val="auto"/>
          <w:szCs w:val="21"/>
          <w:highlight w:val="none"/>
        </w:rPr>
        <w:t>采购人</w:t>
      </w:r>
      <w:r>
        <w:rPr>
          <w:rFonts w:ascii="宋体" w:hAnsi="宋体"/>
          <w:color w:val="auto"/>
          <w:szCs w:val="21"/>
          <w:highlight w:val="none"/>
        </w:rPr>
        <w:t>造成损失的，还应当予以赔偿，同时依法承担相应法律责任。</w:t>
      </w:r>
    </w:p>
    <w:p>
      <w:pPr>
        <w:pStyle w:val="5"/>
        <w:jc w:val="center"/>
        <w:rPr>
          <w:rFonts w:hint="eastAsia" w:ascii="宋体" w:hAnsi="宋体"/>
          <w:color w:val="auto"/>
          <w:sz w:val="28"/>
          <w:szCs w:val="28"/>
          <w:highlight w:val="none"/>
        </w:rPr>
      </w:pPr>
      <w:r>
        <w:rPr>
          <w:rFonts w:hint="eastAsia" w:ascii="宋体" w:hAnsi="宋体"/>
          <w:color w:val="auto"/>
          <w:sz w:val="28"/>
          <w:szCs w:val="28"/>
          <w:highlight w:val="none"/>
        </w:rPr>
        <w:t>七、</w:t>
      </w:r>
      <w:r>
        <w:rPr>
          <w:rFonts w:ascii="宋体" w:hAnsi="宋体"/>
          <w:color w:val="auto"/>
          <w:sz w:val="28"/>
          <w:szCs w:val="28"/>
          <w:highlight w:val="none"/>
        </w:rPr>
        <w:t>需要落实的政府采购政策</w:t>
      </w:r>
    </w:p>
    <w:p>
      <w:pPr>
        <w:snapToGrid w:val="0"/>
        <w:spacing w:line="360" w:lineRule="auto"/>
        <w:ind w:firstLine="411" w:firstLineChars="196"/>
        <w:rPr>
          <w:rFonts w:ascii="宋体" w:hAnsi="宋体"/>
          <w:color w:val="auto"/>
          <w:szCs w:val="21"/>
          <w:highlight w:val="none"/>
        </w:rPr>
      </w:pPr>
      <w:r>
        <w:rPr>
          <w:rFonts w:hAnsi="宋体" w:cs="宋体"/>
          <w:color w:val="auto"/>
          <w:szCs w:val="21"/>
          <w:highlight w:val="none"/>
        </w:rPr>
        <w:t>投标产品符合财库［2004］185号文件精神，进入节能产品政府采购清单（有效期内）的；符合财库[2006]90号文件精神，进入环境标志产品政府采购清单（有效期内）的，提供证明文件，在评标方法中享受评标价格优惠折扣(详见评标方法)。投标单位属于（</w:t>
      </w:r>
      <w:r>
        <w:rPr>
          <w:rFonts w:hint="eastAsia" w:hAnsi="宋体" w:cs="宋体"/>
          <w:color w:val="auto"/>
          <w:szCs w:val="21"/>
          <w:highlight w:val="none"/>
        </w:rPr>
        <w:t>财库﹝2020﹞46号</w:t>
      </w:r>
      <w:r>
        <w:rPr>
          <w:rFonts w:hAnsi="宋体" w:cs="宋体"/>
          <w:color w:val="auto"/>
          <w:szCs w:val="21"/>
          <w:highlight w:val="none"/>
        </w:rPr>
        <w:t>）文件规定的中小企业的，提供中小企业声明函和相关证明文件，在评标方法中享受评标价格优惠折扣 (详见评标方法)。</w:t>
      </w:r>
      <w:r>
        <w:rPr>
          <w:rFonts w:hAnsi="宋体" w:cs="宋体"/>
          <w:color w:val="auto"/>
          <w:szCs w:val="21"/>
          <w:highlight w:val="none"/>
        </w:rPr>
        <w:br w:type="textWrapping"/>
      </w:r>
      <w:r>
        <w:rPr>
          <w:rFonts w:hint="eastAsia" w:hAnsi="宋体" w:cs="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.1投标企业政府采购政策</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.1.1中小企业落实政府采购政策</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（1）中小企业应符合工信部联企业[2011]300号文件规定，采购活动执行《</w:t>
      </w:r>
      <w:r>
        <w:rPr>
          <w:rFonts w:hint="eastAsia" w:ascii="宋体" w:hAnsi="宋体"/>
          <w:color w:val="auto"/>
          <w:szCs w:val="21"/>
          <w:highlight w:val="none"/>
        </w:rPr>
        <w:t>政府采购促进中小企业发展管理办法</w:t>
      </w:r>
      <w:r>
        <w:rPr>
          <w:rFonts w:ascii="宋体" w:hAnsi="宋体"/>
          <w:color w:val="auto"/>
          <w:szCs w:val="21"/>
          <w:highlight w:val="none"/>
        </w:rPr>
        <w:t>》的规定。</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（2）投标</w:t>
      </w:r>
      <w:r>
        <w:rPr>
          <w:rFonts w:hint="eastAsia" w:ascii="宋体" w:hAnsi="宋体"/>
          <w:color w:val="auto"/>
          <w:szCs w:val="21"/>
          <w:highlight w:val="none"/>
        </w:rPr>
        <w:t>人</w:t>
      </w:r>
      <w:r>
        <w:rPr>
          <w:rFonts w:ascii="宋体" w:hAnsi="宋体"/>
          <w:color w:val="auto"/>
          <w:szCs w:val="21"/>
          <w:highlight w:val="none"/>
        </w:rPr>
        <w:t>须提供中小企业管理部门开具的中小企业证明函，以此为依据享受政府采购政策。</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（3）投标</w:t>
      </w:r>
      <w:r>
        <w:rPr>
          <w:rFonts w:hint="eastAsia" w:ascii="宋体" w:hAnsi="宋体"/>
          <w:color w:val="auto"/>
          <w:szCs w:val="21"/>
          <w:highlight w:val="none"/>
        </w:rPr>
        <w:t>人</w:t>
      </w:r>
      <w:r>
        <w:rPr>
          <w:rFonts w:ascii="宋体" w:hAnsi="宋体"/>
          <w:color w:val="auto"/>
          <w:szCs w:val="21"/>
          <w:highlight w:val="none"/>
        </w:rPr>
        <w:t>出具《中小企业声明函》，同时还需有财务审计资质的单位出具的</w:t>
      </w:r>
      <w:r>
        <w:rPr>
          <w:rFonts w:hint="eastAsia" w:ascii="宋体" w:hAnsi="宋体"/>
          <w:color w:val="auto"/>
          <w:szCs w:val="21"/>
          <w:highlight w:val="none"/>
          <w:lang w:val="en-US" w:eastAsia="zh-CN"/>
        </w:rPr>
        <w:t>2020年度</w:t>
      </w:r>
      <w:r>
        <w:rPr>
          <w:rFonts w:ascii="宋体" w:hAnsi="宋体"/>
          <w:color w:val="auto"/>
          <w:szCs w:val="21"/>
          <w:highlight w:val="none"/>
        </w:rPr>
        <w:t>年度财务审计报告、从业人员证明（养老保险缴纳证明或劳动合同），由评委会审定，符合条件的企业享受政府采购政策。</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.1.2监狱和戒毒企业应符合《财政部 司法部关于政府采购支持监狱企业发展有关问题的通知》--财库〔2014〕68号，并提供由省级以上监狱管理局、戒毒管理局(含新疆生产建设兵团)出具的属于监狱企业的证明。</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.1.3投标</w:t>
      </w:r>
      <w:r>
        <w:rPr>
          <w:rFonts w:hint="eastAsia" w:ascii="宋体" w:hAnsi="宋体"/>
          <w:color w:val="auto"/>
          <w:szCs w:val="21"/>
          <w:highlight w:val="none"/>
        </w:rPr>
        <w:t>人</w:t>
      </w:r>
      <w:r>
        <w:rPr>
          <w:rFonts w:ascii="宋体" w:hAnsi="宋体"/>
          <w:color w:val="auto"/>
          <w:szCs w:val="21"/>
          <w:highlight w:val="none"/>
        </w:rPr>
        <w:t>应如实提供以上证明文件，如存在虚假应标，将取消其投标资格。</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.2投标产品政府采购政策</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2.1节能产品根据《国务院办公厅关于建立政府强制采购节能产品制度的通知》（国办发〔2007〕51号）的规定，以中国政府采购网（http://www.ccgp.gov.cn/）公布的最新一期节能产品政府采购清单为准。</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.2.2环境标志产品根据《环境标志产品政府采购实施的意见》（财库[2006]90号）的规定，以中国政府采购网（http://www.ccgp.gov.cn/）公布的最新一期环境标志产品政府采购清单为准。</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.2.3投标</w:t>
      </w:r>
      <w:r>
        <w:rPr>
          <w:rFonts w:hint="eastAsia" w:ascii="宋体" w:hAnsi="宋体"/>
          <w:color w:val="auto"/>
          <w:szCs w:val="21"/>
          <w:highlight w:val="none"/>
        </w:rPr>
        <w:t>人</w:t>
      </w:r>
      <w:r>
        <w:rPr>
          <w:rFonts w:ascii="宋体" w:hAnsi="宋体"/>
          <w:color w:val="auto"/>
          <w:szCs w:val="21"/>
          <w:highlight w:val="none"/>
        </w:rPr>
        <w:t>在投标文件中对所投标产品为节能、环保、环境标志产品清单中的产品，提供属于清单内产品的证明资料（从中国政府采购网上下载的网页公告等），</w:t>
      </w:r>
      <w:r>
        <w:rPr>
          <w:rFonts w:hint="eastAsia" w:ascii="宋体" w:hAnsi="宋体"/>
          <w:color w:val="auto"/>
          <w:szCs w:val="21"/>
          <w:highlight w:val="none"/>
        </w:rPr>
        <w:t>在性能、技术、服务等指标同等条件下，应当优先采购清单中的产品，</w:t>
      </w:r>
      <w:r>
        <w:rPr>
          <w:rFonts w:ascii="宋体" w:hAnsi="宋体"/>
          <w:color w:val="auto"/>
          <w:szCs w:val="21"/>
          <w:highlight w:val="none"/>
        </w:rPr>
        <w:t>未提供节能、环保、环境标志产品计分明细表及属于清单内产品的证明资料的</w:t>
      </w:r>
      <w:r>
        <w:rPr>
          <w:rFonts w:hint="eastAsia" w:ascii="宋体" w:hAnsi="宋体"/>
          <w:color w:val="auto"/>
          <w:szCs w:val="21"/>
          <w:highlight w:val="none"/>
        </w:rPr>
        <w:t>不享受鼓励优惠政策</w:t>
      </w:r>
      <w:r>
        <w:rPr>
          <w:rFonts w:ascii="宋体" w:hAnsi="宋体"/>
          <w:color w:val="auto"/>
          <w:szCs w:val="21"/>
          <w:highlight w:val="none"/>
        </w:rPr>
        <w:t>。 </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.2.4若节能、环保、环境标志清单内的产品仅是构成投标产品的部件、组件或零件的，则该投标产品不享受鼓励优惠政策。</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.2.5同一标段的节能、环保、环境标志产品部分计分只对属于清单内的非强制类产品进行计分，强制类产品</w:t>
      </w:r>
      <w:r>
        <w:rPr>
          <w:rFonts w:hint="eastAsia" w:ascii="宋体" w:hAnsi="宋体"/>
          <w:color w:val="auto"/>
          <w:szCs w:val="21"/>
          <w:highlight w:val="none"/>
        </w:rPr>
        <w:t>不享受鼓励优惠政策</w:t>
      </w:r>
      <w:r>
        <w:rPr>
          <w:rFonts w:ascii="宋体" w:hAnsi="宋体"/>
          <w:color w:val="auto"/>
          <w:szCs w:val="21"/>
          <w:highlight w:val="none"/>
        </w:rPr>
        <w:t>。 </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2.6节能、环保、环境标志产品不重复</w:t>
      </w:r>
      <w:r>
        <w:rPr>
          <w:rFonts w:hint="eastAsia" w:ascii="宋体" w:hAnsi="宋体"/>
          <w:color w:val="auto"/>
          <w:szCs w:val="21"/>
          <w:highlight w:val="none"/>
        </w:rPr>
        <w:t>享受鼓励优惠政策</w:t>
      </w:r>
      <w:r>
        <w:rPr>
          <w:rFonts w:ascii="宋体" w:hAnsi="宋体"/>
          <w:color w:val="auto"/>
          <w:szCs w:val="21"/>
          <w:highlight w:val="none"/>
        </w:rPr>
        <w:t>；同时列入国家级清单和省级清单的产品</w:t>
      </w:r>
      <w:r>
        <w:rPr>
          <w:rFonts w:hint="eastAsia" w:ascii="宋体" w:hAnsi="宋体"/>
          <w:color w:val="auto"/>
          <w:szCs w:val="21"/>
          <w:highlight w:val="none"/>
        </w:rPr>
        <w:t>不重复享受鼓励优惠政策</w:t>
      </w:r>
      <w:r>
        <w:rPr>
          <w:rFonts w:ascii="宋体" w:hAnsi="宋体"/>
          <w:color w:val="auto"/>
          <w:szCs w:val="21"/>
          <w:highlight w:val="none"/>
        </w:rPr>
        <w:t>。</w:t>
      </w:r>
      <w:r>
        <w:rPr>
          <w:rFonts w:ascii="宋体" w:hAnsi="宋体"/>
          <w:color w:val="auto"/>
          <w:szCs w:val="21"/>
          <w:highlight w:val="none"/>
        </w:rPr>
        <w:br w:type="textWrapping"/>
      </w: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1</w:t>
      </w:r>
      <w:r>
        <w:rPr>
          <w:rFonts w:ascii="宋体" w:hAnsi="宋体"/>
          <w:color w:val="auto"/>
          <w:szCs w:val="21"/>
          <w:highlight w:val="none"/>
        </w:rPr>
        <w:t>.2.7获得上述认证的产品在投标时应提供有效证明材料，否则不</w:t>
      </w:r>
      <w:r>
        <w:rPr>
          <w:rFonts w:hint="eastAsia" w:ascii="宋体" w:hAnsi="宋体"/>
          <w:color w:val="auto"/>
          <w:szCs w:val="21"/>
          <w:highlight w:val="none"/>
        </w:rPr>
        <w:t>享受鼓励优惠政策</w:t>
      </w:r>
      <w:r>
        <w:rPr>
          <w:rFonts w:ascii="宋体" w:hAnsi="宋体"/>
          <w:color w:val="auto"/>
          <w:szCs w:val="21"/>
          <w:highlight w:val="none"/>
        </w:rPr>
        <w:t>。</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31.3《财政部、民政部、中国残疾人联合会关于促进残疾人就业政府采购政策的通知》（财库〔2017〕141号 ） </w:t>
      </w:r>
    </w:p>
    <w:p>
      <w:pPr>
        <w:snapToGrid w:val="0"/>
        <w:spacing w:line="360" w:lineRule="auto"/>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31.4</w:t>
      </w:r>
      <w:r>
        <w:rPr>
          <w:rFonts w:hint="eastAsia" w:ascii="宋体" w:hAnsi="宋体" w:cs="Times New Roman"/>
          <w:color w:val="auto"/>
          <w:szCs w:val="21"/>
          <w:highlight w:val="none"/>
        </w:rPr>
        <w:t>政府采购信用担保及信用融资政策</w:t>
      </w:r>
    </w:p>
    <w:p>
      <w:pPr>
        <w:snapToGrid w:val="0"/>
        <w:spacing w:line="360" w:lineRule="auto"/>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为支持和促进中小企业发展，进一步发挥政府采购政策功能作用，根据《财政部关于开展政府采购信用担保试点工作的通知》（财库（2011）124号），陕西省财政厅制订了《陕西省政府采购信用担保试点工作实施方案（试行）》及《陕西省中小企业政府采购信用融资办法》（陕财办采〔2018〕23号）、《陕西省财政厅关于加快推进我省中小企业政府采购信用融资工作的通知》（陕财办采[2020]15号），为参与陕西省政府采购项目的供应商提供政府采购信用担保和融资服务，并按照程序确定了合作的担保机构和商业银行。</w:t>
      </w: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snapToGrid w:val="0"/>
        <w:spacing w:line="360" w:lineRule="auto"/>
        <w:ind w:firstLine="411" w:firstLineChars="196"/>
        <w:rPr>
          <w:rFonts w:hint="eastAsia" w:ascii="宋体" w:hAnsi="宋体"/>
          <w:color w:val="auto"/>
          <w:szCs w:val="21"/>
          <w:highlight w:val="none"/>
        </w:rPr>
        <w:sectPr>
          <w:footerReference r:id="rId9" w:type="first"/>
          <w:footerReference r:id="rId8" w:type="default"/>
          <w:pgSz w:w="11907" w:h="16840"/>
          <w:pgMar w:top="1247" w:right="1644" w:bottom="1247" w:left="1644" w:header="851" w:footer="851" w:gutter="0"/>
          <w:pgNumType w:fmt="decimal" w:start="1"/>
          <w:cols w:space="720" w:num="1"/>
          <w:titlePg/>
          <w:docGrid w:type="linesAndChars" w:linePitch="312" w:charSpace="0"/>
        </w:sectPr>
      </w:pPr>
    </w:p>
    <w:p>
      <w:pPr>
        <w:spacing w:line="360" w:lineRule="auto"/>
        <w:ind w:firstLine="2880" w:firstLineChars="900"/>
        <w:outlineLvl w:val="0"/>
        <w:rPr>
          <w:rFonts w:hint="eastAsia" w:ascii="宋体" w:hAnsi="宋体" w:eastAsia="宋体"/>
          <w:b/>
          <w:color w:val="auto"/>
          <w:kern w:val="44"/>
          <w:sz w:val="32"/>
          <w:highlight w:val="none"/>
          <w:lang w:eastAsia="zh-CN"/>
        </w:rPr>
      </w:pPr>
      <w:bookmarkStart w:id="78" w:name="_Toc238899383"/>
      <w:bookmarkStart w:id="79" w:name="_Toc250572269"/>
      <w:bookmarkStart w:id="80" w:name="_Toc260140525"/>
      <w:bookmarkStart w:id="81" w:name="_Toc1614"/>
      <w:bookmarkStart w:id="82" w:name="_Toc235544708"/>
      <w:bookmarkStart w:id="83" w:name="_Toc269407617"/>
      <w:bookmarkStart w:id="84" w:name="_Toc372193327"/>
      <w:bookmarkStart w:id="85" w:name="_Toc293999491"/>
      <w:r>
        <w:rPr>
          <w:rFonts w:ascii="宋体" w:hAnsi="宋体"/>
          <w:b/>
          <w:color w:val="auto"/>
          <w:kern w:val="44"/>
          <w:sz w:val="32"/>
          <w:highlight w:val="none"/>
        </w:rPr>
        <w:t xml:space="preserve">第三章  </w:t>
      </w:r>
      <w:bookmarkEnd w:id="78"/>
      <w:bookmarkEnd w:id="79"/>
      <w:bookmarkEnd w:id="80"/>
      <w:r>
        <w:rPr>
          <w:rFonts w:hint="eastAsia" w:ascii="宋体" w:hAnsi="宋体"/>
          <w:b/>
          <w:color w:val="auto"/>
          <w:kern w:val="44"/>
          <w:sz w:val="32"/>
          <w:highlight w:val="none"/>
          <w:lang w:eastAsia="zh-CN"/>
        </w:rPr>
        <w:t>采购内容及要求</w:t>
      </w:r>
      <w:bookmarkEnd w:id="81"/>
    </w:p>
    <w:p>
      <w:pPr>
        <w:snapToGrid w:val="0"/>
        <w:spacing w:line="360" w:lineRule="auto"/>
        <w:ind w:firstLine="470" w:firstLineChars="196"/>
        <w:rPr>
          <w:rFonts w:hint="eastAsia" w:ascii="宋体" w:hAnsi="宋体" w:cs="Times New Roman"/>
          <w:color w:val="auto"/>
          <w:sz w:val="24"/>
          <w:szCs w:val="24"/>
          <w:highlight w:val="none"/>
          <w:lang w:eastAsia="zh-CN"/>
        </w:rPr>
      </w:pPr>
    </w:p>
    <w:p>
      <w:pPr>
        <w:snapToGrid w:val="0"/>
        <w:spacing w:line="360" w:lineRule="auto"/>
        <w:ind w:firstLine="470" w:firstLineChars="196"/>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一、采购项目</w:t>
      </w:r>
    </w:p>
    <w:p>
      <w:pPr>
        <w:pStyle w:val="23"/>
        <w:spacing w:line="360" w:lineRule="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项目名称：印台区矿区生活污水处理厂一体化智能污水处理设备采购项目</w:t>
      </w:r>
    </w:p>
    <w:p>
      <w:pPr>
        <w:snapToGrid w:val="0"/>
        <w:spacing w:line="360" w:lineRule="auto"/>
        <w:ind w:firstLine="470" w:firstLineChars="196"/>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二、项目概况</w:t>
      </w:r>
    </w:p>
    <w:p>
      <w:pPr>
        <w:pStyle w:val="23"/>
        <w:spacing w:line="360" w:lineRule="auto"/>
        <w:rPr>
          <w:rFonts w:hint="default" w:ascii="Times New Roman" w:hAnsi="Times New Roman"/>
          <w:sz w:val="24"/>
          <w:szCs w:val="24"/>
          <w:lang w:val="en-US" w:eastAsia="zh-CN"/>
        </w:rPr>
      </w:pPr>
      <w:r>
        <w:rPr>
          <w:rFonts w:hint="default" w:ascii="Times New Roman" w:hAnsi="Times New Roman" w:eastAsia="宋体" w:cs="宋体"/>
          <w:kern w:val="2"/>
          <w:sz w:val="24"/>
          <w:szCs w:val="24"/>
          <w:lang w:val="en-US" w:eastAsia="zh-CN" w:bidi="ar-SA"/>
        </w:rPr>
        <w:t>项目概况：东坡煤矿生</w:t>
      </w:r>
      <w:r>
        <w:rPr>
          <w:rFonts w:hint="default" w:ascii="Times New Roman" w:hAnsi="Times New Roman"/>
          <w:sz w:val="24"/>
          <w:szCs w:val="24"/>
          <w:lang w:val="en-US" w:eastAsia="zh-CN"/>
        </w:rPr>
        <w:t>活污水处理厂、徐家沟煤矿生活污水处理厂和王石凹煤矿生活污水处理厂需采购四套一体化设备，以形成解决冬季处理水量远低于设计进水量和进水浓度超出设计范围问题的长效机制。</w:t>
      </w:r>
    </w:p>
    <w:p>
      <w:pPr>
        <w:pStyle w:val="23"/>
        <w:spacing w:line="360" w:lineRule="auto"/>
        <w:rPr>
          <w:rFonts w:hint="default" w:ascii="Times New Roman" w:hAnsi="Times New Roman"/>
          <w:sz w:val="24"/>
          <w:szCs w:val="24"/>
          <w:lang w:val="en-US" w:eastAsia="zh-CN"/>
        </w:rPr>
      </w:pPr>
      <w:r>
        <w:rPr>
          <w:rFonts w:hint="default" w:ascii="Times New Roman" w:hAnsi="Times New Roman"/>
          <w:sz w:val="24"/>
          <w:szCs w:val="24"/>
          <w:lang w:val="en-US" w:eastAsia="zh-CN"/>
        </w:rPr>
        <w:t>东坡煤矿生活污水处理厂购置一台处理规模为100m³/d的一体化污水处理设备，污水处理设备主体工艺采用“A2O+MBR”,利用原有的一级处理设施和三级处理深度处理设施与CASS生活池体并联设置。</w:t>
      </w:r>
    </w:p>
    <w:p>
      <w:pPr>
        <w:pStyle w:val="23"/>
        <w:spacing w:line="360" w:lineRule="auto"/>
        <w:rPr>
          <w:rFonts w:hint="default" w:ascii="Times New Roman" w:hAnsi="Times New Roman"/>
          <w:sz w:val="24"/>
          <w:szCs w:val="24"/>
          <w:lang w:val="en-US" w:eastAsia="zh-CN"/>
        </w:rPr>
      </w:pPr>
      <w:r>
        <w:rPr>
          <w:rFonts w:hint="default" w:ascii="Times New Roman" w:hAnsi="Times New Roman"/>
          <w:sz w:val="24"/>
          <w:szCs w:val="24"/>
          <w:lang w:val="en-US" w:eastAsia="zh-CN"/>
        </w:rPr>
        <w:t>王石凹煤矿生活污水处理厂购置一台处理规模为100m³/d的一体化污水处理设备，污水处理设备主体工艺采用“AO+MBR”,利用原有的一级处理设施和三级处理深度处理设施与CASS生化池体串联设置。</w:t>
      </w:r>
    </w:p>
    <w:p>
      <w:pPr>
        <w:pStyle w:val="23"/>
        <w:spacing w:line="360" w:lineRule="auto"/>
        <w:rPr>
          <w:rFonts w:hint="default" w:ascii="Times New Roman" w:hAnsi="Times New Roman"/>
          <w:sz w:val="24"/>
          <w:szCs w:val="24"/>
          <w:lang w:val="en-US" w:eastAsia="zh-CN"/>
        </w:rPr>
      </w:pPr>
      <w:r>
        <w:rPr>
          <w:rFonts w:hint="default" w:ascii="Times New Roman" w:hAnsi="Times New Roman"/>
          <w:sz w:val="24"/>
          <w:szCs w:val="24"/>
          <w:lang w:val="en-US" w:eastAsia="zh-CN"/>
        </w:rPr>
        <w:t>徐家沟煤矿生活污水处理厂购置两台台处理规模为50m³/d的一体化污水处理设备（因道路所限100m³/d设备无法运达现场），污水处理设备主体工艺采用“AO+MBR”,利用原有的一级处理设施和三级处理深度处理设施与生化池体并联设置。</w:t>
      </w:r>
    </w:p>
    <w:p>
      <w:pPr>
        <w:pStyle w:val="23"/>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三、工期、地点及付款方式</w:t>
      </w:r>
    </w:p>
    <w:p>
      <w:pPr>
        <w:pStyle w:val="23"/>
        <w:spacing w:line="360" w:lineRule="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工期：根据招标人要求将货物送达交货地点后，10个日历日内安装调试完毕。</w:t>
      </w:r>
    </w:p>
    <w:p>
      <w:pPr>
        <w:pStyle w:val="23"/>
        <w:spacing w:line="360" w:lineRule="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交货地点：由招标人统一安排</w:t>
      </w:r>
    </w:p>
    <w:p>
      <w:pPr>
        <w:pStyle w:val="23"/>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付款方式：由甲乙双方协商决定</w:t>
      </w:r>
    </w:p>
    <w:p>
      <w:pPr>
        <w:pStyle w:val="23"/>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四、报价：</w:t>
      </w:r>
    </w:p>
    <w:p>
      <w:pPr>
        <w:pStyle w:val="23"/>
        <w:spacing w:line="360" w:lineRule="auto"/>
        <w:rPr>
          <w:rFonts w:hint="default" w:ascii="Times New Roman" w:hAnsi="Times New Roman"/>
          <w:sz w:val="24"/>
          <w:szCs w:val="24"/>
          <w:lang w:val="en-US" w:eastAsia="zh-CN"/>
        </w:rPr>
      </w:pPr>
      <w:r>
        <w:rPr>
          <w:rFonts w:hint="default" w:ascii="Times New Roman" w:hAnsi="Times New Roman"/>
          <w:sz w:val="24"/>
          <w:szCs w:val="24"/>
          <w:lang w:val="en-US" w:eastAsia="zh-CN"/>
        </w:rPr>
        <w:t>供应商应按本</w:t>
      </w:r>
      <w:r>
        <w:rPr>
          <w:rFonts w:hint="eastAsia" w:ascii="Times New Roman" w:hAnsi="Times New Roman"/>
          <w:sz w:val="24"/>
          <w:szCs w:val="24"/>
          <w:lang w:val="en-US" w:eastAsia="zh-CN"/>
        </w:rPr>
        <w:t>招标</w:t>
      </w:r>
      <w:r>
        <w:rPr>
          <w:rFonts w:hint="default" w:ascii="Times New Roman" w:hAnsi="Times New Roman"/>
          <w:sz w:val="24"/>
          <w:szCs w:val="24"/>
          <w:lang w:val="en-US" w:eastAsia="zh-CN"/>
        </w:rPr>
        <w:t>文件提供的报价表格式进行填报，并逐项写明指定项目的报价。</w:t>
      </w:r>
    </w:p>
    <w:p>
      <w:pPr>
        <w:pStyle w:val="23"/>
        <w:spacing w:line="360" w:lineRule="auto"/>
        <w:rPr>
          <w:rFonts w:hint="default" w:ascii="Times New Roman" w:hAnsi="Times New Roman"/>
          <w:sz w:val="24"/>
          <w:szCs w:val="24"/>
          <w:lang w:val="en-US" w:eastAsia="zh-CN"/>
        </w:rPr>
      </w:pPr>
      <w:r>
        <w:rPr>
          <w:rFonts w:hint="default" w:ascii="Times New Roman" w:hAnsi="Times New Roman"/>
          <w:sz w:val="24"/>
          <w:szCs w:val="24"/>
          <w:lang w:val="en-US" w:eastAsia="zh-CN"/>
        </w:rPr>
        <w:t>报价应含产品价款、运输、安装、调试、培训、税收等各种费用。</w:t>
      </w:r>
    </w:p>
    <w:p>
      <w:pPr>
        <w:rPr>
          <w:rFonts w:hint="eastAsia" w:ascii="Times New Roman" w:hAnsi="Times New Roman"/>
          <w:sz w:val="24"/>
          <w:szCs w:val="24"/>
          <w:lang w:val="en-US" w:eastAsia="zh-CN"/>
        </w:rPr>
      </w:pPr>
      <w:r>
        <w:rPr>
          <w:rFonts w:hint="eastAsia" w:ascii="Times New Roman" w:hAnsi="Times New Roman"/>
          <w:sz w:val="24"/>
          <w:szCs w:val="24"/>
          <w:lang w:val="en-US" w:eastAsia="zh-CN"/>
        </w:rPr>
        <w:br w:type="page"/>
      </w:r>
    </w:p>
    <w:p>
      <w:pPr>
        <w:pStyle w:val="23"/>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五、采购内容</w:t>
      </w:r>
    </w:p>
    <w:p>
      <w:pPr>
        <w:spacing w:line="360" w:lineRule="auto"/>
        <w:ind w:firstLine="480" w:firstLineChars="200"/>
        <w:jc w:val="left"/>
        <w:rPr>
          <w:rFonts w:hint="eastAsia" w:ascii="宋体" w:hAnsi="宋体" w:eastAsia="宋体" w:cs="宋体"/>
          <w:b w:val="0"/>
          <w:bCs w:val="0"/>
          <w:sz w:val="24"/>
          <w:szCs w:val="24"/>
          <w:lang w:val="en-US" w:eastAsia="zh-CN"/>
        </w:rPr>
      </w:pPr>
    </w:p>
    <w:p>
      <w:pPr>
        <w:ind w:left="0" w:leftChars="0" w:right="0" w:rightChars="0" w:firstLine="0" w:firstLineChars="0"/>
        <w:jc w:val="center"/>
        <w:rPr>
          <w:rFonts w:hint="eastAsia"/>
          <w:b/>
          <w:bCs/>
          <w:sz w:val="32"/>
          <w:szCs w:val="28"/>
          <w:lang w:val="en-US" w:eastAsia="zh-CN"/>
        </w:rPr>
      </w:pPr>
      <w:r>
        <w:rPr>
          <w:rFonts w:hint="eastAsia"/>
          <w:b/>
          <w:bCs/>
          <w:sz w:val="32"/>
          <w:szCs w:val="28"/>
          <w:lang w:val="en-US" w:eastAsia="zh-CN"/>
        </w:rPr>
        <w:t>总预算表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21"/>
        <w:gridCol w:w="2211"/>
        <w:gridCol w:w="857"/>
        <w:gridCol w:w="1161"/>
        <w:gridCol w:w="1161"/>
        <w:gridCol w:w="865"/>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41" w:type="pct"/>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序号</w:t>
            </w:r>
          </w:p>
        </w:tc>
        <w:tc>
          <w:tcPr>
            <w:tcW w:w="918" w:type="pct"/>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名称</w:t>
            </w:r>
          </w:p>
        </w:tc>
        <w:tc>
          <w:tcPr>
            <w:tcW w:w="1251" w:type="pct"/>
            <w:vAlign w:val="center"/>
          </w:tcPr>
          <w:p>
            <w:pPr>
              <w:ind w:left="0" w:leftChars="0" w:right="0" w:rightChars="0" w:firstLine="0" w:firstLineChars="0"/>
              <w:jc w:val="center"/>
              <w:rPr>
                <w:rFonts w:hint="eastAsia"/>
                <w:lang w:val="en-US" w:eastAsia="zh-CN"/>
              </w:rPr>
            </w:pPr>
            <w:r>
              <w:rPr>
                <w:rFonts w:hint="eastAsia"/>
                <w:lang w:val="en-US" w:eastAsia="zh-CN"/>
              </w:rPr>
              <w:t>规格</w:t>
            </w:r>
          </w:p>
        </w:tc>
        <w:tc>
          <w:tcPr>
            <w:tcW w:w="486" w:type="pct"/>
            <w:vAlign w:val="center"/>
          </w:tcPr>
          <w:p>
            <w:pPr>
              <w:ind w:left="0" w:leftChars="0" w:right="0" w:rightChars="0" w:firstLine="0" w:firstLineChars="0"/>
              <w:jc w:val="center"/>
              <w:rPr>
                <w:rFonts w:hint="eastAsia"/>
                <w:lang w:val="en-US" w:eastAsia="zh-CN"/>
              </w:rPr>
            </w:pPr>
            <w:r>
              <w:rPr>
                <w:rFonts w:hint="eastAsia"/>
                <w:lang w:val="en-US" w:eastAsia="zh-CN"/>
              </w:rPr>
              <w:t>数量（台）</w:t>
            </w:r>
          </w:p>
        </w:tc>
        <w:tc>
          <w:tcPr>
            <w:tcW w:w="657" w:type="pct"/>
            <w:vAlign w:val="center"/>
          </w:tcPr>
          <w:p>
            <w:pPr>
              <w:ind w:left="0" w:leftChars="0" w:right="0" w:rightChars="0" w:firstLine="0" w:firstLineChars="0"/>
              <w:jc w:val="center"/>
              <w:rPr>
                <w:rFonts w:hint="eastAsia"/>
                <w:lang w:val="en-US" w:eastAsia="zh-CN"/>
              </w:rPr>
            </w:pPr>
            <w:r>
              <w:rPr>
                <w:rFonts w:hint="eastAsia"/>
                <w:lang w:val="en-US" w:eastAsia="zh-CN"/>
              </w:rPr>
              <w:t>单价</w:t>
            </w:r>
          </w:p>
        </w:tc>
        <w:tc>
          <w:tcPr>
            <w:tcW w:w="657" w:type="pct"/>
            <w:vAlign w:val="center"/>
          </w:tcPr>
          <w:p>
            <w:pPr>
              <w:ind w:left="0" w:leftChars="0" w:right="0" w:rightChars="0" w:firstLine="0" w:firstLineChars="0"/>
              <w:jc w:val="center"/>
              <w:rPr>
                <w:rFonts w:hint="eastAsia"/>
                <w:lang w:val="en-US" w:eastAsia="zh-CN"/>
              </w:rPr>
            </w:pPr>
            <w:r>
              <w:rPr>
                <w:rFonts w:hint="eastAsia"/>
                <w:lang w:val="en-US" w:eastAsia="zh-CN"/>
              </w:rPr>
              <w:t>总价</w:t>
            </w:r>
          </w:p>
          <w:p>
            <w:pPr>
              <w:ind w:left="0" w:leftChars="0" w:right="0" w:rightChars="0" w:firstLine="0" w:firstLineChars="0"/>
              <w:jc w:val="center"/>
              <w:rPr>
                <w:rFonts w:hint="eastAsia"/>
                <w:lang w:val="en-US" w:eastAsia="zh-CN"/>
              </w:rPr>
            </w:pPr>
            <w:r>
              <w:rPr>
                <w:rFonts w:hint="eastAsia"/>
                <w:lang w:val="en-US" w:eastAsia="zh-CN"/>
              </w:rPr>
              <w:t>（元）</w:t>
            </w:r>
          </w:p>
        </w:tc>
        <w:tc>
          <w:tcPr>
            <w:tcW w:w="490" w:type="pct"/>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质保期（年）</w:t>
            </w:r>
          </w:p>
        </w:tc>
        <w:tc>
          <w:tcPr>
            <w:tcW w:w="296" w:type="pct"/>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1"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1</w:t>
            </w:r>
          </w:p>
        </w:tc>
        <w:tc>
          <w:tcPr>
            <w:tcW w:w="918" w:type="pct"/>
            <w:vAlign w:val="center"/>
          </w:tcPr>
          <w:p>
            <w:pPr>
              <w:ind w:left="0" w:leftChars="0" w:right="0" w:rightChars="0" w:firstLine="0" w:firstLineChars="0"/>
              <w:jc w:val="center"/>
              <w:rPr>
                <w:rFonts w:hint="eastAsia" w:ascii="Times New Roman" w:hAnsi="Times New Roman" w:eastAsia="宋体" w:cs="Times New Roman"/>
                <w:kern w:val="2"/>
                <w:sz w:val="21"/>
                <w:vertAlign w:val="baseline"/>
                <w:lang w:val="en-US" w:eastAsia="zh-CN" w:bidi="ar-SA"/>
              </w:rPr>
            </w:pPr>
            <w:r>
              <w:rPr>
                <w:rFonts w:hint="eastAsia" w:ascii="宋体" w:hAnsi="宋体" w:eastAsia="宋体" w:cs="宋体"/>
                <w:b w:val="0"/>
                <w:bCs w:val="0"/>
                <w:sz w:val="24"/>
                <w:szCs w:val="24"/>
                <w:lang w:val="en-US" w:eastAsia="zh-CN"/>
              </w:rPr>
              <w:t>东坡煤矿生活污水处理厂</w:t>
            </w:r>
          </w:p>
        </w:tc>
        <w:tc>
          <w:tcPr>
            <w:tcW w:w="1251" w:type="pct"/>
            <w:vAlign w:val="center"/>
          </w:tcPr>
          <w:p>
            <w:pPr>
              <w:ind w:left="0" w:leftChars="0" w:right="0" w:righ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“A2O+MBR”|100m³/d</w:t>
            </w:r>
          </w:p>
        </w:tc>
        <w:tc>
          <w:tcPr>
            <w:tcW w:w="486" w:type="pct"/>
            <w:vAlign w:val="center"/>
          </w:tcPr>
          <w:p>
            <w:pPr>
              <w:ind w:left="0" w:leftChars="0" w:right="0" w:rightChars="0"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1</w:t>
            </w:r>
          </w:p>
        </w:tc>
        <w:tc>
          <w:tcPr>
            <w:tcW w:w="657"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ascii="宋体" w:hAnsi="宋体" w:cs="宋体"/>
                <w:b w:val="0"/>
                <w:bCs w:val="0"/>
                <w:sz w:val="21"/>
                <w:szCs w:val="21"/>
                <w:highlight w:val="none"/>
                <w:vertAlign w:val="baseline"/>
                <w:lang w:val="en-US" w:eastAsia="zh-CN"/>
              </w:rPr>
              <w:t>625000.00</w:t>
            </w:r>
          </w:p>
        </w:tc>
        <w:tc>
          <w:tcPr>
            <w:tcW w:w="657"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ascii="宋体" w:hAnsi="宋体" w:cs="宋体"/>
                <w:b w:val="0"/>
                <w:bCs w:val="0"/>
                <w:sz w:val="21"/>
                <w:szCs w:val="21"/>
                <w:highlight w:val="none"/>
                <w:vertAlign w:val="baseline"/>
                <w:lang w:val="en-US" w:eastAsia="zh-CN"/>
              </w:rPr>
              <w:t>625000.00</w:t>
            </w:r>
          </w:p>
        </w:tc>
        <w:tc>
          <w:tcPr>
            <w:tcW w:w="490" w:type="pct"/>
            <w:vAlign w:val="center"/>
          </w:tcPr>
          <w:p>
            <w:pPr>
              <w:ind w:left="0" w:leftChars="0" w:right="0" w:rightChars="0" w:firstLine="0" w:firstLineChars="0"/>
              <w:jc w:val="center"/>
              <w:rPr>
                <w:rFonts w:hint="default"/>
                <w:vertAlign w:val="baseline"/>
                <w:lang w:val="en-US" w:eastAsia="zh-CN"/>
              </w:rPr>
            </w:pPr>
            <w:r>
              <w:rPr>
                <w:rFonts w:hint="eastAsia"/>
                <w:vertAlign w:val="baseline"/>
                <w:lang w:val="en-US" w:eastAsia="zh-CN"/>
              </w:rPr>
              <w:t>2</w:t>
            </w:r>
          </w:p>
        </w:tc>
        <w:tc>
          <w:tcPr>
            <w:tcW w:w="296" w:type="pct"/>
            <w:vAlign w:val="center"/>
          </w:tcPr>
          <w:p>
            <w:pPr>
              <w:ind w:left="0" w:leftChars="0" w:right="0" w:righ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1"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2</w:t>
            </w:r>
          </w:p>
        </w:tc>
        <w:tc>
          <w:tcPr>
            <w:tcW w:w="918" w:type="pct"/>
            <w:vAlign w:val="center"/>
          </w:tcPr>
          <w:p>
            <w:pPr>
              <w:ind w:left="0" w:leftChars="0" w:right="0" w:rightChars="0" w:firstLine="0" w:firstLineChars="0"/>
              <w:jc w:val="center"/>
              <w:rPr>
                <w:rFonts w:hint="eastAsia" w:ascii="Times New Roman" w:hAnsi="Times New Roman" w:eastAsia="宋体" w:cs="Times New Roman"/>
                <w:kern w:val="2"/>
                <w:sz w:val="21"/>
                <w:vertAlign w:val="baseline"/>
                <w:lang w:val="en-US" w:eastAsia="zh-CN" w:bidi="ar-SA"/>
              </w:rPr>
            </w:pPr>
            <w:r>
              <w:rPr>
                <w:rFonts w:hint="eastAsia" w:ascii="宋体" w:hAnsi="宋体" w:eastAsia="宋体" w:cs="宋体"/>
                <w:b w:val="0"/>
                <w:bCs w:val="0"/>
                <w:sz w:val="24"/>
                <w:szCs w:val="24"/>
                <w:highlight w:val="none"/>
                <w:lang w:val="en-US" w:eastAsia="zh-CN"/>
              </w:rPr>
              <w:t>王石凹煤矿生活污水处理厂</w:t>
            </w:r>
          </w:p>
        </w:tc>
        <w:tc>
          <w:tcPr>
            <w:tcW w:w="1251" w:type="pct"/>
            <w:vAlign w:val="center"/>
          </w:tcPr>
          <w:p>
            <w:pPr>
              <w:ind w:left="0" w:leftChars="0" w:right="0" w:righ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“AO+MBR”|100m³/d</w:t>
            </w:r>
          </w:p>
        </w:tc>
        <w:tc>
          <w:tcPr>
            <w:tcW w:w="486" w:type="pct"/>
            <w:vAlign w:val="center"/>
          </w:tcPr>
          <w:p>
            <w:pPr>
              <w:ind w:left="0" w:leftChars="0" w:right="0" w:rightChars="0"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1</w:t>
            </w:r>
          </w:p>
        </w:tc>
        <w:tc>
          <w:tcPr>
            <w:tcW w:w="657"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ascii="宋体" w:hAnsi="宋体" w:cs="宋体"/>
                <w:b w:val="0"/>
                <w:bCs w:val="0"/>
                <w:sz w:val="21"/>
                <w:szCs w:val="21"/>
                <w:highlight w:val="none"/>
                <w:vertAlign w:val="baseline"/>
                <w:lang w:val="en-US" w:eastAsia="zh-CN"/>
              </w:rPr>
              <w:t>605000.00</w:t>
            </w:r>
          </w:p>
        </w:tc>
        <w:tc>
          <w:tcPr>
            <w:tcW w:w="657"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ascii="宋体" w:hAnsi="宋体" w:cs="宋体"/>
                <w:b w:val="0"/>
                <w:bCs w:val="0"/>
                <w:sz w:val="21"/>
                <w:szCs w:val="21"/>
                <w:highlight w:val="none"/>
                <w:vertAlign w:val="baseline"/>
                <w:lang w:val="en-US" w:eastAsia="zh-CN"/>
              </w:rPr>
              <w:t>605000.00</w:t>
            </w:r>
          </w:p>
        </w:tc>
        <w:tc>
          <w:tcPr>
            <w:tcW w:w="490" w:type="pct"/>
            <w:vAlign w:val="center"/>
          </w:tcPr>
          <w:p>
            <w:pPr>
              <w:ind w:left="0" w:leftChars="0" w:right="0" w:rightChars="0" w:firstLine="0" w:firstLineChars="0"/>
              <w:jc w:val="center"/>
              <w:rPr>
                <w:rFonts w:hint="default"/>
                <w:vertAlign w:val="baseline"/>
                <w:lang w:val="en-US" w:eastAsia="zh-CN"/>
              </w:rPr>
            </w:pPr>
            <w:r>
              <w:rPr>
                <w:rFonts w:hint="eastAsia"/>
                <w:vertAlign w:val="baseline"/>
                <w:lang w:val="en-US" w:eastAsia="zh-CN"/>
              </w:rPr>
              <w:t>2</w:t>
            </w:r>
          </w:p>
        </w:tc>
        <w:tc>
          <w:tcPr>
            <w:tcW w:w="296" w:type="pct"/>
            <w:vAlign w:val="center"/>
          </w:tcPr>
          <w:p>
            <w:pPr>
              <w:ind w:left="0" w:leftChars="0" w:right="0" w:righ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1" w:type="pct"/>
            <w:vAlign w:val="center"/>
          </w:tcPr>
          <w:p>
            <w:pPr>
              <w:ind w:left="0" w:leftChars="0" w:right="0" w:rightChars="0" w:firstLine="0" w:firstLineChars="0"/>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3</w:t>
            </w:r>
          </w:p>
        </w:tc>
        <w:tc>
          <w:tcPr>
            <w:tcW w:w="918" w:type="pct"/>
            <w:vAlign w:val="center"/>
          </w:tcPr>
          <w:p>
            <w:pPr>
              <w:ind w:left="0" w:leftChars="0" w:right="0" w:rightChars="0" w:firstLine="0" w:firstLineChars="0"/>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4"/>
                <w:szCs w:val="24"/>
                <w:highlight w:val="none"/>
                <w:lang w:val="en-US" w:eastAsia="zh-CN"/>
              </w:rPr>
              <w:t>徐家沟煤矿生活污水处理厂</w:t>
            </w:r>
          </w:p>
        </w:tc>
        <w:tc>
          <w:tcPr>
            <w:tcW w:w="1251" w:type="pct"/>
            <w:vAlign w:val="center"/>
          </w:tcPr>
          <w:p>
            <w:pPr>
              <w:ind w:left="0" w:leftChars="0" w:right="0" w:righ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highlight w:val="none"/>
                <w:vertAlign w:val="baseline"/>
                <w:lang w:val="en-US" w:eastAsia="zh-CN"/>
              </w:rPr>
              <w:t>“AO+MBR”|50m³/d</w:t>
            </w:r>
          </w:p>
        </w:tc>
        <w:tc>
          <w:tcPr>
            <w:tcW w:w="486" w:type="pct"/>
            <w:vAlign w:val="center"/>
          </w:tcPr>
          <w:p>
            <w:pPr>
              <w:ind w:left="0" w:leftChars="0" w:right="0" w:rightChars="0" w:firstLine="0" w:firstLineChars="0"/>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657" w:type="pct"/>
            <w:vAlign w:val="center"/>
          </w:tcPr>
          <w:p>
            <w:pPr>
              <w:ind w:left="0" w:leftChars="0" w:right="0" w:rightChars="0" w:firstLine="0" w:firstLineChars="0"/>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327500.00</w:t>
            </w:r>
          </w:p>
        </w:tc>
        <w:tc>
          <w:tcPr>
            <w:tcW w:w="657" w:type="pct"/>
            <w:vAlign w:val="center"/>
          </w:tcPr>
          <w:p>
            <w:pPr>
              <w:ind w:left="0" w:leftChars="0" w:right="0" w:rightChars="0" w:firstLine="0" w:firstLineChars="0"/>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vertAlign w:val="baseline"/>
                <w:lang w:val="en-US" w:eastAsia="zh-CN"/>
              </w:rPr>
              <w:t>655</w:t>
            </w:r>
            <w:r>
              <w:rPr>
                <w:rFonts w:hint="eastAsia" w:ascii="宋体" w:hAnsi="宋体" w:cs="宋体"/>
                <w:b w:val="0"/>
                <w:bCs w:val="0"/>
                <w:sz w:val="21"/>
                <w:szCs w:val="21"/>
                <w:vertAlign w:val="baseline"/>
                <w:lang w:val="en-US" w:eastAsia="zh-CN"/>
              </w:rPr>
              <w:t>000.00</w:t>
            </w:r>
          </w:p>
        </w:tc>
        <w:tc>
          <w:tcPr>
            <w:tcW w:w="490" w:type="pct"/>
            <w:vAlign w:val="center"/>
          </w:tcPr>
          <w:p>
            <w:pPr>
              <w:ind w:left="0" w:leftChars="0" w:right="0" w:rightChars="0" w:firstLine="0" w:firstLineChars="0"/>
              <w:jc w:val="center"/>
              <w:rPr>
                <w:rFonts w:hint="default"/>
                <w:vertAlign w:val="baseline"/>
                <w:lang w:val="en-US" w:eastAsia="zh-CN"/>
              </w:rPr>
            </w:pPr>
            <w:r>
              <w:rPr>
                <w:rFonts w:hint="eastAsia"/>
                <w:vertAlign w:val="baseline"/>
                <w:lang w:val="en-US" w:eastAsia="zh-CN"/>
              </w:rPr>
              <w:t>2</w:t>
            </w:r>
          </w:p>
        </w:tc>
        <w:tc>
          <w:tcPr>
            <w:tcW w:w="296" w:type="pct"/>
            <w:vAlign w:val="center"/>
          </w:tcPr>
          <w:p>
            <w:pPr>
              <w:ind w:left="0" w:leftChars="0" w:right="0" w:righ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59" w:type="pct"/>
            <w:gridSpan w:val="2"/>
            <w:vAlign w:val="center"/>
          </w:tcPr>
          <w:p>
            <w:pPr>
              <w:ind w:left="0" w:leftChars="0" w:right="0" w:rightChars="0" w:firstLine="0" w:firstLineChars="0"/>
              <w:jc w:val="center"/>
              <w:rPr>
                <w:rFonts w:hint="default"/>
                <w:vertAlign w:val="baseline"/>
                <w:lang w:val="en-US" w:eastAsia="zh-CN"/>
              </w:rPr>
            </w:pPr>
            <w:r>
              <w:rPr>
                <w:rFonts w:hint="eastAsia" w:ascii="宋体" w:hAnsi="宋体" w:cs="宋体"/>
                <w:b w:val="0"/>
                <w:bCs w:val="0"/>
                <w:kern w:val="2"/>
                <w:sz w:val="21"/>
                <w:szCs w:val="21"/>
                <w:highlight w:val="none"/>
                <w:vertAlign w:val="baseline"/>
                <w:lang w:val="en-US" w:eastAsia="zh-CN" w:bidi="ar-SA"/>
              </w:rPr>
              <w:t>总预算价（元）</w:t>
            </w:r>
          </w:p>
        </w:tc>
        <w:tc>
          <w:tcPr>
            <w:tcW w:w="3840" w:type="pct"/>
            <w:gridSpan w:val="6"/>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1885000.00元</w:t>
            </w:r>
          </w:p>
        </w:tc>
      </w:tr>
    </w:tbl>
    <w:p>
      <w:pPr>
        <w:spacing w:line="360" w:lineRule="auto"/>
        <w:ind w:firstLine="480" w:firstLineChars="200"/>
        <w:jc w:val="left"/>
        <w:rPr>
          <w:rFonts w:hint="eastAsia" w:ascii="宋体" w:hAnsi="宋体" w:eastAsia="宋体" w:cs="宋体"/>
          <w:b w:val="0"/>
          <w:bCs w:val="0"/>
          <w:sz w:val="24"/>
          <w:szCs w:val="24"/>
          <w:lang w:val="en-US" w:eastAsia="zh-CN"/>
        </w:rPr>
      </w:pPr>
    </w:p>
    <w:p>
      <w:pPr>
        <w:ind w:firstLine="420" w:firstLineChars="200"/>
        <w:jc w:val="left"/>
        <w:rPr>
          <w:rFonts w:hint="eastAsia" w:ascii="宋体" w:hAnsi="宋体" w:eastAsia="宋体" w:cs="宋体"/>
          <w:b w:val="0"/>
          <w:bCs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b w:val="0"/>
          <w:bCs w:val="0"/>
          <w:sz w:val="28"/>
          <w:szCs w:val="28"/>
          <w:highlight w:val="none"/>
          <w:lang w:val="en-US" w:eastAsia="zh-CN"/>
        </w:rPr>
      </w:pPr>
      <w:r>
        <w:rPr>
          <w:rFonts w:hint="eastAsia"/>
          <w:b/>
          <w:bCs/>
          <w:sz w:val="28"/>
          <w:szCs w:val="28"/>
          <w:highlight w:val="none"/>
          <w:lang w:val="en-US" w:eastAsia="zh-CN"/>
        </w:rPr>
        <w:t>1、东坡一体化污水处理设备分项表：</w:t>
      </w:r>
    </w:p>
    <w:tbl>
      <w:tblPr>
        <w:tblStyle w:val="18"/>
        <w:tblpPr w:leftFromText="180" w:rightFromText="180" w:vertAnchor="text" w:horzAnchor="page" w:tblpXSpec="center" w:tblpY="457"/>
        <w:tblOverlap w:val="never"/>
        <w:tblW w:w="0" w:type="auto"/>
        <w:jc w:val="center"/>
        <w:shd w:val="clear" w:color="auto" w:fill="auto"/>
        <w:tblLayout w:type="autofit"/>
        <w:tblCellMar>
          <w:top w:w="0" w:type="dxa"/>
          <w:left w:w="108" w:type="dxa"/>
          <w:bottom w:w="0" w:type="dxa"/>
          <w:right w:w="108" w:type="dxa"/>
        </w:tblCellMar>
      </w:tblPr>
      <w:tblGrid>
        <w:gridCol w:w="617"/>
        <w:gridCol w:w="2992"/>
        <w:gridCol w:w="2031"/>
        <w:gridCol w:w="599"/>
        <w:gridCol w:w="617"/>
        <w:gridCol w:w="1979"/>
      </w:tblGrid>
      <w:tr>
        <w:tblPrEx>
          <w:shd w:val="clear" w:color="auto" w:fill="auto"/>
          <w:tblCellMar>
            <w:top w:w="0" w:type="dxa"/>
            <w:left w:w="108" w:type="dxa"/>
            <w:bottom w:w="0" w:type="dxa"/>
            <w:right w:w="108" w:type="dxa"/>
          </w:tblCellMar>
        </w:tblPrEx>
        <w:trPr>
          <w:trHeight w:val="5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主要设备部件名称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（A2O+MBR+消毒池+设备间）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13*2.5*2.5m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检修口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平口</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出水堰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吊装鼻等其他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电伴热系统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碳钢喷塑一体成型板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硝化液回流泵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污泥回流泵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厌氧池填料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Φ150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厌氧池填料支架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厌氧池穿孔曝气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缺氧池与好氧池曝气头及曝气管路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帘式膜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静音风机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安装于设备间</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提升泵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抽吸泵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PXZ15-30-1.5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清水泵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反洗加药装置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31.</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除磷加药装置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0.37KW搅拌机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消毒装置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18L计量泵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PLC电控柜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液位控制系统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进出水管路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DN40热镀锌钢管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含伴热带和橡塑保温层</w:t>
            </w:r>
          </w:p>
        </w:tc>
      </w:tr>
      <w:tr>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曝气管路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DN50热镀锌钢管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阀门管件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设备安装与调试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b/>
          <w:bCs/>
          <w:sz w:val="28"/>
          <w:szCs w:val="28"/>
          <w:highlight w:val="none"/>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b w:val="0"/>
          <w:bCs w:val="0"/>
          <w:sz w:val="28"/>
          <w:szCs w:val="28"/>
          <w:highlight w:val="none"/>
          <w:lang w:val="en-US" w:eastAsia="zh-CN"/>
        </w:rPr>
      </w:pPr>
      <w:r>
        <w:rPr>
          <w:rFonts w:hint="eastAsia"/>
          <w:b/>
          <w:bCs/>
          <w:sz w:val="28"/>
          <w:szCs w:val="28"/>
          <w:highlight w:val="none"/>
          <w:lang w:val="en-US" w:eastAsia="zh-CN"/>
        </w:rPr>
        <w:t>2、王石凹一体化污水处理设备分项表：</w:t>
      </w:r>
    </w:p>
    <w:tbl>
      <w:tblPr>
        <w:tblStyle w:val="18"/>
        <w:tblpPr w:leftFromText="180" w:rightFromText="180" w:vertAnchor="text" w:horzAnchor="page" w:tblpXSpec="center" w:tblpY="352"/>
        <w:tblOverlap w:val="never"/>
        <w:tblW w:w="4998" w:type="pct"/>
        <w:jc w:val="center"/>
        <w:shd w:val="clear" w:color="auto" w:fill="auto"/>
        <w:tblLayout w:type="autofit"/>
        <w:tblCellMar>
          <w:top w:w="0" w:type="dxa"/>
          <w:left w:w="108" w:type="dxa"/>
          <w:bottom w:w="0" w:type="dxa"/>
          <w:right w:w="108" w:type="dxa"/>
        </w:tblCellMar>
      </w:tblPr>
      <w:tblGrid>
        <w:gridCol w:w="753"/>
        <w:gridCol w:w="2449"/>
        <w:gridCol w:w="2389"/>
        <w:gridCol w:w="645"/>
        <w:gridCol w:w="753"/>
        <w:gridCol w:w="1842"/>
      </w:tblGrid>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主要设备部件名称</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（AO+MBR+消毒池+设备间）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12*2.25*2.5m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加强筋</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6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检修口</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平口</w:t>
            </w: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出水堰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吊装鼻等其他</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 </w:t>
            </w:r>
          </w:p>
        </w:tc>
        <w:tc>
          <w:tcPr>
            <w:tcW w:w="1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保温系统</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电伴热系统</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0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橡塑棉</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 </w:t>
            </w:r>
          </w:p>
        </w:tc>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碳钢喷塑一体成型板</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硝化液回流泵</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污泥回流泵</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剩余污泥泵</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缺氧池填料</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Φ150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缺氧池填料支架</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好氧池填料支架</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风机</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罗茨风机</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安装于设备间</w:t>
            </w: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好氧池曝气头及曝气管路</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帘式膜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MBR膜架</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标配</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w:t>
            </w: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抽吸泵</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PXZ15-30-1.5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反洗泵</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9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清水泵</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 </w:t>
            </w:r>
          </w:p>
        </w:tc>
        <w:tc>
          <w:tcPr>
            <w:tcW w:w="138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反洗加药装置</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92"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138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26.</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除磷加药装置</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PE</w:t>
            </w: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38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除磷加药装置</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38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0.37KW搅拌机</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消毒装置</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18L计量泵</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PLC电控柜</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31. </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液位控制</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进出水管路</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DN40热镀锌钢管</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含伴热带和橡塑保温层</w:t>
            </w: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曝气管路</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DN50热镀锌钢管</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13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主电缆</w:t>
            </w:r>
          </w:p>
        </w:tc>
        <w:tc>
          <w:tcPr>
            <w:tcW w:w="13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16mm2</w:t>
            </w:r>
          </w:p>
        </w:tc>
        <w:tc>
          <w:tcPr>
            <w:tcW w:w="3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110</w:t>
            </w:r>
          </w:p>
        </w:tc>
        <w:tc>
          <w:tcPr>
            <w:tcW w:w="10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1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阀门管件</w:t>
            </w:r>
          </w:p>
        </w:tc>
        <w:tc>
          <w:tcPr>
            <w:tcW w:w="1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若干</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0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1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设备安装与调试</w:t>
            </w:r>
          </w:p>
        </w:tc>
        <w:tc>
          <w:tcPr>
            <w:tcW w:w="1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bl>
    <w:p>
      <w:pPr>
        <w:numPr>
          <w:ilvl w:val="0"/>
          <w:numId w:val="0"/>
        </w:numPr>
        <w:jc w:val="left"/>
        <w:rPr>
          <w:rFonts w:hint="eastAsia"/>
          <w:b/>
          <w:bCs/>
          <w:sz w:val="28"/>
          <w:szCs w:val="28"/>
          <w:highlight w:val="none"/>
          <w:lang w:val="en-US" w:eastAsia="zh-CN"/>
        </w:rPr>
      </w:pPr>
    </w:p>
    <w:p>
      <w:pPr>
        <w:rPr>
          <w:rFonts w:hint="eastAsia" w:ascii="宋体" w:hAnsi="宋体" w:eastAsia="宋体" w:cs="宋体"/>
          <w:b w:val="0"/>
          <w:bCs w:val="0"/>
          <w:sz w:val="21"/>
          <w:szCs w:val="21"/>
          <w:lang w:val="en-US" w:eastAsia="zh-CN"/>
        </w:rPr>
      </w:pPr>
    </w:p>
    <w:p>
      <w:pPr>
        <w:numPr>
          <w:ilvl w:val="0"/>
          <w:numId w:val="0"/>
        </w:numPr>
        <w:jc w:val="left"/>
        <w:rPr>
          <w:rFonts w:hint="eastAsia"/>
          <w:b/>
          <w:bCs/>
          <w:sz w:val="28"/>
          <w:szCs w:val="28"/>
          <w:highlight w:val="none"/>
          <w:lang w:val="en-US" w:eastAsia="zh-CN"/>
        </w:rPr>
      </w:pPr>
      <w:r>
        <w:rPr>
          <w:rFonts w:hint="eastAsia"/>
          <w:b/>
          <w:bCs/>
          <w:sz w:val="28"/>
          <w:szCs w:val="28"/>
          <w:highlight w:val="none"/>
          <w:lang w:val="en-US" w:eastAsia="zh-CN"/>
        </w:rPr>
        <w:t>3、徐家沟一体化污水处理设备（2台）：</w:t>
      </w:r>
    </w:p>
    <w:tbl>
      <w:tblPr>
        <w:tblStyle w:val="18"/>
        <w:tblpPr w:leftFromText="180" w:rightFromText="180" w:vertAnchor="text" w:horzAnchor="page" w:tblpXSpec="center" w:tblpY="352"/>
        <w:tblOverlap w:val="never"/>
        <w:tblW w:w="4997" w:type="pct"/>
        <w:jc w:val="center"/>
        <w:shd w:val="clear" w:color="auto" w:fill="auto"/>
        <w:tblLayout w:type="autofit"/>
        <w:tblCellMar>
          <w:top w:w="0" w:type="dxa"/>
          <w:left w:w="108" w:type="dxa"/>
          <w:bottom w:w="0" w:type="dxa"/>
          <w:right w:w="108" w:type="dxa"/>
        </w:tblCellMar>
      </w:tblPr>
      <w:tblGrid>
        <w:gridCol w:w="753"/>
        <w:gridCol w:w="2506"/>
        <w:gridCol w:w="2398"/>
        <w:gridCol w:w="689"/>
        <w:gridCol w:w="604"/>
        <w:gridCol w:w="1880"/>
      </w:tblGrid>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主要设备部件名称</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（AO+MBR+消毒池+设备间）</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8*2*2.2m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6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检修口</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平口</w:t>
            </w: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出水堰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吊装鼻等其他</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 </w:t>
            </w:r>
          </w:p>
        </w:tc>
        <w:tc>
          <w:tcPr>
            <w:tcW w:w="1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保温系统</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电伴热系统</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03"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 </w:t>
            </w:r>
          </w:p>
        </w:tc>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碳钢喷塑一体成型板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硝化液回流泵</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污泥回流泵</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缺氧池填料</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Φ150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缺氧池填料支架</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好氧池填料支架</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风机</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罗茨风机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安装于设备间</w:t>
            </w:r>
          </w:p>
        </w:tc>
      </w:tr>
      <w:tr>
        <w:tblPrEx>
          <w:shd w:val="clear" w:color="auto" w:fill="auto"/>
          <w:tblCellMar>
            <w:top w:w="0" w:type="dxa"/>
            <w:left w:w="108" w:type="dxa"/>
            <w:bottom w:w="0" w:type="dxa"/>
            <w:right w:w="108" w:type="dxa"/>
          </w:tblCellMar>
        </w:tblPrEx>
        <w:trPr>
          <w:trHeight w:val="48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好氧池曝气头及曝气管路</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帘式膜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MBR膜架</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w:t>
            </w:r>
          </w:p>
        </w:tc>
      </w:tr>
      <w:tr>
        <w:tblPrEx>
          <w:shd w:val="clear" w:color="auto" w:fill="auto"/>
          <w:tblCellMar>
            <w:top w:w="0" w:type="dxa"/>
            <w:left w:w="108" w:type="dxa"/>
            <w:bottom w:w="0" w:type="dxa"/>
            <w:right w:w="108" w:type="dxa"/>
          </w:tblCellMar>
        </w:tblPrEx>
        <w:trPr>
          <w:trHeight w:val="278"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抽吸泵</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0.75KW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反洗泵</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 </w:t>
            </w:r>
          </w:p>
        </w:tc>
        <w:tc>
          <w:tcPr>
            <w:tcW w:w="141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反洗加药装置</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w:t>
            </w:r>
          </w:p>
        </w:tc>
      </w:tr>
      <w:tr>
        <w:tblPrEx>
          <w:tblCellMar>
            <w:top w:w="0" w:type="dxa"/>
            <w:left w:w="108" w:type="dxa"/>
            <w:bottom w:w="0" w:type="dxa"/>
            <w:right w:w="108" w:type="dxa"/>
          </w:tblCellMar>
        </w:tblPrEx>
        <w:trPr>
          <w:trHeight w:val="392"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 </w:t>
            </w:r>
          </w:p>
        </w:tc>
        <w:tc>
          <w:tcPr>
            <w:tcW w:w="141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电控柜</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液位控制</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进水管路</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DN40热镀锌钢管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含伴热带和橡塑保温层</w:t>
            </w: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曝气管路</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DN50热镀锌钢管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排水管路</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DN80,UPVC管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41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主电缆</w:t>
            </w:r>
          </w:p>
        </w:tc>
        <w:tc>
          <w:tcPr>
            <w:tcW w:w="135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16mm2</w:t>
            </w:r>
          </w:p>
        </w:tc>
        <w:tc>
          <w:tcPr>
            <w:tcW w:w="39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w:t>
            </w:r>
          </w:p>
        </w:tc>
        <w:tc>
          <w:tcPr>
            <w:tcW w:w="106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阀门管件</w:t>
            </w:r>
          </w:p>
        </w:tc>
        <w:tc>
          <w:tcPr>
            <w:tcW w:w="1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若干</w:t>
            </w: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设备安装与调试</w:t>
            </w:r>
          </w:p>
        </w:tc>
        <w:tc>
          <w:tcPr>
            <w:tcW w:w="1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bl>
    <w:p>
      <w:pPr>
        <w:rPr>
          <w:rFonts w:hint="eastAsia" w:ascii="宋体" w:hAnsi="宋体" w:eastAsia="宋体" w:cs="宋体"/>
          <w:b w:val="0"/>
          <w:bCs w:val="0"/>
          <w:sz w:val="21"/>
          <w:szCs w:val="21"/>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3"/>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六、验收</w:t>
      </w:r>
    </w:p>
    <w:p>
      <w:pPr>
        <w:adjustRightInd w:val="0"/>
        <w:snapToGrid w:val="0"/>
        <w:spacing w:line="360" w:lineRule="auto"/>
        <w:ind w:firstLine="470"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1、项目验收分初验和终验:</w:t>
      </w:r>
      <w:bookmarkStart w:id="86" w:name="_Toc167715239"/>
      <w:bookmarkStart w:id="87" w:name="_Toc167714042"/>
      <w:bookmarkStart w:id="88" w:name="_Toc167712844"/>
    </w:p>
    <w:bookmarkEnd w:id="86"/>
    <w:bookmarkEnd w:id="87"/>
    <w:bookmarkEnd w:id="88"/>
    <w:p>
      <w:pPr>
        <w:spacing w:line="360" w:lineRule="auto"/>
        <w:ind w:firstLine="480" w:firstLineChars="200"/>
        <w:rPr>
          <w:rFonts w:hint="eastAsia" w:ascii="宋体" w:hAnsi="宋体" w:eastAsia="宋体" w:cs="宋体"/>
          <w:kern w:val="2"/>
          <w:sz w:val="24"/>
          <w:szCs w:val="24"/>
          <w:lang w:val="en-US" w:eastAsia="zh-CN" w:bidi="ar-SA"/>
        </w:rPr>
      </w:pPr>
      <w:bookmarkStart w:id="89" w:name="_Toc167714044"/>
      <w:bookmarkStart w:id="90" w:name="_Toc167715241"/>
      <w:bookmarkStart w:id="91" w:name="_Toc167712846"/>
      <w:r>
        <w:rPr>
          <w:rFonts w:hint="eastAsia" w:ascii="宋体" w:hAnsi="宋体" w:eastAsia="宋体" w:cs="宋体"/>
          <w:kern w:val="2"/>
          <w:sz w:val="24"/>
          <w:szCs w:val="24"/>
          <w:lang w:val="en-US" w:eastAsia="zh-CN" w:bidi="ar-SA"/>
        </w:rPr>
        <w:t>初验：货物到达交货地点后，由使用单位根据合同对货物的名称、品牌、规格、型号、产地、数量等进行检查。</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终验：所有货物安装完毕，正常使用10个日历日后，由采购人、使用单位进行终验（最终验收），合格后签发《终验合格单》。</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验收不合格的，成交供应商必须在接到通知后7个日历日内确保货物通过验收。如接到通知后7个日历日内验收仍不合格，采购人可提出索赔或取消其供货合同。采购代理机构将把成交资格授予评审排序下一名的成交供应商。</w:t>
      </w:r>
    </w:p>
    <w:p>
      <w:pPr>
        <w:adjustRightInd w:val="0"/>
        <w:snapToGrid w:val="0"/>
        <w:spacing w:line="360" w:lineRule="auto"/>
        <w:ind w:firstLine="470"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3、验收依据</w:t>
      </w:r>
      <w:bookmarkEnd w:id="89"/>
      <w:bookmarkEnd w:id="90"/>
      <w:bookmarkEnd w:id="91"/>
      <w:bookmarkStart w:id="92" w:name="_Toc167714045"/>
      <w:bookmarkStart w:id="93" w:name="_Toc167715242"/>
      <w:bookmarkStart w:id="94" w:name="_Toc167712847"/>
    </w:p>
    <w:bookmarkEnd w:id="92"/>
    <w:bookmarkEnd w:id="93"/>
    <w:bookmarkEnd w:id="94"/>
    <w:p>
      <w:pPr>
        <w:adjustRightInd w:val="0"/>
        <w:snapToGrid w:val="0"/>
        <w:spacing w:line="360" w:lineRule="auto"/>
        <w:ind w:firstLine="470"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（1）合同文本及合同补充文件（条款）。</w:t>
      </w:r>
    </w:p>
    <w:p>
      <w:pPr>
        <w:adjustRightInd w:val="0"/>
        <w:snapToGrid w:val="0"/>
        <w:spacing w:line="360" w:lineRule="auto"/>
        <w:ind w:firstLine="470" w:firstLineChars="1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（2）产品的合法来源渠道证明文件。</w:t>
      </w:r>
    </w:p>
    <w:p>
      <w:pPr>
        <w:adjustRightInd w:val="0"/>
        <w:snapToGrid w:val="0"/>
        <w:spacing w:line="360" w:lineRule="auto"/>
        <w:ind w:firstLine="470"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（3）招标文件。</w:t>
      </w:r>
    </w:p>
    <w:p>
      <w:pPr>
        <w:adjustRightInd w:val="0"/>
        <w:snapToGrid w:val="0"/>
        <w:spacing w:line="360" w:lineRule="auto"/>
        <w:ind w:firstLine="470"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（4）成交供应商的投标文件。</w:t>
      </w:r>
    </w:p>
    <w:p>
      <w:pPr>
        <w:adjustRightInd w:val="0"/>
        <w:snapToGrid w:val="0"/>
        <w:spacing w:line="360" w:lineRule="auto"/>
        <w:ind w:firstLine="470"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（5）合同货物清单。</w:t>
      </w:r>
    </w:p>
    <w:p>
      <w:pPr>
        <w:pStyle w:val="23"/>
        <w:spacing w:line="360" w:lineRule="auto"/>
        <w:rPr>
          <w:rFonts w:hint="eastAsia" w:ascii="宋体" w:hAnsi="宋体" w:eastAsia="宋体" w:cs="宋体"/>
          <w:sz w:val="24"/>
          <w:szCs w:val="24"/>
          <w:lang w:val="en-US" w:eastAsia="zh-CN"/>
        </w:rPr>
      </w:pPr>
    </w:p>
    <w:bookmarkEnd w:id="82"/>
    <w:bookmarkEnd w:id="83"/>
    <w:bookmarkEnd w:id="84"/>
    <w:bookmarkEnd w:id="85"/>
    <w:p>
      <w:pPr>
        <w:pStyle w:val="17"/>
        <w:widowControl w:val="0"/>
        <w:numPr>
          <w:ilvl w:val="0"/>
          <w:numId w:val="0"/>
        </w:numPr>
        <w:spacing w:after="120" w:afterLines="0" w:afterAutospacing="0"/>
        <w:jc w:val="both"/>
        <w:rPr>
          <w:rFonts w:hint="default"/>
          <w:highlight w:val="none"/>
          <w:lang w:val="en-US" w:eastAsia="zh-CN"/>
        </w:rPr>
      </w:pPr>
      <w:bookmarkStart w:id="95" w:name="_Toc235544710"/>
      <w:bookmarkStart w:id="96" w:name="_Toc238899390"/>
      <w:bookmarkStart w:id="97" w:name="_Toc260140527"/>
      <w:bookmarkStart w:id="98" w:name="_Toc250572271"/>
      <w:bookmarkStart w:id="99" w:name="_Toc32482"/>
      <w:bookmarkStart w:id="100" w:name="_Toc269407648"/>
      <w:bookmarkStart w:id="101" w:name="_Toc293999492"/>
      <w:bookmarkStart w:id="102" w:name="_Toc372193328"/>
    </w:p>
    <w:p>
      <w:pPr>
        <w:pStyle w:val="17"/>
      </w:pPr>
    </w:p>
    <w:p>
      <w:pPr>
        <w:pStyle w:val="15"/>
        <w:outlineLvl w:val="0"/>
        <w:rPr>
          <w:rFonts w:hint="eastAsia" w:ascii="宋体" w:hAnsi="宋体" w:eastAsia="宋体"/>
          <w:color w:val="auto"/>
          <w:kern w:val="44"/>
          <w:sz w:val="32"/>
          <w:szCs w:val="22"/>
          <w:highlight w:val="none"/>
        </w:rPr>
      </w:pPr>
      <w:r>
        <w:rPr>
          <w:rFonts w:ascii="宋体" w:hAnsi="宋体" w:eastAsia="宋体"/>
          <w:color w:val="auto"/>
          <w:kern w:val="44"/>
          <w:sz w:val="32"/>
          <w:szCs w:val="22"/>
          <w:highlight w:val="none"/>
        </w:rPr>
        <w:br w:type="page"/>
      </w:r>
      <w:bookmarkStart w:id="103" w:name="_Toc13603"/>
      <w:r>
        <w:rPr>
          <w:rFonts w:ascii="宋体" w:hAnsi="宋体" w:eastAsia="宋体"/>
          <w:color w:val="auto"/>
          <w:kern w:val="44"/>
          <w:sz w:val="32"/>
          <w:szCs w:val="22"/>
          <w:highlight w:val="none"/>
        </w:rPr>
        <w:t>第</w:t>
      </w:r>
      <w:r>
        <w:rPr>
          <w:rFonts w:hint="eastAsia" w:ascii="宋体" w:hAnsi="宋体" w:eastAsia="宋体"/>
          <w:color w:val="auto"/>
          <w:kern w:val="44"/>
          <w:sz w:val="32"/>
          <w:szCs w:val="22"/>
          <w:highlight w:val="none"/>
          <w:lang w:eastAsia="zh-CN"/>
        </w:rPr>
        <w:t>四</w:t>
      </w:r>
      <w:r>
        <w:rPr>
          <w:rFonts w:ascii="宋体" w:hAnsi="宋体" w:eastAsia="宋体"/>
          <w:color w:val="auto"/>
          <w:kern w:val="44"/>
          <w:sz w:val="32"/>
          <w:szCs w:val="22"/>
          <w:highlight w:val="none"/>
        </w:rPr>
        <w:t>章  评标标准及方法</w:t>
      </w:r>
      <w:bookmarkEnd w:id="95"/>
      <w:bookmarkEnd w:id="96"/>
      <w:bookmarkEnd w:id="97"/>
      <w:bookmarkEnd w:id="98"/>
      <w:bookmarkEnd w:id="99"/>
      <w:bookmarkEnd w:id="100"/>
      <w:bookmarkEnd w:id="101"/>
      <w:bookmarkEnd w:id="102"/>
      <w:bookmarkEnd w:id="103"/>
    </w:p>
    <w:p>
      <w:pPr>
        <w:pStyle w:val="5"/>
        <w:spacing w:before="0" w:after="0" w:line="450" w:lineRule="exact"/>
        <w:rPr>
          <w:rFonts w:hint="eastAsia" w:ascii="宋体" w:hAnsi="宋体"/>
          <w:b w:val="0"/>
          <w:color w:val="auto"/>
          <w:sz w:val="24"/>
          <w:szCs w:val="24"/>
          <w:highlight w:val="none"/>
        </w:rPr>
      </w:pPr>
      <w:bookmarkStart w:id="104" w:name="_Toc250572272"/>
      <w:bookmarkStart w:id="105" w:name="_Toc2574"/>
      <w:bookmarkStart w:id="106" w:name="_Toc238899391"/>
      <w:bookmarkStart w:id="107" w:name="_Toc269407649"/>
      <w:r>
        <w:rPr>
          <w:rFonts w:ascii="宋体" w:hAnsi="宋体"/>
          <w:color w:val="auto"/>
          <w:sz w:val="28"/>
          <w:szCs w:val="28"/>
          <w:highlight w:val="none"/>
        </w:rPr>
        <w:t>一</w:t>
      </w:r>
      <w:r>
        <w:rPr>
          <w:rFonts w:ascii="宋体" w:hAnsi="宋体"/>
          <w:color w:val="auto"/>
          <w:sz w:val="24"/>
          <w:szCs w:val="24"/>
          <w:highlight w:val="none"/>
        </w:rPr>
        <w:t>、评标方</w:t>
      </w:r>
      <w:r>
        <w:rPr>
          <w:rFonts w:hint="eastAsia" w:ascii="宋体" w:hAnsi="宋体"/>
          <w:color w:val="auto"/>
          <w:sz w:val="24"/>
          <w:szCs w:val="24"/>
          <w:highlight w:val="none"/>
        </w:rPr>
        <w:t>法</w:t>
      </w:r>
      <w:r>
        <w:rPr>
          <w:rFonts w:ascii="宋体" w:hAnsi="宋体"/>
          <w:color w:val="auto"/>
          <w:sz w:val="24"/>
          <w:szCs w:val="24"/>
          <w:highlight w:val="none"/>
        </w:rPr>
        <w:t>：综合评分法</w:t>
      </w:r>
      <w:bookmarkEnd w:id="104"/>
      <w:bookmarkEnd w:id="105"/>
      <w:bookmarkEnd w:id="106"/>
      <w:bookmarkEnd w:id="107"/>
    </w:p>
    <w:p>
      <w:pPr>
        <w:pStyle w:val="5"/>
        <w:spacing w:before="0" w:after="0" w:line="450" w:lineRule="exact"/>
        <w:rPr>
          <w:rFonts w:hint="eastAsia" w:ascii="宋体" w:hAnsi="宋体"/>
          <w:color w:val="auto"/>
          <w:sz w:val="24"/>
          <w:szCs w:val="24"/>
          <w:highlight w:val="none"/>
        </w:rPr>
      </w:pPr>
      <w:bookmarkStart w:id="108" w:name="_Toc8770"/>
      <w:r>
        <w:rPr>
          <w:rFonts w:hint="eastAsia" w:ascii="宋体" w:hAnsi="宋体"/>
          <w:color w:val="auto"/>
          <w:sz w:val="24"/>
          <w:szCs w:val="24"/>
          <w:highlight w:val="none"/>
        </w:rPr>
        <w:t>二</w:t>
      </w:r>
      <w:r>
        <w:rPr>
          <w:rFonts w:ascii="宋体" w:hAnsi="宋体"/>
          <w:color w:val="auto"/>
          <w:sz w:val="24"/>
          <w:szCs w:val="24"/>
          <w:highlight w:val="none"/>
        </w:rPr>
        <w:t>、</w:t>
      </w:r>
      <w:r>
        <w:rPr>
          <w:rFonts w:hint="eastAsia" w:ascii="宋体" w:hAnsi="宋体"/>
          <w:color w:val="auto"/>
          <w:sz w:val="24"/>
          <w:szCs w:val="24"/>
          <w:highlight w:val="none"/>
        </w:rPr>
        <w:t>评标原则</w:t>
      </w:r>
      <w:bookmarkEnd w:id="108"/>
    </w:p>
    <w:p>
      <w:pPr>
        <w:adjustRightInd w:val="0"/>
        <w:snapToGrid w:val="0"/>
        <w:spacing w:before="156"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1.本项目招标的评标工作，坚持公平、公正、科学、择优的原则，对</w:t>
      </w:r>
      <w:r>
        <w:rPr>
          <w:rFonts w:hint="eastAsia" w:ascii="宋体" w:hAnsi="宋体"/>
          <w:color w:val="auto"/>
          <w:szCs w:val="21"/>
          <w:highlight w:val="none"/>
          <w:lang w:eastAsia="zh-CN"/>
        </w:rPr>
        <w:t>投标单位</w:t>
      </w:r>
      <w:r>
        <w:rPr>
          <w:rFonts w:hint="eastAsia" w:ascii="宋体" w:hAnsi="宋体"/>
          <w:color w:val="auto"/>
          <w:szCs w:val="21"/>
          <w:highlight w:val="none"/>
        </w:rPr>
        <w:t>的投标文件进行综合评审，依据综合总得分由高至低的顺序确定中标候选人三名。</w:t>
      </w:r>
    </w:p>
    <w:p>
      <w:pPr>
        <w:adjustRightInd w:val="0"/>
        <w:snapToGrid w:val="0"/>
        <w:spacing w:before="156" w:beforeLines="50" w:line="360" w:lineRule="auto"/>
        <w:ind w:firstLine="420" w:firstLineChars="200"/>
        <w:rPr>
          <w:rFonts w:hint="eastAsia" w:ascii="宋体" w:hAnsi="宋体"/>
          <w:color w:val="auto"/>
          <w:szCs w:val="21"/>
          <w:highlight w:val="none"/>
        </w:rPr>
      </w:pPr>
      <w:bookmarkStart w:id="109" w:name="_Toc269407650"/>
      <w:r>
        <w:rPr>
          <w:rFonts w:hint="eastAsia" w:ascii="宋体" w:hAnsi="宋体"/>
          <w:color w:val="auto"/>
          <w:szCs w:val="21"/>
          <w:highlight w:val="none"/>
        </w:rPr>
        <w:t>2.投标截止时间结束后参加投标的</w:t>
      </w:r>
      <w:r>
        <w:rPr>
          <w:rFonts w:hint="eastAsia" w:ascii="宋体" w:hAnsi="宋体"/>
          <w:color w:val="auto"/>
          <w:szCs w:val="21"/>
          <w:highlight w:val="none"/>
          <w:lang w:eastAsia="zh-CN"/>
        </w:rPr>
        <w:t>投标单位</w:t>
      </w:r>
      <w:r>
        <w:rPr>
          <w:rFonts w:hint="eastAsia" w:ascii="宋体" w:hAnsi="宋体"/>
          <w:color w:val="auto"/>
          <w:szCs w:val="21"/>
          <w:highlight w:val="none"/>
        </w:rPr>
        <w:t>不足三家的，除采购任务取消情形外，招标采购单位应当报告</w:t>
      </w:r>
      <w:r>
        <w:rPr>
          <w:rFonts w:hint="eastAsia" w:ascii="宋体" w:hAnsi="宋体"/>
          <w:color w:val="auto"/>
          <w:szCs w:val="21"/>
          <w:highlight w:val="none"/>
          <w:lang w:eastAsia="zh-CN"/>
        </w:rPr>
        <w:t>铜川市印台区财政局</w:t>
      </w:r>
      <w:r>
        <w:rPr>
          <w:rFonts w:hint="eastAsia" w:ascii="宋体" w:hAnsi="宋体"/>
          <w:color w:val="auto"/>
          <w:szCs w:val="21"/>
          <w:highlight w:val="none"/>
        </w:rPr>
        <w:t>按照以下原则处理。</w:t>
      </w:r>
    </w:p>
    <w:p>
      <w:pPr>
        <w:adjustRightInd w:val="0"/>
        <w:snapToGrid w:val="0"/>
        <w:spacing w:before="156"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 招标文件没有不合理条款、招标公告时间及程序符合规定的，同意采取竞争性谈判、询价或者单一来源方式采购。</w:t>
      </w:r>
    </w:p>
    <w:p>
      <w:pPr>
        <w:pStyle w:val="7"/>
        <w:adjustRightInd w:val="0"/>
        <w:snapToGrid w:val="0"/>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2.2 招标文件存在不合理条款的，招标公告时间及程序不符合规定的，应予废标，并责成招标采购单位依法重新招标。</w:t>
      </w:r>
    </w:p>
    <w:p>
      <w:pPr>
        <w:pStyle w:val="7"/>
        <w:adjustRightInd w:val="0"/>
        <w:snapToGrid w:val="0"/>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在评标期间，出现符合专业条件的</w:t>
      </w:r>
      <w:r>
        <w:rPr>
          <w:rFonts w:hint="eastAsia" w:ascii="宋体" w:hAnsi="宋体"/>
          <w:color w:val="auto"/>
          <w:szCs w:val="21"/>
          <w:highlight w:val="none"/>
          <w:lang w:eastAsia="zh-CN"/>
        </w:rPr>
        <w:t>投标单位</w:t>
      </w:r>
      <w:r>
        <w:rPr>
          <w:rFonts w:hint="eastAsia" w:ascii="宋体" w:hAnsi="宋体"/>
          <w:color w:val="auto"/>
          <w:szCs w:val="21"/>
          <w:highlight w:val="none"/>
        </w:rPr>
        <w:t>或者对招标文件作出实质相应的</w:t>
      </w:r>
      <w:r>
        <w:rPr>
          <w:rFonts w:hint="eastAsia" w:ascii="宋体" w:hAnsi="宋体"/>
          <w:color w:val="auto"/>
          <w:szCs w:val="21"/>
          <w:highlight w:val="none"/>
          <w:lang w:eastAsia="zh-CN"/>
        </w:rPr>
        <w:t>投标单位</w:t>
      </w:r>
      <w:r>
        <w:rPr>
          <w:rFonts w:hint="eastAsia" w:ascii="宋体" w:hAnsi="宋体"/>
          <w:color w:val="auto"/>
          <w:szCs w:val="21"/>
          <w:highlight w:val="none"/>
        </w:rPr>
        <w:t>不足三家情形的，可以比照前款规定执行。</w:t>
      </w:r>
    </w:p>
    <w:bookmarkEnd w:id="109"/>
    <w:p>
      <w:pPr>
        <w:pStyle w:val="7"/>
        <w:adjustRightInd w:val="0"/>
        <w:snapToGrid w:val="0"/>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3.如果三名中标候选人的投标总报价均超过</w:t>
      </w:r>
      <w:r>
        <w:rPr>
          <w:rFonts w:hint="eastAsia" w:ascii="宋体" w:hAnsi="宋体"/>
          <w:color w:val="auto"/>
          <w:szCs w:val="21"/>
          <w:highlight w:val="none"/>
          <w:lang w:eastAsia="zh-CN"/>
        </w:rPr>
        <w:t>最高限价</w:t>
      </w:r>
      <w:r>
        <w:rPr>
          <w:rFonts w:hint="eastAsia" w:ascii="宋体" w:hAnsi="宋体"/>
          <w:color w:val="auto"/>
          <w:szCs w:val="21"/>
          <w:highlight w:val="none"/>
        </w:rPr>
        <w:t>的，采购人不能支付的，将重新招标或报</w:t>
      </w:r>
      <w:r>
        <w:rPr>
          <w:rFonts w:hint="eastAsia" w:ascii="宋体" w:hAnsi="宋体"/>
          <w:color w:val="auto"/>
          <w:szCs w:val="21"/>
          <w:highlight w:val="none"/>
          <w:lang w:eastAsia="zh-CN"/>
        </w:rPr>
        <w:t>铜川市印台区财政局</w:t>
      </w:r>
      <w:r>
        <w:rPr>
          <w:rFonts w:hint="eastAsia" w:ascii="宋体" w:hAnsi="宋体"/>
          <w:color w:val="auto"/>
          <w:szCs w:val="21"/>
          <w:highlight w:val="none"/>
        </w:rPr>
        <w:t>批准，选用其他方式组织采购。</w:t>
      </w:r>
    </w:p>
    <w:p>
      <w:pPr>
        <w:pStyle w:val="7"/>
        <w:adjustRightInd w:val="0"/>
        <w:snapToGrid w:val="0"/>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3.1 如采用竞争性谈判采购方式，在符合采购人对采购货物（项目）的质量、服务等要求后，采取二次报价的形式，即各</w:t>
      </w:r>
      <w:r>
        <w:rPr>
          <w:rFonts w:hint="eastAsia" w:ascii="宋体" w:hAnsi="宋体"/>
          <w:color w:val="auto"/>
          <w:szCs w:val="21"/>
          <w:highlight w:val="none"/>
          <w:lang w:eastAsia="zh-CN"/>
        </w:rPr>
        <w:t>投标单位</w:t>
      </w:r>
      <w:r>
        <w:rPr>
          <w:rFonts w:hint="eastAsia" w:ascii="宋体" w:hAnsi="宋体"/>
          <w:color w:val="auto"/>
          <w:szCs w:val="21"/>
          <w:highlight w:val="none"/>
        </w:rPr>
        <w:t>的开标报价为第一次报价，谈判后再给各参与及通过审查的合格</w:t>
      </w:r>
      <w:r>
        <w:rPr>
          <w:rFonts w:hint="eastAsia" w:ascii="宋体" w:hAnsi="宋体"/>
          <w:color w:val="auto"/>
          <w:szCs w:val="21"/>
          <w:highlight w:val="none"/>
          <w:lang w:eastAsia="zh-CN"/>
        </w:rPr>
        <w:t>投标单位</w:t>
      </w:r>
      <w:r>
        <w:rPr>
          <w:rFonts w:hint="eastAsia" w:ascii="宋体" w:hAnsi="宋体"/>
          <w:color w:val="auto"/>
          <w:szCs w:val="21"/>
          <w:highlight w:val="none"/>
        </w:rPr>
        <w:t>再次报价的机会，再次报价为评标的依据。再次报价仍超预算，且采购人无力追加，应当报告</w:t>
      </w:r>
      <w:r>
        <w:rPr>
          <w:rFonts w:hint="eastAsia" w:ascii="宋体" w:hAnsi="宋体"/>
          <w:color w:val="auto"/>
          <w:szCs w:val="21"/>
          <w:highlight w:val="none"/>
          <w:lang w:eastAsia="zh-CN"/>
        </w:rPr>
        <w:t>铜川市印台区财政局。</w:t>
      </w:r>
      <w:r>
        <w:rPr>
          <w:rFonts w:hint="eastAsia" w:ascii="宋体" w:hAnsi="宋体"/>
          <w:color w:val="auto"/>
          <w:szCs w:val="21"/>
          <w:highlight w:val="none"/>
        </w:rPr>
        <w:t>批准后，谈判小组有权宣布谈判失败。</w:t>
      </w:r>
    </w:p>
    <w:p>
      <w:pPr>
        <w:pStyle w:val="7"/>
        <w:adjustRightInd w:val="0"/>
        <w:snapToGrid w:val="0"/>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3.2 采取竞争性谈判方式，评标委员会自动转为谈判小组，谈判小组在资格审核和投标文件有效性审核合格及符合采购人对项目质量、服务等要求后，以合理低价的方式确定谈判结果，推荐成交候选人。</w:t>
      </w:r>
    </w:p>
    <w:p>
      <w:pPr>
        <w:pStyle w:val="7"/>
        <w:adjustRightInd w:val="0"/>
        <w:snapToGrid w:val="0"/>
        <w:spacing w:before="156" w:beforeLines="50" w:line="360" w:lineRule="auto"/>
        <w:rPr>
          <w:rFonts w:hint="eastAsia" w:ascii="宋体" w:hAnsi="宋体"/>
          <w:color w:val="auto"/>
          <w:sz w:val="24"/>
          <w:szCs w:val="24"/>
          <w:highlight w:val="none"/>
        </w:rPr>
      </w:pPr>
      <w:r>
        <w:rPr>
          <w:rFonts w:hint="eastAsia" w:ascii="宋体" w:hAnsi="宋体"/>
          <w:color w:val="auto"/>
          <w:szCs w:val="21"/>
          <w:highlight w:val="none"/>
        </w:rPr>
        <w:t>3.3 中标</w:t>
      </w:r>
      <w:r>
        <w:rPr>
          <w:rFonts w:hint="eastAsia" w:ascii="宋体" w:hAnsi="宋体"/>
          <w:color w:val="auto"/>
          <w:szCs w:val="21"/>
          <w:highlight w:val="none"/>
          <w:lang w:eastAsia="zh-CN"/>
        </w:rPr>
        <w:t>投标单位</w:t>
      </w:r>
      <w:r>
        <w:rPr>
          <w:rFonts w:hint="eastAsia" w:ascii="宋体" w:hAnsi="宋体"/>
          <w:color w:val="auto"/>
          <w:szCs w:val="21"/>
          <w:highlight w:val="none"/>
        </w:rPr>
        <w:t>确定后，中标</w:t>
      </w:r>
      <w:r>
        <w:rPr>
          <w:rFonts w:hint="eastAsia" w:ascii="宋体" w:hAnsi="宋体"/>
          <w:color w:val="auto"/>
          <w:szCs w:val="21"/>
          <w:highlight w:val="none"/>
          <w:lang w:eastAsia="zh-CN"/>
        </w:rPr>
        <w:t>投标单位</w:t>
      </w:r>
      <w:r>
        <w:rPr>
          <w:rFonts w:hint="eastAsia" w:ascii="宋体" w:hAnsi="宋体"/>
          <w:color w:val="auto"/>
          <w:szCs w:val="21"/>
          <w:highlight w:val="none"/>
        </w:rPr>
        <w:t>无正当理由拖延或拒签合同的，其成交资格将被取消，并按评审顺序重新确定中标</w:t>
      </w:r>
      <w:r>
        <w:rPr>
          <w:rFonts w:hint="eastAsia" w:ascii="宋体" w:hAnsi="宋体"/>
          <w:color w:val="auto"/>
          <w:szCs w:val="21"/>
          <w:highlight w:val="none"/>
          <w:lang w:eastAsia="zh-CN"/>
        </w:rPr>
        <w:t>投标单位</w:t>
      </w:r>
      <w:r>
        <w:rPr>
          <w:rFonts w:hint="eastAsia" w:ascii="宋体" w:hAnsi="宋体"/>
          <w:color w:val="auto"/>
          <w:szCs w:val="21"/>
          <w:highlight w:val="none"/>
        </w:rPr>
        <w:t>，同时报请</w:t>
      </w:r>
      <w:r>
        <w:rPr>
          <w:rFonts w:hint="eastAsia" w:ascii="宋体" w:hAnsi="宋体"/>
          <w:color w:val="auto"/>
          <w:szCs w:val="21"/>
          <w:highlight w:val="none"/>
          <w:lang w:eastAsia="zh-CN"/>
        </w:rPr>
        <w:t>铜川市印台区财政局</w:t>
      </w:r>
      <w:r>
        <w:rPr>
          <w:rFonts w:hint="eastAsia" w:ascii="宋体" w:hAnsi="宋体"/>
          <w:color w:val="auto"/>
          <w:szCs w:val="21"/>
          <w:highlight w:val="none"/>
        </w:rPr>
        <w:t>通报全省，取消其进入政府采购市场的资格，并按规定予以处罚。</w:t>
      </w:r>
    </w:p>
    <w:p>
      <w:pPr>
        <w:pStyle w:val="5"/>
        <w:spacing w:before="0" w:after="0" w:line="450" w:lineRule="exact"/>
        <w:rPr>
          <w:rFonts w:ascii="宋体" w:hAnsi="宋体"/>
          <w:color w:val="auto"/>
          <w:sz w:val="24"/>
          <w:szCs w:val="24"/>
          <w:highlight w:val="none"/>
        </w:rPr>
      </w:pPr>
      <w:bookmarkStart w:id="110" w:name="_Toc238899392"/>
      <w:bookmarkStart w:id="111" w:name="_Toc16558"/>
      <w:bookmarkStart w:id="112" w:name="_Toc250572273"/>
      <w:bookmarkStart w:id="113" w:name="_Toc269407651"/>
      <w:r>
        <w:rPr>
          <w:rFonts w:hint="eastAsia" w:ascii="宋体" w:hAnsi="宋体"/>
          <w:color w:val="auto"/>
          <w:sz w:val="24"/>
          <w:szCs w:val="24"/>
          <w:highlight w:val="none"/>
        </w:rPr>
        <w:t>三</w:t>
      </w:r>
      <w:r>
        <w:rPr>
          <w:rFonts w:ascii="宋体" w:hAnsi="宋体"/>
          <w:color w:val="auto"/>
          <w:sz w:val="24"/>
          <w:szCs w:val="24"/>
          <w:highlight w:val="none"/>
        </w:rPr>
        <w:t>、评标程序</w:t>
      </w:r>
      <w:bookmarkEnd w:id="110"/>
      <w:bookmarkEnd w:id="111"/>
      <w:bookmarkEnd w:id="112"/>
      <w:bookmarkEnd w:id="113"/>
    </w:p>
    <w:p>
      <w:pPr>
        <w:pStyle w:val="7"/>
        <w:adjustRightInd w:val="0"/>
        <w:snapToGrid w:val="0"/>
        <w:spacing w:before="156" w:beforeLines="50" w:line="360" w:lineRule="auto"/>
        <w:rPr>
          <w:rFonts w:hint="eastAsia" w:ascii="宋体" w:hAnsi="宋体"/>
          <w:color w:val="auto"/>
          <w:szCs w:val="21"/>
          <w:highlight w:val="none"/>
        </w:rPr>
      </w:pPr>
      <w:r>
        <w:rPr>
          <w:rFonts w:hint="eastAsia" w:ascii="宋体" w:hAnsi="宋体"/>
          <w:color w:val="auto"/>
          <w:szCs w:val="21"/>
          <w:highlight w:val="none"/>
        </w:rPr>
        <w:t>采用综合评分法对投标文件先进行资质核查、初审、详审，如审查不合格的</w:t>
      </w:r>
      <w:r>
        <w:rPr>
          <w:rFonts w:hint="eastAsia" w:ascii="宋体" w:hAnsi="宋体"/>
          <w:color w:val="auto"/>
          <w:szCs w:val="21"/>
          <w:highlight w:val="none"/>
          <w:lang w:eastAsia="zh-CN"/>
        </w:rPr>
        <w:t>投标单位</w:t>
      </w:r>
      <w:r>
        <w:rPr>
          <w:rFonts w:hint="eastAsia" w:ascii="宋体" w:hAnsi="宋体"/>
          <w:color w:val="auto"/>
          <w:szCs w:val="21"/>
          <w:highlight w:val="none"/>
        </w:rPr>
        <w:t>不进入下一步程序，仅对审查合格的</w:t>
      </w:r>
      <w:r>
        <w:rPr>
          <w:rFonts w:hint="eastAsia" w:ascii="宋体" w:hAnsi="宋体"/>
          <w:color w:val="auto"/>
          <w:szCs w:val="21"/>
          <w:highlight w:val="none"/>
          <w:lang w:eastAsia="zh-CN"/>
        </w:rPr>
        <w:t>投标单位</w:t>
      </w:r>
      <w:r>
        <w:rPr>
          <w:rFonts w:hint="eastAsia" w:ascii="宋体" w:hAnsi="宋体"/>
          <w:color w:val="auto"/>
          <w:szCs w:val="21"/>
          <w:highlight w:val="none"/>
        </w:rPr>
        <w:t>进行百分制打分评审。最后按得分由高向低排序，推荐成交候选人。</w:t>
      </w:r>
    </w:p>
    <w:p>
      <w:pPr>
        <w:pStyle w:val="5"/>
        <w:pageBreakBefore w:val="0"/>
        <w:widowControl w:val="0"/>
        <w:kinsoku/>
        <w:wordWrap/>
        <w:overflowPunct/>
        <w:topLinePunct w:val="0"/>
        <w:autoSpaceDE/>
        <w:autoSpaceDN/>
        <w:bidi w:val="0"/>
        <w:spacing w:before="0" w:after="0" w:line="360" w:lineRule="auto"/>
        <w:textAlignment w:val="auto"/>
        <w:rPr>
          <w:rFonts w:ascii="宋体" w:hAnsi="宋体"/>
          <w:color w:val="auto"/>
          <w:sz w:val="24"/>
          <w:szCs w:val="24"/>
          <w:highlight w:val="none"/>
        </w:rPr>
      </w:pPr>
      <w:bookmarkStart w:id="114" w:name="_Toc250572274"/>
      <w:bookmarkStart w:id="115" w:name="_Toc238899393"/>
      <w:bookmarkStart w:id="116" w:name="_Toc13244"/>
      <w:bookmarkStart w:id="117" w:name="_Toc269407652"/>
      <w:bookmarkStart w:id="118" w:name="_Toc229884838"/>
      <w:r>
        <w:rPr>
          <w:rFonts w:hint="eastAsia" w:ascii="宋体" w:hAnsi="宋体"/>
          <w:color w:val="auto"/>
          <w:sz w:val="24"/>
          <w:szCs w:val="24"/>
          <w:highlight w:val="none"/>
        </w:rPr>
        <w:t>四</w:t>
      </w:r>
      <w:r>
        <w:rPr>
          <w:rFonts w:ascii="宋体" w:hAnsi="宋体"/>
          <w:color w:val="auto"/>
          <w:sz w:val="24"/>
          <w:szCs w:val="24"/>
          <w:highlight w:val="none"/>
        </w:rPr>
        <w:t>、澄清</w:t>
      </w:r>
      <w:bookmarkEnd w:id="114"/>
      <w:bookmarkEnd w:id="115"/>
      <w:bookmarkEnd w:id="116"/>
      <w:bookmarkEnd w:id="117"/>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评标委员会可以书面方式要求</w:t>
      </w:r>
      <w:r>
        <w:rPr>
          <w:rFonts w:hint="eastAsia" w:ascii="宋体" w:hAnsi="宋体"/>
          <w:color w:val="auto"/>
          <w:szCs w:val="21"/>
          <w:highlight w:val="none"/>
          <w:lang w:eastAsia="zh-CN"/>
        </w:rPr>
        <w:t>投标单位</w:t>
      </w:r>
      <w:r>
        <w:rPr>
          <w:rFonts w:hint="eastAsia" w:ascii="宋体" w:hAnsi="宋体"/>
          <w:color w:val="auto"/>
          <w:szCs w:val="21"/>
          <w:highlight w:val="none"/>
        </w:rPr>
        <w:t>对投标文件中含义不明确、对同类问题表述不一致或者有明显文字和计算错误的内容作必要的澄清、说明或者纠正。澄清、说明不得超出投标文件的范围或者改变投标文件的实质性内容。</w:t>
      </w:r>
      <w:r>
        <w:rPr>
          <w:rFonts w:hint="eastAsia" w:ascii="宋体" w:hAnsi="宋体"/>
          <w:color w:val="auto"/>
          <w:szCs w:val="21"/>
          <w:highlight w:val="none"/>
          <w:lang w:eastAsia="zh-CN"/>
        </w:rPr>
        <w:t>投标单位</w:t>
      </w:r>
      <w:r>
        <w:rPr>
          <w:rFonts w:hint="eastAsia" w:ascii="宋体" w:hAnsi="宋体"/>
          <w:color w:val="auto"/>
          <w:szCs w:val="21"/>
          <w:highlight w:val="none"/>
        </w:rPr>
        <w:t>必须在规定的时间内派技术和商务人员进行澄清、说明或者纠正，有关澄清、说明和纠正的内容应以书面形式提交，并由</w:t>
      </w:r>
      <w:r>
        <w:rPr>
          <w:rFonts w:hint="eastAsia" w:ascii="宋体" w:hAnsi="宋体"/>
          <w:color w:val="auto"/>
          <w:szCs w:val="21"/>
          <w:highlight w:val="none"/>
          <w:lang w:eastAsia="zh-CN"/>
        </w:rPr>
        <w:t>投标单位</w:t>
      </w:r>
      <w:r>
        <w:rPr>
          <w:rFonts w:hint="eastAsia" w:ascii="宋体" w:hAnsi="宋体"/>
          <w:color w:val="auto"/>
          <w:szCs w:val="21"/>
          <w:highlight w:val="none"/>
        </w:rPr>
        <w:t>法定代表人或被授权人签名确认。澄清时</w:t>
      </w:r>
      <w:r>
        <w:rPr>
          <w:rFonts w:hint="eastAsia" w:ascii="宋体" w:hAnsi="宋体"/>
          <w:color w:val="auto"/>
          <w:szCs w:val="21"/>
          <w:highlight w:val="none"/>
          <w:lang w:eastAsia="zh-CN"/>
        </w:rPr>
        <w:t>投标单位</w:t>
      </w:r>
      <w:r>
        <w:rPr>
          <w:rFonts w:hint="eastAsia" w:ascii="宋体" w:hAnsi="宋体"/>
          <w:color w:val="auto"/>
          <w:szCs w:val="21"/>
          <w:highlight w:val="none"/>
        </w:rPr>
        <w:t>只作说明和解释，不得借此对投标报价、优惠条件、售后服务等实质性内容做任何修改。</w:t>
      </w:r>
    </w:p>
    <w:bookmarkEnd w:id="118"/>
    <w:p>
      <w:pPr>
        <w:pStyle w:val="5"/>
        <w:pageBreakBefore w:val="0"/>
        <w:widowControl w:val="0"/>
        <w:kinsoku/>
        <w:wordWrap/>
        <w:overflowPunct/>
        <w:topLinePunct w:val="0"/>
        <w:autoSpaceDE/>
        <w:autoSpaceDN/>
        <w:bidi w:val="0"/>
        <w:spacing w:before="0" w:after="0" w:line="360" w:lineRule="auto"/>
        <w:textAlignment w:val="auto"/>
        <w:rPr>
          <w:rFonts w:ascii="宋体" w:hAnsi="宋体"/>
          <w:color w:val="auto"/>
          <w:sz w:val="24"/>
          <w:szCs w:val="24"/>
          <w:highlight w:val="none"/>
        </w:rPr>
      </w:pPr>
      <w:bookmarkStart w:id="119" w:name="_Toc3923"/>
      <w:r>
        <w:rPr>
          <w:rFonts w:hint="eastAsia" w:ascii="宋体" w:hAnsi="宋体"/>
          <w:color w:val="auto"/>
          <w:sz w:val="24"/>
          <w:szCs w:val="24"/>
          <w:highlight w:val="none"/>
        </w:rPr>
        <w:t>六、初步审</w:t>
      </w:r>
      <w:r>
        <w:rPr>
          <w:rFonts w:ascii="宋体" w:hAnsi="宋体"/>
          <w:color w:val="auto"/>
          <w:sz w:val="24"/>
          <w:szCs w:val="24"/>
          <w:highlight w:val="none"/>
        </w:rPr>
        <w:t>查</w:t>
      </w:r>
      <w:bookmarkEnd w:id="119"/>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1.只对通过资格审查的投标文件进行初步审查。评标委员会根据招标文件，检查并逐项列出投标文件的全部投标偏差。投标偏差分为重大偏差和细微偏差。</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1.1 下列情况属于重大偏差：</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（1）明显不符合使用技术条件、技术标准影响使用功能；</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（2）投标文件载明的货物包装方式、检验标准和方法等不符合招标文件的要求；</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投标清单内容及数量与招标文件不符；</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）投标文件附有采购人不能接受的条件；</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）不符合招标文件中规定的其他实质性要求；</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投标文件有上述情形之一的属重大偏差。</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1.2 细微偏差是指投标文件在实质上响应招标文件要求，但在个别地方存在漏项或者提供了不完整的信息和数据等情况，并且补正这些遗漏或者不完整不会对其他</w:t>
      </w:r>
      <w:r>
        <w:rPr>
          <w:rFonts w:hint="eastAsia" w:ascii="宋体" w:hAnsi="宋体"/>
          <w:color w:val="auto"/>
          <w:szCs w:val="21"/>
          <w:highlight w:val="none"/>
          <w:lang w:eastAsia="zh-CN"/>
        </w:rPr>
        <w:t>投标单位</w:t>
      </w:r>
      <w:r>
        <w:rPr>
          <w:rFonts w:hint="eastAsia" w:ascii="宋体" w:hAnsi="宋体"/>
          <w:color w:val="auto"/>
          <w:szCs w:val="21"/>
          <w:highlight w:val="none"/>
        </w:rPr>
        <w:t>造成不公平的结果。细微偏差不影响投标文件的有效性。</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1.3 评标委员会根据上述规定，对投标文件中有重大偏差且属对招标文件实质性不响应的按废标处理，不参与详细评审。</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2.评标委员会将商务标中价格部分进行校核，看其是否有计算或者表达上的错误，价格部分算术性修正原则如下：</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2.1 如用数字表示的数额与用文字表示的数额不一致，以文字表示的数额为准。</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2.2 当单价与数量相乘不等于合价时，以单价计算为准，修正合价。除非单价有明显错误，以标出的合价为准，同时对单价予以修正。</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如</w:t>
      </w:r>
      <w:r>
        <w:rPr>
          <w:rFonts w:hint="eastAsia" w:ascii="宋体" w:hAnsi="宋体"/>
          <w:color w:val="auto"/>
          <w:szCs w:val="21"/>
          <w:highlight w:val="none"/>
          <w:lang w:eastAsia="zh-CN"/>
        </w:rPr>
        <w:t>投标单位</w:t>
      </w:r>
      <w:r>
        <w:rPr>
          <w:rFonts w:hint="eastAsia" w:ascii="宋体" w:hAnsi="宋体"/>
          <w:color w:val="auto"/>
          <w:szCs w:val="21"/>
          <w:highlight w:val="none"/>
        </w:rPr>
        <w:t>不接受按以上2条修正后的投标总价，则其投标将被拒绝。</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3.出现下列情况之一者，其投标文件将被拒绝：</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（1）以任何形式赠送、赠予产品的投标文件按无效标处理；</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 xml:space="preserve">（2）投标货物的技术条件、技术标准影响使用功能； </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（3）提供虚假证明，开具虚假业绩；除按废标处理外，还应按政府采购有关规定进行相应的处罚；</w:t>
      </w:r>
    </w:p>
    <w:p>
      <w:pPr>
        <w:pStyle w:val="5"/>
        <w:pageBreakBefore w:val="0"/>
        <w:widowControl w:val="0"/>
        <w:kinsoku/>
        <w:wordWrap/>
        <w:overflowPunct/>
        <w:topLinePunct w:val="0"/>
        <w:autoSpaceDE/>
        <w:autoSpaceDN/>
        <w:bidi w:val="0"/>
        <w:spacing w:before="0" w:after="0" w:line="360" w:lineRule="auto"/>
        <w:textAlignment w:val="auto"/>
        <w:rPr>
          <w:rFonts w:hint="eastAsia" w:ascii="宋体" w:hAnsi="宋体"/>
          <w:color w:val="auto"/>
          <w:sz w:val="24"/>
          <w:szCs w:val="24"/>
          <w:highlight w:val="none"/>
        </w:rPr>
      </w:pPr>
      <w:bookmarkStart w:id="120" w:name="_Toc30778"/>
      <w:bookmarkStart w:id="121" w:name="_Toc269407655"/>
      <w:r>
        <w:rPr>
          <w:rFonts w:hint="eastAsia" w:ascii="宋体" w:hAnsi="宋体"/>
          <w:color w:val="auto"/>
          <w:sz w:val="24"/>
          <w:szCs w:val="24"/>
          <w:highlight w:val="none"/>
        </w:rPr>
        <w:t>七</w:t>
      </w:r>
      <w:r>
        <w:rPr>
          <w:rFonts w:ascii="宋体" w:hAnsi="宋体"/>
          <w:color w:val="auto"/>
          <w:sz w:val="24"/>
          <w:szCs w:val="24"/>
          <w:highlight w:val="none"/>
        </w:rPr>
        <w:t>、</w:t>
      </w:r>
      <w:r>
        <w:rPr>
          <w:rFonts w:hint="eastAsia" w:ascii="宋体" w:hAnsi="宋体"/>
          <w:color w:val="auto"/>
          <w:sz w:val="24"/>
          <w:szCs w:val="24"/>
          <w:highlight w:val="none"/>
        </w:rPr>
        <w:t>详细评审</w:t>
      </w:r>
      <w:bookmarkEnd w:id="120"/>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1.只对通过初步审查的投标文件进行详细评审。依据招标文件的规定，从商务、技术、价格等方面，用综合评分法评审出最大限度满足招标文件中规定的各项综合评价标准的</w:t>
      </w:r>
      <w:r>
        <w:rPr>
          <w:rFonts w:hint="eastAsia" w:ascii="宋体" w:hAnsi="宋体"/>
          <w:color w:val="auto"/>
          <w:szCs w:val="21"/>
          <w:highlight w:val="none"/>
          <w:lang w:eastAsia="zh-CN"/>
        </w:rPr>
        <w:t>投标单位</w:t>
      </w:r>
      <w:r>
        <w:rPr>
          <w:rFonts w:hint="eastAsia" w:ascii="宋体" w:hAnsi="宋体"/>
          <w:color w:val="auto"/>
          <w:szCs w:val="21"/>
          <w:highlight w:val="none"/>
        </w:rPr>
        <w:t>。</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2.详细评审标准及方法详见附表《详细评审表》。</w:t>
      </w:r>
    </w:p>
    <w:p>
      <w:pPr>
        <w:pStyle w:val="5"/>
        <w:pageBreakBefore w:val="0"/>
        <w:widowControl w:val="0"/>
        <w:kinsoku/>
        <w:wordWrap/>
        <w:overflowPunct/>
        <w:topLinePunct w:val="0"/>
        <w:autoSpaceDE/>
        <w:autoSpaceDN/>
        <w:bidi w:val="0"/>
        <w:spacing w:before="0" w:after="0" w:line="360" w:lineRule="auto"/>
        <w:textAlignment w:val="auto"/>
        <w:rPr>
          <w:rFonts w:ascii="宋体" w:hAnsi="宋体"/>
          <w:color w:val="auto"/>
          <w:sz w:val="24"/>
          <w:szCs w:val="24"/>
          <w:highlight w:val="none"/>
        </w:rPr>
      </w:pPr>
      <w:bookmarkStart w:id="122" w:name="_Toc24349"/>
      <w:r>
        <w:rPr>
          <w:rFonts w:hint="eastAsia" w:ascii="宋体" w:hAnsi="宋体"/>
          <w:color w:val="auto"/>
          <w:sz w:val="24"/>
          <w:szCs w:val="24"/>
          <w:highlight w:val="none"/>
        </w:rPr>
        <w:t>八、</w:t>
      </w:r>
      <w:r>
        <w:rPr>
          <w:rFonts w:ascii="宋体" w:hAnsi="宋体"/>
          <w:color w:val="auto"/>
          <w:sz w:val="24"/>
          <w:szCs w:val="24"/>
          <w:highlight w:val="none"/>
        </w:rPr>
        <w:t xml:space="preserve"> 打分与汇总</w:t>
      </w:r>
      <w:bookmarkEnd w:id="121"/>
      <w:bookmarkEnd w:id="122"/>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1.评委打分应遵照以下规定：</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（1）评委必须严格按照评分细则规定项目及其分值范围独立打分；</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（2）评委打分如有修改或更正，应在修改或更正处小签；</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2.得分汇总</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（1）得分汇总由工作人员进行，监督单位复核，确认无误后得分有效；</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（2）评标中计算数据汇总时保留小数点后两位，第三位四舍五入；</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（3）技术部分、商务部分得分按照各评委打分计算其算术平均值；</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（4）综合得分＝商务部分得分＋技术部分得分，按照综合得分由高至低进行排名；</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（5）评标委员会根据得分由高至低排序，向采购人推荐三名中标候选人。当出现</w:t>
      </w:r>
      <w:r>
        <w:rPr>
          <w:rFonts w:hint="eastAsia" w:ascii="宋体" w:hAnsi="宋体"/>
          <w:color w:val="auto"/>
          <w:szCs w:val="21"/>
          <w:highlight w:val="none"/>
          <w:lang w:eastAsia="zh-CN"/>
        </w:rPr>
        <w:t>投标单位</w:t>
      </w:r>
      <w:r>
        <w:rPr>
          <w:rFonts w:hint="eastAsia" w:ascii="宋体" w:hAnsi="宋体"/>
          <w:color w:val="auto"/>
          <w:szCs w:val="21"/>
          <w:highlight w:val="none"/>
        </w:rPr>
        <w:t>最高得分相等时，依次比较</w:t>
      </w:r>
      <w:r>
        <w:rPr>
          <w:rFonts w:hint="eastAsia" w:ascii="宋体" w:hAnsi="宋体" w:cs="宋体"/>
          <w:color w:val="auto"/>
          <w:kern w:val="0"/>
          <w:szCs w:val="21"/>
          <w:highlight w:val="none"/>
        </w:rPr>
        <w:t>技术响应程度优异、</w:t>
      </w:r>
      <w:r>
        <w:rPr>
          <w:rFonts w:hint="eastAsia" w:ascii="宋体" w:hAnsi="宋体"/>
          <w:color w:val="auto"/>
          <w:szCs w:val="21"/>
          <w:highlight w:val="none"/>
        </w:rPr>
        <w:t>投标报价低者为第一中标候选人；如仍相等，由评委按无记名投票以少数服从多数的原则确定第一中标候选人；如出现第二名并列亦然。</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（6）评审过程中，若出现本办法以外的特殊情况时，将暂停评标，有关情况待评标委员会确定后，再行评定。</w:t>
      </w:r>
    </w:p>
    <w:p>
      <w:pPr>
        <w:pStyle w:val="5"/>
        <w:pageBreakBefore w:val="0"/>
        <w:widowControl w:val="0"/>
        <w:kinsoku/>
        <w:wordWrap/>
        <w:overflowPunct/>
        <w:topLinePunct w:val="0"/>
        <w:autoSpaceDE/>
        <w:autoSpaceDN/>
        <w:bidi w:val="0"/>
        <w:spacing w:before="0" w:after="0" w:line="360" w:lineRule="auto"/>
        <w:textAlignment w:val="auto"/>
        <w:rPr>
          <w:rFonts w:ascii="宋体" w:hAnsi="宋体"/>
          <w:color w:val="auto"/>
          <w:sz w:val="24"/>
          <w:szCs w:val="24"/>
          <w:highlight w:val="none"/>
        </w:rPr>
      </w:pPr>
      <w:bookmarkStart w:id="123" w:name="_Toc208308937"/>
      <w:bookmarkStart w:id="124" w:name="_Toc229884840"/>
      <w:bookmarkStart w:id="125" w:name="_Toc208056423"/>
      <w:bookmarkStart w:id="126" w:name="_Toc16990"/>
      <w:bookmarkStart w:id="127" w:name="_Toc269407656"/>
      <w:r>
        <w:rPr>
          <w:rFonts w:hint="eastAsia" w:ascii="宋体" w:hAnsi="宋体"/>
          <w:color w:val="auto"/>
          <w:sz w:val="24"/>
          <w:szCs w:val="24"/>
          <w:highlight w:val="none"/>
        </w:rPr>
        <w:t>九、</w:t>
      </w:r>
      <w:r>
        <w:rPr>
          <w:rFonts w:ascii="宋体" w:hAnsi="宋体"/>
          <w:color w:val="auto"/>
          <w:sz w:val="24"/>
          <w:szCs w:val="24"/>
          <w:highlight w:val="none"/>
        </w:rPr>
        <w:t>推荐</w:t>
      </w:r>
      <w:r>
        <w:rPr>
          <w:rFonts w:hint="eastAsia" w:ascii="宋体" w:hAnsi="宋体"/>
          <w:color w:val="auto"/>
          <w:sz w:val="24"/>
          <w:szCs w:val="24"/>
          <w:highlight w:val="none"/>
          <w:lang w:eastAsia="zh-CN"/>
        </w:rPr>
        <w:t>中标</w:t>
      </w:r>
      <w:r>
        <w:rPr>
          <w:rFonts w:ascii="宋体" w:hAnsi="宋体"/>
          <w:color w:val="auto"/>
          <w:sz w:val="24"/>
          <w:szCs w:val="24"/>
          <w:highlight w:val="none"/>
        </w:rPr>
        <w:t>候选人与定标</w:t>
      </w:r>
      <w:bookmarkEnd w:id="123"/>
      <w:bookmarkEnd w:id="124"/>
      <w:bookmarkEnd w:id="125"/>
      <w:bookmarkEnd w:id="126"/>
      <w:bookmarkEnd w:id="127"/>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1.评标委员会完成评标后，向采购人提出书面评标报告，并推荐综合得分由高到低的前三名为中标候选人。</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.采购人在评标委员会出具的评标报告中推荐的成交候选人中按照相关法律法规确定中标</w:t>
      </w:r>
      <w:r>
        <w:rPr>
          <w:rFonts w:hint="eastAsia" w:ascii="宋体" w:hAnsi="宋体"/>
          <w:color w:val="auto"/>
          <w:szCs w:val="21"/>
          <w:highlight w:val="none"/>
          <w:lang w:eastAsia="zh-CN"/>
        </w:rPr>
        <w:t>投标单位</w:t>
      </w:r>
      <w:r>
        <w:rPr>
          <w:rFonts w:hint="eastAsia" w:ascii="宋体" w:hAnsi="宋体"/>
          <w:color w:val="auto"/>
          <w:szCs w:val="21"/>
          <w:highlight w:val="none"/>
        </w:rPr>
        <w:t>。</w:t>
      </w:r>
    </w:p>
    <w:p>
      <w:pPr>
        <w:pStyle w:val="5"/>
        <w:pageBreakBefore w:val="0"/>
        <w:widowControl w:val="0"/>
        <w:kinsoku/>
        <w:wordWrap/>
        <w:overflowPunct/>
        <w:topLinePunct w:val="0"/>
        <w:autoSpaceDE/>
        <w:autoSpaceDN/>
        <w:bidi w:val="0"/>
        <w:spacing w:before="0" w:after="0"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十、补充</w:t>
      </w:r>
    </w:p>
    <w:p>
      <w:pPr>
        <w:pStyle w:val="7"/>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对小型和微型企业产品价格的优惠，按照</w:t>
      </w:r>
      <w:r>
        <w:rPr>
          <w:rFonts w:hint="eastAsia" w:ascii="宋体" w:hAnsi="宋体"/>
          <w:color w:val="auto"/>
          <w:szCs w:val="21"/>
          <w:highlight w:val="none"/>
          <w:lang w:eastAsia="zh-CN"/>
        </w:rPr>
        <w:t>财库【2020】46号</w:t>
      </w:r>
      <w:r>
        <w:rPr>
          <w:rFonts w:hint="eastAsia" w:ascii="宋体" w:hAnsi="宋体"/>
          <w:color w:val="auto"/>
          <w:szCs w:val="21"/>
          <w:highlight w:val="none"/>
        </w:rPr>
        <w:t>文件第</w:t>
      </w:r>
      <w:r>
        <w:rPr>
          <w:rFonts w:hint="eastAsia" w:ascii="宋体" w:hAnsi="宋体"/>
          <w:color w:val="auto"/>
          <w:szCs w:val="21"/>
          <w:highlight w:val="none"/>
          <w:lang w:val="en-US" w:eastAsia="zh-CN"/>
        </w:rPr>
        <w:t>九</w:t>
      </w:r>
      <w:r>
        <w:rPr>
          <w:rFonts w:hint="eastAsia" w:ascii="宋体" w:hAnsi="宋体"/>
          <w:color w:val="auto"/>
          <w:szCs w:val="21"/>
          <w:highlight w:val="none"/>
        </w:rPr>
        <w:t>条规定，对小型和微型企业产品价格的给予6%扣除，评标过程中对小型和微型企业用扣除后的价格参与评审。</w:t>
      </w:r>
      <w:bookmarkStart w:id="128" w:name="_Toc229884841"/>
      <w:bookmarkStart w:id="129" w:name="_Toc269407657"/>
      <w:bookmarkStart w:id="130" w:name="_Toc6863"/>
    </w:p>
    <w:bookmarkEnd w:id="128"/>
    <w:bookmarkEnd w:id="129"/>
    <w:p>
      <w:pPr>
        <w:pStyle w:val="5"/>
        <w:spacing w:before="0" w:after="0" w:line="450" w:lineRule="exact"/>
        <w:outlineLvl w:val="9"/>
        <w:rPr>
          <w:rFonts w:hint="eastAsia" w:ascii="宋体" w:hAnsi="宋体"/>
          <w:color w:val="auto"/>
          <w:sz w:val="24"/>
          <w:szCs w:val="24"/>
          <w:highlight w:val="none"/>
        </w:rPr>
      </w:pPr>
    </w:p>
    <w:p>
      <w:pPr>
        <w:pStyle w:val="5"/>
        <w:spacing w:before="0" w:after="0" w:line="450" w:lineRule="exact"/>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十一、附表</w:t>
      </w:r>
      <w:bookmarkEnd w:id="130"/>
      <w:bookmarkStart w:id="131" w:name="_Toc250572277"/>
      <w:bookmarkStart w:id="132" w:name="_Toc260140528"/>
      <w:bookmarkStart w:id="133" w:name="_Toc238899396"/>
      <w:bookmarkStart w:id="134" w:name="_Toc235544711"/>
    </w:p>
    <w:p>
      <w:pPr>
        <w:pStyle w:val="5"/>
        <w:spacing w:before="0" w:after="0" w:line="450" w:lineRule="exact"/>
        <w:rPr>
          <w:rFonts w:hint="eastAsia" w:ascii="宋体" w:hAnsi="宋体"/>
          <w:color w:val="auto"/>
          <w:sz w:val="21"/>
          <w:szCs w:val="21"/>
          <w:highlight w:val="none"/>
        </w:rPr>
      </w:pPr>
      <w:r>
        <w:rPr>
          <w:rFonts w:ascii="宋体" w:hAnsi="宋体"/>
          <w:color w:val="auto"/>
          <w:sz w:val="21"/>
          <w:szCs w:val="21"/>
          <w:highlight w:val="none"/>
        </w:rPr>
        <w:t>附表一：</w:t>
      </w:r>
      <w:r>
        <w:rPr>
          <w:rFonts w:hint="eastAsia" w:ascii="宋体" w:hAnsi="宋体"/>
          <w:color w:val="auto"/>
          <w:sz w:val="21"/>
          <w:szCs w:val="21"/>
          <w:highlight w:val="none"/>
        </w:rPr>
        <w:t>资格审查表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1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40" w:type="dxa"/>
            <w:noWrap w:val="0"/>
            <w:vAlign w:val="center"/>
          </w:tcPr>
          <w:p>
            <w:pPr>
              <w:snapToGrid w:val="0"/>
              <w:spacing w:line="360" w:lineRule="auto"/>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序号</w:t>
            </w:r>
          </w:p>
        </w:tc>
        <w:tc>
          <w:tcPr>
            <w:tcW w:w="8159" w:type="dxa"/>
            <w:noWrap w:val="0"/>
            <w:vAlign w:val="center"/>
          </w:tcPr>
          <w:p>
            <w:pPr>
              <w:snapToGrid w:val="0"/>
              <w:spacing w:line="360" w:lineRule="auto"/>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审查因素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8159" w:type="dxa"/>
            <w:noWrap w:val="0"/>
            <w:vAlign w:val="center"/>
          </w:tcPr>
          <w:p>
            <w:pPr>
              <w:snapToGrid w:val="0"/>
              <w:spacing w:line="360" w:lineRule="auto"/>
              <w:jc w:val="left"/>
              <w:rPr>
                <w:rFonts w:hint="eastAsia" w:ascii="宋体" w:hAnsi="宋体" w:cs="宋体"/>
                <w:bCs/>
                <w:color w:val="auto"/>
                <w:kern w:val="0"/>
                <w:szCs w:val="21"/>
                <w:highlight w:val="none"/>
              </w:rPr>
            </w:pPr>
            <w:r>
              <w:rPr>
                <w:rFonts w:hint="eastAsia" w:ascii="宋体" w:hAnsi="宋体" w:eastAsia="宋体" w:cs="宋体"/>
                <w:color w:val="auto"/>
                <w:sz w:val="21"/>
                <w:szCs w:val="21"/>
                <w:highlight w:val="none"/>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8159" w:type="dxa"/>
            <w:noWrap w:val="0"/>
            <w:vAlign w:val="center"/>
          </w:tcPr>
          <w:p>
            <w:pPr>
              <w:snapToGrid w:val="0"/>
              <w:spacing w:line="360"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eastAsia="zh-CN"/>
              </w:rPr>
              <w:t>财务状况报告：</w:t>
            </w:r>
            <w:r>
              <w:rPr>
                <w:rFonts w:hint="eastAsia" w:ascii="宋体" w:hAnsi="宋体" w:eastAsia="宋体" w:cs="宋体"/>
                <w:color w:val="auto"/>
                <w:sz w:val="21"/>
                <w:szCs w:val="21"/>
                <w:highlight w:val="none"/>
              </w:rPr>
              <w:t>提供2020年度</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年度</w:t>
            </w:r>
            <w:r>
              <w:rPr>
                <w:rFonts w:hint="eastAsia" w:ascii="宋体" w:hAnsi="宋体" w:cs="宋体"/>
                <w:bCs/>
                <w:color w:val="auto"/>
                <w:kern w:val="0"/>
                <w:szCs w:val="21"/>
                <w:highlight w:val="none"/>
                <w:lang w:eastAsia="zh-CN"/>
              </w:rPr>
              <w:t xml:space="preserve">的财务审计报告（成立时间至提交响应文件截止时间不足一年的可提供成立后任意时段的资产负债表），或其基本存款账户开户银行出具的资信证明。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8159" w:type="dxa"/>
            <w:noWrap w:val="0"/>
            <w:vAlign w:val="center"/>
          </w:tcPr>
          <w:p>
            <w:pPr>
              <w:widowControl/>
              <w:spacing w:line="360" w:lineRule="auto"/>
              <w:jc w:val="left"/>
              <w:rPr>
                <w:rFonts w:hint="eastAsia" w:ascii="宋体" w:hAnsi="宋体"/>
                <w:color w:val="auto"/>
                <w:szCs w:val="21"/>
                <w:highlight w:val="none"/>
              </w:rPr>
            </w:pPr>
            <w:r>
              <w:rPr>
                <w:rFonts w:hint="eastAsia" w:ascii="宋体" w:hAnsi="宋体" w:cs="宋体"/>
                <w:color w:val="auto"/>
                <w:szCs w:val="21"/>
                <w:highlight w:val="none"/>
                <w:shd w:val="clear" w:color="auto" w:fill="FFFFFF"/>
              </w:rPr>
              <w:t>税收缴纳证明：提供2021年6月至今已缴纳的至少一个月的纳税证明或完税证明，依法免税的单位应提供相关证明材料。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8159" w:type="dxa"/>
            <w:noWrap w:val="0"/>
            <w:vAlign w:val="center"/>
          </w:tcPr>
          <w:p>
            <w:pPr>
              <w:widowControl/>
              <w:spacing w:line="360" w:lineRule="auto"/>
              <w:jc w:val="left"/>
              <w:rPr>
                <w:rFonts w:hint="eastAsia" w:ascii="宋体" w:hAnsi="宋体"/>
                <w:color w:val="auto"/>
                <w:szCs w:val="21"/>
                <w:highlight w:val="none"/>
              </w:rPr>
            </w:pPr>
            <w:r>
              <w:rPr>
                <w:rFonts w:hint="eastAsia" w:ascii="宋体" w:hAnsi="宋体" w:cs="宋体"/>
                <w:color w:val="auto"/>
                <w:szCs w:val="21"/>
                <w:highlight w:val="none"/>
                <w:shd w:val="clear" w:color="auto" w:fill="FFFFFF"/>
              </w:rPr>
              <w:t>社会保障资金缴纳证明：提供2021年6月至今已缴存的至少一个月的社会保障资金缴存单据或社保机构开具的社会保险参保缴费情况证明，依法不需要缴纳社会保障资金的单位应提供相关证明材料。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8159" w:type="dxa"/>
            <w:noWrap w:val="0"/>
            <w:vAlign w:val="center"/>
          </w:tcPr>
          <w:p>
            <w:pPr>
              <w:widowControl/>
              <w:spacing w:line="360" w:lineRule="auto"/>
              <w:jc w:val="left"/>
              <w:rPr>
                <w:rFonts w:hint="eastAsia" w:ascii="宋体" w:hAnsi="宋体"/>
                <w:color w:val="auto"/>
                <w:szCs w:val="21"/>
                <w:highlight w:val="none"/>
              </w:rPr>
            </w:pPr>
            <w:r>
              <w:rPr>
                <w:rFonts w:hint="eastAsia" w:ascii="宋体" w:hAnsi="宋体" w:cs="宋体"/>
                <w:color w:val="auto"/>
                <w:szCs w:val="21"/>
                <w:highlight w:val="none"/>
                <w:shd w:val="clear" w:color="auto" w:fill="FFFFFF"/>
              </w:rPr>
              <w:t>提供具有履行合同所必需的设备和专业技术能力的承诺函。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w:t>
            </w:r>
          </w:p>
        </w:tc>
        <w:tc>
          <w:tcPr>
            <w:tcW w:w="8159" w:type="dxa"/>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shd w:val="clear" w:color="auto" w:fill="FFFFFF"/>
              </w:rPr>
              <w:t>书面声明：参加本次政府采购活动前三年内在经营活动中没有重大违纪，以及未被列入失信被执行人、重大税收违法案件当事人名单、政府采购严重违法失信行为记录名单的书面声明。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40" w:type="dxa"/>
            <w:noWrap w:val="0"/>
            <w:vAlign w:val="center"/>
          </w:tcPr>
          <w:p>
            <w:pPr>
              <w:snapToGrid w:val="0"/>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7</w:t>
            </w:r>
          </w:p>
        </w:tc>
        <w:tc>
          <w:tcPr>
            <w:tcW w:w="8159" w:type="dxa"/>
            <w:noWrap w:val="0"/>
            <w:vAlign w:val="center"/>
          </w:tcPr>
          <w:p>
            <w:pPr>
              <w:snapToGrid w:val="0"/>
              <w:spacing w:line="360" w:lineRule="auto"/>
              <w:jc w:val="left"/>
              <w:rPr>
                <w:rFonts w:hint="eastAsia" w:ascii="宋体" w:hAnsi="宋体" w:eastAsia="宋体" w:cs="宋体"/>
                <w:bCs/>
                <w:color w:val="auto"/>
                <w:kern w:val="0"/>
                <w:szCs w:val="21"/>
                <w:highlight w:val="none"/>
                <w:lang w:val="en-US" w:eastAsia="zh-CN"/>
              </w:rPr>
            </w:pPr>
            <w:r>
              <w:rPr>
                <w:rFonts w:hint="eastAsia" w:ascii="宋体" w:hAnsi="宋体"/>
                <w:color w:val="auto"/>
                <w:szCs w:val="21"/>
                <w:highlight w:val="none"/>
                <w:lang w:eastAsia="zh-CN"/>
              </w:rPr>
              <w:t>投标单位</w:t>
            </w:r>
            <w:r>
              <w:rPr>
                <w:rFonts w:hint="eastAsia" w:ascii="宋体" w:hAnsi="宋体"/>
                <w:color w:val="auto"/>
                <w:szCs w:val="21"/>
                <w:highlight w:val="none"/>
              </w:rPr>
              <w:t>应授权合法的人员参加投标全过程，其中法定代表人直接投标，须提交法定代表人身份证明；授权代表参加投标的，须出具法定代表授权委托书及授权代表身份证</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noWrap w:val="0"/>
            <w:vAlign w:val="center"/>
          </w:tcPr>
          <w:p>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w:t>
            </w:r>
          </w:p>
        </w:tc>
        <w:tc>
          <w:tcPr>
            <w:tcW w:w="8159" w:type="dxa"/>
            <w:noWrap w:val="0"/>
            <w:vAlign w:val="center"/>
          </w:tcPr>
          <w:p>
            <w:pPr>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投标单位须具备市政公用工程施工总承包三级及以上资质和有效的安全生产许可证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noWrap w:val="0"/>
            <w:vAlign w:val="center"/>
          </w:tcPr>
          <w:p>
            <w:pPr>
              <w:snapToGrid w:val="0"/>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9</w:t>
            </w:r>
          </w:p>
        </w:tc>
        <w:tc>
          <w:tcPr>
            <w:tcW w:w="8159" w:type="dxa"/>
            <w:noWrap w:val="0"/>
            <w:vAlign w:val="center"/>
          </w:tcPr>
          <w:p>
            <w:pPr>
              <w:snapToGrid w:val="0"/>
              <w:spacing w:line="360" w:lineRule="auto"/>
              <w:jc w:val="left"/>
              <w:rPr>
                <w:rFonts w:hint="eastAsia" w:ascii="宋体" w:hAnsi="宋体" w:eastAsia="宋体" w:cs="宋体"/>
                <w:bCs/>
                <w:color w:val="auto"/>
                <w:kern w:val="0"/>
                <w:szCs w:val="21"/>
                <w:highlight w:val="none"/>
                <w:lang w:eastAsia="zh-CN"/>
              </w:rPr>
            </w:pPr>
            <w:r>
              <w:rPr>
                <w:rFonts w:hint="eastAsia" w:ascii="宋体" w:hAnsi="宋体" w:cs="宋体"/>
                <w:color w:val="auto"/>
                <w:szCs w:val="21"/>
                <w:highlight w:val="none"/>
              </w:rPr>
              <w:t>拟派项目经理须具备市政公用工程二级及以上注册建造师，有效的安全生产考核合格证书（建安B证）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noWrap w:val="0"/>
            <w:vAlign w:val="center"/>
          </w:tcPr>
          <w:p>
            <w:pPr>
              <w:snapToGrid w:val="0"/>
              <w:spacing w:line="360" w:lineRule="auto"/>
              <w:jc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10</w:t>
            </w:r>
          </w:p>
        </w:tc>
        <w:tc>
          <w:tcPr>
            <w:tcW w:w="8159" w:type="dxa"/>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s="宋体"/>
                <w:color w:val="auto"/>
                <w:sz w:val="21"/>
                <w:szCs w:val="21"/>
                <w:highlight w:val="none"/>
                <w:u w:val="none"/>
                <w:lang w:eastAsia="zh-CN"/>
              </w:rPr>
              <w:t>截止至投标文件递交截止时间之前，投标人不得被列入“中国执行信息公开网 （http://zxgk.court.gov.cn/shixin）”失信被执行人名单、“信用中国(www.creditchina.gov.cn)”重大税收违法案件当事人名单，不得被列入“中国政府采购网(www.ccgp.gov.cn)” 政府采购严重违法失信行为记录名单，以相关网站截图查询结果为准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0" w:type="dxa"/>
            <w:noWrap w:val="0"/>
            <w:vAlign w:val="center"/>
          </w:tcPr>
          <w:p>
            <w:pPr>
              <w:snapToGrid w:val="0"/>
              <w:spacing w:line="360" w:lineRule="auto"/>
              <w:jc w:val="center"/>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11</w:t>
            </w:r>
          </w:p>
        </w:tc>
        <w:tc>
          <w:tcPr>
            <w:tcW w:w="8159" w:type="dxa"/>
            <w:noWrap w:val="0"/>
            <w:vAlign w:val="center"/>
          </w:tcPr>
          <w:p>
            <w:pPr>
              <w:snapToGrid w:val="0"/>
              <w:spacing w:line="360" w:lineRule="auto"/>
              <w:jc w:val="left"/>
              <w:rPr>
                <w:rFonts w:hint="eastAsia" w:ascii="宋体" w:hAnsi="宋体"/>
                <w:color w:val="auto"/>
                <w:kern w:val="2"/>
                <w:sz w:val="21"/>
                <w:szCs w:val="21"/>
                <w:highlight w:val="none"/>
                <w:lang w:val="en-US" w:eastAsia="zh-CN" w:bidi="ar-SA"/>
              </w:rPr>
            </w:pPr>
            <w:r>
              <w:rPr>
                <w:rFonts w:hint="eastAsia" w:ascii="宋体" w:hAnsi="宋体" w:cs="宋体"/>
                <w:color w:val="auto"/>
                <w:sz w:val="21"/>
                <w:szCs w:val="21"/>
                <w:highlight w:val="none"/>
                <w:u w:val="none"/>
                <w:lang w:eastAsia="zh-CN"/>
              </w:rPr>
              <w:t>本项目不接受联合体投标。</w:t>
            </w:r>
          </w:p>
        </w:tc>
      </w:tr>
    </w:tbl>
    <w:p>
      <w:pPr>
        <w:pStyle w:val="5"/>
        <w:spacing w:before="0" w:after="0" w:line="450" w:lineRule="exact"/>
        <w:rPr>
          <w:rFonts w:hint="eastAsia" w:ascii="宋体" w:hAnsi="宋体"/>
          <w:b w:val="0"/>
          <w:bCs/>
          <w:color w:val="auto"/>
          <w:sz w:val="21"/>
          <w:szCs w:val="21"/>
          <w:highlight w:val="none"/>
        </w:rPr>
      </w:pPr>
      <w:r>
        <w:rPr>
          <w:rFonts w:ascii="宋体" w:hAnsi="宋体"/>
          <w:b w:val="0"/>
          <w:bCs/>
          <w:color w:val="auto"/>
          <w:sz w:val="21"/>
          <w:szCs w:val="21"/>
          <w:highlight w:val="none"/>
        </w:rPr>
        <w:t>注：</w:t>
      </w:r>
      <w:r>
        <w:rPr>
          <w:rFonts w:hint="eastAsia" w:ascii="宋体" w:hAnsi="宋体"/>
          <w:b w:val="0"/>
          <w:bCs/>
          <w:color w:val="auto"/>
          <w:sz w:val="21"/>
          <w:szCs w:val="21"/>
          <w:highlight w:val="none"/>
        </w:rPr>
        <w:t>如有一项内容不合格，其投标文件按无效处理，将不再参与下一步的评审。</w:t>
      </w:r>
    </w:p>
    <w:p>
      <w:pPr>
        <w:rPr>
          <w:rFonts w:hint="eastAsia"/>
          <w:color w:val="auto"/>
          <w:highlight w:val="none"/>
        </w:rPr>
      </w:pPr>
    </w:p>
    <w:p>
      <w:pPr>
        <w:pStyle w:val="5"/>
        <w:spacing w:before="0" w:after="0" w:line="450" w:lineRule="exact"/>
        <w:rPr>
          <w:rFonts w:hint="eastAsia" w:ascii="宋体" w:hAnsi="宋体"/>
          <w:color w:val="auto"/>
          <w:sz w:val="21"/>
          <w:szCs w:val="21"/>
          <w:highlight w:val="none"/>
        </w:rPr>
      </w:pPr>
      <w:r>
        <w:rPr>
          <w:rFonts w:ascii="宋体" w:hAnsi="宋体"/>
          <w:color w:val="auto"/>
          <w:sz w:val="21"/>
          <w:szCs w:val="21"/>
          <w:highlight w:val="none"/>
        </w:rPr>
        <w:br w:type="page"/>
      </w:r>
      <w:r>
        <w:rPr>
          <w:rFonts w:ascii="宋体" w:hAnsi="宋体"/>
          <w:color w:val="auto"/>
          <w:sz w:val="21"/>
          <w:szCs w:val="21"/>
          <w:highlight w:val="none"/>
        </w:rPr>
        <w:t>附表</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初步审查表</w:t>
      </w:r>
    </w:p>
    <w:p>
      <w:pPr>
        <w:pStyle w:val="7"/>
        <w:rPr>
          <w:rFonts w:hint="eastAsia"/>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17"/>
        <w:gridCol w:w="2411"/>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2928" w:type="dxa"/>
            <w:gridSpan w:val="2"/>
            <w:noWrap w:val="0"/>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审查因素</w:t>
            </w:r>
          </w:p>
        </w:tc>
        <w:tc>
          <w:tcPr>
            <w:tcW w:w="5166" w:type="dxa"/>
            <w:noWrap w:val="0"/>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517" w:type="dxa"/>
            <w:vMerge w:val="restart"/>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形</w:t>
            </w:r>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式</w:t>
            </w:r>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审</w:t>
            </w:r>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查</w:t>
            </w:r>
          </w:p>
        </w:tc>
        <w:tc>
          <w:tcPr>
            <w:tcW w:w="2411"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5166" w:type="dxa"/>
            <w:noWrap w:val="0"/>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2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517" w:type="dxa"/>
            <w:vMerge w:val="continue"/>
            <w:noWrap w:val="0"/>
            <w:vAlign w:val="center"/>
          </w:tcPr>
          <w:p>
            <w:pPr>
              <w:snapToGrid w:val="0"/>
              <w:spacing w:line="360" w:lineRule="auto"/>
              <w:jc w:val="center"/>
              <w:rPr>
                <w:rFonts w:ascii="宋体" w:hAnsi="宋体"/>
                <w:color w:val="auto"/>
                <w:szCs w:val="21"/>
                <w:highlight w:val="none"/>
              </w:rPr>
            </w:pPr>
          </w:p>
        </w:tc>
        <w:tc>
          <w:tcPr>
            <w:tcW w:w="2411"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函</w:t>
            </w:r>
          </w:p>
        </w:tc>
        <w:tc>
          <w:tcPr>
            <w:tcW w:w="516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有法定代表人或其委托代理人签字或盖章并加盖单位公章。委托代理人签字的，其法定代表人授权委托书须由法定代表人签署。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517" w:type="dxa"/>
            <w:vMerge w:val="continue"/>
            <w:noWrap w:val="0"/>
            <w:vAlign w:val="center"/>
          </w:tcPr>
          <w:p>
            <w:pPr>
              <w:snapToGrid w:val="0"/>
              <w:spacing w:line="360" w:lineRule="auto"/>
              <w:jc w:val="center"/>
              <w:rPr>
                <w:rFonts w:hint="eastAsia" w:ascii="宋体" w:hAnsi="宋体"/>
                <w:color w:val="auto"/>
                <w:szCs w:val="21"/>
                <w:highlight w:val="none"/>
              </w:rPr>
            </w:pPr>
          </w:p>
        </w:tc>
        <w:tc>
          <w:tcPr>
            <w:tcW w:w="2411"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报价唯一</w:t>
            </w:r>
          </w:p>
        </w:tc>
        <w:tc>
          <w:tcPr>
            <w:tcW w:w="516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只能有一个有效投标报价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517" w:type="dxa"/>
            <w:vMerge w:val="restart"/>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响应性审查</w:t>
            </w:r>
          </w:p>
        </w:tc>
        <w:tc>
          <w:tcPr>
            <w:tcW w:w="2411" w:type="dxa"/>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投标有效期</w:t>
            </w:r>
          </w:p>
        </w:tc>
        <w:tc>
          <w:tcPr>
            <w:tcW w:w="5166" w:type="dxa"/>
            <w:noWrap w:val="0"/>
            <w:vAlign w:val="center"/>
          </w:tcPr>
          <w:p>
            <w:pPr>
              <w:snapToGrid w:val="0"/>
              <w:spacing w:line="360" w:lineRule="auto"/>
              <w:rPr>
                <w:rFonts w:hint="eastAsia" w:ascii="宋体" w:hAnsi="宋体"/>
                <w:color w:val="auto"/>
                <w:szCs w:val="21"/>
                <w:highlight w:val="none"/>
              </w:rPr>
            </w:pPr>
            <w:r>
              <w:rPr>
                <w:rFonts w:ascii="宋体" w:hAnsi="宋体"/>
                <w:color w:val="auto"/>
                <w:szCs w:val="21"/>
                <w:highlight w:val="none"/>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72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517" w:type="dxa"/>
            <w:vMerge w:val="continue"/>
            <w:noWrap w:val="0"/>
            <w:vAlign w:val="center"/>
          </w:tcPr>
          <w:p>
            <w:pPr>
              <w:snapToGrid w:val="0"/>
              <w:spacing w:line="360" w:lineRule="auto"/>
              <w:jc w:val="center"/>
              <w:rPr>
                <w:rFonts w:hint="eastAsia" w:ascii="宋体" w:hAnsi="宋体"/>
                <w:color w:val="auto"/>
                <w:szCs w:val="21"/>
                <w:highlight w:val="none"/>
              </w:rPr>
            </w:pPr>
          </w:p>
        </w:tc>
        <w:tc>
          <w:tcPr>
            <w:tcW w:w="2411" w:type="dxa"/>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投标文件格式</w:t>
            </w:r>
            <w:r>
              <w:rPr>
                <w:rFonts w:hint="eastAsia" w:ascii="宋体" w:hAnsi="宋体"/>
                <w:color w:val="auto"/>
                <w:szCs w:val="21"/>
                <w:highlight w:val="none"/>
              </w:rPr>
              <w:t>及数量</w:t>
            </w:r>
          </w:p>
        </w:tc>
        <w:tc>
          <w:tcPr>
            <w:tcW w:w="5166" w:type="dxa"/>
            <w:noWrap w:val="0"/>
            <w:vAlign w:val="center"/>
          </w:tcPr>
          <w:p>
            <w:pPr>
              <w:snapToGrid w:val="0"/>
              <w:spacing w:line="360" w:lineRule="auto"/>
              <w:jc w:val="left"/>
              <w:rPr>
                <w:rFonts w:hint="eastAsia"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招标</w:t>
            </w:r>
            <w:r>
              <w:rPr>
                <w:rFonts w:ascii="宋体" w:hAnsi="宋体"/>
                <w:color w:val="auto"/>
                <w:szCs w:val="21"/>
                <w:highlight w:val="none"/>
              </w:rPr>
              <w:t>文件第</w:t>
            </w:r>
            <w:r>
              <w:rPr>
                <w:rFonts w:hint="eastAsia" w:ascii="宋体" w:hAnsi="宋体"/>
                <w:color w:val="auto"/>
                <w:szCs w:val="21"/>
                <w:highlight w:val="none"/>
                <w:lang w:val="en-US" w:eastAsia="zh-CN"/>
              </w:rPr>
              <w:t>六</w:t>
            </w:r>
            <w:r>
              <w:rPr>
                <w:rFonts w:ascii="宋体" w:hAnsi="宋体"/>
                <w:color w:val="auto"/>
                <w:szCs w:val="21"/>
                <w:highlight w:val="none"/>
              </w:rPr>
              <w:t>章“</w:t>
            </w:r>
            <w:r>
              <w:rPr>
                <w:rFonts w:hint="eastAsia" w:ascii="宋体" w:hAnsi="宋体"/>
                <w:color w:val="auto"/>
                <w:szCs w:val="21"/>
                <w:highlight w:val="none"/>
              </w:rPr>
              <w:t>投标</w:t>
            </w:r>
            <w:r>
              <w:rPr>
                <w:rFonts w:ascii="宋体" w:hAnsi="宋体"/>
                <w:color w:val="auto"/>
                <w:szCs w:val="21"/>
                <w:highlight w:val="none"/>
              </w:rPr>
              <w:t>文件格式”的要求</w:t>
            </w:r>
            <w:r>
              <w:rPr>
                <w:rFonts w:hint="eastAsia" w:ascii="宋体" w:hAnsi="宋体"/>
                <w:color w:val="auto"/>
                <w:szCs w:val="21"/>
                <w:highlight w:val="none"/>
              </w:rPr>
              <w:t>，数量符合“</w:t>
            </w:r>
            <w:r>
              <w:rPr>
                <w:rFonts w:hint="eastAsia" w:ascii="宋体" w:hAnsi="宋体"/>
                <w:color w:val="auto"/>
                <w:szCs w:val="21"/>
                <w:highlight w:val="none"/>
                <w:lang w:eastAsia="zh-CN"/>
              </w:rPr>
              <w:t>投标单位</w:t>
            </w:r>
            <w:r>
              <w:rPr>
                <w:rFonts w:hint="eastAsia" w:ascii="宋体" w:hAnsi="宋体"/>
                <w:color w:val="auto"/>
                <w:szCs w:val="21"/>
                <w:highlight w:val="none"/>
              </w:rPr>
              <w:t>须知前附表”的要求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6" w:type="dxa"/>
            <w:noWrap w:val="0"/>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517" w:type="dxa"/>
            <w:vMerge w:val="continue"/>
            <w:noWrap w:val="0"/>
            <w:vAlign w:val="center"/>
          </w:tcPr>
          <w:p>
            <w:pPr>
              <w:snapToGrid w:val="0"/>
              <w:spacing w:line="360" w:lineRule="auto"/>
              <w:jc w:val="center"/>
              <w:rPr>
                <w:rFonts w:hint="eastAsia" w:ascii="宋体" w:hAnsi="宋体"/>
                <w:color w:val="auto"/>
                <w:szCs w:val="21"/>
                <w:highlight w:val="none"/>
              </w:rPr>
            </w:pPr>
          </w:p>
        </w:tc>
        <w:tc>
          <w:tcPr>
            <w:tcW w:w="2411" w:type="dxa"/>
            <w:noWrap w:val="0"/>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工期</w:t>
            </w:r>
          </w:p>
        </w:tc>
        <w:tc>
          <w:tcPr>
            <w:tcW w:w="5166" w:type="dxa"/>
            <w:noWrap w:val="0"/>
            <w:vAlign w:val="center"/>
          </w:tcPr>
          <w:p>
            <w:pPr>
              <w:snapToGrid w:val="0"/>
              <w:spacing w:line="360" w:lineRule="auto"/>
              <w:jc w:val="left"/>
              <w:rPr>
                <w:rFonts w:hint="eastAsia" w:ascii="宋体" w:hAnsi="宋体"/>
                <w:color w:val="auto"/>
                <w:szCs w:val="21"/>
                <w:highlight w:val="none"/>
              </w:rPr>
            </w:pPr>
            <w:r>
              <w:rPr>
                <w:rFonts w:ascii="宋体" w:hAnsi="宋体"/>
                <w:color w:val="auto"/>
                <w:szCs w:val="21"/>
                <w:highlight w:val="none"/>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6" w:type="dxa"/>
            <w:noWrap w:val="0"/>
            <w:vAlign w:val="center"/>
          </w:tcPr>
          <w:p>
            <w:pPr>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517" w:type="dxa"/>
            <w:vMerge w:val="continue"/>
            <w:noWrap w:val="0"/>
            <w:vAlign w:val="center"/>
          </w:tcPr>
          <w:p>
            <w:pPr>
              <w:snapToGrid w:val="0"/>
              <w:spacing w:line="360" w:lineRule="auto"/>
              <w:jc w:val="center"/>
              <w:rPr>
                <w:rFonts w:hint="eastAsia" w:ascii="宋体" w:hAnsi="宋体"/>
                <w:color w:val="auto"/>
                <w:szCs w:val="21"/>
                <w:highlight w:val="none"/>
              </w:rPr>
            </w:pPr>
          </w:p>
        </w:tc>
        <w:tc>
          <w:tcPr>
            <w:tcW w:w="2411" w:type="dxa"/>
            <w:noWrap w:val="0"/>
            <w:vAlign w:val="center"/>
          </w:tcPr>
          <w:p>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质保期</w:t>
            </w:r>
          </w:p>
        </w:tc>
        <w:tc>
          <w:tcPr>
            <w:tcW w:w="5166" w:type="dxa"/>
            <w:noWrap w:val="0"/>
            <w:vAlign w:val="center"/>
          </w:tcPr>
          <w:p>
            <w:pPr>
              <w:snapToGrid w:val="0"/>
              <w:spacing w:line="360" w:lineRule="auto"/>
              <w:jc w:val="left"/>
              <w:rPr>
                <w:rFonts w:ascii="宋体" w:hAnsi="宋体"/>
                <w:color w:val="auto"/>
                <w:szCs w:val="21"/>
                <w:highlight w:val="none"/>
              </w:rPr>
            </w:pPr>
            <w:r>
              <w:rPr>
                <w:rFonts w:ascii="宋体" w:hAnsi="宋体"/>
                <w:color w:val="auto"/>
                <w:szCs w:val="21"/>
                <w:highlight w:val="none"/>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26" w:type="dxa"/>
            <w:noWrap w:val="0"/>
            <w:vAlign w:val="center"/>
          </w:tcPr>
          <w:p>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517" w:type="dxa"/>
            <w:vMerge w:val="continue"/>
            <w:noWrap w:val="0"/>
            <w:vAlign w:val="center"/>
          </w:tcPr>
          <w:p>
            <w:pPr>
              <w:snapToGrid w:val="0"/>
              <w:spacing w:line="360" w:lineRule="auto"/>
              <w:jc w:val="center"/>
              <w:rPr>
                <w:rFonts w:hint="eastAsia" w:ascii="宋体" w:hAnsi="宋体"/>
                <w:color w:val="auto"/>
                <w:szCs w:val="21"/>
                <w:highlight w:val="none"/>
              </w:rPr>
            </w:pPr>
          </w:p>
        </w:tc>
        <w:tc>
          <w:tcPr>
            <w:tcW w:w="2411" w:type="dxa"/>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可接受条件</w:t>
            </w:r>
          </w:p>
          <w:p>
            <w:pPr>
              <w:snapToGrid w:val="0"/>
              <w:spacing w:line="360" w:lineRule="auto"/>
              <w:jc w:val="center"/>
              <w:rPr>
                <w:rFonts w:ascii="宋体" w:hAnsi="宋体"/>
                <w:color w:val="auto"/>
                <w:szCs w:val="21"/>
                <w:highlight w:val="none"/>
              </w:rPr>
            </w:pPr>
            <w:r>
              <w:rPr>
                <w:rFonts w:ascii="宋体" w:hAnsi="宋体"/>
                <w:color w:val="auto"/>
                <w:szCs w:val="21"/>
                <w:highlight w:val="none"/>
              </w:rPr>
              <w:t>商务部分、技术部分</w:t>
            </w:r>
          </w:p>
        </w:tc>
        <w:tc>
          <w:tcPr>
            <w:tcW w:w="5166" w:type="dxa"/>
            <w:noWrap w:val="0"/>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投标文件商务部分、技术部分中是否附有</w:t>
            </w:r>
            <w:r>
              <w:rPr>
                <w:rFonts w:hint="eastAsia" w:ascii="宋体" w:hAnsi="宋体"/>
                <w:color w:val="auto"/>
                <w:szCs w:val="21"/>
                <w:highlight w:val="none"/>
                <w:lang w:eastAsia="zh-CN"/>
              </w:rPr>
              <w:t>采购人</w:t>
            </w:r>
            <w:r>
              <w:rPr>
                <w:rFonts w:ascii="宋体" w:hAnsi="宋体"/>
                <w:color w:val="auto"/>
                <w:szCs w:val="21"/>
                <w:highlight w:val="none"/>
              </w:rPr>
              <w:t>不能接受的条件</w:t>
            </w:r>
          </w:p>
        </w:tc>
      </w:tr>
    </w:tbl>
    <w:p>
      <w:pPr>
        <w:snapToGrid w:val="0"/>
        <w:spacing w:line="360" w:lineRule="auto"/>
        <w:rPr>
          <w:rFonts w:ascii="宋体" w:hAnsi="宋体"/>
          <w:b/>
          <w:color w:val="auto"/>
          <w:sz w:val="24"/>
          <w:szCs w:val="24"/>
          <w:highlight w:val="none"/>
        </w:rPr>
      </w:pPr>
    </w:p>
    <w:p>
      <w:pPr>
        <w:snapToGrid w:val="0"/>
        <w:spacing w:line="276" w:lineRule="auto"/>
        <w:jc w:val="left"/>
        <w:rPr>
          <w:rFonts w:hint="eastAsia"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如有一项内容不合格，其投标文件按无效处理，将不再进行下一步的评审。</w:t>
      </w:r>
      <w:bookmarkStart w:id="135" w:name="_Toc293999493"/>
      <w:bookmarkStart w:id="136" w:name="_Toc269407659"/>
      <w:bookmarkStart w:id="137" w:name="_Toc372193329"/>
    </w:p>
    <w:p>
      <w:pPr>
        <w:pStyle w:val="24"/>
        <w:rPr>
          <w:rFonts w:hint="eastAsia" w:ascii="宋体" w:hAnsi="宋体"/>
          <w:color w:val="auto"/>
          <w:szCs w:val="21"/>
          <w:highlight w:val="none"/>
        </w:rPr>
      </w:pPr>
    </w:p>
    <w:p>
      <w:pPr>
        <w:pStyle w:val="24"/>
        <w:rPr>
          <w:color w:val="auto"/>
          <w:highlight w:val="none"/>
        </w:rPr>
      </w:pPr>
      <w:r>
        <w:rPr>
          <w:rFonts w:ascii="宋体" w:hAnsi="宋体"/>
          <w:b/>
          <w:color w:val="auto"/>
          <w:sz w:val="24"/>
          <w:szCs w:val="24"/>
          <w:highlight w:val="none"/>
        </w:rPr>
        <w:br w:type="page"/>
      </w:r>
      <w:r>
        <w:rPr>
          <w:rFonts w:ascii="宋体" w:hAnsi="宋体"/>
          <w:b/>
          <w:color w:val="auto"/>
          <w:sz w:val="24"/>
          <w:szCs w:val="24"/>
          <w:highlight w:val="none"/>
        </w:rPr>
        <w:t>附表</w:t>
      </w:r>
      <w:r>
        <w:rPr>
          <w:rFonts w:hint="eastAsia" w:ascii="宋体" w:hAnsi="宋体"/>
          <w:b/>
          <w:color w:val="auto"/>
          <w:sz w:val="24"/>
          <w:szCs w:val="24"/>
          <w:highlight w:val="none"/>
        </w:rPr>
        <w:t>三</w:t>
      </w:r>
      <w:r>
        <w:rPr>
          <w:rFonts w:ascii="宋体" w:hAnsi="宋体"/>
          <w:b/>
          <w:color w:val="auto"/>
          <w:sz w:val="24"/>
          <w:szCs w:val="24"/>
          <w:highlight w:val="none"/>
        </w:rPr>
        <w:t>：</w:t>
      </w:r>
      <w:r>
        <w:rPr>
          <w:rFonts w:hint="eastAsia" w:ascii="宋体" w:hAnsi="宋体"/>
          <w:b/>
          <w:color w:val="auto"/>
          <w:sz w:val="24"/>
          <w:szCs w:val="24"/>
          <w:highlight w:val="none"/>
        </w:rPr>
        <w:t>详细评审表</w:t>
      </w:r>
    </w:p>
    <w:tbl>
      <w:tblPr>
        <w:tblStyle w:val="1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78"/>
        <w:gridCol w:w="1543"/>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05" w:type="dxa"/>
            <w:gridSpan w:val="2"/>
            <w:noWrap w:val="0"/>
            <w:tcMar>
              <w:top w:w="57" w:type="dxa"/>
              <w:bottom w:w="57" w:type="dxa"/>
            </w:tcMar>
            <w:vAlign w:val="center"/>
          </w:tcPr>
          <w:p>
            <w:pPr>
              <w:spacing w:line="320" w:lineRule="exact"/>
              <w:jc w:val="center"/>
              <w:rPr>
                <w:rFonts w:hint="eastAsia"/>
                <w:b/>
                <w:color w:val="auto"/>
                <w:szCs w:val="21"/>
                <w:highlight w:val="none"/>
              </w:rPr>
            </w:pPr>
            <w:r>
              <w:rPr>
                <w:rFonts w:hint="eastAsia"/>
                <w:b/>
                <w:color w:val="auto"/>
                <w:szCs w:val="21"/>
                <w:highlight w:val="none"/>
              </w:rPr>
              <w:t>评审内容</w:t>
            </w:r>
          </w:p>
        </w:tc>
        <w:tc>
          <w:tcPr>
            <w:tcW w:w="1543" w:type="dxa"/>
            <w:noWrap w:val="0"/>
            <w:tcMar>
              <w:top w:w="57" w:type="dxa"/>
              <w:bottom w:w="57" w:type="dxa"/>
            </w:tcMar>
            <w:vAlign w:val="center"/>
          </w:tcPr>
          <w:p>
            <w:pPr>
              <w:spacing w:line="320" w:lineRule="exact"/>
              <w:jc w:val="center"/>
              <w:rPr>
                <w:b/>
                <w:color w:val="auto"/>
                <w:szCs w:val="21"/>
                <w:highlight w:val="none"/>
              </w:rPr>
            </w:pPr>
            <w:r>
              <w:rPr>
                <w:rFonts w:hint="eastAsia"/>
                <w:b/>
                <w:color w:val="auto"/>
                <w:szCs w:val="21"/>
                <w:highlight w:val="none"/>
              </w:rPr>
              <w:t>评审因素</w:t>
            </w:r>
          </w:p>
        </w:tc>
        <w:tc>
          <w:tcPr>
            <w:tcW w:w="5665" w:type="dxa"/>
            <w:noWrap w:val="0"/>
            <w:tcMar>
              <w:top w:w="57" w:type="dxa"/>
              <w:bottom w:w="57" w:type="dxa"/>
            </w:tcMar>
            <w:vAlign w:val="center"/>
          </w:tcPr>
          <w:p>
            <w:pPr>
              <w:spacing w:line="320" w:lineRule="exact"/>
              <w:jc w:val="center"/>
              <w:rPr>
                <w:b/>
                <w:color w:val="auto"/>
                <w:szCs w:val="21"/>
                <w:highlight w:val="none"/>
              </w:rPr>
            </w:pPr>
            <w:r>
              <w:rPr>
                <w:rFonts w:hint="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dxa"/>
            <w:gridSpan w:val="2"/>
            <w:vMerge w:val="restart"/>
            <w:noWrap w:val="0"/>
            <w:tcMar>
              <w:top w:w="57" w:type="dxa"/>
              <w:bottom w:w="57" w:type="dxa"/>
            </w:tcMar>
            <w:vAlign w:val="center"/>
          </w:tcPr>
          <w:p>
            <w:pPr>
              <w:spacing w:line="320" w:lineRule="exact"/>
              <w:jc w:val="center"/>
              <w:rPr>
                <w:rFonts w:hint="eastAsia"/>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1</w:t>
            </w:r>
          </w:p>
        </w:tc>
        <w:tc>
          <w:tcPr>
            <w:tcW w:w="1543" w:type="dxa"/>
            <w:vMerge w:val="restart"/>
            <w:noWrap w:val="0"/>
            <w:tcMar>
              <w:top w:w="57" w:type="dxa"/>
              <w:bottom w:w="57" w:type="dxa"/>
            </w:tcMar>
            <w:vAlign w:val="center"/>
          </w:tcPr>
          <w:p>
            <w:pPr>
              <w:spacing w:line="320" w:lineRule="exact"/>
              <w:jc w:val="center"/>
              <w:rPr>
                <w:color w:val="auto"/>
                <w:szCs w:val="21"/>
                <w:highlight w:val="none"/>
              </w:rPr>
            </w:pPr>
            <w:r>
              <w:rPr>
                <w:rFonts w:hint="eastAsia"/>
                <w:color w:val="auto"/>
                <w:szCs w:val="21"/>
                <w:highlight w:val="none"/>
              </w:rPr>
              <w:t>分值构成</w:t>
            </w:r>
          </w:p>
          <w:p>
            <w:pPr>
              <w:spacing w:line="320" w:lineRule="exact"/>
              <w:jc w:val="center"/>
              <w:rPr>
                <w:color w:val="auto"/>
                <w:szCs w:val="21"/>
                <w:highlight w:val="none"/>
              </w:rPr>
            </w:pPr>
            <w:r>
              <w:rPr>
                <w:rFonts w:hint="eastAsia"/>
                <w:color w:val="auto"/>
                <w:szCs w:val="21"/>
                <w:highlight w:val="none"/>
              </w:rPr>
              <w:t>（总分</w:t>
            </w:r>
            <w:r>
              <w:rPr>
                <w:color w:val="auto"/>
                <w:szCs w:val="21"/>
                <w:highlight w:val="none"/>
              </w:rPr>
              <w:t>100</w:t>
            </w:r>
            <w:r>
              <w:rPr>
                <w:rFonts w:hint="eastAsia"/>
                <w:color w:val="auto"/>
                <w:szCs w:val="21"/>
                <w:highlight w:val="none"/>
              </w:rPr>
              <w:t>分）</w:t>
            </w:r>
          </w:p>
        </w:tc>
        <w:tc>
          <w:tcPr>
            <w:tcW w:w="5665" w:type="dxa"/>
            <w:noWrap w:val="0"/>
            <w:tcMar>
              <w:top w:w="57" w:type="dxa"/>
              <w:bottom w:w="57" w:type="dxa"/>
            </w:tcMar>
            <w:vAlign w:val="center"/>
          </w:tcPr>
          <w:p>
            <w:pPr>
              <w:spacing w:line="320" w:lineRule="exact"/>
              <w:rPr>
                <w:color w:val="auto"/>
                <w:szCs w:val="21"/>
                <w:highlight w:val="none"/>
              </w:rPr>
            </w:pPr>
            <w:r>
              <w:rPr>
                <w:rFonts w:hint="eastAsia"/>
                <w:color w:val="auto"/>
                <w:szCs w:val="21"/>
                <w:highlight w:val="none"/>
              </w:rPr>
              <w:t>技术部分：</w:t>
            </w:r>
            <w:r>
              <w:rPr>
                <w:color w:val="auto"/>
                <w:szCs w:val="21"/>
                <w:highlight w:val="none"/>
                <w:u w:val="single"/>
              </w:rPr>
              <w:t xml:space="preserve"> </w:t>
            </w:r>
            <w:r>
              <w:rPr>
                <w:rFonts w:hint="eastAsia"/>
                <w:color w:val="auto"/>
                <w:szCs w:val="21"/>
                <w:highlight w:val="none"/>
                <w:u w:val="single"/>
                <w:lang w:val="en-US" w:eastAsia="zh-CN"/>
              </w:rPr>
              <w:t>85</w:t>
            </w:r>
            <w:r>
              <w:rPr>
                <w:color w:val="auto"/>
                <w:szCs w:val="21"/>
                <w:highlight w:val="none"/>
                <w:u w:val="single"/>
              </w:rPr>
              <w:t xml:space="preserve"> </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5" w:type="dxa"/>
            <w:gridSpan w:val="2"/>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spacing w:line="320" w:lineRule="exact"/>
              <w:jc w:val="center"/>
              <w:rPr>
                <w:color w:val="auto"/>
                <w:szCs w:val="21"/>
                <w:highlight w:val="none"/>
              </w:rPr>
            </w:pPr>
          </w:p>
        </w:tc>
        <w:tc>
          <w:tcPr>
            <w:tcW w:w="5665" w:type="dxa"/>
            <w:noWrap w:val="0"/>
            <w:tcMar>
              <w:top w:w="57" w:type="dxa"/>
              <w:bottom w:w="57" w:type="dxa"/>
            </w:tcMar>
            <w:vAlign w:val="center"/>
          </w:tcPr>
          <w:p>
            <w:pPr>
              <w:spacing w:line="320" w:lineRule="exact"/>
              <w:rPr>
                <w:color w:val="auto"/>
                <w:szCs w:val="21"/>
                <w:highlight w:val="none"/>
              </w:rPr>
            </w:pPr>
            <w:r>
              <w:rPr>
                <w:rFonts w:hint="eastAsia"/>
                <w:color w:val="auto"/>
                <w:highlight w:val="none"/>
              </w:rPr>
              <w:t>商务部分：</w:t>
            </w:r>
            <w:r>
              <w:rPr>
                <w:color w:val="auto"/>
                <w:highlight w:val="none"/>
                <w:u w:val="single"/>
              </w:rPr>
              <w:t xml:space="preserve"> </w:t>
            </w:r>
            <w:r>
              <w:rPr>
                <w:rFonts w:hint="eastAsia"/>
                <w:color w:val="auto"/>
                <w:highlight w:val="none"/>
                <w:u w:val="single"/>
                <w:lang w:val="en-US" w:eastAsia="zh-CN"/>
              </w:rPr>
              <w:t>15</w:t>
            </w:r>
            <w:r>
              <w:rPr>
                <w:color w:val="auto"/>
                <w:highlight w:val="none"/>
                <w:u w:val="single"/>
              </w:rPr>
              <w:t xml:space="preserve"> </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restart"/>
            <w:noWrap w:val="0"/>
            <w:tcMar>
              <w:top w:w="57" w:type="dxa"/>
              <w:bottom w:w="57" w:type="dxa"/>
            </w:tcMar>
            <w:vAlign w:val="center"/>
          </w:tcPr>
          <w:p>
            <w:pPr>
              <w:spacing w:line="320" w:lineRule="exact"/>
              <w:jc w:val="center"/>
              <w:rPr>
                <w:color w:val="auto"/>
                <w:szCs w:val="21"/>
                <w:highlight w:val="none"/>
              </w:rPr>
            </w:pPr>
            <w:r>
              <w:rPr>
                <w:rFonts w:hint="eastAsia"/>
                <w:color w:val="auto"/>
                <w:szCs w:val="21"/>
                <w:highlight w:val="none"/>
              </w:rPr>
              <w:t>3.2</w:t>
            </w:r>
          </w:p>
          <w:p>
            <w:pPr>
              <w:spacing w:line="320" w:lineRule="exact"/>
              <w:jc w:val="center"/>
              <w:rPr>
                <w:color w:val="auto"/>
                <w:szCs w:val="21"/>
                <w:highlight w:val="none"/>
              </w:rPr>
            </w:pPr>
            <w:r>
              <w:rPr>
                <w:color w:val="auto"/>
                <w:szCs w:val="21"/>
                <w:highlight w:val="none"/>
              </w:rPr>
              <w:t>(1)</w:t>
            </w:r>
          </w:p>
        </w:tc>
        <w:tc>
          <w:tcPr>
            <w:tcW w:w="1078" w:type="dxa"/>
            <w:vMerge w:val="restart"/>
            <w:noWrap w:val="0"/>
            <w:tcMar>
              <w:top w:w="57" w:type="dxa"/>
              <w:bottom w:w="57" w:type="dxa"/>
            </w:tcMar>
            <w:vAlign w:val="center"/>
          </w:tcPr>
          <w:p>
            <w:pPr>
              <w:spacing w:line="320" w:lineRule="exact"/>
              <w:jc w:val="center"/>
              <w:rPr>
                <w:color w:val="auto"/>
                <w:szCs w:val="21"/>
                <w:highlight w:val="none"/>
              </w:rPr>
            </w:pPr>
            <w:r>
              <w:rPr>
                <w:rFonts w:hint="eastAsia"/>
                <w:color w:val="auto"/>
                <w:szCs w:val="21"/>
                <w:highlight w:val="none"/>
              </w:rPr>
              <w:t>技术部分评分标准</w:t>
            </w:r>
            <w:r>
              <w:rPr>
                <w:rFonts w:hint="eastAsia"/>
                <w:color w:val="auto"/>
                <w:szCs w:val="21"/>
                <w:highlight w:val="none"/>
                <w:lang w:eastAsia="zh-CN"/>
              </w:rPr>
              <w:t>（</w:t>
            </w:r>
            <w:r>
              <w:rPr>
                <w:rFonts w:hint="eastAsia"/>
                <w:color w:val="auto"/>
                <w:szCs w:val="21"/>
                <w:highlight w:val="none"/>
                <w:lang w:val="en-US" w:eastAsia="zh-CN"/>
              </w:rPr>
              <w:t>70</w:t>
            </w:r>
            <w:r>
              <w:rPr>
                <w:rFonts w:hint="eastAsia" w:ascii="宋体" w:hAnsi="宋体"/>
                <w:color w:val="auto"/>
                <w:szCs w:val="21"/>
                <w:highlight w:val="none"/>
              </w:rPr>
              <w:t>分</w:t>
            </w:r>
            <w:r>
              <w:rPr>
                <w:rFonts w:hint="eastAsia"/>
                <w:color w:val="auto"/>
                <w:szCs w:val="21"/>
                <w:highlight w:val="none"/>
                <w:lang w:eastAsia="zh-CN"/>
              </w:rPr>
              <w:t>）</w:t>
            </w:r>
          </w:p>
        </w:tc>
        <w:tc>
          <w:tcPr>
            <w:tcW w:w="1543" w:type="dxa"/>
            <w:vMerge w:val="restart"/>
            <w:noWrap w:val="0"/>
            <w:tcMar>
              <w:top w:w="57" w:type="dxa"/>
              <w:bottom w:w="57"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rPr>
              <w:t>施工组织计划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56</w:t>
            </w:r>
            <w:r>
              <w:rPr>
                <w:rFonts w:hint="eastAsia" w:ascii="宋体" w:hAnsi="宋体"/>
                <w:color w:val="auto"/>
                <w:szCs w:val="21"/>
                <w:highlight w:val="none"/>
              </w:rPr>
              <w:t>分）</w:t>
            </w: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施工方案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确保工程质量的技术组织措施；（</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ind w:firstLine="24" w:firstLineChars="0"/>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确保安全生产的技术组织措施；（</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确保文明施工的技术组织措施及环境保护措施；（</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确保工期的技术组织措施；（</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施工机械配备和材料投入计划；（</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施工进度表或施工网络图；（</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除项目经理、技术负责人以外的人员劳动力安排计划</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vMerge w:val="continue"/>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auto"/>
                <w:szCs w:val="21"/>
                <w:highlight w:val="none"/>
              </w:rPr>
            </w:pPr>
          </w:p>
        </w:tc>
        <w:tc>
          <w:tcPr>
            <w:tcW w:w="5665"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施工总平面布置图；（</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noWrap w:val="0"/>
            <w:tcMar>
              <w:top w:w="57" w:type="dxa"/>
              <w:bottom w:w="57" w:type="dxa"/>
            </w:tcMar>
            <w:vAlign w:val="center"/>
          </w:tcPr>
          <w:p>
            <w:pPr>
              <w:spacing w:line="30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售后响应时间</w:t>
            </w:r>
          </w:p>
          <w:p>
            <w:pPr>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5665" w:type="dxa"/>
            <w:noWrap w:val="0"/>
            <w:tcMar>
              <w:top w:w="57" w:type="dxa"/>
              <w:bottom w:w="57" w:type="dxa"/>
            </w:tcMar>
            <w:vAlign w:val="center"/>
          </w:tcPr>
          <w:p>
            <w:pPr>
              <w:spacing w:line="320" w:lineRule="exact"/>
              <w:rPr>
                <w:rFonts w:hint="default" w:eastAsia="宋体"/>
                <w:color w:val="auto"/>
                <w:kern w:val="2"/>
                <w:sz w:val="21"/>
                <w:highlight w:val="none"/>
                <w:lang w:val="en-US" w:eastAsia="zh-CN" w:bidi="ar-SA"/>
              </w:rPr>
            </w:pPr>
            <w:r>
              <w:rPr>
                <w:rFonts w:hint="eastAsia" w:ascii="宋体" w:hAnsi="宋体"/>
                <w:color w:val="auto"/>
                <w:highlight w:val="none"/>
                <w:lang w:eastAsia="zh-CN"/>
              </w:rPr>
              <w:t>根据售后响应时间横向对比；</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noWrap w:val="0"/>
            <w:tcMar>
              <w:top w:w="57" w:type="dxa"/>
              <w:bottom w:w="57" w:type="dxa"/>
            </w:tcMar>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产品的合法来源渠道证明文件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5665" w:type="dxa"/>
            <w:noWrap w:val="0"/>
            <w:tcMar>
              <w:top w:w="57" w:type="dxa"/>
              <w:bottom w:w="57" w:type="dxa"/>
            </w:tcMar>
            <w:vAlign w:val="center"/>
          </w:tcPr>
          <w:p>
            <w:pPr>
              <w:spacing w:line="320" w:lineRule="exact"/>
              <w:rPr>
                <w:rFonts w:hint="eastAsia" w:ascii="宋体" w:hAnsi="宋体"/>
                <w:color w:val="auto"/>
                <w:highlight w:val="none"/>
              </w:rPr>
            </w:pPr>
            <w:r>
              <w:rPr>
                <w:rFonts w:hint="eastAsia" w:ascii="宋体" w:hAnsi="宋体"/>
                <w:color w:val="auto"/>
                <w:highlight w:val="none"/>
              </w:rPr>
              <w:t>能提供所投产品的合法来源渠道证明文件（包括但不限于产品制造商授权、销售协议、代理协议、原厂授权等）的计</w:t>
            </w:r>
            <w:r>
              <w:rPr>
                <w:rFonts w:hint="eastAsia" w:ascii="宋体" w:hAnsi="宋体"/>
                <w:color w:val="auto"/>
                <w:highlight w:val="none"/>
                <w:lang w:val="en-US" w:eastAsia="zh-CN"/>
              </w:rPr>
              <w:t>4</w:t>
            </w:r>
            <w:r>
              <w:rPr>
                <w:rFonts w:hint="eastAsia" w:ascii="宋体" w:hAnsi="宋体"/>
                <w:color w:val="auto"/>
                <w:highlight w:val="none"/>
              </w:rPr>
              <w:t>分，不提供或提供不完整的不计分。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noWrap w:val="0"/>
            <w:tcMar>
              <w:top w:w="57" w:type="dxa"/>
              <w:bottom w:w="57" w:type="dxa"/>
            </w:tcMar>
            <w:vAlign w:val="center"/>
          </w:tcPr>
          <w:p>
            <w:pPr>
              <w:spacing w:line="300" w:lineRule="auto"/>
              <w:jc w:val="center"/>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企业</w:t>
            </w:r>
            <w:r>
              <w:rPr>
                <w:rFonts w:hint="eastAsia" w:ascii="宋体" w:hAnsi="宋体"/>
                <w:color w:val="auto"/>
                <w:szCs w:val="21"/>
                <w:highlight w:val="none"/>
              </w:rPr>
              <w:t>类似项目业绩（</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5665" w:type="dxa"/>
            <w:noWrap w:val="0"/>
            <w:tcMar>
              <w:top w:w="57" w:type="dxa"/>
              <w:bottom w:w="57" w:type="dxa"/>
            </w:tcMar>
            <w:vAlign w:val="center"/>
          </w:tcPr>
          <w:p>
            <w:pPr>
              <w:spacing w:line="320" w:lineRule="exact"/>
              <w:rPr>
                <w:rFonts w:hint="eastAsia" w:ascii="宋体" w:hAnsi="宋体"/>
                <w:color w:val="auto"/>
                <w:szCs w:val="21"/>
                <w:highlight w:val="none"/>
              </w:rPr>
            </w:pPr>
            <w:r>
              <w:rPr>
                <w:rFonts w:ascii="宋体" w:hAnsi="宋体"/>
                <w:color w:val="auto"/>
                <w:highlight w:val="none"/>
              </w:rPr>
              <w:t>近三年（20</w:t>
            </w:r>
            <w:r>
              <w:rPr>
                <w:rFonts w:hint="eastAsia" w:ascii="宋体" w:hAnsi="宋体"/>
                <w:color w:val="auto"/>
                <w:highlight w:val="none"/>
                <w:lang w:val="en-US" w:eastAsia="zh-CN"/>
              </w:rPr>
              <w:t>19</w:t>
            </w:r>
            <w:r>
              <w:rPr>
                <w:rFonts w:ascii="宋体" w:hAnsi="宋体"/>
                <w:color w:val="auto"/>
                <w:highlight w:val="none"/>
              </w:rPr>
              <w:t>年</w:t>
            </w:r>
            <w:r>
              <w:rPr>
                <w:rFonts w:hint="eastAsia" w:ascii="宋体" w:hAnsi="宋体"/>
                <w:color w:val="auto"/>
                <w:highlight w:val="none"/>
              </w:rPr>
              <w:t>1</w:t>
            </w:r>
            <w:r>
              <w:rPr>
                <w:rFonts w:ascii="宋体" w:hAnsi="宋体"/>
                <w:color w:val="auto"/>
                <w:highlight w:val="none"/>
              </w:rPr>
              <w:t>月</w:t>
            </w:r>
            <w:r>
              <w:rPr>
                <w:rFonts w:hint="eastAsia" w:ascii="宋体" w:hAnsi="宋体"/>
                <w:color w:val="auto"/>
                <w:highlight w:val="none"/>
              </w:rPr>
              <w:t>至今</w:t>
            </w:r>
            <w:r>
              <w:rPr>
                <w:rFonts w:ascii="宋体" w:hAnsi="宋体"/>
                <w:color w:val="auto"/>
                <w:highlight w:val="none"/>
              </w:rPr>
              <w:t>）承</w:t>
            </w:r>
            <w:r>
              <w:rPr>
                <w:rFonts w:hint="eastAsia" w:ascii="宋体" w:hAnsi="宋体"/>
                <w:color w:val="auto"/>
                <w:highlight w:val="none"/>
              </w:rPr>
              <w:t>担过类似</w:t>
            </w:r>
            <w:r>
              <w:rPr>
                <w:rFonts w:hint="eastAsia" w:ascii="宋体" w:hAnsi="宋体"/>
                <w:color w:val="auto"/>
                <w:highlight w:val="none"/>
                <w:lang w:eastAsia="zh-CN"/>
              </w:rPr>
              <w:t>项目</w:t>
            </w:r>
            <w:r>
              <w:rPr>
                <w:rFonts w:ascii="宋体" w:hAnsi="宋体"/>
                <w:color w:val="auto"/>
                <w:highlight w:val="none"/>
              </w:rPr>
              <w:t>业绩</w:t>
            </w:r>
            <w:r>
              <w:rPr>
                <w:rFonts w:hint="eastAsia" w:ascii="宋体" w:hAnsi="宋体"/>
                <w:color w:val="auto"/>
                <w:highlight w:val="none"/>
              </w:rPr>
              <w:t>，</w:t>
            </w:r>
            <w:r>
              <w:rPr>
                <w:rFonts w:hint="eastAsia" w:ascii="宋体" w:hAnsi="宋体"/>
                <w:color w:val="auto"/>
                <w:szCs w:val="21"/>
                <w:highlight w:val="none"/>
              </w:rPr>
              <w:t>以合同或中标</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w:t>
            </w:r>
            <w:r>
              <w:rPr>
                <w:rFonts w:hint="eastAsia" w:ascii="宋体" w:hAnsi="宋体"/>
                <w:color w:val="auto"/>
                <w:szCs w:val="21"/>
                <w:highlight w:val="none"/>
                <w:lang w:val="en-US" w:eastAsia="zh-CN"/>
              </w:rPr>
              <w:t>原件</w:t>
            </w:r>
            <w:r>
              <w:rPr>
                <w:rFonts w:hint="eastAsia" w:ascii="宋体" w:hAnsi="宋体"/>
                <w:color w:val="auto"/>
                <w:szCs w:val="21"/>
                <w:highlight w:val="none"/>
              </w:rPr>
              <w:t>为准</w:t>
            </w:r>
            <w:r>
              <w:rPr>
                <w:rFonts w:hint="eastAsia" w:ascii="宋体" w:hAnsi="宋体"/>
                <w:color w:val="auto"/>
                <w:highlight w:val="none"/>
              </w:rPr>
              <w:t>，</w:t>
            </w:r>
            <w:r>
              <w:rPr>
                <w:rFonts w:hint="eastAsia" w:ascii="宋体" w:hAnsi="宋体"/>
                <w:color w:val="auto"/>
                <w:szCs w:val="21"/>
                <w:highlight w:val="none"/>
              </w:rPr>
              <w:t>否则不得分。</w:t>
            </w:r>
          </w:p>
          <w:p>
            <w:pPr>
              <w:spacing w:line="320" w:lineRule="exact"/>
              <w:rPr>
                <w:rFonts w:hint="eastAsia"/>
                <w:color w:val="auto"/>
                <w:highlight w:val="none"/>
                <w:lang w:val="en-US" w:eastAsia="zh-CN"/>
              </w:rPr>
            </w:pPr>
            <w:r>
              <w:rPr>
                <w:rFonts w:hint="eastAsia" w:ascii="宋体" w:hAnsi="宋体"/>
                <w:color w:val="auto"/>
                <w:highlight w:val="none"/>
              </w:rPr>
              <w:t>每有1项得</w:t>
            </w:r>
            <w:r>
              <w:rPr>
                <w:rFonts w:hint="eastAsia" w:ascii="宋体" w:hAnsi="宋体"/>
                <w:color w:val="auto"/>
                <w:highlight w:val="none"/>
                <w:lang w:val="en-US" w:eastAsia="zh-CN"/>
              </w:rPr>
              <w:t>1</w:t>
            </w:r>
            <w:r>
              <w:rPr>
                <w:rFonts w:hint="eastAsia" w:ascii="宋体" w:hAnsi="宋体"/>
                <w:color w:val="auto"/>
                <w:highlight w:val="none"/>
              </w:rPr>
              <w:t>分，最高得</w:t>
            </w:r>
            <w:r>
              <w:rPr>
                <w:rFonts w:hint="eastAsia" w:ascii="宋体" w:hAnsi="宋体"/>
                <w:color w:val="auto"/>
                <w:highlight w:val="none"/>
                <w:lang w:val="en-US" w:eastAsia="zh-CN"/>
              </w:rPr>
              <w:t>3</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noWrap w:val="0"/>
            <w:tcMar>
              <w:top w:w="57" w:type="dxa"/>
              <w:bottom w:w="57" w:type="dxa"/>
            </w:tcMar>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安装调试</w:t>
            </w:r>
          </w:p>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9分</w:t>
            </w:r>
            <w:r>
              <w:rPr>
                <w:rFonts w:hint="eastAsia" w:ascii="宋体" w:hAnsi="宋体" w:eastAsia="宋体" w:cs="宋体"/>
                <w:color w:val="auto"/>
                <w:kern w:val="0"/>
                <w:sz w:val="21"/>
                <w:szCs w:val="21"/>
                <w:highlight w:val="none"/>
                <w:lang w:eastAsia="zh-CN"/>
              </w:rPr>
              <w:t>）</w:t>
            </w:r>
          </w:p>
        </w:tc>
        <w:tc>
          <w:tcPr>
            <w:tcW w:w="5665" w:type="dxa"/>
            <w:noWrap w:val="0"/>
            <w:tcMar>
              <w:top w:w="57" w:type="dxa"/>
              <w:bottom w:w="57" w:type="dxa"/>
            </w:tcMar>
            <w:vAlign w:val="center"/>
          </w:tcPr>
          <w:p>
            <w:pPr>
              <w:spacing w:line="312" w:lineRule="auto"/>
              <w:jc w:val="left"/>
              <w:rPr>
                <w:rFonts w:hint="default"/>
                <w:color w:val="auto"/>
                <w:kern w:val="2"/>
                <w:sz w:val="21"/>
                <w:highlight w:val="none"/>
                <w:lang w:val="en-US" w:eastAsia="zh-CN" w:bidi="ar-SA"/>
              </w:rPr>
            </w:pPr>
            <w:r>
              <w:rPr>
                <w:rFonts w:hint="eastAsia" w:ascii="宋体" w:hAnsi="宋体"/>
                <w:color w:val="auto"/>
                <w:szCs w:val="21"/>
                <w:highlight w:val="none"/>
              </w:rPr>
              <w:t>产品配送、安装、检测、调试等方面措施得力，有详细的供货计划、安装进度计划、安全保障和专业的技术人员支持，能够保证按期供货及技术服务根据各</w:t>
            </w:r>
            <w:r>
              <w:rPr>
                <w:rFonts w:hint="eastAsia" w:ascii="宋体" w:hAnsi="宋体"/>
                <w:color w:val="auto"/>
                <w:szCs w:val="21"/>
                <w:highlight w:val="none"/>
                <w:lang w:eastAsia="zh-CN"/>
              </w:rPr>
              <w:t>投标单位</w:t>
            </w:r>
            <w:r>
              <w:rPr>
                <w:rFonts w:hint="eastAsia" w:ascii="宋体" w:hAnsi="宋体"/>
                <w:color w:val="auto"/>
                <w:szCs w:val="21"/>
                <w:highlight w:val="none"/>
              </w:rPr>
              <w:t>优劣程度打分，</w:t>
            </w:r>
            <w:r>
              <w:rPr>
                <w:rFonts w:hint="eastAsia"/>
                <w:color w:val="auto"/>
                <w:highlight w:val="none"/>
                <w:lang w:val="en-US" w:eastAsia="zh-CN"/>
              </w:rPr>
              <w:t>良好（6-9分），一般（0-5分）</w:t>
            </w:r>
            <w:r>
              <w:rPr>
                <w:rFonts w:hint="eastAsia" w:ascii="宋体" w:hAnsi="宋体"/>
                <w:color w:val="auto"/>
                <w:szCs w:val="21"/>
                <w:highlight w:val="none"/>
              </w:rPr>
              <w:t xml:space="preserve">，缺项不得分；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noWrap w:val="0"/>
            <w:tcMar>
              <w:top w:w="57" w:type="dxa"/>
              <w:bottom w:w="57" w:type="dxa"/>
            </w:tcMar>
            <w:vAlign w:val="center"/>
          </w:tcPr>
          <w:p>
            <w:pPr>
              <w:spacing w:line="320" w:lineRule="exact"/>
              <w:jc w:val="center"/>
              <w:rPr>
                <w:color w:val="auto"/>
                <w:szCs w:val="21"/>
                <w:highlight w:val="none"/>
              </w:rPr>
            </w:pPr>
          </w:p>
        </w:tc>
        <w:tc>
          <w:tcPr>
            <w:tcW w:w="1078" w:type="dxa"/>
            <w:vMerge w:val="continue"/>
            <w:noWrap w:val="0"/>
            <w:tcMar>
              <w:top w:w="57" w:type="dxa"/>
              <w:bottom w:w="57" w:type="dxa"/>
            </w:tcMar>
            <w:vAlign w:val="center"/>
          </w:tcPr>
          <w:p>
            <w:pPr>
              <w:spacing w:line="320" w:lineRule="exact"/>
              <w:jc w:val="center"/>
              <w:rPr>
                <w:color w:val="auto"/>
                <w:szCs w:val="21"/>
                <w:highlight w:val="none"/>
              </w:rPr>
            </w:pPr>
          </w:p>
        </w:tc>
        <w:tc>
          <w:tcPr>
            <w:tcW w:w="1543" w:type="dxa"/>
            <w:noWrap w:val="0"/>
            <w:tcMar>
              <w:top w:w="57" w:type="dxa"/>
              <w:bottom w:w="57" w:type="dxa"/>
            </w:tcMar>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售后服务承诺及培训计划</w:t>
            </w:r>
          </w:p>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5665" w:type="dxa"/>
            <w:noWrap w:val="0"/>
            <w:tcMar>
              <w:top w:w="57" w:type="dxa"/>
              <w:bottom w:w="57" w:type="dxa"/>
            </w:tcMar>
            <w:vAlign w:val="center"/>
          </w:tcPr>
          <w:p>
            <w:pPr>
              <w:pStyle w:val="7"/>
              <w:numPr>
                <w:ilvl w:val="0"/>
                <w:numId w:val="0"/>
              </w:numPr>
              <w:spacing w:line="360" w:lineRule="auto"/>
              <w:ind w:leftChars="0"/>
              <w:rPr>
                <w:rFonts w:hint="eastAsia"/>
                <w:color w:val="auto"/>
                <w:highlight w:val="none"/>
                <w:lang w:val="en-US" w:eastAsia="zh-CN"/>
              </w:rPr>
            </w:pPr>
            <w:r>
              <w:rPr>
                <w:rFonts w:hint="eastAsia" w:ascii="宋体" w:hAnsi="宋体"/>
                <w:color w:val="auto"/>
                <w:szCs w:val="21"/>
                <w:highlight w:val="none"/>
              </w:rPr>
              <w:t>需针对质量保证承诺</w:t>
            </w:r>
            <w:r>
              <w:rPr>
                <w:rFonts w:hint="eastAsia" w:ascii="宋体" w:hAnsi="宋体"/>
                <w:color w:val="auto"/>
                <w:szCs w:val="21"/>
                <w:highlight w:val="none"/>
                <w:lang w:eastAsia="zh-CN"/>
              </w:rPr>
              <w:t>、</w:t>
            </w:r>
            <w:r>
              <w:rPr>
                <w:rFonts w:hint="eastAsia" w:ascii="宋体" w:hAnsi="宋体"/>
                <w:color w:val="auto"/>
                <w:szCs w:val="21"/>
                <w:highlight w:val="none"/>
              </w:rPr>
              <w:t>售后服务承诺、故障反馈时间及故障解决时间及措施进行承诺，及对产品的使用操作做出有效可行的培训计划（包含二次培训），保证使用单位能熟练操作维护和正常使用</w:t>
            </w:r>
            <w:r>
              <w:rPr>
                <w:rFonts w:hint="eastAsia" w:ascii="宋体" w:hAnsi="宋体"/>
                <w:color w:val="auto"/>
                <w:szCs w:val="21"/>
                <w:highlight w:val="none"/>
                <w:lang w:eastAsia="zh-CN"/>
              </w:rPr>
              <w:t>，</w:t>
            </w:r>
            <w:r>
              <w:rPr>
                <w:rFonts w:hint="eastAsia" w:ascii="宋体" w:hAnsi="宋体"/>
                <w:color w:val="auto"/>
                <w:szCs w:val="21"/>
                <w:highlight w:val="none"/>
              </w:rPr>
              <w:t>根据各</w:t>
            </w:r>
            <w:r>
              <w:rPr>
                <w:rFonts w:hint="eastAsia" w:ascii="宋体" w:hAnsi="宋体"/>
                <w:color w:val="auto"/>
                <w:szCs w:val="21"/>
                <w:highlight w:val="none"/>
                <w:lang w:eastAsia="zh-CN"/>
              </w:rPr>
              <w:t>投标单位</w:t>
            </w:r>
            <w:r>
              <w:rPr>
                <w:rFonts w:hint="eastAsia" w:ascii="宋体" w:hAnsi="宋体"/>
                <w:color w:val="auto"/>
                <w:szCs w:val="21"/>
                <w:highlight w:val="none"/>
              </w:rPr>
              <w:t>优劣程度打分，</w:t>
            </w:r>
            <w:r>
              <w:rPr>
                <w:rFonts w:hint="eastAsia"/>
                <w:color w:val="auto"/>
                <w:highlight w:val="none"/>
                <w:lang w:val="en-US" w:eastAsia="zh-CN"/>
              </w:rPr>
              <w:t>良好（6-10分），一般（0-5分）</w:t>
            </w:r>
            <w:r>
              <w:rPr>
                <w:rFonts w:hint="eastAsia" w:ascii="宋体" w:hAnsi="宋体"/>
                <w:color w:val="auto"/>
                <w:szCs w:val="21"/>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27" w:type="dxa"/>
            <w:noWrap w:val="0"/>
            <w:tcMar>
              <w:top w:w="57" w:type="dxa"/>
              <w:bottom w:w="57" w:type="dxa"/>
            </w:tcMar>
            <w:vAlign w:val="center"/>
          </w:tcPr>
          <w:p>
            <w:pPr>
              <w:spacing w:line="320" w:lineRule="exact"/>
              <w:jc w:val="center"/>
              <w:rPr>
                <w:color w:val="auto"/>
                <w:szCs w:val="21"/>
                <w:highlight w:val="none"/>
              </w:rPr>
            </w:pPr>
            <w:r>
              <w:rPr>
                <w:rFonts w:hint="eastAsia"/>
                <w:color w:val="auto"/>
                <w:szCs w:val="21"/>
                <w:highlight w:val="none"/>
              </w:rPr>
              <w:t>3.2</w:t>
            </w:r>
          </w:p>
          <w:p>
            <w:pPr>
              <w:spacing w:line="320" w:lineRule="exact"/>
              <w:jc w:val="center"/>
              <w:rPr>
                <w:color w:val="auto"/>
                <w:szCs w:val="21"/>
                <w:highlight w:val="none"/>
              </w:rPr>
            </w:pPr>
            <w:r>
              <w:rPr>
                <w:color w:val="auto"/>
                <w:szCs w:val="21"/>
                <w:highlight w:val="none"/>
              </w:rPr>
              <w:t>(2)</w:t>
            </w:r>
          </w:p>
        </w:tc>
        <w:tc>
          <w:tcPr>
            <w:tcW w:w="1078" w:type="dxa"/>
            <w:noWrap w:val="0"/>
            <w:tcMar>
              <w:top w:w="57" w:type="dxa"/>
              <w:bottom w:w="57" w:type="dxa"/>
            </w:tcMar>
            <w:vAlign w:val="center"/>
          </w:tcPr>
          <w:p>
            <w:pPr>
              <w:spacing w:line="320" w:lineRule="exact"/>
              <w:jc w:val="center"/>
              <w:rPr>
                <w:rFonts w:hint="eastAsia" w:eastAsia="宋体"/>
                <w:color w:val="auto"/>
                <w:szCs w:val="21"/>
                <w:highlight w:val="none"/>
                <w:lang w:eastAsia="zh-CN"/>
              </w:rPr>
            </w:pPr>
            <w:r>
              <w:rPr>
                <w:rFonts w:hint="eastAsia"/>
                <w:color w:val="auto"/>
                <w:szCs w:val="21"/>
                <w:highlight w:val="none"/>
              </w:rPr>
              <w:t>商务部分评分标准</w:t>
            </w:r>
            <w:r>
              <w:rPr>
                <w:rFonts w:hint="eastAsia"/>
                <w:color w:val="auto"/>
                <w:szCs w:val="21"/>
                <w:highlight w:val="none"/>
                <w:lang w:eastAsia="zh-CN"/>
              </w:rPr>
              <w:t>（</w:t>
            </w:r>
            <w:r>
              <w:rPr>
                <w:rFonts w:hint="eastAsia"/>
                <w:color w:val="auto"/>
                <w:szCs w:val="21"/>
                <w:highlight w:val="none"/>
                <w:lang w:val="en-US" w:eastAsia="zh-CN"/>
              </w:rPr>
              <w:t>15分</w:t>
            </w:r>
            <w:r>
              <w:rPr>
                <w:rFonts w:hint="eastAsia"/>
                <w:color w:val="auto"/>
                <w:szCs w:val="21"/>
                <w:highlight w:val="none"/>
                <w:lang w:eastAsia="zh-CN"/>
              </w:rPr>
              <w:t>）</w:t>
            </w:r>
          </w:p>
        </w:tc>
        <w:tc>
          <w:tcPr>
            <w:tcW w:w="1543" w:type="dxa"/>
            <w:noWrap w:val="0"/>
            <w:tcMar>
              <w:top w:w="57" w:type="dxa"/>
              <w:bottom w:w="57" w:type="dxa"/>
            </w:tcMar>
            <w:vAlign w:val="center"/>
          </w:tcPr>
          <w:p>
            <w:pPr>
              <w:pStyle w:val="7"/>
              <w:ind w:left="0" w:leftChars="0" w:firstLine="0" w:firstLineChars="0"/>
              <w:jc w:val="center"/>
              <w:rPr>
                <w:rFonts w:hint="eastAsia" w:hAnsi="宋体"/>
                <w:color w:val="auto"/>
                <w:szCs w:val="21"/>
                <w:highlight w:val="none"/>
              </w:rPr>
            </w:pPr>
            <w:r>
              <w:rPr>
                <w:rFonts w:hint="eastAsia" w:hAnsi="宋体"/>
                <w:color w:val="auto"/>
                <w:szCs w:val="21"/>
                <w:highlight w:val="none"/>
              </w:rPr>
              <w:t>投标报价</w:t>
            </w:r>
          </w:p>
          <w:p>
            <w:pPr>
              <w:pStyle w:val="7"/>
              <w:ind w:left="0" w:leftChars="0" w:firstLine="0" w:firstLineChars="0"/>
              <w:jc w:val="center"/>
              <w:rPr>
                <w:color w:val="auto"/>
                <w:spacing w:val="-10"/>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15分</w:t>
            </w:r>
            <w:r>
              <w:rPr>
                <w:rFonts w:hint="eastAsia" w:hAnsi="宋体"/>
                <w:color w:val="auto"/>
                <w:szCs w:val="21"/>
                <w:highlight w:val="none"/>
                <w:lang w:eastAsia="zh-CN"/>
              </w:rPr>
              <w:t>）</w:t>
            </w:r>
          </w:p>
        </w:tc>
        <w:tc>
          <w:tcPr>
            <w:tcW w:w="5665" w:type="dxa"/>
            <w:noWrap w:val="0"/>
            <w:tcMar>
              <w:top w:w="57" w:type="dxa"/>
              <w:bottom w:w="57" w:type="dxa"/>
            </w:tcMar>
            <w:vAlign w:val="center"/>
          </w:tcPr>
          <w:p>
            <w:pPr>
              <w:pStyle w:val="7"/>
              <w:numPr>
                <w:ilvl w:val="0"/>
                <w:numId w:val="0"/>
              </w:numPr>
              <w:spacing w:line="360" w:lineRule="auto"/>
              <w:ind w:leftChars="0"/>
              <w:rPr>
                <w:rFonts w:hint="eastAsia" w:ascii="宋体" w:hAnsi="宋体"/>
                <w:color w:val="auto"/>
                <w:szCs w:val="21"/>
                <w:highlight w:val="none"/>
              </w:rPr>
            </w:pPr>
            <w:r>
              <w:rPr>
                <w:rFonts w:hint="eastAsia" w:ascii="宋体" w:hAnsi="宋体"/>
                <w:color w:val="auto"/>
                <w:szCs w:val="21"/>
                <w:highlight w:val="none"/>
              </w:rPr>
              <w:t>1、满足招标文件要求且投标价格最低的投标报价为评标基准价，其价格分为满分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pStyle w:val="7"/>
              <w:numPr>
                <w:ilvl w:val="0"/>
                <w:numId w:val="0"/>
              </w:numPr>
              <w:spacing w:line="360" w:lineRule="auto"/>
              <w:ind w:leftChars="0"/>
              <w:rPr>
                <w:color w:val="auto"/>
                <w:szCs w:val="21"/>
                <w:highlight w:val="none"/>
                <w:u w:val="single"/>
              </w:rPr>
            </w:pPr>
            <w:r>
              <w:rPr>
                <w:rFonts w:hint="eastAsia" w:ascii="宋体" w:hAnsi="宋体"/>
                <w:color w:val="auto"/>
                <w:szCs w:val="21"/>
                <w:highlight w:val="none"/>
              </w:rPr>
              <w:t>2、投标报价得分=（评标基准价/投标报价）*</w:t>
            </w:r>
            <w:r>
              <w:rPr>
                <w:rFonts w:hint="eastAsia" w:ascii="宋体" w:hAnsi="宋体"/>
                <w:color w:val="auto"/>
                <w:szCs w:val="21"/>
                <w:highlight w:val="none"/>
                <w:lang w:val="en-US" w:eastAsia="zh-CN"/>
              </w:rPr>
              <w:t>15（计算分数时四舍五入取小数点后两位）</w:t>
            </w:r>
            <w:r>
              <w:rPr>
                <w:rFonts w:hint="eastAsia" w:ascii="宋体" w:hAnsi="宋体"/>
                <w:color w:val="auto"/>
                <w:szCs w:val="21"/>
                <w:highlight w:val="none"/>
              </w:rPr>
              <w:t>。</w:t>
            </w:r>
          </w:p>
        </w:tc>
      </w:tr>
    </w:tbl>
    <w:p>
      <w:pPr>
        <w:pStyle w:val="24"/>
        <w:rPr>
          <w:rFonts w:hint="eastAsia" w:ascii="宋体" w:hAnsi="宋体"/>
          <w:color w:val="auto"/>
          <w:szCs w:val="21"/>
          <w:highlight w:val="none"/>
        </w:rPr>
      </w:pPr>
    </w:p>
    <w:p>
      <w:pPr>
        <w:rPr>
          <w:color w:val="auto"/>
          <w:highlight w:val="none"/>
        </w:rPr>
      </w:pPr>
    </w:p>
    <w:p>
      <w:pPr>
        <w:spacing w:line="360" w:lineRule="auto"/>
        <w:jc w:val="center"/>
        <w:outlineLvl w:val="0"/>
        <w:rPr>
          <w:rFonts w:ascii="宋体" w:hAnsi="宋体"/>
          <w:b/>
          <w:bCs/>
          <w:color w:val="auto"/>
          <w:sz w:val="32"/>
          <w:highlight w:val="none"/>
        </w:rPr>
      </w:pPr>
      <w:r>
        <w:rPr>
          <w:rFonts w:ascii="宋体" w:hAnsi="宋体"/>
          <w:b/>
          <w:bCs/>
          <w:color w:val="auto"/>
          <w:sz w:val="32"/>
          <w:highlight w:val="none"/>
        </w:rPr>
        <w:br w:type="page"/>
      </w:r>
      <w:bookmarkStart w:id="138" w:name="_Toc20983"/>
      <w:r>
        <w:rPr>
          <w:rFonts w:ascii="宋体" w:hAnsi="宋体"/>
          <w:b/>
          <w:bCs/>
          <w:color w:val="auto"/>
          <w:sz w:val="32"/>
          <w:highlight w:val="none"/>
        </w:rPr>
        <w:t>第</w:t>
      </w:r>
      <w:r>
        <w:rPr>
          <w:rFonts w:hint="eastAsia" w:ascii="宋体" w:hAnsi="宋体"/>
          <w:b/>
          <w:bCs/>
          <w:color w:val="auto"/>
          <w:sz w:val="32"/>
          <w:highlight w:val="none"/>
          <w:lang w:eastAsia="zh-CN"/>
        </w:rPr>
        <w:t>五</w:t>
      </w:r>
      <w:r>
        <w:rPr>
          <w:rFonts w:ascii="宋体" w:hAnsi="宋体"/>
          <w:b/>
          <w:bCs/>
          <w:color w:val="auto"/>
          <w:sz w:val="32"/>
          <w:highlight w:val="none"/>
        </w:rPr>
        <w:t>章  合同条款</w:t>
      </w:r>
      <w:bookmarkEnd w:id="131"/>
      <w:bookmarkEnd w:id="132"/>
      <w:bookmarkEnd w:id="133"/>
      <w:bookmarkEnd w:id="134"/>
      <w:bookmarkEnd w:id="135"/>
      <w:bookmarkEnd w:id="136"/>
      <w:bookmarkEnd w:id="137"/>
      <w:r>
        <w:rPr>
          <w:rFonts w:hint="eastAsia" w:ascii="宋体" w:hAnsi="宋体"/>
          <w:b/>
          <w:bCs/>
          <w:color w:val="auto"/>
          <w:sz w:val="32"/>
          <w:highlight w:val="none"/>
        </w:rPr>
        <w:t>（范文）</w:t>
      </w:r>
      <w:bookmarkEnd w:id="138"/>
    </w:p>
    <w:p>
      <w:pPr>
        <w:rPr>
          <w:rFonts w:hint="eastAsia" w:ascii="宋体" w:hAnsi="宋体"/>
          <w:color w:val="auto"/>
          <w:sz w:val="24"/>
          <w:highlight w:val="none"/>
        </w:rPr>
      </w:pPr>
      <w:bookmarkStart w:id="139" w:name="_Toc233636424"/>
      <w:bookmarkStart w:id="140" w:name="_Toc233636186"/>
      <w:bookmarkStart w:id="141" w:name="_Toc233636462"/>
      <w:bookmarkStart w:id="142" w:name="_Toc235544712"/>
      <w:bookmarkStart w:id="143" w:name="_Toc232673689"/>
      <w:bookmarkStart w:id="144" w:name="_Toc233636513"/>
      <w:bookmarkStart w:id="145" w:name="_Toc233636372"/>
    </w:p>
    <w:p>
      <w:pPr>
        <w:rPr>
          <w:rFonts w:hint="eastAsia" w:ascii="宋体" w:hAnsi="宋体"/>
          <w:color w:val="auto"/>
          <w:sz w:val="24"/>
          <w:highlight w:val="none"/>
        </w:rPr>
      </w:pPr>
    </w:p>
    <w:p>
      <w:pPr>
        <w:spacing w:line="1000" w:lineRule="exact"/>
        <w:jc w:val="center"/>
        <w:outlineLvl w:val="9"/>
        <w:rPr>
          <w:rFonts w:hint="eastAsia"/>
          <w:b/>
          <w:color w:val="auto"/>
          <w:sz w:val="48"/>
          <w:szCs w:val="48"/>
          <w:highlight w:val="none"/>
        </w:rPr>
      </w:pP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eastAsia="zh-CN"/>
        </w:rPr>
        <w:t>印台区矿区生活污水处理厂一体化智能污水处理设备采购项目</w:t>
      </w:r>
    </w:p>
    <w:p>
      <w:pPr>
        <w:spacing w:before="468" w:line="360" w:lineRule="auto"/>
        <w:jc w:val="center"/>
        <w:rPr>
          <w:rFonts w:hint="eastAsia" w:ascii="宋体" w:hAnsi="宋体"/>
          <w:b/>
          <w:color w:val="auto"/>
          <w:sz w:val="72"/>
          <w:szCs w:val="72"/>
          <w:highlight w:val="none"/>
        </w:rPr>
      </w:pPr>
    </w:p>
    <w:p>
      <w:pPr>
        <w:spacing w:before="468" w:line="360" w:lineRule="auto"/>
        <w:jc w:val="center"/>
        <w:rPr>
          <w:rFonts w:ascii="宋体" w:hAnsi="宋体"/>
          <w:b/>
          <w:color w:val="auto"/>
          <w:sz w:val="72"/>
          <w:szCs w:val="72"/>
          <w:highlight w:val="none"/>
        </w:rPr>
      </w:pPr>
      <w:r>
        <w:rPr>
          <w:rFonts w:hint="eastAsia" w:ascii="宋体" w:hAnsi="宋体"/>
          <w:b/>
          <w:color w:val="auto"/>
          <w:sz w:val="72"/>
          <w:szCs w:val="72"/>
          <w:highlight w:val="none"/>
        </w:rPr>
        <w:t>供</w:t>
      </w:r>
      <w:r>
        <w:rPr>
          <w:rFonts w:ascii="宋体" w:hAnsi="宋体"/>
          <w:b/>
          <w:color w:val="auto"/>
          <w:sz w:val="72"/>
          <w:szCs w:val="72"/>
          <w:highlight w:val="none"/>
        </w:rPr>
        <w:t xml:space="preserve"> </w:t>
      </w:r>
      <w:r>
        <w:rPr>
          <w:rFonts w:hint="eastAsia" w:ascii="宋体" w:hAnsi="宋体"/>
          <w:b/>
          <w:color w:val="auto"/>
          <w:sz w:val="72"/>
          <w:szCs w:val="72"/>
          <w:highlight w:val="none"/>
        </w:rPr>
        <w:t>货</w:t>
      </w:r>
      <w:r>
        <w:rPr>
          <w:rFonts w:ascii="宋体" w:hAnsi="宋体"/>
          <w:b/>
          <w:color w:val="auto"/>
          <w:sz w:val="72"/>
          <w:szCs w:val="72"/>
          <w:highlight w:val="none"/>
        </w:rPr>
        <w:t xml:space="preserve"> </w:t>
      </w:r>
      <w:r>
        <w:rPr>
          <w:rFonts w:hint="eastAsia" w:ascii="宋体" w:hAnsi="宋体"/>
          <w:b/>
          <w:color w:val="auto"/>
          <w:sz w:val="72"/>
          <w:szCs w:val="72"/>
          <w:highlight w:val="none"/>
        </w:rPr>
        <w:t>合</w:t>
      </w:r>
      <w:r>
        <w:rPr>
          <w:rFonts w:ascii="宋体" w:hAnsi="宋体"/>
          <w:b/>
          <w:color w:val="auto"/>
          <w:sz w:val="72"/>
          <w:szCs w:val="72"/>
          <w:highlight w:val="none"/>
        </w:rPr>
        <w:t xml:space="preserve"> </w:t>
      </w:r>
      <w:r>
        <w:rPr>
          <w:rFonts w:hint="eastAsia" w:ascii="宋体" w:hAnsi="宋体"/>
          <w:b/>
          <w:color w:val="auto"/>
          <w:sz w:val="72"/>
          <w:szCs w:val="72"/>
          <w:highlight w:val="none"/>
        </w:rPr>
        <w:t>同</w:t>
      </w:r>
    </w:p>
    <w:p>
      <w:pPr>
        <w:spacing w:line="360" w:lineRule="auto"/>
        <w:ind w:firstLine="2282"/>
        <w:outlineLvl w:val="9"/>
        <w:rPr>
          <w:rFonts w:hint="eastAsia" w:ascii="宋体" w:hAnsi="宋体"/>
          <w:color w:val="auto"/>
          <w:sz w:val="32"/>
          <w:highlight w:val="none"/>
        </w:rPr>
      </w:pPr>
    </w:p>
    <w:p>
      <w:pPr>
        <w:spacing w:line="360" w:lineRule="auto"/>
        <w:ind w:firstLine="2282"/>
        <w:outlineLvl w:val="9"/>
        <w:rPr>
          <w:rFonts w:hint="eastAsia" w:ascii="宋体" w:hAnsi="宋体"/>
          <w:color w:val="auto"/>
          <w:sz w:val="32"/>
          <w:highlight w:val="none"/>
        </w:rPr>
      </w:pPr>
    </w:p>
    <w:p>
      <w:pPr>
        <w:spacing w:line="1200" w:lineRule="exact"/>
        <w:ind w:firstLine="560"/>
        <w:outlineLvl w:val="0"/>
        <w:rPr>
          <w:rFonts w:hint="eastAsia" w:ascii="宋体" w:hAnsi="宋体"/>
          <w:color w:val="auto"/>
          <w:sz w:val="32"/>
          <w:highlight w:val="none"/>
        </w:rPr>
      </w:pPr>
      <w:bookmarkStart w:id="146" w:name="_Toc22998"/>
      <w:bookmarkStart w:id="147" w:name="_Toc16308"/>
      <w:bookmarkStart w:id="148" w:name="_Toc11529"/>
      <w:bookmarkStart w:id="149" w:name="_Toc29241"/>
      <w:bookmarkStart w:id="150" w:name="_Toc15757"/>
      <w:r>
        <w:rPr>
          <w:rFonts w:hint="eastAsia" w:ascii="宋体" w:hAnsi="宋体"/>
          <w:color w:val="auto"/>
          <w:sz w:val="32"/>
          <w:highlight w:val="none"/>
        </w:rPr>
        <w:t>采购人：</w:t>
      </w:r>
      <w:bookmarkEnd w:id="146"/>
      <w:bookmarkEnd w:id="147"/>
      <w:bookmarkEnd w:id="148"/>
      <w:bookmarkEnd w:id="149"/>
      <w:bookmarkEnd w:id="150"/>
      <w:r>
        <w:rPr>
          <w:rFonts w:ascii="宋体" w:hAnsi="宋体"/>
          <w:color w:val="auto"/>
          <w:sz w:val="32"/>
          <w:highlight w:val="none"/>
          <w:u w:val="single"/>
        </w:rPr>
        <w:t xml:space="preserve">     </w:t>
      </w:r>
      <w:r>
        <w:rPr>
          <w:rFonts w:hint="eastAsia" w:ascii="宋体" w:hAnsi="宋体"/>
          <w:color w:val="auto"/>
          <w:sz w:val="32"/>
          <w:highlight w:val="none"/>
          <w:u w:val="single"/>
        </w:rPr>
        <w:t xml:space="preserve">      </w:t>
      </w:r>
      <w:r>
        <w:rPr>
          <w:rFonts w:ascii="宋体" w:hAnsi="宋体"/>
          <w:color w:val="auto"/>
          <w:sz w:val="32"/>
          <w:highlight w:val="none"/>
          <w:u w:val="single"/>
        </w:rPr>
        <w:t xml:space="preserve">   </w:t>
      </w:r>
      <w:r>
        <w:rPr>
          <w:rFonts w:hint="eastAsia" w:ascii="宋体" w:hAnsi="宋体"/>
          <w:color w:val="auto"/>
          <w:sz w:val="32"/>
          <w:highlight w:val="none"/>
          <w:u w:val="single"/>
        </w:rPr>
        <w:t xml:space="preserve">          </w:t>
      </w:r>
      <w:r>
        <w:rPr>
          <w:rFonts w:hint="eastAsia" w:ascii="宋体" w:hAnsi="宋体"/>
          <w:color w:val="auto"/>
          <w:sz w:val="32"/>
          <w:highlight w:val="none"/>
        </w:rPr>
        <w:t xml:space="preserve">       </w:t>
      </w:r>
      <w:r>
        <w:rPr>
          <w:rFonts w:hint="eastAsia" w:ascii="宋体" w:hAnsi="宋体"/>
          <w:color w:val="auto"/>
          <w:sz w:val="32"/>
          <w:highlight w:val="none"/>
          <w:lang w:val="en-US" w:eastAsia="zh-CN"/>
        </w:rPr>
        <w:t xml:space="preserve">  </w:t>
      </w:r>
      <w:r>
        <w:rPr>
          <w:rFonts w:hint="eastAsia" w:ascii="宋体" w:hAnsi="宋体"/>
          <w:color w:val="auto"/>
          <w:sz w:val="32"/>
          <w:highlight w:val="none"/>
        </w:rPr>
        <w:t xml:space="preserve">  </w:t>
      </w:r>
    </w:p>
    <w:p>
      <w:pPr>
        <w:spacing w:line="1200" w:lineRule="exact"/>
        <w:ind w:firstLine="560"/>
        <w:outlineLvl w:val="0"/>
        <w:rPr>
          <w:rFonts w:ascii="宋体" w:hAnsi="宋体"/>
          <w:color w:val="auto"/>
          <w:sz w:val="32"/>
          <w:highlight w:val="none"/>
          <w:u w:val="single"/>
        </w:rPr>
      </w:pPr>
      <w:bookmarkStart w:id="151" w:name="_Toc25237"/>
      <w:bookmarkStart w:id="152" w:name="_Toc19701"/>
      <w:bookmarkStart w:id="153" w:name="_Toc28515"/>
      <w:bookmarkStart w:id="154" w:name="_Toc2984"/>
      <w:bookmarkStart w:id="155" w:name="_Toc10562"/>
      <w:r>
        <w:rPr>
          <w:rFonts w:hint="eastAsia" w:ascii="宋体" w:hAnsi="宋体"/>
          <w:color w:val="auto"/>
          <w:sz w:val="32"/>
          <w:highlight w:val="none"/>
          <w:lang w:eastAsia="zh-CN"/>
        </w:rPr>
        <w:t>投标单位</w:t>
      </w:r>
      <w:r>
        <w:rPr>
          <w:rFonts w:hint="eastAsia" w:ascii="宋体" w:hAnsi="宋体"/>
          <w:color w:val="auto"/>
          <w:sz w:val="32"/>
          <w:highlight w:val="none"/>
        </w:rPr>
        <w:t>：</w:t>
      </w:r>
      <w:bookmarkEnd w:id="151"/>
      <w:bookmarkEnd w:id="152"/>
      <w:bookmarkEnd w:id="153"/>
      <w:bookmarkEnd w:id="154"/>
      <w:bookmarkEnd w:id="155"/>
      <w:r>
        <w:rPr>
          <w:rFonts w:ascii="宋体" w:hAnsi="宋体"/>
          <w:color w:val="auto"/>
          <w:sz w:val="32"/>
          <w:highlight w:val="none"/>
          <w:u w:val="single"/>
        </w:rPr>
        <w:t xml:space="preserve">     </w:t>
      </w:r>
      <w:r>
        <w:rPr>
          <w:rFonts w:hint="eastAsia" w:ascii="宋体" w:hAnsi="宋体"/>
          <w:color w:val="auto"/>
          <w:sz w:val="32"/>
          <w:highlight w:val="none"/>
          <w:u w:val="single"/>
        </w:rPr>
        <w:t xml:space="preserve">      </w:t>
      </w:r>
      <w:r>
        <w:rPr>
          <w:rFonts w:ascii="宋体" w:hAnsi="宋体"/>
          <w:color w:val="auto"/>
          <w:sz w:val="32"/>
          <w:highlight w:val="none"/>
          <w:u w:val="single"/>
        </w:rPr>
        <w:t xml:space="preserve">   </w:t>
      </w:r>
      <w:r>
        <w:rPr>
          <w:rFonts w:hint="eastAsia" w:ascii="宋体" w:hAnsi="宋体"/>
          <w:color w:val="auto"/>
          <w:sz w:val="32"/>
          <w:highlight w:val="none"/>
          <w:u w:val="single"/>
        </w:rPr>
        <w:t xml:space="preserve">            </w:t>
      </w:r>
      <w:r>
        <w:rPr>
          <w:rFonts w:ascii="宋体" w:hAnsi="宋体"/>
          <w:color w:val="auto"/>
          <w:sz w:val="32"/>
          <w:highlight w:val="none"/>
          <w:u w:val="single"/>
        </w:rPr>
        <w:t xml:space="preserve"> </w:t>
      </w:r>
      <w:r>
        <w:rPr>
          <w:rFonts w:hint="eastAsia" w:ascii="宋体" w:hAnsi="宋体"/>
          <w:color w:val="auto"/>
          <w:sz w:val="32"/>
          <w:highlight w:val="none"/>
          <w:u w:val="single"/>
        </w:rPr>
        <w:t xml:space="preserve">        </w:t>
      </w:r>
    </w:p>
    <w:p>
      <w:pPr>
        <w:spacing w:line="1200" w:lineRule="exact"/>
        <w:ind w:firstLine="560"/>
        <w:rPr>
          <w:rFonts w:hint="eastAsia" w:ascii="宋体" w:hAnsi="宋体"/>
          <w:color w:val="auto"/>
          <w:sz w:val="32"/>
          <w:highlight w:val="none"/>
          <w:u w:val="single"/>
        </w:rPr>
      </w:pPr>
      <w:r>
        <w:rPr>
          <w:rFonts w:hint="eastAsia" w:ascii="宋体" w:hAnsi="宋体"/>
          <w:color w:val="auto"/>
          <w:sz w:val="32"/>
          <w:highlight w:val="none"/>
        </w:rPr>
        <w:t>时  间：</w:t>
      </w:r>
      <w:r>
        <w:rPr>
          <w:rFonts w:ascii="宋体" w:hAnsi="宋体"/>
          <w:color w:val="auto"/>
          <w:sz w:val="32"/>
          <w:highlight w:val="none"/>
          <w:u w:val="single"/>
        </w:rPr>
        <w:t xml:space="preserve">          </w:t>
      </w:r>
      <w:r>
        <w:rPr>
          <w:rFonts w:hint="eastAsia" w:ascii="宋体" w:hAnsi="宋体"/>
          <w:color w:val="auto"/>
          <w:sz w:val="32"/>
          <w:highlight w:val="none"/>
          <w:u w:val="single"/>
        </w:rPr>
        <w:t xml:space="preserve">                       </w:t>
      </w:r>
      <w:r>
        <w:rPr>
          <w:rFonts w:ascii="宋体" w:hAnsi="宋体"/>
          <w:color w:val="auto"/>
          <w:sz w:val="32"/>
          <w:highlight w:val="none"/>
          <w:u w:val="single"/>
        </w:rPr>
        <w:t xml:space="preserve">  </w:t>
      </w:r>
    </w:p>
    <w:p>
      <w:pPr>
        <w:pStyle w:val="4"/>
        <w:spacing w:before="0" w:after="0" w:line="360" w:lineRule="auto"/>
        <w:jc w:val="center"/>
        <w:rPr>
          <w:rFonts w:hint="eastAsia" w:ascii="宋体" w:hAnsi="宋体" w:eastAsia="宋体"/>
          <w:color w:val="auto"/>
          <w:sz w:val="28"/>
          <w:szCs w:val="28"/>
          <w:highlight w:val="none"/>
        </w:rPr>
      </w:pPr>
      <w:bookmarkStart w:id="156" w:name="_Toc269407660"/>
      <w:bookmarkStart w:id="157" w:name="_Toc293999379"/>
      <w:bookmarkStart w:id="158" w:name="_Toc269407887"/>
      <w:bookmarkStart w:id="159" w:name="_Toc293999494"/>
      <w:r>
        <w:rPr>
          <w:rFonts w:hint="eastAsia" w:ascii="宋体" w:hAnsi="宋体" w:eastAsia="宋体"/>
          <w:color w:val="auto"/>
          <w:sz w:val="24"/>
          <w:highlight w:val="none"/>
        </w:rPr>
        <w:br w:type="page"/>
      </w:r>
      <w:bookmarkStart w:id="160" w:name="_Toc424"/>
      <w:r>
        <w:rPr>
          <w:rFonts w:hint="eastAsia" w:ascii="宋体" w:hAnsi="宋体" w:eastAsia="宋体"/>
          <w:color w:val="auto"/>
          <w:sz w:val="28"/>
          <w:szCs w:val="28"/>
          <w:highlight w:val="none"/>
        </w:rPr>
        <w:t>第一部分  协议书</w:t>
      </w:r>
      <w:bookmarkEnd w:id="156"/>
      <w:bookmarkEnd w:id="157"/>
      <w:bookmarkEnd w:id="158"/>
      <w:bookmarkEnd w:id="159"/>
      <w:bookmarkEnd w:id="160"/>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采购人：</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投标单位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采购人通过公开招标依法确</w:t>
      </w:r>
      <w:r>
        <w:rPr>
          <w:rFonts w:hint="eastAsia" w:ascii="宋体" w:hAnsi="宋体"/>
          <w:color w:val="auto"/>
          <w:szCs w:val="21"/>
          <w:highlight w:val="none"/>
        </w:rPr>
        <w:t>定了</w:t>
      </w:r>
      <w:r>
        <w:rPr>
          <w:rFonts w:hint="eastAsia" w:ascii="宋体" w:hAnsi="宋体"/>
          <w:color w:val="auto"/>
          <w:szCs w:val="21"/>
          <w:highlight w:val="none"/>
          <w:lang w:eastAsia="zh-CN"/>
        </w:rPr>
        <w:t>投标单位</w:t>
      </w:r>
      <w:r>
        <w:rPr>
          <w:rFonts w:hint="eastAsia" w:ascii="宋体" w:hAnsi="宋体" w:cs="宋体"/>
          <w:color w:val="auto"/>
          <w:szCs w:val="21"/>
          <w:highlight w:val="none"/>
        </w:rPr>
        <w:t>，双方依照《中华人民共和国合同法》及其他有关法律、行政法规，遵循平等、自愿、公平和诚实信用的原则，协商一致，订立本合同。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一、项目概况</w:t>
      </w:r>
    </w:p>
    <w:p>
      <w:pPr>
        <w:spacing w:line="360" w:lineRule="auto"/>
        <w:ind w:firstLine="420" w:firstLineChars="200"/>
        <w:rPr>
          <w:rFonts w:hint="eastAsia" w:ascii="宋体" w:hAnsi="宋体"/>
          <w:color w:val="auto"/>
          <w:kern w:val="0"/>
          <w:szCs w:val="21"/>
          <w:highlight w:val="none"/>
          <w:u w:val="single"/>
        </w:rPr>
      </w:pPr>
      <w:r>
        <w:rPr>
          <w:rFonts w:hint="eastAsia" w:ascii="宋体" w:hAnsi="宋体" w:cs="宋体"/>
          <w:color w:val="auto"/>
          <w:szCs w:val="21"/>
          <w:highlight w:val="none"/>
        </w:rPr>
        <w:t>项目名称：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交货地点：</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二、交货期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。迟交货超过30天，采购人有权拒收。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三、质保标准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1、质量标准：</w:t>
      </w:r>
      <w:r>
        <w:rPr>
          <w:rFonts w:hint="eastAsia" w:ascii="宋体" w:hAnsi="宋体" w:cs="宋体"/>
          <w:color w:val="auto"/>
          <w:szCs w:val="21"/>
          <w:highlight w:val="none"/>
          <w:lang w:eastAsia="zh-CN"/>
        </w:rPr>
        <w:t>工程质量达到验收合格标准，且专用设备安装调试后排放水质达到当地环保部门合格标准。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：从验收之日起保修</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四、合同价款</w:t>
      </w:r>
    </w:p>
    <w:p>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（人民币）元（小写）￥：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元。上述合同价款为</w:t>
      </w:r>
      <w:r>
        <w:rPr>
          <w:rFonts w:hint="eastAsia" w:ascii="宋体" w:hAnsi="宋体"/>
          <w:color w:val="auto"/>
          <w:szCs w:val="21"/>
          <w:highlight w:val="none"/>
          <w:lang w:eastAsia="zh-CN"/>
        </w:rPr>
        <w:t>投标单位</w:t>
      </w:r>
      <w:r>
        <w:rPr>
          <w:rFonts w:ascii="宋体" w:hAnsi="宋体"/>
          <w:color w:val="auto"/>
          <w:szCs w:val="21"/>
          <w:highlight w:val="none"/>
        </w:rPr>
        <w:t>在制造厂或供货地到</w:t>
      </w:r>
      <w:r>
        <w:rPr>
          <w:rFonts w:hint="eastAsia" w:ascii="宋体" w:hAnsi="宋体"/>
          <w:color w:val="auto"/>
          <w:szCs w:val="21"/>
          <w:highlight w:val="none"/>
        </w:rPr>
        <w:t>采购人指定地点</w:t>
      </w:r>
      <w:r>
        <w:rPr>
          <w:rFonts w:ascii="宋体" w:hAnsi="宋体"/>
          <w:color w:val="auto"/>
          <w:szCs w:val="21"/>
          <w:highlight w:val="none"/>
        </w:rPr>
        <w:t>的落地价</w:t>
      </w:r>
      <w:r>
        <w:rPr>
          <w:rFonts w:hint="eastAsia" w:ascii="宋体" w:hAnsi="宋体"/>
          <w:color w:val="auto"/>
          <w:szCs w:val="21"/>
          <w:highlight w:val="none"/>
        </w:rPr>
        <w:t>，应包含</w:t>
      </w:r>
      <w:r>
        <w:rPr>
          <w:rFonts w:hint="eastAsia" w:ascii="宋体" w:hAnsi="宋体"/>
          <w:color w:val="auto"/>
          <w:szCs w:val="21"/>
          <w:highlight w:val="none"/>
          <w:lang w:eastAsia="zh-CN"/>
        </w:rPr>
        <w:t>投标单位</w:t>
      </w:r>
      <w:r>
        <w:rPr>
          <w:rFonts w:hint="eastAsia" w:ascii="宋体" w:hAnsi="宋体"/>
          <w:color w:val="auto"/>
          <w:szCs w:val="21"/>
          <w:highlight w:val="none"/>
        </w:rPr>
        <w:t>为完成合同规定的全部内容所发生的费用</w:t>
      </w:r>
      <w:r>
        <w:rPr>
          <w:rFonts w:ascii="宋体" w:hAnsi="宋体"/>
          <w:color w:val="auto"/>
          <w:szCs w:val="21"/>
          <w:highlight w:val="none"/>
        </w:rPr>
        <w:t>(设备本体及附件、备品备件及专用工具）</w:t>
      </w:r>
      <w:r>
        <w:rPr>
          <w:rFonts w:hint="eastAsia" w:ascii="宋体" w:hAnsi="宋体"/>
          <w:color w:val="auto"/>
          <w:szCs w:val="21"/>
          <w:highlight w:val="none"/>
        </w:rPr>
        <w:t>供货、运输、安装、调试及初验、最终验收及售后服务、培训</w:t>
      </w:r>
      <w:r>
        <w:rPr>
          <w:rFonts w:ascii="宋体" w:hAnsi="宋体"/>
          <w:color w:val="auto"/>
          <w:szCs w:val="21"/>
          <w:highlight w:val="none"/>
        </w:rPr>
        <w:t>和拟获得的利润、应交纳的各种税、费等所有费用，投标人应充分考虑各种费用、市场风险、责任、合同主要条款和付款条件等。投标报价不受市场价格变化的影响，一次包死。</w:t>
      </w:r>
    </w:p>
    <w:p>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付款方式：</w:t>
      </w:r>
      <w:r>
        <w:rPr>
          <w:rFonts w:hint="eastAsia" w:ascii="宋体" w:hAnsi="宋体" w:cs="宋体"/>
          <w:color w:val="auto"/>
          <w:szCs w:val="21"/>
          <w:highlight w:val="none"/>
          <w:u w:val="single"/>
          <w:lang w:val="en-US" w:eastAsia="zh-CN"/>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五、组成合同的文件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组成本合同的文件及解释顺序如下：</w:t>
      </w:r>
    </w:p>
    <w:p>
      <w:pPr>
        <w:spacing w:line="360" w:lineRule="auto"/>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、本合同协议书</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、本合同专用条款</w:t>
      </w:r>
    </w:p>
    <w:p>
      <w:pPr>
        <w:spacing w:line="360" w:lineRule="auto"/>
        <w:ind w:firstLine="420" w:firstLineChars="200"/>
        <w:rPr>
          <w:rFonts w:hint="eastAsia" w:ascii="宋体" w:hAnsi="宋体" w:cs="宋体"/>
          <w:b/>
          <w:bCs/>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、本合同通用条款</w:t>
      </w:r>
    </w:p>
    <w:p>
      <w:pPr>
        <w:spacing w:line="360" w:lineRule="auto"/>
        <w:ind w:firstLine="420" w:firstLineChars="200"/>
        <w:rPr>
          <w:rFonts w:ascii="宋体" w:hAnsi="宋体" w:cs="宋体"/>
          <w:color w:val="auto"/>
          <w:szCs w:val="21"/>
          <w:highlight w:val="none"/>
        </w:rPr>
      </w:pPr>
      <w:r>
        <w:rPr>
          <w:rFonts w:ascii="宋体" w:hAnsi="宋体"/>
          <w:color w:val="auto"/>
          <w:szCs w:val="21"/>
          <w:highlight w:val="none"/>
        </w:rPr>
        <w:t>4</w:t>
      </w:r>
      <w:r>
        <w:rPr>
          <w:rFonts w:hint="eastAsia" w:ascii="宋体" w:hAnsi="宋体" w:cs="宋体"/>
          <w:color w:val="auto"/>
          <w:szCs w:val="21"/>
          <w:highlight w:val="none"/>
        </w:rPr>
        <w:t>、</w:t>
      </w:r>
      <w:r>
        <w:rPr>
          <w:rFonts w:hint="eastAsia" w:ascii="宋体" w:hAnsi="宋体"/>
          <w:color w:val="auto"/>
          <w:szCs w:val="21"/>
          <w:highlight w:val="none"/>
        </w:rPr>
        <w:t>中标（</w:t>
      </w:r>
      <w:r>
        <w:rPr>
          <w:rFonts w:ascii="宋体" w:hAnsi="宋体"/>
          <w:color w:val="auto"/>
          <w:szCs w:val="21"/>
          <w:highlight w:val="none"/>
        </w:rPr>
        <w:t>成交</w:t>
      </w:r>
      <w:r>
        <w:rPr>
          <w:rFonts w:hint="eastAsia" w:ascii="宋体" w:hAnsi="宋体"/>
          <w:color w:val="auto"/>
          <w:szCs w:val="21"/>
          <w:highlight w:val="none"/>
        </w:rPr>
        <w:t>）</w:t>
      </w:r>
      <w:r>
        <w:rPr>
          <w:rFonts w:hint="eastAsia" w:ascii="宋体" w:hAnsi="宋体" w:cs="宋体"/>
          <w:color w:val="auto"/>
          <w:szCs w:val="21"/>
          <w:highlight w:val="none"/>
        </w:rPr>
        <w:t>通知书</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、投标书、报价单或预算书及其附件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6、招标文件、答疑澄清、纪要及设备清单</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、标准、规范及有关技术文件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8、双方为履行本合同的有关洽商、变更等书面协议、文件，视为本合同的组成部分。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六、本协议书中有关词语含义与本合同第二部分《通用条款》中赋予的定义相同。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七</w:t>
      </w:r>
      <w:r>
        <w:rPr>
          <w:rFonts w:hint="eastAsia" w:ascii="宋体" w:hAnsi="宋体"/>
          <w:color w:val="auto"/>
          <w:szCs w:val="21"/>
          <w:highlight w:val="none"/>
        </w:rPr>
        <w:t>、</w:t>
      </w:r>
      <w:r>
        <w:rPr>
          <w:rFonts w:hint="eastAsia" w:ascii="宋体" w:hAnsi="宋体"/>
          <w:color w:val="auto"/>
          <w:szCs w:val="21"/>
          <w:highlight w:val="none"/>
          <w:lang w:eastAsia="zh-CN"/>
        </w:rPr>
        <w:t>投标单位</w:t>
      </w:r>
      <w:r>
        <w:rPr>
          <w:rFonts w:hint="eastAsia" w:ascii="宋体" w:hAnsi="宋体"/>
          <w:color w:val="auto"/>
          <w:szCs w:val="21"/>
          <w:highlight w:val="none"/>
        </w:rPr>
        <w:t>按</w:t>
      </w:r>
      <w:r>
        <w:rPr>
          <w:rFonts w:hint="eastAsia" w:ascii="宋体" w:hAnsi="宋体" w:cs="宋体"/>
          <w:color w:val="auto"/>
          <w:szCs w:val="21"/>
          <w:highlight w:val="none"/>
        </w:rPr>
        <w:t>照合同约定进行供货、并在质量保修期内承担质量保修责任及软件升级服务。免费更换问题货物的期限：</w:t>
      </w:r>
      <w:r>
        <w:rPr>
          <w:rFonts w:hint="eastAsia"/>
          <w:color w:val="auto"/>
          <w:kern w:val="0"/>
          <w:szCs w:val="21"/>
          <w:highlight w:val="none"/>
        </w:rPr>
        <w:t>有完善的售后服务系统，提供热线及专属客户经理电话全年7*24小时的不间断服务，故障响应时间不超过10分钟，24小时内到达现场。必须有相应的应急保障设备支持，以保证业务正常运转。</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八、采购人按照合同约定的期限和方式支付合同价款及其他应当支付的款项。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九、合同生效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合同订立地点：</w:t>
      </w:r>
      <w:r>
        <w:rPr>
          <w:rFonts w:hint="eastAsia" w:ascii="宋体" w:hAnsi="宋体" w:cs="宋体"/>
          <w:color w:val="auto"/>
          <w:szCs w:val="21"/>
          <w:highlight w:val="none"/>
          <w:u w:val="single"/>
          <w:lang w:eastAsia="zh-CN"/>
        </w:rPr>
        <w:t>铜川市印台区住房和城乡建设局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双方在上述日期签署本合同。合同</w:t>
      </w:r>
      <w:r>
        <w:rPr>
          <w:rFonts w:hint="eastAsia" w:ascii="宋体" w:hAnsi="宋体" w:cs="宋体"/>
          <w:color w:val="auto"/>
          <w:szCs w:val="21"/>
          <w:highlight w:val="none"/>
          <w:u w:val="single"/>
        </w:rPr>
        <w:t xml:space="preserve"> 柒 </w:t>
      </w:r>
      <w:r>
        <w:rPr>
          <w:rFonts w:hint="eastAsia" w:ascii="宋体" w:hAnsi="宋体" w:cs="宋体"/>
          <w:color w:val="auto"/>
          <w:szCs w:val="21"/>
          <w:highlight w:val="none"/>
        </w:rPr>
        <w:t>份，采购人</w:t>
      </w:r>
      <w:r>
        <w:rPr>
          <w:rFonts w:hint="eastAsia" w:ascii="宋体" w:hAnsi="宋体" w:cs="宋体"/>
          <w:color w:val="auto"/>
          <w:szCs w:val="21"/>
          <w:highlight w:val="none"/>
          <w:u w:val="single"/>
        </w:rPr>
        <w:t xml:space="preserve"> 叁 </w:t>
      </w:r>
      <w:r>
        <w:rPr>
          <w:rFonts w:hint="eastAsia" w:ascii="宋体" w:hAnsi="宋体" w:cs="宋体"/>
          <w:color w:val="auto"/>
          <w:szCs w:val="21"/>
          <w:highlight w:val="none"/>
        </w:rPr>
        <w:t>份，</w:t>
      </w:r>
      <w:r>
        <w:rPr>
          <w:rFonts w:hint="eastAsia" w:ascii="宋体" w:hAnsi="宋体" w:cs="宋体"/>
          <w:color w:val="auto"/>
          <w:szCs w:val="21"/>
          <w:highlight w:val="none"/>
          <w:lang w:eastAsia="zh-CN"/>
        </w:rPr>
        <w:t>投标单位</w:t>
      </w:r>
      <w:r>
        <w:rPr>
          <w:rFonts w:hint="eastAsia" w:ascii="宋体" w:hAnsi="宋体" w:cs="宋体"/>
          <w:color w:val="auto"/>
          <w:szCs w:val="21"/>
          <w:highlight w:val="none"/>
          <w:u w:val="single"/>
        </w:rPr>
        <w:t xml:space="preserve"> 壹 </w:t>
      </w:r>
      <w:r>
        <w:rPr>
          <w:rFonts w:hint="eastAsia" w:ascii="宋体" w:hAnsi="宋体" w:cs="宋体"/>
          <w:color w:val="auto"/>
          <w:szCs w:val="21"/>
          <w:highlight w:val="none"/>
        </w:rPr>
        <w:t>份，财政局</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份，鉴证方</w:t>
      </w:r>
      <w:r>
        <w:rPr>
          <w:rFonts w:hint="eastAsia" w:ascii="宋体" w:hAnsi="宋体" w:cs="宋体"/>
          <w:color w:val="auto"/>
          <w:szCs w:val="21"/>
          <w:highlight w:val="none"/>
          <w:u w:val="single"/>
        </w:rPr>
        <w:t xml:space="preserve"> 壹 </w:t>
      </w:r>
      <w:r>
        <w:rPr>
          <w:rFonts w:hint="eastAsia" w:ascii="宋体" w:hAnsi="宋体" w:cs="宋体"/>
          <w:color w:val="auto"/>
          <w:szCs w:val="21"/>
          <w:highlight w:val="none"/>
        </w:rPr>
        <w:t>份。签字盖章后生效。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采购人：                                     </w:t>
      </w:r>
      <w:r>
        <w:rPr>
          <w:rFonts w:hint="eastAsia" w:ascii="宋体" w:hAnsi="宋体"/>
          <w:color w:val="auto"/>
          <w:szCs w:val="21"/>
          <w:highlight w:val="none"/>
          <w:lang w:eastAsia="zh-CN"/>
        </w:rPr>
        <w:t>投标单位</w:t>
      </w:r>
      <w:r>
        <w:rPr>
          <w:rFonts w:hint="eastAsia" w:ascii="宋体" w:hAnsi="宋体"/>
          <w:color w:val="auto"/>
          <w:szCs w:val="21"/>
          <w:highlight w:val="none"/>
        </w:rPr>
        <w:t>：</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地址：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s="宋体"/>
          <w:color w:val="auto"/>
          <w:szCs w:val="21"/>
          <w:highlight w:val="none"/>
        </w:rPr>
        <w:t>地址：</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邮政编码：</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s="宋体"/>
          <w:color w:val="auto"/>
          <w:szCs w:val="21"/>
          <w:highlight w:val="none"/>
        </w:rPr>
        <w:t>邮政编码：</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法定代表人：</w:t>
      </w:r>
      <w:r>
        <w:rPr>
          <w:rFonts w:ascii="宋体" w:hAnsi="宋体"/>
          <w:color w:val="auto"/>
          <w:szCs w:val="21"/>
          <w:highlight w:val="none"/>
        </w:rPr>
        <w:t xml:space="preserve">                                 </w:t>
      </w:r>
      <w:r>
        <w:rPr>
          <w:rFonts w:hint="eastAsia" w:ascii="宋体" w:hAnsi="宋体" w:cs="宋体"/>
          <w:color w:val="auto"/>
          <w:szCs w:val="21"/>
          <w:highlight w:val="none"/>
        </w:rPr>
        <w:t>法定代表人：</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委托代理人：                           </w:t>
      </w:r>
      <w:r>
        <w:rPr>
          <w:rFonts w:hint="eastAsia" w:ascii="宋体" w:hAnsi="宋体"/>
          <w:color w:val="auto"/>
          <w:szCs w:val="21"/>
          <w:highlight w:val="none"/>
        </w:rPr>
        <w:t xml:space="preserve">      </w:t>
      </w:r>
      <w:r>
        <w:rPr>
          <w:rFonts w:hint="eastAsia" w:ascii="宋体" w:hAnsi="宋体" w:cs="宋体"/>
          <w:color w:val="auto"/>
          <w:szCs w:val="21"/>
          <w:highlight w:val="none"/>
        </w:rPr>
        <w:t>委托代理人：</w:t>
      </w:r>
      <w:r>
        <w:rPr>
          <w:rFonts w:hint="eastAsia" w:ascii="宋体" w:hAnsi="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联系人：                                     联系人： </w:t>
      </w:r>
    </w:p>
    <w:p>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 xml:space="preserve">电话：            </w:t>
      </w:r>
      <w:r>
        <w:rPr>
          <w:rFonts w:ascii="宋体" w:hAnsi="宋体"/>
          <w:color w:val="auto"/>
          <w:szCs w:val="21"/>
          <w:highlight w:val="none"/>
        </w:rPr>
        <w:t xml:space="preserve">              </w:t>
      </w:r>
      <w:r>
        <w:rPr>
          <w:rFonts w:hint="eastAsia" w:ascii="宋体" w:hAnsi="宋体"/>
          <w:color w:val="auto"/>
          <w:szCs w:val="21"/>
          <w:highlight w:val="none"/>
        </w:rPr>
        <w:t xml:space="preserve">             电</w:t>
      </w:r>
      <w:r>
        <w:rPr>
          <w:rFonts w:hint="eastAsia" w:ascii="宋体" w:hAnsi="宋体" w:cs="宋体"/>
          <w:color w:val="auto"/>
          <w:szCs w:val="21"/>
          <w:highlight w:val="none"/>
        </w:rPr>
        <w:t>话：</w:t>
      </w:r>
    </w:p>
    <w:p>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 xml:space="preserve">传真：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s="宋体"/>
          <w:color w:val="auto"/>
          <w:szCs w:val="21"/>
          <w:highlight w:val="none"/>
        </w:rPr>
        <w:t>传真：</w:t>
      </w:r>
    </w:p>
    <w:p>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 xml:space="preserve">开户银行：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s="宋体"/>
          <w:color w:val="auto"/>
          <w:szCs w:val="21"/>
          <w:highlight w:val="none"/>
        </w:rPr>
        <w:t>开户银行：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账号：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s="宋体"/>
          <w:color w:val="auto"/>
          <w:szCs w:val="21"/>
          <w:highlight w:val="none"/>
        </w:rPr>
        <w:t>账    号：</w:t>
      </w:r>
    </w:p>
    <w:p>
      <w:pPr>
        <w:spacing w:line="360" w:lineRule="auto"/>
        <w:ind w:firstLine="420" w:firstLineChars="200"/>
        <w:rPr>
          <w:rFonts w:hint="eastAsia" w:ascii="宋体" w:hAnsi="宋体" w:cs="宋体"/>
          <w:color w:val="auto"/>
          <w:szCs w:val="21"/>
          <w:highlight w:val="none"/>
        </w:rPr>
      </w:pPr>
    </w:p>
    <w:p>
      <w:pPr>
        <w:pStyle w:val="15"/>
        <w:spacing w:line="360" w:lineRule="auto"/>
        <w:rPr>
          <w:rFonts w:hint="eastAsia" w:ascii="宋体" w:hAnsi="宋体" w:eastAsia="宋体" w:cs="宋体"/>
          <w:color w:val="auto"/>
          <w:sz w:val="24"/>
          <w:szCs w:val="24"/>
          <w:highlight w:val="none"/>
        </w:rPr>
      </w:pPr>
      <w:bookmarkStart w:id="161" w:name="_Toc29110"/>
      <w:bookmarkStart w:id="162" w:name="_Toc235703127"/>
      <w:bookmarkStart w:id="163" w:name="_Toc269407661"/>
      <w:bookmarkStart w:id="164" w:name="_Toc237366503"/>
      <w:bookmarkStart w:id="165" w:name="_Toc293999380"/>
      <w:bookmarkStart w:id="166" w:name="_Toc269407888"/>
      <w:bookmarkStart w:id="167" w:name="_Toc239825095"/>
      <w:bookmarkStart w:id="168" w:name="_Toc239769264"/>
      <w:bookmarkStart w:id="169" w:name="_Toc239770152"/>
      <w:bookmarkStart w:id="170" w:name="_Toc293999495"/>
      <w:r>
        <w:rPr>
          <w:rFonts w:hint="eastAsia" w:ascii="宋体" w:hAnsi="宋体" w:cs="宋体"/>
          <w:color w:val="auto"/>
          <w:sz w:val="28"/>
          <w:szCs w:val="28"/>
          <w:highlight w:val="none"/>
        </w:rPr>
        <w:br w:type="page"/>
      </w:r>
      <w:bookmarkEnd w:id="161"/>
      <w:bookmarkEnd w:id="162"/>
      <w:bookmarkEnd w:id="163"/>
      <w:bookmarkEnd w:id="164"/>
      <w:bookmarkEnd w:id="165"/>
      <w:bookmarkEnd w:id="166"/>
      <w:bookmarkEnd w:id="167"/>
      <w:bookmarkEnd w:id="168"/>
      <w:bookmarkEnd w:id="169"/>
      <w:bookmarkEnd w:id="170"/>
      <w:bookmarkStart w:id="171" w:name="_Toc249790986"/>
      <w:bookmarkStart w:id="172" w:name="_Toc251576736"/>
      <w:bookmarkStart w:id="173" w:name="_Toc251352582"/>
      <w:bookmarkStart w:id="174" w:name="_Toc249764606"/>
      <w:bookmarkStart w:id="175" w:name="_Toc251352966"/>
      <w:bookmarkStart w:id="176" w:name="_Toc249792293"/>
      <w:bookmarkStart w:id="177" w:name="_Toc249790759"/>
      <w:bookmarkStart w:id="178" w:name="_Toc249343384"/>
      <w:bookmarkStart w:id="179" w:name="_Toc251676094"/>
      <w:bookmarkStart w:id="180" w:name="_Toc249791120"/>
      <w:bookmarkStart w:id="181" w:name="_Toc251352092"/>
      <w:bookmarkStart w:id="182" w:name="_Toc249775782"/>
      <w:bookmarkStart w:id="183" w:name="_Toc251352713"/>
      <w:bookmarkStart w:id="184" w:name="_Toc249791253"/>
      <w:bookmarkStart w:id="185" w:name="_Toc251353096"/>
      <w:bookmarkStart w:id="186" w:name="_Toc249764802"/>
      <w:bookmarkStart w:id="187" w:name="_Toc249791386"/>
      <w:r>
        <w:rPr>
          <w:rFonts w:hint="eastAsia" w:ascii="宋体" w:hAnsi="宋体" w:eastAsia="宋体"/>
          <w:color w:val="auto"/>
          <w:sz w:val="24"/>
          <w:szCs w:val="24"/>
          <w:highlight w:val="none"/>
        </w:rPr>
        <w:t xml:space="preserve">第二部分 </w:t>
      </w:r>
      <w:bookmarkStart w:id="188" w:name="_Toc410392029"/>
      <w:bookmarkStart w:id="189" w:name="_Toc30900"/>
      <w:bookmarkStart w:id="190" w:name="_Toc690"/>
      <w:bookmarkStart w:id="191" w:name="_Toc406424728"/>
      <w:bookmarkStart w:id="192" w:name="_Toc5757"/>
      <w:bookmarkStart w:id="193" w:name="_Toc11749"/>
      <w:bookmarkStart w:id="194" w:name="_Toc26172"/>
      <w:bookmarkStart w:id="195" w:name="_Toc9311"/>
      <w:bookmarkStart w:id="196" w:name="_Toc13319"/>
      <w:bookmarkStart w:id="197" w:name="_Toc26023"/>
      <w:r>
        <w:rPr>
          <w:rFonts w:hint="eastAsia" w:ascii="宋体" w:hAnsi="宋体" w:eastAsia="宋体" w:cs="宋体"/>
          <w:color w:val="auto"/>
          <w:sz w:val="24"/>
          <w:szCs w:val="24"/>
          <w:highlight w:val="none"/>
        </w:rPr>
        <w:t xml:space="preserve"> 合同专用条款</w:t>
      </w:r>
      <w:bookmarkEnd w:id="188"/>
      <w:bookmarkEnd w:id="189"/>
      <w:bookmarkEnd w:id="190"/>
      <w:bookmarkEnd w:id="191"/>
      <w:bookmarkEnd w:id="192"/>
      <w:bookmarkEnd w:id="193"/>
      <w:bookmarkEnd w:id="194"/>
      <w:bookmarkEnd w:id="195"/>
      <w:bookmarkEnd w:id="196"/>
      <w:bookmarkEnd w:id="197"/>
    </w:p>
    <w:p>
      <w:p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甲  方：</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法定代表人：</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住所地：</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乙  方：</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法定代表人：</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住所地：</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 xml:space="preserve">            </w:t>
      </w:r>
    </w:p>
    <w:p>
      <w:pPr>
        <w:pStyle w:val="11"/>
        <w:rPr>
          <w:rFonts w:hint="eastAsia" w:hAnsi="宋体"/>
          <w:color w:val="auto"/>
          <w:kern w:val="10"/>
          <w:sz w:val="21"/>
          <w:szCs w:val="21"/>
          <w:highlight w:val="none"/>
        </w:rPr>
      </w:pPr>
      <w:r>
        <w:rPr>
          <w:rFonts w:hint="eastAsia" w:hAnsi="宋体"/>
          <w:color w:val="auto"/>
          <w:kern w:val="10"/>
          <w:sz w:val="21"/>
          <w:szCs w:val="21"/>
          <w:highlight w:val="none"/>
        </w:rPr>
        <w:t>根据相关法律、法规、政策，甲乙双方在自愿、平等、协商一致的基础上，就甲方委托乙方对</w:t>
      </w:r>
      <w:r>
        <w:rPr>
          <w:rFonts w:hint="eastAsia" w:hAnsi="宋体"/>
          <w:color w:val="auto"/>
          <w:kern w:val="10"/>
          <w:sz w:val="21"/>
          <w:szCs w:val="21"/>
          <w:highlight w:val="none"/>
          <w:u w:val="single"/>
        </w:rPr>
        <w:t xml:space="preserve">               </w:t>
      </w:r>
      <w:r>
        <w:rPr>
          <w:rFonts w:hint="eastAsia" w:hAnsi="宋体"/>
          <w:color w:val="auto"/>
          <w:kern w:val="10"/>
          <w:sz w:val="21"/>
          <w:szCs w:val="21"/>
          <w:highlight w:val="none"/>
        </w:rPr>
        <w:t>提供相关货物及服务采购事宜，订立本合同。</w:t>
      </w:r>
    </w:p>
    <w:p>
      <w:pPr>
        <w:spacing w:before="312" w:beforeLines="100" w:after="156" w:afterLines="50" w:line="360" w:lineRule="auto"/>
        <w:ind w:leftChars="-1" w:hanging="2"/>
        <w:jc w:val="center"/>
        <w:rPr>
          <w:rFonts w:hint="eastAsia" w:ascii="宋体" w:hAnsi="宋体"/>
          <w:color w:val="auto"/>
          <w:kern w:val="10"/>
          <w:sz w:val="24"/>
          <w:highlight w:val="none"/>
        </w:rPr>
      </w:pPr>
      <w:r>
        <w:rPr>
          <w:rFonts w:hint="eastAsia" w:ascii="宋体" w:hAnsi="宋体"/>
          <w:color w:val="auto"/>
          <w:kern w:val="10"/>
          <w:sz w:val="24"/>
          <w:highlight w:val="none"/>
        </w:rPr>
        <w:t>第一章  基本情况</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基本情况:</w:t>
      </w:r>
    </w:p>
    <w:p>
      <w:p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医院名称：</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医院类型：</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座落位置：</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交货时间：</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w:t>
      </w:r>
    </w:p>
    <w:p>
      <w:pPr>
        <w:spacing w:before="312" w:beforeLines="100" w:after="156" w:afterLines="50" w:line="360" w:lineRule="auto"/>
        <w:ind w:leftChars="-1" w:hanging="2"/>
        <w:jc w:val="center"/>
        <w:rPr>
          <w:rFonts w:hint="eastAsia" w:ascii="宋体" w:hAnsi="宋体" w:cs="宋体"/>
          <w:color w:val="auto"/>
          <w:sz w:val="24"/>
          <w:szCs w:val="24"/>
          <w:highlight w:val="none"/>
        </w:rPr>
      </w:pPr>
      <w:r>
        <w:rPr>
          <w:rFonts w:hint="eastAsia" w:ascii="宋体" w:hAnsi="宋体"/>
          <w:color w:val="auto"/>
          <w:kern w:val="10"/>
          <w:sz w:val="24"/>
          <w:highlight w:val="none"/>
        </w:rPr>
        <w:t>第二章  供货内容与质量</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乙方提供的产品为最新产品，原厂原配，售后服务由原厂负责，并符合国家质量检测标准以及该产品的出厂标准，</w:t>
      </w:r>
      <w:r>
        <w:rPr>
          <w:rFonts w:hint="eastAsia" w:ascii="宋体" w:hAnsi="宋体" w:cs="宋体"/>
          <w:color w:val="auto"/>
          <w:szCs w:val="21"/>
          <w:highlight w:val="none"/>
        </w:rPr>
        <w:t>以满足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的需要。</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 xml:space="preserve">卖方交付的货物的技术规格及型号应与本合同所指明的技术规格及型号相一致。除技术规格另有规定外,计量单位应该使用公制。 </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lang w:eastAsia="zh-CN"/>
        </w:rPr>
        <w:t>采购人</w:t>
      </w:r>
      <w:r>
        <w:rPr>
          <w:rFonts w:hint="eastAsia" w:ascii="宋体" w:hAnsi="宋体"/>
          <w:color w:val="auto"/>
          <w:kern w:val="10"/>
          <w:szCs w:val="21"/>
          <w:highlight w:val="none"/>
        </w:rPr>
        <w:t>有权根据实际需要，对产品数量、规格等进行必要的调整，单价保持不变。但为</w:t>
      </w:r>
      <w:r>
        <w:rPr>
          <w:rFonts w:hint="eastAsia" w:ascii="宋体" w:hAnsi="宋体"/>
          <w:color w:val="auto"/>
          <w:kern w:val="10"/>
          <w:szCs w:val="21"/>
          <w:highlight w:val="none"/>
          <w:lang w:eastAsia="zh-CN"/>
        </w:rPr>
        <w:t>采购人</w:t>
      </w:r>
      <w:r>
        <w:rPr>
          <w:rFonts w:hint="eastAsia" w:ascii="宋体" w:hAnsi="宋体"/>
          <w:color w:val="auto"/>
          <w:kern w:val="10"/>
          <w:szCs w:val="21"/>
          <w:highlight w:val="none"/>
        </w:rPr>
        <w:t>定制的产品除外。</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 xml:space="preserve">保证按时按质量向甲方交货，避免发生不能按时按要求供货的情况，如因乙方原因不能按时按要求供货，致使甲方正常工作受到影响，由此造成一切损失由乙方承担。  </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乙方必须按照采购文件要求和报价文件的承诺，将货物、系统安装并调试至正常的最佳状态。</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乙方不得将本项目进行分包或转包。</w:t>
      </w:r>
    </w:p>
    <w:p>
      <w:pPr>
        <w:spacing w:before="312" w:beforeLines="100" w:after="312" w:afterLines="100" w:line="360" w:lineRule="auto"/>
        <w:jc w:val="center"/>
        <w:rPr>
          <w:rFonts w:hint="eastAsia" w:hAnsi="宋体"/>
          <w:color w:val="auto"/>
          <w:kern w:val="10"/>
          <w:sz w:val="24"/>
          <w:highlight w:val="none"/>
        </w:rPr>
      </w:pPr>
      <w:r>
        <w:rPr>
          <w:rFonts w:hint="eastAsia" w:ascii="宋体" w:hAnsi="宋体"/>
          <w:color w:val="auto"/>
          <w:kern w:val="10"/>
          <w:sz w:val="24"/>
          <w:highlight w:val="none"/>
        </w:rPr>
        <w:t>第三章</w:t>
      </w:r>
      <w:r>
        <w:rPr>
          <w:rFonts w:hint="eastAsia" w:hAnsi="宋体"/>
          <w:color w:val="auto"/>
          <w:kern w:val="10"/>
          <w:sz w:val="24"/>
          <w:highlight w:val="none"/>
        </w:rPr>
        <w:t xml:space="preserve">  包装与运输</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除合同另有规定外，卖方提供的全部货物，均应按标准保护措施进行包装。这类包装应适应于远距离运输、防潮、防震、防锈和防野蛮装卸，且在</w:t>
      </w:r>
      <w:r>
        <w:rPr>
          <w:rFonts w:hint="eastAsia" w:ascii="宋体" w:hAnsi="宋体" w:cs="宋体"/>
          <w:color w:val="auto"/>
          <w:szCs w:val="21"/>
          <w:highlight w:val="none"/>
        </w:rPr>
        <w:t>包装物外表刷有明显的收货人、收货人地址、合同号等字样，并应按相关规范在包装物外侧标明“勿倒置”、“防雨”、“小心轻放”以及其他适用的国际通用标志，</w:t>
      </w:r>
      <w:r>
        <w:rPr>
          <w:rFonts w:hint="eastAsia" w:ascii="宋体" w:hAnsi="宋体"/>
          <w:color w:val="auto"/>
          <w:kern w:val="10"/>
          <w:szCs w:val="21"/>
          <w:highlight w:val="none"/>
        </w:rPr>
        <w:t>以确保货物安全无损运抵项目现场。</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每一个包装箱内应附一份详细装箱单和质量合格证，</w:t>
      </w:r>
      <w:r>
        <w:rPr>
          <w:rFonts w:hint="eastAsia" w:ascii="宋体" w:hAnsi="宋体" w:cs="宋体"/>
          <w:color w:val="auto"/>
          <w:szCs w:val="21"/>
          <w:highlight w:val="none"/>
        </w:rPr>
        <w:t>与该产品有关的技术资料应随同货物一并交付。</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产品交货安装地点为</w:t>
      </w:r>
      <w:r>
        <w:rPr>
          <w:rFonts w:hint="eastAsia" w:ascii="宋体" w:hAnsi="宋体" w:cs="宋体"/>
          <w:color w:val="auto"/>
          <w:szCs w:val="21"/>
          <w:highlight w:val="none"/>
          <w:lang w:eastAsia="zh-CN"/>
        </w:rPr>
        <w:t>采购人</w:t>
      </w:r>
      <w:r>
        <w:rPr>
          <w:rFonts w:ascii="宋体" w:hAnsi="宋体" w:cs="宋体"/>
          <w:color w:val="auto"/>
          <w:szCs w:val="21"/>
          <w:highlight w:val="none"/>
        </w:rPr>
        <w:t>指定的设备</w:t>
      </w:r>
      <w:r>
        <w:rPr>
          <w:rFonts w:hint="eastAsia" w:ascii="宋体" w:hAnsi="宋体" w:cs="宋体"/>
          <w:color w:val="auto"/>
          <w:szCs w:val="21"/>
          <w:highlight w:val="none"/>
        </w:rPr>
        <w:t>交货</w:t>
      </w:r>
      <w:r>
        <w:rPr>
          <w:rFonts w:ascii="宋体" w:hAnsi="宋体" w:cs="宋体"/>
          <w:color w:val="auto"/>
          <w:szCs w:val="21"/>
          <w:highlight w:val="none"/>
        </w:rPr>
        <w:t>位置</w:t>
      </w:r>
      <w:r>
        <w:rPr>
          <w:rFonts w:hint="eastAsia" w:ascii="宋体" w:hAnsi="宋体" w:cs="宋体"/>
          <w:color w:val="auto"/>
          <w:szCs w:val="21"/>
          <w:highlight w:val="none"/>
        </w:rPr>
        <w:t>，</w:t>
      </w:r>
      <w:r>
        <w:rPr>
          <w:rFonts w:ascii="宋体" w:hAnsi="宋体" w:cs="宋体"/>
          <w:color w:val="auto"/>
          <w:szCs w:val="21"/>
          <w:highlight w:val="none"/>
        </w:rPr>
        <w:t>供货商应负责将货物运至</w:t>
      </w:r>
      <w:r>
        <w:rPr>
          <w:rFonts w:hint="eastAsia" w:ascii="宋体" w:hAnsi="宋体" w:cs="宋体"/>
          <w:color w:val="auto"/>
          <w:szCs w:val="21"/>
          <w:highlight w:val="none"/>
          <w:lang w:eastAsia="zh-CN"/>
        </w:rPr>
        <w:t>采购人</w:t>
      </w:r>
      <w:r>
        <w:rPr>
          <w:rFonts w:ascii="宋体" w:hAnsi="宋体" w:cs="宋体"/>
          <w:color w:val="auto"/>
          <w:szCs w:val="21"/>
          <w:highlight w:val="none"/>
        </w:rPr>
        <w:t>指定交货地点</w:t>
      </w:r>
      <w:r>
        <w:rPr>
          <w:rFonts w:hint="eastAsia" w:ascii="宋体" w:hAnsi="宋体" w:cs="宋体"/>
          <w:color w:val="auto"/>
          <w:szCs w:val="21"/>
          <w:highlight w:val="none"/>
        </w:rPr>
        <w:t>并办理</w:t>
      </w:r>
      <w:r>
        <w:rPr>
          <w:rFonts w:ascii="宋体" w:hAnsi="宋体" w:cs="宋体"/>
          <w:color w:val="auto"/>
          <w:szCs w:val="21"/>
          <w:highlight w:val="none"/>
        </w:rPr>
        <w:t>运输</w:t>
      </w:r>
      <w:r>
        <w:rPr>
          <w:rFonts w:hint="eastAsia" w:ascii="宋体" w:hAnsi="宋体" w:cs="宋体"/>
          <w:color w:val="auto"/>
          <w:szCs w:val="21"/>
          <w:highlight w:val="none"/>
        </w:rPr>
        <w:t>、</w:t>
      </w:r>
      <w:r>
        <w:rPr>
          <w:rFonts w:ascii="宋体" w:hAnsi="宋体" w:cs="宋体"/>
          <w:color w:val="auto"/>
          <w:szCs w:val="21"/>
          <w:highlight w:val="none"/>
        </w:rPr>
        <w:t>装卸</w:t>
      </w:r>
      <w:r>
        <w:rPr>
          <w:rFonts w:hint="eastAsia" w:ascii="宋体" w:hAnsi="宋体" w:cs="宋体"/>
          <w:color w:val="auto"/>
          <w:szCs w:val="21"/>
          <w:highlight w:val="none"/>
        </w:rPr>
        <w:t>、</w:t>
      </w:r>
      <w:r>
        <w:rPr>
          <w:rFonts w:ascii="宋体" w:hAnsi="宋体" w:cs="宋体"/>
          <w:color w:val="auto"/>
          <w:szCs w:val="21"/>
          <w:highlight w:val="none"/>
        </w:rPr>
        <w:t>保险</w:t>
      </w:r>
      <w:r>
        <w:rPr>
          <w:rFonts w:hint="eastAsia" w:ascii="宋体" w:hAnsi="宋体" w:cs="宋体"/>
          <w:color w:val="auto"/>
          <w:szCs w:val="21"/>
          <w:highlight w:val="none"/>
        </w:rPr>
        <w:t>、</w:t>
      </w:r>
      <w:r>
        <w:rPr>
          <w:rFonts w:ascii="宋体" w:hAnsi="宋体" w:cs="宋体"/>
          <w:color w:val="auto"/>
          <w:szCs w:val="21"/>
          <w:highlight w:val="none"/>
        </w:rPr>
        <w:t>存储在内的一切事项，</w:t>
      </w:r>
      <w:r>
        <w:rPr>
          <w:rFonts w:hint="eastAsia" w:ascii="宋体" w:hAnsi="宋体" w:cs="宋体"/>
          <w:color w:val="auto"/>
          <w:szCs w:val="21"/>
          <w:highlight w:val="none"/>
        </w:rPr>
        <w:t>相关</w:t>
      </w:r>
      <w:r>
        <w:rPr>
          <w:rFonts w:ascii="宋体" w:hAnsi="宋体" w:cs="宋体"/>
          <w:color w:val="auto"/>
          <w:szCs w:val="21"/>
          <w:highlight w:val="none"/>
        </w:rPr>
        <w:t>费用包括在合同价中</w:t>
      </w:r>
      <w:r>
        <w:rPr>
          <w:rFonts w:hint="eastAsia" w:ascii="宋体" w:hAnsi="宋体" w:cs="宋体"/>
          <w:color w:val="auto"/>
          <w:szCs w:val="21"/>
          <w:highlight w:val="none"/>
        </w:rPr>
        <w:t>（包括设备的二次到运费）</w:t>
      </w:r>
      <w:r>
        <w:rPr>
          <w:rFonts w:ascii="宋体" w:hAnsi="宋体" w:cs="宋体"/>
          <w:color w:val="auto"/>
          <w:szCs w:val="21"/>
          <w:highlight w:val="none"/>
        </w:rPr>
        <w:t>。</w:t>
      </w:r>
    </w:p>
    <w:p>
      <w:pPr>
        <w:numPr>
          <w:ilvl w:val="0"/>
          <w:numId w:val="2"/>
        </w:numPr>
        <w:spacing w:line="360" w:lineRule="auto"/>
        <w:rPr>
          <w:rFonts w:hint="eastAsia" w:ascii="宋体" w:hAnsi="宋体" w:cs="宋体"/>
          <w:color w:val="auto"/>
          <w:szCs w:val="21"/>
          <w:highlight w:val="none"/>
        </w:rPr>
      </w:pPr>
      <w:r>
        <w:rPr>
          <w:rFonts w:hint="eastAsia" w:ascii="宋体" w:hAnsi="宋体"/>
          <w:color w:val="auto"/>
          <w:kern w:val="10"/>
          <w:szCs w:val="21"/>
          <w:highlight w:val="none"/>
        </w:rPr>
        <w:t>卖方装运的货物不应超过合同规定的数量或重量。否则，卖方应对因超数量或重量而产生的一切后果负责</w:t>
      </w:r>
      <w:r>
        <w:rPr>
          <w:rFonts w:hint="eastAsia" w:ascii="宋体" w:hAnsi="宋体" w:cs="宋体"/>
          <w:color w:val="auto"/>
          <w:szCs w:val="21"/>
          <w:highlight w:val="none"/>
        </w:rPr>
        <w:t>。</w:t>
      </w:r>
    </w:p>
    <w:p>
      <w:pPr>
        <w:spacing w:before="312" w:beforeLines="100" w:after="156" w:afterLines="50" w:line="360" w:lineRule="auto"/>
        <w:ind w:leftChars="-1" w:hanging="2"/>
        <w:jc w:val="center"/>
        <w:rPr>
          <w:rFonts w:hint="eastAsia" w:ascii="宋体" w:hAnsi="宋体"/>
          <w:color w:val="auto"/>
          <w:kern w:val="10"/>
          <w:sz w:val="24"/>
          <w:highlight w:val="none"/>
        </w:rPr>
      </w:pPr>
      <w:r>
        <w:rPr>
          <w:rFonts w:hint="eastAsia" w:ascii="宋体" w:hAnsi="宋体"/>
          <w:color w:val="auto"/>
          <w:kern w:val="10"/>
          <w:sz w:val="24"/>
          <w:highlight w:val="none"/>
        </w:rPr>
        <w:t>第</w:t>
      </w:r>
      <w:r>
        <w:rPr>
          <w:rFonts w:hint="eastAsia" w:hAnsi="宋体"/>
          <w:color w:val="auto"/>
          <w:kern w:val="10"/>
          <w:sz w:val="24"/>
          <w:highlight w:val="none"/>
        </w:rPr>
        <w:t>四</w:t>
      </w:r>
      <w:r>
        <w:rPr>
          <w:rFonts w:hint="eastAsia" w:ascii="宋体" w:hAnsi="宋体"/>
          <w:color w:val="auto"/>
          <w:kern w:val="10"/>
          <w:sz w:val="24"/>
          <w:highlight w:val="none"/>
        </w:rPr>
        <w:t>章  付款方式</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本次招标采用固定综合单价，为完成本合同规定的采购内容所发生的一切费用，投标人的报价在合同履行过程中是固定不变的，不得以任何理由予以变更。</w:t>
      </w:r>
      <w:r>
        <w:rPr>
          <w:rFonts w:hint="eastAsia" w:ascii="宋体" w:hAnsi="宋体" w:cs="宋体"/>
          <w:color w:val="auto"/>
          <w:szCs w:val="21"/>
          <w:highlight w:val="none"/>
          <w:lang w:eastAsia="zh-CN"/>
        </w:rPr>
        <w:t>（设计调整或采购人需求调整除外）</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支付方式为银行转账。</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付款方式：</w:t>
      </w:r>
      <w:r>
        <w:rPr>
          <w:rFonts w:hint="eastAsia" w:ascii="宋体" w:hAnsi="宋体" w:cs="宋体"/>
          <w:color w:val="auto"/>
          <w:szCs w:val="21"/>
          <w:highlight w:val="none"/>
          <w:u w:val="single"/>
          <w:lang w:val="en-US" w:eastAsia="zh-CN"/>
        </w:rPr>
        <w:t xml:space="preserve">                                                       </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结算时，乙方持中标通知书、供货合同、发票（按合同总价直开使用单位）、项目验收单，按合同支付货款。</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投标人的报价应包含备制造、包装、仓储、运输、安装和验收合格之前及售后保修期间包括备品备件发生的所有含税费用，如有遗漏，视为已包含在内。</w:t>
      </w:r>
    </w:p>
    <w:p>
      <w:pPr>
        <w:spacing w:before="312" w:beforeLines="100" w:after="312" w:afterLines="100" w:line="360" w:lineRule="auto"/>
        <w:jc w:val="center"/>
        <w:rPr>
          <w:rFonts w:hint="eastAsia" w:hAnsi="宋体"/>
          <w:color w:val="auto"/>
          <w:kern w:val="10"/>
          <w:sz w:val="24"/>
          <w:highlight w:val="none"/>
        </w:rPr>
      </w:pPr>
      <w:r>
        <w:rPr>
          <w:rFonts w:hint="eastAsia" w:hAnsi="宋体"/>
          <w:color w:val="auto"/>
          <w:kern w:val="10"/>
          <w:sz w:val="24"/>
          <w:highlight w:val="none"/>
        </w:rPr>
        <w:t>第五章  伴随服务</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卖方应随同每套货物提供相应中文的技术文件。例如：产品目录、图纸、操作手册、使用说明、维护手册或服务指南等。</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对于合同中有要求的货物，卖方还应提供下列服务：</w:t>
      </w:r>
    </w:p>
    <w:p>
      <w:pPr>
        <w:spacing w:line="460" w:lineRule="exact"/>
        <w:ind w:firstLine="420" w:firstLineChars="200"/>
        <w:rPr>
          <w:rFonts w:hint="eastAsia" w:ascii="宋体" w:hAnsi="宋体" w:cs="宋体"/>
          <w:color w:val="auto"/>
          <w:szCs w:val="21"/>
          <w:highlight w:val="none"/>
        </w:rPr>
      </w:pPr>
      <w:r>
        <w:rPr>
          <w:rFonts w:hint="eastAsia" w:hAnsi="宋体" w:cs="宋体"/>
          <w:color w:val="auto"/>
          <w:szCs w:val="21"/>
          <w:highlight w:val="none"/>
        </w:rPr>
        <w:t xml:space="preserve"> 1、</w:t>
      </w:r>
      <w:r>
        <w:rPr>
          <w:rFonts w:hint="eastAsia" w:ascii="宋体" w:hAnsi="宋体" w:cs="宋体"/>
          <w:color w:val="auto"/>
          <w:szCs w:val="21"/>
          <w:highlight w:val="none"/>
        </w:rPr>
        <w:t>货物的现场安装、调试和启动监督；</w:t>
      </w:r>
    </w:p>
    <w:p>
      <w:pPr>
        <w:spacing w:line="460" w:lineRule="exact"/>
        <w:ind w:firstLine="420" w:firstLineChars="200"/>
        <w:rPr>
          <w:rFonts w:hint="eastAsia" w:ascii="宋体" w:hAnsi="宋体" w:cs="宋体"/>
          <w:color w:val="auto"/>
          <w:szCs w:val="21"/>
          <w:highlight w:val="none"/>
        </w:rPr>
      </w:pPr>
      <w:r>
        <w:rPr>
          <w:rFonts w:hint="eastAsia" w:hAnsi="宋体" w:cs="宋体"/>
          <w:color w:val="auto"/>
          <w:szCs w:val="21"/>
          <w:highlight w:val="none"/>
        </w:rPr>
        <w:t xml:space="preserve"> 2、</w:t>
      </w:r>
      <w:r>
        <w:rPr>
          <w:rFonts w:hint="eastAsia" w:ascii="宋体" w:hAnsi="宋体" w:cs="宋体"/>
          <w:color w:val="auto"/>
          <w:szCs w:val="21"/>
          <w:highlight w:val="none"/>
        </w:rPr>
        <w:t>提供货物组装和维修所需的工具，提供货物调试所需的耗材等</w:t>
      </w:r>
    </w:p>
    <w:p>
      <w:pPr>
        <w:spacing w:line="460" w:lineRule="exact"/>
        <w:ind w:firstLine="420" w:firstLineChars="200"/>
        <w:rPr>
          <w:rFonts w:hint="eastAsia" w:ascii="宋体" w:hAnsi="宋体" w:cs="宋体"/>
          <w:color w:val="auto"/>
          <w:szCs w:val="21"/>
          <w:highlight w:val="none"/>
        </w:rPr>
      </w:pPr>
      <w:r>
        <w:rPr>
          <w:rFonts w:hint="eastAsia" w:hAnsi="宋体" w:cs="宋体"/>
          <w:color w:val="auto"/>
          <w:szCs w:val="21"/>
          <w:highlight w:val="none"/>
        </w:rPr>
        <w:t xml:space="preserve"> 3、</w:t>
      </w:r>
      <w:r>
        <w:rPr>
          <w:rFonts w:hint="eastAsia" w:ascii="宋体" w:hAnsi="宋体" w:cs="宋体"/>
          <w:color w:val="auto"/>
          <w:szCs w:val="21"/>
          <w:highlight w:val="none"/>
        </w:rPr>
        <w:t>在双方商定的一定期限内对所供货物实施监督、维修，但前提条件是该服务并不能免除卖方在质量保期应承担的义务。</w:t>
      </w:r>
    </w:p>
    <w:p>
      <w:pPr>
        <w:spacing w:line="460" w:lineRule="exact"/>
        <w:ind w:firstLine="420" w:firstLineChars="200"/>
        <w:rPr>
          <w:rFonts w:hint="eastAsia" w:ascii="宋体" w:hAnsi="宋体" w:cs="宋体"/>
          <w:color w:val="auto"/>
          <w:szCs w:val="21"/>
          <w:highlight w:val="none"/>
        </w:rPr>
      </w:pPr>
      <w:r>
        <w:rPr>
          <w:rFonts w:hint="eastAsia" w:hAnsi="宋体" w:cs="宋体"/>
          <w:color w:val="auto"/>
          <w:szCs w:val="21"/>
          <w:highlight w:val="none"/>
        </w:rPr>
        <w:t>4、</w:t>
      </w:r>
      <w:r>
        <w:rPr>
          <w:rFonts w:hint="eastAsia" w:ascii="宋体" w:hAnsi="宋体" w:cs="宋体"/>
          <w:color w:val="auto"/>
          <w:szCs w:val="21"/>
          <w:highlight w:val="none"/>
        </w:rPr>
        <w:t>在厂家或在项目现场就货物的安装、启动、维护对买方人员进行培训。</w:t>
      </w:r>
    </w:p>
    <w:p>
      <w:pPr>
        <w:spacing w:line="460" w:lineRule="exact"/>
        <w:ind w:firstLine="420" w:firstLineChars="200"/>
        <w:rPr>
          <w:rFonts w:hint="eastAsia" w:ascii="宋体" w:hAnsi="宋体"/>
          <w:color w:val="auto"/>
          <w:kern w:val="10"/>
          <w:szCs w:val="21"/>
          <w:highlight w:val="none"/>
        </w:rPr>
      </w:pPr>
      <w:r>
        <w:rPr>
          <w:rFonts w:hint="eastAsia" w:hAnsi="宋体" w:cs="宋体"/>
          <w:color w:val="auto"/>
          <w:szCs w:val="21"/>
          <w:highlight w:val="none"/>
        </w:rPr>
        <w:t>5、</w:t>
      </w:r>
      <w:r>
        <w:rPr>
          <w:rFonts w:hint="eastAsia" w:ascii="宋体" w:hAnsi="宋体" w:cs="宋体"/>
          <w:color w:val="auto"/>
          <w:szCs w:val="21"/>
          <w:highlight w:val="none"/>
        </w:rPr>
        <w:t>伴随服务的费用已含在合同价中，不单独进行支付。</w:t>
      </w:r>
    </w:p>
    <w:p>
      <w:pPr>
        <w:spacing w:before="312" w:beforeLines="100" w:after="312" w:afterLines="100" w:line="360" w:lineRule="auto"/>
        <w:ind w:left="-2"/>
        <w:jc w:val="center"/>
        <w:rPr>
          <w:rFonts w:hint="eastAsia" w:ascii="宋体" w:hAnsi="宋体"/>
          <w:color w:val="auto"/>
          <w:kern w:val="10"/>
          <w:sz w:val="24"/>
          <w:highlight w:val="none"/>
        </w:rPr>
      </w:pPr>
      <w:r>
        <w:rPr>
          <w:rFonts w:hint="eastAsia" w:hAnsi="宋体"/>
          <w:color w:val="auto"/>
          <w:kern w:val="10"/>
          <w:sz w:val="24"/>
          <w:highlight w:val="none"/>
        </w:rPr>
        <w:t xml:space="preserve">第六章  </w:t>
      </w:r>
      <w:r>
        <w:rPr>
          <w:rFonts w:hint="eastAsia" w:ascii="宋体" w:hAnsi="宋体"/>
          <w:color w:val="auto"/>
          <w:kern w:val="10"/>
          <w:sz w:val="24"/>
          <w:highlight w:val="none"/>
        </w:rPr>
        <w:t>清点验收</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验收</w:t>
      </w:r>
      <w:r>
        <w:rPr>
          <w:rFonts w:hint="eastAsia" w:ascii="宋体" w:hAnsi="宋体"/>
          <w:color w:val="auto"/>
          <w:kern w:val="10"/>
          <w:szCs w:val="21"/>
          <w:highlight w:val="none"/>
        </w:rPr>
        <w:t>按国家有关的规定、规范及本合同的有关约定进行。</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在产品出厂前，供货商应对产品的质量、性能等进行详细、全面的检验，并出具全部检验证明，该证明应当于产品运达到货地点的同时或之前交给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。但该证明并不作为产品符合合同要求的依据。</w:t>
      </w:r>
      <w:r>
        <w:rPr>
          <w:rFonts w:hint="eastAsia" w:ascii="宋体" w:hAnsi="宋体"/>
          <w:color w:val="auto"/>
          <w:kern w:val="10"/>
          <w:szCs w:val="21"/>
          <w:highlight w:val="none"/>
        </w:rPr>
        <w:t xml:space="preserve"> </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产品抵达到货地点后，买卖双方应在到货现场及时对产品进行一般性检验（指对产品规格、数量、外观及相关法律证件等进行的检验，下同），并保留图像资料。检验合格的，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应根据本合同的规定按时支付货款；如发现产品有任何损坏、缺陷、短少时（包括由于运输原因造成的），供货商应及时更换或补足，</w:t>
      </w:r>
      <w:r>
        <w:rPr>
          <w:rFonts w:hint="eastAsia" w:ascii="宋体" w:hAnsi="宋体"/>
          <w:color w:val="auto"/>
          <w:kern w:val="10"/>
          <w:szCs w:val="21"/>
          <w:highlight w:val="none"/>
        </w:rPr>
        <w:t>如因此造成延期供货，</w:t>
      </w:r>
      <w:r>
        <w:rPr>
          <w:rFonts w:hint="eastAsia" w:ascii="宋体" w:hAnsi="宋体"/>
          <w:color w:val="auto"/>
          <w:kern w:val="10"/>
          <w:szCs w:val="21"/>
          <w:highlight w:val="none"/>
          <w:lang w:eastAsia="zh-CN"/>
        </w:rPr>
        <w:t>采购人</w:t>
      </w:r>
      <w:r>
        <w:rPr>
          <w:rFonts w:hint="eastAsia" w:ascii="宋体" w:hAnsi="宋体"/>
          <w:color w:val="auto"/>
          <w:kern w:val="10"/>
          <w:szCs w:val="21"/>
          <w:highlight w:val="none"/>
        </w:rPr>
        <w:t>有权按延期交货索赔。</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供货商应在将产品移交</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之前或同时，将与该产品有关的全部法律证件提交</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审核确认。如供货商所供货物为原装进口产品的,应提供相关的进口证明文件。经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审核认为上述文件不全或存在瑕疵的，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有权拒绝支付货款。</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对上述文件的审核并不解除供货商对产品所负的权利担保责任。</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szCs w:val="21"/>
          <w:highlight w:val="none"/>
        </w:rPr>
        <w:t>设备安装开始前，</w:t>
      </w:r>
      <w:r>
        <w:rPr>
          <w:rFonts w:hint="eastAsia" w:ascii="宋体" w:hAnsi="宋体"/>
          <w:color w:val="auto"/>
          <w:szCs w:val="21"/>
          <w:highlight w:val="none"/>
          <w:lang w:eastAsia="zh-CN"/>
        </w:rPr>
        <w:t>采购人</w:t>
      </w:r>
      <w:r>
        <w:rPr>
          <w:rFonts w:hint="eastAsia" w:ascii="宋体" w:hAnsi="宋体"/>
          <w:color w:val="auto"/>
          <w:szCs w:val="21"/>
          <w:highlight w:val="none"/>
        </w:rPr>
        <w:t>与中标（成交）投标人共同查验设备的使用说明书、标签、包装是否符合国家有关标准或规定；设备的外观质量、外型尺寸是否符合合同要求；数量、设备内容是否与合同、产品说明书一致。</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产品全部安装、调试完成后，买卖双方将根据招投标文件规定一起对产品进行测试、验收；测试或验收不合格的，供货商应根据要求及时进行整改并承担由此造成的一切损失。合同到货期及安装期等期限不予变更，由此造成的违约由供货商承担责任。供货商不能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规定的时间内整改完成的，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可解除合同。</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不管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是否根据本合同对供货商所供产品进行了检验，也不管检验结果如何，都不能解除供货商对所供产品本身质量缺陷所应承担的责任。</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货物到货后，由采购单位根据合同规定的技术、服务、安全标准要求进行验收，并出具验收书。验收书应当包括每一项技术、服务、安全标准的履约情况。</w:t>
      </w:r>
    </w:p>
    <w:p>
      <w:pPr>
        <w:numPr>
          <w:ilvl w:val="0"/>
          <w:numId w:val="2"/>
        </w:numPr>
        <w:spacing w:line="360" w:lineRule="auto"/>
        <w:rPr>
          <w:rFonts w:hint="eastAsia" w:ascii="宋体" w:hAnsi="宋体"/>
          <w:color w:val="auto"/>
          <w:kern w:val="10"/>
          <w:sz w:val="24"/>
          <w:highlight w:val="none"/>
        </w:rPr>
      </w:pPr>
      <w:r>
        <w:rPr>
          <w:rFonts w:hint="eastAsia" w:ascii="宋体" w:hAnsi="宋体" w:cs="宋体"/>
          <w:color w:val="auto"/>
          <w:szCs w:val="21"/>
          <w:highlight w:val="none"/>
        </w:rPr>
        <w:t>买卖双方对产品质量有争议的，双方同意均可申请由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委托的技术质量监督部门检验；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认为必要时也可随时邀请上述技术质量监督部门检验。上述检验费用由责任方承担。</w:t>
      </w:r>
    </w:p>
    <w:p>
      <w:pPr>
        <w:numPr>
          <w:ilvl w:val="0"/>
          <w:numId w:val="2"/>
        </w:numPr>
        <w:spacing w:line="360" w:lineRule="auto"/>
        <w:rPr>
          <w:rFonts w:hint="eastAsia" w:eastAsia="宋体"/>
          <w:color w:val="auto"/>
          <w:highlight w:val="none"/>
          <w:lang w:eastAsia="zh-CN"/>
        </w:rPr>
      </w:pPr>
      <w:r>
        <w:rPr>
          <w:rFonts w:hint="eastAsia" w:ascii="宋体" w:hAnsi="宋体" w:cs="宋体"/>
          <w:color w:val="auto"/>
          <w:szCs w:val="21"/>
          <w:highlight w:val="none"/>
          <w:lang w:eastAsia="zh-CN"/>
        </w:rPr>
        <w:t>乙方拆除所有的旧设备均交由甲方处置。</w:t>
      </w:r>
    </w:p>
    <w:p>
      <w:pPr>
        <w:spacing w:before="312" w:beforeLines="100" w:after="312" w:afterLines="100" w:line="360" w:lineRule="auto"/>
        <w:jc w:val="center"/>
        <w:rPr>
          <w:rFonts w:hint="eastAsia" w:ascii="宋体" w:hAnsi="宋体" w:cs="宋体"/>
          <w:color w:val="auto"/>
          <w:kern w:val="10"/>
          <w:sz w:val="24"/>
          <w:szCs w:val="24"/>
          <w:highlight w:val="none"/>
        </w:rPr>
      </w:pPr>
      <w:r>
        <w:rPr>
          <w:rFonts w:hint="eastAsia" w:hAnsi="宋体" w:cs="宋体"/>
          <w:color w:val="auto"/>
          <w:kern w:val="10"/>
          <w:sz w:val="24"/>
          <w:szCs w:val="24"/>
          <w:highlight w:val="none"/>
        </w:rPr>
        <w:t xml:space="preserve">第七章  </w:t>
      </w:r>
      <w:r>
        <w:rPr>
          <w:rFonts w:hint="eastAsia" w:ascii="宋体" w:hAnsi="宋体" w:cs="宋体"/>
          <w:color w:val="auto"/>
          <w:kern w:val="10"/>
          <w:sz w:val="24"/>
          <w:szCs w:val="24"/>
          <w:highlight w:val="none"/>
        </w:rPr>
        <w:t>双方权利义务</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甲方</w:t>
      </w:r>
      <w:r>
        <w:rPr>
          <w:rFonts w:hint="eastAsia" w:ascii="宋体" w:hAnsi="宋体"/>
          <w:color w:val="auto"/>
          <w:kern w:val="10"/>
          <w:szCs w:val="21"/>
          <w:highlight w:val="none"/>
        </w:rPr>
        <w:t>权利、义务</w:t>
      </w:r>
    </w:p>
    <w:p>
      <w:pPr>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 xml:space="preserve"> 1、审定乙方拟定的供货流程。</w:t>
      </w:r>
    </w:p>
    <w:p>
      <w:pPr>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 xml:space="preserve"> 2、检查、监督乙方工作的实施及制度的执行情况。</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乙方</w:t>
      </w:r>
      <w:r>
        <w:rPr>
          <w:rFonts w:hint="eastAsia" w:ascii="宋体" w:hAnsi="宋体"/>
          <w:color w:val="auto"/>
          <w:kern w:val="10"/>
          <w:szCs w:val="21"/>
          <w:highlight w:val="none"/>
        </w:rPr>
        <w:t>权利、义务</w:t>
      </w:r>
    </w:p>
    <w:p>
      <w:pPr>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1、严格执行相关行业的标准和规范，根据国家相关标准及文件规定交货。</w:t>
      </w:r>
    </w:p>
    <w:p>
      <w:pPr>
        <w:tabs>
          <w:tab w:val="left" w:pos="360"/>
          <w:tab w:val="left" w:pos="540"/>
          <w:tab w:val="left" w:pos="720"/>
        </w:tabs>
        <w:spacing w:line="360" w:lineRule="auto"/>
        <w:ind w:firstLine="420" w:firstLineChars="200"/>
        <w:rPr>
          <w:rFonts w:hint="eastAsia" w:hAnsi="宋体"/>
          <w:color w:val="auto"/>
          <w:kern w:val="10"/>
          <w:szCs w:val="21"/>
          <w:highlight w:val="none"/>
        </w:rPr>
      </w:pPr>
      <w:r>
        <w:rPr>
          <w:rFonts w:hint="eastAsia" w:ascii="宋体" w:hAnsi="宋体"/>
          <w:color w:val="auto"/>
          <w:kern w:val="10"/>
          <w:szCs w:val="21"/>
          <w:highlight w:val="none"/>
        </w:rPr>
        <w:t>2、保证按时按质量向甲方交货，避免发生不能按时按要求供货的情况，如因乙方原因不能按时按要求供货，致使甲方正常工作受到影响，由此造成一切损失由乙方承担。</w:t>
      </w:r>
    </w:p>
    <w:p>
      <w:pPr>
        <w:spacing w:before="312" w:beforeLines="100" w:after="312" w:afterLines="100" w:line="360" w:lineRule="auto"/>
        <w:jc w:val="center"/>
        <w:rPr>
          <w:rFonts w:hint="eastAsia" w:ascii="宋体" w:hAnsi="宋体"/>
          <w:color w:val="auto"/>
          <w:kern w:val="10"/>
          <w:sz w:val="24"/>
          <w:highlight w:val="none"/>
        </w:rPr>
      </w:pPr>
      <w:r>
        <w:rPr>
          <w:rFonts w:hint="eastAsia" w:hAnsi="宋体"/>
          <w:color w:val="auto"/>
          <w:kern w:val="10"/>
          <w:sz w:val="24"/>
          <w:highlight w:val="none"/>
        </w:rPr>
        <w:t xml:space="preserve">第八章  </w:t>
      </w:r>
      <w:r>
        <w:rPr>
          <w:rFonts w:hint="eastAsia" w:ascii="宋体" w:hAnsi="宋体"/>
          <w:color w:val="auto"/>
          <w:kern w:val="10"/>
          <w:sz w:val="24"/>
          <w:highlight w:val="none"/>
        </w:rPr>
        <w:t>质保期及售后服务</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供货商应告知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产品的使用、维护、保养等有关注意事项，并根据招投标文件要求对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人员进行培训。</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szCs w:val="21"/>
          <w:highlight w:val="none"/>
        </w:rPr>
        <w:t>在质量保期内，如果货物的质量、规格、技术指标等与合同有任何一项不符，买方应尽快以书面形式向卖方提出索赔。</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szCs w:val="21"/>
          <w:highlight w:val="none"/>
        </w:rPr>
        <w:t>质保期</w:t>
      </w:r>
      <w:r>
        <w:rPr>
          <w:rFonts w:hint="eastAsia" w:ascii="宋体" w:hAnsi="宋体" w:cs="宋体"/>
          <w:color w:val="auto"/>
          <w:kern w:val="10"/>
          <w:szCs w:val="21"/>
          <w:highlight w:val="none"/>
        </w:rPr>
        <w:t>内，如货物或零件因非人为因素出现故障造成短期停用时，则质保期和免费维修期相应顺延。如停用时间累计超过60天则质保期重新计算。</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kern w:val="10"/>
          <w:szCs w:val="21"/>
          <w:highlight w:val="none"/>
        </w:rPr>
        <w:t>有完善的售后服务系统，</w:t>
      </w:r>
      <w:r>
        <w:rPr>
          <w:rFonts w:hint="eastAsia"/>
          <w:color w:val="auto"/>
          <w:kern w:val="0"/>
          <w:szCs w:val="21"/>
          <w:highlight w:val="none"/>
        </w:rPr>
        <w:t>提供热线及专属客户经理电话全年7*24小时的不间断服务，故障响应时间不超过10分钟，24小时内到达现场。必须有相应的应急保障设备支持，以保证业务正常运转。</w:t>
      </w:r>
      <w:r>
        <w:rPr>
          <w:rFonts w:hint="eastAsia" w:ascii="宋体" w:hAnsi="宋体" w:cs="宋体"/>
          <w:color w:val="auto"/>
          <w:szCs w:val="21"/>
          <w:highlight w:val="none"/>
        </w:rPr>
        <w:t>若供货商未能及时维修，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有权自行委托第三方进行维修，相关费用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有权在质量保修金中扣除，不足部分供货商予以赔偿。</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kern w:val="10"/>
          <w:szCs w:val="21"/>
          <w:highlight w:val="none"/>
        </w:rPr>
        <w:t>乙方在质保期内安装的任何零配件，必须是其投标生产厂家原产的或是经其认可的；所有的替代零配件必须是新的未使用和未经修复的,除非最终用户提供书面许可，否则不可使用此范围外的其他（非新的）配件。</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kern w:val="10"/>
          <w:szCs w:val="21"/>
          <w:highlight w:val="none"/>
        </w:rPr>
        <w:t>保修期内所有因更换或修理机械设备或部件而导致设备停止使用的时间应从其质保期内扣除。</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kern w:val="10"/>
          <w:szCs w:val="21"/>
          <w:highlight w:val="none"/>
        </w:rPr>
        <w:t>在</w:t>
      </w:r>
      <w:r>
        <w:rPr>
          <w:rFonts w:hint="eastAsia" w:ascii="宋体" w:hAnsi="宋体" w:cs="宋体"/>
          <w:color w:val="auto"/>
          <w:szCs w:val="21"/>
          <w:highlight w:val="none"/>
        </w:rPr>
        <w:t>产品安装、调试时，供货商应根据招标文件要求进行指导配合。</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kern w:val="10"/>
          <w:szCs w:val="21"/>
          <w:highlight w:val="none"/>
        </w:rPr>
        <w:t>有直接设立的、足够的售后服务机构，并正常经营一年以上，配备有足够的、有相应资质的工程技术人员。设备品质和售后服务由乙方对甲方和最终用户负责。</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kern w:val="10"/>
          <w:szCs w:val="21"/>
          <w:highlight w:val="none"/>
        </w:rPr>
        <w:t>在质保期内乙方必须为最终用户提供技术服务热线，负责解答用户在设备使用中遇到的问题，并及时提出解决问题的建议和操作方法。当设备发生非人为因素严重故障时，乙方应当免费在3 日内将补充或者更换的机械设备运抵发生故障的机械设备所在地，由此产生的一切相关费用由乙方负担。</w:t>
      </w:r>
    </w:p>
    <w:p>
      <w:pPr>
        <w:numPr>
          <w:ilvl w:val="0"/>
          <w:numId w:val="2"/>
        </w:numPr>
        <w:spacing w:line="360" w:lineRule="auto"/>
        <w:rPr>
          <w:rFonts w:hint="eastAsia" w:ascii="宋体" w:hAnsi="宋体" w:cs="宋体"/>
          <w:color w:val="auto"/>
          <w:kern w:val="10"/>
          <w:szCs w:val="21"/>
          <w:highlight w:val="none"/>
        </w:rPr>
      </w:pPr>
      <w:r>
        <w:rPr>
          <w:rFonts w:hint="eastAsia" w:ascii="宋体" w:hAnsi="宋体" w:cs="宋体"/>
          <w:color w:val="auto"/>
          <w:szCs w:val="21"/>
          <w:highlight w:val="none"/>
        </w:rPr>
        <w:t>如非供货商原因造成的质量问题，供货商有义务根据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的要求进行维修或配合维修，如需更换产品或配件，价格按本合同签订时的市场价执行。</w:t>
      </w:r>
    </w:p>
    <w:p>
      <w:pPr>
        <w:spacing w:before="312" w:beforeLines="100" w:after="312" w:afterLines="100" w:line="360" w:lineRule="auto"/>
        <w:jc w:val="center"/>
        <w:rPr>
          <w:rFonts w:hint="eastAsia" w:ascii="宋体" w:hAnsi="宋体"/>
          <w:color w:val="auto"/>
          <w:kern w:val="10"/>
          <w:sz w:val="24"/>
          <w:highlight w:val="none"/>
        </w:rPr>
      </w:pPr>
      <w:r>
        <w:rPr>
          <w:rFonts w:hint="eastAsia" w:hAnsi="宋体"/>
          <w:color w:val="auto"/>
          <w:kern w:val="10"/>
          <w:sz w:val="24"/>
          <w:highlight w:val="none"/>
        </w:rPr>
        <w:t xml:space="preserve">第九章  </w:t>
      </w:r>
      <w:r>
        <w:rPr>
          <w:rFonts w:hint="eastAsia" w:ascii="宋体" w:hAnsi="宋体"/>
          <w:color w:val="auto"/>
          <w:kern w:val="10"/>
          <w:sz w:val="24"/>
          <w:highlight w:val="none"/>
        </w:rPr>
        <w:t>违约责任及罚则</w:t>
      </w:r>
    </w:p>
    <w:p>
      <w:pPr>
        <w:numPr>
          <w:ilvl w:val="0"/>
          <w:numId w:val="2"/>
        </w:numPr>
        <w:spacing w:line="360" w:lineRule="auto"/>
        <w:rPr>
          <w:rFonts w:hint="eastAsia" w:ascii="宋体" w:hAnsi="宋体"/>
          <w:color w:val="auto"/>
          <w:kern w:val="10"/>
          <w:szCs w:val="21"/>
          <w:highlight w:val="none"/>
        </w:rPr>
      </w:pPr>
      <w:r>
        <w:rPr>
          <w:rFonts w:hint="eastAsia" w:ascii="宋体" w:hAnsi="宋体" w:cs="宋体"/>
          <w:color w:val="auto"/>
          <w:szCs w:val="21"/>
          <w:highlight w:val="none"/>
        </w:rPr>
        <w:t>供货商迟延交货的，每迟延1天应向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支付迟延部分产品价款2%的违约金，违约金累计达10%时，视为供货商不能交货，供货商在承担违约金的同时还应赔偿</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由此遭受的损失。</w:t>
      </w:r>
      <w:r>
        <w:rPr>
          <w:rFonts w:hint="eastAsia" w:ascii="宋体" w:hAnsi="宋体"/>
          <w:color w:val="auto"/>
          <w:kern w:val="10"/>
          <w:szCs w:val="21"/>
          <w:highlight w:val="none"/>
        </w:rPr>
        <w:t>；逾期半个月以上的，甲方有权单方解除合同，由此造成的甲方经济损失由乙方承担。</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供货商不能交货的，</w:t>
      </w:r>
      <w:r>
        <w:rPr>
          <w:rFonts w:hint="eastAsia" w:ascii="宋体" w:hAnsi="宋体"/>
          <w:color w:val="auto"/>
          <w:kern w:val="10"/>
          <w:szCs w:val="21"/>
          <w:highlight w:val="none"/>
          <w:lang w:eastAsia="zh-CN"/>
        </w:rPr>
        <w:t>采购人</w:t>
      </w:r>
      <w:r>
        <w:rPr>
          <w:rFonts w:hint="eastAsia" w:ascii="宋体" w:hAnsi="宋体"/>
          <w:color w:val="auto"/>
          <w:kern w:val="10"/>
          <w:szCs w:val="21"/>
          <w:highlight w:val="none"/>
        </w:rPr>
        <w:t>有权解除全部或部分合同。供货商应向</w:t>
      </w:r>
      <w:r>
        <w:rPr>
          <w:rFonts w:hint="eastAsia" w:ascii="宋体" w:hAnsi="宋体"/>
          <w:color w:val="auto"/>
          <w:kern w:val="10"/>
          <w:szCs w:val="21"/>
          <w:highlight w:val="none"/>
          <w:lang w:eastAsia="zh-CN"/>
        </w:rPr>
        <w:t>采购人</w:t>
      </w:r>
      <w:r>
        <w:rPr>
          <w:rFonts w:hint="eastAsia" w:ascii="宋体" w:hAnsi="宋体"/>
          <w:color w:val="auto"/>
          <w:kern w:val="10"/>
          <w:szCs w:val="21"/>
          <w:highlight w:val="none"/>
        </w:rPr>
        <w:t>支付合同被解除部分总价款10%的违约金。</w:t>
      </w:r>
    </w:p>
    <w:p>
      <w:pPr>
        <w:spacing w:line="360" w:lineRule="auto"/>
        <w:ind w:firstLine="480"/>
        <w:rPr>
          <w:rFonts w:hint="eastAsia" w:ascii="宋体" w:hAnsi="宋体"/>
          <w:color w:val="auto"/>
          <w:kern w:val="10"/>
          <w:szCs w:val="21"/>
          <w:highlight w:val="none"/>
        </w:rPr>
      </w:pPr>
      <w:r>
        <w:rPr>
          <w:rFonts w:hint="eastAsia" w:ascii="宋体" w:hAnsi="宋体"/>
          <w:color w:val="auto"/>
          <w:kern w:val="10"/>
          <w:szCs w:val="21"/>
          <w:highlight w:val="none"/>
        </w:rPr>
        <w:t xml:space="preserve"> 第</w:t>
      </w:r>
      <w:r>
        <w:rPr>
          <w:rFonts w:hint="eastAsia" w:hAnsi="宋体"/>
          <w:color w:val="auto"/>
          <w:kern w:val="10"/>
          <w:szCs w:val="21"/>
          <w:highlight w:val="none"/>
        </w:rPr>
        <w:t>三十三</w:t>
      </w:r>
      <w:r>
        <w:rPr>
          <w:rFonts w:hint="eastAsia" w:ascii="宋体" w:hAnsi="宋体"/>
          <w:color w:val="auto"/>
          <w:kern w:val="10"/>
          <w:szCs w:val="21"/>
          <w:highlight w:val="none"/>
        </w:rPr>
        <w:t>条  乙方交付的货物不符合招标文件、招标文件或本合同约定的，甲方有权拒收，并且乙方须向甲方支付相应</w:t>
      </w:r>
      <w:r>
        <w:rPr>
          <w:rFonts w:hint="eastAsia" w:hAnsi="宋体"/>
          <w:color w:val="auto"/>
          <w:kern w:val="10"/>
          <w:szCs w:val="21"/>
          <w:highlight w:val="none"/>
        </w:rPr>
        <w:t>货物</w:t>
      </w:r>
      <w:r>
        <w:rPr>
          <w:rFonts w:hint="eastAsia" w:ascii="宋体" w:hAnsi="宋体"/>
          <w:color w:val="auto"/>
          <w:kern w:val="10"/>
          <w:szCs w:val="21"/>
          <w:highlight w:val="none"/>
        </w:rPr>
        <w:t>价款</w:t>
      </w:r>
      <w:r>
        <w:rPr>
          <w:rFonts w:hint="eastAsia" w:hAnsi="宋体"/>
          <w:color w:val="auto"/>
          <w:kern w:val="10"/>
          <w:szCs w:val="21"/>
          <w:highlight w:val="none"/>
        </w:rPr>
        <w:t>一定比例的</w:t>
      </w:r>
      <w:r>
        <w:rPr>
          <w:rFonts w:hint="eastAsia" w:ascii="宋体" w:hAnsi="宋体"/>
          <w:color w:val="auto"/>
          <w:kern w:val="10"/>
          <w:szCs w:val="21"/>
          <w:highlight w:val="none"/>
        </w:rPr>
        <w:t>违约金。因此造成交货逾期的并应按前条执行。</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甲方无正当理由拒收货物，拒付到期货物款项的，甲方向乙方偿付相应</w:t>
      </w:r>
      <w:r>
        <w:rPr>
          <w:rFonts w:hint="eastAsia" w:hAnsi="宋体"/>
          <w:color w:val="auto"/>
          <w:kern w:val="10"/>
          <w:szCs w:val="21"/>
          <w:highlight w:val="none"/>
        </w:rPr>
        <w:t>货物</w:t>
      </w:r>
      <w:r>
        <w:rPr>
          <w:rFonts w:hint="eastAsia" w:ascii="宋体" w:hAnsi="宋体"/>
          <w:color w:val="auto"/>
          <w:kern w:val="10"/>
          <w:szCs w:val="21"/>
          <w:highlight w:val="none"/>
        </w:rPr>
        <w:t>价款的</w:t>
      </w:r>
      <w:r>
        <w:rPr>
          <w:rFonts w:hint="eastAsia" w:hAnsi="宋体"/>
          <w:color w:val="auto"/>
          <w:kern w:val="10"/>
          <w:szCs w:val="21"/>
          <w:highlight w:val="none"/>
        </w:rPr>
        <w:t>一定比例</w:t>
      </w:r>
      <w:r>
        <w:rPr>
          <w:rFonts w:hint="eastAsia" w:ascii="宋体" w:hAnsi="宋体"/>
          <w:color w:val="auto"/>
          <w:kern w:val="10"/>
          <w:szCs w:val="21"/>
          <w:highlight w:val="none"/>
        </w:rPr>
        <w:t>的违约金。甲方逾期付款，则每日按相应</w:t>
      </w:r>
      <w:r>
        <w:rPr>
          <w:rFonts w:hint="eastAsia" w:hAnsi="宋体"/>
          <w:color w:val="auto"/>
          <w:kern w:val="10"/>
          <w:szCs w:val="21"/>
          <w:highlight w:val="none"/>
        </w:rPr>
        <w:t>货物</w:t>
      </w:r>
      <w:r>
        <w:rPr>
          <w:rFonts w:hint="eastAsia" w:ascii="宋体" w:hAnsi="宋体"/>
          <w:color w:val="auto"/>
          <w:kern w:val="10"/>
          <w:szCs w:val="21"/>
          <w:highlight w:val="none"/>
        </w:rPr>
        <w:t>价款的</w:t>
      </w:r>
      <w:r>
        <w:rPr>
          <w:rFonts w:hint="eastAsia" w:hAnsi="宋体"/>
          <w:color w:val="auto"/>
          <w:kern w:val="10"/>
          <w:szCs w:val="21"/>
          <w:highlight w:val="none"/>
        </w:rPr>
        <w:t>一定比例</w:t>
      </w:r>
      <w:r>
        <w:rPr>
          <w:rFonts w:hint="eastAsia" w:ascii="宋体" w:hAnsi="宋体"/>
          <w:color w:val="auto"/>
          <w:kern w:val="10"/>
          <w:szCs w:val="21"/>
          <w:highlight w:val="none"/>
        </w:rPr>
        <w:t>向乙方偿付违约金。</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因供货商所交产品本身质量问题，给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或第三人人身、财产造成损害的，供货商承担一切赔偿责任。</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对于供货商应向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支付的违约金、损失赔偿金，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可以直接从产品价款、质量保修金中扣除。</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 xml:space="preserve">以下情况乙方不承担责任： </w:t>
      </w:r>
    </w:p>
    <w:p>
      <w:pPr>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1、因不可抗力导致</w:t>
      </w:r>
      <w:r>
        <w:rPr>
          <w:rFonts w:hint="eastAsia" w:hAnsi="宋体"/>
          <w:color w:val="auto"/>
          <w:kern w:val="10"/>
          <w:szCs w:val="21"/>
          <w:highlight w:val="none"/>
        </w:rPr>
        <w:t>无法按时供货</w:t>
      </w:r>
      <w:r>
        <w:rPr>
          <w:rFonts w:hint="eastAsia" w:ascii="宋体" w:hAnsi="宋体"/>
          <w:color w:val="auto"/>
          <w:kern w:val="10"/>
          <w:szCs w:val="21"/>
          <w:highlight w:val="none"/>
        </w:rPr>
        <w:t>的；</w:t>
      </w:r>
    </w:p>
    <w:p>
      <w:pPr>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2、因院方原因未及时</w:t>
      </w:r>
      <w:r>
        <w:rPr>
          <w:rFonts w:hint="eastAsia" w:hAnsi="宋体"/>
          <w:color w:val="auto"/>
          <w:kern w:val="10"/>
          <w:szCs w:val="21"/>
          <w:highlight w:val="none"/>
        </w:rPr>
        <w:t>验收</w:t>
      </w:r>
      <w:r>
        <w:rPr>
          <w:rFonts w:hint="eastAsia" w:ascii="宋体" w:hAnsi="宋体"/>
          <w:color w:val="auto"/>
          <w:kern w:val="10"/>
          <w:szCs w:val="21"/>
          <w:highlight w:val="none"/>
        </w:rPr>
        <w:t>的。</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合同的期限</w:t>
      </w:r>
    </w:p>
    <w:p>
      <w:pPr>
        <w:spacing w:line="360" w:lineRule="auto"/>
        <w:ind w:firstLine="420" w:firstLineChars="200"/>
        <w:jc w:val="left"/>
        <w:rPr>
          <w:rFonts w:ascii="宋体" w:hAnsi="宋体"/>
          <w:color w:val="auto"/>
          <w:kern w:val="10"/>
          <w:szCs w:val="21"/>
          <w:highlight w:val="none"/>
        </w:rPr>
      </w:pPr>
      <w:r>
        <w:rPr>
          <w:rFonts w:hint="eastAsia" w:ascii="宋体" w:hAnsi="宋体"/>
          <w:color w:val="auto"/>
          <w:kern w:val="10"/>
          <w:szCs w:val="21"/>
          <w:highlight w:val="none"/>
        </w:rPr>
        <w:t>1、本合同</w:t>
      </w:r>
      <w:r>
        <w:rPr>
          <w:rFonts w:hint="eastAsia" w:hAnsi="宋体"/>
          <w:color w:val="auto"/>
          <w:kern w:val="10"/>
          <w:szCs w:val="21"/>
          <w:highlight w:val="none"/>
        </w:rPr>
        <w:t>期限</w:t>
      </w:r>
      <w:r>
        <w:rPr>
          <w:rFonts w:hint="eastAsia" w:ascii="宋体" w:hAnsi="宋体"/>
          <w:color w:val="auto"/>
          <w:kern w:val="10"/>
          <w:szCs w:val="21"/>
          <w:highlight w:val="none"/>
        </w:rPr>
        <w:t>为</w:t>
      </w:r>
      <w:r>
        <w:rPr>
          <w:rFonts w:hint="eastAsia" w:ascii="宋体" w:hAnsi="宋体"/>
          <w:color w:val="auto"/>
          <w:kern w:val="10"/>
          <w:szCs w:val="21"/>
          <w:highlight w:val="none"/>
          <w:u w:val="single"/>
        </w:rPr>
        <w:t xml:space="preserve">  </w:t>
      </w:r>
      <w:r>
        <w:rPr>
          <w:rFonts w:hint="eastAsia" w:hAnsi="宋体"/>
          <w:color w:val="auto"/>
          <w:kern w:val="10"/>
          <w:szCs w:val="21"/>
          <w:highlight w:val="none"/>
          <w:u w:val="single"/>
        </w:rPr>
        <w:t xml:space="preserve"> </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年。</w:t>
      </w:r>
    </w:p>
    <w:p>
      <w:pPr>
        <w:tabs>
          <w:tab w:val="left" w:pos="360"/>
          <w:tab w:val="left" w:pos="540"/>
        </w:tabs>
        <w:spacing w:line="360" w:lineRule="auto"/>
        <w:ind w:firstLine="420" w:firstLineChars="200"/>
        <w:jc w:val="left"/>
        <w:rPr>
          <w:rFonts w:hint="eastAsia" w:ascii="宋体" w:hAnsi="宋体"/>
          <w:color w:val="auto"/>
          <w:kern w:val="10"/>
          <w:szCs w:val="21"/>
          <w:highlight w:val="none"/>
        </w:rPr>
      </w:pPr>
      <w:r>
        <w:rPr>
          <w:rFonts w:hint="eastAsia" w:ascii="宋体" w:hAnsi="宋体"/>
          <w:color w:val="auto"/>
          <w:kern w:val="10"/>
          <w:szCs w:val="21"/>
          <w:highlight w:val="none"/>
        </w:rPr>
        <w:t>2、</w:t>
      </w:r>
      <w:r>
        <w:rPr>
          <w:rFonts w:hint="eastAsia" w:hAnsi="宋体"/>
          <w:color w:val="auto"/>
          <w:kern w:val="10"/>
          <w:szCs w:val="21"/>
          <w:highlight w:val="none"/>
        </w:rPr>
        <w:t>乙方</w:t>
      </w:r>
      <w:r>
        <w:rPr>
          <w:rFonts w:hint="eastAsia" w:ascii="宋体" w:hAnsi="宋体"/>
          <w:color w:val="auto"/>
          <w:kern w:val="10"/>
          <w:szCs w:val="21"/>
          <w:highlight w:val="none"/>
        </w:rPr>
        <w:t>未遵守国家法律法规及安全条例，造成重大事故的，甲方有权终止合同。一切责任后果由乙方承担。</w:t>
      </w:r>
    </w:p>
    <w:p>
      <w:pPr>
        <w:spacing w:before="312" w:beforeLines="100" w:after="312" w:afterLines="100" w:line="360" w:lineRule="auto"/>
        <w:ind w:hanging="2"/>
        <w:jc w:val="center"/>
        <w:rPr>
          <w:rFonts w:hint="eastAsia" w:ascii="宋体" w:hAnsi="宋体"/>
          <w:color w:val="auto"/>
          <w:kern w:val="10"/>
          <w:sz w:val="24"/>
          <w:highlight w:val="none"/>
        </w:rPr>
      </w:pPr>
      <w:r>
        <w:rPr>
          <w:rFonts w:hint="eastAsia" w:hAnsi="宋体"/>
          <w:color w:val="auto"/>
          <w:kern w:val="10"/>
          <w:sz w:val="24"/>
          <w:highlight w:val="none"/>
        </w:rPr>
        <w:t xml:space="preserve">第十一章  </w:t>
      </w:r>
      <w:r>
        <w:rPr>
          <w:rFonts w:hint="eastAsia" w:ascii="宋体" w:hAnsi="宋体"/>
          <w:color w:val="auto"/>
          <w:kern w:val="10"/>
          <w:sz w:val="24"/>
          <w:highlight w:val="none"/>
        </w:rPr>
        <w:t>其他事项</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本合同期限自</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年</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月</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日起至</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年</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月</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日止。</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甲方与乙方签订</w:t>
      </w:r>
      <w:r>
        <w:rPr>
          <w:rFonts w:hint="eastAsia" w:hAnsi="宋体"/>
          <w:color w:val="auto"/>
          <w:kern w:val="10"/>
          <w:szCs w:val="21"/>
          <w:highlight w:val="none"/>
        </w:rPr>
        <w:t>采购</w:t>
      </w:r>
      <w:r>
        <w:rPr>
          <w:rFonts w:hint="eastAsia" w:ascii="宋体" w:hAnsi="宋体"/>
          <w:color w:val="auto"/>
          <w:kern w:val="10"/>
          <w:szCs w:val="21"/>
          <w:highlight w:val="none"/>
        </w:rPr>
        <w:t>合同后，即为乙方对接受本合同内容的承诺。</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其它责任</w:t>
      </w:r>
    </w:p>
    <w:p>
      <w:pPr>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1、本合同</w:t>
      </w:r>
      <w:r>
        <w:rPr>
          <w:rFonts w:hint="eastAsia" w:hAnsi="宋体"/>
          <w:color w:val="auto"/>
          <w:kern w:val="10"/>
          <w:szCs w:val="21"/>
          <w:highlight w:val="none"/>
        </w:rPr>
        <w:t>截止</w:t>
      </w:r>
      <w:r>
        <w:rPr>
          <w:rFonts w:hint="eastAsia" w:ascii="宋体" w:hAnsi="宋体"/>
          <w:color w:val="auto"/>
          <w:kern w:val="10"/>
          <w:szCs w:val="21"/>
          <w:highlight w:val="none"/>
        </w:rPr>
        <w:t>时，乙方应将</w:t>
      </w:r>
      <w:r>
        <w:rPr>
          <w:rFonts w:hint="eastAsia" w:hAnsi="宋体"/>
          <w:color w:val="auto"/>
          <w:kern w:val="10"/>
          <w:szCs w:val="21"/>
          <w:highlight w:val="none"/>
        </w:rPr>
        <w:t>货物</w:t>
      </w:r>
      <w:r>
        <w:rPr>
          <w:rFonts w:hint="eastAsia" w:ascii="宋体" w:hAnsi="宋体"/>
          <w:color w:val="auto"/>
          <w:kern w:val="10"/>
          <w:szCs w:val="21"/>
          <w:highlight w:val="none"/>
        </w:rPr>
        <w:t>及时完整地移交给甲方。</w:t>
      </w:r>
    </w:p>
    <w:p>
      <w:pPr>
        <w:tabs>
          <w:tab w:val="left" w:pos="360"/>
          <w:tab w:val="left" w:pos="540"/>
        </w:tabs>
        <w:spacing w:line="360" w:lineRule="auto"/>
        <w:ind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2、如一方地址、电话、传真号码有变更，应在变更当日内书面通知对方，否则，应承担相应责任。</w:t>
      </w:r>
    </w:p>
    <w:p>
      <w:pPr>
        <w:tabs>
          <w:tab w:val="left" w:pos="720"/>
        </w:tabs>
        <w:spacing w:line="360" w:lineRule="auto"/>
        <w:ind w:left="-2" w:leftChars="-1" w:firstLine="420" w:firstLineChars="200"/>
        <w:rPr>
          <w:rFonts w:hint="eastAsia" w:ascii="宋体" w:hAnsi="宋体"/>
          <w:color w:val="auto"/>
          <w:kern w:val="10"/>
          <w:szCs w:val="21"/>
          <w:highlight w:val="none"/>
        </w:rPr>
      </w:pPr>
      <w:r>
        <w:rPr>
          <w:rFonts w:hint="eastAsia" w:ascii="宋体" w:hAnsi="宋体"/>
          <w:color w:val="auto"/>
          <w:kern w:val="10"/>
          <w:szCs w:val="21"/>
          <w:highlight w:val="none"/>
        </w:rPr>
        <w:t>3、除甲方事先书面同意外，乙方不得部分或全部转让其应履行的合同项下的义务。</w:t>
      </w:r>
    </w:p>
    <w:p>
      <w:pPr>
        <w:tabs>
          <w:tab w:val="left" w:pos="0"/>
        </w:tabs>
        <w:spacing w:before="312" w:beforeLines="100" w:after="312" w:afterLines="100" w:line="360" w:lineRule="auto"/>
        <w:ind w:firstLine="237" w:firstLineChars="99"/>
        <w:jc w:val="center"/>
        <w:rPr>
          <w:rFonts w:hint="eastAsia" w:ascii="宋体" w:hAnsi="宋体"/>
          <w:color w:val="auto"/>
          <w:kern w:val="10"/>
          <w:sz w:val="24"/>
          <w:highlight w:val="none"/>
        </w:rPr>
      </w:pPr>
      <w:r>
        <w:rPr>
          <w:rFonts w:hint="eastAsia" w:ascii="宋体" w:hAnsi="宋体"/>
          <w:color w:val="auto"/>
          <w:kern w:val="10"/>
          <w:sz w:val="24"/>
          <w:highlight w:val="none"/>
        </w:rPr>
        <w:t>第</w:t>
      </w:r>
      <w:r>
        <w:rPr>
          <w:rFonts w:hint="eastAsia" w:hAnsi="宋体"/>
          <w:color w:val="auto"/>
          <w:kern w:val="10"/>
          <w:sz w:val="24"/>
          <w:highlight w:val="none"/>
        </w:rPr>
        <w:t>十二</w:t>
      </w:r>
      <w:r>
        <w:rPr>
          <w:rFonts w:hint="eastAsia" w:ascii="宋体" w:hAnsi="宋体"/>
          <w:color w:val="auto"/>
          <w:kern w:val="10"/>
          <w:sz w:val="24"/>
          <w:highlight w:val="none"/>
        </w:rPr>
        <w:t>章   争议解决</w:t>
      </w:r>
    </w:p>
    <w:p>
      <w:pPr>
        <w:numPr>
          <w:ilvl w:val="0"/>
          <w:numId w:val="2"/>
        </w:numPr>
        <w:spacing w:line="360" w:lineRule="auto"/>
        <w:rPr>
          <w:rFonts w:hint="eastAsia" w:ascii="宋体" w:hAnsi="宋体"/>
          <w:color w:val="auto"/>
          <w:kern w:val="10"/>
          <w:sz w:val="24"/>
          <w:highlight w:val="none"/>
        </w:rPr>
      </w:pPr>
      <w:r>
        <w:rPr>
          <w:rFonts w:hint="eastAsia" w:ascii="宋体" w:hAnsi="宋体"/>
          <w:color w:val="auto"/>
          <w:kern w:val="10"/>
          <w:szCs w:val="21"/>
          <w:highlight w:val="none"/>
        </w:rPr>
        <w:t>合同一经签订，双方应严格履行，如发生争议应协商解决，协商不成任何一方均可到甲方所在地人民法院提起诉讼。</w:t>
      </w:r>
    </w:p>
    <w:p>
      <w:pPr>
        <w:spacing w:before="312" w:beforeLines="100" w:after="312" w:afterLines="100" w:line="360" w:lineRule="auto"/>
        <w:jc w:val="center"/>
        <w:rPr>
          <w:rFonts w:hint="eastAsia" w:ascii="宋体" w:hAnsi="宋体"/>
          <w:color w:val="auto"/>
          <w:kern w:val="10"/>
          <w:sz w:val="24"/>
          <w:highlight w:val="none"/>
        </w:rPr>
      </w:pPr>
      <w:r>
        <w:rPr>
          <w:rFonts w:hint="eastAsia" w:ascii="宋体" w:hAnsi="宋体"/>
          <w:color w:val="auto"/>
          <w:kern w:val="10"/>
          <w:sz w:val="24"/>
          <w:highlight w:val="none"/>
        </w:rPr>
        <w:t>第</w:t>
      </w:r>
      <w:r>
        <w:rPr>
          <w:rFonts w:hint="eastAsia" w:hAnsi="宋体"/>
          <w:color w:val="auto"/>
          <w:kern w:val="10"/>
          <w:sz w:val="24"/>
          <w:highlight w:val="none"/>
        </w:rPr>
        <w:t>十三</w:t>
      </w:r>
      <w:r>
        <w:rPr>
          <w:rFonts w:hint="eastAsia" w:ascii="宋体" w:hAnsi="宋体"/>
          <w:color w:val="auto"/>
          <w:kern w:val="10"/>
          <w:sz w:val="24"/>
          <w:highlight w:val="none"/>
        </w:rPr>
        <w:t>章   附  则</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双方可对本合同的未尽事宜另行签署补充协议，补充协议与本合同具有同等法律效力。</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本合同及其附件和补充协议中未规定的事项，均遵照本合同有效期内国家的相关法律、法规、规章执行。</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本合同之附件、补充协议、原招标文件、投标文件均为合同有效组成部分。原招标文件、投标文件、本合同及其附件、补充协议内，空格部分填写的文字与打印文字具有同等法律效力。</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对甲方提出的特约事项，双方另行签订书面协议。</w:t>
      </w:r>
    </w:p>
    <w:p>
      <w:pPr>
        <w:numPr>
          <w:ilvl w:val="0"/>
          <w:numId w:val="2"/>
        </w:numPr>
        <w:spacing w:line="360" w:lineRule="auto"/>
        <w:rPr>
          <w:rFonts w:hint="eastAsia" w:ascii="宋体" w:hAnsi="宋体"/>
          <w:color w:val="auto"/>
          <w:kern w:val="10"/>
          <w:szCs w:val="21"/>
          <w:highlight w:val="none"/>
        </w:rPr>
      </w:pPr>
      <w:r>
        <w:rPr>
          <w:rFonts w:hint="eastAsia" w:ascii="宋体" w:hAnsi="宋体"/>
          <w:color w:val="auto"/>
          <w:kern w:val="10"/>
          <w:szCs w:val="21"/>
          <w:highlight w:val="none"/>
        </w:rPr>
        <w:t>本合同</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u w:val="single"/>
          <w:lang w:val="en-US" w:eastAsia="zh-CN"/>
        </w:rPr>
        <w:t xml:space="preserve">  </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式</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u w:val="single"/>
          <w:lang w:val="en-US" w:eastAsia="zh-CN"/>
        </w:rPr>
        <w:t xml:space="preserve">  </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份，采购人</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u w:val="single"/>
          <w:lang w:val="en-US" w:eastAsia="zh-CN"/>
        </w:rPr>
        <w:t xml:space="preserve">  </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份，</w:t>
      </w:r>
      <w:r>
        <w:rPr>
          <w:rFonts w:hint="eastAsia" w:ascii="宋体" w:hAnsi="宋体"/>
          <w:color w:val="auto"/>
          <w:kern w:val="10"/>
          <w:szCs w:val="21"/>
          <w:highlight w:val="none"/>
          <w:lang w:eastAsia="zh-CN"/>
        </w:rPr>
        <w:t>投标单位</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u w:val="single"/>
          <w:lang w:val="en-US" w:eastAsia="zh-CN"/>
        </w:rPr>
        <w:t xml:space="preserve">  </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份，财政局</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u w:val="single"/>
          <w:lang w:val="en-US" w:eastAsia="zh-CN"/>
        </w:rPr>
        <w:t xml:space="preserve">  </w:t>
      </w:r>
      <w:r>
        <w:rPr>
          <w:rFonts w:hint="eastAsia" w:ascii="宋体" w:hAnsi="宋体"/>
          <w:color w:val="auto"/>
          <w:kern w:val="10"/>
          <w:szCs w:val="21"/>
          <w:highlight w:val="none"/>
          <w:u w:val="single"/>
        </w:rPr>
        <w:t xml:space="preserve"> </w:t>
      </w:r>
      <w:r>
        <w:rPr>
          <w:rFonts w:hint="eastAsia" w:ascii="宋体" w:hAnsi="宋体"/>
          <w:color w:val="auto"/>
          <w:kern w:val="10"/>
          <w:szCs w:val="21"/>
          <w:highlight w:val="none"/>
        </w:rPr>
        <w:t>份，</w:t>
      </w:r>
      <w:r>
        <w:rPr>
          <w:rFonts w:hint="eastAsia" w:ascii="宋体" w:hAnsi="宋体" w:cs="宋体"/>
          <w:color w:val="auto"/>
          <w:szCs w:val="21"/>
          <w:highlight w:val="none"/>
        </w:rPr>
        <w:t>鉴证方</w:t>
      </w:r>
      <w:r>
        <w:rPr>
          <w:rFonts w:hint="eastAsia" w:ascii="宋体" w:hAnsi="宋体" w:cs="宋体"/>
          <w:color w:val="auto"/>
          <w:szCs w:val="21"/>
          <w:highlight w:val="none"/>
          <w:u w:val="single"/>
        </w:rPr>
        <w:t xml:space="preserve"> 壹 </w:t>
      </w:r>
      <w:r>
        <w:rPr>
          <w:rFonts w:hint="eastAsia" w:ascii="宋体" w:hAnsi="宋体" w:cs="宋体"/>
          <w:color w:val="auto"/>
          <w:szCs w:val="21"/>
          <w:highlight w:val="none"/>
        </w:rPr>
        <w:t>份</w:t>
      </w:r>
      <w:r>
        <w:rPr>
          <w:rFonts w:hint="eastAsia" w:ascii="宋体" w:hAnsi="宋体"/>
          <w:color w:val="auto"/>
          <w:kern w:val="10"/>
          <w:szCs w:val="21"/>
          <w:highlight w:val="none"/>
        </w:rPr>
        <w:t>。签字盖章后生效。</w:t>
      </w:r>
    </w:p>
    <w:p>
      <w:pPr>
        <w:tabs>
          <w:tab w:val="left" w:pos="0"/>
        </w:tabs>
        <w:spacing w:line="360" w:lineRule="auto"/>
        <w:ind w:firstLine="480" w:firstLineChars="200"/>
        <w:rPr>
          <w:rFonts w:hint="eastAsia" w:ascii="宋体" w:hAnsi="宋体"/>
          <w:color w:val="auto"/>
          <w:kern w:val="10"/>
          <w:sz w:val="24"/>
          <w:highlight w:val="none"/>
        </w:rPr>
      </w:pPr>
    </w:p>
    <w:p>
      <w:pPr>
        <w:tabs>
          <w:tab w:val="left" w:pos="0"/>
        </w:tabs>
        <w:spacing w:line="360" w:lineRule="auto"/>
        <w:ind w:firstLine="480" w:firstLineChars="200"/>
        <w:rPr>
          <w:rFonts w:hint="eastAsia" w:ascii="宋体" w:hAnsi="宋体"/>
          <w:color w:val="auto"/>
          <w:kern w:val="10"/>
          <w:sz w:val="24"/>
          <w:highlight w:val="none"/>
        </w:rPr>
      </w:pP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甲方（签章）：                           乙方（签章）：</w:t>
      </w:r>
    </w:p>
    <w:p>
      <w:pPr>
        <w:spacing w:line="360" w:lineRule="auto"/>
        <w:ind w:firstLine="1365" w:firstLineChars="650"/>
        <w:rPr>
          <w:rFonts w:hint="eastAsia" w:ascii="宋体" w:hAnsi="宋体"/>
          <w:color w:val="auto"/>
          <w:kern w:val="10"/>
          <w:szCs w:val="21"/>
          <w:highlight w:val="none"/>
        </w:rPr>
      </w:pPr>
      <w:r>
        <w:rPr>
          <w:rFonts w:hint="eastAsia" w:ascii="宋体" w:hAnsi="宋体"/>
          <w:color w:val="auto"/>
          <w:kern w:val="10"/>
          <w:szCs w:val="21"/>
          <w:highlight w:val="none"/>
        </w:rPr>
        <w:t xml:space="preserve">            </w:t>
      </w:r>
    </w:p>
    <w:p>
      <w:pPr>
        <w:spacing w:line="360" w:lineRule="auto"/>
        <w:ind w:leftChars="-1" w:hanging="2"/>
        <w:rPr>
          <w:rFonts w:hint="eastAsia" w:ascii="宋体" w:hAnsi="宋体"/>
          <w:color w:val="auto"/>
          <w:kern w:val="10"/>
          <w:szCs w:val="21"/>
          <w:highlight w:val="none"/>
        </w:rPr>
      </w:pPr>
      <w:r>
        <w:rPr>
          <w:rFonts w:hint="eastAsia" w:ascii="宋体" w:hAnsi="宋体"/>
          <w:color w:val="auto"/>
          <w:kern w:val="10"/>
          <w:szCs w:val="21"/>
          <w:highlight w:val="none"/>
        </w:rPr>
        <w:t>法定代表人：                            法定代表人：</w:t>
      </w:r>
    </w:p>
    <w:p>
      <w:pPr>
        <w:spacing w:line="360" w:lineRule="auto"/>
        <w:ind w:leftChars="-1" w:hanging="2"/>
        <w:rPr>
          <w:rFonts w:hint="eastAsia" w:ascii="宋体" w:hAnsi="宋体"/>
          <w:color w:val="auto"/>
          <w:kern w:val="10"/>
          <w:szCs w:val="21"/>
          <w:highlight w:val="none"/>
        </w:rPr>
      </w:pPr>
    </w:p>
    <w:p>
      <w:pPr>
        <w:spacing w:line="360" w:lineRule="auto"/>
        <w:ind w:leftChars="-1" w:hanging="2"/>
        <w:rPr>
          <w:rFonts w:hint="eastAsia" w:ascii="宋体" w:hAnsi="宋体"/>
          <w:color w:val="auto"/>
          <w:kern w:val="10"/>
          <w:szCs w:val="21"/>
          <w:highlight w:val="none"/>
        </w:rPr>
      </w:pPr>
    </w:p>
    <w:p>
      <w:pPr>
        <w:spacing w:line="360" w:lineRule="auto"/>
        <w:rPr>
          <w:rFonts w:hint="eastAsia" w:ascii="宋体" w:hAnsi="宋体" w:cs="宋体"/>
          <w:color w:val="auto"/>
          <w:sz w:val="24"/>
          <w:szCs w:val="24"/>
          <w:highlight w:val="none"/>
        </w:rPr>
      </w:pPr>
      <w:r>
        <w:rPr>
          <w:rFonts w:hint="eastAsia"/>
          <w:color w:val="auto"/>
          <w:kern w:val="10"/>
          <w:szCs w:val="21"/>
          <w:highlight w:val="none"/>
        </w:rPr>
        <w:t>日期：      年   月   日                日期：      年   月   日</w:t>
      </w:r>
    </w:p>
    <w:p>
      <w:pPr>
        <w:spacing w:line="360" w:lineRule="auto"/>
        <w:jc w:val="center"/>
        <w:rPr>
          <w:rFonts w:hint="eastAsia" w:ascii="宋体" w:hAnsi="宋体"/>
          <w:b/>
          <w:color w:val="auto"/>
          <w:sz w:val="32"/>
          <w:highlight w:val="none"/>
        </w:rPr>
      </w:pP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Pr>
        <w:pStyle w:val="3"/>
        <w:spacing w:line="360" w:lineRule="auto"/>
        <w:jc w:val="center"/>
        <w:rPr>
          <w:rFonts w:ascii="宋体" w:hAnsi="宋体"/>
          <w:color w:val="auto"/>
          <w:sz w:val="32"/>
          <w:highlight w:val="none"/>
        </w:rPr>
      </w:pPr>
      <w:bookmarkStart w:id="198" w:name="_Toc238899444"/>
      <w:bookmarkStart w:id="199" w:name="_Toc269407675"/>
      <w:bookmarkStart w:id="200" w:name="_Toc269407891"/>
      <w:bookmarkStart w:id="201" w:name="_Toc372193333"/>
      <w:bookmarkStart w:id="202" w:name="_Toc269407676"/>
      <w:bookmarkStart w:id="203" w:name="_Toc250572325"/>
      <w:bookmarkStart w:id="204" w:name="_Toc293999498"/>
      <w:bookmarkStart w:id="205" w:name="_Toc260140532"/>
      <w:r>
        <w:rPr>
          <w:rFonts w:ascii="宋体" w:hAnsi="宋体"/>
          <w:color w:val="auto"/>
          <w:sz w:val="32"/>
          <w:highlight w:val="none"/>
        </w:rPr>
        <w:br w:type="page"/>
      </w:r>
      <w:bookmarkStart w:id="206" w:name="_Toc5624"/>
      <w:bookmarkStart w:id="207" w:name="_Toc24548"/>
      <w:r>
        <w:rPr>
          <w:rFonts w:ascii="宋体" w:hAnsi="宋体"/>
          <w:color w:val="auto"/>
          <w:sz w:val="32"/>
          <w:highlight w:val="none"/>
        </w:rPr>
        <w:t>第</w:t>
      </w:r>
      <w:r>
        <w:rPr>
          <w:rFonts w:hint="eastAsia" w:ascii="宋体" w:hAnsi="宋体"/>
          <w:color w:val="auto"/>
          <w:sz w:val="32"/>
          <w:highlight w:val="none"/>
          <w:lang w:eastAsia="zh-CN"/>
        </w:rPr>
        <w:t>六</w:t>
      </w:r>
      <w:r>
        <w:rPr>
          <w:rFonts w:ascii="宋体" w:hAnsi="宋体"/>
          <w:color w:val="auto"/>
          <w:sz w:val="32"/>
          <w:highlight w:val="none"/>
        </w:rPr>
        <w:t>章  投标文件格式</w:t>
      </w:r>
      <w:bookmarkEnd w:id="139"/>
      <w:bookmarkEnd w:id="140"/>
      <w:bookmarkEnd w:id="141"/>
      <w:bookmarkEnd w:id="142"/>
      <w:bookmarkEnd w:id="143"/>
      <w:bookmarkEnd w:id="144"/>
      <w:bookmarkEnd w:id="145"/>
      <w:bookmarkEnd w:id="198"/>
      <w:bookmarkEnd w:id="199"/>
      <w:bookmarkEnd w:id="200"/>
      <w:bookmarkEnd w:id="201"/>
      <w:bookmarkEnd w:id="202"/>
      <w:bookmarkEnd w:id="203"/>
      <w:bookmarkEnd w:id="204"/>
      <w:bookmarkEnd w:id="205"/>
      <w:bookmarkEnd w:id="206"/>
      <w:bookmarkEnd w:id="207"/>
    </w:p>
    <w:p>
      <w:pPr>
        <w:spacing w:line="360" w:lineRule="auto"/>
        <w:jc w:val="right"/>
        <w:outlineLvl w:val="0"/>
        <w:rPr>
          <w:rFonts w:hint="eastAsia" w:ascii="宋体" w:hAnsi="宋体"/>
          <w:b/>
          <w:color w:val="auto"/>
          <w:w w:val="90"/>
          <w:sz w:val="44"/>
          <w:highlight w:val="none"/>
        </w:rPr>
      </w:pPr>
      <w:bookmarkStart w:id="208" w:name="_Toc12327"/>
      <w:bookmarkStart w:id="209" w:name="_Toc5906"/>
      <w:bookmarkStart w:id="210" w:name="_Toc8094"/>
      <w:bookmarkStart w:id="211" w:name="_Toc20128"/>
      <w:r>
        <w:rPr>
          <w:rFonts w:hint="eastAsia" w:ascii="宋体" w:hAnsi="宋体"/>
          <w:b/>
          <w:color w:val="auto"/>
          <w:w w:val="90"/>
          <w:sz w:val="44"/>
          <w:highlight w:val="none"/>
        </w:rPr>
        <w:t>正本/副本</w:t>
      </w:r>
      <w:bookmarkEnd w:id="208"/>
      <w:bookmarkEnd w:id="209"/>
      <w:bookmarkEnd w:id="210"/>
      <w:bookmarkEnd w:id="211"/>
    </w:p>
    <w:p>
      <w:pPr>
        <w:spacing w:line="360" w:lineRule="auto"/>
        <w:ind w:right="600"/>
        <w:jc w:val="right"/>
        <w:rPr>
          <w:rFonts w:hint="eastAsia" w:ascii="宋体" w:hAnsi="宋体"/>
          <w:b/>
          <w:color w:val="auto"/>
          <w:w w:val="90"/>
          <w:sz w:val="44"/>
          <w:highlight w:val="none"/>
        </w:rPr>
      </w:pPr>
    </w:p>
    <w:p>
      <w:pPr>
        <w:spacing w:line="360" w:lineRule="auto"/>
        <w:jc w:val="left"/>
        <w:outlineLvl w:val="0"/>
        <w:rPr>
          <w:rFonts w:hint="eastAsia" w:ascii="宋体" w:hAnsi="宋体"/>
          <w:b/>
          <w:color w:val="auto"/>
          <w:sz w:val="36"/>
          <w:szCs w:val="36"/>
          <w:highlight w:val="none"/>
        </w:rPr>
      </w:pPr>
      <w:bookmarkStart w:id="212" w:name="_Toc12869"/>
      <w:bookmarkStart w:id="213" w:name="_Toc30587"/>
      <w:bookmarkStart w:id="214" w:name="_Toc6059"/>
      <w:bookmarkStart w:id="215" w:name="_Toc24967"/>
      <w:r>
        <w:rPr>
          <w:rFonts w:hint="eastAsia" w:ascii="宋体" w:hAnsi="宋体"/>
          <w:b/>
          <w:color w:val="auto"/>
          <w:sz w:val="36"/>
          <w:szCs w:val="36"/>
          <w:highlight w:val="none"/>
        </w:rPr>
        <w:t>项目编号:</w:t>
      </w:r>
      <w:bookmarkEnd w:id="212"/>
      <w:bookmarkEnd w:id="213"/>
      <w:bookmarkEnd w:id="214"/>
      <w:bookmarkEnd w:id="215"/>
    </w:p>
    <w:p>
      <w:pPr>
        <w:spacing w:line="360" w:lineRule="auto"/>
        <w:jc w:val="left"/>
        <w:rPr>
          <w:rFonts w:hint="eastAsia" w:ascii="宋体" w:hAnsi="宋体"/>
          <w:b/>
          <w:color w:val="auto"/>
          <w:sz w:val="32"/>
          <w:highlight w:val="none"/>
        </w:rPr>
      </w:pPr>
    </w:p>
    <w:p>
      <w:pPr>
        <w:spacing w:line="360" w:lineRule="auto"/>
        <w:jc w:val="center"/>
        <w:outlineLvl w:val="0"/>
        <w:rPr>
          <w:rFonts w:ascii="宋体" w:hAnsi="宋体"/>
          <w:b/>
          <w:color w:val="auto"/>
          <w:sz w:val="40"/>
          <w:szCs w:val="40"/>
          <w:highlight w:val="none"/>
        </w:rPr>
      </w:pPr>
      <w:bookmarkStart w:id="216" w:name="_Toc1078"/>
      <w:bookmarkStart w:id="217" w:name="_Toc22243"/>
      <w:r>
        <w:rPr>
          <w:rFonts w:hint="eastAsia" w:ascii="宋体" w:hAnsi="宋体"/>
          <w:b/>
          <w:color w:val="auto"/>
          <w:sz w:val="40"/>
          <w:szCs w:val="40"/>
          <w:highlight w:val="none"/>
          <w:lang w:eastAsia="zh-CN"/>
        </w:rPr>
        <w:t>印台区矿区生活污水处理厂一体化智能污水处理设备采购项目</w:t>
      </w:r>
      <w:bookmarkEnd w:id="216"/>
      <w:bookmarkEnd w:id="217"/>
      <w:r>
        <w:rPr>
          <w:rFonts w:hint="eastAsia" w:ascii="宋体" w:hAnsi="宋体"/>
          <w:b/>
          <w:color w:val="auto"/>
          <w:sz w:val="40"/>
          <w:szCs w:val="40"/>
          <w:highlight w:val="none"/>
        </w:rPr>
        <w:t xml:space="preserve"> </w:t>
      </w:r>
    </w:p>
    <w:p>
      <w:pPr>
        <w:spacing w:line="360" w:lineRule="auto"/>
        <w:jc w:val="center"/>
        <w:rPr>
          <w:rFonts w:ascii="宋体" w:hAnsi="宋体"/>
          <w:b/>
          <w:color w:val="auto"/>
          <w:highlight w:val="none"/>
        </w:rPr>
      </w:pPr>
    </w:p>
    <w:p>
      <w:pPr>
        <w:spacing w:line="360" w:lineRule="auto"/>
        <w:jc w:val="center"/>
        <w:rPr>
          <w:rFonts w:ascii="宋体" w:hAnsi="宋体"/>
          <w:b/>
          <w:color w:val="auto"/>
          <w:highlight w:val="none"/>
        </w:rPr>
      </w:pPr>
    </w:p>
    <w:p>
      <w:pPr>
        <w:spacing w:line="360" w:lineRule="auto"/>
        <w:jc w:val="center"/>
        <w:outlineLvl w:val="0"/>
        <w:rPr>
          <w:rFonts w:ascii="宋体" w:hAnsi="宋体"/>
          <w:b/>
          <w:color w:val="auto"/>
          <w:sz w:val="56"/>
          <w:szCs w:val="16"/>
          <w:highlight w:val="none"/>
        </w:rPr>
      </w:pPr>
      <w:bookmarkStart w:id="218" w:name="_Toc21661"/>
      <w:bookmarkStart w:id="219" w:name="_Toc14936"/>
      <w:bookmarkStart w:id="220" w:name="_Toc29548"/>
      <w:bookmarkStart w:id="221" w:name="_Toc27569"/>
      <w:r>
        <w:rPr>
          <w:rFonts w:ascii="宋体" w:hAnsi="宋体"/>
          <w:b/>
          <w:color w:val="auto"/>
          <w:sz w:val="56"/>
          <w:szCs w:val="16"/>
          <w:highlight w:val="none"/>
        </w:rPr>
        <w:t>投 标 文 件</w:t>
      </w:r>
      <w:bookmarkEnd w:id="218"/>
      <w:bookmarkEnd w:id="219"/>
      <w:bookmarkEnd w:id="220"/>
      <w:bookmarkEnd w:id="221"/>
    </w:p>
    <w:p>
      <w:pPr>
        <w:spacing w:line="360" w:lineRule="auto"/>
        <w:jc w:val="center"/>
        <w:rPr>
          <w:rFonts w:hint="eastAsia" w:ascii="宋体" w:hAnsi="宋体"/>
          <w:b/>
          <w:color w:val="auto"/>
          <w:sz w:val="32"/>
          <w:highlight w:val="none"/>
          <w:u w:val="single"/>
        </w:rPr>
      </w:pPr>
    </w:p>
    <w:p>
      <w:pPr>
        <w:spacing w:line="360" w:lineRule="auto"/>
        <w:jc w:val="center"/>
        <w:rPr>
          <w:rFonts w:ascii="宋体" w:hAnsi="宋体"/>
          <w:color w:val="auto"/>
          <w:highlight w:val="none"/>
        </w:rPr>
      </w:pPr>
    </w:p>
    <w:p>
      <w:pPr>
        <w:spacing w:line="360" w:lineRule="auto"/>
        <w:jc w:val="center"/>
        <w:rPr>
          <w:rFonts w:ascii="宋体" w:hAnsi="宋体"/>
          <w:b/>
          <w:color w:val="auto"/>
          <w:highlight w:val="none"/>
        </w:rPr>
      </w:pPr>
    </w:p>
    <w:p>
      <w:pPr>
        <w:spacing w:line="360" w:lineRule="auto"/>
        <w:jc w:val="center"/>
        <w:rPr>
          <w:rFonts w:ascii="宋体" w:hAnsi="宋体"/>
          <w:b/>
          <w:color w:val="auto"/>
          <w:highlight w:val="none"/>
        </w:rPr>
      </w:pPr>
    </w:p>
    <w:p>
      <w:pPr>
        <w:spacing w:line="360" w:lineRule="auto"/>
        <w:rPr>
          <w:rFonts w:ascii="宋体" w:hAnsi="宋体"/>
          <w:b/>
          <w:color w:val="auto"/>
          <w:highlight w:val="none"/>
        </w:rPr>
      </w:pPr>
    </w:p>
    <w:p>
      <w:pPr>
        <w:spacing w:line="360" w:lineRule="auto"/>
        <w:outlineLvl w:val="0"/>
        <w:rPr>
          <w:rFonts w:ascii="宋体" w:hAnsi="宋体"/>
          <w:b/>
          <w:color w:val="auto"/>
          <w:sz w:val="32"/>
          <w:highlight w:val="none"/>
          <w:u w:val="single"/>
        </w:rPr>
      </w:pPr>
      <w:bookmarkStart w:id="222" w:name="_Toc29833"/>
      <w:bookmarkStart w:id="223" w:name="_Toc27739"/>
      <w:bookmarkStart w:id="224" w:name="_Toc21375"/>
      <w:bookmarkStart w:id="225" w:name="_Toc20097"/>
      <w:r>
        <w:rPr>
          <w:rFonts w:hint="eastAsia" w:ascii="宋体" w:hAnsi="宋体"/>
          <w:b/>
          <w:color w:val="auto"/>
          <w:sz w:val="32"/>
          <w:highlight w:val="none"/>
        </w:rPr>
        <w:t>供 应 商</w:t>
      </w:r>
      <w:r>
        <w:rPr>
          <w:rFonts w:ascii="宋体" w:hAnsi="宋体"/>
          <w:b/>
          <w:color w:val="auto"/>
          <w:sz w:val="32"/>
          <w:highlight w:val="none"/>
        </w:rPr>
        <w:t>：</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b/>
          <w:color w:val="auto"/>
          <w:sz w:val="32"/>
          <w:highlight w:val="none"/>
        </w:rPr>
        <w:t>（单位公章）</w:t>
      </w:r>
      <w:bookmarkEnd w:id="222"/>
      <w:bookmarkEnd w:id="223"/>
      <w:bookmarkEnd w:id="224"/>
      <w:bookmarkEnd w:id="225"/>
    </w:p>
    <w:p>
      <w:pPr>
        <w:spacing w:line="360" w:lineRule="auto"/>
        <w:outlineLvl w:val="0"/>
        <w:rPr>
          <w:rFonts w:ascii="宋体" w:hAnsi="宋体"/>
          <w:b/>
          <w:color w:val="auto"/>
          <w:sz w:val="32"/>
          <w:highlight w:val="none"/>
        </w:rPr>
      </w:pPr>
      <w:bookmarkStart w:id="226" w:name="_Toc19140"/>
      <w:bookmarkStart w:id="227" w:name="_Toc6781"/>
      <w:bookmarkStart w:id="228" w:name="_Toc18879"/>
      <w:bookmarkStart w:id="229" w:name="_Toc8302"/>
      <w:r>
        <w:rPr>
          <w:rFonts w:ascii="宋体" w:hAnsi="宋体"/>
          <w:b/>
          <w:color w:val="auto"/>
          <w:sz w:val="32"/>
          <w:highlight w:val="none"/>
        </w:rPr>
        <w:t>法定代表人或</w:t>
      </w:r>
      <w:bookmarkEnd w:id="226"/>
      <w:bookmarkEnd w:id="227"/>
      <w:bookmarkEnd w:id="228"/>
      <w:bookmarkEnd w:id="229"/>
    </w:p>
    <w:p>
      <w:pPr>
        <w:spacing w:line="360" w:lineRule="auto"/>
        <w:outlineLvl w:val="0"/>
        <w:rPr>
          <w:rFonts w:ascii="宋体" w:hAnsi="宋体"/>
          <w:b/>
          <w:color w:val="auto"/>
          <w:sz w:val="32"/>
          <w:highlight w:val="none"/>
          <w:u w:val="single"/>
        </w:rPr>
      </w:pPr>
      <w:bookmarkStart w:id="230" w:name="_Toc5019"/>
      <w:bookmarkStart w:id="231" w:name="_Toc10550"/>
      <w:bookmarkStart w:id="232" w:name="_Toc17753"/>
      <w:bookmarkStart w:id="233" w:name="_Toc1949"/>
      <w:r>
        <w:rPr>
          <w:rFonts w:ascii="宋体" w:hAnsi="宋体"/>
          <w:b/>
          <w:color w:val="auto"/>
          <w:sz w:val="32"/>
          <w:highlight w:val="none"/>
        </w:rPr>
        <w:t>其授权委托人：</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b/>
          <w:color w:val="auto"/>
          <w:sz w:val="32"/>
          <w:highlight w:val="none"/>
        </w:rPr>
        <w:t>（签字或盖章）</w:t>
      </w:r>
      <w:bookmarkEnd w:id="230"/>
      <w:bookmarkEnd w:id="231"/>
      <w:bookmarkEnd w:id="232"/>
      <w:bookmarkEnd w:id="233"/>
    </w:p>
    <w:p>
      <w:pPr>
        <w:spacing w:line="360" w:lineRule="auto"/>
        <w:outlineLvl w:val="0"/>
        <w:rPr>
          <w:rFonts w:hint="eastAsia" w:ascii="宋体" w:hAnsi="宋体"/>
          <w:b/>
          <w:color w:val="auto"/>
          <w:sz w:val="32"/>
          <w:highlight w:val="none"/>
        </w:rPr>
      </w:pPr>
      <w:bookmarkStart w:id="234" w:name="_Toc24867"/>
      <w:bookmarkStart w:id="235" w:name="_Toc16749"/>
      <w:bookmarkStart w:id="236" w:name="_Toc26572"/>
      <w:bookmarkStart w:id="237" w:name="_Toc2226"/>
      <w:r>
        <w:rPr>
          <w:rFonts w:ascii="宋体" w:hAnsi="宋体"/>
          <w:b/>
          <w:color w:val="auto"/>
          <w:sz w:val="32"/>
          <w:highlight w:val="none"/>
        </w:rPr>
        <w:t>投标</w:t>
      </w:r>
      <w:r>
        <w:rPr>
          <w:rFonts w:hint="eastAsia" w:ascii="宋体" w:hAnsi="宋体"/>
          <w:b/>
          <w:color w:val="auto"/>
          <w:sz w:val="32"/>
          <w:highlight w:val="none"/>
        </w:rPr>
        <w:t>日期</w:t>
      </w:r>
      <w:r>
        <w:rPr>
          <w:rFonts w:ascii="宋体" w:hAnsi="宋体"/>
          <w:b/>
          <w:color w:val="auto"/>
          <w:sz w:val="32"/>
          <w:highlight w:val="none"/>
        </w:rPr>
        <w:t>：</w:t>
      </w:r>
      <w:bookmarkEnd w:id="234"/>
      <w:bookmarkEnd w:id="235"/>
      <w:bookmarkEnd w:id="236"/>
      <w:bookmarkEnd w:id="237"/>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p>
    <w:p>
      <w:pPr>
        <w:spacing w:before="312" w:beforeLines="100" w:after="312" w:afterLines="100" w:line="360" w:lineRule="auto"/>
        <w:jc w:val="center"/>
        <w:outlineLvl w:val="0"/>
        <w:rPr>
          <w:rFonts w:ascii="宋体" w:hAnsi="宋体"/>
          <w:b/>
          <w:bCs/>
          <w:color w:val="auto"/>
          <w:sz w:val="44"/>
          <w:szCs w:val="44"/>
          <w:highlight w:val="none"/>
        </w:rPr>
      </w:pPr>
      <w:bookmarkStart w:id="238" w:name="_Toc232673690"/>
      <w:bookmarkStart w:id="239" w:name="_Toc260140533"/>
      <w:bookmarkStart w:id="240" w:name="_Toc293999384"/>
      <w:bookmarkStart w:id="241" w:name="_Toc269407677"/>
      <w:bookmarkStart w:id="242" w:name="_Toc235544713"/>
      <w:bookmarkStart w:id="243" w:name="_Toc31873"/>
      <w:bookmarkStart w:id="244" w:name="_Toc233636187"/>
      <w:bookmarkStart w:id="245" w:name="_Toc250572326"/>
      <w:bookmarkStart w:id="246" w:name="_Toc233636373"/>
      <w:bookmarkStart w:id="247" w:name="_Toc238899445"/>
      <w:bookmarkStart w:id="248" w:name="_Toc233636463"/>
      <w:bookmarkStart w:id="249" w:name="_Toc269407892"/>
      <w:bookmarkStart w:id="250" w:name="_Toc233636425"/>
      <w:bookmarkStart w:id="251" w:name="_Toc233636514"/>
      <w:bookmarkStart w:id="252" w:name="_Toc293999499"/>
      <w:r>
        <w:rPr>
          <w:rFonts w:ascii="宋体" w:hAnsi="宋体"/>
          <w:b/>
          <w:bCs/>
          <w:color w:val="auto"/>
          <w:sz w:val="28"/>
          <w:szCs w:val="28"/>
          <w:highlight w:val="none"/>
        </w:rPr>
        <w:br w:type="page"/>
      </w:r>
      <w:bookmarkStart w:id="253" w:name="_Toc18173"/>
      <w:bookmarkStart w:id="254" w:name="_Toc22592"/>
      <w:bookmarkStart w:id="255" w:name="_Toc25608"/>
      <w:bookmarkStart w:id="256" w:name="_Toc16891"/>
      <w:r>
        <w:rPr>
          <w:rFonts w:hint="eastAsia" w:ascii="宋体" w:hAnsi="宋体"/>
          <w:b/>
          <w:bCs/>
          <w:color w:val="auto"/>
          <w:sz w:val="44"/>
          <w:szCs w:val="44"/>
          <w:highlight w:val="none"/>
        </w:rPr>
        <w:t>目录</w:t>
      </w:r>
      <w:bookmarkEnd w:id="253"/>
      <w:bookmarkEnd w:id="254"/>
      <w:bookmarkEnd w:id="255"/>
      <w:bookmarkEnd w:id="256"/>
    </w:p>
    <w:p>
      <w:pPr>
        <w:spacing w:line="360" w:lineRule="auto"/>
        <w:jc w:val="left"/>
        <w:outlineLvl w:val="0"/>
        <w:rPr>
          <w:rFonts w:hint="eastAsia" w:ascii="宋体" w:hAnsi="宋体" w:cs="宋体"/>
          <w:bCs/>
          <w:color w:val="auto"/>
          <w:sz w:val="32"/>
          <w:szCs w:val="32"/>
          <w:highlight w:val="none"/>
        </w:rPr>
      </w:pPr>
      <w:bookmarkStart w:id="257" w:name="_Toc26079"/>
      <w:bookmarkStart w:id="258" w:name="_Toc10081"/>
      <w:bookmarkStart w:id="259" w:name="_Toc23968"/>
      <w:bookmarkStart w:id="260" w:name="_Toc29867"/>
      <w:r>
        <w:rPr>
          <w:rFonts w:hint="eastAsia" w:ascii="宋体" w:hAnsi="宋体" w:cs="宋体"/>
          <w:bCs/>
          <w:color w:val="auto"/>
          <w:sz w:val="32"/>
          <w:szCs w:val="32"/>
          <w:highlight w:val="none"/>
        </w:rPr>
        <w:t>第一部分      投标函</w:t>
      </w:r>
      <w:bookmarkEnd w:id="257"/>
      <w:bookmarkEnd w:id="258"/>
      <w:bookmarkEnd w:id="259"/>
      <w:bookmarkEnd w:id="260"/>
    </w:p>
    <w:p>
      <w:pPr>
        <w:spacing w:line="360" w:lineRule="auto"/>
        <w:jc w:val="left"/>
        <w:outlineLvl w:val="0"/>
        <w:rPr>
          <w:rFonts w:hint="eastAsia" w:ascii="宋体" w:hAnsi="宋体" w:cs="宋体"/>
          <w:bCs/>
          <w:color w:val="auto"/>
          <w:sz w:val="32"/>
          <w:szCs w:val="32"/>
          <w:highlight w:val="none"/>
        </w:rPr>
      </w:pPr>
      <w:bookmarkStart w:id="261" w:name="_Toc21694"/>
      <w:bookmarkStart w:id="262" w:name="_Toc32692"/>
      <w:bookmarkStart w:id="263" w:name="_Toc16086"/>
      <w:bookmarkStart w:id="264" w:name="_Toc6592"/>
      <w:r>
        <w:rPr>
          <w:rFonts w:hint="eastAsia" w:ascii="宋体" w:hAnsi="宋体" w:cs="宋体"/>
          <w:bCs/>
          <w:color w:val="auto"/>
          <w:sz w:val="32"/>
          <w:szCs w:val="32"/>
          <w:highlight w:val="none"/>
        </w:rPr>
        <w:t>第二部分      投标报价表</w:t>
      </w:r>
      <w:bookmarkEnd w:id="261"/>
      <w:bookmarkEnd w:id="262"/>
      <w:bookmarkEnd w:id="263"/>
      <w:bookmarkEnd w:id="264"/>
    </w:p>
    <w:p>
      <w:pPr>
        <w:spacing w:line="360" w:lineRule="auto"/>
        <w:jc w:val="left"/>
        <w:outlineLvl w:val="0"/>
        <w:rPr>
          <w:rFonts w:hint="eastAsia" w:ascii="宋体" w:hAnsi="宋体" w:cs="宋体"/>
          <w:bCs/>
          <w:color w:val="auto"/>
          <w:sz w:val="32"/>
          <w:szCs w:val="32"/>
          <w:highlight w:val="none"/>
        </w:rPr>
      </w:pPr>
      <w:bookmarkStart w:id="265" w:name="_Toc21507"/>
      <w:bookmarkStart w:id="266" w:name="_Toc7665"/>
      <w:bookmarkStart w:id="267" w:name="_Toc18362"/>
      <w:bookmarkStart w:id="268" w:name="_Toc13082"/>
      <w:r>
        <w:rPr>
          <w:rFonts w:hint="eastAsia" w:ascii="宋体" w:hAnsi="宋体" w:cs="宋体"/>
          <w:bCs/>
          <w:color w:val="auto"/>
          <w:sz w:val="32"/>
          <w:szCs w:val="32"/>
          <w:highlight w:val="none"/>
        </w:rPr>
        <w:t xml:space="preserve">第三部分      </w:t>
      </w:r>
      <w:r>
        <w:rPr>
          <w:rFonts w:hint="eastAsia" w:ascii="宋体" w:hAnsi="宋体" w:cs="宋体"/>
          <w:bCs/>
          <w:color w:val="auto"/>
          <w:sz w:val="32"/>
          <w:szCs w:val="32"/>
          <w:highlight w:val="none"/>
          <w:lang w:eastAsia="zh-CN"/>
        </w:rPr>
        <w:t>投标单位</w:t>
      </w:r>
      <w:r>
        <w:rPr>
          <w:rFonts w:hint="eastAsia" w:ascii="宋体" w:hAnsi="宋体" w:cs="宋体"/>
          <w:bCs/>
          <w:color w:val="auto"/>
          <w:sz w:val="32"/>
          <w:szCs w:val="32"/>
          <w:highlight w:val="none"/>
        </w:rPr>
        <w:t>资格</w:t>
      </w:r>
      <w:bookmarkEnd w:id="265"/>
      <w:bookmarkEnd w:id="266"/>
      <w:bookmarkEnd w:id="267"/>
      <w:bookmarkEnd w:id="268"/>
    </w:p>
    <w:p>
      <w:pPr>
        <w:spacing w:line="360" w:lineRule="auto"/>
        <w:jc w:val="left"/>
        <w:outlineLvl w:val="0"/>
        <w:rPr>
          <w:rFonts w:hint="eastAsia" w:ascii="宋体" w:hAnsi="宋体" w:cs="宋体"/>
          <w:bCs/>
          <w:color w:val="auto"/>
          <w:sz w:val="32"/>
          <w:szCs w:val="32"/>
          <w:highlight w:val="none"/>
        </w:rPr>
      </w:pPr>
      <w:bookmarkStart w:id="269" w:name="_Toc933"/>
      <w:bookmarkStart w:id="270" w:name="_Toc25737"/>
      <w:bookmarkStart w:id="271" w:name="_Toc20355"/>
      <w:bookmarkStart w:id="272" w:name="_Toc2431"/>
      <w:r>
        <w:rPr>
          <w:rFonts w:hint="eastAsia" w:ascii="宋体" w:hAnsi="宋体" w:cs="宋体"/>
          <w:bCs/>
          <w:color w:val="auto"/>
          <w:sz w:val="32"/>
          <w:szCs w:val="32"/>
          <w:highlight w:val="none"/>
        </w:rPr>
        <w:t>第四部分      施工组织计划</w:t>
      </w:r>
      <w:bookmarkEnd w:id="269"/>
      <w:bookmarkEnd w:id="270"/>
      <w:bookmarkEnd w:id="271"/>
      <w:bookmarkEnd w:id="272"/>
    </w:p>
    <w:p>
      <w:pPr>
        <w:spacing w:line="360" w:lineRule="auto"/>
        <w:jc w:val="left"/>
        <w:outlineLvl w:val="0"/>
        <w:rPr>
          <w:rFonts w:hint="eastAsia" w:ascii="宋体" w:hAnsi="宋体" w:cs="宋体"/>
          <w:bCs/>
          <w:color w:val="auto"/>
          <w:sz w:val="32"/>
          <w:szCs w:val="32"/>
          <w:highlight w:val="none"/>
        </w:rPr>
      </w:pPr>
      <w:bookmarkStart w:id="273" w:name="_Toc22882"/>
      <w:bookmarkStart w:id="274" w:name="_Toc17020"/>
      <w:bookmarkStart w:id="275" w:name="_Toc8444"/>
      <w:bookmarkStart w:id="276" w:name="_Toc4147"/>
      <w:r>
        <w:rPr>
          <w:rFonts w:hint="eastAsia" w:ascii="宋体" w:hAnsi="宋体" w:cs="宋体"/>
          <w:bCs/>
          <w:color w:val="auto"/>
          <w:sz w:val="32"/>
          <w:szCs w:val="32"/>
          <w:highlight w:val="none"/>
        </w:rPr>
        <w:t>第五部分      业绩证明材料</w:t>
      </w:r>
      <w:bookmarkEnd w:id="273"/>
      <w:bookmarkEnd w:id="274"/>
      <w:bookmarkEnd w:id="275"/>
      <w:bookmarkEnd w:id="276"/>
    </w:p>
    <w:p>
      <w:pPr>
        <w:spacing w:line="360" w:lineRule="auto"/>
        <w:jc w:val="left"/>
        <w:outlineLvl w:val="0"/>
        <w:rPr>
          <w:rFonts w:hint="eastAsia" w:ascii="宋体" w:hAnsi="宋体" w:cs="宋体"/>
          <w:bCs/>
          <w:color w:val="auto"/>
          <w:sz w:val="32"/>
          <w:szCs w:val="32"/>
          <w:highlight w:val="none"/>
        </w:rPr>
      </w:pPr>
      <w:bookmarkStart w:id="277" w:name="_Toc20948"/>
      <w:bookmarkStart w:id="278" w:name="_Toc12848"/>
      <w:bookmarkStart w:id="279" w:name="_Toc13501"/>
      <w:bookmarkStart w:id="280" w:name="_Toc892"/>
      <w:r>
        <w:rPr>
          <w:rFonts w:hint="eastAsia" w:ascii="宋体" w:hAnsi="宋体" w:cs="宋体"/>
          <w:bCs/>
          <w:color w:val="auto"/>
          <w:sz w:val="32"/>
          <w:szCs w:val="32"/>
          <w:highlight w:val="none"/>
        </w:rPr>
        <w:t>第六部分      售后服务承诺及培训计划</w:t>
      </w:r>
      <w:bookmarkEnd w:id="277"/>
      <w:bookmarkEnd w:id="278"/>
      <w:bookmarkEnd w:id="279"/>
      <w:bookmarkEnd w:id="280"/>
    </w:p>
    <w:p>
      <w:pPr>
        <w:spacing w:line="360" w:lineRule="auto"/>
        <w:jc w:val="left"/>
        <w:outlineLvl w:val="0"/>
        <w:rPr>
          <w:rFonts w:hint="eastAsia" w:ascii="宋体" w:hAnsi="宋体" w:cs="宋体"/>
          <w:bCs/>
          <w:color w:val="auto"/>
          <w:sz w:val="32"/>
          <w:szCs w:val="32"/>
          <w:highlight w:val="none"/>
        </w:rPr>
      </w:pPr>
      <w:bookmarkStart w:id="281" w:name="_Toc1321"/>
      <w:bookmarkStart w:id="282" w:name="_Toc4388"/>
      <w:bookmarkStart w:id="283" w:name="_Toc26723"/>
      <w:bookmarkStart w:id="284" w:name="_Toc13206"/>
      <w:r>
        <w:rPr>
          <w:rFonts w:hint="eastAsia" w:ascii="宋体" w:hAnsi="宋体" w:cs="宋体"/>
          <w:bCs/>
          <w:color w:val="auto"/>
          <w:sz w:val="32"/>
          <w:szCs w:val="32"/>
          <w:highlight w:val="none"/>
        </w:rPr>
        <w:t>第七部分      商务条款偏离表</w:t>
      </w:r>
      <w:bookmarkEnd w:id="281"/>
      <w:bookmarkEnd w:id="282"/>
      <w:bookmarkEnd w:id="283"/>
      <w:bookmarkEnd w:id="284"/>
    </w:p>
    <w:p>
      <w:pPr>
        <w:spacing w:line="360" w:lineRule="auto"/>
        <w:ind w:left="0" w:leftChars="0" w:right="0" w:rightChars="0" w:firstLine="0" w:firstLineChars="0"/>
        <w:jc w:val="left"/>
        <w:outlineLvl w:val="0"/>
        <w:rPr>
          <w:rFonts w:hint="eastAsia" w:ascii="宋体" w:hAnsi="宋体" w:cs="宋体"/>
          <w:bCs/>
          <w:color w:val="auto"/>
          <w:sz w:val="32"/>
          <w:szCs w:val="32"/>
          <w:highlight w:val="none"/>
        </w:rPr>
      </w:pPr>
      <w:bookmarkStart w:id="285" w:name="_Toc29238"/>
      <w:bookmarkStart w:id="286" w:name="_Toc30862"/>
      <w:bookmarkStart w:id="287" w:name="_Toc22716"/>
      <w:bookmarkStart w:id="288" w:name="_Toc22107"/>
      <w:r>
        <w:rPr>
          <w:rFonts w:hint="eastAsia" w:ascii="宋体" w:hAnsi="宋体" w:cs="宋体"/>
          <w:bCs/>
          <w:color w:val="auto"/>
          <w:sz w:val="32"/>
          <w:szCs w:val="32"/>
          <w:highlight w:val="none"/>
        </w:rPr>
        <w:t>第八部分      投标产品说明及其他</w:t>
      </w:r>
      <w:bookmarkEnd w:id="285"/>
      <w:bookmarkEnd w:id="286"/>
    </w:p>
    <w:p>
      <w:pPr>
        <w:spacing w:line="360" w:lineRule="auto"/>
        <w:ind w:left="0" w:leftChars="0" w:right="0" w:rightChars="0" w:firstLine="0" w:firstLineChars="0"/>
        <w:jc w:val="center"/>
        <w:outlineLvl w:val="0"/>
        <w:rPr>
          <w:rFonts w:ascii="宋体" w:hAnsi="宋体"/>
          <w:color w:val="auto"/>
          <w:highlight w:val="none"/>
        </w:rPr>
      </w:pPr>
      <w:r>
        <w:rPr>
          <w:rFonts w:ascii="宋体" w:hAnsi="宋体"/>
          <w:b/>
          <w:bCs/>
          <w:color w:val="auto"/>
          <w:sz w:val="28"/>
          <w:szCs w:val="28"/>
          <w:highlight w:val="none"/>
        </w:rPr>
        <w:br w:type="page"/>
      </w:r>
      <w:bookmarkStart w:id="289" w:name="_Toc31837"/>
      <w:r>
        <w:rPr>
          <w:rFonts w:ascii="宋体" w:hAnsi="宋体"/>
          <w:b/>
          <w:bCs/>
          <w:color w:val="auto"/>
          <w:sz w:val="28"/>
          <w:szCs w:val="28"/>
          <w:highlight w:val="none"/>
        </w:rPr>
        <w:t>第一部分</w:t>
      </w:r>
      <w:r>
        <w:rPr>
          <w:rFonts w:hint="eastAsia" w:ascii="宋体" w:hAnsi="宋体"/>
          <w:b/>
          <w:bCs/>
          <w:color w:val="auto"/>
          <w:sz w:val="28"/>
          <w:szCs w:val="28"/>
          <w:highlight w:val="none"/>
        </w:rPr>
        <w:t xml:space="preserve">  </w:t>
      </w:r>
      <w:r>
        <w:rPr>
          <w:rFonts w:ascii="宋体" w:hAnsi="宋体"/>
          <w:b/>
          <w:bCs/>
          <w:color w:val="auto"/>
          <w:sz w:val="28"/>
          <w:szCs w:val="28"/>
          <w:highlight w:val="none"/>
        </w:rPr>
        <w:t>投标函</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87"/>
      <w:bookmarkEnd w:id="288"/>
      <w:bookmarkEnd w:id="289"/>
    </w:p>
    <w:p>
      <w:pPr>
        <w:spacing w:line="360" w:lineRule="auto"/>
        <w:rPr>
          <w:rFonts w:hint="eastAsia" w:ascii="宋体" w:hAnsi="宋体" w:eastAsia="宋体" w:cs="宋体"/>
          <w:color w:val="auto"/>
          <w:szCs w:val="21"/>
          <w:highlight w:val="none"/>
          <w:u w:val="single"/>
          <w:lang w:eastAsia="zh-CN"/>
        </w:rPr>
      </w:pPr>
      <w:bookmarkStart w:id="290" w:name="_Toc232673691"/>
      <w:r>
        <w:rPr>
          <w:rFonts w:ascii="宋体" w:hAnsi="宋体"/>
          <w:b/>
          <w:color w:val="auto"/>
          <w:szCs w:val="21"/>
          <w:highlight w:val="none"/>
        </w:rPr>
        <w:t>致：</w:t>
      </w:r>
      <w:r>
        <w:rPr>
          <w:rFonts w:hint="eastAsia" w:ascii="宋体" w:hAnsi="宋体" w:cs="宋体"/>
          <w:color w:val="auto"/>
          <w:szCs w:val="21"/>
          <w:highlight w:val="none"/>
          <w:u w:val="single"/>
          <w:lang w:eastAsia="zh-CN"/>
        </w:rPr>
        <w:t>铜川市印台区住房和城乡建设局</w:t>
      </w:r>
    </w:p>
    <w:p>
      <w:pPr>
        <w:spacing w:line="360" w:lineRule="auto"/>
        <w:rPr>
          <w:rFonts w:hint="eastAsia" w:ascii="宋体" w:hAnsi="宋体" w:cs="宋体"/>
          <w:color w:val="auto"/>
          <w:szCs w:val="21"/>
          <w:highlight w:val="none"/>
          <w:u w:val="singl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w:t>
      </w:r>
      <w:r>
        <w:rPr>
          <w:rFonts w:hint="eastAsia" w:ascii="宋体" w:hAnsi="宋体" w:cs="宋体"/>
          <w:color w:val="auto"/>
          <w:szCs w:val="21"/>
          <w:highlight w:val="none"/>
          <w:lang w:eastAsia="zh-CN"/>
        </w:rPr>
        <w:t>投标单位</w:t>
      </w:r>
      <w:r>
        <w:rPr>
          <w:rFonts w:ascii="宋体" w:hAnsi="宋体"/>
          <w:color w:val="auto"/>
          <w:szCs w:val="21"/>
          <w:highlight w:val="none"/>
          <w:u w:val="single"/>
        </w:rPr>
        <w:t>（</w:t>
      </w:r>
      <w:r>
        <w:rPr>
          <w:rFonts w:hint="eastAsia" w:ascii="宋体" w:hAnsi="宋体" w:cs="宋体"/>
          <w:color w:val="auto"/>
          <w:szCs w:val="21"/>
          <w:highlight w:val="none"/>
          <w:u w:val="single"/>
          <w:lang w:eastAsia="zh-CN"/>
        </w:rPr>
        <w:t>投标单位</w:t>
      </w:r>
      <w:r>
        <w:rPr>
          <w:rFonts w:ascii="宋体" w:hAnsi="宋体"/>
          <w:color w:val="auto"/>
          <w:szCs w:val="21"/>
          <w:highlight w:val="none"/>
          <w:u w:val="single"/>
        </w:rPr>
        <w:t>名称）</w:t>
      </w:r>
      <w:r>
        <w:rPr>
          <w:rFonts w:ascii="宋体" w:hAnsi="宋体"/>
          <w:color w:val="auto"/>
          <w:szCs w:val="21"/>
          <w:highlight w:val="none"/>
        </w:rPr>
        <w:t>已详细查阅了</w:t>
      </w:r>
      <w:r>
        <w:rPr>
          <w:rFonts w:hint="eastAsia" w:ascii="宋体" w:hAnsi="宋体"/>
          <w:color w:val="auto"/>
          <w:szCs w:val="21"/>
          <w:highlight w:val="none"/>
        </w:rPr>
        <w:t>项目</w:t>
      </w:r>
      <w:r>
        <w:rPr>
          <w:rFonts w:ascii="宋体" w:hAnsi="宋体"/>
          <w:color w:val="auto"/>
          <w:szCs w:val="21"/>
          <w:highlight w:val="none"/>
        </w:rPr>
        <w:t>编号</w:t>
      </w:r>
      <w:r>
        <w:rPr>
          <w:rFonts w:hint="eastAsia" w:ascii="宋体" w:hAnsi="宋体"/>
          <w:color w:val="auto"/>
          <w:szCs w:val="21"/>
          <w:highlight w:val="none"/>
          <w:u w:val="single"/>
        </w:rPr>
        <w:t>（项目编号）</w:t>
      </w:r>
      <w:r>
        <w:rPr>
          <w:rFonts w:ascii="宋体" w:hAnsi="宋体"/>
          <w:color w:val="auto"/>
          <w:szCs w:val="21"/>
          <w:highlight w:val="none"/>
        </w:rPr>
        <w:t>关于</w:t>
      </w:r>
      <w:r>
        <w:rPr>
          <w:rFonts w:hint="eastAsia" w:ascii="宋体" w:hAnsi="宋体"/>
          <w:color w:val="auto"/>
          <w:szCs w:val="21"/>
          <w:highlight w:val="none"/>
          <w:u w:val="single"/>
        </w:rPr>
        <w:t>（项目名称）</w:t>
      </w:r>
      <w:r>
        <w:rPr>
          <w:rFonts w:ascii="宋体" w:hAnsi="宋体"/>
          <w:color w:val="auto"/>
          <w:szCs w:val="21"/>
          <w:highlight w:val="none"/>
        </w:rPr>
        <w:t>的货物招标采购的招标文件全部内容（包括招标文件的修改和补</w:t>
      </w:r>
      <w:r>
        <w:rPr>
          <w:rFonts w:hint="eastAsia" w:ascii="宋体" w:hAnsi="宋体"/>
          <w:color w:val="auto"/>
          <w:szCs w:val="21"/>
          <w:highlight w:val="none"/>
        </w:rPr>
        <w:t>充</w:t>
      </w:r>
      <w:r>
        <w:rPr>
          <w:rFonts w:ascii="宋体" w:hAnsi="宋体"/>
          <w:color w:val="auto"/>
          <w:szCs w:val="21"/>
          <w:highlight w:val="none"/>
        </w:rPr>
        <w:t>），现正式授权下述签字人</w:t>
      </w:r>
      <w:r>
        <w:rPr>
          <w:rFonts w:ascii="宋体" w:hAnsi="宋体"/>
          <w:color w:val="auto"/>
          <w:szCs w:val="21"/>
          <w:highlight w:val="none"/>
          <w:u w:val="single"/>
        </w:rPr>
        <w:t>（姓名、职务）</w:t>
      </w:r>
      <w:r>
        <w:rPr>
          <w:rFonts w:ascii="宋体" w:hAnsi="宋体"/>
          <w:color w:val="auto"/>
          <w:szCs w:val="21"/>
          <w:highlight w:val="none"/>
        </w:rPr>
        <w:t>代表</w:t>
      </w:r>
      <w:r>
        <w:rPr>
          <w:rFonts w:hint="eastAsia" w:ascii="宋体" w:hAnsi="宋体"/>
          <w:color w:val="auto"/>
          <w:szCs w:val="21"/>
          <w:highlight w:val="none"/>
          <w:lang w:eastAsia="zh-CN"/>
        </w:rPr>
        <w:t>投标单位</w:t>
      </w:r>
      <w:r>
        <w:rPr>
          <w:rFonts w:ascii="宋体" w:hAnsi="宋体"/>
          <w:color w:val="auto"/>
          <w:szCs w:val="21"/>
          <w:highlight w:val="none"/>
          <w:u w:val="single"/>
        </w:rPr>
        <w:t>（</w:t>
      </w:r>
      <w:r>
        <w:rPr>
          <w:rFonts w:hint="eastAsia" w:ascii="宋体" w:hAnsi="宋体"/>
          <w:color w:val="auto"/>
          <w:szCs w:val="21"/>
          <w:highlight w:val="none"/>
          <w:u w:val="single"/>
          <w:lang w:eastAsia="zh-CN"/>
        </w:rPr>
        <w:t>投标单位</w:t>
      </w:r>
      <w:r>
        <w:rPr>
          <w:rFonts w:ascii="宋体" w:hAnsi="宋体"/>
          <w:color w:val="auto"/>
          <w:szCs w:val="21"/>
          <w:highlight w:val="none"/>
          <w:u w:val="single"/>
        </w:rPr>
        <w:t>名称）</w:t>
      </w:r>
      <w:r>
        <w:rPr>
          <w:rFonts w:ascii="宋体" w:hAnsi="宋体"/>
          <w:color w:val="auto"/>
          <w:szCs w:val="21"/>
          <w:highlight w:val="none"/>
        </w:rPr>
        <w:t>提交按招标文件规定</w:t>
      </w:r>
      <w:r>
        <w:rPr>
          <w:rFonts w:hint="eastAsia" w:ascii="宋体" w:hAnsi="宋体"/>
          <w:color w:val="auto"/>
          <w:szCs w:val="21"/>
          <w:highlight w:val="none"/>
        </w:rPr>
        <w:t>数量</w:t>
      </w:r>
      <w:r>
        <w:rPr>
          <w:rFonts w:ascii="宋体" w:hAnsi="宋体"/>
          <w:color w:val="auto"/>
          <w:szCs w:val="21"/>
          <w:highlight w:val="none"/>
        </w:rPr>
        <w:t>编制的投标文件。据此，授权签字人宣布同意如下：</w:t>
      </w:r>
    </w:p>
    <w:p>
      <w:pPr>
        <w:spacing w:line="360" w:lineRule="auto"/>
        <w:ind w:firstLine="420" w:firstLineChars="200"/>
        <w:rPr>
          <w:rFonts w:hint="default" w:ascii="宋体" w:hAnsi="宋体"/>
          <w:color w:val="auto"/>
          <w:szCs w:val="21"/>
          <w:highlight w:val="none"/>
          <w:lang w:val="en-US"/>
        </w:rPr>
      </w:pPr>
      <w:r>
        <w:rPr>
          <w:rFonts w:ascii="宋体" w:hAnsi="宋体"/>
          <w:color w:val="auto"/>
          <w:szCs w:val="21"/>
          <w:highlight w:val="none"/>
        </w:rPr>
        <w:t>1、招标文件中规定提供和交付货物的投标报价为人民币（大写）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rPr>
        <w:t>；</w:t>
      </w:r>
      <w:r>
        <w:rPr>
          <w:rFonts w:hint="eastAsia" w:ascii="宋体" w:hAnsi="宋体"/>
          <w:color w:val="auto"/>
          <w:szCs w:val="21"/>
          <w:highlight w:val="none"/>
          <w:lang w:val="en-US" w:eastAsia="zh-CN"/>
        </w:rPr>
        <w:t>工期</w:t>
      </w:r>
      <w:r>
        <w:rPr>
          <w:rFonts w:ascii="宋体" w:hAnsi="宋体"/>
          <w:color w:val="auto"/>
          <w:szCs w:val="21"/>
          <w:highlight w:val="none"/>
        </w:rPr>
        <w:t>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；质保期：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2、本</w:t>
      </w:r>
      <w:r>
        <w:rPr>
          <w:rFonts w:hint="eastAsia" w:ascii="宋体" w:hAnsi="宋体"/>
          <w:color w:val="auto"/>
          <w:szCs w:val="21"/>
          <w:highlight w:val="none"/>
          <w:lang w:eastAsia="zh-CN"/>
        </w:rPr>
        <w:t>投标单位</w:t>
      </w:r>
      <w:r>
        <w:rPr>
          <w:rFonts w:ascii="宋体" w:hAnsi="宋体"/>
          <w:color w:val="auto"/>
          <w:szCs w:val="21"/>
          <w:highlight w:val="none"/>
        </w:rPr>
        <w:t>承诺，如果我们的投标被接受，我们保证按规定时间与采购人签订合同</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3、本</w:t>
      </w:r>
      <w:r>
        <w:rPr>
          <w:rFonts w:hint="eastAsia" w:ascii="宋体" w:hAnsi="宋体"/>
          <w:color w:val="auto"/>
          <w:szCs w:val="21"/>
          <w:highlight w:val="none"/>
          <w:lang w:eastAsia="zh-CN"/>
        </w:rPr>
        <w:t>投标单位</w:t>
      </w:r>
      <w:r>
        <w:rPr>
          <w:rFonts w:ascii="宋体" w:hAnsi="宋体"/>
          <w:color w:val="auto"/>
          <w:szCs w:val="21"/>
          <w:highlight w:val="none"/>
        </w:rPr>
        <w:t>同意遵照招标文件的全部内容，承担招标文件中规定的全部责任和义务；</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lang w:val="en-US" w:eastAsia="zh-CN"/>
        </w:rPr>
        <w:t>我方完全响应招标文件中的合同条款的付款方式。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、本</w:t>
      </w:r>
      <w:r>
        <w:rPr>
          <w:rFonts w:hint="eastAsia" w:ascii="宋体" w:hAnsi="宋体"/>
          <w:color w:val="auto"/>
          <w:szCs w:val="21"/>
          <w:highlight w:val="none"/>
          <w:lang w:eastAsia="zh-CN"/>
        </w:rPr>
        <w:t>投标单位</w:t>
      </w:r>
      <w:r>
        <w:rPr>
          <w:rFonts w:ascii="宋体" w:hAnsi="宋体"/>
          <w:color w:val="auto"/>
          <w:szCs w:val="21"/>
          <w:highlight w:val="none"/>
        </w:rPr>
        <w:t>承诺，在招标文件规定的时间内，如果我们撤回投标或</w:t>
      </w:r>
      <w:r>
        <w:rPr>
          <w:rFonts w:hint="eastAsia" w:ascii="宋体" w:hAnsi="宋体"/>
          <w:color w:val="auto"/>
          <w:szCs w:val="21"/>
          <w:highlight w:val="none"/>
        </w:rPr>
        <w:t>成交</w:t>
      </w:r>
      <w:r>
        <w:rPr>
          <w:rFonts w:ascii="宋体" w:hAnsi="宋体"/>
          <w:color w:val="auto"/>
          <w:szCs w:val="21"/>
          <w:highlight w:val="none"/>
        </w:rPr>
        <w:t>后拒签合同，</w:t>
      </w:r>
      <w:r>
        <w:rPr>
          <w:rFonts w:hint="eastAsia" w:ascii="宋体" w:hAnsi="宋体"/>
          <w:color w:val="auto"/>
          <w:szCs w:val="21"/>
          <w:highlight w:val="none"/>
        </w:rPr>
        <w:t>或中标后未按招标文件中规定向采购代理机构交纳足额的招标代理服务费，其投标保证金</w:t>
      </w:r>
      <w:r>
        <w:rPr>
          <w:rFonts w:hint="eastAsia" w:ascii="宋体" w:hAnsi="宋体"/>
          <w:color w:val="auto"/>
          <w:szCs w:val="21"/>
          <w:highlight w:val="none"/>
          <w:lang w:eastAsia="zh-CN"/>
        </w:rPr>
        <w:t>（如有）</w:t>
      </w:r>
      <w:r>
        <w:rPr>
          <w:rFonts w:hint="eastAsia" w:ascii="宋体" w:hAnsi="宋体"/>
          <w:color w:val="auto"/>
          <w:szCs w:val="21"/>
          <w:highlight w:val="none"/>
        </w:rPr>
        <w:t>将被贵方没收；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、本</w:t>
      </w:r>
      <w:r>
        <w:rPr>
          <w:rFonts w:hint="eastAsia" w:ascii="宋体" w:hAnsi="宋体"/>
          <w:color w:val="auto"/>
          <w:szCs w:val="21"/>
          <w:highlight w:val="none"/>
          <w:lang w:eastAsia="zh-CN"/>
        </w:rPr>
        <w:t>投标单位</w:t>
      </w:r>
      <w:r>
        <w:rPr>
          <w:rFonts w:ascii="宋体" w:hAnsi="宋体"/>
          <w:color w:val="auto"/>
          <w:szCs w:val="21"/>
          <w:highlight w:val="none"/>
        </w:rPr>
        <w:t>愿意承担直至合同签订时止为此项投标所开支的一切费用；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、本</w:t>
      </w:r>
      <w:r>
        <w:rPr>
          <w:rFonts w:hint="eastAsia" w:ascii="宋体" w:hAnsi="宋体" w:cs="宋体"/>
          <w:color w:val="auto"/>
          <w:szCs w:val="21"/>
          <w:highlight w:val="none"/>
          <w:lang w:eastAsia="zh-CN"/>
        </w:rPr>
        <w:t>投标单位</w:t>
      </w:r>
      <w:r>
        <w:rPr>
          <w:rFonts w:ascii="宋体" w:hAnsi="宋体"/>
          <w:color w:val="auto"/>
          <w:szCs w:val="21"/>
          <w:highlight w:val="none"/>
        </w:rPr>
        <w:t>理解</w:t>
      </w:r>
      <w:r>
        <w:rPr>
          <w:rFonts w:hint="eastAsia" w:ascii="宋体" w:hAnsi="宋体"/>
          <w:color w:val="auto"/>
          <w:szCs w:val="21"/>
          <w:highlight w:val="none"/>
        </w:rPr>
        <w:t>采购</w:t>
      </w:r>
      <w:r>
        <w:rPr>
          <w:rFonts w:ascii="宋体" w:hAnsi="宋体"/>
          <w:color w:val="auto"/>
          <w:szCs w:val="21"/>
          <w:highlight w:val="none"/>
        </w:rPr>
        <w:t>人没有接受最低投标报价或任何</w:t>
      </w:r>
      <w:r>
        <w:rPr>
          <w:rFonts w:hint="eastAsia" w:ascii="宋体" w:hAnsi="宋体"/>
          <w:color w:val="auto"/>
          <w:szCs w:val="21"/>
          <w:highlight w:val="none"/>
        </w:rPr>
        <w:t>在开标后递交的</w:t>
      </w:r>
      <w:r>
        <w:rPr>
          <w:rFonts w:ascii="宋体" w:hAnsi="宋体"/>
          <w:color w:val="auto"/>
          <w:szCs w:val="21"/>
          <w:highlight w:val="none"/>
        </w:rPr>
        <w:t>其它投标</w:t>
      </w:r>
      <w:r>
        <w:rPr>
          <w:rFonts w:hint="eastAsia" w:ascii="宋体" w:hAnsi="宋体"/>
          <w:color w:val="auto"/>
          <w:szCs w:val="21"/>
          <w:highlight w:val="none"/>
        </w:rPr>
        <w:t>材料</w:t>
      </w:r>
      <w:r>
        <w:rPr>
          <w:rFonts w:ascii="宋体" w:hAnsi="宋体"/>
          <w:color w:val="auto"/>
          <w:szCs w:val="21"/>
          <w:highlight w:val="none"/>
        </w:rPr>
        <w:t>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highlight w:val="none"/>
        </w:rPr>
        <w:t>我方同意所递交的</w:t>
      </w:r>
      <w:r>
        <w:rPr>
          <w:rFonts w:hint="eastAsia" w:ascii="宋体" w:hAnsi="宋体"/>
          <w:color w:val="auto"/>
          <w:highlight w:val="none"/>
          <w:lang w:eastAsia="zh-CN"/>
        </w:rPr>
        <w:t>投标</w:t>
      </w:r>
      <w:r>
        <w:rPr>
          <w:rFonts w:hint="eastAsia" w:ascii="宋体" w:hAnsi="宋体"/>
          <w:color w:val="auto"/>
          <w:highlight w:val="none"/>
        </w:rPr>
        <w:t>文件的有效期为</w:t>
      </w:r>
      <w:r>
        <w:rPr>
          <w:rFonts w:hint="eastAsia" w:ascii="宋体" w:hAnsi="宋体"/>
          <w:color w:val="auto"/>
          <w:spacing w:val="6"/>
          <w:kern w:val="0"/>
          <w:highlight w:val="none"/>
        </w:rPr>
        <w:t>90日历天（自递交</w:t>
      </w:r>
      <w:r>
        <w:rPr>
          <w:rFonts w:hint="eastAsia" w:ascii="宋体" w:hAnsi="宋体"/>
          <w:color w:val="auto"/>
          <w:spacing w:val="6"/>
          <w:kern w:val="0"/>
          <w:highlight w:val="none"/>
          <w:lang w:eastAsia="zh-CN"/>
        </w:rPr>
        <w:t>投标</w:t>
      </w:r>
      <w:r>
        <w:rPr>
          <w:rFonts w:hint="eastAsia" w:ascii="宋体" w:hAnsi="宋体"/>
          <w:color w:val="auto"/>
          <w:spacing w:val="6"/>
          <w:kern w:val="0"/>
          <w:highlight w:val="none"/>
        </w:rPr>
        <w:t>文件截止之日算起）</w:t>
      </w:r>
      <w:r>
        <w:rPr>
          <w:rFonts w:hint="eastAsia" w:ascii="宋体" w:hAnsi="宋体"/>
          <w:color w:val="auto"/>
          <w:highlight w:val="none"/>
        </w:rPr>
        <w:t>，在此期间内，我方将受此约束。</w:t>
      </w:r>
    </w:p>
    <w:p>
      <w:pPr>
        <w:spacing w:line="360" w:lineRule="auto"/>
        <w:ind w:firstLine="645"/>
        <w:rPr>
          <w:rFonts w:ascii="宋体" w:hAnsi="宋体"/>
          <w:color w:val="auto"/>
          <w:szCs w:val="21"/>
          <w:highlight w:val="none"/>
        </w:rPr>
      </w:pPr>
    </w:p>
    <w:p>
      <w:pPr>
        <w:spacing w:line="360" w:lineRule="auto"/>
        <w:ind w:firstLine="645"/>
        <w:rPr>
          <w:rFonts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名称（</w:t>
      </w:r>
      <w:r>
        <w:rPr>
          <w:rFonts w:hint="eastAsia" w:ascii="宋体" w:hAnsi="宋体"/>
          <w:color w:val="auto"/>
          <w:szCs w:val="21"/>
          <w:highlight w:val="none"/>
        </w:rPr>
        <w:t>单位</w:t>
      </w:r>
      <w:r>
        <w:rPr>
          <w:rFonts w:ascii="宋体" w:hAnsi="宋体"/>
          <w:color w:val="auto"/>
          <w:szCs w:val="21"/>
          <w:highlight w:val="none"/>
        </w:rPr>
        <w:t>公章）</w:t>
      </w:r>
      <w:r>
        <w:rPr>
          <w:rFonts w:hint="eastAsia" w:ascii="宋体" w:hAnsi="宋体"/>
          <w:color w:val="auto"/>
          <w:szCs w:val="21"/>
          <w:highlight w:val="none"/>
        </w:rPr>
        <w:t>：</w:t>
      </w:r>
      <w:r>
        <w:rPr>
          <w:rFonts w:ascii="宋体" w:hAnsi="宋体"/>
          <w:color w:val="auto"/>
          <w:szCs w:val="21"/>
          <w:highlight w:val="none"/>
          <w:u w:val="single"/>
        </w:rPr>
        <w:t xml:space="preserve">                       </w:t>
      </w:r>
    </w:p>
    <w:p>
      <w:pPr>
        <w:spacing w:line="360" w:lineRule="auto"/>
        <w:ind w:firstLine="645"/>
        <w:rPr>
          <w:rFonts w:hint="eastAsia" w:ascii="宋体" w:hAnsi="宋体"/>
          <w:color w:val="auto"/>
          <w:szCs w:val="21"/>
          <w:highlight w:val="none"/>
        </w:rPr>
      </w:pPr>
    </w:p>
    <w:p>
      <w:pPr>
        <w:spacing w:line="360" w:lineRule="auto"/>
        <w:ind w:firstLine="645"/>
        <w:rPr>
          <w:rFonts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法定代表人</w:t>
      </w:r>
      <w:r>
        <w:rPr>
          <w:rFonts w:hint="eastAsia" w:ascii="宋体" w:hAnsi="宋体"/>
          <w:color w:val="auto"/>
          <w:szCs w:val="21"/>
          <w:highlight w:val="none"/>
        </w:rPr>
        <w:t>或</w:t>
      </w:r>
      <w:r>
        <w:rPr>
          <w:rFonts w:ascii="宋体" w:hAnsi="宋体"/>
          <w:color w:val="auto"/>
          <w:szCs w:val="21"/>
          <w:highlight w:val="none"/>
        </w:rPr>
        <w:t>其授权委托人</w:t>
      </w:r>
      <w:r>
        <w:rPr>
          <w:rFonts w:hint="eastAsia" w:ascii="宋体" w:hAnsi="宋体"/>
          <w:color w:val="auto"/>
          <w:szCs w:val="21"/>
          <w:highlight w:val="none"/>
        </w:rPr>
        <w:t>（签字或盖章）：</w:t>
      </w:r>
      <w:r>
        <w:rPr>
          <w:rFonts w:ascii="宋体" w:hAnsi="宋体"/>
          <w:color w:val="auto"/>
          <w:szCs w:val="21"/>
          <w:highlight w:val="none"/>
          <w:u w:val="single"/>
        </w:rPr>
        <w:t xml:space="preserve">                </w:t>
      </w:r>
    </w:p>
    <w:p>
      <w:pPr>
        <w:spacing w:line="360" w:lineRule="auto"/>
        <w:ind w:firstLine="645"/>
        <w:rPr>
          <w:rFonts w:ascii="宋体" w:hAnsi="宋体"/>
          <w:color w:val="auto"/>
          <w:szCs w:val="21"/>
          <w:highlight w:val="none"/>
        </w:rPr>
      </w:pPr>
      <w:r>
        <w:rPr>
          <w:rFonts w:ascii="宋体" w:hAnsi="宋体"/>
          <w:color w:val="auto"/>
          <w:szCs w:val="21"/>
          <w:highlight w:val="none"/>
        </w:rPr>
        <w:t>地  址：                            电  话：</w:t>
      </w:r>
    </w:p>
    <w:p>
      <w:pPr>
        <w:spacing w:line="360" w:lineRule="auto"/>
        <w:ind w:firstLine="645"/>
        <w:rPr>
          <w:rFonts w:ascii="宋体" w:hAnsi="宋体"/>
          <w:color w:val="auto"/>
          <w:szCs w:val="21"/>
          <w:highlight w:val="none"/>
        </w:rPr>
      </w:pPr>
      <w:r>
        <w:rPr>
          <w:rFonts w:ascii="宋体" w:hAnsi="宋体"/>
          <w:color w:val="auto"/>
          <w:szCs w:val="21"/>
          <w:highlight w:val="none"/>
        </w:rPr>
        <w:t>邮  编：                            传  真：</w:t>
      </w:r>
    </w:p>
    <w:p>
      <w:pPr>
        <w:spacing w:line="360" w:lineRule="auto"/>
        <w:ind w:firstLine="645"/>
        <w:rPr>
          <w:rFonts w:ascii="宋体" w:hAnsi="宋体"/>
          <w:color w:val="auto"/>
          <w:szCs w:val="21"/>
          <w:highlight w:val="none"/>
        </w:rPr>
      </w:pPr>
      <w:r>
        <w:rPr>
          <w:rFonts w:ascii="宋体" w:hAnsi="宋体"/>
          <w:color w:val="auto"/>
          <w:szCs w:val="21"/>
          <w:highlight w:val="none"/>
        </w:rPr>
        <w:t>开户银行名称：                      开户行地址：</w:t>
      </w:r>
    </w:p>
    <w:p>
      <w:pPr>
        <w:spacing w:line="360" w:lineRule="auto"/>
        <w:ind w:firstLine="645"/>
        <w:rPr>
          <w:rFonts w:ascii="宋体" w:hAnsi="宋体"/>
          <w:color w:val="auto"/>
          <w:szCs w:val="21"/>
          <w:highlight w:val="none"/>
        </w:rPr>
      </w:pPr>
      <w:r>
        <w:rPr>
          <w:rFonts w:ascii="宋体" w:hAnsi="宋体"/>
          <w:color w:val="auto"/>
          <w:szCs w:val="21"/>
          <w:highlight w:val="none"/>
        </w:rPr>
        <w:t>户  名：                            银行账号：</w:t>
      </w:r>
    </w:p>
    <w:p>
      <w:pPr>
        <w:spacing w:line="360" w:lineRule="auto"/>
        <w:ind w:firstLine="645"/>
        <w:jc w:val="right"/>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bookmarkEnd w:id="290"/>
    <w:p>
      <w:pPr>
        <w:pStyle w:val="5"/>
        <w:spacing w:line="360" w:lineRule="auto"/>
        <w:jc w:val="center"/>
        <w:outlineLvl w:val="0"/>
        <w:rPr>
          <w:rFonts w:hint="eastAsia" w:ascii="宋体" w:hAnsi="宋体"/>
          <w:color w:val="auto"/>
          <w:highlight w:val="none"/>
        </w:rPr>
      </w:pPr>
      <w:bookmarkStart w:id="291" w:name="_Toc293999500"/>
      <w:bookmarkStart w:id="292" w:name="_Toc269407678"/>
      <w:bookmarkStart w:id="293" w:name="_Toc269407893"/>
      <w:bookmarkStart w:id="294" w:name="_Toc293999385"/>
      <w:bookmarkStart w:id="295" w:name="_Toc235544050"/>
      <w:bookmarkStart w:id="296" w:name="_Toc232673692"/>
      <w:bookmarkStart w:id="297" w:name="_Toc235558337"/>
      <w:bookmarkStart w:id="298" w:name="_Toc235544849"/>
      <w:r>
        <w:rPr>
          <w:rFonts w:ascii="宋体" w:hAnsi="宋体"/>
          <w:color w:val="auto"/>
          <w:highlight w:val="none"/>
        </w:rPr>
        <w:br w:type="page"/>
      </w:r>
      <w:bookmarkStart w:id="299" w:name="_Toc1225"/>
      <w:bookmarkStart w:id="300" w:name="_Toc18152"/>
      <w:bookmarkStart w:id="301" w:name="_Toc14645"/>
      <w:bookmarkStart w:id="302" w:name="_Toc16698"/>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部分  投标</w:t>
      </w:r>
      <w:r>
        <w:rPr>
          <w:rFonts w:hint="eastAsia" w:ascii="宋体" w:hAnsi="宋体"/>
          <w:color w:val="auto"/>
          <w:highlight w:val="none"/>
        </w:rPr>
        <w:t>报价表</w:t>
      </w:r>
      <w:bookmarkEnd w:id="291"/>
      <w:bookmarkEnd w:id="292"/>
      <w:bookmarkEnd w:id="293"/>
      <w:bookmarkEnd w:id="294"/>
      <w:bookmarkEnd w:id="299"/>
      <w:bookmarkEnd w:id="300"/>
      <w:bookmarkEnd w:id="301"/>
      <w:bookmarkEnd w:id="302"/>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978"/>
        <w:gridCol w:w="771"/>
        <w:gridCol w:w="2211"/>
        <w:gridCol w:w="940"/>
        <w:gridCol w:w="979"/>
        <w:gridCol w:w="979"/>
        <w:gridCol w:w="1051"/>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57" w:type="pct"/>
            <w:vAlign w:val="center"/>
          </w:tcPr>
          <w:p>
            <w:pPr>
              <w:ind w:left="0" w:leftChars="0" w:right="0" w:rightChars="0" w:firstLine="0" w:firstLineChars="0"/>
              <w:jc w:val="center"/>
              <w:rPr>
                <w:rFonts w:hint="eastAsia"/>
                <w:vertAlign w:val="baseline"/>
                <w:lang w:val="en-US" w:eastAsia="zh-CN"/>
              </w:rPr>
            </w:pPr>
            <w:bookmarkStart w:id="303" w:name="_Toc238899448"/>
            <w:bookmarkStart w:id="304" w:name="_Toc250572329"/>
            <w:bookmarkStart w:id="305" w:name="_Toc235566063"/>
            <w:bookmarkStart w:id="306" w:name="_Toc235566302"/>
            <w:bookmarkStart w:id="307" w:name="_Toc235566469"/>
            <w:bookmarkStart w:id="308" w:name="_Toc235565960"/>
            <w:bookmarkStart w:id="309" w:name="_Toc15495"/>
            <w:bookmarkStart w:id="310" w:name="_Toc269407679"/>
            <w:r>
              <w:rPr>
                <w:rFonts w:hint="eastAsia"/>
                <w:vertAlign w:val="baseline"/>
                <w:lang w:val="en-US" w:eastAsia="zh-CN"/>
              </w:rPr>
              <w:t>序号</w:t>
            </w:r>
          </w:p>
        </w:tc>
        <w:tc>
          <w:tcPr>
            <w:tcW w:w="991" w:type="pct"/>
            <w:gridSpan w:val="2"/>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名称</w:t>
            </w:r>
          </w:p>
        </w:tc>
        <w:tc>
          <w:tcPr>
            <w:tcW w:w="1251" w:type="pct"/>
            <w:vAlign w:val="center"/>
          </w:tcPr>
          <w:p>
            <w:pPr>
              <w:ind w:left="0" w:leftChars="0" w:right="0" w:rightChars="0" w:firstLine="0" w:firstLineChars="0"/>
              <w:jc w:val="center"/>
              <w:rPr>
                <w:rFonts w:hint="eastAsia"/>
                <w:lang w:val="en-US" w:eastAsia="zh-CN"/>
              </w:rPr>
            </w:pPr>
            <w:r>
              <w:rPr>
                <w:rFonts w:hint="eastAsia"/>
                <w:lang w:val="en-US" w:eastAsia="zh-CN"/>
              </w:rPr>
              <w:t>规格</w:t>
            </w:r>
          </w:p>
        </w:tc>
        <w:tc>
          <w:tcPr>
            <w:tcW w:w="532" w:type="pct"/>
            <w:vAlign w:val="center"/>
          </w:tcPr>
          <w:p>
            <w:pPr>
              <w:ind w:left="0" w:leftChars="0" w:right="0" w:rightChars="0" w:firstLine="0" w:firstLineChars="0"/>
              <w:jc w:val="center"/>
              <w:rPr>
                <w:rFonts w:hint="eastAsia"/>
                <w:lang w:val="en-US" w:eastAsia="zh-CN"/>
              </w:rPr>
            </w:pPr>
            <w:r>
              <w:rPr>
                <w:rFonts w:hint="eastAsia"/>
                <w:lang w:val="en-US" w:eastAsia="zh-CN"/>
              </w:rPr>
              <w:t>数量（台）</w:t>
            </w:r>
          </w:p>
        </w:tc>
        <w:tc>
          <w:tcPr>
            <w:tcW w:w="554" w:type="pct"/>
            <w:vAlign w:val="center"/>
          </w:tcPr>
          <w:p>
            <w:pPr>
              <w:ind w:left="0" w:leftChars="0" w:right="0" w:rightChars="0" w:firstLine="0" w:firstLineChars="0"/>
              <w:jc w:val="center"/>
              <w:rPr>
                <w:rFonts w:hint="eastAsia"/>
                <w:lang w:val="en-US" w:eastAsia="zh-CN"/>
              </w:rPr>
            </w:pPr>
            <w:r>
              <w:rPr>
                <w:rFonts w:hint="eastAsia"/>
                <w:lang w:val="en-US" w:eastAsia="zh-CN"/>
              </w:rPr>
              <w:t>单价</w:t>
            </w:r>
          </w:p>
          <w:p>
            <w:pPr>
              <w:pStyle w:val="2"/>
              <w:rPr>
                <w:rFonts w:hint="eastAsia"/>
                <w:lang w:val="en-US" w:eastAsia="zh-CN"/>
              </w:rPr>
            </w:pPr>
            <w:r>
              <w:rPr>
                <w:rFonts w:hint="eastAsia"/>
                <w:lang w:val="en-US" w:eastAsia="zh-CN"/>
              </w:rPr>
              <w:t>（元）</w:t>
            </w:r>
          </w:p>
        </w:tc>
        <w:tc>
          <w:tcPr>
            <w:tcW w:w="554" w:type="pct"/>
            <w:vAlign w:val="center"/>
          </w:tcPr>
          <w:p>
            <w:pPr>
              <w:ind w:left="0" w:leftChars="0" w:right="0" w:rightChars="0" w:firstLine="0" w:firstLineChars="0"/>
              <w:jc w:val="center"/>
              <w:rPr>
                <w:rFonts w:hint="eastAsia"/>
                <w:lang w:val="en-US" w:eastAsia="zh-CN"/>
              </w:rPr>
            </w:pPr>
            <w:r>
              <w:rPr>
                <w:rFonts w:hint="eastAsia"/>
                <w:lang w:val="en-US" w:eastAsia="zh-CN"/>
              </w:rPr>
              <w:t>合计</w:t>
            </w:r>
          </w:p>
          <w:p>
            <w:pPr>
              <w:ind w:left="0" w:leftChars="0" w:right="0" w:rightChars="0" w:firstLine="0" w:firstLineChars="0"/>
              <w:jc w:val="center"/>
              <w:rPr>
                <w:rFonts w:hint="eastAsia"/>
                <w:lang w:val="en-US" w:eastAsia="zh-CN"/>
              </w:rPr>
            </w:pPr>
            <w:r>
              <w:rPr>
                <w:rFonts w:hint="eastAsia"/>
                <w:lang w:val="en-US" w:eastAsia="zh-CN"/>
              </w:rPr>
              <w:t>（元）</w:t>
            </w:r>
          </w:p>
        </w:tc>
        <w:tc>
          <w:tcPr>
            <w:tcW w:w="595" w:type="pct"/>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质保期（年）</w:t>
            </w:r>
          </w:p>
        </w:tc>
        <w:tc>
          <w:tcPr>
            <w:tcW w:w="263" w:type="pct"/>
            <w:vAlign w:val="center"/>
          </w:tcPr>
          <w:p>
            <w:pPr>
              <w:ind w:left="0" w:leftChars="0" w:right="0" w:rightChars="0" w:firstLine="0" w:firstLineChars="0"/>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7"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1</w:t>
            </w:r>
          </w:p>
        </w:tc>
        <w:tc>
          <w:tcPr>
            <w:tcW w:w="991" w:type="pct"/>
            <w:gridSpan w:val="2"/>
            <w:vAlign w:val="center"/>
          </w:tcPr>
          <w:p>
            <w:pPr>
              <w:ind w:left="0" w:leftChars="0" w:right="0" w:rightChars="0" w:firstLine="0" w:firstLineChars="0"/>
              <w:jc w:val="center"/>
              <w:rPr>
                <w:rFonts w:hint="eastAsia" w:ascii="Times New Roman" w:hAnsi="Times New Roman" w:eastAsia="宋体" w:cs="Times New Roman"/>
                <w:kern w:val="2"/>
                <w:sz w:val="21"/>
                <w:vertAlign w:val="baseline"/>
                <w:lang w:val="en-US" w:eastAsia="zh-CN" w:bidi="ar-SA"/>
              </w:rPr>
            </w:pPr>
            <w:r>
              <w:rPr>
                <w:rFonts w:hint="eastAsia" w:ascii="宋体" w:hAnsi="宋体" w:eastAsia="宋体" w:cs="宋体"/>
                <w:b w:val="0"/>
                <w:bCs w:val="0"/>
                <w:sz w:val="24"/>
                <w:szCs w:val="24"/>
                <w:lang w:val="en-US" w:eastAsia="zh-CN"/>
              </w:rPr>
              <w:t>东坡煤矿生活污水处理厂</w:t>
            </w:r>
          </w:p>
        </w:tc>
        <w:tc>
          <w:tcPr>
            <w:tcW w:w="1251" w:type="pct"/>
            <w:vAlign w:val="center"/>
          </w:tcPr>
          <w:p>
            <w:pPr>
              <w:ind w:left="0" w:leftChars="0" w:right="0" w:righ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“A2O+MBR”|100m³/d</w:t>
            </w:r>
          </w:p>
        </w:tc>
        <w:tc>
          <w:tcPr>
            <w:tcW w:w="532" w:type="pct"/>
            <w:vAlign w:val="center"/>
          </w:tcPr>
          <w:p>
            <w:pPr>
              <w:ind w:left="0" w:leftChars="0" w:right="0" w:rightChars="0"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1</w:t>
            </w:r>
          </w:p>
        </w:tc>
        <w:tc>
          <w:tcPr>
            <w:tcW w:w="554"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p>
        </w:tc>
        <w:tc>
          <w:tcPr>
            <w:tcW w:w="554"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p>
        </w:tc>
        <w:tc>
          <w:tcPr>
            <w:tcW w:w="595" w:type="pct"/>
            <w:vAlign w:val="center"/>
          </w:tcPr>
          <w:p>
            <w:pPr>
              <w:ind w:left="0" w:leftChars="0" w:right="0" w:rightChars="0" w:firstLine="0" w:firstLineChars="0"/>
              <w:jc w:val="center"/>
              <w:rPr>
                <w:rFonts w:hint="default"/>
                <w:vertAlign w:val="baseline"/>
                <w:lang w:val="en-US" w:eastAsia="zh-CN"/>
              </w:rPr>
            </w:pPr>
          </w:p>
        </w:tc>
        <w:tc>
          <w:tcPr>
            <w:tcW w:w="263" w:type="pct"/>
            <w:vAlign w:val="center"/>
          </w:tcPr>
          <w:p>
            <w:pPr>
              <w:ind w:left="0" w:leftChars="0" w:right="0" w:righ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7"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2</w:t>
            </w:r>
          </w:p>
        </w:tc>
        <w:tc>
          <w:tcPr>
            <w:tcW w:w="991" w:type="pct"/>
            <w:gridSpan w:val="2"/>
            <w:vAlign w:val="center"/>
          </w:tcPr>
          <w:p>
            <w:pPr>
              <w:ind w:left="0" w:leftChars="0" w:right="0" w:rightChars="0" w:firstLine="0" w:firstLineChars="0"/>
              <w:jc w:val="center"/>
              <w:rPr>
                <w:rFonts w:hint="eastAsia" w:ascii="Times New Roman" w:hAnsi="Times New Roman" w:eastAsia="宋体" w:cs="Times New Roman"/>
                <w:kern w:val="2"/>
                <w:sz w:val="21"/>
                <w:vertAlign w:val="baseline"/>
                <w:lang w:val="en-US" w:eastAsia="zh-CN" w:bidi="ar-SA"/>
              </w:rPr>
            </w:pPr>
            <w:r>
              <w:rPr>
                <w:rFonts w:hint="eastAsia" w:ascii="宋体" w:hAnsi="宋体" w:eastAsia="宋体" w:cs="宋体"/>
                <w:b w:val="0"/>
                <w:bCs w:val="0"/>
                <w:sz w:val="24"/>
                <w:szCs w:val="24"/>
                <w:highlight w:val="none"/>
                <w:lang w:val="en-US" w:eastAsia="zh-CN"/>
              </w:rPr>
              <w:t>王石凹煤矿生活污水处理厂</w:t>
            </w:r>
          </w:p>
        </w:tc>
        <w:tc>
          <w:tcPr>
            <w:tcW w:w="1251" w:type="pct"/>
            <w:vAlign w:val="center"/>
          </w:tcPr>
          <w:p>
            <w:pPr>
              <w:ind w:left="0" w:leftChars="0" w:right="0" w:righ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“AO+MBR”|100m³/d</w:t>
            </w:r>
          </w:p>
        </w:tc>
        <w:tc>
          <w:tcPr>
            <w:tcW w:w="532" w:type="pct"/>
            <w:vAlign w:val="center"/>
          </w:tcPr>
          <w:p>
            <w:pPr>
              <w:ind w:left="0" w:leftChars="0" w:right="0" w:rightChars="0"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1</w:t>
            </w:r>
          </w:p>
        </w:tc>
        <w:tc>
          <w:tcPr>
            <w:tcW w:w="554"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p>
        </w:tc>
        <w:tc>
          <w:tcPr>
            <w:tcW w:w="554" w:type="pct"/>
            <w:vAlign w:val="center"/>
          </w:tcPr>
          <w:p>
            <w:pPr>
              <w:ind w:left="0" w:leftChars="0" w:right="0" w:rightChars="0" w:firstLine="0" w:firstLineChars="0"/>
              <w:jc w:val="center"/>
              <w:rPr>
                <w:rFonts w:hint="default" w:ascii="Times New Roman" w:hAnsi="Times New Roman" w:eastAsia="宋体" w:cs="Times New Roman"/>
                <w:kern w:val="2"/>
                <w:sz w:val="21"/>
                <w:vertAlign w:val="baseline"/>
                <w:lang w:val="en-US" w:eastAsia="zh-CN" w:bidi="ar-SA"/>
              </w:rPr>
            </w:pPr>
          </w:p>
        </w:tc>
        <w:tc>
          <w:tcPr>
            <w:tcW w:w="595" w:type="pct"/>
            <w:vAlign w:val="center"/>
          </w:tcPr>
          <w:p>
            <w:pPr>
              <w:ind w:left="0" w:leftChars="0" w:right="0" w:rightChars="0" w:firstLine="0" w:firstLineChars="0"/>
              <w:jc w:val="center"/>
              <w:rPr>
                <w:rFonts w:hint="default"/>
                <w:vertAlign w:val="baseline"/>
                <w:lang w:val="en-US" w:eastAsia="zh-CN"/>
              </w:rPr>
            </w:pPr>
          </w:p>
        </w:tc>
        <w:tc>
          <w:tcPr>
            <w:tcW w:w="263" w:type="pct"/>
            <w:vAlign w:val="center"/>
          </w:tcPr>
          <w:p>
            <w:pPr>
              <w:ind w:left="0" w:leftChars="0" w:right="0" w:righ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7" w:type="pct"/>
            <w:vAlign w:val="center"/>
          </w:tcPr>
          <w:p>
            <w:pPr>
              <w:ind w:left="0" w:leftChars="0" w:right="0" w:rightChars="0" w:firstLine="0" w:firstLineChars="0"/>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3</w:t>
            </w:r>
          </w:p>
        </w:tc>
        <w:tc>
          <w:tcPr>
            <w:tcW w:w="991" w:type="pct"/>
            <w:gridSpan w:val="2"/>
            <w:vAlign w:val="center"/>
          </w:tcPr>
          <w:p>
            <w:pPr>
              <w:ind w:left="0" w:leftChars="0" w:right="0" w:rightChars="0" w:firstLine="0" w:firstLineChars="0"/>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4"/>
                <w:szCs w:val="24"/>
                <w:highlight w:val="none"/>
                <w:lang w:val="en-US" w:eastAsia="zh-CN"/>
              </w:rPr>
              <w:t>徐家沟煤矿生活污水处理厂</w:t>
            </w:r>
          </w:p>
        </w:tc>
        <w:tc>
          <w:tcPr>
            <w:tcW w:w="1251" w:type="pct"/>
            <w:vAlign w:val="center"/>
          </w:tcPr>
          <w:p>
            <w:pPr>
              <w:ind w:left="0" w:leftChars="0" w:right="0" w:righ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highlight w:val="none"/>
                <w:vertAlign w:val="baseline"/>
                <w:lang w:val="en-US" w:eastAsia="zh-CN"/>
              </w:rPr>
              <w:t>“AO+MBR”|50m³/d</w:t>
            </w:r>
          </w:p>
        </w:tc>
        <w:tc>
          <w:tcPr>
            <w:tcW w:w="532" w:type="pct"/>
            <w:vAlign w:val="center"/>
          </w:tcPr>
          <w:p>
            <w:pPr>
              <w:ind w:left="0" w:leftChars="0" w:right="0" w:rightChars="0" w:firstLine="0" w:firstLineChars="0"/>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554" w:type="pct"/>
            <w:vAlign w:val="center"/>
          </w:tcPr>
          <w:p>
            <w:pPr>
              <w:ind w:left="0" w:leftChars="0" w:right="0" w:rightChars="0" w:firstLine="0" w:firstLineChars="0"/>
              <w:jc w:val="center"/>
              <w:rPr>
                <w:rFonts w:hint="default" w:ascii="宋体" w:hAnsi="宋体" w:eastAsia="宋体" w:cs="宋体"/>
                <w:b w:val="0"/>
                <w:bCs w:val="0"/>
                <w:kern w:val="2"/>
                <w:sz w:val="21"/>
                <w:szCs w:val="21"/>
                <w:highlight w:val="none"/>
                <w:vertAlign w:val="baseline"/>
                <w:lang w:val="en-US" w:eastAsia="zh-CN" w:bidi="ar-SA"/>
              </w:rPr>
            </w:pPr>
          </w:p>
        </w:tc>
        <w:tc>
          <w:tcPr>
            <w:tcW w:w="554" w:type="pct"/>
            <w:vAlign w:val="center"/>
          </w:tcPr>
          <w:p>
            <w:pPr>
              <w:ind w:left="0" w:leftChars="0" w:right="0" w:rightChars="0" w:firstLine="0" w:firstLineChars="0"/>
              <w:jc w:val="center"/>
              <w:rPr>
                <w:rFonts w:hint="default" w:ascii="宋体" w:hAnsi="宋体" w:eastAsia="宋体" w:cs="宋体"/>
                <w:b w:val="0"/>
                <w:bCs w:val="0"/>
                <w:kern w:val="2"/>
                <w:sz w:val="21"/>
                <w:szCs w:val="21"/>
                <w:highlight w:val="none"/>
                <w:vertAlign w:val="baseline"/>
                <w:lang w:val="en-US" w:eastAsia="zh-CN" w:bidi="ar-SA"/>
              </w:rPr>
            </w:pPr>
          </w:p>
        </w:tc>
        <w:tc>
          <w:tcPr>
            <w:tcW w:w="595" w:type="pct"/>
            <w:vAlign w:val="center"/>
          </w:tcPr>
          <w:p>
            <w:pPr>
              <w:ind w:left="0" w:leftChars="0" w:right="0" w:rightChars="0" w:firstLine="0" w:firstLineChars="0"/>
              <w:jc w:val="center"/>
              <w:rPr>
                <w:rFonts w:hint="default"/>
                <w:vertAlign w:val="baseline"/>
                <w:lang w:val="en-US" w:eastAsia="zh-CN"/>
              </w:rPr>
            </w:pPr>
          </w:p>
        </w:tc>
        <w:tc>
          <w:tcPr>
            <w:tcW w:w="263" w:type="pct"/>
            <w:vAlign w:val="center"/>
          </w:tcPr>
          <w:p>
            <w:pPr>
              <w:ind w:left="0" w:leftChars="0" w:right="0" w:righ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1" w:type="pct"/>
            <w:gridSpan w:val="2"/>
            <w:vAlign w:val="center"/>
          </w:tcPr>
          <w:p>
            <w:pPr>
              <w:ind w:left="0" w:leftChars="0" w:right="0" w:rightChars="0" w:firstLine="0" w:firstLineChars="0"/>
              <w:jc w:val="center"/>
              <w:rPr>
                <w:rFonts w:hint="default"/>
                <w:vertAlign w:val="baseline"/>
                <w:lang w:val="en-US" w:eastAsia="zh-CN"/>
              </w:rPr>
            </w:pPr>
            <w:r>
              <w:rPr>
                <w:rFonts w:hint="eastAsia" w:ascii="宋体" w:hAnsi="宋体" w:cs="宋体"/>
                <w:b w:val="0"/>
                <w:bCs w:val="0"/>
                <w:kern w:val="2"/>
                <w:sz w:val="21"/>
                <w:szCs w:val="21"/>
                <w:highlight w:val="none"/>
                <w:vertAlign w:val="baseline"/>
                <w:lang w:val="en-US" w:eastAsia="zh-CN" w:bidi="ar-SA"/>
              </w:rPr>
              <w:t>总报价（元）</w:t>
            </w:r>
          </w:p>
        </w:tc>
        <w:tc>
          <w:tcPr>
            <w:tcW w:w="4188" w:type="pct"/>
            <w:gridSpan w:val="7"/>
            <w:vAlign w:val="center"/>
          </w:tcPr>
          <w:p>
            <w:pPr>
              <w:ind w:left="0" w:leftChars="0" w:right="0" w:rightChars="0" w:firstLine="0" w:firstLineChars="0"/>
              <w:jc w:val="center"/>
              <w:rPr>
                <w:rFonts w:hint="default"/>
                <w:vertAlign w:val="baseline"/>
                <w:lang w:val="en-US" w:eastAsia="zh-CN"/>
              </w:rPr>
            </w:pPr>
          </w:p>
        </w:tc>
      </w:tr>
    </w:tbl>
    <w:p>
      <w:pPr>
        <w:spacing w:line="360" w:lineRule="auto"/>
        <w:ind w:firstLine="480" w:firstLineChars="200"/>
        <w:jc w:val="left"/>
        <w:rPr>
          <w:rFonts w:hint="eastAsia" w:ascii="宋体" w:hAnsi="宋体" w:eastAsia="宋体" w:cs="宋体"/>
          <w:b w:val="0"/>
          <w:bCs w:val="0"/>
          <w:sz w:val="24"/>
          <w:szCs w:val="24"/>
          <w:lang w:val="en-US" w:eastAsia="zh-CN"/>
        </w:rPr>
      </w:pPr>
    </w:p>
    <w:p>
      <w:pPr>
        <w:ind w:firstLine="420" w:firstLineChars="200"/>
        <w:jc w:val="left"/>
        <w:rPr>
          <w:rFonts w:hint="eastAsia" w:ascii="宋体" w:hAnsi="宋体" w:eastAsia="宋体" w:cs="宋体"/>
          <w:b w:val="0"/>
          <w:bCs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b w:val="0"/>
          <w:bCs w:val="0"/>
          <w:sz w:val="28"/>
          <w:szCs w:val="28"/>
          <w:highlight w:val="none"/>
          <w:lang w:val="en-US" w:eastAsia="zh-CN"/>
        </w:rPr>
      </w:pPr>
      <w:r>
        <w:rPr>
          <w:rFonts w:hint="eastAsia"/>
          <w:b/>
          <w:bCs/>
          <w:sz w:val="28"/>
          <w:szCs w:val="28"/>
          <w:highlight w:val="none"/>
          <w:lang w:val="en-US" w:eastAsia="zh-CN"/>
        </w:rPr>
        <w:t>1、东坡一体化污水处理设备分项表：</w:t>
      </w:r>
    </w:p>
    <w:tbl>
      <w:tblPr>
        <w:tblStyle w:val="18"/>
        <w:tblpPr w:leftFromText="180" w:rightFromText="180" w:vertAnchor="text" w:horzAnchor="page" w:tblpXSpec="center" w:tblpY="457"/>
        <w:tblOverlap w:val="never"/>
        <w:tblW w:w="4998" w:type="pct"/>
        <w:jc w:val="center"/>
        <w:shd w:val="clear" w:color="auto" w:fill="auto"/>
        <w:tblLayout w:type="autofit"/>
        <w:tblCellMar>
          <w:top w:w="0" w:type="dxa"/>
          <w:left w:w="108" w:type="dxa"/>
          <w:bottom w:w="0" w:type="dxa"/>
          <w:right w:w="108" w:type="dxa"/>
        </w:tblCellMar>
      </w:tblPr>
      <w:tblGrid>
        <w:gridCol w:w="681"/>
        <w:gridCol w:w="1668"/>
        <w:gridCol w:w="1686"/>
        <w:gridCol w:w="454"/>
        <w:gridCol w:w="531"/>
        <w:gridCol w:w="961"/>
        <w:gridCol w:w="1425"/>
        <w:gridCol w:w="1425"/>
      </w:tblGrid>
      <w:tr>
        <w:tblPrEx>
          <w:shd w:val="clear" w:color="auto" w:fill="auto"/>
          <w:tblCellMar>
            <w:top w:w="0" w:type="dxa"/>
            <w:left w:w="108" w:type="dxa"/>
            <w:bottom w:w="0" w:type="dxa"/>
            <w:right w:w="108" w:type="dxa"/>
          </w:tblCellMar>
        </w:tblPrEx>
        <w:trPr>
          <w:trHeight w:val="512"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主要设备部件名称</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单价（元）</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合计</w:t>
            </w:r>
          </w:p>
          <w:p>
            <w:pPr>
              <w:pStyle w:val="2"/>
              <w:ind w:left="0" w:leftChars="0" w:right="0" w:rightChars="0" w:firstLine="0" w:firstLineChars="0"/>
              <w:jc w:val="center"/>
              <w:rPr>
                <w:rFonts w:hint="eastAsia"/>
                <w:lang w:val="en-US" w:eastAsia="zh-CN"/>
              </w:rPr>
            </w:pPr>
            <w:r>
              <w:rPr>
                <w:rFonts w:hint="eastAsia" w:ascii="宋体" w:hAnsi="宋体" w:cs="宋体"/>
                <w:i w:val="0"/>
                <w:iCs w:val="0"/>
                <w:color w:val="000000"/>
                <w:kern w:val="0"/>
                <w:sz w:val="21"/>
                <w:szCs w:val="21"/>
                <w:highlight w:val="none"/>
                <w:u w:val="none"/>
                <w:lang w:val="en-US" w:eastAsia="zh-CN" w:bidi="ar"/>
              </w:rPr>
              <w:t>（元）</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64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（A2O+MBR+消毒池+设备间）</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13*2.5*2.5m</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加强筋</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79"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防腐</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检修口</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平口</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出水堰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吊装鼻等其他</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 </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保温系统</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电伴热系统</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橡塑棉</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50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碳钢喷塑一体成型板</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64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硝化液回流泵</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污泥回流泵</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厌氧池填料</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Φ150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厌氧池填料支架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缺氧池填料支架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好氧池填料支架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厌氧池穿孔曝气</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64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缺氧池与好氧池曝气头及曝气管路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帘式膜</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24.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风机</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静音风机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安装于设备间</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反洗泵</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提升泵</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27.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抽吸泵</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PXZ15-30-1.5  </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清水泵</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 </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反洗加药装置</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2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31.</w:t>
            </w:r>
          </w:p>
        </w:tc>
        <w:tc>
          <w:tcPr>
            <w:tcW w:w="97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除磷加药装置</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97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97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0.37KW搅拌机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34.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消毒装置</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18L计量泵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35.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PLC电控柜</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液位控制系统</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16"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进出水管路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DN40热镀锌钢管</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含伴热带和橡塑保温层</w:t>
            </w: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曝气管路</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DN50热镀锌钢管</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主电缆</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16mm2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阀门管件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若干</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3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设备安装与调试</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b/>
          <w:bCs/>
          <w:sz w:val="28"/>
          <w:szCs w:val="28"/>
          <w:highlight w:val="none"/>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b w:val="0"/>
          <w:bCs w:val="0"/>
          <w:sz w:val="28"/>
          <w:szCs w:val="28"/>
          <w:highlight w:val="none"/>
          <w:lang w:val="en-US" w:eastAsia="zh-CN"/>
        </w:rPr>
      </w:pPr>
      <w:r>
        <w:rPr>
          <w:rFonts w:hint="eastAsia"/>
          <w:b/>
          <w:bCs/>
          <w:sz w:val="28"/>
          <w:szCs w:val="28"/>
          <w:highlight w:val="none"/>
          <w:lang w:val="en-US" w:eastAsia="zh-CN"/>
        </w:rPr>
        <w:t>2、王石凹一体化污水处理设备分项表：</w:t>
      </w:r>
    </w:p>
    <w:tbl>
      <w:tblPr>
        <w:tblStyle w:val="18"/>
        <w:tblpPr w:leftFromText="180" w:rightFromText="180" w:vertAnchor="text" w:horzAnchor="page" w:tblpXSpec="center" w:tblpY="352"/>
        <w:tblOverlap w:val="never"/>
        <w:tblW w:w="4997" w:type="pct"/>
        <w:jc w:val="center"/>
        <w:shd w:val="clear" w:color="auto" w:fill="auto"/>
        <w:tblLayout w:type="autofit"/>
        <w:tblCellMar>
          <w:top w:w="0" w:type="dxa"/>
          <w:left w:w="108" w:type="dxa"/>
          <w:bottom w:w="0" w:type="dxa"/>
          <w:right w:w="108" w:type="dxa"/>
        </w:tblCellMar>
      </w:tblPr>
      <w:tblGrid>
        <w:gridCol w:w="531"/>
        <w:gridCol w:w="1729"/>
        <w:gridCol w:w="1686"/>
        <w:gridCol w:w="456"/>
        <w:gridCol w:w="531"/>
        <w:gridCol w:w="1299"/>
        <w:gridCol w:w="1299"/>
        <w:gridCol w:w="1299"/>
      </w:tblGrid>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主要设备部件名称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单价（元）</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合计</w:t>
            </w:r>
          </w:p>
          <w:p>
            <w:pPr>
              <w:pStyle w:val="2"/>
              <w:ind w:left="0" w:leftChars="0" w:right="0" w:rightChars="0" w:firstLine="0" w:firstLineChars="0"/>
              <w:jc w:val="center"/>
              <w:rPr>
                <w:rFonts w:hint="eastAsia" w:ascii="Times New Roman" w:hAnsi="Times New Roman" w:eastAsia="宋体" w:cs="Times New Roman"/>
                <w:kern w:val="2"/>
                <w:sz w:val="24"/>
                <w:lang w:val="en-US" w:eastAsia="zh-CN" w:bidi="ar-SA"/>
              </w:rPr>
            </w:pPr>
            <w:r>
              <w:rPr>
                <w:rFonts w:hint="eastAsia" w:ascii="宋体" w:hAnsi="宋体" w:cs="宋体"/>
                <w:i w:val="0"/>
                <w:iCs w:val="0"/>
                <w:color w:val="000000"/>
                <w:kern w:val="0"/>
                <w:sz w:val="21"/>
                <w:szCs w:val="21"/>
                <w:highlight w:val="none"/>
                <w:u w:val="none"/>
                <w:lang w:val="en-US" w:eastAsia="zh-CN" w:bidi="ar"/>
              </w:rPr>
              <w:t>（元）</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（AO+MBR+消毒池+设备间）</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12*2.25*2.5m</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加强筋</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6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防腐</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检修口</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平口</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出水堰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吊装鼻等其他</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 </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保温系统</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电伴热系统</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0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橡塑棉</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 </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碳钢喷塑一体成型板</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硝化液回流泵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污泥回流泵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剩余污泥泵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缺氧池填料</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Φ150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缺氧池填料支架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好氧池填料支架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风机</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罗茨风机</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安装于设备间</w:t>
            </w: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好氧池曝气头及曝气管路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帘式膜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抽吸泵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PXZ15-30-1.5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9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清水泵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 </w:t>
            </w:r>
          </w:p>
        </w:tc>
        <w:tc>
          <w:tcPr>
            <w:tcW w:w="97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反洗加药装置</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92"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97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除磷加药装置</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97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除磷加药装置</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97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0.37KW搅拌机</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消毒装置</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18L计量泵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PLC电控柜</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31. </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液位控制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进出水管路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DN40热镀锌钢管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含伴热带和橡塑保温层</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曝气管路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DN50热镀锌钢管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97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主电缆</w:t>
            </w:r>
          </w:p>
        </w:tc>
        <w:tc>
          <w:tcPr>
            <w:tcW w:w="95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16mm2</w:t>
            </w:r>
          </w:p>
        </w:tc>
        <w:tc>
          <w:tcPr>
            <w:tcW w:w="25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110</w:t>
            </w:r>
          </w:p>
        </w:tc>
        <w:tc>
          <w:tcPr>
            <w:tcW w:w="73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阀门管件</w:t>
            </w:r>
          </w:p>
        </w:tc>
        <w:tc>
          <w:tcPr>
            <w:tcW w:w="9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若干</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设备安装与调试</w:t>
            </w:r>
          </w:p>
        </w:tc>
        <w:tc>
          <w:tcPr>
            <w:tcW w:w="9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bl>
    <w:p>
      <w:pPr>
        <w:numPr>
          <w:ilvl w:val="0"/>
          <w:numId w:val="0"/>
        </w:numPr>
        <w:jc w:val="left"/>
        <w:rPr>
          <w:rFonts w:hint="eastAsia"/>
          <w:b/>
          <w:bCs/>
          <w:sz w:val="28"/>
          <w:szCs w:val="28"/>
          <w:highlight w:val="none"/>
          <w:lang w:val="en-US" w:eastAsia="zh-CN"/>
        </w:rPr>
      </w:pPr>
    </w:p>
    <w:p>
      <w:pPr>
        <w:rPr>
          <w:rFonts w:hint="eastAsia" w:ascii="宋体" w:hAnsi="宋体" w:eastAsia="宋体" w:cs="宋体"/>
          <w:b w:val="0"/>
          <w:bCs w:val="0"/>
          <w:sz w:val="21"/>
          <w:szCs w:val="21"/>
          <w:lang w:val="en-US" w:eastAsia="zh-CN"/>
        </w:rPr>
      </w:pPr>
    </w:p>
    <w:p>
      <w:pPr>
        <w:numPr>
          <w:ilvl w:val="0"/>
          <w:numId w:val="0"/>
        </w:numPr>
        <w:jc w:val="left"/>
        <w:rPr>
          <w:rFonts w:hint="eastAsia"/>
          <w:b/>
          <w:bCs/>
          <w:sz w:val="28"/>
          <w:szCs w:val="28"/>
          <w:highlight w:val="none"/>
          <w:lang w:val="en-US" w:eastAsia="zh-CN"/>
        </w:rPr>
      </w:pPr>
      <w:r>
        <w:rPr>
          <w:rFonts w:hint="eastAsia"/>
          <w:b/>
          <w:bCs/>
          <w:sz w:val="28"/>
          <w:szCs w:val="28"/>
          <w:highlight w:val="none"/>
          <w:lang w:val="en-US" w:eastAsia="zh-CN"/>
        </w:rPr>
        <w:t>3、徐家沟一体化污水处理设备（2台）：</w:t>
      </w:r>
    </w:p>
    <w:tbl>
      <w:tblPr>
        <w:tblStyle w:val="18"/>
        <w:tblpPr w:leftFromText="180" w:rightFromText="180" w:vertAnchor="text" w:horzAnchor="page" w:tblpXSpec="center" w:tblpY="352"/>
        <w:tblOverlap w:val="never"/>
        <w:tblW w:w="4997" w:type="pct"/>
        <w:jc w:val="center"/>
        <w:shd w:val="clear" w:color="auto" w:fill="auto"/>
        <w:tblLayout w:type="autofit"/>
        <w:tblCellMar>
          <w:top w:w="0" w:type="dxa"/>
          <w:left w:w="108" w:type="dxa"/>
          <w:bottom w:w="0" w:type="dxa"/>
          <w:right w:w="108" w:type="dxa"/>
        </w:tblCellMar>
      </w:tblPr>
      <w:tblGrid>
        <w:gridCol w:w="531"/>
        <w:gridCol w:w="1763"/>
        <w:gridCol w:w="1686"/>
        <w:gridCol w:w="486"/>
        <w:gridCol w:w="426"/>
        <w:gridCol w:w="1290"/>
        <w:gridCol w:w="1324"/>
        <w:gridCol w:w="1324"/>
      </w:tblGrid>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主要设备部件名称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单价（元）</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合计</w:t>
            </w:r>
          </w:p>
          <w:p>
            <w:pPr>
              <w:pStyle w:val="2"/>
              <w:ind w:left="0" w:leftChars="0" w:right="0" w:rightChars="0" w:firstLine="0" w:firstLineChars="0"/>
              <w:jc w:val="center"/>
              <w:rPr>
                <w:rFonts w:hint="eastAsia" w:ascii="Times New Roman" w:hAnsi="Times New Roman" w:eastAsia="宋体" w:cs="Times New Roman"/>
                <w:kern w:val="2"/>
                <w:sz w:val="24"/>
                <w:lang w:val="en-US" w:eastAsia="zh-CN" w:bidi="ar-SA"/>
              </w:rPr>
            </w:pPr>
            <w:r>
              <w:rPr>
                <w:rFonts w:hint="eastAsia" w:ascii="宋体" w:hAnsi="宋体" w:cs="宋体"/>
                <w:i w:val="0"/>
                <w:iCs w:val="0"/>
                <w:color w:val="000000"/>
                <w:kern w:val="0"/>
                <w:sz w:val="21"/>
                <w:szCs w:val="21"/>
                <w:highlight w:val="none"/>
                <w:u w:val="none"/>
                <w:lang w:val="en-US" w:eastAsia="zh-CN" w:bidi="ar"/>
              </w:rPr>
              <w:t>（元）</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（AO+MBR+消毒池+设备间）</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8*2*2.2m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加强筋</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6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防腐</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检修口</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平口</w:t>
            </w: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出水堰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吊装鼻等其他</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碳钢防腐</w:t>
            </w:r>
          </w:p>
        </w:tc>
      </w:tr>
      <w:tr>
        <w:tblPrEx>
          <w:shd w:val="clear" w:color="auto" w:fill="auto"/>
          <w:tblCellMar>
            <w:top w:w="0" w:type="dxa"/>
            <w:left w:w="108" w:type="dxa"/>
            <w:bottom w:w="0" w:type="dxa"/>
            <w:right w:w="108" w:type="dxa"/>
          </w:tblCellMar>
        </w:tblPrEx>
        <w:trPr>
          <w:trHeight w:val="30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 </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保温系统</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电伴热系统</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30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 </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碳钢喷塑一体成型板</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硝化液回流泵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污泥回流泵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缺氧池填料</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Φ150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缺氧池填料支架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Φ150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好氧池填料支架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镀锌螺纹钢</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风机</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罗茨风机</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安装于设备间</w:t>
            </w:r>
          </w:p>
        </w:tc>
      </w:tr>
      <w:tr>
        <w:tblPrEx>
          <w:shd w:val="clear" w:color="auto" w:fill="auto"/>
          <w:tblCellMar>
            <w:top w:w="0" w:type="dxa"/>
            <w:left w:w="108" w:type="dxa"/>
            <w:bottom w:w="0" w:type="dxa"/>
            <w:right w:w="108" w:type="dxa"/>
          </w:tblCellMar>
        </w:tblPrEx>
        <w:trPr>
          <w:trHeight w:val="48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好氧池曝气头及曝气管路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帘式膜</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MBR膜架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标配</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w:t>
            </w:r>
          </w:p>
        </w:tc>
      </w:tr>
      <w:tr>
        <w:tblPrEx>
          <w:shd w:val="clear" w:color="auto" w:fill="auto"/>
          <w:tblCellMar>
            <w:top w:w="0" w:type="dxa"/>
            <w:left w:w="108" w:type="dxa"/>
            <w:bottom w:w="0" w:type="dxa"/>
            <w:right w:w="108" w:type="dxa"/>
          </w:tblCellMar>
        </w:tblPrEx>
        <w:trPr>
          <w:trHeight w:val="278"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抽吸泵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0.75KW  </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反洗泵</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50WQ10-11-0.75</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 </w:t>
            </w:r>
          </w:p>
        </w:tc>
        <w:tc>
          <w:tcPr>
            <w:tcW w:w="99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反洗加药装置</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300L药桶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w:t>
            </w:r>
          </w:p>
        </w:tc>
      </w:tr>
      <w:tr>
        <w:tblPrEx>
          <w:shd w:val="clear" w:color="auto" w:fill="auto"/>
          <w:tblCellMar>
            <w:top w:w="0" w:type="dxa"/>
            <w:left w:w="108" w:type="dxa"/>
            <w:bottom w:w="0" w:type="dxa"/>
            <w:right w:w="108" w:type="dxa"/>
          </w:tblCellMar>
        </w:tblPrEx>
        <w:trPr>
          <w:trHeight w:val="392"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 </w:t>
            </w:r>
          </w:p>
        </w:tc>
        <w:tc>
          <w:tcPr>
            <w:tcW w:w="99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60L计量泵</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电控柜</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p>
        </w:tc>
      </w:tr>
      <w:tr>
        <w:tblPrEx>
          <w:shd w:val="clear" w:color="auto" w:fill="auto"/>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液位控制</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进水管路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DN40热镀锌钢管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含伴热带和橡塑保温层</w:t>
            </w: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曝气管路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DN50热镀锌钢管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排水管路</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DN80,UPVC管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9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主电缆</w:t>
            </w:r>
          </w:p>
        </w:tc>
        <w:tc>
          <w:tcPr>
            <w:tcW w:w="95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16mm2</w:t>
            </w:r>
          </w:p>
        </w:tc>
        <w:tc>
          <w:tcPr>
            <w:tcW w:w="2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24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w:t>
            </w:r>
          </w:p>
        </w:tc>
        <w:tc>
          <w:tcPr>
            <w:tcW w:w="7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阀门管件</w:t>
            </w:r>
          </w:p>
        </w:tc>
        <w:tc>
          <w:tcPr>
            <w:tcW w:w="9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若干</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249"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设备安装与调试</w:t>
            </w:r>
          </w:p>
        </w:tc>
        <w:tc>
          <w:tcPr>
            <w:tcW w:w="9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highlight w:val="none"/>
                <w:u w:val="none"/>
                <w:lang w:val="en-US" w:eastAsia="zh-CN" w:bidi="ar-SA"/>
              </w:rPr>
            </w:pPr>
          </w:p>
        </w:tc>
      </w:tr>
    </w:tbl>
    <w:p>
      <w:pPr>
        <w:rPr>
          <w:rFonts w:hint="eastAsia" w:ascii="宋体" w:hAnsi="宋体" w:eastAsia="宋体" w:cs="宋体"/>
          <w:b w:val="0"/>
          <w:bCs w:val="0"/>
          <w:sz w:val="21"/>
          <w:szCs w:val="21"/>
          <w:lang w:val="en-US" w:eastAsia="zh-CN"/>
        </w:rPr>
      </w:pPr>
    </w:p>
    <w:p>
      <w:pPr>
        <w:pStyle w:val="5"/>
        <w:spacing w:line="416" w:lineRule="auto"/>
        <w:jc w:val="center"/>
        <w:outlineLvl w:val="0"/>
        <w:rPr>
          <w:rFonts w:hint="eastAsia" w:ascii="宋体" w:hAnsi="宋体"/>
          <w:color w:val="auto"/>
          <w:highlight w:val="none"/>
        </w:rPr>
      </w:pPr>
      <w:r>
        <w:rPr>
          <w:rFonts w:hint="eastAsia" w:ascii="宋体" w:hAnsi="宋体"/>
          <w:color w:val="auto"/>
          <w:szCs w:val="21"/>
          <w:highlight w:val="none"/>
        </w:rPr>
        <w:br w:type="page"/>
      </w:r>
      <w:bookmarkEnd w:id="295"/>
      <w:bookmarkEnd w:id="296"/>
      <w:bookmarkEnd w:id="297"/>
      <w:bookmarkEnd w:id="298"/>
      <w:bookmarkEnd w:id="303"/>
      <w:bookmarkEnd w:id="304"/>
      <w:bookmarkEnd w:id="305"/>
      <w:bookmarkEnd w:id="306"/>
      <w:bookmarkEnd w:id="307"/>
      <w:bookmarkEnd w:id="308"/>
      <w:bookmarkEnd w:id="309"/>
      <w:bookmarkEnd w:id="310"/>
      <w:bookmarkStart w:id="311" w:name="_Toc233636518"/>
      <w:bookmarkStart w:id="312" w:name="_Toc232673694"/>
      <w:bookmarkStart w:id="313" w:name="_Toc235544717"/>
      <w:bookmarkStart w:id="314" w:name="_Toc238899453"/>
      <w:bookmarkStart w:id="315" w:name="_Toc260140535"/>
      <w:bookmarkStart w:id="316" w:name="_Toc250572334"/>
      <w:bookmarkStart w:id="317" w:name="_Toc233636429"/>
      <w:bookmarkStart w:id="318" w:name="_Toc233636191"/>
      <w:bookmarkStart w:id="319" w:name="_Toc233636377"/>
      <w:bookmarkStart w:id="320" w:name="_Toc233636467"/>
      <w:bookmarkStart w:id="321" w:name="_Toc293999388"/>
      <w:bookmarkStart w:id="322" w:name="_Toc269407690"/>
      <w:bookmarkStart w:id="323" w:name="_Toc269407902"/>
      <w:bookmarkStart w:id="324" w:name="_Toc8892"/>
      <w:bookmarkStart w:id="325" w:name="_Toc293999503"/>
      <w:bookmarkStart w:id="326" w:name="_Toc18039"/>
      <w:bookmarkStart w:id="327" w:name="_Toc1361"/>
      <w:bookmarkStart w:id="328" w:name="_Toc23421"/>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 xml:space="preserve">部分  </w:t>
      </w:r>
      <w:bookmarkEnd w:id="311"/>
      <w:bookmarkEnd w:id="312"/>
      <w:bookmarkEnd w:id="313"/>
      <w:bookmarkEnd w:id="314"/>
      <w:bookmarkEnd w:id="315"/>
      <w:bookmarkEnd w:id="316"/>
      <w:bookmarkEnd w:id="317"/>
      <w:bookmarkEnd w:id="318"/>
      <w:bookmarkEnd w:id="319"/>
      <w:bookmarkEnd w:id="320"/>
      <w:r>
        <w:rPr>
          <w:rFonts w:hint="eastAsia" w:ascii="宋体" w:hAnsi="宋体"/>
          <w:color w:val="auto"/>
          <w:highlight w:val="none"/>
          <w:lang w:eastAsia="zh-CN"/>
        </w:rPr>
        <w:t>投标单位</w:t>
      </w:r>
      <w:r>
        <w:rPr>
          <w:rFonts w:ascii="宋体" w:hAnsi="宋体"/>
          <w:color w:val="auto"/>
          <w:highlight w:val="none"/>
        </w:rPr>
        <w:t>资格</w:t>
      </w:r>
      <w:bookmarkEnd w:id="321"/>
      <w:bookmarkEnd w:id="322"/>
      <w:bookmarkEnd w:id="323"/>
      <w:bookmarkEnd w:id="324"/>
      <w:bookmarkEnd w:id="325"/>
      <w:bookmarkEnd w:id="326"/>
      <w:bookmarkEnd w:id="327"/>
      <w:bookmarkEnd w:id="328"/>
    </w:p>
    <w:p>
      <w:pPr>
        <w:spacing w:line="480" w:lineRule="auto"/>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投标单位</w:t>
      </w:r>
      <w:r>
        <w:rPr>
          <w:rFonts w:hint="eastAsia" w:ascii="宋体" w:hAnsi="宋体"/>
          <w:color w:val="auto"/>
          <w:szCs w:val="21"/>
          <w:highlight w:val="none"/>
        </w:rPr>
        <w:t>须按目录编制，招标文件未提供格式的，</w:t>
      </w:r>
      <w:r>
        <w:rPr>
          <w:rFonts w:hint="eastAsia" w:ascii="宋体" w:hAnsi="宋体"/>
          <w:color w:val="auto"/>
          <w:szCs w:val="21"/>
          <w:highlight w:val="none"/>
          <w:lang w:eastAsia="zh-CN"/>
        </w:rPr>
        <w:t>投标单位</w:t>
      </w:r>
      <w:r>
        <w:rPr>
          <w:rFonts w:hint="eastAsia" w:ascii="宋体" w:hAnsi="宋体"/>
          <w:color w:val="auto"/>
          <w:szCs w:val="21"/>
          <w:highlight w:val="none"/>
        </w:rPr>
        <w:t>自行编制。）</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、本项目的特定资格要求：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（1）具有独立承担民事责任能力的法人、其他组织或自然人，并出具合法有效的营业执照或事业单位法人证书等国家规定的相关证明，自然人参与的提供其身份证明。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（2）财务状况报告：提供2020年度</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 xml:space="preserve">年度的财务审计报告（成立时间至提交响应文件截止时间不足一年的可提供成立后任意时段的资产负债表），或其基本存款账户开户银行出具的资信证明。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（3）税收缴纳证明：提供2021年6月至今已缴纳的至少一个月的纳税证明或完税证明，依法免税的单位应提供相关证明材料。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（4）社会保障资金缴纳证明：提供2021年6月至今已缴存的至少一个月的社会保障资金缴存单据或社保机构开具的社会保险参保缴费情况证明，依法不需要缴纳社会保障资金的单位应提供相关证明材料。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（5）提供具有履行合同所必需的设备和专业技术能力的承诺函。</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（6）书面声明：参加本次政府采购活动前三年内在经营活动中没有重大违纪，以及未被列入失信被执行人、重大税收违法案件当事人名单、政府采购严重违法失信行为记录名单的书面声明。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应授权合法的人员参加投标全过程，其中法定代表人直接投标，须提交法定代表人身份证明；授权代表参加投标的，须出具法定代表授权委托书及授权代表身份证；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投标单位</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市政公用工程施工总</w:t>
      </w:r>
      <w:r>
        <w:rPr>
          <w:rFonts w:hint="eastAsia" w:ascii="宋体" w:hAnsi="宋体" w:eastAsia="宋体" w:cs="宋体"/>
          <w:color w:val="auto"/>
          <w:sz w:val="21"/>
          <w:szCs w:val="21"/>
          <w:highlight w:val="none"/>
        </w:rPr>
        <w:t>承包三级及以上资质和有效的安全生产许可证；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（9）拟派项目经理</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具备市政公用工程二级及以上注册建造师，有效的安全生产考核合格证书（建安B证）；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截止至投标文件递交截止时间之前，投标人不得被列入“中国执行信息公开网 （http://zxgk.court.gov.cn/shixin）”失信被执行人名单、“信用中国(www.creditchina.gov.cn)”重大税收违法案件当事人名单，不得被列入“中国政府采购网(www.ccgp.gov.cn)” 政府采购严重违法失信行为记录名单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以相关网站截图查询结果为准；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color w:val="auto"/>
          <w:sz w:val="21"/>
          <w:szCs w:val="21"/>
          <w:highlight w:val="none"/>
          <w:u w:val="none"/>
        </w:rPr>
      </w:pPr>
      <w:r>
        <w:rPr>
          <w:rFonts w:hint="eastAsia" w:ascii="宋体" w:hAnsi="宋体" w:eastAsia="宋体" w:cs="宋体"/>
          <w:color w:val="auto"/>
          <w:sz w:val="21"/>
          <w:szCs w:val="21"/>
          <w:highlight w:val="none"/>
        </w:rPr>
        <w:t>（11）本项目不接受联合体投标。</w:t>
      </w:r>
    </w:p>
    <w:p>
      <w:pPr>
        <w:widowControl/>
        <w:spacing w:line="360" w:lineRule="auto"/>
        <w:ind w:right="-197"/>
        <w:jc w:val="left"/>
        <w:rPr>
          <w:rFonts w:hint="eastAsia" w:ascii="宋体" w:hAnsi="宋体"/>
          <w:b/>
          <w:bCs/>
          <w:color w:val="auto"/>
          <w:sz w:val="24"/>
          <w:szCs w:val="24"/>
          <w:highlight w:val="none"/>
        </w:rPr>
      </w:pPr>
      <w:bookmarkStart w:id="329" w:name="_Toc250572335"/>
      <w:bookmarkStart w:id="330" w:name="_Toc233636519"/>
      <w:bookmarkStart w:id="331" w:name="_Toc233636378"/>
      <w:bookmarkStart w:id="332" w:name="_Toc233636430"/>
      <w:bookmarkStart w:id="333" w:name="_Toc235544718"/>
      <w:bookmarkStart w:id="334" w:name="_Toc238899454"/>
      <w:bookmarkStart w:id="335" w:name="_Toc233636468"/>
      <w:bookmarkStart w:id="336" w:name="_Toc232673695"/>
      <w:bookmarkStart w:id="337" w:name="_Toc233636192"/>
      <w:bookmarkStart w:id="338" w:name="_Toc269407691"/>
      <w:r>
        <w:rPr>
          <w:rFonts w:hint="eastAsia" w:ascii="宋体" w:hAnsi="宋体"/>
          <w:color w:val="auto"/>
          <w:sz w:val="24"/>
          <w:szCs w:val="24"/>
          <w:highlight w:val="none"/>
        </w:rPr>
        <w:br w:type="page"/>
      </w:r>
      <w:bookmarkStart w:id="339" w:name="_Toc2626"/>
      <w:r>
        <w:rPr>
          <w:rFonts w:hint="eastAsia" w:ascii="宋体" w:hAnsi="宋体"/>
          <w:b/>
          <w:bCs/>
          <w:color w:val="auto"/>
          <w:sz w:val="24"/>
          <w:szCs w:val="24"/>
          <w:highlight w:val="none"/>
        </w:rPr>
        <w:t>格式</w:t>
      </w:r>
      <w:r>
        <w:rPr>
          <w:rFonts w:ascii="宋体" w:hAnsi="宋体"/>
          <w:b/>
          <w:bCs/>
          <w:color w:val="auto"/>
          <w:sz w:val="24"/>
          <w:szCs w:val="24"/>
          <w:highlight w:val="none"/>
        </w:rPr>
        <w:t>1：法定代表人资格证明</w:t>
      </w:r>
      <w:bookmarkEnd w:id="329"/>
      <w:bookmarkEnd w:id="330"/>
      <w:bookmarkEnd w:id="331"/>
      <w:bookmarkEnd w:id="332"/>
      <w:bookmarkEnd w:id="333"/>
      <w:bookmarkEnd w:id="334"/>
      <w:bookmarkEnd w:id="335"/>
      <w:bookmarkEnd w:id="336"/>
      <w:bookmarkEnd w:id="337"/>
      <w:bookmarkEnd w:id="338"/>
      <w:bookmarkEnd w:id="339"/>
    </w:p>
    <w:p>
      <w:pPr>
        <w:spacing w:line="360" w:lineRule="auto"/>
        <w:rPr>
          <w:rFonts w:ascii="宋体" w:hAnsi="宋体"/>
          <w:color w:val="auto"/>
          <w:sz w:val="24"/>
          <w:szCs w:val="24"/>
          <w:highlight w:val="none"/>
        </w:rPr>
      </w:pPr>
    </w:p>
    <w:p>
      <w:pPr>
        <w:spacing w:line="480" w:lineRule="auto"/>
        <w:ind w:firstLine="550" w:firstLineChars="262"/>
        <w:rPr>
          <w:rFonts w:ascii="宋体" w:hAnsi="宋体"/>
          <w:color w:val="auto"/>
          <w:szCs w:val="21"/>
          <w:highlight w:val="none"/>
          <w:u w:val="single"/>
        </w:rPr>
      </w:pPr>
      <w:r>
        <w:rPr>
          <w:rFonts w:hint="eastAsia" w:ascii="宋体" w:hAnsi="宋体"/>
          <w:color w:val="auto"/>
          <w:szCs w:val="21"/>
          <w:highlight w:val="none"/>
          <w:lang w:eastAsia="zh-CN"/>
        </w:rPr>
        <w:t>投标单位</w:t>
      </w:r>
      <w:r>
        <w:rPr>
          <w:rFonts w:ascii="宋体" w:hAnsi="宋体"/>
          <w:color w:val="auto"/>
          <w:szCs w:val="21"/>
          <w:highlight w:val="none"/>
        </w:rPr>
        <w:t>名称：</w:t>
      </w:r>
      <w:r>
        <w:rPr>
          <w:rFonts w:ascii="宋体" w:hAnsi="宋体"/>
          <w:color w:val="auto"/>
          <w:szCs w:val="21"/>
          <w:highlight w:val="none"/>
          <w:u w:val="single"/>
        </w:rPr>
        <w:t xml:space="preserve">                                                </w:t>
      </w:r>
    </w:p>
    <w:p>
      <w:pPr>
        <w:spacing w:line="480" w:lineRule="auto"/>
        <w:ind w:firstLine="550" w:firstLineChars="262"/>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p>
    <w:p>
      <w:pPr>
        <w:spacing w:line="480" w:lineRule="auto"/>
        <w:ind w:firstLine="550" w:firstLineChars="262"/>
        <w:rPr>
          <w:rFonts w:ascii="宋体" w:hAnsi="宋体"/>
          <w:color w:val="auto"/>
          <w:szCs w:val="21"/>
          <w:highlight w:val="none"/>
          <w:u w:val="single"/>
        </w:rPr>
      </w:pPr>
      <w:r>
        <w:rPr>
          <w:rFonts w:ascii="宋体" w:hAnsi="宋体"/>
          <w:color w:val="auto"/>
          <w:szCs w:val="21"/>
          <w:highlight w:val="none"/>
        </w:rPr>
        <w:t>姓    名：</w:t>
      </w:r>
      <w:r>
        <w:rPr>
          <w:rFonts w:ascii="宋体" w:hAnsi="宋体"/>
          <w:color w:val="auto"/>
          <w:szCs w:val="21"/>
          <w:highlight w:val="none"/>
          <w:u w:val="single"/>
        </w:rPr>
        <w:t xml:space="preserve">                                                  </w:t>
      </w:r>
    </w:p>
    <w:p>
      <w:pPr>
        <w:spacing w:line="480" w:lineRule="auto"/>
        <w:ind w:firstLine="550" w:firstLineChars="262"/>
        <w:rPr>
          <w:rFonts w:ascii="宋体" w:hAnsi="宋体"/>
          <w:color w:val="auto"/>
          <w:szCs w:val="21"/>
          <w:highlight w:val="none"/>
          <w:u w:val="single"/>
        </w:rPr>
      </w:pPr>
      <w:r>
        <w:rPr>
          <w:rFonts w:ascii="宋体" w:hAnsi="宋体"/>
          <w:color w:val="auto"/>
          <w:szCs w:val="21"/>
          <w:highlight w:val="none"/>
        </w:rPr>
        <w:t>性    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480" w:lineRule="auto"/>
        <w:ind w:firstLine="525" w:firstLineChars="250"/>
        <w:rPr>
          <w:rFonts w:ascii="宋体" w:hAnsi="宋体"/>
          <w:color w:val="auto"/>
          <w:szCs w:val="21"/>
          <w:highlight w:val="none"/>
          <w:u w:val="singl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的法定代表人。为</w:t>
      </w:r>
      <w:r>
        <w:rPr>
          <w:rFonts w:hint="eastAsia" w:ascii="宋体" w:hAnsi="宋体"/>
          <w:b/>
          <w:bCs/>
          <w:color w:val="auto"/>
          <w:szCs w:val="21"/>
          <w:highlight w:val="none"/>
          <w:u w:val="single"/>
          <w:lang w:eastAsia="zh-CN"/>
        </w:rPr>
        <w:t>印台区矿区生活污水处理厂一体化智能污水处理设备采购项目</w:t>
      </w:r>
      <w:r>
        <w:rPr>
          <w:rFonts w:hint="eastAsia" w:ascii="宋体" w:hAnsi="宋体"/>
          <w:b/>
          <w:bCs/>
          <w:color w:val="auto"/>
          <w:szCs w:val="21"/>
          <w:highlight w:val="none"/>
          <w:u w:val="single"/>
        </w:rPr>
        <w:t xml:space="preserve"> </w:t>
      </w:r>
      <w:r>
        <w:rPr>
          <w:rFonts w:ascii="宋体" w:hAnsi="宋体"/>
          <w:color w:val="auto"/>
          <w:szCs w:val="21"/>
          <w:highlight w:val="none"/>
        </w:rPr>
        <w:t>，签署上述项目的投标文件、进行合同谈判、签署合同和处理与之有关的一切事务。</w:t>
      </w:r>
    </w:p>
    <w:p>
      <w:pPr>
        <w:spacing w:line="480" w:lineRule="auto"/>
        <w:rPr>
          <w:rFonts w:ascii="宋体" w:hAnsi="宋体"/>
          <w:color w:val="auto"/>
          <w:szCs w:val="21"/>
          <w:highlight w:val="none"/>
        </w:rPr>
      </w:pPr>
    </w:p>
    <w:p>
      <w:pPr>
        <w:spacing w:line="480" w:lineRule="auto"/>
        <w:ind w:firstLine="525" w:firstLineChars="250"/>
        <w:rPr>
          <w:rFonts w:ascii="宋体" w:hAnsi="宋体"/>
          <w:color w:val="auto"/>
          <w:szCs w:val="21"/>
          <w:highlight w:val="none"/>
        </w:rPr>
      </w:pPr>
      <w:r>
        <w:rPr>
          <w:rFonts w:ascii="宋体" w:hAnsi="宋体"/>
          <w:color w:val="auto"/>
          <w:szCs w:val="21"/>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480" w:lineRule="auto"/>
        <w:ind w:firstLine="550" w:firstLineChars="262"/>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hint="eastAsia" w:ascii="宋体" w:hAnsi="宋体"/>
          <w:color w:val="auto"/>
          <w:szCs w:val="21"/>
          <w:highlight w:val="none"/>
        </w:rPr>
        <w:t xml:space="preserve">名称（单位公章）：                     </w:t>
      </w:r>
    </w:p>
    <w:p>
      <w:pPr>
        <w:spacing w:line="480" w:lineRule="auto"/>
        <w:ind w:firstLine="550" w:firstLineChars="262"/>
        <w:rPr>
          <w:rFonts w:hint="eastAsia" w:ascii="宋体" w:hAnsi="宋体"/>
          <w:color w:val="auto"/>
          <w:szCs w:val="21"/>
          <w:highlight w:val="none"/>
        </w:rPr>
      </w:pPr>
    </w:p>
    <w:p>
      <w:pPr>
        <w:spacing w:line="360" w:lineRule="auto"/>
        <w:ind w:firstLine="645"/>
        <w:jc w:val="right"/>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480" w:lineRule="auto"/>
        <w:ind w:firstLine="628" w:firstLineChars="262"/>
        <w:rPr>
          <w:rFonts w:hint="eastAsia" w:ascii="宋体" w:hAnsi="宋体"/>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ascii="宋体" w:hAnsi="宋体"/>
          <w:color w:val="auto"/>
          <w:sz w:val="24"/>
          <w:szCs w:val="24"/>
          <w:highlight w:val="none"/>
        </w:rPr>
        <w:br w:type="page"/>
      </w:r>
      <w:bookmarkStart w:id="340" w:name="_Toc250572336"/>
      <w:bookmarkStart w:id="341" w:name="_Toc233636469"/>
      <w:bookmarkStart w:id="342" w:name="_Toc233636520"/>
      <w:bookmarkStart w:id="343" w:name="_Toc233636379"/>
      <w:bookmarkStart w:id="344" w:name="_Toc233636431"/>
      <w:bookmarkStart w:id="345" w:name="_Toc235544719"/>
      <w:bookmarkStart w:id="346" w:name="_Toc233636193"/>
      <w:bookmarkStart w:id="347" w:name="_Toc232673696"/>
      <w:bookmarkStart w:id="348" w:name="_Toc269407692"/>
      <w:bookmarkStart w:id="349" w:name="_Toc238899455"/>
      <w:r>
        <w:rPr>
          <w:rFonts w:hint="eastAsia" w:ascii="宋体" w:hAnsi="宋体"/>
          <w:b/>
          <w:color w:val="auto"/>
          <w:sz w:val="24"/>
          <w:szCs w:val="24"/>
          <w:highlight w:val="none"/>
        </w:rPr>
        <w:t>格式2：法定代表人授权委托书</w:t>
      </w:r>
      <w:bookmarkEnd w:id="340"/>
      <w:bookmarkEnd w:id="341"/>
      <w:bookmarkEnd w:id="342"/>
      <w:bookmarkEnd w:id="343"/>
      <w:bookmarkEnd w:id="344"/>
      <w:bookmarkEnd w:id="345"/>
      <w:bookmarkEnd w:id="346"/>
      <w:bookmarkEnd w:id="347"/>
      <w:bookmarkEnd w:id="348"/>
      <w:bookmarkEnd w:id="349"/>
    </w:p>
    <w:p>
      <w:pPr>
        <w:spacing w:line="480" w:lineRule="auto"/>
        <w:jc w:val="left"/>
        <w:rPr>
          <w:rFonts w:hint="eastAsia" w:ascii="宋体" w:hAnsi="宋体"/>
          <w:b/>
          <w:color w:val="auto"/>
          <w:sz w:val="24"/>
          <w:szCs w:val="24"/>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（姓</w:t>
      </w:r>
      <w:r>
        <w:rPr>
          <w:rFonts w:hint="eastAsia" w:ascii="宋体" w:hAnsi="宋体"/>
          <w:color w:val="auto"/>
          <w:szCs w:val="21"/>
          <w:highlight w:val="none"/>
          <w:u w:val="single"/>
        </w:rPr>
        <w:t xml:space="preserve"> </w:t>
      </w:r>
      <w:r>
        <w:rPr>
          <w:rFonts w:ascii="宋体" w:hAnsi="宋体"/>
          <w:color w:val="auto"/>
          <w:szCs w:val="21"/>
          <w:highlight w:val="none"/>
          <w:u w:val="single"/>
        </w:rPr>
        <w:t>名）</w:t>
      </w:r>
      <w:r>
        <w:rPr>
          <w:rFonts w:ascii="宋体" w:hAnsi="宋体"/>
          <w:color w:val="auto"/>
          <w:szCs w:val="21"/>
          <w:highlight w:val="none"/>
        </w:rPr>
        <w:t>系</w:t>
      </w:r>
      <w:r>
        <w:rPr>
          <w:rFonts w:ascii="宋体" w:hAnsi="宋体"/>
          <w:color w:val="auto"/>
          <w:szCs w:val="21"/>
          <w:highlight w:val="none"/>
          <w:u w:val="single"/>
        </w:rPr>
        <w:t>（</w:t>
      </w:r>
      <w:r>
        <w:rPr>
          <w:rFonts w:hint="eastAsia" w:ascii="宋体" w:hAnsi="宋体" w:cs="宋体"/>
          <w:color w:val="auto"/>
          <w:szCs w:val="21"/>
          <w:highlight w:val="none"/>
          <w:u w:val="single"/>
          <w:lang w:eastAsia="zh-CN"/>
        </w:rPr>
        <w:t>投标单位</w:t>
      </w:r>
      <w:r>
        <w:rPr>
          <w:rFonts w:ascii="宋体" w:hAnsi="宋体"/>
          <w:color w:val="auto"/>
          <w:szCs w:val="21"/>
          <w:highlight w:val="none"/>
          <w:u w:val="single"/>
        </w:rPr>
        <w:t>名称）</w:t>
      </w:r>
      <w:r>
        <w:rPr>
          <w:rFonts w:ascii="宋体" w:hAnsi="宋体"/>
          <w:color w:val="auto"/>
          <w:szCs w:val="21"/>
          <w:highlight w:val="none"/>
        </w:rPr>
        <w:t>的法定代表人，现委托</w:t>
      </w:r>
      <w:r>
        <w:rPr>
          <w:rFonts w:ascii="宋体" w:hAnsi="宋体"/>
          <w:color w:val="auto"/>
          <w:szCs w:val="21"/>
          <w:highlight w:val="none"/>
          <w:u w:val="single"/>
        </w:rPr>
        <w:t>（姓名）</w:t>
      </w:r>
      <w:r>
        <w:rPr>
          <w:rFonts w:ascii="宋体" w:hAnsi="宋体"/>
          <w:color w:val="auto"/>
          <w:szCs w:val="21"/>
          <w:highlight w:val="none"/>
        </w:rPr>
        <w:t>为我方代理人。代理人根据授权，以我方名义签署、澄清、说明、补正、递交、撤回、修改</w:t>
      </w:r>
      <w:r>
        <w:rPr>
          <w:rFonts w:ascii="宋体" w:hAnsi="宋体"/>
          <w:color w:val="auto"/>
          <w:szCs w:val="21"/>
          <w:highlight w:val="none"/>
          <w:u w:val="single"/>
        </w:rPr>
        <w:t>（项目名称）</w:t>
      </w:r>
      <w:r>
        <w:rPr>
          <w:rFonts w:ascii="宋体" w:hAnsi="宋体"/>
          <w:color w:val="auto"/>
          <w:szCs w:val="21"/>
          <w:highlight w:val="none"/>
        </w:rPr>
        <w:t>投标文件、签订合同和处理有关事宜，其法律后果由我方承担。</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default" w:ascii="宋体" w:hAnsi="宋体" w:eastAsia="宋体"/>
          <w:color w:val="auto"/>
          <w:szCs w:val="21"/>
          <w:highlight w:val="none"/>
          <w:u w:val="single"/>
          <w:lang w:val="en-US" w:eastAsia="zh-CN"/>
        </w:rPr>
      </w:pPr>
      <w:r>
        <w:rPr>
          <w:rFonts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p>
    <w:p>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身份证复印件粘贴处</w:t>
      </w:r>
    </w:p>
    <w:tbl>
      <w:tblPr>
        <w:tblStyle w:val="18"/>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960" w:type="dxa"/>
            <w:noWrap w:val="0"/>
            <w:vAlign w:val="top"/>
          </w:tcPr>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法人代表身份证（</w:t>
            </w:r>
            <w:r>
              <w:rPr>
                <w:rFonts w:hint="eastAsia" w:ascii="宋体" w:hAnsi="宋体"/>
                <w:color w:val="auto"/>
                <w:szCs w:val="21"/>
                <w:highlight w:val="none"/>
                <w:lang w:eastAsia="zh-CN"/>
              </w:rPr>
              <w:t>正</w:t>
            </w:r>
            <w:r>
              <w:rPr>
                <w:rFonts w:hint="eastAsia" w:ascii="宋体" w:hAnsi="宋体"/>
                <w:color w:val="auto"/>
                <w:szCs w:val="21"/>
                <w:highlight w:val="none"/>
              </w:rPr>
              <w:t>面）</w:t>
            </w:r>
          </w:p>
        </w:tc>
        <w:tc>
          <w:tcPr>
            <w:tcW w:w="3983" w:type="dxa"/>
            <w:noWrap w:val="0"/>
            <w:vAlign w:val="top"/>
          </w:tcPr>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法人代表身份证（</w:t>
            </w:r>
            <w:r>
              <w:rPr>
                <w:rFonts w:hint="eastAsia" w:ascii="宋体" w:hAnsi="宋体"/>
                <w:color w:val="auto"/>
                <w:szCs w:val="21"/>
                <w:highlight w:val="none"/>
                <w:lang w:eastAsia="zh-CN"/>
              </w:rPr>
              <w:t>背面</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960" w:type="dxa"/>
            <w:noWrap w:val="0"/>
            <w:vAlign w:val="top"/>
          </w:tcPr>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授权委托人身份证（</w:t>
            </w:r>
            <w:r>
              <w:rPr>
                <w:rFonts w:hint="eastAsia" w:ascii="宋体" w:hAnsi="宋体"/>
                <w:color w:val="auto"/>
                <w:szCs w:val="21"/>
                <w:highlight w:val="none"/>
                <w:lang w:eastAsia="zh-CN"/>
              </w:rPr>
              <w:t>正</w:t>
            </w:r>
            <w:r>
              <w:rPr>
                <w:rFonts w:hint="eastAsia" w:ascii="宋体" w:hAnsi="宋体"/>
                <w:color w:val="auto"/>
                <w:szCs w:val="21"/>
                <w:highlight w:val="none"/>
              </w:rPr>
              <w:t>面）</w:t>
            </w:r>
          </w:p>
        </w:tc>
        <w:tc>
          <w:tcPr>
            <w:tcW w:w="3983" w:type="dxa"/>
            <w:noWrap w:val="0"/>
            <w:vAlign w:val="top"/>
          </w:tcPr>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授权委托人身份证（</w:t>
            </w:r>
            <w:r>
              <w:rPr>
                <w:rFonts w:hint="eastAsia" w:ascii="宋体" w:hAnsi="宋体"/>
                <w:color w:val="auto"/>
                <w:szCs w:val="21"/>
                <w:highlight w:val="none"/>
                <w:lang w:eastAsia="zh-CN"/>
              </w:rPr>
              <w:t>背面</w:t>
            </w:r>
            <w:r>
              <w:rPr>
                <w:rFonts w:hint="eastAsia" w:ascii="宋体" w:hAnsi="宋体"/>
                <w:color w:val="auto"/>
                <w:szCs w:val="21"/>
                <w:highlight w:val="none"/>
              </w:rPr>
              <w:t>）</w:t>
            </w:r>
          </w:p>
        </w:tc>
      </w:tr>
    </w:tbl>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480" w:lineRule="auto"/>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hint="eastAsia" w:ascii="宋体" w:hAnsi="宋体"/>
          <w:color w:val="auto"/>
          <w:szCs w:val="21"/>
          <w:highlight w:val="none"/>
        </w:rPr>
        <w:t>（单位公章）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auto"/>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（签字或盖章）</w:t>
      </w:r>
      <w:r>
        <w:rPr>
          <w:rFonts w:ascii="宋体" w:hAnsi="宋体"/>
          <w:color w:val="auto"/>
          <w:szCs w:val="21"/>
          <w:highlight w:val="none"/>
        </w:rPr>
        <w:t>：</w:t>
      </w:r>
      <w:r>
        <w:rPr>
          <w:rFonts w:ascii="宋体" w:hAnsi="宋体"/>
          <w:color w:val="auto"/>
          <w:szCs w:val="21"/>
          <w:highlight w:val="none"/>
          <w:u w:val="single"/>
        </w:rPr>
        <w:t xml:space="preserve">                      </w:t>
      </w:r>
    </w:p>
    <w:p>
      <w:pPr>
        <w:spacing w:line="480" w:lineRule="auto"/>
        <w:rPr>
          <w:rFonts w:ascii="宋体" w:hAnsi="宋体"/>
          <w:color w:val="auto"/>
          <w:szCs w:val="21"/>
          <w:highlight w:val="none"/>
        </w:rPr>
      </w:pPr>
      <w:r>
        <w:rPr>
          <w:rFonts w:ascii="宋体" w:hAnsi="宋体"/>
          <w:color w:val="auto"/>
          <w:szCs w:val="21"/>
          <w:highlight w:val="none"/>
        </w:rPr>
        <w:t>授权委托人</w:t>
      </w:r>
      <w:r>
        <w:rPr>
          <w:rFonts w:hint="eastAsia" w:ascii="宋体" w:hAnsi="宋体"/>
          <w:color w:val="auto"/>
          <w:szCs w:val="21"/>
          <w:highlight w:val="none"/>
        </w:rPr>
        <w:t>（签字或盖章）</w:t>
      </w:r>
      <w:r>
        <w:rPr>
          <w:rFonts w:ascii="宋体" w:hAnsi="宋体"/>
          <w:color w:val="auto"/>
          <w:szCs w:val="21"/>
          <w:highlight w:val="none"/>
        </w:rPr>
        <w:t>：</w:t>
      </w:r>
      <w:r>
        <w:rPr>
          <w:rFonts w:ascii="宋体" w:hAnsi="宋体"/>
          <w:color w:val="auto"/>
          <w:szCs w:val="21"/>
          <w:highlight w:val="none"/>
          <w:u w:val="single"/>
        </w:rPr>
        <w:t xml:space="preserve">                      </w:t>
      </w:r>
    </w:p>
    <w:p>
      <w:pPr>
        <w:spacing w:line="480" w:lineRule="auto"/>
        <w:ind w:firstLine="3780" w:firstLineChars="1800"/>
        <w:rPr>
          <w:rFonts w:ascii="宋体" w:hAnsi="宋体"/>
          <w:color w:val="auto"/>
          <w:szCs w:val="21"/>
          <w:highlight w:val="none"/>
        </w:rPr>
      </w:pPr>
    </w:p>
    <w:p>
      <w:pPr>
        <w:spacing w:line="480" w:lineRule="auto"/>
        <w:ind w:firstLine="5250" w:firstLineChars="25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Style w:val="5"/>
        <w:spacing w:line="360" w:lineRule="auto"/>
        <w:jc w:val="left"/>
        <w:rPr>
          <w:rFonts w:hint="eastAsia" w:ascii="宋体" w:hAnsi="宋体"/>
          <w:b w:val="0"/>
          <w:color w:val="auto"/>
          <w:sz w:val="24"/>
          <w:szCs w:val="24"/>
          <w:highlight w:val="none"/>
        </w:rPr>
      </w:pPr>
      <w:r>
        <w:rPr>
          <w:rFonts w:ascii="宋体" w:hAnsi="宋体"/>
          <w:color w:val="auto"/>
          <w:highlight w:val="none"/>
        </w:rPr>
        <w:br w:type="page"/>
      </w:r>
      <w:bookmarkStart w:id="350" w:name="_Toc32238"/>
      <w:r>
        <w:rPr>
          <w:rFonts w:hint="eastAsia" w:ascii="宋体" w:hAnsi="宋体"/>
          <w:color w:val="auto"/>
          <w:sz w:val="24"/>
          <w:szCs w:val="24"/>
          <w:highlight w:val="none"/>
        </w:rPr>
        <w:t>格式3：</w:t>
      </w:r>
      <w:bookmarkEnd w:id="350"/>
    </w:p>
    <w:p>
      <w:pPr>
        <w:pStyle w:val="25"/>
        <w:spacing w:before="120" w:beforeLines="50" w:after="120" w:afterLines="50" w:line="480" w:lineRule="auto"/>
        <w:jc w:val="center"/>
        <w:rPr>
          <w:rFonts w:hint="eastAsia" w:ascii="宋体" w:hAnsi="宋体"/>
          <w:color w:val="auto"/>
          <w:sz w:val="24"/>
          <w:highlight w:val="none"/>
        </w:rPr>
      </w:pPr>
      <w:r>
        <w:rPr>
          <w:rFonts w:hint="eastAsia" w:ascii="宋体" w:hAnsi="宋体" w:eastAsia="宋体"/>
          <w:b/>
          <w:color w:val="auto"/>
          <w:szCs w:val="28"/>
          <w:highlight w:val="none"/>
        </w:rPr>
        <w:t>拟派项目经理简历表</w:t>
      </w:r>
    </w:p>
    <w:tbl>
      <w:tblPr>
        <w:tblStyle w:val="18"/>
        <w:tblW w:w="0" w:type="auto"/>
        <w:jc w:val="center"/>
        <w:tblLayout w:type="fixed"/>
        <w:tblCellMar>
          <w:top w:w="0" w:type="dxa"/>
          <w:left w:w="108" w:type="dxa"/>
          <w:bottom w:w="0" w:type="dxa"/>
          <w:right w:w="108" w:type="dxa"/>
        </w:tblCellMar>
      </w:tblPr>
      <w:tblGrid>
        <w:gridCol w:w="1099"/>
        <w:gridCol w:w="209"/>
        <w:gridCol w:w="795"/>
        <w:gridCol w:w="864"/>
        <w:gridCol w:w="586"/>
        <w:gridCol w:w="528"/>
        <w:gridCol w:w="660"/>
        <w:gridCol w:w="1205"/>
        <w:gridCol w:w="657"/>
        <w:gridCol w:w="2054"/>
      </w:tblGrid>
      <w:tr>
        <w:tblPrEx>
          <w:tblCellMar>
            <w:top w:w="0" w:type="dxa"/>
            <w:left w:w="108" w:type="dxa"/>
            <w:bottom w:w="0" w:type="dxa"/>
            <w:right w:w="108" w:type="dxa"/>
          </w:tblCellMar>
        </w:tblPrEx>
        <w:trPr>
          <w:trHeight w:val="595"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姓  名</w:t>
            </w:r>
          </w:p>
        </w:tc>
        <w:tc>
          <w:tcPr>
            <w:tcW w:w="100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86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年 龄</w:t>
            </w:r>
          </w:p>
        </w:tc>
        <w:tc>
          <w:tcPr>
            <w:tcW w:w="111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86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专业</w:t>
            </w:r>
          </w:p>
        </w:tc>
        <w:tc>
          <w:tcPr>
            <w:tcW w:w="271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职  称</w:t>
            </w:r>
          </w:p>
        </w:tc>
        <w:tc>
          <w:tcPr>
            <w:tcW w:w="100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86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职 务</w:t>
            </w:r>
          </w:p>
        </w:tc>
        <w:tc>
          <w:tcPr>
            <w:tcW w:w="111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186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拟在本项目任职</w:t>
            </w:r>
          </w:p>
        </w:tc>
        <w:tc>
          <w:tcPr>
            <w:tcW w:w="271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毕业学校</w:t>
            </w:r>
          </w:p>
        </w:tc>
        <w:tc>
          <w:tcPr>
            <w:tcW w:w="7558"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s="宋体"/>
                <w:color w:val="auto"/>
                <w:szCs w:val="21"/>
                <w:highlight w:val="none"/>
              </w:rPr>
              <w:t>年毕业于                  学校            专业</w:t>
            </w:r>
          </w:p>
        </w:tc>
      </w:tr>
      <w:tr>
        <w:tblPrEx>
          <w:tblCellMar>
            <w:top w:w="0" w:type="dxa"/>
            <w:left w:w="108" w:type="dxa"/>
            <w:bottom w:w="0" w:type="dxa"/>
            <w:right w:w="108" w:type="dxa"/>
          </w:tblCellMar>
        </w:tblPrEx>
        <w:trPr>
          <w:trHeight w:val="595"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执业资格</w:t>
            </w:r>
          </w:p>
        </w:tc>
        <w:tc>
          <w:tcPr>
            <w:tcW w:w="298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p>
        </w:tc>
        <w:tc>
          <w:tcPr>
            <w:tcW w:w="18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执业证号</w:t>
            </w:r>
          </w:p>
        </w:tc>
        <w:tc>
          <w:tcPr>
            <w:tcW w:w="27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595" w:hRule="atLeast"/>
          <w:jc w:val="center"/>
        </w:trPr>
        <w:tc>
          <w:tcPr>
            <w:tcW w:w="865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已完成项目情况</w:t>
            </w: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时  间</w:t>
            </w:r>
          </w:p>
        </w:tc>
        <w:tc>
          <w:tcPr>
            <w:tcW w:w="224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项目名称</w:t>
            </w:r>
          </w:p>
        </w:tc>
        <w:tc>
          <w:tcPr>
            <w:tcW w:w="118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担任职务</w:t>
            </w:r>
          </w:p>
        </w:tc>
        <w:tc>
          <w:tcPr>
            <w:tcW w:w="186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highlight w:val="none"/>
              </w:rPr>
              <w:t>发包人及联系电话</w:t>
            </w:r>
          </w:p>
        </w:tc>
        <w:tc>
          <w:tcPr>
            <w:tcW w:w="205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规模</w:t>
            </w: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top"/>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r>
      <w:tr>
        <w:tblPrEx>
          <w:tblCellMar>
            <w:top w:w="0" w:type="dxa"/>
            <w:left w:w="108" w:type="dxa"/>
            <w:bottom w:w="0" w:type="dxa"/>
            <w:right w:w="108" w:type="dxa"/>
          </w:tblCellMar>
        </w:tblPrEx>
        <w:trPr>
          <w:trHeight w:val="595" w:hRule="atLeast"/>
          <w:jc w:val="center"/>
        </w:trPr>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2245" w:type="dxa"/>
            <w:gridSpan w:val="3"/>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188"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1862" w:type="dxa"/>
            <w:gridSpan w:val="2"/>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c>
          <w:tcPr>
            <w:tcW w:w="2054" w:type="dxa"/>
            <w:tcBorders>
              <w:top w:val="single" w:color="auto" w:sz="4" w:space="0"/>
              <w:left w:val="nil"/>
              <w:bottom w:val="single" w:color="auto" w:sz="4" w:space="0"/>
              <w:right w:val="single" w:color="auto" w:sz="4" w:space="0"/>
            </w:tcBorders>
            <w:noWrap w:val="0"/>
            <w:vAlign w:val="center"/>
          </w:tcPr>
          <w:p>
            <w:pPr>
              <w:rPr>
                <w:rFonts w:ascii="宋体" w:hAnsi="宋体"/>
                <w:color w:val="auto"/>
                <w:szCs w:val="21"/>
                <w:highlight w:val="none"/>
              </w:rPr>
            </w:pPr>
          </w:p>
        </w:tc>
      </w:tr>
    </w:tbl>
    <w:p>
      <w:pPr>
        <w:spacing w:before="120" w:beforeLines="50" w:line="360" w:lineRule="auto"/>
        <w:ind w:left="210" w:leftChars="10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相关证书、</w:t>
      </w:r>
      <w:r>
        <w:rPr>
          <w:rFonts w:hint="eastAsia" w:ascii="宋体" w:hAnsi="宋体" w:cs="宋体"/>
          <w:color w:val="auto"/>
          <w:szCs w:val="21"/>
          <w:highlight w:val="none"/>
          <w:shd w:val="clear" w:color="auto" w:fill="FFFFFF"/>
        </w:rPr>
        <w:t>资料</w:t>
      </w:r>
      <w:r>
        <w:rPr>
          <w:rFonts w:hint="eastAsia" w:ascii="宋体" w:hAnsi="宋体" w:cs="宋体"/>
          <w:color w:val="auto"/>
          <w:szCs w:val="21"/>
          <w:highlight w:val="none"/>
          <w:shd w:val="clear" w:color="auto" w:fill="FFFFFF"/>
          <w:lang w:eastAsia="zh-CN"/>
        </w:rPr>
        <w:t>等</w:t>
      </w:r>
      <w:r>
        <w:rPr>
          <w:rFonts w:hint="eastAsia" w:ascii="宋体" w:hAnsi="宋体" w:cs="宋体"/>
          <w:color w:val="auto"/>
          <w:szCs w:val="21"/>
          <w:highlight w:val="none"/>
          <w:shd w:val="clear" w:color="auto" w:fill="FFFFFF"/>
        </w:rPr>
        <w:t>复印件。</w:t>
      </w:r>
    </w:p>
    <w:p>
      <w:pPr>
        <w:spacing w:line="400" w:lineRule="exact"/>
        <w:rPr>
          <w:rFonts w:hint="eastAsia" w:ascii="宋体" w:hAnsi="宋体"/>
          <w:color w:val="auto"/>
          <w:szCs w:val="21"/>
          <w:highlight w:val="none"/>
        </w:rPr>
      </w:pPr>
    </w:p>
    <w:p>
      <w:pPr>
        <w:spacing w:line="480" w:lineRule="auto"/>
        <w:ind w:firstLine="420" w:firstLineChars="200"/>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投标单位</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adjustRightInd w:val="0"/>
        <w:spacing w:line="48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autoSpaceDE w:val="0"/>
        <w:autoSpaceDN w:val="0"/>
        <w:adjustRightInd w:val="0"/>
        <w:spacing w:line="480" w:lineRule="auto"/>
        <w:jc w:val="right"/>
        <w:rPr>
          <w:rFonts w:hint="eastAsia" w:ascii="宋体" w:hAnsi="宋体"/>
          <w:b/>
          <w:color w:val="auto"/>
          <w:kern w:val="0"/>
          <w:sz w:val="24"/>
          <w:szCs w:val="22"/>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both"/>
        <w:rPr>
          <w:rFonts w:ascii="宋体" w:hAnsi="宋体"/>
          <w:b/>
          <w:color w:val="auto"/>
          <w:kern w:val="0"/>
          <w:sz w:val="24"/>
          <w:szCs w:val="24"/>
          <w:highlight w:val="none"/>
        </w:rPr>
      </w:pPr>
      <w:bookmarkStart w:id="351" w:name="_Toc293999389"/>
      <w:bookmarkStart w:id="352" w:name="_Toc269407696"/>
      <w:bookmarkStart w:id="353" w:name="_Toc269407903"/>
      <w:bookmarkStart w:id="354" w:name="_Toc293999504"/>
      <w:bookmarkStart w:id="355" w:name="_Toc232673697"/>
      <w:bookmarkStart w:id="356" w:name="_Toc235544720"/>
      <w:bookmarkStart w:id="357" w:name="_Toc233636194"/>
      <w:bookmarkStart w:id="358" w:name="_Toc233636470"/>
      <w:bookmarkStart w:id="359" w:name="_Toc233636521"/>
      <w:bookmarkStart w:id="360" w:name="_Toc233636432"/>
      <w:bookmarkStart w:id="361" w:name="_Toc233636380"/>
      <w:bookmarkStart w:id="362" w:name="_Toc260140536"/>
      <w:bookmarkStart w:id="363" w:name="_Toc250572337"/>
      <w:bookmarkStart w:id="364" w:name="_Toc238899456"/>
    </w:p>
    <w:p>
      <w:pPr>
        <w:pStyle w:val="5"/>
        <w:spacing w:line="360" w:lineRule="auto"/>
        <w:jc w:val="left"/>
        <w:rPr>
          <w:rFonts w:hint="eastAsia" w:ascii="宋体" w:hAnsi="宋体"/>
          <w:b w:val="0"/>
          <w:color w:val="auto"/>
          <w:sz w:val="24"/>
          <w:szCs w:val="24"/>
          <w:highlight w:val="none"/>
        </w:rPr>
      </w:pPr>
      <w:bookmarkStart w:id="365" w:name="_Toc15877"/>
      <w:r>
        <w:rPr>
          <w:rFonts w:hint="eastAsia" w:ascii="宋体" w:hAnsi="宋体"/>
          <w:b/>
          <w:bCs/>
          <w:color w:val="auto"/>
          <w:sz w:val="24"/>
          <w:szCs w:val="24"/>
          <w:highlight w:val="none"/>
        </w:rPr>
        <w:t>格式4：</w:t>
      </w:r>
    </w:p>
    <w:p>
      <w:pPr>
        <w:pStyle w:val="5"/>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承诺函</w:t>
      </w:r>
    </w:p>
    <w:p>
      <w:pPr>
        <w:keepNext w:val="0"/>
        <w:keepLines w:val="0"/>
        <w:pageBreakBefore w:val="0"/>
        <w:widowControl w:val="0"/>
        <w:tabs>
          <w:tab w:val="left" w:pos="720"/>
          <w:tab w:val="left" w:pos="836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olor w:val="auto"/>
          <w:highlight w:val="none"/>
          <w:lang w:eastAsia="zh-CN"/>
        </w:rPr>
      </w:pPr>
      <w:r>
        <w:rPr>
          <w:rFonts w:hint="eastAsia" w:ascii="宋体" w:hAnsi="宋体"/>
          <w:color w:val="auto"/>
          <w:highlight w:val="none"/>
          <w:lang w:eastAsia="zh-CN"/>
        </w:rPr>
        <w:t>我公司</w:t>
      </w:r>
      <w:r>
        <w:rPr>
          <w:rFonts w:hint="eastAsia" w:ascii="宋体" w:hAnsi="宋体" w:cs="宋体"/>
          <w:color w:val="auto"/>
          <w:szCs w:val="21"/>
          <w:highlight w:val="none"/>
          <w:shd w:val="clear" w:color="auto" w:fill="FFFFFF"/>
        </w:rPr>
        <w:t>具有履行合同所必需的设备和专业技术能力</w:t>
      </w:r>
      <w:r>
        <w:rPr>
          <w:rFonts w:hint="eastAsia" w:ascii="宋体" w:hAnsi="宋体" w:cs="宋体"/>
          <w:color w:val="auto"/>
          <w:szCs w:val="21"/>
          <w:highlight w:val="none"/>
          <w:shd w:val="clear" w:color="auto" w:fill="FFFFFF"/>
          <w:lang w:eastAsia="zh-CN"/>
        </w:rPr>
        <w:t>。</w:t>
      </w: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w:t>
      </w: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spacing w:line="480" w:lineRule="auto"/>
        <w:ind w:firstLine="3150" w:firstLineChars="15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投标单位</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adjustRightInd w:val="0"/>
        <w:spacing w:line="48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w:t>
      </w:r>
      <w:r>
        <w:rPr>
          <w:rFonts w:ascii="宋体" w:hAnsi="宋体"/>
          <w:color w:val="auto"/>
          <w:szCs w:val="21"/>
          <w:highlight w:val="none"/>
        </w:rPr>
        <w:t>授权</w:t>
      </w:r>
      <w:r>
        <w:rPr>
          <w:rFonts w:hint="eastAsia" w:ascii="宋体" w:hAnsi="宋体" w:cs="宋体"/>
          <w:color w:val="auto"/>
          <w:kern w:val="0"/>
          <w:szCs w:val="21"/>
          <w:highlight w:val="none"/>
        </w:rPr>
        <w:t>委托人：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spacing w:line="480" w:lineRule="auto"/>
        <w:ind w:firstLine="4620" w:firstLineChars="2200"/>
        <w:jc w:val="right"/>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5"/>
        <w:spacing w:line="360" w:lineRule="auto"/>
        <w:jc w:val="left"/>
        <w:rPr>
          <w:rFonts w:hint="eastAsia" w:ascii="宋体" w:hAnsi="宋体"/>
          <w:b/>
          <w:bCs/>
          <w:color w:val="auto"/>
          <w:sz w:val="24"/>
          <w:szCs w:val="24"/>
          <w:highlight w:val="none"/>
        </w:rPr>
      </w:pPr>
      <w:r>
        <w:rPr>
          <w:rFonts w:hint="eastAsia" w:ascii="宋体" w:hAnsi="宋体"/>
          <w:b w:val="0"/>
          <w:color w:val="auto"/>
          <w:sz w:val="24"/>
          <w:szCs w:val="24"/>
          <w:highlight w:val="none"/>
        </w:rPr>
        <w:br w:type="page"/>
      </w:r>
      <w:r>
        <w:rPr>
          <w:rFonts w:hint="eastAsia" w:ascii="宋体" w:hAnsi="宋体"/>
          <w:b/>
          <w:bCs/>
          <w:color w:val="auto"/>
          <w:sz w:val="24"/>
          <w:szCs w:val="24"/>
          <w:highlight w:val="none"/>
        </w:rPr>
        <w:t>格式</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w:t>
      </w:r>
    </w:p>
    <w:p>
      <w:pPr>
        <w:rPr>
          <w:rFonts w:hint="eastAsia"/>
          <w:color w:val="auto"/>
          <w:highlight w:val="none"/>
        </w:rPr>
      </w:pPr>
    </w:p>
    <w:p>
      <w:pPr>
        <w:pStyle w:val="5"/>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参加政府采购活动前3年内在经营活动中没有重大违法记录的</w:t>
      </w:r>
    </w:p>
    <w:p>
      <w:pPr>
        <w:pStyle w:val="5"/>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书面声明</w:t>
      </w:r>
    </w:p>
    <w:p>
      <w:pPr>
        <w:tabs>
          <w:tab w:val="left" w:pos="720"/>
          <w:tab w:val="left" w:pos="8364"/>
        </w:tabs>
        <w:adjustRightInd w:val="0"/>
        <w:snapToGrid w:val="0"/>
        <w:spacing w:line="360" w:lineRule="auto"/>
        <w:rPr>
          <w:rFonts w:hint="eastAsia"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（采购人名称）    </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u w:val="single"/>
        </w:rPr>
        <w:t>（</w:t>
      </w:r>
      <w:r>
        <w:rPr>
          <w:rFonts w:hint="eastAsia" w:ascii="宋体" w:hAnsi="宋体"/>
          <w:color w:val="auto"/>
          <w:highlight w:val="none"/>
          <w:u w:val="single"/>
          <w:lang w:eastAsia="zh-CN"/>
        </w:rPr>
        <w:t>投标单位</w:t>
      </w:r>
      <w:r>
        <w:rPr>
          <w:rFonts w:hint="eastAsia" w:ascii="宋体" w:hAnsi="宋体"/>
          <w:color w:val="auto"/>
          <w:highlight w:val="none"/>
          <w:u w:val="single"/>
        </w:rPr>
        <w:t>名称）</w:t>
      </w:r>
      <w:r>
        <w:rPr>
          <w:rFonts w:hint="eastAsia" w:ascii="宋体" w:hAnsi="宋体"/>
          <w:color w:val="auto"/>
          <w:highlight w:val="none"/>
        </w:rPr>
        <w:t>为在中华人民共和国境内合法注册并经营的机构。在此郑重声明，我公司在参与本次政府采购活动前3年内在经营活动中没有重大违法记录，未被列入失信被执行人、重大税收违法案件当事人名单、政府采购严重违法失信行为记录名单。</w:t>
      </w: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p>
    <w:p>
      <w:pPr>
        <w:spacing w:line="480" w:lineRule="auto"/>
        <w:ind w:firstLine="3150" w:firstLineChars="15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投标单位</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adjustRightInd w:val="0"/>
        <w:spacing w:line="48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w:t>
      </w:r>
      <w:r>
        <w:rPr>
          <w:rFonts w:ascii="宋体" w:hAnsi="宋体"/>
          <w:color w:val="auto"/>
          <w:szCs w:val="21"/>
          <w:highlight w:val="none"/>
        </w:rPr>
        <w:t>授权</w:t>
      </w:r>
      <w:r>
        <w:rPr>
          <w:rFonts w:hint="eastAsia" w:ascii="宋体" w:hAnsi="宋体" w:cs="宋体"/>
          <w:color w:val="auto"/>
          <w:kern w:val="0"/>
          <w:szCs w:val="21"/>
          <w:highlight w:val="none"/>
        </w:rPr>
        <w:t>委托人：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spacing w:line="480" w:lineRule="auto"/>
        <w:ind w:firstLine="4620" w:firstLineChars="2200"/>
        <w:jc w:val="right"/>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center"/>
        <w:outlineLvl w:val="9"/>
        <w:rPr>
          <w:rFonts w:hint="eastAsia" w:ascii="宋体" w:hAnsi="宋体"/>
          <w:b/>
          <w:color w:val="auto"/>
          <w:sz w:val="32"/>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pStyle w:val="6"/>
        <w:spacing w:line="360" w:lineRule="auto"/>
        <w:jc w:val="left"/>
        <w:rPr>
          <w:rFonts w:hint="eastAsia" w:ascii="宋体" w:hAnsi="宋体"/>
          <w:b/>
          <w:color w:val="auto"/>
          <w:sz w:val="32"/>
          <w:highlight w:val="none"/>
        </w:rPr>
      </w:pPr>
      <w:r>
        <w:rPr>
          <w:rFonts w:hint="eastAsia" w:ascii="宋体" w:hAnsi="宋体"/>
          <w:b/>
          <w:color w:val="auto"/>
          <w:sz w:val="24"/>
          <w:szCs w:val="24"/>
          <w:highlight w:val="none"/>
        </w:rPr>
        <w:t>格式</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w:t>
      </w:r>
    </w:p>
    <w:p>
      <w:pPr>
        <w:keepNext w:val="0"/>
        <w:keepLines w:val="0"/>
        <w:widowControl/>
        <w:suppressLineNumbers w:val="0"/>
        <w:spacing w:line="480" w:lineRule="auto"/>
        <w:jc w:val="center"/>
        <w:rPr>
          <w:b/>
          <w:bCs/>
          <w:color w:val="auto"/>
          <w:highlight w:val="none"/>
        </w:rPr>
      </w:pPr>
      <w:r>
        <w:rPr>
          <w:rFonts w:hint="eastAsia" w:ascii="宋体" w:hAnsi="宋体" w:eastAsia="宋体" w:cs="宋体"/>
          <w:b/>
          <w:bCs/>
          <w:color w:val="auto"/>
          <w:kern w:val="0"/>
          <w:sz w:val="36"/>
          <w:szCs w:val="36"/>
          <w:highlight w:val="none"/>
          <w:lang w:val="en-US" w:eastAsia="zh-CN" w:bidi="ar"/>
        </w:rPr>
        <w:t>中小企业声明函</w:t>
      </w:r>
      <w:r>
        <w:rPr>
          <w:rFonts w:hint="eastAsia" w:ascii="宋体" w:hAnsi="宋体" w:cs="宋体"/>
          <w:b/>
          <w:bCs/>
          <w:color w:val="auto"/>
          <w:kern w:val="0"/>
          <w:sz w:val="36"/>
          <w:szCs w:val="36"/>
          <w:highlight w:val="none"/>
          <w:lang w:val="en-US" w:eastAsia="zh-CN" w:bidi="ar"/>
        </w:rPr>
        <w:t>（货物）</w:t>
      </w:r>
    </w:p>
    <w:p>
      <w:pPr>
        <w:pStyle w:val="2"/>
        <w:keepNext w:val="0"/>
        <w:keepLines w:val="0"/>
        <w:pageBreakBefore w:val="0"/>
        <w:widowControl w:val="0"/>
        <w:kinsoku/>
        <w:wordWrap/>
        <w:overflowPunct/>
        <w:topLinePunct w:val="0"/>
        <w:autoSpaceDE/>
        <w:autoSpaceDN/>
        <w:bidi w:val="0"/>
        <w:adjustRightInd w:val="0"/>
        <w:snapToGrid w:val="0"/>
        <w:spacing w:after="0" w:line="480" w:lineRule="auto"/>
        <w:ind w:right="0" w:firstLine="480" w:firstLineChars="200"/>
        <w:jc w:val="both"/>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after="0" w:line="480" w:lineRule="auto"/>
        <w:ind w:right="0" w:firstLine="480" w:firstLineChars="200"/>
        <w:jc w:val="both"/>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本公司（联合体）郑重声明，根据《政府采购促进中小企业发展管理办法》（财库﹝2020﹞46 号）的规定，本公司（联合体）参加</w:t>
      </w:r>
      <w:r>
        <w:rPr>
          <w:rFonts w:hint="eastAsia" w:ascii="宋体" w:hAnsi="宋体" w:eastAsia="宋体" w:cs="宋体"/>
          <w:b w:val="0"/>
          <w:bCs w:val="0"/>
          <w:i w:val="0"/>
          <w:iCs w:val="0"/>
          <w:color w:val="auto"/>
          <w:kern w:val="0"/>
          <w:sz w:val="24"/>
          <w:szCs w:val="24"/>
          <w:highlight w:val="none"/>
          <w:u w:val="single"/>
          <w:lang w:val="en-US" w:eastAsia="zh-CN" w:bidi="ar"/>
        </w:rPr>
        <w:t>（单位名称）</w:t>
      </w:r>
      <w:r>
        <w:rPr>
          <w:rFonts w:hint="eastAsia" w:ascii="宋体" w:hAnsi="宋体" w:eastAsia="宋体" w:cs="宋体"/>
          <w:b w:val="0"/>
          <w:bCs w:val="0"/>
          <w:i w:val="0"/>
          <w:iCs w:val="0"/>
          <w:color w:val="auto"/>
          <w:kern w:val="0"/>
          <w:sz w:val="24"/>
          <w:szCs w:val="24"/>
          <w:highlight w:val="none"/>
          <w:u w:val="none"/>
          <w:lang w:val="en-US" w:eastAsia="zh-CN" w:bidi="ar"/>
        </w:rPr>
        <w:t>的</w:t>
      </w:r>
      <w:r>
        <w:rPr>
          <w:rFonts w:hint="eastAsia" w:ascii="宋体" w:hAnsi="宋体" w:eastAsia="宋体" w:cs="宋体"/>
          <w:b w:val="0"/>
          <w:bCs w:val="0"/>
          <w:i w:val="0"/>
          <w:iCs w:val="0"/>
          <w:color w:val="auto"/>
          <w:kern w:val="0"/>
          <w:sz w:val="24"/>
          <w:szCs w:val="24"/>
          <w:highlight w:val="none"/>
          <w:u w:val="single"/>
          <w:lang w:val="en-US" w:eastAsia="zh-CN" w:bidi="ar"/>
        </w:rPr>
        <w:t>（项目名称）</w:t>
      </w:r>
      <w:r>
        <w:rPr>
          <w:rFonts w:hint="eastAsia" w:ascii="宋体" w:hAnsi="宋体" w:eastAsia="宋体" w:cs="宋体"/>
          <w:b w:val="0"/>
          <w:bCs w:val="0"/>
          <w:i w:val="0"/>
          <w:iCs w:val="0"/>
          <w:color w:val="auto"/>
          <w:kern w:val="0"/>
          <w:sz w:val="24"/>
          <w:szCs w:val="24"/>
          <w:highlight w:val="none"/>
          <w:u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single"/>
          <w:lang w:val="en-US" w:eastAsia="zh-CN" w:bidi="ar"/>
        </w:rPr>
        <w:t xml:space="preserve"> （标的名称） </w:t>
      </w:r>
      <w:r>
        <w:rPr>
          <w:rFonts w:hint="eastAsia" w:ascii="宋体" w:hAnsi="宋体" w:eastAsia="宋体" w:cs="宋体"/>
          <w:b w:val="0"/>
          <w:bCs w:val="0"/>
          <w:i w:val="0"/>
          <w:iCs w:val="0"/>
          <w:color w:val="auto"/>
          <w:kern w:val="0"/>
          <w:sz w:val="24"/>
          <w:szCs w:val="24"/>
          <w:highlight w:val="none"/>
          <w:lang w:val="en-US" w:eastAsia="zh-CN" w:bidi="ar"/>
        </w:rPr>
        <w:t>，属于</w:t>
      </w:r>
      <w:r>
        <w:rPr>
          <w:rFonts w:hint="eastAsia" w:ascii="宋体" w:hAnsi="宋体" w:eastAsia="宋体" w:cs="宋体"/>
          <w:b w:val="0"/>
          <w:bCs w:val="0"/>
          <w:i w:val="0"/>
          <w:iCs w:val="0"/>
          <w:color w:val="auto"/>
          <w:kern w:val="0"/>
          <w:sz w:val="24"/>
          <w:szCs w:val="24"/>
          <w:highlight w:val="none"/>
          <w:u w:val="single"/>
          <w:lang w:val="en-US" w:eastAsia="zh-CN" w:bidi="ar"/>
        </w:rPr>
        <w:t>（采购文件中明确的所属行业）</w:t>
      </w:r>
      <w:r>
        <w:rPr>
          <w:rFonts w:hint="eastAsia" w:ascii="宋体" w:hAnsi="宋体" w:eastAsia="宋体" w:cs="宋体"/>
          <w:b w:val="0"/>
          <w:bCs w:val="0"/>
          <w:i w:val="0"/>
          <w:iCs w:val="0"/>
          <w:color w:val="auto"/>
          <w:kern w:val="0"/>
          <w:sz w:val="24"/>
          <w:szCs w:val="24"/>
          <w:highlight w:val="none"/>
          <w:lang w:val="en-US" w:eastAsia="zh-CN" w:bidi="ar"/>
        </w:rPr>
        <w:t>；承建（承接）企业为</w:t>
      </w:r>
      <w:r>
        <w:rPr>
          <w:rFonts w:hint="eastAsia" w:ascii="宋体" w:hAnsi="宋体" w:eastAsia="宋体" w:cs="宋体"/>
          <w:b w:val="0"/>
          <w:bCs w:val="0"/>
          <w:i w:val="0"/>
          <w:iCs w:val="0"/>
          <w:color w:val="auto"/>
          <w:kern w:val="0"/>
          <w:sz w:val="24"/>
          <w:szCs w:val="24"/>
          <w:highlight w:val="none"/>
          <w:u w:val="single"/>
          <w:lang w:val="en-US" w:eastAsia="zh-CN" w:bidi="ar"/>
        </w:rPr>
        <w:t>（企业名称）</w:t>
      </w:r>
      <w:r>
        <w:rPr>
          <w:rFonts w:hint="eastAsia" w:ascii="宋体" w:hAnsi="宋体" w:eastAsia="宋体" w:cs="宋体"/>
          <w:b w:val="0"/>
          <w:bCs w:val="0"/>
          <w:i w:val="0"/>
          <w:iCs w:val="0"/>
          <w:color w:val="auto"/>
          <w:kern w:val="0"/>
          <w:sz w:val="24"/>
          <w:szCs w:val="24"/>
          <w:highlight w:val="none"/>
          <w:lang w:val="en-US" w:eastAsia="zh-CN" w:bidi="ar"/>
        </w:rPr>
        <w:t>，从业人员</w:t>
      </w:r>
      <w:r>
        <w:rPr>
          <w:rFonts w:hint="eastAsia" w:ascii="宋体" w:hAnsi="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lang w:val="en-US" w:eastAsia="zh-CN" w:bidi="ar"/>
        </w:rPr>
        <w:t>人，营业收入为</w:t>
      </w:r>
      <w:r>
        <w:rPr>
          <w:rFonts w:hint="eastAsia" w:ascii="宋体" w:hAnsi="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lang w:val="en-US" w:eastAsia="zh-CN" w:bidi="ar"/>
        </w:rPr>
        <w:t>万元，资产总额为</w:t>
      </w:r>
      <w:r>
        <w:rPr>
          <w:rFonts w:hint="eastAsia" w:ascii="宋体" w:hAnsi="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lang w:val="en-US" w:eastAsia="zh-CN" w:bidi="ar"/>
        </w:rPr>
        <w:t>万元，属于</w:t>
      </w:r>
      <w:r>
        <w:rPr>
          <w:rFonts w:hint="eastAsia" w:ascii="宋体" w:hAnsi="宋体" w:eastAsia="宋体" w:cs="宋体"/>
          <w:b w:val="0"/>
          <w:bCs w:val="0"/>
          <w:i w:val="0"/>
          <w:iCs w:val="0"/>
          <w:color w:val="auto"/>
          <w:kern w:val="0"/>
          <w:sz w:val="24"/>
          <w:szCs w:val="24"/>
          <w:highlight w:val="none"/>
          <w:u w:val="single"/>
          <w:lang w:val="en-US" w:eastAsia="zh-CN" w:bidi="ar"/>
        </w:rPr>
        <w:t>（中型企业、小型企业、微型企业）</w:t>
      </w:r>
      <w:r>
        <w:rPr>
          <w:rFonts w:hint="eastAsia" w:ascii="宋体" w:hAnsi="宋体" w:eastAsia="宋体" w:cs="宋体"/>
          <w:b w:val="0"/>
          <w:bCs w:val="0"/>
          <w:i w:val="0"/>
          <w:i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single"/>
          <w:lang w:val="en-US" w:eastAsia="zh-CN" w:bidi="ar"/>
        </w:rPr>
        <w:t xml:space="preserve"> （标的名称） </w:t>
      </w:r>
      <w:r>
        <w:rPr>
          <w:rFonts w:hint="eastAsia" w:ascii="宋体" w:hAnsi="宋体" w:eastAsia="宋体" w:cs="宋体"/>
          <w:b w:val="0"/>
          <w:bCs w:val="0"/>
          <w:i w:val="0"/>
          <w:iCs w:val="0"/>
          <w:color w:val="auto"/>
          <w:kern w:val="0"/>
          <w:sz w:val="24"/>
          <w:szCs w:val="24"/>
          <w:highlight w:val="none"/>
          <w:lang w:val="en-US" w:eastAsia="zh-CN" w:bidi="ar"/>
        </w:rPr>
        <w:t>，属于</w:t>
      </w:r>
      <w:r>
        <w:rPr>
          <w:rFonts w:hint="eastAsia" w:ascii="宋体" w:hAnsi="宋体" w:eastAsia="宋体" w:cs="宋体"/>
          <w:b w:val="0"/>
          <w:bCs w:val="0"/>
          <w:i w:val="0"/>
          <w:iCs w:val="0"/>
          <w:color w:val="auto"/>
          <w:kern w:val="0"/>
          <w:sz w:val="24"/>
          <w:szCs w:val="24"/>
          <w:highlight w:val="none"/>
          <w:u w:val="single"/>
          <w:lang w:val="en-US" w:eastAsia="zh-CN" w:bidi="ar"/>
        </w:rPr>
        <w:t>（采购文件中明确的所属行业）</w:t>
      </w:r>
      <w:r>
        <w:rPr>
          <w:rFonts w:hint="eastAsia" w:ascii="宋体" w:hAnsi="宋体" w:eastAsia="宋体" w:cs="宋体"/>
          <w:b w:val="0"/>
          <w:bCs w:val="0"/>
          <w:i w:val="0"/>
          <w:iCs w:val="0"/>
          <w:color w:val="auto"/>
          <w:kern w:val="0"/>
          <w:sz w:val="24"/>
          <w:szCs w:val="24"/>
          <w:highlight w:val="none"/>
          <w:lang w:val="en-US" w:eastAsia="zh-CN" w:bidi="ar"/>
        </w:rPr>
        <w:t>；承建（承接）企业为</w:t>
      </w:r>
      <w:r>
        <w:rPr>
          <w:rFonts w:hint="eastAsia" w:ascii="宋体" w:hAnsi="宋体" w:eastAsia="宋体" w:cs="宋体"/>
          <w:b w:val="0"/>
          <w:bCs w:val="0"/>
          <w:i w:val="0"/>
          <w:iCs w:val="0"/>
          <w:color w:val="auto"/>
          <w:kern w:val="0"/>
          <w:sz w:val="24"/>
          <w:szCs w:val="24"/>
          <w:highlight w:val="none"/>
          <w:u w:val="single"/>
          <w:lang w:val="en-US" w:eastAsia="zh-CN" w:bidi="ar"/>
        </w:rPr>
        <w:t>（企业名称）</w:t>
      </w:r>
      <w:r>
        <w:rPr>
          <w:rFonts w:hint="eastAsia" w:ascii="宋体" w:hAnsi="宋体" w:eastAsia="宋体" w:cs="宋体"/>
          <w:b w:val="0"/>
          <w:bCs w:val="0"/>
          <w:i w:val="0"/>
          <w:iCs w:val="0"/>
          <w:color w:val="auto"/>
          <w:kern w:val="0"/>
          <w:sz w:val="24"/>
          <w:szCs w:val="24"/>
          <w:highlight w:val="none"/>
          <w:lang w:val="en-US" w:eastAsia="zh-CN" w:bidi="ar"/>
        </w:rPr>
        <w:t>，从业人员</w:t>
      </w:r>
      <w:r>
        <w:rPr>
          <w:rFonts w:hint="eastAsia" w:ascii="宋体" w:hAnsi="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lang w:val="en-US" w:eastAsia="zh-CN" w:bidi="ar"/>
        </w:rPr>
        <w:t>人，营业收入为</w:t>
      </w:r>
      <w:r>
        <w:rPr>
          <w:rFonts w:hint="eastAsia" w:ascii="宋体" w:hAnsi="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lang w:val="en-US" w:eastAsia="zh-CN" w:bidi="ar"/>
        </w:rPr>
        <w:t>万元，资产总额为</w:t>
      </w:r>
      <w:r>
        <w:rPr>
          <w:rFonts w:hint="eastAsia" w:ascii="宋体" w:hAnsi="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lang w:val="en-US" w:eastAsia="zh-CN" w:bidi="ar"/>
        </w:rPr>
        <w:t>万元，属于</w:t>
      </w:r>
      <w:r>
        <w:rPr>
          <w:rFonts w:hint="eastAsia" w:ascii="宋体" w:hAnsi="宋体" w:eastAsia="宋体" w:cs="宋体"/>
          <w:b w:val="0"/>
          <w:bCs w:val="0"/>
          <w:i w:val="0"/>
          <w:iCs w:val="0"/>
          <w:color w:val="auto"/>
          <w:kern w:val="0"/>
          <w:sz w:val="24"/>
          <w:szCs w:val="24"/>
          <w:highlight w:val="none"/>
          <w:u w:val="single"/>
          <w:lang w:val="en-US" w:eastAsia="zh-CN" w:bidi="ar"/>
        </w:rPr>
        <w:t>（中型企业、小型企业、微型企业）</w:t>
      </w:r>
      <w:r>
        <w:rPr>
          <w:rFonts w:hint="eastAsia" w:ascii="宋体" w:hAnsi="宋体" w:eastAsia="宋体" w:cs="宋体"/>
          <w:b w:val="0"/>
          <w:bCs w:val="0"/>
          <w:i w:val="0"/>
          <w:iCs w:val="0"/>
          <w:color w:val="auto"/>
          <w:kern w:val="0"/>
          <w:sz w:val="24"/>
          <w:szCs w:val="24"/>
          <w:highlight w:val="none"/>
          <w:lang w:val="en-US" w:eastAsia="zh-CN" w:bidi="ar"/>
        </w:rPr>
        <w:t>；</w:t>
      </w:r>
    </w:p>
    <w:p>
      <w:pPr>
        <w:keepNext w:val="0"/>
        <w:keepLines w:val="0"/>
        <w:widowControl/>
        <w:suppressLineNumbers w:val="0"/>
        <w:spacing w:line="480" w:lineRule="auto"/>
        <w:jc w:val="left"/>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kern w:val="0"/>
          <w:sz w:val="24"/>
          <w:szCs w:val="24"/>
          <w:highlight w:val="none"/>
          <w:lang w:val="en-US" w:eastAsia="zh-CN" w:bidi="ar"/>
        </w:rPr>
        <w:t>……</w:t>
      </w:r>
    </w:p>
    <w:p>
      <w:pPr>
        <w:keepNext w:val="0"/>
        <w:keepLines w:val="0"/>
        <w:widowControl/>
        <w:suppressLineNumbers w:val="0"/>
        <w:spacing w:line="480" w:lineRule="auto"/>
        <w:jc w:val="left"/>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本企业对上述声明内容的真实性负责。如有虚假，将依法承担相应责任。 </w:t>
      </w:r>
    </w:p>
    <w:p>
      <w:pPr>
        <w:tabs>
          <w:tab w:val="left" w:pos="720"/>
          <w:tab w:val="left" w:pos="8364"/>
        </w:tabs>
        <w:adjustRightInd w:val="0"/>
        <w:snapToGrid w:val="0"/>
        <w:spacing w:line="360" w:lineRule="auto"/>
        <w:ind w:firstLine="420"/>
        <w:rPr>
          <w:rFonts w:hint="eastAsia" w:ascii="宋体" w:hAnsi="宋体"/>
          <w:color w:val="auto"/>
          <w:highlight w:val="none"/>
        </w:rPr>
      </w:pPr>
    </w:p>
    <w:p>
      <w:pPr>
        <w:pStyle w:val="2"/>
        <w:rPr>
          <w:rFonts w:hint="eastAsia"/>
        </w:rPr>
      </w:pPr>
    </w:p>
    <w:p>
      <w:pPr>
        <w:spacing w:line="480" w:lineRule="auto"/>
        <w:ind w:firstLine="3150" w:firstLineChars="15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投标单位</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adjustRightInd w:val="0"/>
        <w:spacing w:line="48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w:t>
      </w:r>
      <w:r>
        <w:rPr>
          <w:rFonts w:ascii="宋体" w:hAnsi="宋体"/>
          <w:color w:val="auto"/>
          <w:szCs w:val="21"/>
          <w:highlight w:val="none"/>
        </w:rPr>
        <w:t>授权</w:t>
      </w:r>
      <w:r>
        <w:rPr>
          <w:rFonts w:hint="eastAsia" w:ascii="宋体" w:hAnsi="宋体" w:cs="宋体"/>
          <w:color w:val="auto"/>
          <w:kern w:val="0"/>
          <w:szCs w:val="21"/>
          <w:highlight w:val="none"/>
        </w:rPr>
        <w:t>委托人：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spacing w:line="480" w:lineRule="auto"/>
        <w:ind w:firstLine="4620" w:firstLineChars="220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olor w:val="auto"/>
          <w:szCs w:val="21"/>
          <w:highlight w:val="none"/>
        </w:rPr>
      </w:pPr>
      <w:r>
        <w:rPr>
          <w:rFonts w:hint="eastAsia" w:ascii="宋体" w:hAnsi="宋体"/>
          <w:color w:val="auto"/>
          <w:szCs w:val="21"/>
          <w:highlight w:val="none"/>
        </w:rPr>
        <w:br w:type="page"/>
      </w:r>
    </w:p>
    <w:p>
      <w:pPr>
        <w:pStyle w:val="6"/>
        <w:spacing w:line="360" w:lineRule="auto"/>
        <w:jc w:val="left"/>
        <w:rPr>
          <w:rFonts w:hint="eastAsia" w:ascii="宋体" w:hAnsi="宋体"/>
          <w:b/>
          <w:color w:val="auto"/>
          <w:sz w:val="32"/>
          <w:highlight w:val="none"/>
        </w:rPr>
      </w:pPr>
      <w:r>
        <w:rPr>
          <w:rFonts w:hint="eastAsia" w:ascii="宋体" w:hAnsi="宋体"/>
          <w:b/>
          <w:color w:val="auto"/>
          <w:sz w:val="24"/>
          <w:szCs w:val="24"/>
          <w:highlight w:val="none"/>
        </w:rPr>
        <w:t>格式</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w:t>
      </w:r>
    </w:p>
    <w:p>
      <w:pPr>
        <w:pStyle w:val="6"/>
        <w:spacing w:line="360" w:lineRule="auto"/>
        <w:jc w:val="center"/>
        <w:rPr>
          <w:rFonts w:hint="eastAsia" w:ascii="宋体" w:hAnsi="宋体" w:eastAsia="宋体"/>
          <w:b/>
          <w:bCs/>
          <w:color w:val="auto"/>
          <w:szCs w:val="28"/>
          <w:highlight w:val="none"/>
          <w:lang w:eastAsia="zh-CN"/>
        </w:rPr>
      </w:pPr>
      <w:r>
        <w:rPr>
          <w:rFonts w:hint="eastAsia" w:ascii="宋体" w:hAnsi="宋体"/>
          <w:b/>
          <w:bCs/>
          <w:color w:val="auto"/>
          <w:szCs w:val="28"/>
          <w:highlight w:val="none"/>
        </w:rPr>
        <w:t>政府采购</w:t>
      </w:r>
      <w:r>
        <w:rPr>
          <w:rFonts w:hint="eastAsia" w:ascii="宋体" w:hAnsi="宋体"/>
          <w:b/>
          <w:bCs/>
          <w:color w:val="auto"/>
          <w:szCs w:val="28"/>
          <w:highlight w:val="none"/>
          <w:lang w:eastAsia="zh-CN"/>
        </w:rPr>
        <w:t>投标单位</w:t>
      </w:r>
    </w:p>
    <w:p>
      <w:pPr>
        <w:pStyle w:val="6"/>
        <w:spacing w:line="360" w:lineRule="auto"/>
        <w:jc w:val="center"/>
        <w:rPr>
          <w:rFonts w:hint="eastAsia" w:ascii="宋体" w:hAnsi="宋体"/>
          <w:b/>
          <w:bCs/>
          <w:color w:val="auto"/>
          <w:szCs w:val="28"/>
          <w:highlight w:val="none"/>
        </w:rPr>
      </w:pPr>
      <w:r>
        <w:rPr>
          <w:rFonts w:hint="eastAsia" w:ascii="宋体" w:hAnsi="宋体"/>
          <w:b/>
          <w:bCs/>
          <w:color w:val="auto"/>
          <w:szCs w:val="28"/>
          <w:highlight w:val="none"/>
        </w:rPr>
        <w:t>拒绝政府采购领域商业贿赂承诺书</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为响应党中央、国务院关于治理政府采购领域商业贿赂行为的号召，我公司在此承诺：</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1、在参与政府采购活动中遵纪守法、诚信经营、公平竞标。</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2、不向政府采购人、采购代理机构和政府采购评审专家进行任何形式的商业贿赂以谋取交易机会。</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3、不向政府采购代理机构和采购人提供虚假资质文件或采用虚假应标方式参与政府采购市场竞争并谋取中标、成交。</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4、不采取“围标、陪标”等商业欺诈手段获得政府采购定单。</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5、不采取不正当手段诋毁、排挤其他</w:t>
      </w:r>
      <w:r>
        <w:rPr>
          <w:rFonts w:hint="eastAsia" w:ascii="宋体" w:hAnsi="宋体"/>
          <w:color w:val="auto"/>
          <w:highlight w:val="none"/>
          <w:lang w:eastAsia="zh-CN"/>
        </w:rPr>
        <w:t>投标单位</w:t>
      </w:r>
      <w:r>
        <w:rPr>
          <w:rFonts w:hint="eastAsia" w:ascii="宋体" w:hAnsi="宋体"/>
          <w:color w:val="auto"/>
          <w:highlight w:val="none"/>
        </w:rPr>
        <w:t>。</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6、不在提供商品和服务时“偷梁换柱、以次充好”损害采购人的合法权益。</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7、不与采购人、采购代理机构政府采购评审专家或其它</w:t>
      </w:r>
      <w:r>
        <w:rPr>
          <w:rFonts w:hint="eastAsia" w:ascii="宋体" w:hAnsi="宋体"/>
          <w:color w:val="auto"/>
          <w:highlight w:val="none"/>
          <w:lang w:eastAsia="zh-CN"/>
        </w:rPr>
        <w:t>投标单位</w:t>
      </w:r>
      <w:r>
        <w:rPr>
          <w:rFonts w:hint="eastAsia" w:ascii="宋体" w:hAnsi="宋体"/>
          <w:color w:val="auto"/>
          <w:highlight w:val="none"/>
        </w:rPr>
        <w:t>恶意串通，进行质疑和投诉，维护政府采购市场秩序。</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8、尊重和接受政府采购监督管理部门的监督和政府采购代理机构招标采购要求，承担因违约行为给采购人造成的损失。</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9、不发生其他有悖于政府采购公开、公平、公正和诚信原则的行为。</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w:t>
      </w:r>
    </w:p>
    <w:p>
      <w:pPr>
        <w:tabs>
          <w:tab w:val="left" w:pos="720"/>
          <w:tab w:val="left" w:pos="8364"/>
        </w:tabs>
        <w:adjustRightInd w:val="0"/>
        <w:snapToGrid w:val="0"/>
        <w:spacing w:line="360" w:lineRule="auto"/>
        <w:ind w:firstLine="420"/>
        <w:rPr>
          <w:rFonts w:hint="eastAsia" w:ascii="宋体" w:hAnsi="宋体"/>
          <w:color w:val="auto"/>
          <w:highlight w:val="none"/>
        </w:rPr>
      </w:pP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承诺单位（盖章）</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全权代表：</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地    址：                         </w:t>
      </w:r>
    </w:p>
    <w:p>
      <w:pPr>
        <w:tabs>
          <w:tab w:val="left" w:pos="720"/>
          <w:tab w:val="left" w:pos="8364"/>
        </w:tabs>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邮    编：</w:t>
      </w:r>
    </w:p>
    <w:p>
      <w:pPr>
        <w:tabs>
          <w:tab w:val="left" w:pos="720"/>
          <w:tab w:val="left" w:pos="8364"/>
        </w:tabs>
        <w:adjustRightInd w:val="0"/>
        <w:snapToGrid w:val="0"/>
        <w:spacing w:line="360" w:lineRule="auto"/>
        <w:ind w:firstLine="420"/>
        <w:rPr>
          <w:rFonts w:hint="eastAsia" w:ascii="宋体" w:hAnsi="宋体"/>
          <w:color w:val="auto"/>
          <w:highlight w:val="none"/>
        </w:rPr>
      </w:pPr>
      <w:r>
        <w:rPr>
          <w:rFonts w:hint="eastAsia" w:ascii="宋体" w:hAnsi="宋体"/>
          <w:color w:val="auto"/>
          <w:highlight w:val="none"/>
        </w:rPr>
        <w:t xml:space="preserve">  电    话：</w:t>
      </w:r>
    </w:p>
    <w:p>
      <w:pPr>
        <w:tabs>
          <w:tab w:val="left" w:pos="720"/>
          <w:tab w:val="left" w:pos="8364"/>
        </w:tabs>
        <w:adjustRightInd w:val="0"/>
        <w:snapToGrid w:val="0"/>
        <w:spacing w:line="360" w:lineRule="auto"/>
        <w:ind w:firstLine="420"/>
        <w:rPr>
          <w:rFonts w:hint="eastAsia" w:ascii="宋体" w:hAnsi="宋体"/>
          <w:color w:val="auto"/>
          <w:highlight w:val="none"/>
        </w:rPr>
      </w:pPr>
    </w:p>
    <w:p>
      <w:pPr>
        <w:spacing w:line="360" w:lineRule="auto"/>
        <w:jc w:val="right"/>
        <w:outlineLvl w:val="2"/>
        <w:rPr>
          <w:rFonts w:hint="eastAsia" w:ascii="宋体" w:hAnsi="宋体"/>
          <w:color w:val="auto"/>
          <w:highlight w:val="none"/>
        </w:rPr>
      </w:pPr>
      <w:r>
        <w:rPr>
          <w:rFonts w:hint="eastAsia" w:ascii="宋体" w:hAnsi="宋体"/>
          <w:color w:val="auto"/>
          <w:highlight w:val="none"/>
        </w:rPr>
        <w:t xml:space="preserve">年   月   日 </w:t>
      </w:r>
    </w:p>
    <w:p>
      <w:pPr>
        <w:spacing w:line="360" w:lineRule="auto"/>
        <w:jc w:val="center"/>
        <w:outlineLvl w:val="9"/>
        <w:rPr>
          <w:rFonts w:hint="eastAsia" w:ascii="宋体" w:hAnsi="宋体"/>
          <w:color w:val="auto"/>
          <w:highlight w:val="none"/>
        </w:rPr>
      </w:pPr>
    </w:p>
    <w:p>
      <w:pPr>
        <w:spacing w:line="360" w:lineRule="auto"/>
        <w:jc w:val="center"/>
        <w:outlineLvl w:val="9"/>
        <w:rPr>
          <w:rFonts w:hint="eastAsia" w:ascii="宋体" w:hAnsi="宋体"/>
          <w:color w:val="auto"/>
          <w:highlight w:val="none"/>
        </w:rPr>
      </w:pPr>
    </w:p>
    <w:p>
      <w:pPr>
        <w:spacing w:line="360" w:lineRule="auto"/>
        <w:jc w:val="center"/>
        <w:outlineLvl w:val="9"/>
        <w:rPr>
          <w:rFonts w:hint="eastAsia" w:ascii="宋体" w:hAnsi="宋体"/>
          <w:color w:val="auto"/>
          <w:highlight w:val="none"/>
        </w:rPr>
      </w:pPr>
    </w:p>
    <w:p>
      <w:pPr>
        <w:spacing w:line="360" w:lineRule="auto"/>
        <w:jc w:val="center"/>
        <w:outlineLvl w:val="9"/>
        <w:rPr>
          <w:rFonts w:hint="eastAsia" w:ascii="宋体" w:hAnsi="宋体"/>
          <w:color w:val="auto"/>
          <w:highlight w:val="none"/>
        </w:rPr>
      </w:pPr>
    </w:p>
    <w:p>
      <w:pPr>
        <w:spacing w:line="360" w:lineRule="auto"/>
        <w:jc w:val="center"/>
        <w:outlineLvl w:val="9"/>
        <w:rPr>
          <w:rFonts w:hint="eastAsia" w:ascii="宋体" w:hAnsi="宋体"/>
          <w:color w:val="auto"/>
          <w:highlight w:val="none"/>
        </w:rPr>
      </w:pPr>
    </w:p>
    <w:p>
      <w:pPr>
        <w:widowControl/>
        <w:jc w:val="left"/>
        <w:rPr>
          <w:rFonts w:hint="eastAsia" w:ascii="宋体" w:hAnsi="宋体"/>
          <w:b/>
          <w:color w:val="auto"/>
          <w:sz w:val="24"/>
          <w:szCs w:val="24"/>
          <w:highlight w:val="none"/>
        </w:rPr>
      </w:pPr>
      <w:r>
        <w:rPr>
          <w:rFonts w:hint="eastAsia" w:ascii="宋体" w:hAnsi="宋体"/>
          <w:b/>
          <w:color w:val="auto"/>
          <w:sz w:val="24"/>
          <w:szCs w:val="24"/>
          <w:highlight w:val="none"/>
        </w:rPr>
        <w:t>格式</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p>
    <w:p>
      <w:pPr>
        <w:widowControl/>
        <w:jc w:val="center"/>
        <w:rPr>
          <w:rFonts w:hint="eastAsia" w:ascii="宋体" w:hAnsi="宋体" w:eastAsia="宋体" w:cs="宋体"/>
          <w:color w:val="auto"/>
          <w:kern w:val="0"/>
          <w:szCs w:val="21"/>
          <w:highlight w:val="none"/>
          <w:lang w:eastAsia="zh-CN" w:bidi="ar"/>
        </w:rPr>
      </w:pPr>
      <w:r>
        <w:rPr>
          <w:rFonts w:ascii="宋体" w:hAnsi="宋体" w:cs="宋体"/>
          <w:b/>
          <w:bCs/>
          <w:color w:val="auto"/>
          <w:kern w:val="0"/>
          <w:sz w:val="28"/>
          <w:szCs w:val="28"/>
          <w:highlight w:val="none"/>
          <w:lang w:bidi="ar"/>
        </w:rPr>
        <w:t>政府采购投标担保函</w:t>
      </w:r>
      <w:r>
        <w:rPr>
          <w:rFonts w:hint="eastAsia" w:ascii="宋体" w:hAnsi="宋体" w:cs="宋体"/>
          <w:b/>
          <w:bCs/>
          <w:color w:val="auto"/>
          <w:kern w:val="0"/>
          <w:sz w:val="28"/>
          <w:szCs w:val="28"/>
          <w:highlight w:val="none"/>
          <w:lang w:eastAsia="zh-CN" w:bidi="ar"/>
        </w:rPr>
        <w:t>（如有）</w:t>
      </w:r>
    </w:p>
    <w:p>
      <w:pPr>
        <w:widowControl/>
        <w:spacing w:line="360" w:lineRule="auto"/>
        <w:ind w:left="210" w:hanging="210" w:hangingChars="1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 </w:t>
      </w:r>
      <w:r>
        <w:rPr>
          <w:rFonts w:ascii="宋体" w:hAnsi="宋体" w:cs="宋体"/>
          <w:color w:val="auto"/>
          <w:kern w:val="0"/>
          <w:szCs w:val="21"/>
          <w:highlight w:val="none"/>
          <w:lang w:bidi="ar"/>
        </w:rPr>
        <w:br w:type="textWrapping"/>
      </w:r>
      <w:r>
        <w:rPr>
          <w:rFonts w:ascii="宋体" w:hAnsi="宋体" w:cs="宋体"/>
          <w:color w:val="auto"/>
          <w:kern w:val="0"/>
          <w:szCs w:val="21"/>
          <w:highlight w:val="none"/>
          <w:u w:val="single"/>
          <w:lang w:bidi="ar"/>
        </w:rPr>
        <w:t>（采购人或采购代理机构）</w:t>
      </w:r>
      <w:r>
        <w:rPr>
          <w:rFonts w:ascii="宋体" w:hAnsi="宋体" w:cs="宋体"/>
          <w:color w:val="auto"/>
          <w:kern w:val="0"/>
          <w:szCs w:val="21"/>
          <w:highlight w:val="none"/>
          <w:lang w:bidi="ar"/>
        </w:rPr>
        <w:t>：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鉴于</w:t>
      </w:r>
      <w:r>
        <w:rPr>
          <w:rFonts w:ascii="宋体" w:hAnsi="宋体" w:cs="宋体"/>
          <w:color w:val="auto"/>
          <w:kern w:val="0"/>
          <w:szCs w:val="21"/>
          <w:highlight w:val="none"/>
          <w:u w:val="single"/>
          <w:lang w:bidi="ar"/>
        </w:rPr>
        <w:t>            （以下简称“投标人”）</w:t>
      </w:r>
      <w:r>
        <w:rPr>
          <w:rFonts w:ascii="宋体" w:hAnsi="宋体" w:cs="宋体"/>
          <w:color w:val="auto"/>
          <w:kern w:val="0"/>
          <w:szCs w:val="21"/>
          <w:highlight w:val="none"/>
          <w:lang w:bidi="ar"/>
        </w:rPr>
        <w:t>拟参加</w:t>
      </w:r>
      <w:r>
        <w:rPr>
          <w:rFonts w:ascii="宋体" w:hAnsi="宋体" w:cs="宋体"/>
          <w:color w:val="auto"/>
          <w:kern w:val="0"/>
          <w:szCs w:val="21"/>
          <w:highlight w:val="none"/>
          <w:u w:val="single"/>
          <w:lang w:bidi="ar"/>
        </w:rPr>
        <w:t>    </w:t>
      </w:r>
      <w:r>
        <w:rPr>
          <w:rFonts w:ascii="宋体" w:hAnsi="宋体" w:cs="宋体"/>
          <w:color w:val="auto"/>
          <w:kern w:val="0"/>
          <w:szCs w:val="21"/>
          <w:highlight w:val="none"/>
          <w:lang w:bidi="ar"/>
        </w:rPr>
        <w:t>项目（以下简称“本项目”）投标，根据本项目招标文件，</w:t>
      </w:r>
      <w:r>
        <w:rPr>
          <w:rFonts w:hint="eastAsia" w:ascii="宋体" w:hAnsi="宋体" w:cs="宋体"/>
          <w:color w:val="auto"/>
          <w:kern w:val="0"/>
          <w:szCs w:val="21"/>
          <w:highlight w:val="none"/>
          <w:lang w:eastAsia="zh-CN" w:bidi="ar"/>
        </w:rPr>
        <w:t>投标单位</w:t>
      </w:r>
      <w:r>
        <w:rPr>
          <w:rFonts w:ascii="宋体" w:hAnsi="宋体" w:cs="宋体"/>
          <w:color w:val="auto"/>
          <w:kern w:val="0"/>
          <w:szCs w:val="21"/>
          <w:highlight w:val="none"/>
          <w:lang w:bidi="ar"/>
        </w:rPr>
        <w:t>参加投标时应向你方交纳投标保证金，且可以投标担保函的形式交纳投标保证金。应</w:t>
      </w:r>
      <w:r>
        <w:rPr>
          <w:rFonts w:hint="eastAsia" w:ascii="宋体" w:hAnsi="宋体" w:cs="宋体"/>
          <w:color w:val="auto"/>
          <w:kern w:val="0"/>
          <w:szCs w:val="21"/>
          <w:highlight w:val="none"/>
          <w:lang w:eastAsia="zh-CN" w:bidi="ar"/>
        </w:rPr>
        <w:t>投标单位</w:t>
      </w:r>
      <w:r>
        <w:rPr>
          <w:rFonts w:ascii="宋体" w:hAnsi="宋体" w:cs="宋体"/>
          <w:color w:val="auto"/>
          <w:kern w:val="0"/>
          <w:szCs w:val="21"/>
          <w:highlight w:val="none"/>
          <w:lang w:bidi="ar"/>
        </w:rPr>
        <w:t>的申请，我方以保证的方式向你方提供如下投标保证金担保： </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一、保证责任的情形及保证金额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（一）在投标人出现下列情形之一时，我方承担保证责任：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1．中标后投标人无正当理由不与采购人或者采购代理机构签订《政府采购合同》；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2．招标文件规定的投标人应当缴纳保证金的其他情形。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（二）我方承担保证责任的最高金额为人民币</w:t>
      </w:r>
      <w:r>
        <w:rPr>
          <w:rFonts w:ascii="宋体" w:hAnsi="宋体" w:cs="宋体"/>
          <w:color w:val="auto"/>
          <w:kern w:val="0"/>
          <w:szCs w:val="21"/>
          <w:highlight w:val="none"/>
          <w:u w:val="single"/>
          <w:lang w:bidi="ar"/>
        </w:rPr>
        <w:t>      </w:t>
      </w:r>
      <w:r>
        <w:rPr>
          <w:rFonts w:ascii="宋体" w:hAnsi="宋体" w:cs="宋体"/>
          <w:color w:val="auto"/>
          <w:kern w:val="0"/>
          <w:szCs w:val="21"/>
          <w:highlight w:val="none"/>
          <w:lang w:bidi="ar"/>
        </w:rPr>
        <w:t>元（大写</w:t>
      </w:r>
      <w:r>
        <w:rPr>
          <w:rFonts w:ascii="宋体" w:hAnsi="宋体" w:cs="宋体"/>
          <w:color w:val="auto"/>
          <w:kern w:val="0"/>
          <w:szCs w:val="21"/>
          <w:highlight w:val="none"/>
          <w:u w:val="single"/>
          <w:lang w:bidi="ar"/>
        </w:rPr>
        <w:t>      </w:t>
      </w:r>
      <w:r>
        <w:rPr>
          <w:rFonts w:ascii="宋体" w:hAnsi="宋体" w:cs="宋体"/>
          <w:color w:val="auto"/>
          <w:kern w:val="0"/>
          <w:szCs w:val="21"/>
          <w:highlight w:val="none"/>
          <w:lang w:bidi="ar"/>
        </w:rPr>
        <w:t>），即本项目的投标保证金金额。 </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二、保证的方式及保证期间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我方保证的方式为：连带责任保证。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我方的保证期间为：自本保函生效之日起</w:t>
      </w:r>
      <w:r>
        <w:rPr>
          <w:rFonts w:ascii="宋体" w:hAnsi="宋体" w:cs="宋体"/>
          <w:color w:val="auto"/>
          <w:kern w:val="0"/>
          <w:szCs w:val="21"/>
          <w:highlight w:val="none"/>
          <w:u w:val="single"/>
          <w:lang w:bidi="ar"/>
        </w:rPr>
        <w:t>  </w:t>
      </w:r>
      <w:r>
        <w:rPr>
          <w:rFonts w:ascii="宋体" w:hAnsi="宋体" w:cs="宋体"/>
          <w:color w:val="auto"/>
          <w:kern w:val="0"/>
          <w:szCs w:val="21"/>
          <w:highlight w:val="none"/>
          <w:lang w:bidi="ar"/>
        </w:rPr>
        <w:t>个月止。 </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三、承担保证责任的程序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1．你方要求我方承担保证责任的，应在本保函保证期间内向我方发出书面索赔通知。索赔通知应写明要求索赔的金额，支付款项应到达的账号，并附有证明投标人发生我方应承担保证责任情形的事实材料。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2．我方在收到索赔通知及相关证明材料后，在</w:t>
      </w:r>
      <w:r>
        <w:rPr>
          <w:rFonts w:ascii="宋体" w:hAnsi="宋体" w:cs="宋体"/>
          <w:color w:val="auto"/>
          <w:kern w:val="0"/>
          <w:szCs w:val="21"/>
          <w:highlight w:val="none"/>
          <w:u w:val="single"/>
          <w:lang w:bidi="ar"/>
        </w:rPr>
        <w:t>   </w:t>
      </w:r>
      <w:r>
        <w:rPr>
          <w:rFonts w:ascii="宋体" w:hAnsi="宋体" w:cs="宋体"/>
          <w:color w:val="auto"/>
          <w:kern w:val="0"/>
          <w:szCs w:val="21"/>
          <w:highlight w:val="none"/>
          <w:lang w:bidi="ar"/>
        </w:rPr>
        <w:t>个工作日内进行审查，符合应承担保证责任情形的，我方应按照你方的要求代投标人向你方支付投标保证金。 </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四、保证责任的终止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1．保证期间届满你方未向我方书面主张保证责任的，自保证期间届满次日起，我方保证责任自动终止。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2．我方按照本保函向你方履行了保证责任后，自我方向你方支付款项（支付款项从我方账户划出）之日起，保证责任终止。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3．按照法律法规的规定或出现我方保证责任终止的其它情形的，我方在本保函项下的保证责任亦终止。 </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五、免责条款 </w:t>
      </w:r>
      <w:r>
        <w:rPr>
          <w:rFonts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1．依照法律规定或你方与投标人的另行约定，全部或者部分免除投标人投标保证金义务时，我方亦免除相应的保证责任。 </w:t>
      </w:r>
    </w:p>
    <w:p>
      <w:pPr>
        <w:spacing w:line="360" w:lineRule="auto"/>
        <w:ind w:firstLine="630" w:firstLineChars="300"/>
        <w:rPr>
          <w:rFonts w:hint="eastAsia"/>
          <w:color w:val="auto"/>
          <w:highlight w:val="none"/>
        </w:rPr>
      </w:pPr>
      <w:r>
        <w:rPr>
          <w:rFonts w:hint="eastAsia"/>
          <w:color w:val="auto"/>
          <w:highlight w:val="none"/>
        </w:rPr>
        <w:t>2．因你方原因致使投标人发生本保函第一条第（一）款约定情形的，我方不承担保证责任。 </w:t>
      </w:r>
    </w:p>
    <w:p>
      <w:pPr>
        <w:spacing w:line="360" w:lineRule="auto"/>
        <w:ind w:firstLine="630" w:firstLineChars="300"/>
        <w:rPr>
          <w:rFonts w:hint="eastAsia"/>
          <w:color w:val="auto"/>
          <w:highlight w:val="none"/>
        </w:rPr>
      </w:pPr>
      <w:r>
        <w:rPr>
          <w:rFonts w:hint="eastAsia"/>
          <w:color w:val="auto"/>
          <w:highlight w:val="none"/>
        </w:rPr>
        <w:t>3．因不可抗力造成投标人发生本保函第一条约定情形的，我方不承担保证责任。 </w:t>
      </w:r>
    </w:p>
    <w:p>
      <w:pPr>
        <w:spacing w:line="360" w:lineRule="auto"/>
        <w:ind w:firstLine="630" w:firstLineChars="300"/>
        <w:rPr>
          <w:rFonts w:hint="eastAsia"/>
          <w:color w:val="auto"/>
          <w:highlight w:val="none"/>
        </w:rPr>
      </w:pPr>
      <w:r>
        <w:rPr>
          <w:rFonts w:hint="eastAsia"/>
          <w:color w:val="auto"/>
          <w:highlight w:val="none"/>
        </w:rPr>
        <w:t>4．你方或其他有权机关对招标文件进行任何澄清或修改，加重我方保证责任的，我方对加重部分不承担保证责任，但该澄清或修改经我方事先书面同意的除外。 </w:t>
      </w:r>
    </w:p>
    <w:p>
      <w:pPr>
        <w:spacing w:line="360" w:lineRule="auto"/>
        <w:rPr>
          <w:rFonts w:hint="eastAsia"/>
          <w:color w:val="auto"/>
          <w:highlight w:val="none"/>
        </w:rPr>
      </w:pPr>
      <w:r>
        <w:rPr>
          <w:rFonts w:hint="eastAsia"/>
          <w:color w:val="auto"/>
          <w:highlight w:val="none"/>
        </w:rPr>
        <w:t>六、争议的解决 </w:t>
      </w:r>
    </w:p>
    <w:p>
      <w:pPr>
        <w:spacing w:line="360" w:lineRule="auto"/>
        <w:ind w:firstLine="630" w:firstLineChars="300"/>
        <w:rPr>
          <w:rFonts w:hint="eastAsia"/>
          <w:color w:val="auto"/>
          <w:highlight w:val="none"/>
        </w:rPr>
      </w:pPr>
      <w:r>
        <w:rPr>
          <w:rFonts w:hint="eastAsia"/>
          <w:color w:val="auto"/>
          <w:highlight w:val="none"/>
        </w:rPr>
        <w:t>因本保函发生的纠纷，由你我双方协商解决，协商不成的，通过诉讼程序解决，诉讼管辖地法院为当地法院。</w:t>
      </w:r>
    </w:p>
    <w:p>
      <w:pPr>
        <w:spacing w:line="360" w:lineRule="auto"/>
        <w:rPr>
          <w:rFonts w:hint="eastAsia"/>
          <w:color w:val="auto"/>
          <w:highlight w:val="none"/>
        </w:rPr>
      </w:pPr>
      <w:r>
        <w:rPr>
          <w:rFonts w:hint="eastAsia"/>
          <w:color w:val="auto"/>
          <w:highlight w:val="none"/>
        </w:rPr>
        <w:t>七、保函的生效 </w:t>
      </w:r>
    </w:p>
    <w:p>
      <w:pPr>
        <w:spacing w:line="360" w:lineRule="auto"/>
        <w:ind w:firstLine="630" w:firstLineChars="300"/>
        <w:rPr>
          <w:rFonts w:hint="eastAsia"/>
          <w:color w:val="auto"/>
          <w:highlight w:val="none"/>
        </w:rPr>
      </w:pPr>
      <w:r>
        <w:rPr>
          <w:rFonts w:hint="eastAsia"/>
          <w:color w:val="auto"/>
          <w:highlight w:val="none"/>
        </w:rPr>
        <w:t>本保函自我方加盖公章之日起生效。 </w:t>
      </w:r>
    </w:p>
    <w:p>
      <w:pPr>
        <w:spacing w:line="360" w:lineRule="auto"/>
        <w:rPr>
          <w:rFonts w:hint="eastAsia"/>
          <w:color w:val="auto"/>
          <w:highlight w:val="none"/>
        </w:rPr>
      </w:pPr>
      <w:r>
        <w:rPr>
          <w:rFonts w:hint="eastAsia"/>
          <w:color w:val="auto"/>
          <w:highlight w:val="none"/>
        </w:rPr>
        <w:t> </w:t>
      </w:r>
    </w:p>
    <w:p>
      <w:pPr>
        <w:spacing w:line="360" w:lineRule="auto"/>
        <w:jc w:val="right"/>
        <w:rPr>
          <w:rFonts w:hint="eastAsia"/>
          <w:color w:val="auto"/>
          <w:highlight w:val="none"/>
        </w:rPr>
      </w:pPr>
    </w:p>
    <w:p>
      <w:pPr>
        <w:spacing w:line="360" w:lineRule="auto"/>
        <w:jc w:val="right"/>
        <w:rPr>
          <w:rFonts w:hint="eastAsia"/>
          <w:color w:val="auto"/>
          <w:highlight w:val="none"/>
        </w:rPr>
      </w:pPr>
      <w:r>
        <w:rPr>
          <w:rFonts w:hint="eastAsia"/>
          <w:color w:val="auto"/>
          <w:highlight w:val="none"/>
        </w:rPr>
        <w:t>保证人：</w:t>
      </w:r>
      <w:r>
        <w:rPr>
          <w:rFonts w:hint="eastAsia"/>
          <w:color w:val="auto"/>
          <w:highlight w:val="none"/>
          <w:lang w:val="en-US" w:eastAsia="zh-CN"/>
        </w:rPr>
        <w:t xml:space="preserve">       </w:t>
      </w:r>
      <w:r>
        <w:rPr>
          <w:rFonts w:hint="eastAsia"/>
          <w:color w:val="auto"/>
          <w:highlight w:val="none"/>
        </w:rPr>
        <w:t>（公章） </w:t>
      </w:r>
    </w:p>
    <w:p>
      <w:pPr>
        <w:spacing w:line="360" w:lineRule="auto"/>
        <w:jc w:val="right"/>
        <w:rPr>
          <w:color w:val="auto"/>
          <w:highlight w:val="none"/>
        </w:rPr>
      </w:pP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 </w:t>
      </w:r>
    </w:p>
    <w:p>
      <w:pPr>
        <w:widowControl/>
        <w:spacing w:line="360" w:lineRule="auto"/>
        <w:ind w:left="210" w:hanging="210" w:hangingChars="100"/>
        <w:jc w:val="left"/>
        <w:rPr>
          <w:rFonts w:ascii="宋体" w:hAnsi="宋体" w:cs="宋体"/>
          <w:color w:val="auto"/>
          <w:kern w:val="0"/>
          <w:szCs w:val="21"/>
          <w:highlight w:val="none"/>
          <w:lang w:bidi="ar"/>
        </w:rPr>
      </w:pPr>
    </w:p>
    <w:p>
      <w:pPr>
        <w:widowControl/>
        <w:spacing w:line="360" w:lineRule="auto"/>
        <w:ind w:left="210" w:hanging="210" w:hangingChars="100"/>
        <w:jc w:val="left"/>
        <w:rPr>
          <w:rFonts w:ascii="宋体" w:hAnsi="宋体" w:cs="宋体"/>
          <w:color w:val="auto"/>
          <w:kern w:val="0"/>
          <w:szCs w:val="21"/>
          <w:highlight w:val="none"/>
          <w:lang w:bidi="ar"/>
        </w:rPr>
      </w:pPr>
    </w:p>
    <w:p>
      <w:pPr>
        <w:widowControl/>
        <w:spacing w:line="360" w:lineRule="auto"/>
        <w:ind w:left="210" w:hanging="210" w:hangingChars="100"/>
        <w:jc w:val="left"/>
        <w:rPr>
          <w:rFonts w:ascii="宋体" w:hAnsi="宋体" w:cs="宋体"/>
          <w:color w:val="auto"/>
          <w:kern w:val="0"/>
          <w:szCs w:val="21"/>
          <w:highlight w:val="none"/>
          <w:lang w:bidi="ar"/>
        </w:rPr>
      </w:pPr>
    </w:p>
    <w:p>
      <w:pPr>
        <w:widowControl/>
        <w:spacing w:line="360" w:lineRule="auto"/>
        <w:ind w:left="210" w:hanging="210" w:hangingChars="100"/>
        <w:jc w:val="left"/>
        <w:rPr>
          <w:rFonts w:ascii="宋体" w:hAnsi="宋体" w:cs="宋体"/>
          <w:color w:val="auto"/>
          <w:kern w:val="0"/>
          <w:szCs w:val="21"/>
          <w:highlight w:val="none"/>
          <w:lang w:bidi="ar"/>
        </w:rPr>
      </w:pPr>
    </w:p>
    <w:p>
      <w:pPr>
        <w:widowControl/>
        <w:spacing w:line="360" w:lineRule="auto"/>
        <w:ind w:left="210" w:hanging="210" w:hangingChars="100"/>
        <w:jc w:val="left"/>
        <w:rPr>
          <w:rFonts w:ascii="宋体" w:hAnsi="宋体" w:cs="宋体"/>
          <w:color w:val="auto"/>
          <w:kern w:val="0"/>
          <w:szCs w:val="21"/>
          <w:highlight w:val="none"/>
          <w:lang w:bidi="ar"/>
        </w:rPr>
      </w:pPr>
    </w:p>
    <w:p>
      <w:pPr>
        <w:widowControl/>
        <w:spacing w:line="360" w:lineRule="auto"/>
        <w:ind w:left="210" w:hanging="210" w:hangingChars="100"/>
        <w:jc w:val="left"/>
        <w:rPr>
          <w:rFonts w:ascii="宋体" w:hAnsi="宋体" w:cs="宋体"/>
          <w:color w:val="auto"/>
          <w:kern w:val="0"/>
          <w:szCs w:val="21"/>
          <w:highlight w:val="none"/>
          <w:lang w:bidi="ar"/>
        </w:rPr>
      </w:pPr>
    </w:p>
    <w:p>
      <w:pPr>
        <w:widowControl/>
        <w:spacing w:line="360" w:lineRule="auto"/>
        <w:ind w:left="210" w:hanging="210" w:hangingChars="100"/>
        <w:jc w:val="left"/>
        <w:rPr>
          <w:rFonts w:hint="eastAsia" w:ascii="宋体" w:hAnsi="宋体" w:cs="宋体"/>
          <w:color w:val="auto"/>
          <w:kern w:val="0"/>
          <w:szCs w:val="21"/>
          <w:highlight w:val="none"/>
          <w:lang w:bidi="ar"/>
        </w:rPr>
      </w:pPr>
    </w:p>
    <w:p>
      <w:pPr>
        <w:spacing w:line="360" w:lineRule="auto"/>
        <w:jc w:val="center"/>
        <w:outlineLvl w:val="0"/>
        <w:rPr>
          <w:rFonts w:hint="eastAsia" w:ascii="宋体" w:hAnsi="宋体"/>
          <w:b/>
          <w:color w:val="auto"/>
          <w:sz w:val="32"/>
          <w:highlight w:val="none"/>
        </w:rPr>
      </w:pPr>
      <w:r>
        <w:rPr>
          <w:rFonts w:hint="eastAsia" w:ascii="宋体" w:hAnsi="宋体"/>
          <w:b/>
          <w:color w:val="auto"/>
          <w:sz w:val="32"/>
          <w:highlight w:val="none"/>
        </w:rPr>
        <w:br w:type="page"/>
      </w:r>
      <w:bookmarkStart w:id="366" w:name="_Toc4656"/>
      <w:bookmarkStart w:id="367" w:name="_Toc22691"/>
      <w:bookmarkStart w:id="368" w:name="_Toc11574"/>
      <w:r>
        <w:rPr>
          <w:rFonts w:hint="eastAsia" w:ascii="宋体" w:hAnsi="宋体"/>
          <w:b/>
          <w:color w:val="auto"/>
          <w:sz w:val="32"/>
          <w:highlight w:val="none"/>
        </w:rPr>
        <w:t xml:space="preserve">第四部分   </w:t>
      </w:r>
      <w:bookmarkEnd w:id="365"/>
      <w:r>
        <w:rPr>
          <w:rFonts w:hint="eastAsia" w:ascii="宋体" w:hAnsi="宋体"/>
          <w:b/>
          <w:color w:val="auto"/>
          <w:sz w:val="32"/>
          <w:highlight w:val="none"/>
        </w:rPr>
        <w:t>施工组织计划</w:t>
      </w:r>
      <w:bookmarkEnd w:id="366"/>
      <w:bookmarkEnd w:id="367"/>
      <w:bookmarkEnd w:id="368"/>
    </w:p>
    <w:p>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（本部分内容由</w:t>
      </w:r>
      <w:r>
        <w:rPr>
          <w:rFonts w:hint="eastAsia" w:ascii="宋体" w:hAnsi="宋体"/>
          <w:bCs/>
          <w:color w:val="auto"/>
          <w:szCs w:val="21"/>
          <w:highlight w:val="none"/>
          <w:lang w:val="en-US" w:eastAsia="zh-CN"/>
        </w:rPr>
        <w:t>投标单位根据招标文件评标办法</w:t>
      </w:r>
      <w:r>
        <w:rPr>
          <w:rFonts w:hint="eastAsia" w:ascii="宋体" w:hAnsi="宋体"/>
          <w:bCs/>
          <w:color w:val="auto"/>
          <w:szCs w:val="21"/>
          <w:highlight w:val="none"/>
        </w:rPr>
        <w:t>自行编制）</w:t>
      </w:r>
    </w:p>
    <w:p>
      <w:pPr>
        <w:spacing w:line="408" w:lineRule="auto"/>
        <w:ind w:firstLine="420" w:firstLineChars="200"/>
        <w:rPr>
          <w:rFonts w:hint="eastAsia" w:cs="宋体"/>
          <w:color w:val="auto"/>
          <w:szCs w:val="21"/>
          <w:highlight w:val="none"/>
        </w:rPr>
      </w:pPr>
    </w:p>
    <w:p>
      <w:pPr>
        <w:spacing w:line="420" w:lineRule="auto"/>
        <w:rPr>
          <w:rFonts w:ascii="宋体" w:cs="宋体"/>
          <w:b/>
          <w:color w:val="auto"/>
          <w:sz w:val="30"/>
          <w:szCs w:val="30"/>
          <w:highlight w:val="none"/>
        </w:rPr>
      </w:pPr>
    </w:p>
    <w:p>
      <w:pPr>
        <w:pStyle w:val="4"/>
        <w:spacing w:before="0" w:after="0" w:line="0" w:lineRule="auto"/>
        <w:jc w:val="both"/>
        <w:outlineLvl w:val="0"/>
        <w:rPr>
          <w:rFonts w:hint="eastAsia" w:ascii="宋体" w:hAnsi="宋体" w:eastAsia="宋体"/>
          <w:color w:val="auto"/>
          <w:highlight w:val="none"/>
        </w:rPr>
      </w:pPr>
      <w:r>
        <w:rPr>
          <w:rFonts w:ascii="宋体" w:hAnsi="宋体" w:eastAsia="宋体"/>
          <w:b w:val="0"/>
          <w:color w:val="auto"/>
          <w:sz w:val="21"/>
          <w:highlight w:val="none"/>
        </w:rPr>
        <w:br w:type="page"/>
      </w:r>
      <w:bookmarkStart w:id="369" w:name="_Toc20040"/>
      <w:bookmarkStart w:id="370" w:name="_Toc32714"/>
      <w:bookmarkStart w:id="371" w:name="_Toc27245"/>
      <w:bookmarkStart w:id="372" w:name="_Toc26606"/>
      <w:r>
        <w:rPr>
          <w:rFonts w:ascii="宋体" w:hAnsi="宋体" w:eastAsia="宋体"/>
          <w:color w:val="auto"/>
          <w:highlight w:val="none"/>
        </w:rPr>
        <w:t>第</w:t>
      </w:r>
      <w:r>
        <w:rPr>
          <w:rFonts w:hint="eastAsia" w:ascii="宋体" w:hAnsi="宋体" w:eastAsia="宋体"/>
          <w:color w:val="auto"/>
          <w:highlight w:val="none"/>
        </w:rPr>
        <w:t>五</w:t>
      </w:r>
      <w:r>
        <w:rPr>
          <w:rFonts w:ascii="宋体" w:hAnsi="宋体" w:eastAsia="宋体"/>
          <w:color w:val="auto"/>
          <w:highlight w:val="none"/>
        </w:rPr>
        <w:t xml:space="preserve">部分  </w:t>
      </w:r>
      <w:r>
        <w:rPr>
          <w:rFonts w:hint="eastAsia" w:ascii="宋体" w:hAnsi="宋体" w:eastAsia="宋体"/>
          <w:color w:val="auto"/>
          <w:highlight w:val="none"/>
        </w:rPr>
        <w:t>业绩证明材料</w:t>
      </w:r>
      <w:bookmarkEnd w:id="351"/>
      <w:bookmarkEnd w:id="352"/>
      <w:bookmarkEnd w:id="353"/>
      <w:bookmarkEnd w:id="354"/>
      <w:bookmarkEnd w:id="369"/>
      <w:bookmarkEnd w:id="370"/>
      <w:bookmarkEnd w:id="371"/>
      <w:bookmarkEnd w:id="372"/>
    </w:p>
    <w:p>
      <w:pPr>
        <w:pStyle w:val="4"/>
        <w:spacing w:before="0" w:after="0" w:line="0" w:lineRule="auto"/>
        <w:jc w:val="center"/>
        <w:rPr>
          <w:rFonts w:hint="eastAsia" w:ascii="宋体" w:hAnsi="宋体" w:eastAsia="宋体" w:cs="宋体"/>
          <w:b w:val="0"/>
          <w:bCs/>
          <w:color w:val="auto"/>
          <w:sz w:val="24"/>
          <w:szCs w:val="24"/>
          <w:highlight w:val="none"/>
        </w:rPr>
      </w:pPr>
      <w:bookmarkStart w:id="373" w:name="_Toc14710"/>
      <w:r>
        <w:rPr>
          <w:rFonts w:hint="eastAsia" w:ascii="宋体" w:hAnsi="宋体" w:eastAsia="宋体" w:cs="宋体"/>
          <w:b w:val="0"/>
          <w:bCs/>
          <w:color w:val="auto"/>
          <w:sz w:val="24"/>
          <w:szCs w:val="24"/>
          <w:highlight w:val="none"/>
        </w:rPr>
        <w:t>（本部分内容由</w:t>
      </w:r>
      <w:r>
        <w:rPr>
          <w:rFonts w:hint="eastAsia" w:ascii="宋体" w:hAnsi="宋体" w:eastAsia="宋体" w:cs="宋体"/>
          <w:b w:val="0"/>
          <w:bCs/>
          <w:color w:val="auto"/>
          <w:sz w:val="24"/>
          <w:szCs w:val="24"/>
          <w:highlight w:val="none"/>
          <w:lang w:eastAsia="zh-CN"/>
        </w:rPr>
        <w:t>投标单位</w:t>
      </w:r>
      <w:r>
        <w:rPr>
          <w:rFonts w:hint="eastAsia" w:ascii="宋体" w:hAnsi="宋体" w:eastAsia="宋体" w:cs="宋体"/>
          <w:b w:val="0"/>
          <w:bCs/>
          <w:color w:val="auto"/>
          <w:sz w:val="24"/>
          <w:szCs w:val="24"/>
          <w:highlight w:val="none"/>
        </w:rPr>
        <w:t>自行编制。）</w:t>
      </w:r>
      <w:bookmarkEnd w:id="373"/>
    </w:p>
    <w:p>
      <w:pPr>
        <w:spacing w:line="360" w:lineRule="auto"/>
        <w:jc w:val="center"/>
        <w:outlineLvl w:val="0"/>
        <w:rPr>
          <w:rFonts w:hint="eastAsia" w:ascii="宋体" w:hAnsi="宋体"/>
          <w:b/>
          <w:color w:val="auto"/>
          <w:sz w:val="32"/>
          <w:szCs w:val="32"/>
          <w:highlight w:val="none"/>
        </w:rPr>
      </w:pPr>
      <w:bookmarkStart w:id="374" w:name="_Toc11736"/>
      <w:bookmarkStart w:id="375" w:name="_Toc16269"/>
      <w:bookmarkStart w:id="376" w:name="_Toc29959"/>
      <w:r>
        <w:rPr>
          <w:rFonts w:hint="eastAsia" w:ascii="宋体" w:hAnsi="宋体"/>
          <w:b/>
          <w:color w:val="auto"/>
          <w:sz w:val="32"/>
          <w:szCs w:val="32"/>
          <w:highlight w:val="none"/>
        </w:rPr>
        <w:t>第五部分 业绩证明材料</w:t>
      </w:r>
      <w:bookmarkEnd w:id="374"/>
      <w:bookmarkEnd w:id="375"/>
      <w:bookmarkEnd w:id="376"/>
    </w:p>
    <w:p>
      <w:pPr>
        <w:ind w:firstLine="420" w:firstLineChars="200"/>
        <w:rPr>
          <w:rFonts w:hint="eastAsia" w:ascii="宋体" w:hAnsi="宋体"/>
          <w:color w:val="auto"/>
          <w:szCs w:val="21"/>
          <w:highlight w:val="none"/>
        </w:rPr>
      </w:pPr>
    </w:p>
    <w:bookmarkEnd w:id="355"/>
    <w:bookmarkEnd w:id="356"/>
    <w:bookmarkEnd w:id="357"/>
    <w:bookmarkEnd w:id="358"/>
    <w:bookmarkEnd w:id="359"/>
    <w:bookmarkEnd w:id="360"/>
    <w:bookmarkEnd w:id="361"/>
    <w:bookmarkEnd w:id="362"/>
    <w:bookmarkEnd w:id="363"/>
    <w:bookmarkEnd w:id="364"/>
    <w:p>
      <w:pPr>
        <w:numPr>
          <w:ilvl w:val="0"/>
          <w:numId w:val="0"/>
        </w:numPr>
        <w:spacing w:line="360" w:lineRule="auto"/>
        <w:jc w:val="center"/>
        <w:outlineLvl w:val="0"/>
        <w:rPr>
          <w:rFonts w:hint="eastAsia" w:ascii="宋体" w:hAnsi="宋体"/>
          <w:b/>
          <w:color w:val="auto"/>
          <w:sz w:val="32"/>
          <w:szCs w:val="32"/>
          <w:highlight w:val="none"/>
        </w:rPr>
      </w:pPr>
      <w:bookmarkStart w:id="377" w:name="_Toc6944"/>
      <w:bookmarkStart w:id="378" w:name="_Toc25894"/>
      <w:bookmarkStart w:id="379" w:name="_Toc269407697"/>
      <w:bookmarkStart w:id="380" w:name="_Toc238899457"/>
      <w:bookmarkStart w:id="381" w:name="_Toc293999390"/>
      <w:bookmarkStart w:id="382" w:name="_Toc233636522"/>
      <w:bookmarkStart w:id="383" w:name="_Toc250572338"/>
      <w:bookmarkStart w:id="384" w:name="_Toc260140537"/>
      <w:bookmarkStart w:id="385" w:name="_Toc233636381"/>
      <w:bookmarkStart w:id="386" w:name="_Toc233636195"/>
      <w:bookmarkStart w:id="387" w:name="_Toc232673698"/>
      <w:bookmarkStart w:id="388" w:name="_Toc235544721"/>
      <w:bookmarkStart w:id="389" w:name="_Toc233636433"/>
      <w:bookmarkStart w:id="390" w:name="_Toc293999505"/>
      <w:bookmarkStart w:id="391" w:name="_Toc269407904"/>
      <w:bookmarkStart w:id="392" w:name="_Toc233636471"/>
      <w:r>
        <w:rPr>
          <w:rFonts w:hint="eastAsia" w:ascii="宋体" w:hAnsi="宋体"/>
          <w:b/>
          <w:color w:val="auto"/>
          <w:sz w:val="32"/>
          <w:szCs w:val="32"/>
          <w:highlight w:val="none"/>
          <w:lang w:val="en-US" w:eastAsia="zh-CN"/>
        </w:rPr>
        <w:br w:type="page"/>
      </w:r>
      <w:bookmarkStart w:id="393" w:name="_Toc2575"/>
      <w:r>
        <w:rPr>
          <w:rFonts w:hint="eastAsia" w:ascii="宋体" w:hAnsi="宋体"/>
          <w:b/>
          <w:color w:val="auto"/>
          <w:sz w:val="32"/>
          <w:szCs w:val="32"/>
          <w:highlight w:val="none"/>
          <w:lang w:val="en-US" w:eastAsia="zh-CN"/>
        </w:rPr>
        <w:t>第六部分 售后服务承诺及培训计划</w:t>
      </w:r>
      <w:bookmarkEnd w:id="377"/>
      <w:bookmarkEnd w:id="378"/>
      <w:bookmarkEnd w:id="393"/>
    </w:p>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(本部分内容由</w:t>
      </w:r>
      <w:r>
        <w:rPr>
          <w:rFonts w:hint="eastAsia" w:ascii="宋体" w:hAnsi="宋体"/>
          <w:color w:val="auto"/>
          <w:szCs w:val="21"/>
          <w:highlight w:val="none"/>
          <w:lang w:val="en-US" w:eastAsia="zh-CN"/>
        </w:rPr>
        <w:t>投标单位</w:t>
      </w:r>
      <w:r>
        <w:rPr>
          <w:rFonts w:hint="eastAsia" w:ascii="宋体" w:hAnsi="宋体"/>
          <w:color w:val="auto"/>
          <w:szCs w:val="21"/>
          <w:highlight w:val="none"/>
        </w:rPr>
        <w:t>自行编制)</w:t>
      </w:r>
    </w:p>
    <w:p>
      <w:pPr>
        <w:pStyle w:val="7"/>
        <w:rPr>
          <w:rFonts w:hint="eastAsia"/>
          <w:color w:val="auto"/>
          <w:highlight w:val="none"/>
        </w:rPr>
      </w:pPr>
    </w:p>
    <w:p>
      <w:pPr>
        <w:numPr>
          <w:ilvl w:val="0"/>
          <w:numId w:val="3"/>
        </w:numPr>
        <w:spacing w:line="360" w:lineRule="auto"/>
        <w:jc w:val="center"/>
        <w:outlineLvl w:val="0"/>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bookmarkStart w:id="394" w:name="_Toc18626"/>
      <w:bookmarkStart w:id="395" w:name="_Toc18502"/>
      <w:bookmarkStart w:id="396" w:name="_Toc31147"/>
      <w:r>
        <w:rPr>
          <w:rFonts w:hint="eastAsia" w:ascii="宋体" w:hAnsi="宋体"/>
          <w:b/>
          <w:color w:val="auto"/>
          <w:sz w:val="32"/>
          <w:szCs w:val="32"/>
          <w:highlight w:val="none"/>
          <w:lang w:val="en-US" w:eastAsia="zh-CN"/>
        </w:rPr>
        <w:t>商务条款偏离表</w:t>
      </w:r>
      <w:bookmarkEnd w:id="394"/>
      <w:bookmarkEnd w:id="395"/>
      <w:bookmarkEnd w:id="396"/>
    </w:p>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(本部分内容由</w:t>
      </w:r>
      <w:r>
        <w:rPr>
          <w:rFonts w:hint="eastAsia" w:ascii="宋体" w:hAnsi="宋体"/>
          <w:color w:val="auto"/>
          <w:szCs w:val="21"/>
          <w:highlight w:val="none"/>
          <w:lang w:val="en-US" w:eastAsia="zh-CN"/>
        </w:rPr>
        <w:t>投标单位</w:t>
      </w:r>
      <w:r>
        <w:rPr>
          <w:rFonts w:hint="eastAsia" w:ascii="宋体" w:hAnsi="宋体"/>
          <w:color w:val="auto"/>
          <w:szCs w:val="21"/>
          <w:highlight w:val="none"/>
        </w:rPr>
        <w:t>自行编制)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38"/>
        <w:gridCol w:w="2160"/>
        <w:gridCol w:w="157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6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序号</w:t>
            </w:r>
          </w:p>
        </w:tc>
        <w:tc>
          <w:tcPr>
            <w:tcW w:w="2338"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招标文件商务要求</w:t>
            </w:r>
          </w:p>
        </w:tc>
        <w:tc>
          <w:tcPr>
            <w:tcW w:w="2160"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投标文件商务响应</w:t>
            </w:r>
          </w:p>
        </w:tc>
        <w:tc>
          <w:tcPr>
            <w:tcW w:w="1575"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偏离</w:t>
            </w:r>
          </w:p>
        </w:tc>
        <w:tc>
          <w:tcPr>
            <w:tcW w:w="189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6" w:type="dxa"/>
            <w:noWrap w:val="0"/>
            <w:vAlign w:val="top"/>
          </w:tcPr>
          <w:p>
            <w:pPr>
              <w:adjustRightInd w:val="0"/>
              <w:snapToGrid w:val="0"/>
              <w:spacing w:line="360" w:lineRule="auto"/>
              <w:ind w:left="342"/>
              <w:rPr>
                <w:rFonts w:hint="eastAsia" w:ascii="宋体" w:hAnsi="宋体"/>
                <w:color w:val="auto"/>
                <w:szCs w:val="21"/>
                <w:highlight w:val="none"/>
              </w:rPr>
            </w:pPr>
          </w:p>
        </w:tc>
        <w:tc>
          <w:tcPr>
            <w:tcW w:w="2338" w:type="dxa"/>
            <w:noWrap w:val="0"/>
            <w:vAlign w:val="top"/>
          </w:tcPr>
          <w:p>
            <w:pPr>
              <w:adjustRightInd w:val="0"/>
              <w:snapToGrid w:val="0"/>
              <w:spacing w:line="360" w:lineRule="auto"/>
              <w:ind w:left="342"/>
              <w:rPr>
                <w:rFonts w:hint="eastAsia" w:ascii="宋体" w:hAnsi="宋体"/>
                <w:color w:val="auto"/>
                <w:szCs w:val="21"/>
                <w:highlight w:val="none"/>
              </w:rPr>
            </w:pPr>
          </w:p>
        </w:tc>
        <w:tc>
          <w:tcPr>
            <w:tcW w:w="2160" w:type="dxa"/>
            <w:noWrap w:val="0"/>
            <w:vAlign w:val="top"/>
          </w:tcPr>
          <w:p>
            <w:pPr>
              <w:adjustRightInd w:val="0"/>
              <w:snapToGrid w:val="0"/>
              <w:spacing w:line="360" w:lineRule="auto"/>
              <w:ind w:left="342"/>
              <w:rPr>
                <w:rFonts w:hint="eastAsia" w:ascii="宋体" w:hAnsi="宋体"/>
                <w:color w:val="auto"/>
                <w:szCs w:val="21"/>
                <w:highlight w:val="none"/>
              </w:rPr>
            </w:pPr>
          </w:p>
        </w:tc>
        <w:tc>
          <w:tcPr>
            <w:tcW w:w="1575" w:type="dxa"/>
            <w:noWrap w:val="0"/>
            <w:vAlign w:val="top"/>
          </w:tcPr>
          <w:p>
            <w:pPr>
              <w:adjustRightInd w:val="0"/>
              <w:snapToGrid w:val="0"/>
              <w:spacing w:line="360" w:lineRule="auto"/>
              <w:ind w:left="342"/>
              <w:rPr>
                <w:rFonts w:hint="eastAsia" w:ascii="宋体" w:hAnsi="宋体"/>
                <w:color w:val="auto"/>
                <w:szCs w:val="21"/>
                <w:highlight w:val="none"/>
              </w:rPr>
            </w:pPr>
          </w:p>
        </w:tc>
        <w:tc>
          <w:tcPr>
            <w:tcW w:w="1896" w:type="dxa"/>
            <w:noWrap w:val="0"/>
            <w:vAlign w:val="top"/>
          </w:tcPr>
          <w:p>
            <w:pPr>
              <w:adjustRightInd w:val="0"/>
              <w:snapToGrid w:val="0"/>
              <w:spacing w:line="360" w:lineRule="auto"/>
              <w:ind w:left="342"/>
              <w:rPr>
                <w:rFonts w:hint="eastAsia" w:ascii="宋体" w:hAnsi="宋体"/>
                <w:color w:val="auto"/>
                <w:szCs w:val="21"/>
                <w:highlight w:val="none"/>
              </w:rPr>
            </w:pPr>
          </w:p>
        </w:tc>
      </w:tr>
    </w:tbl>
    <w:p>
      <w:pPr>
        <w:pStyle w:val="2"/>
        <w:rPr>
          <w:rFonts w:hint="eastAsia"/>
          <w:lang w:eastAsia="zh-CN"/>
        </w:rPr>
      </w:pPr>
    </w:p>
    <w:p>
      <w:pPr>
        <w:pStyle w:val="2"/>
        <w:rPr>
          <w:rFonts w:hint="eastAsia"/>
          <w:b/>
          <w:bCs/>
          <w:sz w:val="21"/>
          <w:szCs w:val="16"/>
        </w:rPr>
      </w:pPr>
      <w:r>
        <w:rPr>
          <w:rFonts w:hint="eastAsia"/>
          <w:b/>
          <w:bCs/>
          <w:sz w:val="21"/>
          <w:szCs w:val="16"/>
          <w:lang w:eastAsia="zh-CN"/>
        </w:rPr>
        <w:t>注：</w:t>
      </w:r>
      <w:r>
        <w:rPr>
          <w:rFonts w:hint="eastAsia"/>
          <w:b/>
          <w:bCs/>
          <w:sz w:val="21"/>
          <w:szCs w:val="16"/>
        </w:rPr>
        <w:t>本表只填写</w:t>
      </w:r>
      <w:r>
        <w:rPr>
          <w:rFonts w:hint="eastAsia"/>
          <w:b/>
          <w:bCs/>
          <w:sz w:val="21"/>
          <w:szCs w:val="16"/>
          <w:lang w:eastAsia="zh-CN"/>
        </w:rPr>
        <w:t>投标</w:t>
      </w:r>
      <w:r>
        <w:rPr>
          <w:rFonts w:hint="eastAsia"/>
          <w:b/>
          <w:bCs/>
          <w:sz w:val="21"/>
          <w:szCs w:val="16"/>
        </w:rPr>
        <w:t>文件中与</w:t>
      </w:r>
      <w:r>
        <w:rPr>
          <w:rFonts w:hint="eastAsia"/>
          <w:b/>
          <w:bCs/>
          <w:sz w:val="21"/>
          <w:szCs w:val="16"/>
          <w:lang w:eastAsia="zh-CN"/>
        </w:rPr>
        <w:t>招标</w:t>
      </w:r>
      <w:r>
        <w:rPr>
          <w:rFonts w:hint="eastAsia"/>
          <w:b/>
          <w:bCs/>
          <w:sz w:val="21"/>
          <w:szCs w:val="16"/>
        </w:rPr>
        <w:t>文件有偏离（包括正偏离和负偏离）的内容，</w:t>
      </w:r>
      <w:r>
        <w:rPr>
          <w:rFonts w:hint="eastAsia"/>
          <w:b/>
          <w:bCs/>
          <w:sz w:val="21"/>
          <w:szCs w:val="16"/>
          <w:lang w:eastAsia="zh-CN"/>
        </w:rPr>
        <w:t>投标</w:t>
      </w:r>
      <w:r>
        <w:rPr>
          <w:rFonts w:hint="eastAsia"/>
          <w:b/>
          <w:bCs/>
          <w:sz w:val="21"/>
          <w:szCs w:val="16"/>
        </w:rPr>
        <w:t>文件中商务响应与</w:t>
      </w:r>
      <w:r>
        <w:rPr>
          <w:rFonts w:hint="eastAsia"/>
          <w:b/>
          <w:bCs/>
          <w:sz w:val="21"/>
          <w:szCs w:val="16"/>
          <w:lang w:eastAsia="zh-CN"/>
        </w:rPr>
        <w:t>招标</w:t>
      </w:r>
      <w:r>
        <w:rPr>
          <w:rFonts w:hint="eastAsia"/>
          <w:b/>
          <w:bCs/>
          <w:sz w:val="21"/>
          <w:szCs w:val="16"/>
        </w:rPr>
        <w:t>文件要求完全一致的，不用在此表中列出，但必须提交空白表。</w:t>
      </w:r>
    </w:p>
    <w:p>
      <w:pPr>
        <w:spacing w:line="480" w:lineRule="auto"/>
        <w:rPr>
          <w:rFonts w:ascii="宋体" w:hAnsi="宋体"/>
          <w:color w:val="auto"/>
          <w:szCs w:val="21"/>
          <w:highlight w:val="none"/>
        </w:rPr>
      </w:pPr>
    </w:p>
    <w:p>
      <w:pPr>
        <w:spacing w:line="480" w:lineRule="auto"/>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w:t>
      </w:r>
      <w:r>
        <w:rPr>
          <w:rFonts w:hint="eastAsia" w:ascii="宋体" w:hAnsi="宋体"/>
          <w:color w:val="auto"/>
          <w:szCs w:val="21"/>
          <w:highlight w:val="none"/>
        </w:rPr>
        <w:t>单位</w:t>
      </w:r>
      <w:r>
        <w:rPr>
          <w:rFonts w:ascii="宋体" w:hAnsi="宋体"/>
          <w:color w:val="auto"/>
          <w:szCs w:val="21"/>
          <w:highlight w:val="none"/>
        </w:rPr>
        <w:t>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auto"/>
        <w:rPr>
          <w:rFonts w:hint="eastAsia" w:ascii="宋体" w:hAnsi="宋体"/>
          <w:color w:val="auto"/>
          <w:szCs w:val="21"/>
          <w:highlight w:val="none"/>
        </w:rPr>
      </w:pPr>
      <w:r>
        <w:rPr>
          <w:rFonts w:ascii="宋体" w:hAnsi="宋体"/>
          <w:color w:val="auto"/>
          <w:szCs w:val="21"/>
          <w:highlight w:val="none"/>
        </w:rPr>
        <w:t>法定代表人或其授权委托人</w:t>
      </w:r>
      <w:r>
        <w:rPr>
          <w:rFonts w:hint="eastAsia" w:ascii="宋体" w:hAnsi="宋体"/>
          <w:color w:val="auto"/>
          <w:szCs w:val="21"/>
          <w:highlight w:val="none"/>
        </w:rPr>
        <w:t>（签字或盖章）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auto"/>
        <w:ind w:firstLine="5250" w:firstLineChars="25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360" w:lineRule="auto"/>
        <w:rPr>
          <w:rFonts w:hint="eastAsia" w:ascii="宋体" w:hAnsi="宋体"/>
          <w:color w:val="auto"/>
          <w:sz w:val="24"/>
          <w:szCs w:val="24"/>
          <w:highlight w:val="none"/>
        </w:rPr>
      </w:pPr>
    </w:p>
    <w:p>
      <w:pPr>
        <w:spacing w:line="360" w:lineRule="auto"/>
        <w:jc w:val="center"/>
        <w:rPr>
          <w:rFonts w:hint="eastAsia" w:ascii="宋体" w:hAnsi="宋体"/>
          <w:color w:val="auto"/>
          <w:sz w:val="24"/>
          <w:szCs w:val="24"/>
          <w:highlight w:val="none"/>
        </w:rPr>
      </w:pPr>
    </w:p>
    <w:p>
      <w:pPr>
        <w:spacing w:line="360" w:lineRule="auto"/>
        <w:jc w:val="center"/>
        <w:rPr>
          <w:rFonts w:hint="eastAsia" w:ascii="宋体" w:hAnsi="宋体"/>
          <w:color w:val="auto"/>
          <w:sz w:val="24"/>
          <w:szCs w:val="24"/>
          <w:highlight w:val="none"/>
        </w:rPr>
      </w:pPr>
    </w:p>
    <w:p>
      <w:pPr>
        <w:spacing w:line="360" w:lineRule="auto"/>
        <w:jc w:val="center"/>
        <w:rPr>
          <w:rFonts w:hint="eastAsia" w:ascii="宋体" w:hAnsi="宋体"/>
          <w:color w:val="auto"/>
          <w:sz w:val="24"/>
          <w:szCs w:val="24"/>
          <w:highlight w:val="none"/>
        </w:rPr>
      </w:pPr>
    </w:p>
    <w:p>
      <w:pPr>
        <w:spacing w:line="360" w:lineRule="auto"/>
        <w:jc w:val="center"/>
        <w:rPr>
          <w:rFonts w:hint="eastAsia" w:ascii="宋体" w:hAnsi="宋体"/>
          <w:color w:val="auto"/>
          <w:sz w:val="24"/>
          <w:szCs w:val="24"/>
          <w:highlight w:val="none"/>
        </w:rPr>
      </w:pPr>
    </w:p>
    <w:p>
      <w:pPr>
        <w:numPr>
          <w:ilvl w:val="0"/>
          <w:numId w:val="0"/>
        </w:numPr>
        <w:spacing w:line="360" w:lineRule="auto"/>
        <w:jc w:val="center"/>
        <w:outlineLvl w:val="0"/>
        <w:rPr>
          <w:rFonts w:ascii="宋体" w:hAnsi="宋体"/>
          <w:color w:val="auto"/>
          <w:highlight w:val="none"/>
        </w:rPr>
      </w:pPr>
      <w:bookmarkStart w:id="397" w:name="_Toc5833"/>
      <w:bookmarkStart w:id="398" w:name="_Toc16554"/>
      <w:bookmarkStart w:id="399" w:name="_Toc14314"/>
      <w:bookmarkStart w:id="400" w:name="_Toc2981"/>
      <w:r>
        <w:rPr>
          <w:rFonts w:hint="eastAsia" w:ascii="宋体" w:hAnsi="宋体"/>
          <w:b/>
          <w:color w:val="auto"/>
          <w:sz w:val="32"/>
          <w:szCs w:val="32"/>
          <w:highlight w:val="none"/>
          <w:lang w:val="en-US" w:eastAsia="zh-CN"/>
        </w:rPr>
        <w:t>第八部分  投标产品说明及其他</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7"/>
      <w:bookmarkEnd w:id="398"/>
      <w:bookmarkEnd w:id="399"/>
      <w:bookmarkEnd w:id="400"/>
    </w:p>
    <w:p>
      <w:pPr>
        <w:jc w:val="center"/>
        <w:rPr>
          <w:rFonts w:hint="eastAsia" w:ascii="宋体" w:hAnsi="宋体"/>
          <w:color w:val="auto"/>
          <w:szCs w:val="21"/>
          <w:highlight w:val="none"/>
        </w:rPr>
      </w:pPr>
      <w:r>
        <w:rPr>
          <w:rFonts w:hint="eastAsia" w:ascii="宋体" w:hAnsi="宋体"/>
          <w:color w:val="auto"/>
          <w:szCs w:val="21"/>
          <w:highlight w:val="none"/>
        </w:rPr>
        <w:t>（本部分内容由</w:t>
      </w:r>
      <w:r>
        <w:rPr>
          <w:rFonts w:hint="eastAsia" w:ascii="宋体" w:hAnsi="宋体"/>
          <w:color w:val="auto"/>
          <w:szCs w:val="21"/>
          <w:highlight w:val="none"/>
          <w:lang w:val="en-US" w:eastAsia="zh-CN"/>
        </w:rPr>
        <w:t>投标单位</w:t>
      </w:r>
      <w:r>
        <w:rPr>
          <w:rFonts w:hint="eastAsia" w:ascii="宋体" w:hAnsi="宋体"/>
          <w:color w:val="auto"/>
          <w:szCs w:val="21"/>
          <w:highlight w:val="none"/>
        </w:rPr>
        <w:t>自行编制）</w:t>
      </w:r>
    </w:p>
    <w:p>
      <w:pPr>
        <w:rPr>
          <w:rFonts w:hint="eastAsia" w:ascii="宋体" w:hAnsi="宋体"/>
          <w:color w:val="auto"/>
          <w:highlight w:val="none"/>
        </w:rPr>
      </w:pPr>
    </w:p>
    <w:p>
      <w:pPr>
        <w:spacing w:line="360" w:lineRule="auto"/>
        <w:ind w:firstLine="420" w:firstLineChars="200"/>
        <w:rPr>
          <w:rFonts w:hint="eastAsia" w:ascii="宋体" w:hAnsi="宋体"/>
          <w:b/>
          <w:color w:val="auto"/>
          <w:highlight w:val="none"/>
        </w:rPr>
      </w:pPr>
    </w:p>
    <w:p>
      <w:pPr>
        <w:spacing w:line="480" w:lineRule="auto"/>
        <w:rPr>
          <w:rFonts w:ascii="宋体" w:hAnsi="宋体"/>
          <w:color w:val="auto"/>
          <w:sz w:val="24"/>
          <w:szCs w:val="24"/>
          <w:highlight w:val="none"/>
        </w:rPr>
      </w:pPr>
    </w:p>
    <w:p>
      <w:pPr>
        <w:tabs>
          <w:tab w:val="left" w:pos="8364"/>
        </w:tabs>
        <w:snapToGrid w:val="0"/>
        <w:spacing w:line="360" w:lineRule="auto"/>
        <w:ind w:right="-58"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      </w:t>
      </w:r>
    </w:p>
    <w:p>
      <w:pPr>
        <w:spacing w:line="480" w:lineRule="auto"/>
        <w:ind w:firstLine="6000" w:firstLineChars="2500"/>
        <w:rPr>
          <w:rFonts w:ascii="宋体" w:hAnsi="宋体"/>
          <w:color w:val="auto"/>
          <w:sz w:val="24"/>
          <w:szCs w:val="24"/>
          <w:highlight w:val="none"/>
        </w:rPr>
      </w:pPr>
    </w:p>
    <w:p>
      <w:pPr>
        <w:spacing w:line="360" w:lineRule="auto"/>
        <w:rPr>
          <w:rFonts w:hint="eastAsia" w:ascii="宋体" w:hAnsi="宋体"/>
          <w:color w:val="auto"/>
          <w:highlight w:val="none"/>
        </w:rPr>
      </w:pPr>
    </w:p>
    <w:p/>
    <w:sectPr>
      <w:pgSz w:w="11907" w:h="16840"/>
      <w:pgMar w:top="1247" w:right="1644" w:bottom="1247" w:left="1644" w:header="680" w:footer="51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21"/>
      </w:rPr>
    </w:pPr>
    <w:r>
      <w:fldChar w:fldCharType="begin"/>
    </w:r>
    <w:r>
      <w:rPr>
        <w:rStyle w:val="21"/>
      </w:rPr>
      <w:instrText xml:space="preserve">PAGE  </w:instrText>
    </w:r>
    <w:r>
      <w:fldChar w:fldCharType="separate"/>
    </w:r>
    <w:r>
      <w:rPr>
        <w:rStyle w:val="21"/>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sz w:val="15"/>
        <w:szCs w:val="15"/>
      </w:rPr>
    </w:pPr>
    <w:r>
      <w:rPr>
        <w:rFonts w:hint="eastAsia" w:ascii="宋体" w:hAnsi="宋体"/>
        <w:b/>
        <w:sz w:val="15"/>
        <w:szCs w:val="15"/>
      </w:rPr>
      <w:t xml:space="preserve"> </w:t>
    </w:r>
  </w:p>
  <w:p>
    <w:pPr>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E5DA0"/>
    <w:multiLevelType w:val="singleLevel"/>
    <w:tmpl w:val="140E5DA0"/>
    <w:lvl w:ilvl="0" w:tentative="0">
      <w:start w:val="7"/>
      <w:numFmt w:val="chineseCounting"/>
      <w:suff w:val="space"/>
      <w:lvlText w:val="第%1部分"/>
      <w:lvlJc w:val="left"/>
      <w:rPr>
        <w:rFonts w:hint="eastAsia"/>
      </w:rPr>
    </w:lvl>
  </w:abstractNum>
  <w:abstractNum w:abstractNumId="1">
    <w:nsid w:val="37A30D89"/>
    <w:multiLevelType w:val="singleLevel"/>
    <w:tmpl w:val="37A30D89"/>
    <w:lvl w:ilvl="0" w:tentative="0">
      <w:start w:val="10"/>
      <w:numFmt w:val="decimal"/>
      <w:lvlText w:val="%1."/>
      <w:lvlJc w:val="left"/>
      <w:pPr>
        <w:tabs>
          <w:tab w:val="left" w:pos="312"/>
        </w:tabs>
      </w:pPr>
    </w:lvl>
  </w:abstractNum>
  <w:abstractNum w:abstractNumId="2">
    <w:nsid w:val="58EC6CA9"/>
    <w:multiLevelType w:val="multilevel"/>
    <w:tmpl w:val="58EC6CA9"/>
    <w:lvl w:ilvl="0" w:tentative="0">
      <w:start w:val="1"/>
      <w:numFmt w:val="chineseCounting"/>
      <w:suff w:val="nothing"/>
      <w:lvlText w:val="第%1条　"/>
      <w:lvlJc w:val="left"/>
      <w:pPr>
        <w:tabs>
          <w:tab w:val="left" w:pos="0"/>
        </w:tabs>
        <w:ind w:left="0" w:firstLine="402"/>
      </w:pPr>
      <w:rPr>
        <w:rFonts w:hint="eastAsia" w:ascii="宋体" w:hAnsi="宋体" w:eastAsia="宋体" w:cs="宋体"/>
        <w:sz w:val="21"/>
        <w:szCs w:val="21"/>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505EE"/>
    <w:rsid w:val="000975D1"/>
    <w:rsid w:val="015D58BE"/>
    <w:rsid w:val="016D6AC7"/>
    <w:rsid w:val="01714809"/>
    <w:rsid w:val="01C25065"/>
    <w:rsid w:val="024E4B4B"/>
    <w:rsid w:val="02663C42"/>
    <w:rsid w:val="02D84414"/>
    <w:rsid w:val="034F2928"/>
    <w:rsid w:val="03DF1134"/>
    <w:rsid w:val="03F248A9"/>
    <w:rsid w:val="03F70B81"/>
    <w:rsid w:val="0422003D"/>
    <w:rsid w:val="0430275A"/>
    <w:rsid w:val="04485709"/>
    <w:rsid w:val="046425BE"/>
    <w:rsid w:val="05701A82"/>
    <w:rsid w:val="05EC0902"/>
    <w:rsid w:val="05F01509"/>
    <w:rsid w:val="06147E59"/>
    <w:rsid w:val="06886587"/>
    <w:rsid w:val="06954AF6"/>
    <w:rsid w:val="06B225CD"/>
    <w:rsid w:val="06D21D6E"/>
    <w:rsid w:val="07261389"/>
    <w:rsid w:val="07310CAE"/>
    <w:rsid w:val="075C748B"/>
    <w:rsid w:val="09214893"/>
    <w:rsid w:val="09354C4B"/>
    <w:rsid w:val="09B1363E"/>
    <w:rsid w:val="09C82713"/>
    <w:rsid w:val="09CD44CE"/>
    <w:rsid w:val="09CD5F88"/>
    <w:rsid w:val="09F47D86"/>
    <w:rsid w:val="0B7A69B0"/>
    <w:rsid w:val="0BDC5030"/>
    <w:rsid w:val="0C3457F4"/>
    <w:rsid w:val="0CB91AD0"/>
    <w:rsid w:val="0CBC3E25"/>
    <w:rsid w:val="0CBE59CB"/>
    <w:rsid w:val="0CDB7176"/>
    <w:rsid w:val="0E7241C8"/>
    <w:rsid w:val="0EF2058B"/>
    <w:rsid w:val="0F0B5B0E"/>
    <w:rsid w:val="0F1D38DB"/>
    <w:rsid w:val="0F780BAF"/>
    <w:rsid w:val="0F790775"/>
    <w:rsid w:val="0F846560"/>
    <w:rsid w:val="0F982A30"/>
    <w:rsid w:val="102121D4"/>
    <w:rsid w:val="10596B94"/>
    <w:rsid w:val="106F16EB"/>
    <w:rsid w:val="10A544F9"/>
    <w:rsid w:val="10C20BDE"/>
    <w:rsid w:val="11273BC1"/>
    <w:rsid w:val="118966C6"/>
    <w:rsid w:val="1196659F"/>
    <w:rsid w:val="11A43EE4"/>
    <w:rsid w:val="11E96204"/>
    <w:rsid w:val="11EC530F"/>
    <w:rsid w:val="11F706DC"/>
    <w:rsid w:val="120548C1"/>
    <w:rsid w:val="12097BB6"/>
    <w:rsid w:val="122424DD"/>
    <w:rsid w:val="124A52CF"/>
    <w:rsid w:val="12B26A30"/>
    <w:rsid w:val="132E663C"/>
    <w:rsid w:val="13A22600"/>
    <w:rsid w:val="143811B7"/>
    <w:rsid w:val="14434ED8"/>
    <w:rsid w:val="149363ED"/>
    <w:rsid w:val="14D519D8"/>
    <w:rsid w:val="156E6427"/>
    <w:rsid w:val="16027CCE"/>
    <w:rsid w:val="16A21E81"/>
    <w:rsid w:val="174F5A2E"/>
    <w:rsid w:val="17A821AF"/>
    <w:rsid w:val="18C9062F"/>
    <w:rsid w:val="19445F08"/>
    <w:rsid w:val="198A574B"/>
    <w:rsid w:val="1A3911B5"/>
    <w:rsid w:val="1A3A4482"/>
    <w:rsid w:val="1A55661F"/>
    <w:rsid w:val="1A6B57F9"/>
    <w:rsid w:val="1B783377"/>
    <w:rsid w:val="1BA31F7E"/>
    <w:rsid w:val="1BC670A8"/>
    <w:rsid w:val="1C2748B8"/>
    <w:rsid w:val="1CDE0144"/>
    <w:rsid w:val="1D291FE4"/>
    <w:rsid w:val="1D6B6159"/>
    <w:rsid w:val="1DE63A32"/>
    <w:rsid w:val="1E05210A"/>
    <w:rsid w:val="1E385E8B"/>
    <w:rsid w:val="1E9F5B9A"/>
    <w:rsid w:val="1EEE4EA3"/>
    <w:rsid w:val="1F071EB1"/>
    <w:rsid w:val="1F32696E"/>
    <w:rsid w:val="1F5731CD"/>
    <w:rsid w:val="1FC87893"/>
    <w:rsid w:val="21F7330E"/>
    <w:rsid w:val="22155086"/>
    <w:rsid w:val="22284619"/>
    <w:rsid w:val="226D4721"/>
    <w:rsid w:val="229E0D7F"/>
    <w:rsid w:val="22E8286E"/>
    <w:rsid w:val="23005595"/>
    <w:rsid w:val="23362D65"/>
    <w:rsid w:val="238E2FC6"/>
    <w:rsid w:val="239A3798"/>
    <w:rsid w:val="23CB3F5C"/>
    <w:rsid w:val="242D4168"/>
    <w:rsid w:val="249C309C"/>
    <w:rsid w:val="24B03DFD"/>
    <w:rsid w:val="24C50845"/>
    <w:rsid w:val="261431EF"/>
    <w:rsid w:val="26207DC4"/>
    <w:rsid w:val="26C56794"/>
    <w:rsid w:val="274675A9"/>
    <w:rsid w:val="27AB3566"/>
    <w:rsid w:val="27E26D38"/>
    <w:rsid w:val="28243AD4"/>
    <w:rsid w:val="288927CE"/>
    <w:rsid w:val="294813D7"/>
    <w:rsid w:val="29804E7F"/>
    <w:rsid w:val="29AD64FA"/>
    <w:rsid w:val="29D33B2D"/>
    <w:rsid w:val="29D357B2"/>
    <w:rsid w:val="2A331152"/>
    <w:rsid w:val="2A503127"/>
    <w:rsid w:val="2AB47391"/>
    <w:rsid w:val="2ABD32F9"/>
    <w:rsid w:val="2AE95A99"/>
    <w:rsid w:val="2BCA4992"/>
    <w:rsid w:val="2C061A8E"/>
    <w:rsid w:val="2C5D75B5"/>
    <w:rsid w:val="2C7147BB"/>
    <w:rsid w:val="2CA156F3"/>
    <w:rsid w:val="2CAF6062"/>
    <w:rsid w:val="2D1A7526"/>
    <w:rsid w:val="2D6548BB"/>
    <w:rsid w:val="2D714D1A"/>
    <w:rsid w:val="2D79041E"/>
    <w:rsid w:val="2DA03BFD"/>
    <w:rsid w:val="2DBE4083"/>
    <w:rsid w:val="2DCB0C8D"/>
    <w:rsid w:val="2DE7182C"/>
    <w:rsid w:val="2E057F04"/>
    <w:rsid w:val="2E2C5491"/>
    <w:rsid w:val="2EF16117"/>
    <w:rsid w:val="2F285C58"/>
    <w:rsid w:val="2F3C1AED"/>
    <w:rsid w:val="2F5B04CC"/>
    <w:rsid w:val="30201025"/>
    <w:rsid w:val="303F1F47"/>
    <w:rsid w:val="30923A9E"/>
    <w:rsid w:val="30AA3DBF"/>
    <w:rsid w:val="30C7362A"/>
    <w:rsid w:val="31085D41"/>
    <w:rsid w:val="3127200B"/>
    <w:rsid w:val="31701B38"/>
    <w:rsid w:val="31BC19F6"/>
    <w:rsid w:val="32790DF5"/>
    <w:rsid w:val="32931F82"/>
    <w:rsid w:val="32E57DDF"/>
    <w:rsid w:val="334C3C43"/>
    <w:rsid w:val="33C030A8"/>
    <w:rsid w:val="33F22A19"/>
    <w:rsid w:val="340A0022"/>
    <w:rsid w:val="34313801"/>
    <w:rsid w:val="346A286F"/>
    <w:rsid w:val="34777F6D"/>
    <w:rsid w:val="35040F15"/>
    <w:rsid w:val="3518676F"/>
    <w:rsid w:val="353C2DD3"/>
    <w:rsid w:val="36285839"/>
    <w:rsid w:val="365C5755"/>
    <w:rsid w:val="366854D4"/>
    <w:rsid w:val="368816D2"/>
    <w:rsid w:val="369E3CBA"/>
    <w:rsid w:val="38140436"/>
    <w:rsid w:val="38175933"/>
    <w:rsid w:val="382D2531"/>
    <w:rsid w:val="387B329C"/>
    <w:rsid w:val="389F3E30"/>
    <w:rsid w:val="391D25A6"/>
    <w:rsid w:val="39607482"/>
    <w:rsid w:val="397A54B6"/>
    <w:rsid w:val="3ADB44C6"/>
    <w:rsid w:val="3B561D9F"/>
    <w:rsid w:val="3B765F9D"/>
    <w:rsid w:val="3B906ACE"/>
    <w:rsid w:val="3BF97CCF"/>
    <w:rsid w:val="3C125CC6"/>
    <w:rsid w:val="3C2B3679"/>
    <w:rsid w:val="3C320282"/>
    <w:rsid w:val="3CC03974"/>
    <w:rsid w:val="3D6427BC"/>
    <w:rsid w:val="3DAF6888"/>
    <w:rsid w:val="3DC51466"/>
    <w:rsid w:val="3E41662A"/>
    <w:rsid w:val="3E636CAD"/>
    <w:rsid w:val="3E7336B7"/>
    <w:rsid w:val="3E8B6203"/>
    <w:rsid w:val="3EE53B65"/>
    <w:rsid w:val="3EED76A5"/>
    <w:rsid w:val="3F80563C"/>
    <w:rsid w:val="41456B3D"/>
    <w:rsid w:val="41885D55"/>
    <w:rsid w:val="41C754A0"/>
    <w:rsid w:val="41F941AD"/>
    <w:rsid w:val="42246753"/>
    <w:rsid w:val="422C5607"/>
    <w:rsid w:val="422F4422"/>
    <w:rsid w:val="4270062B"/>
    <w:rsid w:val="42DD0C61"/>
    <w:rsid w:val="434150E2"/>
    <w:rsid w:val="43761230"/>
    <w:rsid w:val="43914A7E"/>
    <w:rsid w:val="43B21B3C"/>
    <w:rsid w:val="43B73CDB"/>
    <w:rsid w:val="443F7874"/>
    <w:rsid w:val="44492EBF"/>
    <w:rsid w:val="44CE6AF4"/>
    <w:rsid w:val="44EF1F96"/>
    <w:rsid w:val="450B59A8"/>
    <w:rsid w:val="45442C68"/>
    <w:rsid w:val="45A65F0D"/>
    <w:rsid w:val="45AC15F9"/>
    <w:rsid w:val="45B94000"/>
    <w:rsid w:val="46853538"/>
    <w:rsid w:val="46DB3970"/>
    <w:rsid w:val="46E37B1A"/>
    <w:rsid w:val="47147A6D"/>
    <w:rsid w:val="476A5CE9"/>
    <w:rsid w:val="47723ABC"/>
    <w:rsid w:val="47C566B7"/>
    <w:rsid w:val="47CF7161"/>
    <w:rsid w:val="49064E04"/>
    <w:rsid w:val="4A174DEF"/>
    <w:rsid w:val="4A353E64"/>
    <w:rsid w:val="4ABA3F7E"/>
    <w:rsid w:val="4BDA60D4"/>
    <w:rsid w:val="4BDE32E2"/>
    <w:rsid w:val="4C52210E"/>
    <w:rsid w:val="4C6C3AF0"/>
    <w:rsid w:val="4C9C42C9"/>
    <w:rsid w:val="4CB70475"/>
    <w:rsid w:val="4CF3569F"/>
    <w:rsid w:val="4D3161C8"/>
    <w:rsid w:val="4DF27705"/>
    <w:rsid w:val="4DF74D1B"/>
    <w:rsid w:val="4E0538DC"/>
    <w:rsid w:val="4EE03A01"/>
    <w:rsid w:val="4F2D1492"/>
    <w:rsid w:val="4F544163"/>
    <w:rsid w:val="4F700C50"/>
    <w:rsid w:val="4F8D62E0"/>
    <w:rsid w:val="4FB1539E"/>
    <w:rsid w:val="503C4A06"/>
    <w:rsid w:val="507F724A"/>
    <w:rsid w:val="50C97D34"/>
    <w:rsid w:val="50CC6933"/>
    <w:rsid w:val="510628AA"/>
    <w:rsid w:val="51BC52AD"/>
    <w:rsid w:val="51BE2A88"/>
    <w:rsid w:val="51E23F34"/>
    <w:rsid w:val="51EE4687"/>
    <w:rsid w:val="528D4AEB"/>
    <w:rsid w:val="52934D6E"/>
    <w:rsid w:val="53130849"/>
    <w:rsid w:val="533646AD"/>
    <w:rsid w:val="53715570"/>
    <w:rsid w:val="53BC7578"/>
    <w:rsid w:val="53DB6E8D"/>
    <w:rsid w:val="540B32CF"/>
    <w:rsid w:val="54A656ED"/>
    <w:rsid w:val="559519EA"/>
    <w:rsid w:val="55A43730"/>
    <w:rsid w:val="564B654C"/>
    <w:rsid w:val="568A64CD"/>
    <w:rsid w:val="56AE26B6"/>
    <w:rsid w:val="56E1315A"/>
    <w:rsid w:val="57CF6BA0"/>
    <w:rsid w:val="580A7D41"/>
    <w:rsid w:val="583A6878"/>
    <w:rsid w:val="58761BF7"/>
    <w:rsid w:val="587F6039"/>
    <w:rsid w:val="588E44CE"/>
    <w:rsid w:val="59223735"/>
    <w:rsid w:val="59617E35"/>
    <w:rsid w:val="59DC0BCE"/>
    <w:rsid w:val="5A4D6ADC"/>
    <w:rsid w:val="5A64198B"/>
    <w:rsid w:val="5A664F3C"/>
    <w:rsid w:val="5A7840A0"/>
    <w:rsid w:val="5AA26EF6"/>
    <w:rsid w:val="5AD107C5"/>
    <w:rsid w:val="5B5A41D4"/>
    <w:rsid w:val="5B5C4D58"/>
    <w:rsid w:val="5B6F6839"/>
    <w:rsid w:val="5B9B1B71"/>
    <w:rsid w:val="5BC30D7D"/>
    <w:rsid w:val="5BD41AA1"/>
    <w:rsid w:val="5C2869E8"/>
    <w:rsid w:val="5C341831"/>
    <w:rsid w:val="5C9D1184"/>
    <w:rsid w:val="5CDB2B0E"/>
    <w:rsid w:val="5D35379A"/>
    <w:rsid w:val="5D457576"/>
    <w:rsid w:val="5D7947E6"/>
    <w:rsid w:val="5DFC351B"/>
    <w:rsid w:val="5EB00087"/>
    <w:rsid w:val="5FC54ED5"/>
    <w:rsid w:val="5FE15272"/>
    <w:rsid w:val="61480D1A"/>
    <w:rsid w:val="61A84387"/>
    <w:rsid w:val="61E84C4F"/>
    <w:rsid w:val="62AC45C9"/>
    <w:rsid w:val="62DB2F26"/>
    <w:rsid w:val="62E63D50"/>
    <w:rsid w:val="6318461A"/>
    <w:rsid w:val="63543E6F"/>
    <w:rsid w:val="63BC7380"/>
    <w:rsid w:val="63D36EC8"/>
    <w:rsid w:val="63D5167A"/>
    <w:rsid w:val="64F2596B"/>
    <w:rsid w:val="652E102B"/>
    <w:rsid w:val="65516FAF"/>
    <w:rsid w:val="6565261B"/>
    <w:rsid w:val="658B24C1"/>
    <w:rsid w:val="65B335D9"/>
    <w:rsid w:val="65B65064"/>
    <w:rsid w:val="66214BD4"/>
    <w:rsid w:val="668D2269"/>
    <w:rsid w:val="66D6776C"/>
    <w:rsid w:val="67730D88"/>
    <w:rsid w:val="67AB59E0"/>
    <w:rsid w:val="67E45EB9"/>
    <w:rsid w:val="680D05E1"/>
    <w:rsid w:val="6866415C"/>
    <w:rsid w:val="6953779A"/>
    <w:rsid w:val="699D6939"/>
    <w:rsid w:val="69CE0BCF"/>
    <w:rsid w:val="69EF1C7F"/>
    <w:rsid w:val="6A3B3D8A"/>
    <w:rsid w:val="6A4F0D15"/>
    <w:rsid w:val="6AD11522"/>
    <w:rsid w:val="6AE12BE7"/>
    <w:rsid w:val="6AED6588"/>
    <w:rsid w:val="6B1A5AC3"/>
    <w:rsid w:val="6B4F5D3F"/>
    <w:rsid w:val="6BF65EA5"/>
    <w:rsid w:val="6C16685D"/>
    <w:rsid w:val="6CC079EF"/>
    <w:rsid w:val="6D154D66"/>
    <w:rsid w:val="6D5543E4"/>
    <w:rsid w:val="6D6A3304"/>
    <w:rsid w:val="6DC347C2"/>
    <w:rsid w:val="6E340ADE"/>
    <w:rsid w:val="6EA13894"/>
    <w:rsid w:val="6EA445F4"/>
    <w:rsid w:val="6EE505EE"/>
    <w:rsid w:val="6F8D6E36"/>
    <w:rsid w:val="703D1E9A"/>
    <w:rsid w:val="704C7C8B"/>
    <w:rsid w:val="70702E6E"/>
    <w:rsid w:val="707F6064"/>
    <w:rsid w:val="7111076A"/>
    <w:rsid w:val="714D4ACF"/>
    <w:rsid w:val="71907AE4"/>
    <w:rsid w:val="71A50F85"/>
    <w:rsid w:val="71BB6372"/>
    <w:rsid w:val="71D15700"/>
    <w:rsid w:val="72910137"/>
    <w:rsid w:val="72930C07"/>
    <w:rsid w:val="72B2213B"/>
    <w:rsid w:val="72BF19FC"/>
    <w:rsid w:val="72F07E08"/>
    <w:rsid w:val="730D1EC5"/>
    <w:rsid w:val="74024296"/>
    <w:rsid w:val="74055B35"/>
    <w:rsid w:val="742823DD"/>
    <w:rsid w:val="7480340D"/>
    <w:rsid w:val="74B24BB1"/>
    <w:rsid w:val="75023E22"/>
    <w:rsid w:val="757D4A66"/>
    <w:rsid w:val="766D79C1"/>
    <w:rsid w:val="767C69D8"/>
    <w:rsid w:val="77242776"/>
    <w:rsid w:val="772A732D"/>
    <w:rsid w:val="772F2143"/>
    <w:rsid w:val="773547FB"/>
    <w:rsid w:val="77381D7D"/>
    <w:rsid w:val="77C225AF"/>
    <w:rsid w:val="78245241"/>
    <w:rsid w:val="785F39F8"/>
    <w:rsid w:val="78A84CE1"/>
    <w:rsid w:val="7914356B"/>
    <w:rsid w:val="79D9190A"/>
    <w:rsid w:val="7A247BD1"/>
    <w:rsid w:val="7B12272E"/>
    <w:rsid w:val="7B354728"/>
    <w:rsid w:val="7B9C0D04"/>
    <w:rsid w:val="7C5872F1"/>
    <w:rsid w:val="7D40198C"/>
    <w:rsid w:val="7DA168CE"/>
    <w:rsid w:val="7DD86068"/>
    <w:rsid w:val="7E981291"/>
    <w:rsid w:val="7EAB2D96"/>
    <w:rsid w:val="7ED05708"/>
    <w:rsid w:val="7EE54876"/>
    <w:rsid w:val="7EEA6053"/>
    <w:rsid w:val="7EF3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5"/>
    <w:basedOn w:val="1"/>
    <w:next w:val="1"/>
    <w:qFormat/>
    <w:uiPriority w:val="0"/>
    <w:pPr>
      <w:keepNext/>
      <w:keepLines/>
      <w:spacing w:before="280" w:after="290" w:line="372" w:lineRule="auto"/>
      <w:outlineLvl w:val="4"/>
    </w:pPr>
    <w:rPr>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7">
    <w:name w:val="Normal Indent"/>
    <w:basedOn w:val="1"/>
    <w:qFormat/>
    <w:uiPriority w:val="0"/>
    <w:pPr>
      <w:ind w:firstLine="420" w:firstLineChars="200"/>
    </w:pPr>
  </w:style>
  <w:style w:type="paragraph" w:styleId="8">
    <w:name w:val="Body Text Indent"/>
    <w:basedOn w:val="1"/>
    <w:qFormat/>
    <w:uiPriority w:val="0"/>
    <w:pPr>
      <w:spacing w:after="120" w:afterLines="0" w:afterAutospacing="0"/>
      <w:ind w:left="420" w:leftChars="200"/>
    </w:pPr>
  </w:style>
  <w:style w:type="paragraph" w:styleId="9">
    <w:name w:val="Block Text"/>
    <w:basedOn w:val="1"/>
    <w:next w:val="1"/>
    <w:qFormat/>
    <w:uiPriority w:val="0"/>
    <w:pPr>
      <w:widowControl w:val="0"/>
      <w:adjustRightInd w:val="0"/>
      <w:ind w:left="420" w:right="33"/>
      <w:textAlignment w:val="baseline"/>
    </w:pPr>
    <w:rPr>
      <w:rFonts w:ascii="Calibri" w:hAnsi="Calibri" w:eastAsia="宋体" w:cs="Times New Roman"/>
      <w:sz w:val="24"/>
    </w:rPr>
  </w:style>
  <w:style w:type="paragraph" w:styleId="10">
    <w:name w:val="Plain Text"/>
    <w:basedOn w:val="1"/>
    <w:qFormat/>
    <w:uiPriority w:val="0"/>
    <w:rPr>
      <w:rFonts w:ascii="宋体" w:hAnsi="Courier New"/>
    </w:rPr>
  </w:style>
  <w:style w:type="paragraph" w:styleId="11">
    <w:name w:val="Body Text Indent 2"/>
    <w:basedOn w:val="1"/>
    <w:qFormat/>
    <w:uiPriority w:val="0"/>
    <w:pPr>
      <w:adjustRightInd w:val="0"/>
      <w:spacing w:line="360" w:lineRule="auto"/>
      <w:ind w:firstLine="720"/>
      <w:textAlignment w:val="baseline"/>
    </w:pPr>
    <w:rPr>
      <w:rFonts w:ascii="宋体"/>
      <w:kern w:val="0"/>
      <w:sz w:val="24"/>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Title"/>
    <w:basedOn w:val="1"/>
    <w:qFormat/>
    <w:uiPriority w:val="0"/>
    <w:pPr>
      <w:jc w:val="center"/>
    </w:pPr>
    <w:rPr>
      <w:rFonts w:ascii="黑体" w:eastAsia="黑体"/>
      <w:b/>
      <w:sz w:val="36"/>
    </w:rPr>
  </w:style>
  <w:style w:type="paragraph" w:styleId="16">
    <w:name w:val="Body Text First Indent"/>
    <w:basedOn w:val="2"/>
    <w:qFormat/>
    <w:uiPriority w:val="0"/>
    <w:pPr>
      <w:spacing w:after="120"/>
      <w:ind w:firstLine="420" w:firstLineChars="100"/>
    </w:pPr>
    <w:rPr>
      <w:sz w:val="21"/>
    </w:r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正文 首行缩进:  2 字符"/>
    <w:basedOn w:val="1"/>
    <w:qFormat/>
    <w:uiPriority w:val="0"/>
    <w:pPr>
      <w:ind w:firstLine="579" w:firstLineChars="200"/>
    </w:pPr>
    <w:rPr>
      <w:rFonts w:cs="宋体"/>
      <w:sz w:val="28"/>
      <w:szCs w:val="20"/>
    </w:rPr>
  </w:style>
  <w:style w:type="paragraph" w:customStyle="1" w:styleId="2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27951</Words>
  <Characters>30375</Characters>
  <Lines>0</Lines>
  <Paragraphs>0</Paragraphs>
  <TotalTime>51</TotalTime>
  <ScaleCrop>false</ScaleCrop>
  <LinksUpToDate>false</LinksUpToDate>
  <CharactersWithSpaces>33538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2022-04-11T06:19:00Z</dcterms:created>
  <dc:creator>Administrator</dc:creator>
  <cp:lastModifiedBy>招标部</cp:lastModifiedBy>
  <dcterms:modified xsi:type="dcterms:W3CDTF">2022-04-18T08:18:55Z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BB86B27E02B841439145FEC9C41762BD</vt:lpwstr>
  </property>
</Properties>
</file>