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jc w:val="both"/>
        <w:rPr>
          <w:rFonts w:hint="eastAsia" w:ascii="宋体" w:hAnsi="宋体" w:eastAsia="宋体" w:cs="宋体"/>
          <w:color w:val="auto"/>
          <w:sz w:val="24"/>
          <w:highlight w:val="none"/>
        </w:rPr>
      </w:pPr>
      <w:r>
        <w:rPr>
          <w:rFonts w:hint="eastAsia" w:ascii="宋体" w:hAnsi="宋体" w:eastAsia="宋体" w:cs="宋体"/>
          <w:b/>
          <w:color w:val="auto"/>
          <w:sz w:val="28"/>
          <w:szCs w:val="18"/>
          <w:highlight w:val="none"/>
        </w:rPr>
        <w:t>项目编号：</w:t>
      </w:r>
      <w:r>
        <w:rPr>
          <w:rFonts w:hint="eastAsia" w:ascii="宋体" w:hAnsi="宋体" w:cs="宋体"/>
          <w:b/>
          <w:color w:val="auto"/>
          <w:sz w:val="28"/>
          <w:szCs w:val="18"/>
          <w:highlight w:val="none"/>
          <w:lang w:eastAsia="zh-CN"/>
        </w:rPr>
        <w:t>SXGLZFCG2022-32号</w:t>
      </w:r>
    </w:p>
    <w:p>
      <w:pPr>
        <w:jc w:val="center"/>
        <w:rPr>
          <w:rFonts w:hint="eastAsia" w:ascii="宋体" w:hAnsi="宋体" w:cs="宋体"/>
          <w:b/>
          <w:color w:val="auto"/>
          <w:sz w:val="48"/>
          <w:szCs w:val="48"/>
          <w:highlight w:val="none"/>
          <w:lang w:eastAsia="zh-CN"/>
        </w:rPr>
      </w:pPr>
    </w:p>
    <w:p>
      <w:pPr>
        <w:jc w:val="center"/>
        <w:rPr>
          <w:rFonts w:hint="eastAsia" w:ascii="宋体" w:hAnsi="宋体" w:cs="宋体"/>
          <w:b/>
          <w:color w:val="auto"/>
          <w:sz w:val="48"/>
          <w:szCs w:val="48"/>
          <w:highlight w:val="none"/>
          <w:lang w:eastAsia="zh-CN"/>
        </w:rPr>
      </w:pPr>
    </w:p>
    <w:p>
      <w:pPr>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铜川市印台中学录播教室建设及人工智能教育设备采购项目</w:t>
      </w:r>
    </w:p>
    <w:p>
      <w:pPr>
        <w:jc w:val="center"/>
        <w:rPr>
          <w:rFonts w:hint="eastAsia" w:ascii="宋体" w:hAnsi="宋体" w:eastAsia="宋体" w:cs="宋体"/>
          <w:color w:val="auto"/>
          <w:sz w:val="48"/>
          <w:highlight w:val="none"/>
        </w:rPr>
      </w:pPr>
    </w:p>
    <w:p>
      <w:pPr>
        <w:rPr>
          <w:rFonts w:hint="eastAsia" w:ascii="宋体" w:hAnsi="宋体" w:eastAsia="宋体" w:cs="宋体"/>
          <w:color w:val="auto"/>
          <w:sz w:val="4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sz w:val="48"/>
          <w:highlight w:val="none"/>
        </w:rPr>
      </w:pPr>
    </w:p>
    <w:p>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竞争性谈</w:t>
      </w:r>
      <w:bookmarkStart w:id="208" w:name="_GoBack"/>
      <w:bookmarkEnd w:id="208"/>
      <w:r>
        <w:rPr>
          <w:rFonts w:hint="eastAsia" w:ascii="宋体" w:hAnsi="宋体" w:eastAsia="宋体" w:cs="宋体"/>
          <w:b/>
          <w:color w:val="auto"/>
          <w:sz w:val="84"/>
          <w:szCs w:val="84"/>
          <w:highlight w:val="none"/>
        </w:rPr>
        <w:t>判文件</w:t>
      </w:r>
    </w:p>
    <w:p>
      <w:pPr>
        <w:spacing w:line="360" w:lineRule="auto"/>
        <w:rPr>
          <w:rFonts w:hint="eastAsia" w:ascii="宋体" w:hAnsi="宋体" w:eastAsia="宋体" w:cs="宋体"/>
          <w:color w:val="auto"/>
          <w:sz w:val="32"/>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pStyle w:val="24"/>
        <w:rPr>
          <w:rFonts w:hint="eastAsia" w:ascii="宋体" w:hAnsi="宋体" w:eastAsia="宋体" w:cs="宋体"/>
          <w:color w:val="auto"/>
          <w:sz w:val="32"/>
          <w:highlight w:val="none"/>
        </w:rPr>
      </w:pPr>
    </w:p>
    <w:p>
      <w:pPr>
        <w:rPr>
          <w:rFonts w:hint="eastAsia"/>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ind w:firstLine="1124" w:firstLineChars="400"/>
        <w:jc w:val="both"/>
        <w:rPr>
          <w:rFonts w:hint="eastAsia" w:ascii="宋体" w:hAnsi="宋体" w:cs="宋体"/>
          <w:b/>
          <w:color w:val="auto"/>
          <w:sz w:val="28"/>
          <w:szCs w:val="28"/>
          <w:highlight w:val="none"/>
          <w:u w:val="single"/>
          <w:lang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u w:val="single"/>
          <w:lang w:eastAsia="zh-CN"/>
        </w:rPr>
        <w:t>铜川市印台中学</w:t>
      </w:r>
    </w:p>
    <w:p>
      <w:pPr>
        <w:pStyle w:val="2"/>
        <w:rPr>
          <w:rFonts w:hint="eastAsia"/>
          <w:lang w:val="en-US" w:eastAsia="zh-CN"/>
        </w:rPr>
      </w:pPr>
    </w:p>
    <w:p>
      <w:pPr>
        <w:spacing w:line="360" w:lineRule="auto"/>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陕西公立工程项目管理咨询有限公司</w:t>
      </w:r>
    </w:p>
    <w:p>
      <w:pPr>
        <w:spacing w:line="360" w:lineRule="auto"/>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color w:val="auto"/>
          <w:sz w:val="36"/>
          <w:szCs w:val="21"/>
          <w:highlight w:val="none"/>
        </w:rPr>
      </w:pPr>
      <w:r>
        <w:rPr>
          <w:rFonts w:hint="eastAsia" w:ascii="宋体" w:hAnsi="宋体" w:eastAsia="宋体" w:cs="宋体"/>
          <w:b/>
          <w:color w:val="auto"/>
          <w:sz w:val="32"/>
          <w:szCs w:val="32"/>
          <w:highlight w:val="none"/>
        </w:rPr>
        <w:t>二〇二二年</w:t>
      </w: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月</w:t>
      </w:r>
    </w:p>
    <w:p>
      <w:pPr>
        <w:jc w:val="center"/>
        <w:rPr>
          <w:rFonts w:hint="eastAsia" w:ascii="宋体" w:hAnsi="宋体" w:eastAsia="宋体" w:cs="宋体"/>
          <w:b/>
          <w:color w:val="auto"/>
          <w:sz w:val="40"/>
          <w:szCs w:val="40"/>
          <w:highlight w:val="none"/>
        </w:rPr>
        <w:sectPr>
          <w:headerReference r:id="rId3" w:type="even"/>
          <w:footerReference r:id="rId4" w:type="even"/>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特别提示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各供应商，在此我们特别提醒您注意以下事项：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一、有关谈判文件：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1、请仔细阅读谈判文件并正确理解谈判文件中各项具体要求。如对谈判文件有疑问，请在谈判文件规定的时间内以书面形式提出，逾期将被拒绝受理。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2、请严格按照谈判文件载明的谈判响应文件的格式要求编制谈判响应文件，谈判响应文件须胶装成册。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3、请仔细核对谈判响应文件是否已按照谈判文件的要求签字、签章和加盖单位公章，实质性条款是否满足谈判文件要求，谈判响应文件中所附资格证明等资料是否齐全、有效且是否满足谈判文件要求。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4、请按照谈判文件要求密封谈判响应文件，并正确标记。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提示：谈判响应文件若不满足以上条件将有被否决的风险。</w:t>
      </w:r>
      <w:r>
        <w:rPr>
          <w:rFonts w:hint="eastAsia" w:ascii="宋体" w:hAnsi="宋体" w:eastAsia="宋体" w:cs="宋体"/>
          <w:kern w:val="0"/>
          <w:sz w:val="24"/>
          <w:szCs w:val="24"/>
          <w:lang w:val="en-US" w:eastAsia="zh-CN" w:bidi="ar-SA"/>
        </w:rPr>
        <w:tab/>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二、有关谈判：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1、除谈判文件要求递交的文件和资料外，请随身携带谈判文件要求提供的其他备查文件原件。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2、请务必考虑天气情况、交通情况以及您对开标地址的路线熟悉等情况于谈判公告规定的时间和地点递交谈判响应文件，谈判响应文件逾期到达，将被拒绝接收。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3、请到达文件递交地点后及时到谈判响应文件接收处签字登记。</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三、关于弃标的说明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若因为一些特殊原因不能参加本次谈判活动的，请务必以书面形式告知我们，以便我们正常开展后期工作，同时也避免再次打扰您，感谢您的配合。</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四、关于供应商注册登记提醒：</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请各供应商仔细阅读上述提示。如需帮助，请您与我们的工作人员联系，我们将非常高兴地为您服务。</w:t>
      </w:r>
    </w:p>
    <w:p>
      <w:pPr>
        <w:pStyle w:val="35"/>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目</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val="zh-CN"/>
        </w:rPr>
        <w:t>录</w:t>
      </w:r>
    </w:p>
    <w:p>
      <w:pPr>
        <w:rPr>
          <w:rFonts w:hint="eastAsia"/>
          <w:sz w:val="24"/>
          <w:szCs w:val="24"/>
        </w:rPr>
      </w:pPr>
    </w:p>
    <w:sdt>
      <w:sdtPr>
        <w:rPr>
          <w:rFonts w:ascii="宋体" w:hAnsi="宋体" w:eastAsia="宋体" w:cs="Times New Roman"/>
          <w:kern w:val="2"/>
          <w:sz w:val="21"/>
          <w:lang w:val="en-US" w:eastAsia="zh-CN" w:bidi="ar-SA"/>
        </w:rPr>
        <w:id w:val="147475359"/>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第一章  竞争性谈判公告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_Toc14657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_Toc8779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第二章  谈判须知前附表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_Toc8779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_Toc8110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 xml:space="preserve">第三章 </w:t>
          </w:r>
          <w:r>
            <w:rPr>
              <w:rFonts w:hint="eastAsia" w:ascii="宋体" w:hAnsi="宋体" w:eastAsia="宋体" w:cs="宋体"/>
              <w:b/>
              <w:bCs/>
              <w:sz w:val="24"/>
              <w:szCs w:val="24"/>
              <w:highlight w:val="none"/>
              <w:lang w:val="en-US" w:eastAsia="zh-CN"/>
            </w:rPr>
            <w:t>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_Toc8110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_Toc24945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第四章  合同一般条款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_Toc24945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第五章  附件--谈判响应文件格式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r>
            <w:rPr>
              <w:rFonts w:hint="eastAsia" w:ascii="宋体" w:hAnsi="宋体" w:eastAsia="宋体" w:cs="宋体"/>
              <w:b/>
              <w:bCs/>
              <w:sz w:val="28"/>
              <w:szCs w:val="28"/>
            </w:rPr>
            <w:fldChar w:fldCharType="end"/>
          </w:r>
        </w:p>
      </w:sdtContent>
    </w:sdt>
    <w:p>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pPr>
        <w:pStyle w:val="19"/>
        <w:tabs>
          <w:tab w:val="right" w:leader="dot" w:pos="8504"/>
        </w:tabs>
        <w:spacing w:line="360" w:lineRule="auto"/>
        <w:rPr>
          <w:rFonts w:hint="eastAsia" w:ascii="宋体" w:hAnsi="宋体" w:eastAsia="宋体" w:cs="宋体"/>
          <w:b/>
          <w:bCs/>
          <w:color w:val="auto"/>
          <w:sz w:val="28"/>
          <w:szCs w:val="28"/>
          <w:highlight w:val="none"/>
        </w:rPr>
      </w:pPr>
    </w:p>
    <w:p>
      <w:pPr>
        <w:pStyle w:val="3"/>
        <w:outlineLvl w:val="9"/>
        <w:rPr>
          <w:rFonts w:hint="eastAsia" w:ascii="宋体" w:hAnsi="宋体" w:eastAsia="宋体" w:cs="宋体"/>
          <w:b w:val="0"/>
          <w:color w:val="auto"/>
          <w:sz w:val="28"/>
          <w:szCs w:val="28"/>
          <w:highlight w:val="none"/>
        </w:rPr>
        <w:sectPr>
          <w:headerReference r:id="rId5" w:type="first"/>
          <w:footerReference r:id="rId7" w:type="first"/>
          <w:footerReference r:id="rId6" w:type="default"/>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0" w:name="_Toc193702467"/>
      <w:bookmarkStart w:id="1" w:name="_Toc246928891"/>
    </w:p>
    <w:p>
      <w:pPr>
        <w:pStyle w:val="21"/>
        <w:rPr>
          <w:rFonts w:hint="eastAsia" w:ascii="宋体" w:hAnsi="宋体" w:eastAsia="宋体" w:cs="宋体"/>
          <w:color w:val="auto"/>
          <w:highlight w:val="none"/>
        </w:rPr>
      </w:pPr>
      <w:bookmarkStart w:id="2" w:name="_Toc519085725"/>
      <w:bookmarkStart w:id="3" w:name="_Toc20476"/>
      <w:bookmarkStart w:id="4" w:name="_Toc14657"/>
      <w:bookmarkStart w:id="5" w:name="_Toc18412"/>
      <w:bookmarkStart w:id="6" w:name="_Toc18540"/>
      <w:bookmarkStart w:id="7" w:name="_Toc519091920"/>
      <w:bookmarkStart w:id="8" w:name="_Toc519091192"/>
      <w:r>
        <w:rPr>
          <w:rFonts w:hint="eastAsia" w:ascii="宋体" w:hAnsi="宋体" w:eastAsia="宋体" w:cs="宋体"/>
          <w:color w:val="auto"/>
          <w:highlight w:val="none"/>
        </w:rPr>
        <w:t>第一</w:t>
      </w:r>
      <w:bookmarkEnd w:id="0"/>
      <w:r>
        <w:rPr>
          <w:rFonts w:hint="eastAsia" w:ascii="宋体" w:hAnsi="宋体" w:eastAsia="宋体" w:cs="宋体"/>
          <w:color w:val="auto"/>
          <w:highlight w:val="none"/>
        </w:rPr>
        <w:t>章  竞争性谈判公告</w:t>
      </w:r>
      <w:bookmarkEnd w:id="1"/>
      <w:bookmarkEnd w:id="2"/>
      <w:bookmarkEnd w:id="3"/>
      <w:bookmarkEnd w:id="4"/>
      <w:bookmarkEnd w:id="5"/>
      <w:bookmarkEnd w:id="6"/>
      <w:bookmarkEnd w:id="7"/>
      <w:bookmarkEnd w:id="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bookmarkStart w:id="9" w:name="_Toc246928893"/>
      <w:bookmarkStart w:id="10" w:name="_Toc519091921"/>
      <w:bookmarkStart w:id="11" w:name="_Toc519085735"/>
      <w:bookmarkStart w:id="12" w:name="_Toc519091202"/>
      <w:r>
        <w:rPr>
          <w:rStyle w:val="28"/>
          <w:rFonts w:hint="eastAsia" w:ascii="宋体" w:hAnsi="宋体" w:eastAsia="宋体" w:cs="宋体"/>
          <w:b/>
          <w:bCs/>
          <w:i w:val="0"/>
          <w:iCs w:val="0"/>
          <w:caps w:val="0"/>
          <w:color w:val="333333"/>
          <w:spacing w:val="0"/>
          <w:sz w:val="24"/>
          <w:szCs w:val="24"/>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印台中学录播教室建设及人工智能教育设备采购项目采购项目的潜在供应商应在铜川市王益区七一路工行三楼313室获取采购文件，并于 2022年08月18日 14时30分 （北京时间）前提交响应文件。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28"/>
          <w:rFonts w:hint="eastAsia" w:ascii="宋体" w:hAnsi="宋体" w:eastAsia="宋体" w:cs="宋体"/>
          <w:b/>
          <w:bCs/>
          <w:i w:val="0"/>
          <w:iCs w:val="0"/>
          <w:caps w:val="0"/>
          <w:color w:val="333333"/>
          <w:spacing w:val="0"/>
          <w:sz w:val="24"/>
          <w:szCs w:val="24"/>
          <w:shd w:val="clear" w:fill="FFFFFF"/>
          <w:vertAlign w:val="baseline"/>
        </w:rPr>
      </w:pPr>
      <w:r>
        <w:rPr>
          <w:rStyle w:val="28"/>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项目编号：SXGLZFCG2022-32号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项目名称：印台中学录播教室建设及人工智能教育设备采购项目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预算金额：400,000.00元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合同包1(录播教室建设及人工智能教育设备采购项目):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合同包预算金额：400,000.00元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合同包最高限价：400,000.00元</w:t>
      </w:r>
    </w:p>
    <w:tbl>
      <w:tblPr>
        <w:tblStyle w:val="25"/>
        <w:tblW w:w="96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830"/>
        <w:gridCol w:w="1986"/>
        <w:gridCol w:w="1351"/>
        <w:gridCol w:w="1500"/>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8" w:hRule="atLeast"/>
          <w:tblHeader/>
        </w:trPr>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高清录播主机</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流媒体管理软件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流媒体直播软件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流媒体点播软件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1-5</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在线互动软件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1-6</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录播导播软件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1-7</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高清摄像机</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5(台)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12,500.00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1-8</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高清摄像机管理软件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5(套)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1-9</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教室定位分析仪</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1-10</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学生定位分析仪</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板书定位分析仪</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教师定位分析软件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1-13</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学生定位分析软件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1-14</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板书定位分析软件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1-15</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录制面板</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1-16</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数字音频矩阵</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1-17</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数字音频处理软件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1-18</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采访话筒（指向性）</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6(支)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1-19</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电源管理器</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1-20</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无线话筒</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2,900.00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互动音箱</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功放</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1-23</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资源平台服务器</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1-24</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视频资源管理平台</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1-25</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互动显示器</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1-26</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机柜</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1-27</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线材辅料</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1-28</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现场氛围营造</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83,980.00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83,980.00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1-29</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智慧黑板</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1-30</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观摩电视</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观摩音箱</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导播电脑</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1-33</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科技动力教育系统</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4(套)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8,696.00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8,696.00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1-34</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人工智能机器人教育系统</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4(套)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9,520.00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9,520.00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1-35</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编程无人机</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4(台)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11,996.00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11,996.00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1-36</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飞行电池</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320.00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1-37</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电池管家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298.00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1-38</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地图、道具</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1-39</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人工智能普及赛套装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7,760.00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1-40</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普及赛场地套装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人工智能模块系列初级套装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11,080.00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11,080.00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对抗赛-非攻场地套装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1-43</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超级轨迹赛套装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1-44</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超级轨迹赛场地</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1-45</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3D打印机</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1-46</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三维设计软件</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1-47</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3D打印耗材</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10(卷)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1-48</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3D模型资源库</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1-49</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3D打印工具包</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1-50</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培训及售后</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1-51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办公设备零部件</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系统集成</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30,000.00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28"/>
          <w:rFonts w:hint="eastAsia" w:ascii="宋体" w:hAnsi="宋体" w:eastAsia="宋体" w:cs="宋体"/>
          <w:b/>
          <w:bCs/>
          <w:i w:val="0"/>
          <w:iCs w:val="0"/>
          <w:caps w:val="0"/>
          <w:color w:val="333333"/>
          <w:spacing w:val="0"/>
          <w:sz w:val="24"/>
          <w:szCs w:val="24"/>
          <w:shd w:val="clear" w:fill="FFFFFF"/>
          <w:vertAlign w:val="baseline"/>
        </w:rPr>
      </w:pPr>
      <w:r>
        <w:rPr>
          <w:rStyle w:val="28"/>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合同包1(录播教室建设及人工智能教育设备采购项目)落实政府采购政策需满足的资格要求如下: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（4）、财政部国家发展改革委关于印发《节能产品政府采购实施意见》的通知（财库[2004]185号）；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（5）、财政部环保总局关于《环境标志产品政府采购实施的意见》（财库[2006]90号）；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（6）、《财政部、民政部、中国残疾人联合会关于促进残疾人就业政府采购政策的通知》（ 财库[2017]141号）文件规定及陕西省民政厅、陕西省财政厅、陕西省残疾人联合会文件《关于政府采购优先购买福利性企业产品和服务的意见》（陕民发〔2015〕1号）的规定；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（8）、《财政部国务院扶贫办关于运用 政府采购政策支持脱贫攻坚的通知》（财库〔2019〕27号）；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（10）、《财政部关于在政府采购活动中落实平等对待内外资企业有关政策的通知》）财库{2021}35号）；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（11）、其他应落实的政府采购政策。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合同包1(录播教室建设及人工智能教育设备采购项目)特定资格要求如下: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注：1.本项目不接受联合体投标；</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  2.本项目专门面向中小企业。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时间：2022年08月11日至2022年08月15日，每天上午08:30:00至11:30:00，下午14:30:00至17:30:00 （北京时间,法定节假日除外）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地点：铜川市王益区七一路工行三楼313室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截止时间：2022年08月18日 14时30分00秒（北京时间）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地点：铜川市王益区五一路福楼酒店4楼会议室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 2022年08月18日 14时30分00秒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地点：铜川市王益区五一路福楼酒店4楼会议室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注：1、领取谈判文件时请携带单位介绍信、经办人身份证原件及复印件（复印件须加盖单位公章留存、仅限工作时间领取）；2、请供应商按照陕西省财政厅关于政府采购供应商注册登记有关事项的通知中的要求，通过陕西省政府采购网注册登记加入陕西省政府采购供应商库（http://www.ccgp-shaanxi.gov.cn/）</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名称：铜川市印台中学</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地址：陕西省铜川市印台区姜女堤3号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联系方式：0919-4199276</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名称：陕西公立工程项目管理咨询有限公司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地址：铜川市王益区七一路工行三楼313室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联系方式：0919-2182986</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项目联系人：傅先生</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电话：0919-2182986</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rPr>
          <w:rFonts w:hint="eastAsia" w:ascii="宋体" w:hAnsi="宋体" w:eastAsia="宋体" w:cs="宋体"/>
          <w:color w:val="auto"/>
          <w:highlight w:val="none"/>
        </w:rPr>
      </w:pPr>
      <w:bookmarkStart w:id="13" w:name="_Toc23234"/>
      <w:bookmarkStart w:id="14" w:name="_Toc8779"/>
      <w:bookmarkStart w:id="15" w:name="_Toc30347"/>
      <w:bookmarkStart w:id="16" w:name="_Toc21986"/>
      <w:r>
        <w:rPr>
          <w:rFonts w:hint="eastAsia" w:ascii="宋体" w:hAnsi="宋体" w:eastAsia="宋体" w:cs="宋体"/>
          <w:color w:val="auto"/>
          <w:highlight w:val="none"/>
        </w:rPr>
        <w:t>第二章  谈判须知前附表</w:t>
      </w:r>
      <w:bookmarkEnd w:id="9"/>
      <w:bookmarkEnd w:id="10"/>
      <w:bookmarkEnd w:id="11"/>
      <w:bookmarkEnd w:id="12"/>
      <w:bookmarkEnd w:id="13"/>
      <w:bookmarkEnd w:id="14"/>
      <w:bookmarkEnd w:id="15"/>
      <w:bookmarkEnd w:id="16"/>
    </w:p>
    <w:p>
      <w:pPr>
        <w:pStyle w:val="4"/>
        <w:widowControl w:val="0"/>
        <w:spacing w:before="120" w:after="120" w:line="360" w:lineRule="auto"/>
        <w:ind w:left="0"/>
        <w:jc w:val="center"/>
        <w:rPr>
          <w:rFonts w:hint="eastAsia" w:ascii="宋体" w:hAnsi="宋体" w:eastAsia="宋体" w:cs="宋体"/>
          <w:sz w:val="28"/>
          <w:szCs w:val="28"/>
        </w:rPr>
      </w:pPr>
      <w:bookmarkStart w:id="17" w:name="_Toc423973073"/>
      <w:bookmarkStart w:id="18" w:name="_Toc31462"/>
      <w:bookmarkStart w:id="19" w:name="_Toc15559"/>
      <w:bookmarkStart w:id="20" w:name="_Toc246928894"/>
      <w:r>
        <w:rPr>
          <w:rFonts w:hint="eastAsia" w:ascii="宋体" w:hAnsi="宋体" w:eastAsia="宋体" w:cs="宋体"/>
          <w:sz w:val="28"/>
          <w:szCs w:val="28"/>
        </w:rPr>
        <w:t>供应商须知前附表</w:t>
      </w:r>
      <w:bookmarkEnd w:id="17"/>
      <w:bookmarkEnd w:id="18"/>
      <w:bookmarkEnd w:id="19"/>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本表是对供应商须知的具体补充和修改，如有矛盾，应以本资料表为准。</w:t>
      </w:r>
    </w:p>
    <w:tbl>
      <w:tblPr>
        <w:tblStyle w:val="25"/>
        <w:tblpPr w:leftFromText="180" w:rightFromText="180" w:vertAnchor="text" w:horzAnchor="page" w:tblpX="1575" w:tblpY="222"/>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99"/>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0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199"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5791"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采购人名称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采购人名称：铜川市印台中学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w:t>
            </w:r>
            <w:r>
              <w:rPr>
                <w:rFonts w:hint="eastAsia" w:ascii="宋体" w:hAnsi="宋体" w:eastAsia="宋体" w:cs="宋体"/>
                <w:i w:val="0"/>
                <w:iCs w:val="0"/>
                <w:caps w:val="0"/>
                <w:color w:val="333333"/>
                <w:spacing w:val="0"/>
                <w:sz w:val="24"/>
                <w:szCs w:val="24"/>
                <w:shd w:val="clear" w:fill="FFFFFF"/>
                <w:vertAlign w:val="baseline"/>
              </w:rPr>
              <w:t>陕西省铜川市印台区姜女堤3号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招标代理机构</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采购代理机构：陕西公立工程项目管理咨询有限公司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w:t>
            </w:r>
            <w:r>
              <w:rPr>
                <w:rFonts w:hint="eastAsia" w:hAnsi="宋体" w:cs="宋体"/>
                <w:kern w:val="0"/>
                <w:sz w:val="24"/>
                <w:szCs w:val="24"/>
                <w:lang w:val="en-US" w:eastAsia="zh-CN" w:bidi="ar-SA"/>
              </w:rPr>
              <w:t>铜川市王益区七一路工行三楼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铜川市印台中学录播教室建设及人工智能教育设备采购项目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资金来源</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资金落实情况</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供货期</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自合同签订后</w:t>
            </w:r>
            <w:r>
              <w:rPr>
                <w:rFonts w:hint="eastAsia" w:hAnsi="宋体" w:cs="宋体"/>
                <w:kern w:val="0"/>
                <w:sz w:val="24"/>
                <w:szCs w:val="24"/>
                <w:highlight w:val="none"/>
                <w:lang w:val="en-US" w:eastAsia="zh-CN" w:bidi="ar-SA"/>
              </w:rPr>
              <w:t>60日历天内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bidi="ar-SA"/>
              </w:rPr>
            </w:pPr>
            <w:r>
              <w:rPr>
                <w:rFonts w:hint="eastAsia" w:hAnsi="宋体" w:cs="宋体"/>
                <w:kern w:val="0"/>
                <w:sz w:val="24"/>
                <w:szCs w:val="24"/>
                <w:highlight w:val="none"/>
                <w:lang w:val="en-US" w:eastAsia="zh-CN" w:bidi="ar-SA"/>
              </w:rPr>
              <w:t>采购预算</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hAnsi="宋体" w:cs="宋体"/>
                <w:b/>
                <w:bCs/>
                <w:kern w:val="0"/>
                <w:sz w:val="24"/>
                <w:szCs w:val="24"/>
                <w:highlight w:val="none"/>
                <w:lang w:val="en-US" w:eastAsia="zh-CN" w:bidi="ar-SA"/>
              </w:rPr>
              <w:t>人民币：</w:t>
            </w:r>
            <w:r>
              <w:rPr>
                <w:rFonts w:hint="eastAsia" w:hAnsi="宋体" w:cs="宋体"/>
                <w:kern w:val="0"/>
                <w:sz w:val="24"/>
                <w:szCs w:val="24"/>
                <w:highlight w:val="none"/>
                <w:lang w:val="en-US" w:eastAsia="zh-CN" w:bidi="ar-SA"/>
              </w:rPr>
              <w:t>400000.00元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供应商资格要求</w:t>
            </w:r>
          </w:p>
        </w:tc>
        <w:tc>
          <w:tcPr>
            <w:tcW w:w="5791"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满足《中华人民共和国政府采购法》第二十二条规定</w:t>
            </w:r>
            <w:r>
              <w:rPr>
                <w:rFonts w:hint="eastAsia" w:hAnsi="宋体" w:cs="宋体"/>
                <w:b/>
                <w:bCs/>
                <w:kern w:val="0"/>
                <w:sz w:val="24"/>
                <w:szCs w:val="24"/>
                <w:lang w:val="en-US" w:eastAsia="zh-CN" w:bidi="ar-SA"/>
              </w:rPr>
              <w:t>：</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cs="宋体"/>
                <w:b/>
                <w:bCs/>
                <w:kern w:val="0"/>
                <w:sz w:val="24"/>
                <w:szCs w:val="24"/>
                <w:lang w:val="en-US" w:eastAsia="zh-CN" w:bidi="ar-SA"/>
              </w:rPr>
              <w:t>注：</w:t>
            </w:r>
            <w:r>
              <w:rPr>
                <w:rFonts w:hint="eastAsia" w:ascii="宋体" w:hAnsi="宋体" w:eastAsia="宋体" w:cs="宋体"/>
                <w:b/>
                <w:bCs/>
                <w:kern w:val="0"/>
                <w:sz w:val="24"/>
                <w:szCs w:val="24"/>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10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谈判报价</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谈判响应文件发售时间</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谈判响应文件发售时间</w:t>
            </w:r>
            <w:r>
              <w:rPr>
                <w:rFonts w:hint="eastAsia" w:ascii="宋体" w:hAnsi="宋体" w:eastAsia="宋体" w:cs="宋体"/>
                <w:kern w:val="0"/>
                <w:sz w:val="24"/>
                <w:szCs w:val="24"/>
                <w:highlight w:val="none"/>
                <w:lang w:val="en-US" w:eastAsia="zh-CN" w:bidi="ar-SA"/>
              </w:rPr>
              <w:t>：2022年08月11日至2022年08月15日，每天上午 08:30:00 至 11:30:00 ，下午 14:30:00 至 17:30:00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踏勘现场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采购代理机构不组织统一踏勘，各供应商自行踏勘，相关费用及安全由供应商自行承担，如有疑问请以书面的方式提交给采购代理机构。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谈判答疑会</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不召开；若有疑问，均应在谈判截止日期</w:t>
            </w:r>
            <w:r>
              <w:rPr>
                <w:rFonts w:hint="eastAsia" w:hAnsi="宋体" w:cs="宋体"/>
                <w:kern w:val="0"/>
                <w:sz w:val="24"/>
                <w:szCs w:val="24"/>
                <w:lang w:val="en-US" w:eastAsia="zh-CN" w:bidi="ar-SA"/>
              </w:rPr>
              <w:t>3</w:t>
            </w:r>
            <w:r>
              <w:rPr>
                <w:rFonts w:hint="eastAsia" w:ascii="宋体" w:hAnsi="宋体" w:eastAsia="宋体" w:cs="宋体"/>
                <w:kern w:val="0"/>
                <w:sz w:val="24"/>
                <w:szCs w:val="24"/>
                <w:lang w:val="en-US" w:eastAsia="zh-CN" w:bidi="ar-SA"/>
              </w:rPr>
              <w:t>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分包</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5</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构成谈判文件的</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其他材料</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澄清、修改、答疑文件等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7</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供应商对谈判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文件的疑问</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采购人澄清谈判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文件的截止时间</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构成谈判响应文件的其他材料</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供应商按照谈判文件的要求认为有利于谈判的材料。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20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谈判有效期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(含授权期）</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提交谈判响应文件的截止之日起90</w:t>
            </w:r>
            <w:r>
              <w:rPr>
                <w:rFonts w:hint="eastAsia" w:hAnsi="宋体" w:cs="宋体"/>
                <w:kern w:val="0"/>
                <w:sz w:val="24"/>
                <w:szCs w:val="24"/>
                <w:lang w:val="en-US" w:eastAsia="zh-CN" w:bidi="ar-SA"/>
              </w:rPr>
              <w:t>日历</w:t>
            </w:r>
            <w:r>
              <w:rPr>
                <w:rFonts w:hint="eastAsia" w:ascii="宋体" w:hAnsi="宋体" w:eastAsia="宋体" w:cs="宋体"/>
                <w:kern w:val="0"/>
                <w:sz w:val="24"/>
                <w:szCs w:val="24"/>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21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是否允许交备选</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谈判方案</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签字或盖章要求</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谈判响应文件封面、谈判响应函及其它有要求处必须加盖供应商公章并经法定代表人或其委托代理人签字或盖章。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谈判响应文件应无涂改或行间插字和增删。如确需修改，修改处必须由供应商加盖供应商公章并经法定代表人或其委托代理人签字或盖章。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份数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正本的份数：壹份；副本的份数：贰份；电子版（U盘）：贰份。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电子版包括：（1）word版谈判响应文件；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（2）谈判响应文件正本签字盖章后的PDF格式扫描件，与正本具有同等法律效力。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谈判响应文件装订要求：胶装。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封套上写明</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一律采用书籍（胶装）方式装订。谈判响应文件正本壹份、副本贰份，电子版贰份（U盘，电子文档应为PDF与WORD格式）（注明供应商名称）。供应商应将响应文件的正本、所有副本和电子版文件，用单独的封袋分装密封（封袋不得有破损），在封袋上标明“正本”、“副本”或“电子版”字样，封袋封口处应加贴封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对未按谈判文件要求方式装订和递交的谈判响应文件，将作为无效文件处理。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5</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递交谈判响应文件截止时间、地点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谈判时间：2022年08月18日 14时30分00秒(北京时间)</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谈判地点：铜川市王益区五一路福楼酒店4楼会议室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6</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是否退还谈判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响应文件</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无论中标与否，一律不退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7</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谈判时间和地点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谈判时间：2022年08月18日 14时30分00秒（北京时间）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谈判地点:铜川市王益区五一路福楼酒店4楼会议室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评标委员会构成： 3 人；按照有关规定，在相关专家库中随机抽取2人，甲方代表1人；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是否授权评标委员会确定中标人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评标委员会推荐，采购人确认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30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招标代理服务费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1、成交单位在领取成交通知书前，须向采购代理机构支付代理服务费。</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highlight w:val="none"/>
                <w:lang w:val="en-US" w:eastAsia="zh-CN" w:bidi="ar-SA"/>
              </w:rPr>
              <w:t>2、代理服务费依据《国家计委关于印发&lt;招标代理服务收费管理暂行办法&gt;的通知》（计价格[2002]1980号）文件规定计取。并按照国家发展改革委员会办公厅颁发的《关于招标代理服务收费有关问题的通知》（发改办价格[2003] 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谈判</w:t>
            </w:r>
            <w:r>
              <w:rPr>
                <w:rFonts w:hint="default" w:ascii="宋体" w:hAnsi="宋体" w:eastAsia="宋体" w:cs="宋体"/>
                <w:color w:val="000000"/>
                <w:kern w:val="0"/>
                <w:sz w:val="24"/>
                <w:szCs w:val="24"/>
                <w:lang w:val="en-US" w:eastAsia="zh-CN" w:bidi="ar-SA"/>
              </w:rPr>
              <w:t>现场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须携带的资料</w:t>
            </w:r>
          </w:p>
        </w:tc>
        <w:tc>
          <w:tcPr>
            <w:tcW w:w="579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1、供应商被授权人参加谈判会的须手持法定代表人授权委托书及被授权人身份证件原件（法定代表人直接参加时，只须出示法定代表人身份证明）。</w:t>
            </w:r>
          </w:p>
          <w:p>
            <w:pPr>
              <w:pStyle w:val="2"/>
              <w:numPr>
                <w:ilvl w:val="0"/>
                <w:numId w:val="0"/>
              </w:numP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2、供应商需按资格要求携带资格证明材料原件（资格证明材料原件按谈判文件密封要求进行密封递交）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谈判保证金</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33</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履约保证金</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34</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其他</w:t>
            </w:r>
          </w:p>
        </w:tc>
        <w:tc>
          <w:tcPr>
            <w:tcW w:w="5791"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注：1.本项目不接受联合体投标；</w:t>
            </w:r>
            <w:r>
              <w:rPr>
                <w:rFonts w:hint="eastAsia" w:ascii="宋体" w:hAnsi="宋体" w:eastAsia="宋体" w:cs="宋体"/>
                <w:color w:val="000000"/>
                <w:kern w:val="0"/>
                <w:sz w:val="24"/>
                <w:szCs w:val="24"/>
                <w:lang w:val="en-US" w:eastAsia="zh-CN" w:bidi="ar-SA"/>
              </w:rPr>
              <w:br w:type="textWrapping"/>
            </w:r>
            <w:r>
              <w:rPr>
                <w:rFonts w:hint="eastAsia" w:ascii="宋体" w:hAnsi="宋体" w:eastAsia="宋体" w:cs="宋体"/>
                <w:color w:val="000000"/>
                <w:kern w:val="0"/>
                <w:sz w:val="24"/>
                <w:szCs w:val="24"/>
                <w:lang w:val="en-US" w:eastAsia="zh-CN" w:bidi="ar-SA"/>
              </w:rPr>
              <w:t>  2.本项目专门面向中小企业。</w:t>
            </w:r>
          </w:p>
        </w:tc>
      </w:tr>
    </w:tbl>
    <w:p>
      <w:pPr>
        <w:pStyle w:val="3"/>
        <w:spacing w:line="360" w:lineRule="auto"/>
        <w:outlineLvl w:val="9"/>
        <w:rPr>
          <w:rFonts w:hint="eastAsia" w:ascii="宋体" w:hAnsi="宋体" w:eastAsia="宋体" w:cs="宋体"/>
          <w:color w:val="000000"/>
          <w:kern w:val="0"/>
          <w:sz w:val="24"/>
          <w:szCs w:val="24"/>
          <w:lang w:val="en-US" w:eastAsia="zh-CN" w:bidi="ar-SA"/>
        </w:rPr>
      </w:pPr>
    </w:p>
    <w:p>
      <w:pPr>
        <w:rPr>
          <w:rFonts w:hint="eastAsia" w:ascii="宋体" w:hAnsi="宋体" w:eastAsia="宋体" w:cs="宋体"/>
          <w:color w:val="auto"/>
          <w:highlight w:val="none"/>
        </w:rPr>
      </w:pPr>
    </w:p>
    <w:p>
      <w:pPr>
        <w:pStyle w:val="2"/>
        <w:rPr>
          <w:rFonts w:hint="eastAsia"/>
        </w:rPr>
        <w:sectPr>
          <w:footerReference r:id="rId9" w:type="first"/>
          <w:footerReference r:id="rId8" w:type="default"/>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p>
    <w:bookmarkEnd w:id="20"/>
    <w:p>
      <w:pPr>
        <w:pStyle w:val="4"/>
        <w:spacing w:line="360" w:lineRule="auto"/>
        <w:rPr>
          <w:rFonts w:hint="eastAsia" w:ascii="宋体" w:hAnsi="宋体" w:eastAsia="宋体" w:cs="宋体"/>
          <w:color w:val="auto"/>
          <w:sz w:val="24"/>
          <w:szCs w:val="24"/>
          <w:highlight w:val="none"/>
        </w:rPr>
      </w:pPr>
      <w:bookmarkStart w:id="21" w:name="_Toc1751"/>
      <w:bookmarkStart w:id="22" w:name="_Toc23031"/>
      <w:bookmarkStart w:id="23" w:name="_Toc27137"/>
      <w:bookmarkStart w:id="24" w:name="_Toc246928896"/>
      <w:r>
        <w:rPr>
          <w:rFonts w:hint="eastAsia" w:ascii="宋体" w:hAnsi="宋体" w:eastAsia="宋体" w:cs="宋体"/>
          <w:color w:val="auto"/>
          <w:sz w:val="24"/>
          <w:szCs w:val="24"/>
          <w:highlight w:val="none"/>
        </w:rPr>
        <w:t>（一）总则</w:t>
      </w:r>
      <w:bookmarkEnd w:id="21"/>
      <w:bookmarkEnd w:id="22"/>
      <w:bookmarkEnd w:id="23"/>
    </w:p>
    <w:p>
      <w:pPr>
        <w:pStyle w:val="5"/>
        <w:rPr>
          <w:rFonts w:hint="eastAsia" w:ascii="宋体" w:hAnsi="宋体" w:eastAsia="宋体" w:cs="宋体"/>
          <w:color w:val="auto"/>
          <w:sz w:val="24"/>
          <w:szCs w:val="24"/>
          <w:highlight w:val="none"/>
        </w:rPr>
      </w:pPr>
      <w:bookmarkStart w:id="25" w:name="_Toc130"/>
      <w:r>
        <w:rPr>
          <w:rFonts w:hint="eastAsia" w:ascii="宋体" w:hAnsi="宋体" w:eastAsia="宋体" w:cs="宋体"/>
          <w:color w:val="auto"/>
          <w:sz w:val="24"/>
          <w:szCs w:val="24"/>
          <w:highlight w:val="none"/>
        </w:rPr>
        <w:t>1 适用范围</w:t>
      </w:r>
      <w:bookmarkEnd w:id="24"/>
      <w:bookmarkEnd w:id="2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1.1本谈判文件仅适用于本竞争性谈判公告中所叙述项目的设备采购。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1.2本次采购属货物类政府采购，采购人，采购代理机构、供应商、谈判小组的相关行为均受《中华人民共和国政府采购法》、</w:t>
      </w:r>
      <w:r>
        <w:rPr>
          <w:rFonts w:hint="eastAsia" w:ascii="宋体" w:hAnsi="宋体" w:eastAsia="宋体" w:cs="宋体"/>
          <w:color w:val="auto"/>
          <w:sz w:val="24"/>
          <w:highlight w:val="none"/>
          <w:lang w:eastAsia="zh-CN"/>
        </w:rPr>
        <w:t>《政府采购非招标采购方式管理办法》</w:t>
      </w:r>
      <w:r>
        <w:rPr>
          <w:rFonts w:hint="eastAsia" w:ascii="宋体" w:hAnsi="宋体" w:eastAsia="宋体" w:cs="宋体"/>
          <w:color w:val="auto"/>
          <w:sz w:val="24"/>
          <w:highlight w:val="none"/>
        </w:rPr>
        <w:t>财政部规章及政府采购项目所在地有关法规、规章的约束，其权利受到上述法律法规的保护。</w:t>
      </w:r>
    </w:p>
    <w:p>
      <w:pPr>
        <w:pStyle w:val="5"/>
        <w:jc w:val="left"/>
        <w:rPr>
          <w:rFonts w:hint="eastAsia" w:ascii="宋体" w:hAnsi="宋体" w:eastAsia="宋体" w:cs="宋体"/>
          <w:color w:val="auto"/>
          <w:sz w:val="24"/>
          <w:szCs w:val="24"/>
          <w:highlight w:val="none"/>
        </w:rPr>
      </w:pPr>
      <w:bookmarkStart w:id="26" w:name="_Toc246928897"/>
      <w:bookmarkStart w:id="27" w:name="_Toc22193"/>
      <w:r>
        <w:rPr>
          <w:rFonts w:hint="eastAsia" w:ascii="宋体" w:hAnsi="宋体" w:eastAsia="宋体" w:cs="宋体"/>
          <w:color w:val="auto"/>
          <w:sz w:val="24"/>
          <w:szCs w:val="24"/>
          <w:highlight w:val="none"/>
        </w:rPr>
        <w:t>2 定义</w:t>
      </w:r>
      <w:bookmarkEnd w:id="26"/>
      <w:bookmarkEnd w:id="27"/>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ascii="宋体" w:hAnsi="宋体" w:cs="宋体"/>
          <w:color w:val="auto"/>
          <w:sz w:val="24"/>
          <w:highlight w:val="none"/>
          <w:lang w:eastAsia="zh-CN"/>
        </w:rPr>
        <w:t>铜川市印台中学</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“采购代理机构”系指陕西公立工程项目管理咨询有限公司。</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“供应商”系指响应采购人要求提交谈判响应文件的单位。</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“采购文件”系指采购人或代理机构编制并向供应商发售的谈判文件。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 “响应文件”系指供应商按照采购文件要求编制并向采购人或代理机构递交的响应文件。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pPr>
        <w:pStyle w:val="5"/>
        <w:rPr>
          <w:rFonts w:hint="eastAsia" w:ascii="宋体" w:hAnsi="宋体" w:eastAsia="宋体" w:cs="宋体"/>
          <w:color w:val="auto"/>
          <w:sz w:val="24"/>
          <w:szCs w:val="24"/>
          <w:highlight w:val="none"/>
        </w:rPr>
      </w:pPr>
      <w:bookmarkStart w:id="28" w:name="_Toc246928898"/>
      <w:bookmarkStart w:id="29" w:name="_Toc5058"/>
      <w:r>
        <w:rPr>
          <w:rFonts w:hint="eastAsia" w:ascii="宋体" w:hAnsi="宋体" w:eastAsia="宋体" w:cs="宋体"/>
          <w:color w:val="auto"/>
          <w:sz w:val="24"/>
          <w:szCs w:val="24"/>
          <w:highlight w:val="none"/>
        </w:rPr>
        <w:t>3 合格的谈判供应商</w:t>
      </w:r>
      <w:bookmarkEnd w:id="28"/>
      <w:bookmarkEnd w:id="29"/>
    </w:p>
    <w:p>
      <w:pPr>
        <w:spacing w:line="360" w:lineRule="auto"/>
        <w:rPr>
          <w:rFonts w:hint="eastAsia" w:ascii="宋体" w:hAnsi="宋体" w:eastAsia="宋体" w:cs="宋体"/>
          <w:color w:val="auto"/>
          <w:sz w:val="24"/>
          <w:highlight w:val="none"/>
        </w:rPr>
      </w:pPr>
      <w:bookmarkStart w:id="30" w:name="_Toc246928899"/>
      <w:r>
        <w:rPr>
          <w:rFonts w:hint="eastAsia" w:ascii="宋体" w:hAnsi="宋体" w:eastAsia="宋体" w:cs="宋体"/>
          <w:color w:val="auto"/>
          <w:sz w:val="24"/>
          <w:highlight w:val="none"/>
        </w:rPr>
        <w:t>3.1 凡具备供应商条件且有能力提供采购服务的供应商均可报价。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供应商必须在谈判公告载明的地点购买谈判文件并登记备案，未经购买谈判文件并登记备案的潜在供应商均无资格参加本次报价。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供应商应参照《中华人民共和国政府采购法》及其他有关的中国法律和法规。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供应商在过去和现在都不应直接或间接地与采购人及为采购本次服务进行咨询的单位或其附属机构有任何关联。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3.5 只有在法律上和财务上独立，合法运作，并独立于采购代理机构和采购人的供应商才能参加谈判。</w:t>
      </w:r>
    </w:p>
    <w:p>
      <w:pPr>
        <w:pStyle w:val="5"/>
        <w:rPr>
          <w:rFonts w:hint="eastAsia" w:ascii="宋体" w:hAnsi="宋体" w:eastAsia="宋体" w:cs="宋体"/>
          <w:color w:val="auto"/>
          <w:sz w:val="24"/>
          <w:szCs w:val="24"/>
          <w:highlight w:val="none"/>
        </w:rPr>
      </w:pPr>
      <w:bookmarkStart w:id="31" w:name="_Toc16933"/>
      <w:r>
        <w:rPr>
          <w:rFonts w:hint="eastAsia" w:ascii="宋体" w:hAnsi="宋体" w:eastAsia="宋体" w:cs="宋体"/>
          <w:color w:val="auto"/>
          <w:sz w:val="24"/>
          <w:szCs w:val="24"/>
          <w:highlight w:val="none"/>
        </w:rPr>
        <w:t>4 费用</w:t>
      </w:r>
      <w:bookmarkEnd w:id="30"/>
      <w:bookmarkEnd w:id="3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供应商应承担所有与编写和提交谈判响应文件有关的费用，无论谈判过程中的做法和结果如何，采购人在任何情况下均无义务和责任承担这些费用。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采购人或采购代理机构不组织现场踏勘， 供应商可携带工具自行踏勘现场，自行负责因踏勘所产生的费用和其他一切后果，采购人和采购代理机构不承担任何责任。</w:t>
      </w:r>
    </w:p>
    <w:p>
      <w:pPr>
        <w:pStyle w:val="4"/>
        <w:spacing w:line="360" w:lineRule="auto"/>
        <w:rPr>
          <w:rFonts w:hint="eastAsia" w:ascii="宋体" w:hAnsi="宋体" w:eastAsia="宋体" w:cs="宋体"/>
          <w:b w:val="0"/>
          <w:color w:val="auto"/>
          <w:sz w:val="24"/>
          <w:szCs w:val="24"/>
          <w:highlight w:val="none"/>
        </w:rPr>
      </w:pPr>
      <w:bookmarkStart w:id="32" w:name="_Toc11747"/>
      <w:bookmarkStart w:id="33" w:name="_Toc6287"/>
      <w:bookmarkStart w:id="34" w:name="_Toc22765"/>
      <w:bookmarkStart w:id="35" w:name="_Toc246928901"/>
      <w:r>
        <w:rPr>
          <w:rFonts w:hint="eastAsia" w:ascii="宋体" w:hAnsi="宋体" w:eastAsia="宋体" w:cs="宋体"/>
          <w:color w:val="auto"/>
          <w:sz w:val="24"/>
          <w:szCs w:val="24"/>
          <w:highlight w:val="none"/>
        </w:rPr>
        <w:t>（二）谈判文件说明</w:t>
      </w:r>
      <w:bookmarkEnd w:id="32"/>
      <w:bookmarkEnd w:id="33"/>
      <w:bookmarkEnd w:id="34"/>
    </w:p>
    <w:p>
      <w:pPr>
        <w:pStyle w:val="5"/>
        <w:rPr>
          <w:rFonts w:hint="eastAsia" w:ascii="宋体" w:hAnsi="宋体" w:eastAsia="宋体" w:cs="宋体"/>
          <w:color w:val="auto"/>
          <w:sz w:val="24"/>
          <w:szCs w:val="24"/>
          <w:highlight w:val="none"/>
        </w:rPr>
      </w:pPr>
      <w:bookmarkStart w:id="36" w:name="_Toc30384"/>
      <w:r>
        <w:rPr>
          <w:rFonts w:hint="eastAsia" w:ascii="宋体" w:hAnsi="宋体" w:eastAsia="宋体" w:cs="宋体"/>
          <w:color w:val="auto"/>
          <w:sz w:val="24"/>
          <w:szCs w:val="24"/>
          <w:highlight w:val="none"/>
        </w:rPr>
        <w:t>5 谈判文件的构成</w:t>
      </w:r>
      <w:bookmarkEnd w:id="35"/>
      <w:bookmarkEnd w:id="3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谈判文件用以阐明所需提供的服务、采购、谈判程序和合同条件。谈判文件包括：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 竞争性谈判公告；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 谈判须知前附表；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 谈判须知；</w:t>
      </w:r>
    </w:p>
    <w:p>
      <w:pPr>
        <w:tabs>
          <w:tab w:val="left" w:pos="241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5.1.4 采购内容及要求；</w:t>
      </w:r>
      <w:r>
        <w:rPr>
          <w:rFonts w:hint="eastAsia" w:ascii="宋体" w:hAnsi="宋体" w:eastAsia="宋体" w:cs="宋体"/>
          <w:color w:val="auto"/>
          <w:sz w:val="24"/>
          <w:highlight w:val="none"/>
        </w:rPr>
        <w:tab/>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5.1.5 合同一般条款；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5.1.6 附件—谈判响应文件格式。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 供应商应认真阅读谈判文件中所有的事项、格式、条款和规范要求等。</w:t>
      </w:r>
    </w:p>
    <w:p>
      <w:pPr>
        <w:pStyle w:val="5"/>
        <w:rPr>
          <w:rFonts w:hint="eastAsia" w:ascii="宋体" w:hAnsi="宋体" w:eastAsia="宋体" w:cs="宋体"/>
          <w:color w:val="auto"/>
          <w:sz w:val="24"/>
          <w:szCs w:val="24"/>
          <w:highlight w:val="none"/>
        </w:rPr>
      </w:pPr>
      <w:bookmarkStart w:id="37" w:name="_Toc24386"/>
      <w:bookmarkStart w:id="38" w:name="_Toc246928902"/>
      <w:r>
        <w:rPr>
          <w:rFonts w:hint="eastAsia" w:ascii="宋体" w:hAnsi="宋体" w:eastAsia="宋体" w:cs="宋体"/>
          <w:color w:val="auto"/>
          <w:sz w:val="24"/>
          <w:szCs w:val="24"/>
          <w:highlight w:val="none"/>
        </w:rPr>
        <w:t>6 谈判文件的澄清</w:t>
      </w:r>
      <w:bookmarkEnd w:id="37"/>
      <w:bookmarkEnd w:id="38"/>
    </w:p>
    <w:p>
      <w:pPr>
        <w:spacing w:line="360" w:lineRule="auto"/>
        <w:rPr>
          <w:rFonts w:hint="eastAsia" w:ascii="宋体" w:hAnsi="宋体" w:eastAsia="宋体" w:cs="宋体"/>
          <w:color w:val="auto"/>
          <w:sz w:val="24"/>
          <w:highlight w:val="none"/>
        </w:rPr>
      </w:pPr>
      <w:bookmarkStart w:id="39" w:name="_Toc246928903"/>
      <w:r>
        <w:rPr>
          <w:rFonts w:hint="eastAsia" w:ascii="宋体" w:hAnsi="宋体" w:eastAsia="宋体" w:cs="宋体"/>
          <w:color w:val="auto"/>
          <w:sz w:val="24"/>
          <w:highlight w:val="none"/>
        </w:rPr>
        <w:t>6.1 任何要求对谈判文件澄清的供应商，均应以书面形式在谈判时间前通知采购代理机构。采购代理机构将视情况确定采用适当方式予以澄清或以书面形式予以答复，并在其认为必要时，将不标明查询来源的书面答复通知谈判文件收受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供应商收到上述通知后，应当立即向采购代理机构发出回函予以确认。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 该澄清的内容为谈判文件的组成部分。</w:t>
      </w:r>
    </w:p>
    <w:p>
      <w:pPr>
        <w:pStyle w:val="5"/>
        <w:rPr>
          <w:rFonts w:hint="eastAsia" w:ascii="宋体" w:hAnsi="宋体" w:eastAsia="宋体" w:cs="宋体"/>
          <w:color w:val="auto"/>
          <w:sz w:val="24"/>
          <w:szCs w:val="24"/>
          <w:highlight w:val="none"/>
        </w:rPr>
      </w:pPr>
      <w:bookmarkStart w:id="40" w:name="_Toc26475"/>
      <w:r>
        <w:rPr>
          <w:rFonts w:hint="eastAsia" w:ascii="宋体" w:hAnsi="宋体" w:eastAsia="宋体" w:cs="宋体"/>
          <w:color w:val="auto"/>
          <w:sz w:val="24"/>
          <w:szCs w:val="24"/>
          <w:highlight w:val="none"/>
        </w:rPr>
        <w:t>7 谈判文件的修改</w:t>
      </w:r>
      <w:bookmarkEnd w:id="39"/>
      <w:bookmarkEnd w:id="40"/>
    </w:p>
    <w:p>
      <w:pPr>
        <w:spacing w:line="360" w:lineRule="auto"/>
        <w:rPr>
          <w:rFonts w:hint="eastAsia" w:ascii="宋体" w:hAnsi="宋体" w:eastAsia="宋体" w:cs="宋体"/>
          <w:color w:val="auto"/>
          <w:sz w:val="24"/>
          <w:highlight w:val="none"/>
        </w:rPr>
      </w:pPr>
      <w:bookmarkStart w:id="41" w:name="_Toc246928904"/>
      <w:r>
        <w:rPr>
          <w:rFonts w:hint="eastAsia" w:ascii="宋体" w:hAnsi="宋体" w:eastAsia="宋体" w:cs="宋体"/>
          <w:color w:val="auto"/>
          <w:sz w:val="24"/>
          <w:highlight w:val="none"/>
        </w:rPr>
        <w:t>7.1 在谈判截止期前，无论出于何种原因，采购人可主动地或在解答供应商要求澄清的问题时对谈判文件进行修改。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谈判文件的修改将以书面形式通知所有谈判文件的收受人，供应商在收到该通知后应立即以书面形式予以确认。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为使供应商在准备谈判响应文件时，有充分的时间对谈判文件的修改进行研究考虑，采购人可自行决定，酌情推迟谈判响应文件截止日期和谈判时间，并以书面形式通知所有已购买谈判文件的供应商。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7.4 谈判文件的修改书将构成谈判文件的一部分，对采购人和供应商都具有约束力。</w:t>
      </w:r>
    </w:p>
    <w:p>
      <w:pPr>
        <w:pStyle w:val="4"/>
        <w:ind w:firstLine="562"/>
        <w:rPr>
          <w:rFonts w:hint="eastAsia" w:ascii="宋体" w:hAnsi="宋体" w:eastAsia="宋体" w:cs="宋体"/>
          <w:color w:val="auto"/>
          <w:sz w:val="24"/>
          <w:szCs w:val="24"/>
          <w:highlight w:val="none"/>
        </w:rPr>
      </w:pPr>
      <w:bookmarkStart w:id="42" w:name="_Toc13059"/>
      <w:bookmarkStart w:id="43" w:name="_Toc19364"/>
      <w:bookmarkStart w:id="44" w:name="_Toc19570"/>
      <w:r>
        <w:rPr>
          <w:rFonts w:hint="eastAsia" w:ascii="宋体" w:hAnsi="宋体" w:eastAsia="宋体" w:cs="宋体"/>
          <w:color w:val="auto"/>
          <w:sz w:val="24"/>
          <w:szCs w:val="24"/>
          <w:highlight w:val="none"/>
        </w:rPr>
        <w:t>（三）谈判响应文件的编写</w:t>
      </w:r>
      <w:bookmarkEnd w:id="41"/>
      <w:bookmarkEnd w:id="42"/>
      <w:bookmarkEnd w:id="43"/>
      <w:bookmarkEnd w:id="44"/>
    </w:p>
    <w:p>
      <w:pPr>
        <w:pStyle w:val="5"/>
        <w:rPr>
          <w:rFonts w:hint="eastAsia" w:ascii="宋体" w:hAnsi="宋体" w:eastAsia="宋体" w:cs="宋体"/>
          <w:color w:val="auto"/>
          <w:sz w:val="24"/>
          <w:szCs w:val="24"/>
          <w:highlight w:val="none"/>
        </w:rPr>
      </w:pPr>
      <w:bookmarkStart w:id="45" w:name="_Toc246928905"/>
      <w:bookmarkStart w:id="46" w:name="_Toc26353"/>
      <w:r>
        <w:rPr>
          <w:rFonts w:hint="eastAsia" w:ascii="宋体" w:hAnsi="宋体" w:eastAsia="宋体" w:cs="宋体"/>
          <w:color w:val="auto"/>
          <w:sz w:val="24"/>
          <w:szCs w:val="24"/>
          <w:highlight w:val="none"/>
        </w:rPr>
        <w:t>8 谈判语言</w:t>
      </w:r>
      <w:bookmarkEnd w:id="45"/>
      <w:bookmarkEnd w:id="4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由供应商编写的谈判响应文件和往来传真应以中文书写。</w:t>
      </w:r>
    </w:p>
    <w:p>
      <w:pPr>
        <w:pStyle w:val="5"/>
        <w:rPr>
          <w:rFonts w:hint="eastAsia" w:ascii="宋体" w:hAnsi="宋体" w:eastAsia="宋体" w:cs="宋体"/>
          <w:color w:val="auto"/>
          <w:sz w:val="24"/>
          <w:szCs w:val="24"/>
          <w:highlight w:val="none"/>
        </w:rPr>
      </w:pPr>
      <w:bookmarkStart w:id="47" w:name="_Toc32313"/>
      <w:bookmarkStart w:id="48" w:name="_Toc246928906"/>
      <w:r>
        <w:rPr>
          <w:rFonts w:hint="eastAsia" w:ascii="宋体" w:hAnsi="宋体" w:eastAsia="宋体" w:cs="宋体"/>
          <w:color w:val="auto"/>
          <w:sz w:val="24"/>
          <w:szCs w:val="24"/>
          <w:highlight w:val="none"/>
        </w:rPr>
        <w:t>9 计量单位</w:t>
      </w:r>
      <w:bookmarkEnd w:id="47"/>
      <w:bookmarkEnd w:id="48"/>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除在谈判文件中有特殊要求外，计量单位应使用中华人民共和国法定计量单位及通用图形符号。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本次采购、报价、谈判、评审和合同授予均以项目为单位，供应商必须就整个项目进行响应，不得将整个项目中的内容拆开响应。拆开响应的，按无效谈判处理。</w:t>
      </w:r>
    </w:p>
    <w:p>
      <w:pPr>
        <w:pStyle w:val="5"/>
        <w:rPr>
          <w:rFonts w:hint="eastAsia" w:ascii="宋体" w:hAnsi="宋体" w:eastAsia="宋体" w:cs="宋体"/>
          <w:color w:val="auto"/>
          <w:sz w:val="24"/>
          <w:szCs w:val="24"/>
          <w:highlight w:val="none"/>
        </w:rPr>
      </w:pPr>
      <w:bookmarkStart w:id="49" w:name="_Toc31126"/>
      <w:bookmarkStart w:id="50" w:name="_Toc246928907"/>
      <w:r>
        <w:rPr>
          <w:rFonts w:hint="eastAsia" w:ascii="宋体" w:hAnsi="宋体" w:eastAsia="宋体" w:cs="宋体"/>
          <w:color w:val="auto"/>
          <w:sz w:val="24"/>
          <w:szCs w:val="24"/>
          <w:highlight w:val="none"/>
        </w:rPr>
        <w:t>10 谈判响应文件的构成</w:t>
      </w:r>
      <w:bookmarkEnd w:id="49"/>
      <w:bookmarkEnd w:id="50"/>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详见第五章谈判响应文件格式；</w:t>
      </w:r>
    </w:p>
    <w:p>
      <w:pPr>
        <w:pStyle w:val="5"/>
        <w:rPr>
          <w:rFonts w:hint="eastAsia" w:ascii="宋体" w:hAnsi="宋体" w:eastAsia="宋体" w:cs="宋体"/>
          <w:color w:val="auto"/>
          <w:sz w:val="24"/>
          <w:szCs w:val="24"/>
          <w:highlight w:val="none"/>
        </w:rPr>
      </w:pPr>
      <w:bookmarkStart w:id="51" w:name="_Toc246928909"/>
      <w:bookmarkStart w:id="52" w:name="_Toc29843"/>
      <w:r>
        <w:rPr>
          <w:rFonts w:hint="eastAsia" w:ascii="宋体" w:hAnsi="宋体" w:eastAsia="宋体" w:cs="宋体"/>
          <w:color w:val="auto"/>
          <w:sz w:val="24"/>
          <w:szCs w:val="24"/>
          <w:highlight w:val="none"/>
        </w:rPr>
        <w:t>11 谈判报价</w:t>
      </w:r>
      <w:bookmarkEnd w:id="51"/>
      <w:bookmarkEnd w:id="5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所有报价均以人民币报价。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11.2供应商依据谈判文件提供的采购要求等资料并自行考虑风险因素计算谈判报价，一旦成交，谈判报价将不会因国家政策调整及市场变化因素而得到调整。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谈判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谈判报价中而不予支付。</w:t>
      </w:r>
    </w:p>
    <w:p>
      <w:pPr>
        <w:pStyle w:val="5"/>
        <w:rPr>
          <w:rFonts w:hint="eastAsia" w:ascii="宋体" w:hAnsi="宋体" w:eastAsia="宋体" w:cs="宋体"/>
          <w:color w:val="auto"/>
          <w:sz w:val="24"/>
          <w:szCs w:val="24"/>
          <w:highlight w:val="none"/>
        </w:rPr>
      </w:pPr>
      <w:bookmarkStart w:id="53" w:name="_Toc27218"/>
      <w:bookmarkStart w:id="54" w:name="_Toc246928911"/>
      <w:bookmarkStart w:id="55" w:name="_Hlk47648326"/>
      <w:r>
        <w:rPr>
          <w:rFonts w:hint="eastAsia" w:ascii="宋体" w:hAnsi="宋体" w:eastAsia="宋体" w:cs="宋体"/>
          <w:color w:val="auto"/>
          <w:sz w:val="24"/>
          <w:szCs w:val="24"/>
          <w:highlight w:val="none"/>
        </w:rPr>
        <w:t>12证明供应商资格的证明文件</w:t>
      </w:r>
      <w:bookmarkEnd w:id="53"/>
      <w:bookmarkEnd w:id="54"/>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12.1响应文件的</w:t>
      </w:r>
      <w:r>
        <w:rPr>
          <w:rFonts w:hint="eastAsia" w:ascii="宋体" w:hAnsi="宋体" w:eastAsia="宋体" w:cs="宋体"/>
          <w:b/>
          <w:bCs/>
          <w:color w:val="auto"/>
          <w:sz w:val="24"/>
          <w:szCs w:val="22"/>
          <w:highlight w:val="none"/>
          <w:u w:val="single"/>
        </w:rPr>
        <w:t>资格性审查</w:t>
      </w:r>
      <w:r>
        <w:rPr>
          <w:rFonts w:hint="eastAsia" w:ascii="宋体" w:hAnsi="宋体" w:eastAsia="宋体" w:cs="宋体"/>
          <w:color w:val="auto"/>
          <w:sz w:val="24"/>
          <w:szCs w:val="22"/>
          <w:highlight w:val="none"/>
        </w:rPr>
        <w:t>：依据法律法规和谈判文件的规定，对响应文件中的资格证明文件进行审查。审查内容见下表：</w:t>
      </w: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供应商为具有独立承担民事责任能力的法人、其他组织或自然人，并出具合法有效的营业执照或事业单位法人证书等国家规定的相关证明，自然人参与的提供其身份证明；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财务状况报告</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1"/>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税收缴纳证明：提供投标文件递交截止日前一年内已缴存的至少一个月的纳税证明或完税证明。依法免税的投标人应提供相关文件证明；</w:t>
            </w:r>
          </w:p>
          <w:p>
            <w:pPr>
              <w:numPr>
                <w:ilvl w:val="0"/>
                <w:numId w:val="1"/>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社会保障资金缴纳证明：提供投标文件递交截止日前一年内已缴存的至少一个月的社会保障资金缴存单据或社保机构开具的社会保险参保缴费情况证明，依法不需要缴纳社会保障资金的单位应提供相关证明材料；</w:t>
            </w:r>
          </w:p>
          <w:p>
            <w:pPr>
              <w:numPr>
                <w:ilvl w:val="0"/>
                <w:numId w:val="0"/>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cs="宋体"/>
                <w:b/>
                <w:bCs/>
                <w:color w:val="auto"/>
                <w:kern w:val="28"/>
                <w:sz w:val="24"/>
                <w:szCs w:val="24"/>
                <w:highlight w:val="none"/>
                <w:lang w:val="en-US" w:eastAsia="zh-CN"/>
              </w:rPr>
              <w:t>注：</w:t>
            </w:r>
            <w:r>
              <w:rPr>
                <w:rFonts w:hint="eastAsia" w:ascii="宋体" w:hAnsi="宋体" w:eastAsia="宋体" w:cs="宋体"/>
                <w:b/>
                <w:bCs/>
                <w:color w:val="auto"/>
                <w:kern w:val="28"/>
                <w:sz w:val="24"/>
                <w:szCs w:val="24"/>
                <w:highlight w:val="none"/>
              </w:rPr>
              <w:t>依法免税的应提供相关文件证明；依法不需要缴纳社会保障资金的应提供相关文件证明</w:t>
            </w:r>
            <w:r>
              <w:rPr>
                <w:rFonts w:hint="eastAsia" w:ascii="宋体" w:hAnsi="宋体" w:eastAsia="宋体" w:cs="宋体"/>
                <w:b/>
                <w:bCs/>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书面声明</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供应商参加本次谈判近3年内，在经营活动中没有重大违法记录的书面声明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具有履行合同所必须的设备和专业技术能力的承诺及说明</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kern w:val="28"/>
                <w:sz w:val="24"/>
                <w:szCs w:val="24"/>
                <w:highlight w:val="none"/>
              </w:rPr>
              <w:t>具有履行合同所必须的设备和专业技术能力的承诺及说明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信用截图</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cs="宋体"/>
                <w:color w:val="auto"/>
                <w:kern w:val="28"/>
                <w:sz w:val="24"/>
                <w:szCs w:val="24"/>
                <w:highlight w:val="none"/>
                <w:lang w:eastAsia="zh-CN"/>
              </w:rPr>
              <w:t>。</w:t>
            </w:r>
          </w:p>
        </w:tc>
      </w:tr>
    </w:tbl>
    <w:p>
      <w:pPr>
        <w:pStyle w:val="37"/>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注：供应商或谈判响应文件出现不满足以上</w:t>
      </w:r>
      <w:r>
        <w:rPr>
          <w:rFonts w:hint="eastAsia" w:ascii="宋体" w:hAnsi="宋体" w:eastAsia="宋体" w:cs="宋体"/>
          <w:color w:val="auto"/>
          <w:sz w:val="24"/>
          <w:highlight w:val="none"/>
          <w:lang w:val="en-US" w:eastAsia="zh-CN"/>
        </w:rPr>
        <w:t>任意</w:t>
      </w:r>
      <w:r>
        <w:rPr>
          <w:rFonts w:hint="eastAsia" w:ascii="宋体" w:hAnsi="宋体" w:eastAsia="宋体" w:cs="宋体"/>
          <w:color w:val="auto"/>
          <w:sz w:val="24"/>
          <w:highlight w:val="none"/>
        </w:rPr>
        <w:t>情形的将按照无效响应文件处理。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供应商必须按要求提交证明文件，以证明其有资格参加谈判和成交后有履行合同的能力，并作为其谈判文件的一部分。</w:t>
      </w:r>
      <w:bookmarkStart w:id="56" w:name="_Hlk48043531"/>
    </w:p>
    <w:p>
      <w:pPr>
        <w:pStyle w:val="5"/>
        <w:rPr>
          <w:rFonts w:hint="eastAsia" w:ascii="宋体" w:hAnsi="宋体" w:eastAsia="宋体" w:cs="宋体"/>
          <w:color w:val="auto"/>
          <w:sz w:val="24"/>
          <w:szCs w:val="24"/>
          <w:highlight w:val="none"/>
        </w:rPr>
      </w:pPr>
      <w:bookmarkStart w:id="57" w:name="_Toc246928912"/>
      <w:bookmarkStart w:id="58" w:name="_Toc2847"/>
      <w:r>
        <w:rPr>
          <w:rFonts w:hint="eastAsia" w:ascii="宋体" w:hAnsi="宋体" w:eastAsia="宋体" w:cs="宋体"/>
          <w:color w:val="auto"/>
          <w:sz w:val="24"/>
          <w:szCs w:val="24"/>
          <w:highlight w:val="none"/>
        </w:rPr>
        <w:t xml:space="preserve">13 </w:t>
      </w:r>
      <w:bookmarkEnd w:id="57"/>
      <w:r>
        <w:rPr>
          <w:rFonts w:hint="eastAsia" w:ascii="宋体" w:hAnsi="宋体" w:eastAsia="宋体" w:cs="宋体"/>
          <w:color w:val="auto"/>
          <w:sz w:val="24"/>
          <w:szCs w:val="24"/>
          <w:highlight w:val="none"/>
        </w:rPr>
        <w:t>证明供应商符合性的条件</w:t>
      </w:r>
      <w:bookmarkEnd w:id="58"/>
    </w:p>
    <w:p>
      <w:pPr>
        <w:overflowPunct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.1响应文件的</w:t>
      </w:r>
      <w:r>
        <w:rPr>
          <w:rFonts w:hint="eastAsia" w:ascii="宋体" w:hAnsi="宋体" w:eastAsia="宋体" w:cs="宋体"/>
          <w:b/>
          <w:bCs/>
          <w:color w:val="auto"/>
          <w:sz w:val="24"/>
          <w:szCs w:val="22"/>
          <w:highlight w:val="none"/>
          <w:u w:val="single"/>
          <w:lang w:val="en-US" w:eastAsia="zh-CN"/>
        </w:rPr>
        <w:t>符合</w:t>
      </w:r>
      <w:r>
        <w:rPr>
          <w:rFonts w:hint="eastAsia" w:ascii="宋体" w:hAnsi="宋体" w:eastAsia="宋体" w:cs="宋体"/>
          <w:b/>
          <w:bCs/>
          <w:color w:val="auto"/>
          <w:sz w:val="24"/>
          <w:szCs w:val="22"/>
          <w:highlight w:val="none"/>
          <w:u w:val="single"/>
        </w:rPr>
        <w:t>性审查</w:t>
      </w:r>
      <w:r>
        <w:rPr>
          <w:rFonts w:hint="eastAsia" w:ascii="宋体" w:hAnsi="宋体" w:eastAsia="宋体" w:cs="宋体"/>
          <w:color w:val="auto"/>
          <w:sz w:val="24"/>
          <w:szCs w:val="22"/>
          <w:highlight w:val="none"/>
        </w:rPr>
        <w:t>：</w:t>
      </w: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供应商名称与获取竞争性谈判文件登记的单位名称一致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w:t>
            </w:r>
            <w:r>
              <w:rPr>
                <w:rFonts w:hint="eastAsia" w:ascii="宋体" w:hAnsi="宋体" w:eastAsia="宋体" w:cs="宋体"/>
                <w:color w:val="auto"/>
                <w:sz w:val="24"/>
                <w:szCs w:val="24"/>
                <w:highlight w:val="none"/>
              </w:rPr>
              <w:t>货期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cs="宋体"/>
                <w:color w:val="auto"/>
                <w:kern w:val="28"/>
                <w:sz w:val="24"/>
                <w:szCs w:val="24"/>
                <w:highlight w:val="none"/>
                <w:lang w:val="en-US" w:eastAsia="zh-CN"/>
              </w:rPr>
              <w:t>响应</w:t>
            </w:r>
            <w:r>
              <w:rPr>
                <w:rFonts w:hint="eastAsia" w:ascii="宋体" w:hAnsi="宋体" w:eastAsia="宋体" w:cs="宋体"/>
                <w:color w:val="auto"/>
                <w:kern w:val="28"/>
                <w:sz w:val="24"/>
                <w:szCs w:val="24"/>
                <w:highlight w:val="none"/>
              </w:rPr>
              <w:t>方案</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项目组织实施计划完整可行</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highlight w:val="none"/>
              </w:rPr>
              <w:t>售后服务</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rPr>
              <w:t>有完善的售后服务方案</w:t>
            </w:r>
            <w:r>
              <w:rPr>
                <w:rFonts w:hint="eastAsia" w:ascii="宋体" w:hAnsi="宋体" w:eastAsia="宋体" w:cs="宋体"/>
                <w:color w:val="auto"/>
                <w:kern w:val="28"/>
                <w:sz w:val="24"/>
                <w:szCs w:val="24"/>
                <w:highlight w:val="none"/>
                <w:lang w:val="en-US" w:eastAsia="zh-CN"/>
              </w:rPr>
              <w:t>（含明确的培训计划）。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无虚假响应</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无谈判小组认定存在谈判文件规定的虚假响应情形。</w:t>
            </w:r>
          </w:p>
        </w:tc>
      </w:tr>
    </w:tbl>
    <w:p>
      <w:pPr>
        <w:pStyle w:val="37"/>
        <w:ind w:firstLine="0" w:firstLineChars="0"/>
        <w:rPr>
          <w:rFonts w:hint="eastAsia" w:ascii="宋体" w:hAnsi="宋体" w:eastAsia="宋体" w:cs="宋体"/>
          <w:color w:val="auto"/>
          <w:highlight w:val="none"/>
        </w:rPr>
      </w:pPr>
      <w:bookmarkStart w:id="59" w:name="_Toc246928913"/>
      <w:r>
        <w:rPr>
          <w:rFonts w:hint="eastAsia" w:ascii="宋体" w:hAnsi="宋体" w:eastAsia="宋体" w:cs="宋体"/>
          <w:color w:val="auto"/>
          <w:sz w:val="24"/>
          <w:highlight w:val="none"/>
        </w:rPr>
        <w:t>注：供应商或谈判响应文件出现不满足以上情形的将按照无效响应文件处理。</w:t>
      </w:r>
    </w:p>
    <w:bookmarkEnd w:id="56"/>
    <w:p>
      <w:pPr>
        <w:pStyle w:val="5"/>
        <w:rPr>
          <w:rFonts w:hint="eastAsia" w:ascii="宋体" w:hAnsi="宋体" w:eastAsia="宋体" w:cs="宋体"/>
          <w:color w:val="auto"/>
          <w:sz w:val="24"/>
          <w:szCs w:val="24"/>
          <w:highlight w:val="none"/>
        </w:rPr>
      </w:pPr>
      <w:bookmarkStart w:id="60" w:name="_Toc17138"/>
      <w:r>
        <w:rPr>
          <w:rFonts w:hint="eastAsia" w:ascii="宋体" w:hAnsi="宋体" w:eastAsia="宋体" w:cs="宋体"/>
          <w:color w:val="auto"/>
          <w:sz w:val="24"/>
          <w:szCs w:val="24"/>
          <w:highlight w:val="none"/>
        </w:rPr>
        <w:t>14 谈判保证金</w:t>
      </w:r>
      <w:bookmarkEnd w:id="59"/>
      <w:bookmarkEnd w:id="60"/>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14.1 谈判保证金金额及方式见谈判须知前附表</w:t>
      </w:r>
      <w:r>
        <w:rPr>
          <w:rFonts w:hint="eastAsia" w:ascii="宋体" w:hAnsi="宋体" w:cs="宋体"/>
          <w:color w:val="auto"/>
          <w:sz w:val="24"/>
          <w:highlight w:val="none"/>
          <w:lang w:eastAsia="zh-CN"/>
        </w:rPr>
        <w:t>。</w:t>
      </w:r>
    </w:p>
    <w:bookmarkEnd w:id="55"/>
    <w:p>
      <w:pPr>
        <w:pStyle w:val="5"/>
        <w:rPr>
          <w:rFonts w:hint="eastAsia" w:ascii="宋体" w:hAnsi="宋体" w:eastAsia="宋体" w:cs="宋体"/>
          <w:color w:val="auto"/>
          <w:sz w:val="24"/>
          <w:szCs w:val="24"/>
          <w:highlight w:val="none"/>
        </w:rPr>
      </w:pPr>
      <w:bookmarkStart w:id="61" w:name="_Toc24104"/>
      <w:bookmarkStart w:id="62" w:name="_Toc246928914"/>
      <w:r>
        <w:rPr>
          <w:rFonts w:hint="eastAsia" w:ascii="宋体" w:hAnsi="宋体" w:eastAsia="宋体" w:cs="宋体"/>
          <w:color w:val="auto"/>
          <w:sz w:val="24"/>
          <w:szCs w:val="24"/>
          <w:highlight w:val="none"/>
        </w:rPr>
        <w:t>15 谈判有效期</w:t>
      </w:r>
      <w:bookmarkEnd w:id="61"/>
      <w:bookmarkEnd w:id="6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谈判响应文件从谈判之日起，谈判有效期为90日历天。谈判有效期不满足要求的谈判属于无效谈判情形。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特殊情况下，采购人可于谈判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谈判有效期的延长期内继续有效。</w:t>
      </w:r>
    </w:p>
    <w:p>
      <w:pPr>
        <w:pStyle w:val="5"/>
        <w:rPr>
          <w:rFonts w:hint="eastAsia" w:ascii="宋体" w:hAnsi="宋体" w:eastAsia="宋体" w:cs="宋体"/>
          <w:color w:val="auto"/>
          <w:sz w:val="24"/>
          <w:szCs w:val="24"/>
          <w:highlight w:val="none"/>
        </w:rPr>
      </w:pPr>
      <w:bookmarkStart w:id="63" w:name="_Toc246928915"/>
      <w:bookmarkStart w:id="64" w:name="_Toc17920"/>
      <w:r>
        <w:rPr>
          <w:rFonts w:hint="eastAsia" w:ascii="宋体" w:hAnsi="宋体" w:eastAsia="宋体" w:cs="宋体"/>
          <w:color w:val="auto"/>
          <w:sz w:val="24"/>
          <w:szCs w:val="24"/>
          <w:highlight w:val="none"/>
        </w:rPr>
        <w:t>16 谈判响应文件的</w:t>
      </w:r>
      <w:bookmarkEnd w:id="63"/>
      <w:r>
        <w:rPr>
          <w:rFonts w:hint="eastAsia" w:ascii="宋体" w:hAnsi="宋体" w:eastAsia="宋体" w:cs="宋体"/>
          <w:color w:val="auto"/>
          <w:sz w:val="24"/>
          <w:szCs w:val="24"/>
          <w:highlight w:val="none"/>
        </w:rPr>
        <w:t>数量及签署规定</w:t>
      </w:r>
      <w:bookmarkEnd w:id="6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供应商应当按照谈判须知前附表准备响应文件。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谈判响应文件的正本需打印或用不褪色墨水书写，并编制详细的目录，统一装订、标码，由供应商的法定代表人或授权代表在谈判文件要求签字盖章的地方签字并盖章，一旦正本和副本有差异，以正本为准。授权代表须持有书面的“法定代表人授权委托书”（标准格式附后），并将其附在谈判响应文件中。如对谈判响应文件进行了修改，则应当由授权代表在修改的每一页上签字。谈判响应文件的副本可以采用正本的复印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 任何行间插字、涂改和增删，必须由供应商的法定代表人或其授权的代表签字并加盖公章后才有效。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16.4谈判响应文件因字迹潦草或表达不清所引起的后果由供应商负责。</w:t>
      </w:r>
    </w:p>
    <w:p>
      <w:pPr>
        <w:pStyle w:val="4"/>
        <w:ind w:firstLine="480"/>
        <w:rPr>
          <w:rFonts w:hint="eastAsia" w:ascii="宋体" w:hAnsi="宋体" w:eastAsia="宋体" w:cs="宋体"/>
          <w:b w:val="0"/>
          <w:color w:val="auto"/>
          <w:sz w:val="24"/>
          <w:szCs w:val="24"/>
          <w:highlight w:val="none"/>
        </w:rPr>
      </w:pPr>
      <w:bookmarkStart w:id="65" w:name="_Toc12625"/>
      <w:bookmarkStart w:id="66" w:name="_Toc10620"/>
      <w:bookmarkStart w:id="67" w:name="_Toc246928916"/>
      <w:bookmarkStart w:id="68" w:name="_Toc12925"/>
      <w:r>
        <w:rPr>
          <w:rFonts w:hint="eastAsia" w:ascii="宋体" w:hAnsi="宋体" w:eastAsia="宋体" w:cs="宋体"/>
          <w:color w:val="auto"/>
          <w:sz w:val="24"/>
          <w:szCs w:val="24"/>
          <w:highlight w:val="none"/>
        </w:rPr>
        <w:t>（四）谈判响应文件的递交</w:t>
      </w:r>
      <w:bookmarkEnd w:id="65"/>
      <w:bookmarkEnd w:id="66"/>
      <w:bookmarkEnd w:id="67"/>
      <w:bookmarkEnd w:id="68"/>
    </w:p>
    <w:p>
      <w:pPr>
        <w:pStyle w:val="5"/>
        <w:rPr>
          <w:rFonts w:hint="eastAsia" w:ascii="宋体" w:hAnsi="宋体" w:eastAsia="宋体" w:cs="宋体"/>
          <w:color w:val="auto"/>
          <w:sz w:val="24"/>
          <w:szCs w:val="24"/>
          <w:highlight w:val="none"/>
        </w:rPr>
      </w:pPr>
      <w:bookmarkStart w:id="69" w:name="_Toc20393"/>
      <w:bookmarkStart w:id="70" w:name="_Toc246928917"/>
      <w:r>
        <w:rPr>
          <w:rFonts w:hint="eastAsia" w:ascii="宋体" w:hAnsi="宋体" w:eastAsia="宋体" w:cs="宋体"/>
          <w:color w:val="auto"/>
          <w:sz w:val="24"/>
          <w:szCs w:val="24"/>
          <w:highlight w:val="none"/>
        </w:rPr>
        <w:t>17 谈判响应文件的密封和标记</w:t>
      </w:r>
      <w:bookmarkEnd w:id="69"/>
      <w:bookmarkEnd w:id="70"/>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谈判响应文件必须密封递交。对封装材料及样式不作特别规定，但供应商应当保证其封装的可靠性，不致因搬运、堆放等原因散开。谈判时，供应商应当将谈判响应文件正本以密封袋/箱单独密封，所有的副本以密封袋/箱单独密封。密封袋/箱正面和谈判文件封面须标明“正本”“副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17.2有关包装袋/箱上均应当：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注明谈判公告中指明的项目名称、项目编号、供应商名称、正/副本</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（谈判时间）</w:t>
      </w:r>
      <w:r>
        <w:rPr>
          <w:rFonts w:hint="eastAsia" w:ascii="宋体" w:hAnsi="宋体" w:eastAsia="宋体" w:cs="宋体"/>
          <w:color w:val="auto"/>
          <w:sz w:val="24"/>
          <w:szCs w:val="24"/>
          <w:highlight w:val="none"/>
        </w:rPr>
        <w:t>前不得启封等字样。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w:t>
      </w:r>
      <w:r>
        <w:rPr>
          <w:rFonts w:hint="eastAsia" w:ascii="宋体" w:hAnsi="宋体" w:eastAsia="宋体" w:cs="宋体"/>
          <w:color w:val="auto"/>
          <w:sz w:val="24"/>
          <w:highlight w:val="none"/>
        </w:rPr>
        <w:t>谈判响应文件袋面按照规定加盖供应商公章。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17.2.3 </w:t>
      </w:r>
      <w:r>
        <w:rPr>
          <w:rFonts w:hint="eastAsia" w:ascii="宋体" w:hAnsi="宋体" w:eastAsia="宋体" w:cs="宋体"/>
          <w:color w:val="auto"/>
          <w:sz w:val="24"/>
          <w:highlight w:val="none"/>
        </w:rPr>
        <w:t>如果供应商未按上述要求密封及加写标记，采购代理机构对谈判响应文件的误投或过早启封概不负责。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17.2.4响应文件</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密封</w:t>
      </w:r>
      <w:r>
        <w:rPr>
          <w:rFonts w:hint="eastAsia" w:ascii="宋体" w:hAnsi="宋体" w:eastAsia="宋体" w:cs="宋体"/>
          <w:color w:val="auto"/>
          <w:sz w:val="24"/>
          <w:highlight w:val="none"/>
          <w:lang w:val="en-US" w:eastAsia="zh-CN"/>
        </w:rPr>
        <w:t>完好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响应文件袋正面按照规定加盖供应商公章。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17.2.5如果未按上述规定进行密封和标记，</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有权拒绝供应商的响应文件，不予受理则按无效投标处理。</w:t>
      </w:r>
    </w:p>
    <w:p>
      <w:pPr>
        <w:pStyle w:val="5"/>
        <w:rPr>
          <w:rFonts w:hint="eastAsia" w:ascii="宋体" w:hAnsi="宋体" w:eastAsia="宋体" w:cs="宋体"/>
          <w:color w:val="auto"/>
          <w:sz w:val="24"/>
          <w:szCs w:val="24"/>
          <w:highlight w:val="none"/>
        </w:rPr>
      </w:pPr>
      <w:bookmarkStart w:id="71" w:name="_Toc9257"/>
      <w:bookmarkStart w:id="72" w:name="_Toc246928918"/>
      <w:r>
        <w:rPr>
          <w:rFonts w:hint="eastAsia" w:ascii="宋体" w:hAnsi="宋体" w:eastAsia="宋体" w:cs="宋体"/>
          <w:color w:val="auto"/>
          <w:sz w:val="24"/>
          <w:szCs w:val="24"/>
          <w:highlight w:val="none"/>
        </w:rPr>
        <w:t>18 谈判响应文件截止时间</w:t>
      </w:r>
      <w:bookmarkEnd w:id="71"/>
      <w:bookmarkEnd w:id="7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所有谈判响应文件都必须按谈判公告中规定的谈判响应文件截止时间前送达谈判文件规定的递交地点。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 采购人或采购代理机构有权按本须知的规定，通过修改谈判文件延长谈判响应文件截止时间。在此情况下，采购人和供应商受谈判响应文件截止时间制约的所有权利和义务均应当延长至新的截止期。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采购人及采购代理机构将拒绝接收谈判文件规定的谈判响应文件截止时间之后递交的任何谈判响应文件。</w:t>
      </w:r>
    </w:p>
    <w:p>
      <w:pPr>
        <w:pStyle w:val="5"/>
        <w:rPr>
          <w:rFonts w:hint="eastAsia" w:ascii="宋体" w:hAnsi="宋体" w:eastAsia="宋体" w:cs="宋体"/>
          <w:color w:val="auto"/>
          <w:sz w:val="24"/>
          <w:szCs w:val="24"/>
          <w:highlight w:val="none"/>
        </w:rPr>
      </w:pPr>
      <w:bookmarkStart w:id="73" w:name="_Toc26319"/>
      <w:r>
        <w:rPr>
          <w:rFonts w:hint="eastAsia" w:ascii="宋体" w:hAnsi="宋体" w:eastAsia="宋体" w:cs="宋体"/>
          <w:color w:val="auto"/>
          <w:sz w:val="24"/>
          <w:szCs w:val="24"/>
          <w:highlight w:val="none"/>
        </w:rPr>
        <w:t>19 谈判响应文件的修改与撤回</w:t>
      </w:r>
      <w:bookmarkEnd w:id="7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供应商在谈判响应文件截止时间前，可以对所递交的谈判响应文件进行补充、修改或者撤回，并书面通知采购代理机构。补充、修改的内容应当按谈判文件要求签署、盖章，并作为谈判响应文件的组成部分。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谈判响应文件截止时间后，供应商不得对其谈判响应文件做任何修改。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从谈判响应文件截止时间至供应商在谈判响应函格式中确定的谈判有效期之间，供应商不得撤销其谈判，否则其谈判保证金将按照本须知的规定不予退还。</w:t>
      </w:r>
    </w:p>
    <w:p>
      <w:pPr>
        <w:pStyle w:val="4"/>
        <w:ind w:firstLine="480"/>
        <w:rPr>
          <w:rFonts w:hint="eastAsia" w:ascii="宋体" w:hAnsi="宋体" w:eastAsia="宋体" w:cs="宋体"/>
          <w:b w:val="0"/>
          <w:color w:val="auto"/>
          <w:sz w:val="24"/>
          <w:szCs w:val="24"/>
          <w:highlight w:val="none"/>
        </w:rPr>
      </w:pPr>
      <w:bookmarkStart w:id="74" w:name="_Toc891"/>
      <w:bookmarkStart w:id="75" w:name="_Toc246928919"/>
      <w:bookmarkStart w:id="76" w:name="_Toc8091"/>
      <w:bookmarkStart w:id="77" w:name="_Toc385506493"/>
      <w:bookmarkStart w:id="78" w:name="_Toc20956"/>
      <w:bookmarkStart w:id="79" w:name="_Toc497712095"/>
      <w:bookmarkStart w:id="80" w:name="_Toc385992360"/>
      <w:bookmarkStart w:id="81" w:name="_Toc497551782"/>
      <w:bookmarkStart w:id="82" w:name="_Toc246928925"/>
      <w:bookmarkStart w:id="83" w:name="_Toc492955421"/>
      <w:bookmarkStart w:id="84" w:name="_Toc497711547"/>
      <w:bookmarkStart w:id="85" w:name="_Toc497546880"/>
      <w:bookmarkStart w:id="86" w:name="_Toc389620199"/>
      <w:r>
        <w:rPr>
          <w:rFonts w:hint="eastAsia" w:ascii="宋体" w:hAnsi="宋体" w:eastAsia="宋体" w:cs="宋体"/>
          <w:color w:val="auto"/>
          <w:sz w:val="24"/>
          <w:szCs w:val="24"/>
          <w:highlight w:val="none"/>
        </w:rPr>
        <w:t>（五） 开标/评审</w:t>
      </w:r>
      <w:bookmarkEnd w:id="74"/>
      <w:bookmarkEnd w:id="75"/>
      <w:bookmarkEnd w:id="76"/>
      <w:bookmarkEnd w:id="77"/>
      <w:bookmarkEnd w:id="78"/>
    </w:p>
    <w:p>
      <w:pPr>
        <w:pStyle w:val="5"/>
        <w:rPr>
          <w:rFonts w:hint="eastAsia" w:ascii="宋体" w:hAnsi="宋体" w:eastAsia="宋体" w:cs="宋体"/>
          <w:color w:val="auto"/>
          <w:sz w:val="24"/>
          <w:szCs w:val="24"/>
          <w:highlight w:val="none"/>
        </w:rPr>
      </w:pPr>
      <w:bookmarkStart w:id="87" w:name="_Toc246928920"/>
      <w:bookmarkStart w:id="88" w:name="_Toc23915"/>
      <w:bookmarkStart w:id="89" w:name="_Toc385506494"/>
      <w:r>
        <w:rPr>
          <w:rFonts w:hint="eastAsia" w:ascii="宋体" w:hAnsi="宋体" w:eastAsia="宋体" w:cs="宋体"/>
          <w:color w:val="auto"/>
          <w:sz w:val="24"/>
          <w:szCs w:val="24"/>
          <w:highlight w:val="none"/>
        </w:rPr>
        <w:t xml:space="preserve">20 </w:t>
      </w:r>
      <w:bookmarkEnd w:id="87"/>
      <w:r>
        <w:rPr>
          <w:rFonts w:hint="eastAsia" w:ascii="宋体" w:hAnsi="宋体" w:eastAsia="宋体" w:cs="宋体"/>
          <w:color w:val="auto"/>
          <w:sz w:val="24"/>
          <w:szCs w:val="24"/>
          <w:highlight w:val="none"/>
        </w:rPr>
        <w:t>开标</w:t>
      </w:r>
      <w:bookmarkEnd w:id="88"/>
      <w:bookmarkEnd w:id="89"/>
    </w:p>
    <w:p>
      <w:pPr>
        <w:spacing w:line="360" w:lineRule="auto"/>
        <w:rPr>
          <w:rFonts w:hint="eastAsia" w:ascii="宋体" w:hAnsi="宋体" w:eastAsia="宋体" w:cs="宋体"/>
          <w:color w:val="auto"/>
          <w:sz w:val="24"/>
          <w:highlight w:val="none"/>
        </w:rPr>
      </w:pPr>
      <w:bookmarkStart w:id="90" w:name="_Toc246928921"/>
      <w:bookmarkStart w:id="91" w:name="_Toc385506495"/>
      <w:r>
        <w:rPr>
          <w:rFonts w:hint="eastAsia" w:ascii="宋体" w:hAnsi="宋体" w:eastAsia="宋体" w:cs="宋体"/>
          <w:color w:val="auto"/>
          <w:sz w:val="24"/>
          <w:highlight w:val="none"/>
        </w:rPr>
        <w:t>20.1 采购代理机构按谈判公告中规定的时间和地点接受供应商递交的谈判响应文件。供应商应派代表签到，并参加谈判。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20.2开标时，采购代理机构当众拆封所有密封完好的响应文件。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谈判有效供应商不足三家的，按照国家相关法律法律及省市规定执行。</w:t>
      </w:r>
    </w:p>
    <w:p>
      <w:pPr>
        <w:pStyle w:val="5"/>
        <w:rPr>
          <w:rFonts w:hint="eastAsia" w:ascii="宋体" w:hAnsi="宋体" w:eastAsia="宋体" w:cs="宋体"/>
          <w:color w:val="auto"/>
          <w:sz w:val="24"/>
          <w:szCs w:val="24"/>
          <w:highlight w:val="none"/>
        </w:rPr>
      </w:pPr>
      <w:bookmarkStart w:id="92" w:name="_Toc25482"/>
      <w:r>
        <w:rPr>
          <w:rFonts w:hint="eastAsia" w:ascii="宋体" w:hAnsi="宋体" w:eastAsia="宋体" w:cs="宋体"/>
          <w:color w:val="auto"/>
          <w:sz w:val="24"/>
          <w:szCs w:val="24"/>
          <w:highlight w:val="none"/>
        </w:rPr>
        <w:t>21 谈判小组</w:t>
      </w:r>
      <w:bookmarkEnd w:id="90"/>
      <w:bookmarkEnd w:id="91"/>
      <w:bookmarkEnd w:id="9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根据本次采购项目的特点，参照《中华人民共和国政府采购法》等有关规定组建谈判小组。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谈判小组成员由采购人代表和有关技术、经济等方面的专家组成，其中技术、经济专家人数不少于谈判小组总人数的2/3本项目谈判小组专家的产生方式符合国家和地方有关评审专家产生方式的规定。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谈判小组成员对各供应商谈判响应文件进行审查、评估和比较，并推荐出成交候选供应商。</w:t>
      </w:r>
    </w:p>
    <w:p>
      <w:pPr>
        <w:pStyle w:val="5"/>
        <w:rPr>
          <w:rFonts w:hint="eastAsia" w:ascii="宋体" w:hAnsi="宋体" w:eastAsia="宋体" w:cs="宋体"/>
          <w:color w:val="auto"/>
          <w:sz w:val="24"/>
          <w:szCs w:val="24"/>
          <w:highlight w:val="none"/>
        </w:rPr>
      </w:pPr>
      <w:bookmarkStart w:id="93" w:name="_Toc246928924"/>
      <w:bookmarkStart w:id="94" w:name="_Toc385506496"/>
      <w:bookmarkStart w:id="95" w:name="_Toc27132"/>
      <w:r>
        <w:rPr>
          <w:rFonts w:hint="eastAsia" w:ascii="宋体" w:hAnsi="宋体" w:eastAsia="宋体" w:cs="宋体"/>
          <w:color w:val="auto"/>
          <w:sz w:val="24"/>
          <w:szCs w:val="24"/>
          <w:highlight w:val="none"/>
        </w:rPr>
        <w:t>22 评审</w:t>
      </w:r>
      <w:bookmarkEnd w:id="93"/>
      <w:bookmarkEnd w:id="94"/>
      <w:bookmarkEnd w:id="9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谈判小组将遵循公开、公平、公正和择优的原则，对所有供应商的谈判响应文件评审，都采用相同的程序和标准。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审过程的保密：谈判中不公开供应商的谈判报价，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5"/>
        <w:rPr>
          <w:rFonts w:hint="eastAsia" w:ascii="宋体" w:hAnsi="宋体" w:eastAsia="宋体" w:cs="宋体"/>
          <w:color w:val="auto"/>
          <w:sz w:val="24"/>
          <w:szCs w:val="24"/>
          <w:highlight w:val="none"/>
        </w:rPr>
      </w:pPr>
      <w:bookmarkStart w:id="96" w:name="_Toc4776"/>
      <w:bookmarkStart w:id="97" w:name="_Toc385506497"/>
      <w:r>
        <w:rPr>
          <w:rFonts w:hint="eastAsia" w:ascii="宋体" w:hAnsi="宋体" w:eastAsia="宋体" w:cs="宋体"/>
          <w:color w:val="auto"/>
          <w:sz w:val="24"/>
          <w:szCs w:val="24"/>
          <w:highlight w:val="none"/>
        </w:rPr>
        <w:t>23 评审程序</w:t>
      </w:r>
      <w:bookmarkEnd w:id="96"/>
      <w:bookmarkEnd w:id="9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23.1谈判小组对于各个供应商的谈判响应文件先进行资格性审查、再进行符合性审查，审查全都合格的供应商才有参加谈判与承诺的资格。</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23.1.1资格性审查内容详见总则第12条。</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23.1.2符合性审查内容详见总则第13条。</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注：审查资料提供时须具体、明确，无明确响应的视为不完全响应，不予澄清，按无效标处理。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 对谈判响应文件含义不明确、同类问题表述不一致或者有明显文字和计算错误的内容，谈判小组可以要求供应商在规定的时间内做出必要的澄清、说明或者纠正。供应商的澄清、说明或者补正应当采用书面形式，有其授权的代表签字，并不得超出谈判响应文件的范围或者改变谈判响应文件的实质性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23.2.1 澄清文件将作为谈判响应文件的一部分。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 算术错误将按以下方法更正：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23.2.2.1 谈判响应文件的大写金额和小写金额不一致的，以大写金额为准；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23.2.2.2 总价金额与按单价汇总金额不一致的，以单价金额计算结果为准；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23.2.2.3 单价金额小数点有明显错位的，应当以总价为准，并修改单价；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23.2.2.4 对不同文字文本谈判响应文件的解释发生异议的，以中文文本为准；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23.2.2.5 对于供应商不接受对其错误的更改，其谈判属于无效谈判情形。</w:t>
      </w:r>
    </w:p>
    <w:p>
      <w:pPr>
        <w:pStyle w:val="5"/>
        <w:rPr>
          <w:rFonts w:hint="eastAsia" w:ascii="宋体" w:hAnsi="宋体" w:eastAsia="宋体" w:cs="宋体"/>
          <w:color w:val="auto"/>
          <w:sz w:val="24"/>
          <w:szCs w:val="24"/>
          <w:highlight w:val="none"/>
        </w:rPr>
      </w:pPr>
      <w:bookmarkStart w:id="98" w:name="_Toc4426"/>
      <w:bookmarkStart w:id="99" w:name="_Toc385506498"/>
      <w:r>
        <w:rPr>
          <w:rFonts w:hint="eastAsia" w:ascii="宋体" w:hAnsi="宋体" w:eastAsia="宋体" w:cs="宋体"/>
          <w:color w:val="auto"/>
          <w:sz w:val="24"/>
          <w:szCs w:val="24"/>
          <w:highlight w:val="none"/>
        </w:rPr>
        <w:t>24 谈判</w:t>
      </w:r>
      <w:bookmarkEnd w:id="98"/>
      <w:bookmarkEnd w:id="99"/>
    </w:p>
    <w:p>
      <w:pPr>
        <w:snapToGrid w:val="0"/>
        <w:spacing w:line="360" w:lineRule="auto"/>
        <w:rPr>
          <w:rFonts w:hint="eastAsia" w:ascii="宋体" w:hAnsi="宋体" w:eastAsia="宋体" w:cs="宋体"/>
          <w:color w:val="auto"/>
          <w:sz w:val="24"/>
          <w:highlight w:val="none"/>
        </w:rPr>
      </w:pPr>
      <w:bookmarkStart w:id="100" w:name="_Toc385506499"/>
      <w:r>
        <w:rPr>
          <w:rFonts w:hint="eastAsia" w:ascii="宋体" w:hAnsi="宋体" w:eastAsia="宋体" w:cs="宋体"/>
          <w:color w:val="auto"/>
          <w:sz w:val="24"/>
          <w:highlight w:val="none"/>
        </w:rPr>
        <w:t>24.1谈判小组根据各谈判供应商响应文件响应情况决定是否与各供应商进行谈判。</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24.2经谈判小组评审，报价、质量和服务均能满足采购文件实质性响应要求的供应商才具有最后报价的机会。供应商应按谈判小组规定的时间进行最后报价，并由法定代表人或其授权人签字，</w:t>
      </w:r>
      <w:r>
        <w:rPr>
          <w:rFonts w:hint="eastAsia" w:ascii="宋体" w:hAnsi="宋体" w:eastAsia="宋体" w:cs="宋体"/>
          <w:color w:val="auto"/>
          <w:sz w:val="24"/>
          <w:highlight w:val="none"/>
          <w:lang w:val="en-US" w:eastAsia="zh-CN"/>
        </w:rPr>
        <w:t>所有</w:t>
      </w:r>
      <w:r>
        <w:rPr>
          <w:rFonts w:hint="eastAsia" w:ascii="宋体" w:hAnsi="宋体" w:eastAsia="宋体" w:cs="宋体"/>
          <w:color w:val="auto"/>
          <w:sz w:val="24"/>
          <w:highlight w:val="none"/>
        </w:rPr>
        <w:t>报价现场</w:t>
      </w:r>
      <w:r>
        <w:rPr>
          <w:rFonts w:hint="eastAsia" w:ascii="宋体" w:hAnsi="宋体" w:eastAsia="宋体" w:cs="宋体"/>
          <w:color w:val="auto"/>
          <w:sz w:val="24"/>
          <w:highlight w:val="none"/>
          <w:lang w:val="en-US" w:eastAsia="zh-CN"/>
        </w:rPr>
        <w:t>均</w:t>
      </w:r>
      <w:r>
        <w:rPr>
          <w:rFonts w:hint="eastAsia" w:ascii="宋体" w:hAnsi="宋体" w:eastAsia="宋体" w:cs="宋体"/>
          <w:color w:val="auto"/>
          <w:sz w:val="24"/>
          <w:highlight w:val="none"/>
        </w:rPr>
        <w:t>不对供应商公布。该谈判报价为不可更改价格，作为谈判小组推荐成交候选人的依据。</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谈判小组认为供应商的最后报价或者某些分项报价明显不合理或者低于成本，有可能影响服务质量和不能诚信履约的，谈判小组有权要求供应商提供书面或口头解释说明，并提交相关证明材料；如供应商在开标现场规定时间内不能够提供相关材料证明其报价的合理性或不能有力口头证明其报价合理性，谈判小组可认为其报价为无效报价。</w:t>
      </w:r>
    </w:p>
    <w:p>
      <w:pPr>
        <w:pStyle w:val="5"/>
        <w:rPr>
          <w:rFonts w:hint="eastAsia" w:ascii="宋体" w:hAnsi="宋体" w:eastAsia="宋体" w:cs="宋体"/>
          <w:color w:val="auto"/>
          <w:sz w:val="24"/>
          <w:szCs w:val="24"/>
          <w:highlight w:val="none"/>
        </w:rPr>
      </w:pPr>
      <w:bookmarkStart w:id="101" w:name="_Toc25956"/>
      <w:r>
        <w:rPr>
          <w:rFonts w:hint="eastAsia" w:ascii="宋体" w:hAnsi="宋体" w:eastAsia="宋体" w:cs="宋体"/>
          <w:color w:val="auto"/>
          <w:sz w:val="24"/>
          <w:szCs w:val="24"/>
          <w:highlight w:val="none"/>
        </w:rPr>
        <w:t>25 评审方法</w:t>
      </w:r>
      <w:bookmarkEnd w:id="100"/>
      <w:bookmarkEnd w:id="101"/>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25.1评审方法：供应商提交响应文件后，谈判小组进行资格性审查，资格性审查通过后进行符合性审查，审查不</w:t>
      </w:r>
      <w:r>
        <w:rPr>
          <w:rFonts w:hint="eastAsia" w:ascii="宋体" w:hAnsi="宋体" w:eastAsia="宋体" w:cs="宋体"/>
          <w:bCs/>
          <w:color w:val="auto"/>
          <w:sz w:val="24"/>
          <w:highlight w:val="none"/>
          <w:lang w:val="en-US" w:eastAsia="zh-CN"/>
        </w:rPr>
        <w:t>通过</w:t>
      </w:r>
      <w:r>
        <w:rPr>
          <w:rFonts w:hint="eastAsia" w:ascii="宋体" w:hAnsi="宋体" w:eastAsia="宋体" w:cs="宋体"/>
          <w:bCs/>
          <w:color w:val="auto"/>
          <w:sz w:val="24"/>
          <w:highlight w:val="none"/>
        </w:rPr>
        <w:t>的供应商不得</w:t>
      </w:r>
      <w:r>
        <w:rPr>
          <w:rFonts w:hint="eastAsia" w:ascii="宋体" w:hAnsi="宋体" w:eastAsia="宋体" w:cs="宋体"/>
          <w:bCs/>
          <w:color w:val="auto"/>
          <w:sz w:val="24"/>
          <w:highlight w:val="none"/>
          <w:lang w:val="en-US" w:eastAsia="zh-CN"/>
        </w:rPr>
        <w:t>进入</w:t>
      </w:r>
      <w:r>
        <w:rPr>
          <w:rFonts w:hint="eastAsia" w:ascii="宋体" w:hAnsi="宋体" w:eastAsia="宋体" w:cs="宋体"/>
          <w:bCs/>
          <w:color w:val="auto"/>
          <w:sz w:val="24"/>
          <w:highlight w:val="none"/>
        </w:rPr>
        <w:t>谈判</w:t>
      </w:r>
      <w:r>
        <w:rPr>
          <w:rFonts w:hint="eastAsia" w:ascii="宋体" w:hAnsi="宋体" w:eastAsia="宋体" w:cs="宋体"/>
          <w:bCs/>
          <w:color w:val="auto"/>
          <w:sz w:val="24"/>
          <w:highlight w:val="none"/>
          <w:lang w:val="en-US" w:eastAsia="zh-CN"/>
        </w:rPr>
        <w:t>环节</w:t>
      </w:r>
      <w:r>
        <w:rPr>
          <w:rFonts w:hint="eastAsia" w:ascii="宋体" w:hAnsi="宋体" w:eastAsia="宋体" w:cs="宋体"/>
          <w:bCs/>
          <w:color w:val="auto"/>
          <w:sz w:val="24"/>
          <w:highlight w:val="none"/>
        </w:rPr>
        <w:t>。谈判小组从质量和服务均能满足采购文件实质性响应要求的供应商中，以最后报价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评审报价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由低到高的顺序推荐成交候选人。</w:t>
      </w:r>
    </w:p>
    <w:p>
      <w:pPr>
        <w:pStyle w:val="4"/>
        <w:ind w:firstLine="480"/>
        <w:rPr>
          <w:rFonts w:hint="eastAsia" w:ascii="宋体" w:hAnsi="宋体" w:eastAsia="宋体" w:cs="宋体"/>
          <w:b w:val="0"/>
          <w:color w:val="auto"/>
          <w:sz w:val="24"/>
          <w:szCs w:val="24"/>
          <w:highlight w:val="none"/>
        </w:rPr>
      </w:pPr>
      <w:bookmarkStart w:id="102" w:name="_Hlt491765714"/>
      <w:bookmarkEnd w:id="102"/>
      <w:bookmarkStart w:id="103" w:name="_Toc2888"/>
      <w:bookmarkStart w:id="104" w:name="_Toc858"/>
      <w:bookmarkStart w:id="105" w:name="_Toc28538"/>
      <w:r>
        <w:rPr>
          <w:rFonts w:hint="eastAsia" w:ascii="宋体" w:hAnsi="宋体" w:eastAsia="宋体" w:cs="宋体"/>
          <w:color w:val="auto"/>
          <w:sz w:val="24"/>
          <w:szCs w:val="24"/>
          <w:highlight w:val="none"/>
        </w:rPr>
        <w:t xml:space="preserve">（六） </w:t>
      </w:r>
      <w:bookmarkStart w:id="106" w:name="_Hlt497547134"/>
      <w:bookmarkEnd w:id="106"/>
      <w:r>
        <w:rPr>
          <w:rFonts w:hint="eastAsia" w:ascii="宋体" w:hAnsi="宋体" w:eastAsia="宋体" w:cs="宋体"/>
          <w:color w:val="auto"/>
          <w:sz w:val="24"/>
          <w:szCs w:val="24"/>
          <w:highlight w:val="none"/>
        </w:rPr>
        <w:t>授予合同</w:t>
      </w:r>
      <w:bookmarkEnd w:id="79"/>
      <w:bookmarkEnd w:id="80"/>
      <w:bookmarkEnd w:id="81"/>
      <w:bookmarkEnd w:id="82"/>
      <w:bookmarkEnd w:id="83"/>
      <w:bookmarkEnd w:id="84"/>
      <w:bookmarkEnd w:id="85"/>
      <w:bookmarkEnd w:id="86"/>
      <w:bookmarkEnd w:id="103"/>
      <w:bookmarkEnd w:id="104"/>
      <w:bookmarkEnd w:id="105"/>
    </w:p>
    <w:p>
      <w:pPr>
        <w:pStyle w:val="5"/>
        <w:rPr>
          <w:rFonts w:hint="eastAsia" w:ascii="宋体" w:hAnsi="宋体" w:eastAsia="宋体" w:cs="宋体"/>
          <w:color w:val="auto"/>
          <w:sz w:val="24"/>
          <w:szCs w:val="24"/>
          <w:highlight w:val="none"/>
        </w:rPr>
      </w:pPr>
      <w:bookmarkStart w:id="107" w:name="_Toc246928926"/>
      <w:bookmarkStart w:id="108" w:name="_Toc385992361"/>
      <w:bookmarkStart w:id="109" w:name="_Toc15472"/>
      <w:bookmarkStart w:id="110" w:name="_Toc389620200"/>
      <w:r>
        <w:rPr>
          <w:rFonts w:hint="eastAsia" w:ascii="宋体" w:hAnsi="宋体" w:eastAsia="宋体" w:cs="宋体"/>
          <w:color w:val="auto"/>
          <w:sz w:val="24"/>
          <w:szCs w:val="24"/>
          <w:highlight w:val="none"/>
        </w:rPr>
        <w:t>26 成交准则</w:t>
      </w:r>
      <w:bookmarkEnd w:id="107"/>
      <w:bookmarkEnd w:id="108"/>
      <w:bookmarkEnd w:id="109"/>
      <w:bookmarkEnd w:id="110"/>
    </w:p>
    <w:p>
      <w:pPr>
        <w:spacing w:before="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26.1合同将授予项目报价符合谈判文件要求、并能圆满地履行合同的、对采购人最为有利的供应商。</w:t>
      </w:r>
    </w:p>
    <w:p>
      <w:pPr>
        <w:spacing w:line="360" w:lineRule="auto"/>
        <w:rPr>
          <w:rFonts w:hint="eastAsia" w:ascii="宋体" w:hAnsi="宋体" w:eastAsia="宋体" w:cs="宋体"/>
          <w:color w:val="auto"/>
          <w:sz w:val="24"/>
          <w:highlight w:val="none"/>
        </w:rPr>
      </w:pPr>
      <w:bookmarkStart w:id="111" w:name="_Toc389620201"/>
      <w:bookmarkStart w:id="112" w:name="_Toc385992362"/>
      <w:r>
        <w:rPr>
          <w:rFonts w:hint="eastAsia" w:ascii="宋体" w:hAnsi="宋体" w:eastAsia="宋体" w:cs="宋体"/>
          <w:color w:val="auto"/>
          <w:sz w:val="24"/>
          <w:highlight w:val="none"/>
        </w:rPr>
        <w:t>26.2 谈判小组将根据评审方法推荐成交候选供应商名单。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采购代理机构在评审结束后将评审报告送采购人，采购人在收到评审报告后按照评审报告中推荐的成交候选供应商顺序确定成交供应商。</w:t>
      </w:r>
    </w:p>
    <w:p>
      <w:pPr>
        <w:spacing w:line="360" w:lineRule="auto"/>
        <w:rPr>
          <w:rFonts w:hint="eastAsia" w:ascii="宋体" w:hAnsi="宋体" w:eastAsia="宋体" w:cs="宋体"/>
          <w:color w:val="auto"/>
          <w:sz w:val="24"/>
          <w:highlight w:val="none"/>
          <w:shd w:val="pct10" w:color="auto" w:fill="FFFFFF"/>
        </w:rPr>
      </w:pPr>
      <w:r>
        <w:rPr>
          <w:rFonts w:hint="eastAsia" w:ascii="宋体" w:hAnsi="宋体" w:eastAsia="宋体" w:cs="宋体"/>
          <w:color w:val="auto"/>
          <w:sz w:val="24"/>
          <w:highlight w:val="none"/>
        </w:rPr>
        <w:t>26.4 成交供应商因不可抗力或自身原因不能履行政府采购合同的，采购人可以再排位在成交供应商之后的第一位的成交候选供应商签订政府采购合同，以此类推。</w:t>
      </w:r>
    </w:p>
    <w:bookmarkEnd w:id="111"/>
    <w:bookmarkEnd w:id="112"/>
    <w:p>
      <w:pPr>
        <w:pStyle w:val="5"/>
        <w:rPr>
          <w:rFonts w:hint="eastAsia" w:ascii="宋体" w:hAnsi="宋体" w:eastAsia="宋体" w:cs="宋体"/>
          <w:color w:val="auto"/>
          <w:sz w:val="24"/>
          <w:szCs w:val="24"/>
          <w:highlight w:val="none"/>
        </w:rPr>
      </w:pPr>
      <w:bookmarkStart w:id="113" w:name="_Toc385992364"/>
      <w:bookmarkStart w:id="114" w:name="_Toc389620203"/>
      <w:bookmarkStart w:id="115" w:name="_Toc246928927"/>
      <w:bookmarkStart w:id="116" w:name="_Toc25642"/>
      <w:r>
        <w:rPr>
          <w:rFonts w:hint="eastAsia" w:ascii="宋体" w:hAnsi="宋体" w:eastAsia="宋体" w:cs="宋体"/>
          <w:color w:val="auto"/>
          <w:sz w:val="24"/>
          <w:szCs w:val="24"/>
          <w:highlight w:val="none"/>
        </w:rPr>
        <w:t xml:space="preserve">27 </w:t>
      </w:r>
      <w:bookmarkEnd w:id="113"/>
      <w:bookmarkEnd w:id="114"/>
      <w:r>
        <w:rPr>
          <w:rFonts w:hint="eastAsia" w:ascii="宋体" w:hAnsi="宋体" w:eastAsia="宋体" w:cs="宋体"/>
          <w:color w:val="auto"/>
          <w:sz w:val="24"/>
          <w:szCs w:val="24"/>
          <w:highlight w:val="none"/>
        </w:rPr>
        <w:t>成交通知</w:t>
      </w:r>
      <w:bookmarkEnd w:id="115"/>
      <w:r>
        <w:rPr>
          <w:rFonts w:hint="eastAsia" w:ascii="宋体" w:hAnsi="宋体" w:eastAsia="宋体" w:cs="宋体"/>
          <w:color w:val="auto"/>
          <w:sz w:val="24"/>
          <w:szCs w:val="24"/>
          <w:highlight w:val="none"/>
        </w:rPr>
        <w:t>书</w:t>
      </w:r>
      <w:bookmarkEnd w:id="11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在谈判有效期内，确定成交供应商后，成交结果在财政部门指定的政府采购信息发布媒体上公告。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27.2 采购代理机构向成交供应商发出成交通知书，对于其他供应商，将在保证金有效期内无息退还其谈判保证金。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成交通知书将作为签订合同的依据。</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 对未成交者，采购人不做出解释，同时亦不退还谈判响应文件。</w:t>
      </w:r>
    </w:p>
    <w:p>
      <w:pPr>
        <w:pStyle w:val="5"/>
        <w:rPr>
          <w:rFonts w:hint="eastAsia" w:ascii="宋体" w:hAnsi="宋体" w:eastAsia="宋体" w:cs="宋体"/>
          <w:color w:val="auto"/>
          <w:sz w:val="24"/>
          <w:szCs w:val="24"/>
          <w:highlight w:val="none"/>
        </w:rPr>
      </w:pPr>
      <w:bookmarkStart w:id="117" w:name="_Toc385992366"/>
      <w:bookmarkStart w:id="118" w:name="_Toc389620205"/>
      <w:bookmarkStart w:id="119" w:name="_Toc246928928"/>
      <w:bookmarkStart w:id="120" w:name="_Toc4188"/>
      <w:r>
        <w:rPr>
          <w:rFonts w:hint="eastAsia" w:ascii="宋体" w:hAnsi="宋体" w:eastAsia="宋体" w:cs="宋体"/>
          <w:color w:val="auto"/>
          <w:sz w:val="24"/>
          <w:szCs w:val="24"/>
          <w:highlight w:val="none"/>
        </w:rPr>
        <w:t>28 签订合同</w:t>
      </w:r>
      <w:bookmarkEnd w:id="117"/>
      <w:bookmarkEnd w:id="118"/>
      <w:bookmarkEnd w:id="119"/>
      <w:bookmarkEnd w:id="120"/>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28.1成交供应商应当自成交通知书发出之日起30日内，按照谈判文件确定的事项与采购人签订政府采购合同。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谈判文件、成交供应商的谈判响应文件和补充文件（如澄清、承诺等）等，均为签订合同的依据。所签订的合同不得对谈判文件和成交供应商谈判响应文件作实质性修改。</w:t>
      </w:r>
      <w:bookmarkStart w:id="121" w:name="_Toc389620207"/>
      <w:bookmarkStart w:id="122" w:name="_Toc385992368"/>
    </w:p>
    <w:p>
      <w:pPr>
        <w:pStyle w:val="5"/>
        <w:rPr>
          <w:rFonts w:hint="eastAsia" w:ascii="宋体" w:hAnsi="宋体" w:eastAsia="宋体" w:cs="宋体"/>
          <w:color w:val="auto"/>
          <w:sz w:val="24"/>
          <w:szCs w:val="24"/>
          <w:highlight w:val="none"/>
        </w:rPr>
      </w:pPr>
      <w:bookmarkStart w:id="123" w:name="_Toc25305"/>
      <w:bookmarkStart w:id="124" w:name="_Toc246928929"/>
      <w:r>
        <w:rPr>
          <w:rFonts w:hint="eastAsia" w:ascii="宋体" w:hAnsi="宋体" w:eastAsia="宋体" w:cs="宋体"/>
          <w:color w:val="auto"/>
          <w:sz w:val="24"/>
          <w:szCs w:val="24"/>
          <w:highlight w:val="none"/>
        </w:rPr>
        <w:t>29 招标代理服务费</w:t>
      </w:r>
      <w:bookmarkEnd w:id="121"/>
      <w:bookmarkEnd w:id="122"/>
      <w:bookmarkEnd w:id="123"/>
      <w:bookmarkEnd w:id="124"/>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29.1</w:t>
      </w:r>
      <w:r>
        <w:rPr>
          <w:rFonts w:hint="eastAsia" w:ascii="宋体" w:hAnsi="宋体" w:eastAsia="宋体" w:cs="宋体"/>
          <w:color w:val="auto"/>
          <w:sz w:val="24"/>
          <w:highlight w:val="none"/>
        </w:rPr>
        <w:t>代理服务费按约定详见谈判须知前附表。</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29.2 招标代理服务费的交纳方式：在领取成交通知书时按29.1的规定，向采购代理机构直接交纳服务费，采用现金</w:t>
      </w:r>
      <w:r>
        <w:rPr>
          <w:rFonts w:hint="eastAsia" w:ascii="宋体" w:hAnsi="宋体" w:eastAsia="宋体" w:cs="宋体"/>
          <w:bCs/>
          <w:color w:val="auto"/>
          <w:sz w:val="24"/>
          <w:highlight w:val="none"/>
          <w:lang w:val="en-US" w:eastAsia="zh-CN"/>
        </w:rPr>
        <w:t>或银行转账</w:t>
      </w:r>
      <w:r>
        <w:rPr>
          <w:rFonts w:hint="eastAsia" w:ascii="宋体" w:hAnsi="宋体" w:eastAsia="宋体" w:cs="宋体"/>
          <w:bCs/>
          <w:color w:val="auto"/>
          <w:sz w:val="24"/>
          <w:highlight w:val="none"/>
        </w:rPr>
        <w:t>方式一次性交纳。</w:t>
      </w:r>
    </w:p>
    <w:p>
      <w:pPr>
        <w:pStyle w:val="5"/>
        <w:jc w:val="left"/>
        <w:rPr>
          <w:rFonts w:hint="eastAsia" w:ascii="宋体" w:hAnsi="宋体" w:eastAsia="宋体" w:cs="宋体"/>
          <w:color w:val="auto"/>
          <w:sz w:val="24"/>
          <w:szCs w:val="24"/>
          <w:highlight w:val="none"/>
        </w:rPr>
      </w:pPr>
      <w:bookmarkStart w:id="125" w:name="_Toc25238"/>
      <w:r>
        <w:rPr>
          <w:rFonts w:hint="eastAsia" w:ascii="宋体" w:hAnsi="宋体" w:eastAsia="宋体" w:cs="宋体"/>
          <w:color w:val="auto"/>
          <w:sz w:val="24"/>
          <w:szCs w:val="24"/>
          <w:highlight w:val="none"/>
        </w:rPr>
        <w:t>30 其他</w:t>
      </w:r>
      <w:bookmarkEnd w:id="12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30.2响应文件递交截止时间结束后，参加投标的供应商不足三家，或在评标期间，出现符合专业条件的供应商或者对竞争性谈判文件做出实质性响应的供应商不足三家情形的，</w:t>
      </w:r>
      <w:r>
        <w:rPr>
          <w:rFonts w:hint="eastAsia" w:ascii="宋体" w:hAnsi="宋体" w:eastAsia="宋体" w:cs="宋体"/>
          <w:color w:val="auto"/>
          <w:sz w:val="24"/>
          <w:szCs w:val="24"/>
          <w:highlight w:val="none"/>
        </w:rPr>
        <w:t>按照中华人民共和国财政部第87号令--《政府采购货物和服务招标投标管理办法》</w:t>
      </w:r>
      <w:r>
        <w:rPr>
          <w:rFonts w:hint="eastAsia" w:ascii="宋体" w:hAnsi="宋体" w:eastAsia="宋体" w:cs="宋体"/>
          <w:color w:val="auto"/>
          <w:sz w:val="24"/>
          <w:highlight w:val="none"/>
        </w:rPr>
        <w:t>的规定，报告设区的市、自治州以上人民政府财政部门，由财政部门按照相关原则，做出重新组织招标或采取其他方式继续采购的决定。</w:t>
      </w:r>
    </w:p>
    <w:p>
      <w:pPr>
        <w:spacing w:line="360" w:lineRule="auto"/>
        <w:ind w:left="372" w:leftChars="177" w:firstLine="496" w:firstLineChars="200"/>
        <w:rPr>
          <w:rFonts w:hint="eastAsia" w:ascii="宋体" w:hAnsi="宋体" w:eastAsia="宋体" w:cs="宋体"/>
          <w:color w:val="auto"/>
          <w:spacing w:val="4"/>
          <w:sz w:val="24"/>
          <w:szCs w:val="22"/>
          <w:highlight w:val="none"/>
          <w:lang w:eastAsia="zh-CN"/>
        </w:rPr>
      </w:pPr>
      <w:r>
        <w:rPr>
          <w:rFonts w:hint="eastAsia" w:ascii="宋体" w:hAnsi="宋体" w:eastAsia="宋体" w:cs="宋体"/>
          <w:color w:val="auto"/>
          <w:spacing w:val="4"/>
          <w:sz w:val="24"/>
          <w:highlight w:val="none"/>
        </w:rPr>
        <w:t>响应文件经审查合格的</w:t>
      </w:r>
      <w:r>
        <w:rPr>
          <w:rFonts w:hint="eastAsia" w:ascii="宋体" w:hAnsi="宋体" w:eastAsia="宋体" w:cs="宋体"/>
          <w:color w:val="auto"/>
          <w:sz w:val="24"/>
          <w:szCs w:val="24"/>
          <w:highlight w:val="none"/>
        </w:rPr>
        <w:t>，为有效投标。对于所有有效投标按照以下规则进行评标价的确定。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专门面向中小企业采购的项目将不再进行如下价格优惠调整</w:t>
      </w:r>
      <w:r>
        <w:rPr>
          <w:rFonts w:hint="eastAsia" w:ascii="宋体" w:hAnsi="宋体" w:cs="宋体"/>
          <w:color w:val="auto"/>
          <w:sz w:val="24"/>
          <w:szCs w:val="24"/>
          <w:highlight w:val="none"/>
          <w:lang w:eastAsia="zh-CN"/>
        </w:rPr>
        <w:t>）</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1.对于符合政策性优惠的，其评标价按照以下规则进行计算调整。</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1.1对于经主管预算单位统筹后未预留份额专门面向中小企业采购的采购项目，以及预留份额项目中的非预留部分采购包：</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1.1.1供应商为</w:t>
      </w:r>
      <w:r>
        <w:rPr>
          <w:rFonts w:hint="eastAsia" w:ascii="宋体" w:hAnsi="宋体" w:cs="宋体"/>
          <w:color w:val="auto"/>
          <w:spacing w:val="4"/>
          <w:sz w:val="24"/>
          <w:szCs w:val="22"/>
          <w:highlight w:val="none"/>
          <w:lang w:val="en-US" w:eastAsia="zh-CN"/>
        </w:rPr>
        <w:t>小微企业或小微企业联合</w:t>
      </w:r>
      <w:r>
        <w:rPr>
          <w:rFonts w:hint="eastAsia" w:ascii="宋体" w:hAnsi="宋体" w:eastAsia="宋体" w:cs="宋体"/>
          <w:color w:val="auto"/>
          <w:spacing w:val="4"/>
          <w:sz w:val="24"/>
          <w:szCs w:val="22"/>
          <w:highlight w:val="none"/>
        </w:rPr>
        <w:t>投标的情况：其评标价=谈判报价*（</w:t>
      </w:r>
      <w:r>
        <w:rPr>
          <w:rFonts w:hint="eastAsia" w:ascii="宋体" w:hAnsi="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1.1.2</w:t>
      </w:r>
      <w:r>
        <w:rPr>
          <w:rFonts w:hint="eastAsia" w:ascii="宋体" w:hAnsi="宋体" w:cs="宋体"/>
          <w:color w:val="auto"/>
          <w:spacing w:val="4"/>
          <w:sz w:val="24"/>
          <w:highlight w:val="none"/>
          <w:lang w:val="en-US" w:eastAsia="zh-CN"/>
        </w:rPr>
        <w:t>监狱企业、福利企业投标时视同为小微企业</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1.1.3</w:t>
      </w:r>
      <w:r>
        <w:rPr>
          <w:rFonts w:hint="eastAsia" w:ascii="宋体" w:hAnsi="宋体" w:eastAsia="宋体" w:cs="宋体"/>
          <w:color w:val="auto"/>
          <w:spacing w:val="4"/>
          <w:sz w:val="24"/>
          <w:highlight w:val="none"/>
        </w:rPr>
        <w:t xml:space="preserve">接受大中型企业与小微企业组成联合体或者允许大中型企业向一家或者多家小微企业分包的采购项目，对于联合协议或者分包意向协议约定小微企业的合同份额占到合同 总金额 30%以上的，采购人、采购代理机构应当对联合体或者大中型企业的报价给予 </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%的扣除，用扣除后的价格参加评审。</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1.1.4投标服务涉及提供的所有投标产品进入 “节能产品政府采购清单” （且产品的国家节能产品认证证书在有效期内）的，其评标价=谈判报价*（</w:t>
      </w:r>
      <w:r>
        <w:rPr>
          <w:rFonts w:hint="eastAsia" w:ascii="宋体" w:hAnsi="宋体" w:cs="宋体"/>
          <w:color w:val="auto"/>
          <w:spacing w:val="4"/>
          <w:sz w:val="24"/>
          <w:szCs w:val="22"/>
          <w:highlight w:val="none"/>
          <w:lang w:val="en-US" w:eastAsia="zh-CN"/>
        </w:rPr>
        <w:t>2</w:t>
      </w:r>
      <w:r>
        <w:rPr>
          <w:rFonts w:hint="eastAsia" w:ascii="宋体" w:hAnsi="宋体" w:eastAsia="宋体" w:cs="宋体"/>
          <w:color w:val="auto"/>
          <w:spacing w:val="4"/>
          <w:sz w:val="24"/>
          <w:szCs w:val="22"/>
          <w:highlight w:val="none"/>
          <w:lang w:val="en-US" w:eastAsia="zh-CN"/>
        </w:rPr>
        <w:t>%）；（不是所有投标产品的不享受此项优惠）</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1.1.5投标服务涉及提供的所有投标产品进入“环境标志产品政府采购清单”（且产品的中国环境标志产品认证证书在有效期内）的，其评标价=谈判报价*（</w:t>
      </w:r>
      <w:r>
        <w:rPr>
          <w:rFonts w:hint="eastAsia" w:ascii="宋体" w:hAnsi="宋体" w:cs="宋体"/>
          <w:color w:val="auto"/>
          <w:spacing w:val="4"/>
          <w:sz w:val="24"/>
          <w:szCs w:val="22"/>
          <w:highlight w:val="none"/>
          <w:lang w:val="en-US" w:eastAsia="zh-CN"/>
        </w:rPr>
        <w:t>2</w:t>
      </w:r>
      <w:r>
        <w:rPr>
          <w:rFonts w:hint="eastAsia" w:ascii="宋体" w:hAnsi="宋体" w:eastAsia="宋体" w:cs="宋体"/>
          <w:color w:val="auto"/>
          <w:spacing w:val="4"/>
          <w:sz w:val="24"/>
          <w:szCs w:val="22"/>
          <w:highlight w:val="none"/>
          <w:lang w:val="en-US" w:eastAsia="zh-CN"/>
        </w:rPr>
        <w:t xml:space="preserve">%）；（不是所有投标产品的不享受此项优惠）    </w:t>
      </w:r>
    </w:p>
    <w:p>
      <w:pPr>
        <w:spacing w:line="360" w:lineRule="auto"/>
        <w:ind w:firstLine="495"/>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2.确认为小微企业（含小型、微型企业，下同）投标的，应当同时符合以下条件：</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2.1符合国务院有关部门根据企业从业人员、营业收入、资产总额等指标制定的中小企业划型标准（工信部联企业〔2011〕300号）；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2.2</w:t>
      </w:r>
      <w:r>
        <w:rPr>
          <w:rFonts w:hint="eastAsia" w:ascii="宋体" w:hAnsi="宋体" w:eastAsia="宋体" w:cs="宋体"/>
          <w:color w:val="auto"/>
          <w:spacing w:val="4"/>
          <w:sz w:val="24"/>
          <w:highlight w:val="none"/>
          <w:lang w:val="en-US" w:eastAsia="zh-CN"/>
        </w:rPr>
        <w:t>符合财政部关于印发《政府采购促进中小企业发展管理办法》的通知（财库【2020】46号）；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2.2.1在货物采购项目中，货物由中小企业制造，即货物由中小企业生产且使用该中小企业商号或者注册商标；</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w:t>
      </w:r>
      <w:r>
        <w:rPr>
          <w:rFonts w:hint="eastAsia" w:ascii="宋体" w:hAnsi="宋体" w:eastAsia="宋体" w:cs="宋体"/>
          <w:color w:val="auto"/>
          <w:spacing w:val="4"/>
          <w:sz w:val="24"/>
          <w:highlight w:val="none"/>
          <w:lang w:val="en-US" w:eastAsia="zh-CN"/>
        </w:rPr>
        <w:t>2.2在工程采购项目中，工程由中小企业承接，即工程施工单位为中小企业；</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2.5</w:t>
      </w:r>
      <w:r>
        <w:rPr>
          <w:rFonts w:hint="eastAsia" w:ascii="宋体" w:hAnsi="宋体" w:eastAsia="宋体" w:cs="宋体"/>
          <w:color w:val="auto"/>
          <w:spacing w:val="4"/>
          <w:sz w:val="24"/>
          <w:highlight w:val="none"/>
        </w:rPr>
        <w:t>投标时须</w:t>
      </w:r>
      <w:r>
        <w:rPr>
          <w:rFonts w:hint="eastAsia" w:ascii="宋体" w:hAnsi="宋体" w:eastAsia="宋体" w:cs="宋体"/>
          <w:color w:val="auto"/>
          <w:sz w:val="24"/>
          <w:szCs w:val="24"/>
          <w:highlight w:val="none"/>
        </w:rPr>
        <w:t>提供“中小企业声明函”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中标单位如为小微企业并填写声明函，代理机构将在《陕西省政府采购网》发布中标公告时同步公告声明函相关信息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3.确认为监狱企业投标的，应当同时符合以下条件：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3.1符合</w:t>
      </w:r>
      <w:r>
        <w:rPr>
          <w:rFonts w:hint="eastAsia" w:ascii="宋体" w:hAnsi="宋体" w:eastAsia="宋体" w:cs="宋体"/>
          <w:color w:val="auto"/>
          <w:sz w:val="24"/>
          <w:szCs w:val="24"/>
          <w:highlight w:val="none"/>
        </w:rPr>
        <w:t>（财库[2014]68号）文件规定的</w:t>
      </w:r>
      <w:r>
        <w:rPr>
          <w:rFonts w:hint="eastAsia" w:ascii="宋体" w:hAnsi="宋体" w:eastAsia="宋体" w:cs="宋体"/>
          <w:color w:val="auto"/>
          <w:spacing w:val="4"/>
          <w:sz w:val="24"/>
          <w:highlight w:val="none"/>
        </w:rPr>
        <w:t>监狱企业，提供本企业的服务。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3.2投标时须提供由省级以上监狱管理局、戒毒管理局（含新疆生产建设兵团）出具的属于监狱企业的证明文件。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4.确认为残疾人福利性单位投标的，应当同时符合以下条件：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4.1符合（财库[2017]141号）文件规定的残疾人福利性单位，提供本单位的服务（以下简称产品），或者提供其他残疾人福利性单位承担的服务（不包括使用非残疾人福利性单位注册商标的服务）.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4.2投标时须提供《残疾人福利性单位声明函》，并对声明的真实性负责。</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4.3供应商提供的《残疾人福利性单位声明函》与事实不符的，依照《政府采购法》第七十七条第一款的规定追究法律责任。</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 符合（财库[2019]27号）文件规定的投标产品或供应商：</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5.1投标产品为贫困地区农副产品的评标价计算规则：其评标价=谈判报价*（</w:t>
      </w:r>
      <w:r>
        <w:rPr>
          <w:rFonts w:hint="eastAsia" w:ascii="宋体" w:hAnsi="宋体" w:cs="宋体"/>
          <w:color w:val="auto"/>
          <w:spacing w:val="4"/>
          <w:sz w:val="24"/>
          <w:highlight w:val="none"/>
          <w:shd w:val="clear" w:color="auto" w:fill="FFFFFF"/>
          <w:lang w:val="en-US" w:eastAsia="zh-CN"/>
        </w:rPr>
        <w:t>3</w:t>
      </w:r>
      <w:r>
        <w:rPr>
          <w:rFonts w:hint="eastAsia" w:ascii="宋体" w:hAnsi="宋体" w:eastAsia="宋体" w:cs="宋体"/>
          <w:color w:val="auto"/>
          <w:spacing w:val="4"/>
          <w:sz w:val="24"/>
          <w:highlight w:val="none"/>
          <w:shd w:val="clear" w:color="auto" w:fill="FFFFFF"/>
        </w:rPr>
        <w:t>%）；</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5.1.1贫困地区农副产品是指832个国家级贫困县域内注册的企业、农民专业合作社、家庭农场等出产的农副产品。</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highlight w:val="none"/>
          <w:shd w:val="clear" w:color="auto" w:fill="FFFFFF"/>
        </w:rPr>
        <w:t>5.2供应商</w:t>
      </w:r>
      <w:r>
        <w:rPr>
          <w:rFonts w:hint="eastAsia" w:ascii="宋体" w:hAnsi="宋体" w:eastAsia="宋体" w:cs="宋体"/>
          <w:color w:val="auto"/>
          <w:spacing w:val="4"/>
          <w:sz w:val="24"/>
          <w:szCs w:val="22"/>
          <w:highlight w:val="none"/>
        </w:rPr>
        <w:t>为物业公司提供物业服务的评标价计算规则：其评标价=谈判报价*（</w:t>
      </w:r>
      <w:r>
        <w:rPr>
          <w:rFonts w:hint="eastAsia" w:ascii="宋体" w:hAnsi="宋体" w:cs="宋体"/>
          <w:color w:val="auto"/>
          <w:spacing w:val="4"/>
          <w:sz w:val="24"/>
          <w:szCs w:val="22"/>
          <w:highlight w:val="none"/>
          <w:lang w:val="en-US" w:eastAsia="zh-CN"/>
        </w:rPr>
        <w:t>3</w:t>
      </w:r>
      <w:r>
        <w:rPr>
          <w:rFonts w:hint="eastAsia" w:ascii="宋体" w:hAnsi="宋体" w:eastAsia="宋体" w:cs="宋体"/>
          <w:color w:val="auto"/>
          <w:spacing w:val="4"/>
          <w:sz w:val="24"/>
          <w:szCs w:val="22"/>
          <w:highlight w:val="none"/>
        </w:rPr>
        <w:t>%）；</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30.3本次项目的验收费用由成交供应商承担。</w:t>
      </w:r>
    </w:p>
    <w:p>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30.4本采购文件的解释权归采购人及采购代理机构所有。</w:t>
      </w:r>
    </w:p>
    <w:p>
      <w:pPr>
        <w:pStyle w:val="11"/>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b/>
          <w:color w:val="auto"/>
          <w:kern w:val="0"/>
          <w:sz w:val="24"/>
          <w:szCs w:val="24"/>
          <w:lang w:val="en-US" w:eastAsia="zh-CN"/>
        </w:rPr>
        <w:t>信用担保及信用融资</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（一）陕西省信用担保及信用融资政策</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支持和促进中小企业发展，进一步发挥政府采购政策功能作用，有效缓解中小企业融资难等问题，根据财政部财库〔2011〕124号文件及陕财办采〔2018〕23号文件的精神，陕西省财政厅制订了《陕西省政府采购信用担保试点工作实施方案（试行）》，为参与陕西省政府采购项目的供应商提供政府采购信用担保，并按照程序确定了合作的担保机构。供应商在缴纳投标保证金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rPr>
          <w:rFonts w:hint="eastAsia" w:ascii="宋体" w:hAnsi="宋体" w:cs="宋体"/>
          <w:color w:val="auto"/>
          <w:highlight w:val="none"/>
          <w:lang w:val="en-US" w:eastAsia="zh-CN"/>
        </w:rPr>
      </w:pPr>
      <w:bookmarkStart w:id="126" w:name="_Toc246928930"/>
      <w:bookmarkStart w:id="127" w:name="_Toc497551820"/>
      <w:bookmarkStart w:id="128" w:name="_Toc497711585"/>
      <w:bookmarkStart w:id="129" w:name="_Toc21234"/>
      <w:bookmarkStart w:id="130" w:name="_Toc519091923"/>
      <w:bookmarkStart w:id="131" w:name="_Toc497546918"/>
      <w:bookmarkStart w:id="132" w:name="_Toc492955459"/>
      <w:bookmarkStart w:id="133" w:name="_Toc9436"/>
      <w:bookmarkStart w:id="134" w:name="_Toc497712133"/>
      <w:bookmarkStart w:id="135" w:name="_Toc93800308"/>
    </w:p>
    <w:p>
      <w:pPr>
        <w:pStyle w:val="2"/>
        <w:rPr>
          <w:rFonts w:hint="eastAsia" w:ascii="宋体" w:hAnsi="宋体" w:cs="宋体"/>
          <w:color w:val="auto"/>
          <w:highlight w:val="none"/>
          <w:lang w:val="en-US" w:eastAsia="zh-CN"/>
        </w:rPr>
        <w:sectPr>
          <w:headerReference r:id="rId10"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21"/>
        <w:numPr>
          <w:ilvl w:val="0"/>
          <w:numId w:val="2"/>
        </w:numP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bookmarkStart w:id="136" w:name="_Toc8110"/>
      <w:r>
        <w:rPr>
          <w:rFonts w:hint="eastAsia" w:ascii="宋体" w:hAnsi="宋体" w:cs="宋体"/>
          <w:color w:val="auto"/>
          <w:highlight w:val="none"/>
          <w:lang w:val="en-US" w:eastAsia="zh-CN"/>
        </w:rPr>
        <w:t>项目需求</w:t>
      </w:r>
      <w:bookmarkEnd w:id="136"/>
    </w:p>
    <w:p>
      <w:pPr>
        <w:pStyle w:val="2"/>
        <w:rPr>
          <w:rFonts w:hint="eastAsia" w:ascii="宋体" w:hAnsi="宋体" w:cs="宋体"/>
          <w:color w:val="auto"/>
          <w:highlight w:val="none"/>
          <w:lang w:val="en-US" w:eastAsia="zh-CN"/>
        </w:rPr>
      </w:pPr>
    </w:p>
    <w:p>
      <w:pPr>
        <w:numPr>
          <w:ilvl w:val="0"/>
          <w:numId w:val="0"/>
        </w:numPr>
        <w:rPr>
          <w:rFonts w:hint="default"/>
          <w:b/>
          <w:bCs/>
          <w:sz w:val="24"/>
          <w:szCs w:val="22"/>
          <w:lang w:val="en-US" w:eastAsia="zh-CN"/>
        </w:rPr>
      </w:pPr>
      <w:r>
        <w:rPr>
          <w:rFonts w:hint="eastAsia"/>
          <w:b/>
          <w:bCs/>
          <w:sz w:val="24"/>
          <w:szCs w:val="22"/>
          <w:lang w:val="en-US" w:eastAsia="zh-CN"/>
        </w:rPr>
        <w:t>一、采购清单</w:t>
      </w:r>
    </w:p>
    <w:tbl>
      <w:tblPr>
        <w:tblStyle w:val="25"/>
        <w:tblW w:w="14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03"/>
        <w:gridCol w:w="9353"/>
        <w:gridCol w:w="952"/>
        <w:gridCol w:w="952"/>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产品</w:t>
            </w:r>
            <w:r>
              <w:rPr>
                <w:rFonts w:hint="eastAsia" w:ascii="宋体" w:hAnsi="宋体" w:cs="宋体"/>
                <w:b/>
                <w:bCs/>
                <w:i w:val="0"/>
                <w:iCs w:val="0"/>
                <w:color w:val="000000"/>
                <w:kern w:val="0"/>
                <w:sz w:val="24"/>
                <w:szCs w:val="24"/>
                <w:u w:val="none"/>
                <w:lang w:val="en-US" w:eastAsia="zh-CN" w:bidi="ar"/>
              </w:rPr>
              <w:t>名称</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单价 </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43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录播教室建设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高清录播主机</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架构：为保障系统运行稳定、安全，录播主机采用嵌入式架构设计，非PC、服务器架构。主机为标准1U机架式设备，便于安装部署，录播主机为非壁挂式架构，不存在机身显示屏等产生其他视频、强光源变化从而影响学生课堂专注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2.功能设计：主机功能高度集成化，需具备录制、导播、自动跟踪、存储、点播、互动等多功能功于一体，无需额外增加跟踪主机、互动主机等其他主机。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3.▲节能环保：应具有嵌入式低功耗环保特性，需采用不高于DC36V安全电压供电，整机正常工作状态下功耗不超过40W，提供第三方机构检测报告复印件并加盖厂商投标章或公章进行佐证。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4.▲低噪声设计：要求所投录播主机产生噪声最大值≤28dB(A)，不影响教室正常授课，提供第三方机构检测报告复印件并加盖厂商投标章或公章进行佐证。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5.平台对接：要求支持无缝对接视频资源管理应用平台，实现主机录制生成的视频文件自动上传平台归档。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二.主机性能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1.视频输入输出：具备高清视频输入接口3G-SDI in≥5、HDMI in≥2；高清输出接口HDMI out≥3；且采集和输出分辨率均支持1080P@30fps。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2.视频编解码：支持标准H.265、H.264视频编解码协议，要求支持1080P@30fps、720P@30fps分辨率格式编解码。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3.音频输入输出：具备数字音频输入接口Digital mic≥2、线性音频输入接口Line in≥2；线性音频输出接口Line out≥1、耳机监听接口≥1。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4.音频编解码：采用AAC音频编解码协议标准，并内置音频处理功能。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5.▲网络接入：具备标准RJ45网络接口，支持10/100/1000M网络自适应。并要求支持IPv4、IPv6双协议栈，提供双协议栈网络配置界面截图并加盖厂商公章或投标章进行佐证。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6.存储容量：内置不少于1T存储空间，用于录制视频文件的本地存储。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7.主机控制：具备Console控制接口≥2，支持RS232/422协议。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8.外设连接：具备USB 3.0接口≥2，可用于连接U盘等外设。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三.其他要求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1.整机使用平均无故障运行时间(MTBF)应≥200000小时,提供具备检测资质的第三方检测机构提供的正规检测报告复印件并加盖厂商投标专用章或公章。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2.主机与视频资源管理平台、高清摄像机设备为同一品牌。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流媒体管理软件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1.出于录播主机嵌入式设计特性，要求配套的录播管理软件在出厂时内嵌于高清录播主机中。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2.软件架构：软件需采用B/S架构设计，使用主流浏览器通过网络即可访问软件后台进行管理应用。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3.自主知识产权：要求录播管理软件具备自主知识产权，提供录播管理应用软件相关功能的软件著作权登记证书复印件并加盖厂家投标专用章或公章进行佐证。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二.录播模块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1.录制存储：要求在断网情况下也可以对本地教室进行视频录制，并将录制文件保存在录播主机的内置硬盘中。并要求支持1080P高清分辨率录制，采用MP4视频格式封装。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2.录制模式：支持电影模式、资源模式等录制模式。电影模式下实现多路信号的复合成一路画面进行录制；资源模式下要求摄像机画面、电脑画面均可独立录制封装。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3.高低码流录制：要求支持高低双码流同步录制，并要求支持自定义录制分辨率、码流。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同步录制：要求支持U盘等外设设备接入主机后，实现本机与U盘同步录制保存的功能。主机正常录制的同时，另存为一份文件保存到U盘中。要求提供软件同步录制功能配置界面截图或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云台控制：支持摄像机云台控制技术，实现对接入摄像机的画面进行云台控制，包括画面上下左右移动、放大缩小变焦等操作。云台控制功能应具有鼠标快速定位功能，通过鼠标点击快速居中画面区域。提供云台控制功能界面截图并加盖厂商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录制跟踪：要求内置录制画面跟踪功能，结合教室定位分析镜头，完成摄像机的画面拍摄和跟踪检测，实现课堂教师、学生行为的全自动跟踪。跟踪模式需包括教师走动全景、教师授课特写、教学课件跟踪、学生起立特写、学生听课全景等。为保障系统使用、管理便捷稳定，不接受使用额外配置跟踪主机的方式。提供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跟踪屏蔽：支持设置跟踪屏蔽区域，如主动屏蔽掉教师观摩区、窗户窗帘、教室门口、大屏液晶电视等易干扰跟踪效果的地方，所屏蔽的地方系统将不对其进行图像分析跟踪运算，以避免这些地方干扰整体的跟踪效果。提供教师跟踪场景、学生跟踪场景的屏蔽区域功能设置界面截图或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9.录制控制：要求支持录制、暂停、结束等基本功能操作，并支持通过外接控制设备以及网页web登录控制等方式进行录制控制。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10.音频处理：要求内置音频处理模块，支持EQ均衡、回声抑制、噪声抑制等音频处理功能。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三.管理模块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1.录像管理：支持对录制视频按标题、主持人、时间、时长进行排序，便于快速检索所需视频。支持对录像文件进行回放和下载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2.视频修复：支持硬盘格式化功能，支持对设备异常断电、宕机造成的损坏视频文件进行修复。提供上述功能软件界面截图并加盖厂家投标专用章或公章。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3.版本切换：支持中英双语版本切换，适合不同用户的应用需求。要求通过网络导播界面即可便捷切换，无需进行更改授权、系统升级等复杂操作。提供英文界面截图并加盖厂家投标专用章或公章。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4.面板管控：支持接入控制面板，对录播设备进行唤醒、录制管理。</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流媒体直播软件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流直播：要求支持RTMP和RTSP视频传输协议，要求支持不少于3路RTMP同步推流直播，并要求可从接入的摄像机信号和电脑信号中选择每路推流信号源进行推流，实现多流直播。提供软件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2.直播码流：支持自定义直播分辨率和码率，最高支持1080P@30fps，以适应不同网络环境下保持直播的流畅性。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3.直播模式：要求支持RTMP直播、TS直播、集控推流直播等不少于3种不同直播模式，以适应不同场景直播需求。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流媒体点播软件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1、为方便资源管理，软件支持录制课程的本地下载，为方便资源管理，系统支持对录制视频按标题、主持人、时间、时长进行排序可按照主题、主讲人进行分组展示。可查询录制课程的分辨率。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2、支持对视频文件进行点播回放，支持拖拽播放进度条播放，支持高低码流同步录制，支持自定义录制分辨率、帧率和码流，码流的设置范围为码率支持512kbps到40Mbps可设。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提供软件分段录制功能配置界面截图或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4、支持查询视频文件的分辨率、帧率和码流。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5、支持录像文件和对应PPT课件下载。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6、支持对视频进行手动FTP上传。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7、提供流媒体点播相关功能的软件著作权登记证书复印件并加盖厂家投标专用章或公章。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在线互动软件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1.互动协议：支持H.323、SIP标准视音频互动协议，便捷进行远程互动教学应用。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动要求：要求内置互动模块，无需额外部署MCU类设备即可支持“1+3”的互动授课模式，实现专递课堂教学应用。同时也需支持会议互动模式，创建或加入大规模视音频实时互动。提供“授课模式”及“会议模式”的功能界面截图及并加盖厂商公章或投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提供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互动通讯录：支持对接获取互动云系统的通讯录数据，数据内容包括所有已在互动云系统注册的录播账号、录播昵称。支持通过通讯录选择互动对象直接呼叫，或手动输入录播账号进行呼叫。提供软件配套录播主机的第三方检测报告复印件并加盖厂家投标专用章或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发言权限控制：通过录播主机的网络导播界面，需支持主讲端在互动过程中对其余互动参与者的发言权限进行控制，支持单人禁言/开启以及全场禁言/开启的控制方式。提供对应功能的功能界面截图并加盖厂商公章或投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6.互动画质：要求录播主机在双向互动过程中，可实现1080P@30FPS画质，并支持网络自适应功能。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互动网络检测：要求录播主机支持网络检测功能，测试录播主机与互动服务器之间的网络通讯情况，包括上下行丢包率数据、带宽数据。互动画面中可叠加显示各互动点的视频码流和丢包率。提供上述功能软件界面截图或软件配套录播主机的第三方检测报告复印件并加盖厂家投标专用章或公章进行佐证。</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录播导播软件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1.架构要求：出于录播主机嵌入式设计特性，要求配套的录播导播软件在出厂时内嵌于高清录播主机中。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2.本地导播：要求支持连接外接导播台进行控制导播，实现本地导播控制。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络导播：为保障低配置电脑也能正常使用，要求支持通过浏览器访问录播主机进入导播界面，在导播界面实现对所有接入视频和录制效果画面的实时预览，并支持在手动导播模式下进行信号源实时切换录制。支持渐变、缩放、切换等转场特效。不接受安装客户端软件进行导播的方式。提供对应功能界面截图及并加盖厂商公章或投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4.导播模式：支持全自动、半自动、手动三种导播模式，并支持录制过程中任意切换导播模式。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5.导播预览：要求导播界面可实现接入画面的导播预览，预览画面需包括教师特写、教师全景、学生全景、学生特写、电脑画面等。并支持点击预览画面可自由切换录制画面进行录制。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6.画面布局：提供双分屏、三分屏、画中画等录制布局，并支持自定义布局方式，支持多个视频图层自由叠加组合，自定义布局时可随意拖拉画面窗口。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7.摄像机预置位：要求支持8个摄像机云台预制位设置，导播过程中可便捷调取摄像机预设位置的画面。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8.字幕台标：要求录制模式下支持Logo台标、字幕设置，可自主上传Logo图标、编辑字幕内容。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9.音量控制：要求可通过导播界面进行音量控制，调整相关输入输出音量大小。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10.提供流媒体导播功能的计算机软件著作权登记证书复印件并加盖厂家投标专用章或公章。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1.视频输出接口：SDI≥1、HDMI≥1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2.传感器类型：CMOS，1/2.5英寸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3.传感器像素：有效像素不低于207万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4.焦距：22倍变焦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5.水平转动速度范围：1.0° ~ 94.2°/s，垂直转动速度范围：1.0° ~ 74.8°/s，水平视场角：72.0° ~ 6.7°，垂直视场角：43.2° ~ 3.7°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6.支持水平、垂直翻转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7.背光补偿：支持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8.数字降噪：2D&amp;3D数字降噪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9.预置位数量：255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10.通讯接口：RS232/RS422≥1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11.网络接口：RJ45≥1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12.音频输入接口：Line in≥1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13.USB接口：USB Type-A≥1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14.支持的协议类型：VISCA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15.编码技术：视频H.265、H.264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16.电源支持：支持POC和DC12V电源适配器两种供电方式。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17.要求摄像机与录播主机为同一品牌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高清摄像机管理软件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1.摄像机管理软件采用B/S架构，支持通用浏览器直接访问进行管理。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2.支持曝光模式设置功能，包括自动、手动。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3.支持抗闪烁频率、动态范围、光圈、快门参数设置。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4.支持自动白平衡设置功能，红、蓝增益可调。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5.支持噪声抑制设置功能，支持2D、3D降噪。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6.支持摄像机图像质量调节功能，包括亮度、对比度、色调、饱和度。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7.支持摄像机控制功能，包括云台控制、预置位设置与调用、焦距调节等。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8.提供高清摄像机管理软件相关计算机软件著作权登记证书及相关检测报告复印件并加盖厂家投标专用章或公章。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教师定位分析仪</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扫描方式：逐行扫描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输出帧率：30fps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摄像元件：1/3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有效像素：1920（H)×1080（V)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最低照度：0.3Lux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通讯方式：RJ-45，支持POE供电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提供权威机构检测通过的产品无故障运行时间MTBF≥60000小时检测报告复印件并加盖厂家投标专用章或公章。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学生定位分析仪</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扫描方式：逐行扫描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输出帧率：30fps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摄像元件：1/3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有效像素：1920（H)×1080（V)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最低照度：0.3Lux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通讯方式：RJ-45，支持POE供电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提供权威机构检测通过的产品无故障运行时间MTBF≥60000小时检测报告复印件并加盖厂家投标专用章或公章。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板书定位分析仪</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扫描方式：逐行扫描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输出帧率：30fps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摄像元件：1/3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有效像素：1920（H)×1080（V)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最低照度：0.3Lux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通讯方式：RJ-45，支持POE供电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提供权威机构检测通过的产品无故障运行时间MTBF≥60000小时检测报告复印件并加盖厂家投标专用章或公章。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教师定位分析软件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采用B/S架构设计，支持通用浏览器进行远程访问进行管理；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支持两种跟踪模式：紧跟模式、“特写”与“全景”切换跟踪模式。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支持多个区域屏蔽功能，避免屏蔽区域内的干扰，提高系统识别效果；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支持检测区域设置，对指定区域进行跟踪分析，支持同时划分多个检测区域。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具有“模糊防抖”功能，避免人员小幅度活动时引起的摄像机画面抖动现象；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提供教师定位分析相关软件著作权登记证书复印件并加盖厂家投标专用章或公章。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学生定位分析软件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采用B/S架构设计，支持通用浏览器进行远程访问进行管理；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支持学生起立跟踪功能，支持当学生起立特写跟踪拍摄，同时支持学生起立后自定义为学生与老师双分屏交互画面；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支持多个学生起立跟踪功能，多学生起立切换为学生全景拍摄；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支持自定义规定时间间隔自动切换为学生全景画面；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支持多个区域屏蔽功能，避免屏蔽区域内的干扰，提高系统识别效果；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支持检测区域设置，对指定区域进行跟踪分析，支持同时划分多个检测区域；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具有“模糊防抖”功能，避免人员小幅度活动时引起的摄像机画面抖动现象；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提供学生定位分析相关软件著作权登记证书复印件并加盖厂家投标专用章或公章。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板书定位分析软件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采用B/S架构设计，支持通用浏览器进行远程访问进行管理；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支持板书行为跟踪拍摄，当老师书写板书是自动切换为板书特写画面；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支持板书画面大小、位置的自定义调节；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支持多个区域屏蔽功能，避免屏蔽区域内的干扰，提高系统识别效果；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支持检测区域设置，对指定区域进行跟踪分析，支持同时划分多个检测区域；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具有“模糊防抖”功能，避免人员小幅度活动时引起的摄像机画面抖动现象；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提供板书定位分析相关软件著作权证书复印件并加盖厂家投标专用章或公章。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录制面板</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在讲台上镶嵌式安装方式；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控制接口：RS232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信号指示灯：支持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支持一键式系统电源开关控制。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一键式录制、停止、锁定电脑信号；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支持本地录播全自动的开启、关闭控制。该功能同时支持录播模式和互动模式。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支持通过面板一键发起与远端设备互动连接；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支持通过交互控制面板切换互动画面的信号源，并传输到听课室，包括本地老师信号、学生信号、电脑信号、远端课室画面。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支持对各画面的自由布局控制，包括单画面全屏、双分屏、三分屏、四分屏、画中画，并传输到听课室。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10.支持远程“一键静音”功能，主讲端可一键关闭远端互动教室发言，进入主讲授课模式。</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音频输入/输出通道（MIC/LINE.：6路输入/4路输出，支持选择多种电平的音源输入，支持幻像供电功能。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矩阵功能:输入多路信号并将其按用户设定比例进行混合，分配到多个输出通道中。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转换器类型 24bit;采样率 48K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频率响应 20~20KHZ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模/数动态范围≥114dB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要求与录播主机为同一品牌。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提供权威机构检测通过的产品无故障运行时间MTBF＞60000小时检测报告复印件并加盖厂家投标专用章或公章。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采用C/S或B/S软件架构设计，支持对音频处理矩阵进行管理。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AGC自动增益控制:自动提升和压缩话筒音量，使之以恒定的电平输出。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AVC回声消除:全新的自适应式回声消除功能，无需人工调试。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AFC反馈啸叫消除:采用自适应处理的方式对现场扩声系统的啸叫进行有效的消除。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ANC自动噪声消除:自动噪声消除根据环境的声场变化自动进行噪声消除。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提供设备具备回声消除、反馈啸叫消除、自动噪声消除功能的软件设置界面截图并加盖厂家投标专用章或公章。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提供数字音频处理软件计算机软件著作权登记证书及相关检测报告复印件并加盖厂家投标专用章或公章。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采访话筒（指向性）</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单体：背极式驻极体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指向性：超心型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频率响应：40Hz—16kHz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低频衰减：内置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灵敏度≥-29dB±3dB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输出阻抗≥500Ω±20%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最大声压级≥130dB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信噪比≥70dB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动态范围≥106dB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使用电源：48V 幻象电源（48V DC）</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管理器</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向录播视频系统、音频系统、显示系统提供统一的、至少八路电源管理；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支持对录播系统控制功能，实现通过录制面板一键启动录播系统相关设备的电源；</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采用UHF超高频段，提供多通道（32/64/99通道）选择，避免干扰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频率范围：500MHz-980MHz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调制方式：FM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音频响应：50Hz-15KHz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综合信噪比S/N：&gt;105dB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综合失真：≤ 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采用微电脑CPU控制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PLL锁相环频率合成技术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杂讯锁定静噪控制+音码导航锁定静噪控制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音频动态扩展及自动电平控制电路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频率响应：40Hz-18KHz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发射功率：高巩固率10dBm，低功率5dBm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调制方式：FM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最大调制度：±45KHz</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互动音箱</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1.HF线性标准，释放纯粹而清透的声音，确保较高的保真度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独有的箱体单元组合技术，消除了低频信号的谐波失真，使音箱的低音更加纯正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2.超高性能的驱动器单元，可以实现高效率、高功率输入带来高声压级极低失真的内在表现，长期使用表现出良好的耐用性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3.采用对称斜面屏障设计，配置的扬声器排成阵列，喇叭单元上下方向排列的指向性可使声音在水平方向均匀地扩散，获得很好的声场均匀度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4.扬声器箱体采用特殊乙烯树脂一次注塑成型，箱体轻巧坚固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5.高音单元：1＂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6.低音单元：6.5＂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7.频率响应：60Hz-20KHz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8.阻抗： 6Ω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9.功率：60W(RMS)    120W(PEAK)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10.灵敏度：91dB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11.最大声压级：105dB</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1.1U的机身更耐用可靠更轻巧，质量好稳定性高，低噪音。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2.各通道配置独立、可扫描高／低通滤波器可优化超低音扬声器或整个系统的输出。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3.电源采用高涟波电流电解电容有效提高低频氛围感更耐可靠用。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4.提供综合保护措施包括DC检测、热保护、电流限制和衰减器保护。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5.频率响应 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6.输出功率 2x200W (8Ω) ，2x300W (4Ω)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 噪 比 ＞100dB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8.串音 ＞90dB@1KHz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9.输入阻抗 39KΩ/15KΩ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10.瞬态响应 ≥30V</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资源平台服务器</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（1）设备高度：≤1U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（2）★硬件架构：嵌入式ARM架构设计，主机出厂内置视频资源管理平台，无需进行复杂的系统环境、软件安装操作。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（3）系统支持：Linux系统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（4）数据库支持：MYSQL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（5）存储容量：4TB SATA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（6）网络连接：RJ45千兆网口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（7）通讯接口：USB2.0≥2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（8）支持Rst设备一键复位功能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（9）采用安全电压不大于DC36V供电，节能环保，采用无风扇设计，低噪音。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（10）支持流媒体转发、直播、点播功能，单台主机支持不少于200点转发直播、支持大规模点播。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（11）所投产品通过权威机构CCC认证，提供证书复印件并加盖厂家投标专用章或公章。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（12）▲要求整机使用平均无故障运行时间(MTBF)应≥200000小时,提供具备检测资质的第三方检测机构提供的正规检测报告复印件并加盖厂商投标专用章或公章。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视频资源管理平台</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1.信息管理功能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（1）录播管理：支持把录播设备接入平台，实现自动转码、无缝直播点播，并具备直播和点播功能。支持对录播进行远程关机、休眠唤醒、启动录制等操作。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（2）多级平台对接：支持校平台与上级区平台进行对接，校平台资源可像区平台提交数据资源。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录制预约：平台支持用户远程进行在线录课预约，可实现单个或批量预约；可直接导入课表实现预约；支持预约信息的申请和审核管理。支持用户手机扫码预约录制，扫码后手机端填写录播预约信息即可快速完成预约，录制结束后也可扫码在平台回顾或下载已录制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（4）资源颗粒度管理：支持视频资源多维度分类，如按年级、学科等分类管理，支持用户自定义分类类型。并支持根据关注度、用户推荐度和点击热度的不同维度在平台呈现。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（5）视频专辑：支持用户可灵活创建各种视频专辑，并自定义专辑类型，可将一同类型的视频进行归类，便于视频的归整和便捷查询。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公告发布：平台首页提供公告模块，支持通过平台发布校务公告、活动通知、时势新闻等多种类型公告。公告支持按定义的类型进行归类查询，支持用户自定义公告类型。提供平台首页公告截图并加盖厂家投标专用章或公章及上述类型的公告设置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（7）自动转码功能：支持视频下载、上传、编辑、管理。可实现所有主流视频文件格式自动转码，包括asf、mpg、rmvb、mov、rm、avi、3gp、wmv、flv、mp4等，可设置下载及观看权限，可设置高标清转码清晰度码流。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提供添加和修改的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教学行为分析：支持弗兰德斯教学行为分析法（S-T），平台根据跟踪数据生成S-T曲线图，帮助用户进行教学技能提升和评估。S-T行为数据支持后期在线编辑修改，便于教师进行错误修正。提供S-T功能界面截图并加盖厂家投标专用章或公章和编辑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（10）文件检索：支持关键字搜索功能，用户可直接在资源管理平台的页面搜索框输入关键字，对某个视频标题、知识点和教学环节进行搜索。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（11）一键置灰：支持平台肤色一键置灰功能，切合特殊纪念日氛围。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（12）指定播放：支持设置指定播放源，用户点击任意视频均强制播放指定视频源，便于学校进行重要视频的统一播放和管理。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流量统计：支持平台对用户访问数、页面访问量进行数量统计，访问流量数据可按日、周、月、年、总浏览数进行分类统计。支持以曲线图形式展现10天内的访问流量变化趋势。支持对视频直播量、点播量统计。提供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提供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（15）提供基于录播设备的智能教学信息处理系统相关自主知识产权证明文件复印件并加盖厂家投标专用章或公章。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2.直播点播功能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（1）基于FLV、HLS主流协议直播技术，无需安装插件即可进行跨平台（Windows、Linux、IOS等）视频点播观看。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（2）支持流媒体转发服务，平台支持不少于200点以上高清直播功能。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（3）集群技术：支持直播集群技术，以支持系统的横向拓展，随系统应用规模的拓展逐渐增加转发服务器以支持更大规模直播。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（4）多码率支持：点播视频时可根据网络情况在播放器窗口进行高标清切换观看。提供转发高标清设置功能界面截图并加盖厂家投标专用章或公章。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（5）支持直播权限及密码设置，让直播信息更加安全。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（6）支持上传教案、课件等视频附件，附件可与视频进行绑定。支持word、excel、ppt、PDF、jpeg等格式。用户在点播视频时下载附件。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（7）提供视频转发分享功能，支持二维码分享和一键转发分享至新浪微博、QQ、微信等社交平台中。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3.微课管理功能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（1）提供微课管理模块，支持自定义微课时长限制，在规定时长内的视频上传平台后自动归类到微课模块当中，并支持按学段、学科进行自动归类整理。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专业微课录制软件，支持直接从平台下载微课录制软件并安装于笔记本电脑中。微课视频录制完毕后支持一键上传到平台，或下载到本地电脑保存。提供微课软件客户端在平台下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（3）▲微课录制软件需满足包括教师头像、实物展台、课件PPT在内的三路视频源切换及组合布局录制，支持课件与老师画中画模式。提供软件界面截图并加盖厂家投标专用章或公章。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（4）支持PPT课件导入、课件批注，在微课录制的同时支持PPT分页预览，并进行切换录制。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（5）提供微课制作软件相关软件著作权证书复印件并加盖厂家投标专用章或公章。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4.移动APP应用服务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（1）提供自主研发的平台移动端APP，支持Android系统，可与视频资源管理平台对接。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（2）移动端APP应提供视频在线直播、视频点播、专辑点播等功能。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（3）移动端同步支持虚拟切片功能，实现知识点的快速跳转观看、学习，提高学生的学习效率。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（4）支持移动端APP点播视频时查看视频信息、视频附件。提供APP功能界面截图并加盖厂家投标专用章或公章。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（5）提供移动学习软件相关软件著作权证书复印件并加盖厂家投标专用章或公章。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（1）为了保证系统兼容性，要求平台与录播主机为同一品牌，提供教学视频资源管理系统相关软件著作权证书复印件并加盖厂家投标专用章或公章。</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互动</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55英寸高清LED液晶屏；分辨率支持1920*1080；输入接口：HDMI、VGA；支持壁挂式安装</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22U标准网络机柜</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线材辅料</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满足系统装修布线需求：24口POE千兆交换机、3G-SDI视频线、网线、电源线、音频线、插座、排插等。</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9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现场氛围营造</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具体可根据教室现场环境设计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1.色调：桌椅、墙面、地面、窗帘等着色配合协调，整体颜色效果应适合录像，可提供不同色调材料搭配供选择。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2.吊顶、墙壁工程：教室四周墙壁使用阻燃聚酯纤维吸音板材装修或条形木制微孔吸音板材装修，天花板选用600*600的矿棉板或聚酯纤维吸引板材。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3.窗帘：窗帘采用厚实窗帘，具有吸音和有效隔绝自然光的作用，色调与墙体协调。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4.灯光：采用LED正白灯,保证充足照明和完美的视频拍摄效果。讲台要增加教师LED正白灯补光。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5.面积及布局：教室总面积根据实际情况来定，装饰装修要求布局合理，应有良好的隔音效果。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6.供电及接地：采用录播设备、照明、空调独立供电，设备良好接地。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隔断墙：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1、轻钢龙骨框架，内部填充吸音棉，石膏板覆面，教室端表面覆木板，木板表面进行吸音材料装饰，隔墙中间安装单向玻璃。</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8" w:hRule="atLeast"/>
        </w:trPr>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93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1.整机屏幕采用≥86英UHD超高清LED液晶屏，显示比例16:9，屏幕图像分辨率≥3840*2160，具备防眩光效果。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2.采用电容触控感应技术，需支持20点触控及同时书写，触摸分辨率≥32767×32767。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3.定位精度≤±1.5mm，最小识别直径≤8mm，触摸响应时间：≤8ms。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4.Windows系统下触摸书写延迟≤60ms。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5.系统通道切换速度小于等于1秒，通道切换小于等于4秒，切换后即可达到触摸状态。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6.屏体亮度≥350cd/M2,色彩覆盖率≥ 85%NTSC，对比度≥4000：1，最大可视角度≥178度。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7.整机采用三拼接平面一体化设计，无推拉式结构及外露连接线，外观简洁。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8.主屏表面硬度≥9H，透光率≥90%，雾度≥20%。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9.整机（含副板）支持普通粉笔、液体粉笔、水溶性粉笔等直接书写，副板支持磁吸。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10.整机屏体无需操作即可实现蓝光防护，具备物理防蓝光（过滤蓝光）功能，有效抗蓝光、防眩光。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.整机架构:为降低电脑模块维护成本，接口严格遵循Intel相关规范,针脚数为行业通用≤80Pin ,与大屏无单独接线；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2.为保证产品安全性，采用螺丝固定，无需工具即可快速拆卸电脑模块。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3.CPU采用Intel I5处理器；内存：8G DDR4；硬盘：256G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实物展台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1.壁挂箱体采用铝合金外壳，美观耐用，四周无锐角无利边设计，关注师生安全。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2.文稿展示区域采用三折叠式开合托板，展开后托板≥A4面积，高效利用挂墙面积。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3.展台像素：采用1200 万像素自动对焦镜头，最高分辨率3840*2880。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课堂管家系统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1.需支持教学软件一键还原、音频源一键切换、一键磁盘清理、广告弹窗拦截、网络连接状态显示；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2.需支持远程集中管控，可查看大屏运行状态，可实现设备远程锁屏；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3.需支持OPS运行状态监控，远程开关机、远程系统还原、远程桌面功能；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4.需支持远程课堂巡视与音视频广播功能。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教学应用系统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配套教学资源：需提供小学、初中、高中学段同步教学资源，不少于10个以上学科配套资源，如语文、数学、英语、物理、化学、生物、政治、历史、地理；配套资源类型包括课件、文本、图片、音频、视频、H5动画；需提供全学科电子化教材，其中语文、英语、音乐三大语言类学科提供语言学习资源支持即点即读功能；需支持每位教师下载电子课本的下载数量不低于10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提供校本资源库，资源格式支持txt、word、excel、PowerPoint、图片（如jpg、bmp）、视频（如mp4、flv、avi、rmvb、wmv）及音频（如mp3、wma、wav）；资源内容需支持按目录检索条件、资源筛选排序，并支持校本资源的预览、下载、存到个人资源库功能，需支持个人的教学资源分享校本资源库。</w:t>
            </w:r>
          </w:p>
        </w:tc>
        <w:tc>
          <w:tcPr>
            <w:tcW w:w="9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9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观摩电视</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50英寸以上高清LED液晶屏；分辨率支持1920*1080；输入接口：HDMI、VGA；支持壁挂式安装</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UI Light" w:hAnsi="Microsoft YaHei UI Light" w:eastAsia="Microsoft YaHei UI Light" w:cs="Microsoft YaHei UI Light"/>
                <w:i w:val="0"/>
                <w:iCs w:val="0"/>
                <w:color w:val="000000"/>
                <w:sz w:val="18"/>
                <w:szCs w:val="18"/>
                <w:u w:val="none"/>
              </w:rPr>
            </w:pPr>
            <w:r>
              <w:rPr>
                <w:rFonts w:hint="eastAsia" w:ascii="Microsoft YaHei UI Light" w:hAnsi="Microsoft YaHei UI Light" w:eastAsia="Microsoft YaHei UI Light" w:cs="Microsoft YaHei UI Light"/>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观摩音响</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1.功率：50W×2；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2.喇叭：5.5寸低音，3寸高音；采用高低音扬声器、音质通透亮丽，人声表现力突出，中频浑厚，透彻、穿透力强；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3.总音量、高音、低音、话筒音量独立调节；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Light" w:hAnsi="Microsoft YaHei UI Light" w:eastAsia="Microsoft YaHei UI Light" w:cs="Microsoft YaHei UI Light"/>
                <w:i w:val="0"/>
                <w:iCs w:val="0"/>
                <w:color w:val="000000"/>
                <w:sz w:val="18"/>
                <w:szCs w:val="18"/>
                <w:u w:val="none"/>
              </w:rPr>
            </w:pPr>
            <w:r>
              <w:rPr>
                <w:rFonts w:hint="eastAsia" w:ascii="Microsoft YaHei UI Light" w:hAnsi="Microsoft YaHei UI Light" w:eastAsia="Microsoft YaHei UI Light" w:cs="Microsoft YaHei UI Light"/>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导播电脑</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CPU：I5，4G内存，500G硬盘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Light" w:hAnsi="Microsoft YaHei UI Light" w:eastAsia="Microsoft YaHei UI Light" w:cs="Microsoft YaHei UI Light"/>
                <w:i w:val="0"/>
                <w:iCs w:val="0"/>
                <w:color w:val="000000"/>
                <w:sz w:val="18"/>
                <w:szCs w:val="18"/>
                <w:u w:val="none"/>
              </w:rPr>
            </w:pPr>
            <w:r>
              <w:rPr>
                <w:rFonts w:hint="eastAsia" w:ascii="Microsoft YaHei UI Light" w:hAnsi="Microsoft YaHei UI Light" w:eastAsia="Microsoft YaHei UI Light" w:cs="Microsoft YaHei UI Light"/>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353" w:type="dxa"/>
            <w:gridSpan w:val="6"/>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人工智能教育设备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3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机器人教学套件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科技动力教育系统</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 产品描述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套件包含多种类型的积木零件，配合简单快速的插销连接方式和电子部件，快速实现创意搭建。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生产厂家属于中国青少年机器人竞赛准入器材厂家。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生产厂家于全国电脑制作活动设有冠名赛。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生产厂家有在全国青少年科技创新大赛中设有学生和辅导老师专项奖。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生产厂家是国家高新技术认证企业，也是ISO9001认证企业。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配有一个两路马达电源模块，该电源模块可同时给两个马达供电，并能通过拨动各自的开关来切换马达的工作方向。内置锂电池，工作电压3.7V。可通过USB充电，充电电压5V。配有工作指示灯，电压低时显示橙色。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配有一个电机，转速≥260-280RPM，运行扭矩≥10Ncm，失速扭矩≥15Ncm。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设计比例基于标准的10毫米积木，无螺丝的搭建设计，不少于545个积木件，种类不少于95种。结构部件包括有以下8类：梁类、齿轮、轴类、实销类、虚销类、连接件、紧固件、板类。积木件的颜色大于 8 种，含有红、黄、蓝、灰、深灰、白、土黄、黄色、黑等颜色。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搭建配有5X15cm多孔连接板1块和5X5cm多孔连接板2块，配有7种直梁和9种异形梁。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不少于15种传动配件：40齿齿轮两个，36齿齿轮2个，24齿齿轮4个，20齿齿轮2个，16齿齿轮2个，12齿齿轮2个，8齿齿轮2个，并配有20齿和12齿的锥形齿、凸轮、蜗杆、齿条、万向节、转台，以及不少于90节链条，以实现多种传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用于连接、紧固的各种销与连接件不少于34种，有丰富的搭建方式且易于实现。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配有两种型号（分别为：直径5.6宽度2.8cm，直径4.3宽度2.2cm）共4个宽轮胎，胎皮材料采用热塑性弹性体，环保无异味，耐磨性高；轮毂材料采用高强度工程料，防爆，高刚性，弹性模量高，弹性变形后恢复快，配合孔耐磨耐用；连接孔为十字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配有3X11cm右弯/左弯面板各一个，配有3X7cm右弯/左弯面板各一个。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配有一个套装塑料箱和两个分类盒。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产品能搭建成恐龙、企鹅、翻斗车、F1赛车、海盗船、旋转木马、吊桥、升降机等案例。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最少配有3阶段，不少于48节课，含课程PPT、教案以及搭建图。</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人工智能机器人教育系统</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 产品描述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可编程教育机器人套装包含可编程集成控制器，机器人外观结构，以及电子模块。支持从积木式编程语言入门和可视化的专业编程语言。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生产厂家属于中国青少年机器人竞赛准入器材厂家，并设有专项奖。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生产厂家于全国电脑制作活动设有专项赛。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生产厂家在全国青少年科技创新大赛中设有学生和辅导老师专项奖。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生产厂家是国家高新技术认证企业，也是ISO9001认证企业。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设计是基于散件方式，通过卡扣方式，组装ABS塑料外壳的人形机器人；非已组装好的一体整机。关节使用伺服电机进行驱动，并配有控制系统。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 不少于10个伺服电机，且能组装具有10个关节自由度的人形机器人。其中头部1个关节，手部2个关节，腰部1个关节，腿部2个关节。伺服电机需采用高精度铜齿轮，具有耐磨、工作寿命长的优点，无机械限位，最大可控角度可达270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最低为 32 位 72MHz 处理器，128K程序存储器，20K 数据缓冲器，至少可以存储1个用户程序并可离线运行，Mini-USB接口，支持固件升级。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至少具有10路伺服电机接口，2路模拟、数字复合端口，1路I2C端口，1路USART端口，以及MINI-USB端口，使用1节3.7v锂电池供电。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内置蓝牙BLE4.2通讯模块，可与IOS和安卓系统连接通讯。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内置红外测距功能，探测范围不小于50cm，探测精度不底于5cm，数值范围0-10；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内置光敏探测功能，可检测环境可见光的强度，数值范围0-255。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内置声音检测功能，可检测外部声音的强度，数值范围0-255。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内置蜂鸣器，可播放不同频率与节拍的声音。支持 MP3播放，支持插卡（TF卡，不少于128M），具有外放喇叭。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内置红外遥控接收器，并配套有相应红外遥控器，可控制机器人运动及播放音乐等，也可控制机器人群体舞蹈的统一启动。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身体部分具有不少于4颗全彩LED，且能由程序控制发光颜色与亮度；头部眼睛采用蓝色光环板，且能由程序控制其闪烁。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产品须具有良好的可驱动性，整个10自由度完整人形机器人重量不得大于0.4KG，长宽高不超过16*8*17cm。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具有配套的微信小程序快速体验程序；配有动作编辑软件，能快速简单的实现动作编辑。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机器人编程可以支持 SCRATCH 编程方式，支持控制器通过内置蓝牙模块或USB接口连接 SCRATCH 在线编程与下载。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产品配套3D组装搭建软件，能在手机和平板上使用；带有电子教辅课程，课程不少于20课，并带有不少于10个展示舞蹈。</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3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无人机套件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编程无人机</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1、飞行器总重量不超过87克，尺寸不超过98×92.5×41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2、飞行速度可设定，最大水平飞行速度不小于28Km/h，飞行时长不少于13分钟。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3、飞行器配备红外传感器、气压计、前视及下视摄像头，支持录像拍照功能。摄像头最大分辨率不小于2592*1936，支持720P高清录像，支持一键360°拍照，，具备电子防抖功能。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4、飞行器具有高清720p图传，图传距离不小于100m。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5、飞行器支持智能飞行模式，具有手掌抛飞、全向翻滚、一键飞远、一键环绕等多种智能飞行功能。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6、飞行器具有WIFI AP模块，支持与PC端、手机移动端及路由器等多种设备连接。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7、飞行器支持scratch、python、swift编程控制，实现编程控制坐标飞行、弧线飞行、实时获取多种传感器数据等功能。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8、飞行器需配备专属教育版APP，可以在手机或平板上实现遥控飞行模式、编程飞行模式。</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飞行电池</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适用电池型号：3.8V  工作环境温度：5~45°C 输入电压：5 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输入电流：3 A（最大） 重量：约 29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充电时间(三块飞行电池)：约 2 小时</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电池管家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类型：Lipo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容量：1100mAh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电压：3.8V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重量：25±2g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能量：4.18Wh</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地图、道具</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适配无人机多机编队可用的专用地图。包含4个障碍环和3*3m的迷宫场地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地图分为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1、迷宫起点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2、隐藏式任务点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3、墙面禁区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4、迷宫终点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5、隐藏式任务点</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3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机器人竞赛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人工智能普及赛套装</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1、控制器： 32位Cortex-M3处理器，时钟频率72MHz，512KB flash，64K RAM；3MB外部程序存储空间加1M外部文件存储空间，可存储50条以上程序。128*64LCD背光，支持中文、英文显示。4个按键，一个开机及运行程序合用键，一个返回键，两个左右选择键；提供20路各类输入输出接口，其中12路数字/模拟接口（AI、DO）；提供4路闭环电机控制接口，单路最大电流1.5A；4路485伺服电机串行接口，最大电流6A；USB口有两种工作模式，一种为U盘下载模式；另一种为在线调试模式，可采用断点调试方式，方便程序调试；可通过手机APP连接。可在文件界面选择不同的程序并运行；支持中文、英文；电池电压显示，声音播放；可测试单个电机及全部电机正反转，可反馈闭环速度值；可测试12路模拟端口传感器值，或控制12路数字端口状态；可设置EEPROM中的参数；并控制声音开关、背光的开关。系统工作电压6.5~10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件：集成式底盘，方便快速组装成车体。支持履带、轮式、六足三种运动方式。结构件设计比例基于标准的10毫米积木，拼插式搭建方式，无螺丝搭建设计。组件数量不少于320个，组件种类不少于37种。主要构件梁、销、轴类构件单点固定牢固，可承担扭转力矩大于1N.m。各种类型结构部件还以颜色区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3、传动件：6种齿轮9个，包含：8直齿齿轮、16直齿齿轮、24直齿齿轮，12半高锥齿，12锥直齿, 蜗杆等。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4、传感器：地面灰度传感器（工作电压5V，自发射调制光线，抗环境光干扰）5个；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5、执行器：闭环电机3套：工作电压6V-10V，空载转速420±10 rpm，旋转扭矩0.05N*M，堵转扭矩0.25N*M。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6、能源：专用锂电池：7.4V 1500MAH，最大放电电流为6.5A，自带保护电路；适配器：8.4V 1A，接在电源口上可以直接给控制器供电。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7.软件系统： AI Module 软件，支持流程图编程、标准C语言编程、Python编程、Scratch编程、动作编辑器五种编程方式，可一键切换。流程图模块包含所有端口功能，支持子程序功能等可视化编程。含有动作、传感器（侦测）、控制、程序、数据、高级、巡线7大功能模块；基于全新QT平台开发，可适用于Windows、Mac等操作系统，同时可以多线程编程。流程图可自动生成C语言，C语言支持指针、数组、结构体等复杂应用。库函数全开放。Scratch编程，基于Scratch3.0进行开发，继承了Scratch3.0强大的功能和体验，让编程就像搭积木一样简单，只要识字便能开始学习编程，让孩子循序渐进地掌握编程技能。Python是一款被广泛应用于AI、数据分析等前沿领域的编程语言，已取代VB成为信息技术教育和等级考试的新标准。在AI Module软件种，孩子可以直接使用Python语言编写程序，进阶学习专业编程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普及赛场地套装</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1、该套装包含2022年活动场地任务模型零件（不少于500个），可搭建8个任务模型：花样滑冰、冰球、冰壶、越野滑雪、短道速滑、高山滑雪、有舵雪橇、跳台滑雪。固定场地任务模型专用魔术贴。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2、包含2022年活动专用场地纸1张（尺寸1.2米*2.2米）；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3、包含可移动拼装巡线台一套（5cm斜坡1个，5cm平台1个）。</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人工智能模块系列初级套装</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1、控制器：32位Cortex-M3处理器，时钟频率72MHz，512KB FlashROM，64K RAM，采用32Mbit大容量存储芯片，内置多种音效，可随软件升级扩展更多的功能。内置4位数码屏，可以显示当前选择的下载程序和程序运行状态。提供12路各类输入输出接口，其中5路数字/模拟接口（AI、DO）。提供4路闭环电机控制接口，单路最大电流1.5A。3路TTL伺服电机串行接口，最大电流4A；USB接口可支持下载程序。支持蓝牙BLE4.0，支持APP遥控、模块编程。控制器内置程序选择、确认两个按键，简化了用户操作。通过程序选择按键可以切换选择下载程序，通过确认按键可以开关机、运行程序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传感器种类不少于4种，传感器数量不少于4个。包含：超声传感器（工作电压5V，可以检测从固体物体反射回来的超声波，得到物体距传感器的距离）1个、碰撞传感器（工作电压5V，数字传感器，可以检测触动开关上的按钮是否被按下）1个、集成地面5灰度传感器（工作电压5V，自发射调制光线，抗环境光干扰）1个、图像传感器（工作电压5V，识别特定不同数字、图标、文字等信息，和移动端实现图传）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3、执行器：闭环电机4套：工作电压6V-10V，空载转速420±10 rpm，旋转扭矩0.05N*M，堵转扭矩0.25N*M；伺服电机4个，最大扭矩4kg*cm，串行总线控制方式，可与梁、销、轴等快速搭建；点阵屏（8x8 64位点阵屏，工作电压5V，通过 “点阵屏”模块可控制点阵屏的显示输出，可显示表情、字符，也可自定义）1个；彩色LED（工作电压5V，通过修改RGB参数，可使得LED灯发出不同颜色的光）2个。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件：集成式全向底盘和通用底盘，方便快速组装成全向移动的车体和通用小车。结构件设计比例基于标准的10毫米积木，拼插式搭建方式，无螺丝搭建设计。组件数量不少于380个，组件种类不少于70种。主要构件梁、销、轴类构件单点固定牢固，可承担扭转力矩大于1N.m。各种类型结构部件还以颜色区分。可搭建以伺服电机为关节的仿生类以及其他共11个项目案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5、传动件：5种齿轮9个，包含：24直齿齿轮2个，12半高锥齿3个，20半高锥齿2个，52转盘齿1个、蜗杆2个。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6、能源：专用锂电池：7.4V 1500MAH，最大放电电流为6.5A，自带保护电路；适配器：8.4V 1A，接在电源口上可以直接给控制器供电。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装饰件：13种（含颜色）装饰件22个。包含：7个3X5拐角装饰件（2种颜色），1个2X5装饰件左，1个2X5装饰件右，3个3X5装饰件左（2种颜色），3个3X5装饰件右（2种颜色），2个3X7装饰件左（2种颜色），2个3X7装饰件右（2种颜色），4个短面板。丰富用户的造型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8、连接线：3种连接线。包含：6pin连接线8根，可连接闭环电机、点阵屏、传感器；舵机线2种8根，可连接智能伺服电机；数据线1根，用于下载用户程序。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编程软件：支持Scratch编程、标准C语言编程、Python编程、模块编程、行为动作编程五种编程方式。Scratch编程，基于Scratch进行开发，继承了Scratch强大的功能和体验，让编程就像搭积木一样简单，只要识字便能开始学习编程，让孩子循序渐进地掌握编程技能。编程模块包含所有端口功能，支持子程序功能等可视化编程。含有运动、声光、传感器、事件、循环、数学、变量、巡线、自制积木10大功能模块；基于全新QT平台开发，可适用于Windows、Mac等操作系统，同时可以多线程编程。软件可自动生成C语言，C语言支持指针、数组、结构体等复杂应用。库函数全开放。Python是一款被广泛应用于AI、数据分析等前沿领域的编程语言，已取代VB成为信息技术教育和等级考试的新标准。在AI Module软件中，孩子可以直接使用Python语言编写程序，也可以将编写好的流程图或者Scrach编程程序一键切换为Python代码，进阶学习专业编程。主要面向少年儿童，为机器人提供项目搭建指导、项目遥控、模块编程等功能，提供摇杆、平衡感知、语音操控三种遥控方式，可以培养孩子的创造能力、动手能力、逻辑思维能力。</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对抗赛-非攻场地套装</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1、该套装包含2022年活动场地任务道具（不少于20个），含：建造，出征、炮击，冲锋、攻占城池、直接获胜任务、以及可搭建模型：固定场地任务模型专用布基胶带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2、包含2022年活动专用场地纸1张（尺寸1.2米*2.2米） 红蓝色随机1种</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1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超级轨迹赛套装</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 产品描述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包含E6新主控、锂电池模块、动力马达、光电传感器等重要部件。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生产厂家属于中国青少年机器人竞赛准入器材厂家。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生产厂家于全国电脑制作活动设有冠名赛。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生产厂家有在全国青少年科技创新大赛中设有学生和辅导老师专项奖。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生产厂家是国家高新技术认证企业，也是ISO9001认证企业。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5、满足2020年超级轨迹赛项目规格要求。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6、控制器最低为 32 位 ARM 处理器，STM32F407系列；主频 168MHz，1M程序存储器，192K 数据缓冲器，内置16MB程序存储器（可存放超 100 个独立程序），2MB 可作 字库使用，可显示中文，内置 MP3 播放模块和 16MB 音乐存储器 。 控制器满足 8 路及以上 RJ11 传感器接口（数字/模拟复用），4 路带驱动专用编码马达接口（具有自我保护功能）。内置可触控彩色液晶显示屏，显示屏尺寸不小于2.4英寸，分辨率不低于320*240，色彩不低于65K色； 内置电源电压测量模块、音量测量模块（探测范围 40-120 分贝，精度不低于 1%，频率范围 20－16000Hz）和蜂鸣器。免驱动安装 ，支持 U 盘程序下载，内置蓝牙模块，支持蓝牙程序下载；支持 U 盘模式的固件升级。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电子件全部带ABS一体外壳，RJ11接口，至少含有：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主控器1个，锂电池1个；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光电模块 5个，发光灯为可见光，可以控制发光灯亮灭，并带有阈值指示灯；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大型伺服电机2个，内置角度传感器，可以精确到 1 度的控制；测速反馈精度：170 - 190 RPM，运行扭矩21Ncm，失速转矩42Ncm；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中型伺服电机1个，内置角度传感器，测速反馈精度：260 - 280 RPM，运行扭矩10Ncm，失速转矩15Ncm。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5）竞赛马达2个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8、结构件设计比例是基于标准的 10 毫米积木，无螺丝的搭建设计，不少于 400 个积木件，辅助结构部件包括有以下 7 类：梁类、齿轮、轴类 、实销类、虚销类、连接销、紧固件类。积木件的颜色大于 8 种，含有红、黄、蓝、绿、灰、深灰、白、土黄、黄色、黑等颜色 。传动配件不少于11种，至少包含40齿齿轮，36齿齿轮，24齿齿轮，20齿齿轮，16齿齿轮，12齿齿轮，8齿齿轮，12齿的锥形齿、蜗杆、转台、十字齿轮，可实现多种传动组合方式。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配有硅胶竞赛轮胎（规格65*30mm）4个，连接孔为十字结构。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机器人编程软件同时支持图形化编程和代码编程方式；可以支持SCRATCH2.0和SCRATCH3.0编程方式，支持控制器通过内置蓝牙直接连接 SCRATCH 在线编程与下载，具备多任务编程方式；控制器支持多任务程序。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1、基于Scratch3.0图形化编程软件，支持积木式编程和Python代码编程。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2、提供多端支持：桌面端（支持Mac、 Windows系统、Linux系统及Chrome OS）、以及网页端。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四、配套课程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搭配教育资源网站提供教程、手册等教育资源。</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超级轨迹赛场地</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一、产品描述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比赛标准场地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1、主要结构件材料是基于10mm的积木设计。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2、组件数量大于200个，组件种类大于10种。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3、包含不同尺寸的梁、销、板等重要积木零件。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4、为拼插式搭建方式，搭建过程不需要使用螺钉。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5、2000*5000mm550喷绘布。</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4353"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3D打印课程及软硬件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1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3D打印机</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（1）产品名称：高精度打印机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（2）打印技术：熔丝积层制造 (FFF)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（3）产品重量：约15kg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（4）屏幕：不小于2.8 英寸彩色触摸屏 外观尺寸≥2420×415×540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（5）包装尺寸：450*430*540mm  打印尺寸 210*210*210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（6）打印分辨率 ( 层厚 )：0.1-0.4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（7）打印精度：±0.2mm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（8）定位精度： X/Y 0.0125mm, Z 0.0025mm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（9）喷头数量： 单喷头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（10）喷头直径： 0.4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（11）打印速度：小于150mm/s建议50mm/s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（12）支持耗材： PLA/ABS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（13）耗材直径： 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（14）喷嘴温度：最高260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（15）热床温度：最高100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（16）断料检测：支持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（17）断电续打：支持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（18）打印软件 ：Cura/Simplify3D/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（19）软件支持格式：STL，Obj，gcode，JPG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（20）操作系统：Win 7/8/10（64位）Mac OS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（21）数据传输：SD Card（建议）  USB Cable,可支持进行内存扩展。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（22）系统要求：OpenGL 2兼容的图形芯片，OpenGL三维层视图4.1英特尔酷睿2或AMD速龙64或更新版本 ，205 MB的可用硬盘空间4GB的RAM存储器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（23）输入电压：100-240V, 50/60Hz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输出电压：DC 12V 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3.产品先进性：它可以快速制造任意复杂形状的零件，而且不需要刀具和夹具；生产效率高，零件尺寸误差小。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4.产品安全性：电源使用家用市电，可以自行设置温度，设备在工作时，有安全门将用户与设备内部进行安全隔离，设备有断电续打功能，而且在打印模型完成后会自动进入休眠模式。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5.产品稳定性：设备采用高精密轴承，高硬度、高耐磨、运行平稳、精度更高，使用寿命更长，喷头可均匀加热，保证连续工作出丝依然顺畅。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优点：设备采用近程送料结构，精心设计的近程送料结构，对挤出步进电机的力矩要求相对要低，挤出控制稳定，送料更精确，更加方便用户换料。操作简单，可直接在可视化LCD屏直接进行参数设定、设备控制。</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三维设计软件</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一款简单、易用的 3D CAD 工具，你可以使用一些简单的图形来设计、创建、编辑三维模型，或者在一个已有的模型上进行修改。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破了常规专业CAD软件从草图生成三维模型的建模方法，提供了一些简单的三维图形，通过对这些简单图形的堆砌和编辑生成复杂形状。这种‘傻瓜式’的建模方式感觉像是在搭积木，即使你不是一个CAD建模工程师，也能随心所欲地在软件里建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曲线建模，支持导入平面图片建模、文字建模、自定义绘制图形建模等多种建模方式。提供平面绘图工具，比如直线、折线、曲线及矩形工具，用于设计复杂线条。提供10种以上的艺术曲线，比如心型线、肾形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2.3D浮雕建模，支持导入平面图片、文字以及自定义绘制图形，并能一键式生成可制造的立体透光浮雕模型。生成的立体浮雕模型类型包括: 平面型、圆柱面型等，并可选择内向、外向模式。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3.参数建模，支持全参数交互式驱动建模方式，用户可修改尺寸、角度等参数，改变模型的大小、位置、姿势，生成新的模型。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4.一键平置，在移动模型的过程中，可以一键将模型移动到水平面上，方便切片。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5.自动放平，在旋转模型的过程中，可以一键将模型放平，软件自动为模型找到合适的旋转角度进行旋转，方便切片。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6.文字建模，支持输入文字，即可生成立体文字模型，支持主流字体，软件内置10种以上字体，生成的3D文字可进行竖直弯曲和水平弯曲，并且可以调整文字的弯曲半径和角度。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7.曲面建模，支持挤出、移动长方体盒子的面生成多面体，通过细分曲面的方式生成3D模型。支持五分法分割面，生成新的面。支持移动多面体的边，改变多面体的形状。包含球、圆柱、正方体3种内置基本体。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8.拉伸建模，支持从二维封闭曲线垂直拉伸得到3D模型，导入图片作为二维草图的绘制向导，并内置网格线作为绘制参考。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9.旋转建模，支持从二维曲线沿轴旋转得到3D模型，导入图片作为二维草图的绘制向导，并内置网格线作为参考线，可人工设置曲线是否封闭。软件可自动对曲线进行补全，从而生成旋转体模型。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10.切片软件集成，支持切片功能，设置层厚、壁厚、填充密度、打印速度等参数，从3D模型计算得到打印机的执行文件，并支持单层/多层/全部等模式可视化查看打印路径。支持输出切片gcode文件。</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3D打印耗材</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耗材直径 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 1卷1KG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包装重量 1.4kg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可选颜色 不少于11色，红色、天蓝色、象牙白、苹果绿、橙色、金色、肤色、黑色、银色、鲜粉红、黄色</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3D模型资源库</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包含教学、创意类模型不少于500种</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3D打印工具包</w:t>
            </w:r>
          </w:p>
        </w:tc>
        <w:tc>
          <w:tcPr>
            <w:tcW w:w="9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小铲刀、斜口钳、3D调平工具、料架固定支架，3D打印机常用易损件、U盘、读卡器、PLA导线管、常用内六角套装</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400"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项目集成服务</w:t>
            </w:r>
          </w:p>
        </w:tc>
        <w:tc>
          <w:tcPr>
            <w:tcW w:w="95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1年售后服务</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9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设备安装、调试、培训</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bl>
    <w:p>
      <w:pP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r>
        <w:rPr>
          <w:rFonts w:hint="eastAsia" w:ascii="宋体" w:hAnsi="宋体" w:cs="宋体"/>
          <w:b/>
          <w:bCs/>
          <w:color w:val="auto"/>
          <w:sz w:val="24"/>
          <w:szCs w:val="24"/>
          <w:highlight w:val="none"/>
          <w:lang w:val="en-US" w:eastAsia="zh-CN" w:bidi="zh-TW"/>
        </w:rPr>
        <w:t>注：本项目采购限价已公布，供应商所报价格不允许超所公布单价。如若，按废标处理。</w:t>
      </w: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sectPr>
          <w:pgSz w:w="16838" w:h="11906" w:orient="landscape"/>
          <w:pgMar w:top="1757" w:right="1417" w:bottom="1644" w:left="1191"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numPr>
          <w:ilvl w:val="0"/>
          <w:numId w:val="0"/>
        </w:numPr>
        <w:bidi w:val="0"/>
        <w:jc w:val="left"/>
        <w:rPr>
          <w:rFonts w:hint="eastAsia" w:ascii="宋体" w:hAnsi="宋体" w:eastAsia="宋体" w:cs="宋体"/>
          <w:sz w:val="24"/>
          <w:szCs w:val="24"/>
          <w:highlight w:val="none"/>
        </w:rPr>
      </w:pPr>
      <w:bookmarkStart w:id="137" w:name="_Toc7354"/>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服务要求</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 产品运输、保险及保管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1.1 成交供应商负责产品到采购人指定地点的全部运输，包括装卸及现场搬运等。</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1.2 成交供应商负责产品在采购人指定地点的保管，直至项目验收合格。</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1.3 成交供应商负责其派出的工作人员的人身意外保险。</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 安装调试</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2.1 成交供应商须加强施工的组织管理，所有工作人员须遵守文明安全施工的有关规章制度，持证上岗。</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2.2 项目完成后，成交供应商应将项目有关的全部资料，包括产品资料、技术文档、施工图纸等，移交采购人。</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3. 项目验收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3.1 项目验收国家有强制性规定的，按国家规定执行，验收费用由采购人承担，验收报告作为申请付款的凭证之一。</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3.2 验收过程中产生纠纷的，由质量技术监督部门认定的检测机构检测,如为成交供应商原因造成的，由成交供应商承担检测费用；否则，由采购人承担。</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4.质量保证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4.1所有产品超出厂家正常保修范围的，成交供应商需向厂家购买；未在投标报价表中单列其费用的，视为免费提供。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4.2成交供应商提供的产品应是原装正品，符合国家质量检测标准，具有出厂合格证或国家鉴定合格证。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4.3</w:t>
      </w:r>
      <w:r>
        <w:rPr>
          <w:rFonts w:hint="eastAsia" w:ascii="宋体" w:hAnsi="宋体" w:cs="宋体"/>
          <w:color w:val="auto"/>
          <w:sz w:val="24"/>
          <w:highlight w:val="none"/>
          <w:lang w:val="en-US" w:eastAsia="zh-CN"/>
        </w:rPr>
        <w:t>质保期</w:t>
      </w:r>
      <w:r>
        <w:rPr>
          <w:rFonts w:hint="eastAsia" w:ascii="宋体" w:hAnsi="宋体" w:cs="宋体"/>
          <w:color w:val="auto"/>
          <w:sz w:val="24"/>
          <w:highlight w:val="none"/>
        </w:rPr>
        <w:t>应从</w:t>
      </w:r>
      <w:r>
        <w:rPr>
          <w:rFonts w:hint="eastAsia" w:ascii="宋体" w:hAnsi="宋体" w:cs="宋体"/>
          <w:color w:val="auto"/>
          <w:sz w:val="24"/>
          <w:highlight w:val="none"/>
          <w:lang w:val="en-US" w:eastAsia="zh-CN"/>
        </w:rPr>
        <w:t>终验合格之日</w:t>
      </w:r>
      <w:r>
        <w:rPr>
          <w:rFonts w:hint="eastAsia" w:ascii="宋体" w:hAnsi="宋体" w:cs="宋体"/>
          <w:color w:val="auto"/>
          <w:sz w:val="24"/>
          <w:highlight w:val="none"/>
        </w:rPr>
        <w:t>算起。超出厂家正常保修范围的，成交供应商需向厂家购买；未在投标报价表中单列其费用的，视为免费提供。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4.6质保期内所有设备维修和保养等要求免费上门服务。</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5. 售后服务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5.1设备维修要求提交以下内容。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1）定期维修计划。</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2）对采购人不定期维修要求的响应措施。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3）对用户修改设计要求的响应措施。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5.2技术支持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1）提供7×24小时的技术咨询服务。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2）敏感时期、重大节假日提供技术人员值守服务。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5.3故障响应</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1）提供7×24小时的故障服务受理。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2）对重大故障提供7×24小时的现场支援，一般故障提供5×4小时的现场支援。</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3）备件服务：遇到重大故障，提供设备所需更换的任何备件。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11"/>
        <w:tabs>
          <w:tab w:val="left" w:pos="567"/>
        </w:tabs>
        <w:spacing w:line="360" w:lineRule="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5.5产品交付使用后，成交供应商负责每半年要深入产品使用单位进行一次巡检服务，巡检服务情况要经学校管理部门签署意见后报相关管理部门备查。</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6.培训</w:t>
      </w:r>
    </w:p>
    <w:p>
      <w:pPr>
        <w:adjustRightInd w:val="0"/>
        <w:spacing w:line="360" w:lineRule="auto"/>
        <w:rPr>
          <w:rFonts w:ascii="宋体" w:hAnsi="宋体" w:cs="宋体"/>
          <w:color w:val="auto"/>
          <w:szCs w:val="21"/>
          <w:highlight w:val="none"/>
        </w:rPr>
      </w:pPr>
      <w:r>
        <w:rPr>
          <w:rFonts w:hint="eastAsia" w:ascii="宋体" w:hAnsi="宋体" w:cs="宋体"/>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16"/>
        <w:spacing w:line="360" w:lineRule="auto"/>
        <w:rPr>
          <w:rFonts w:ascii="宋体" w:hAnsi="宋体" w:cs="宋体"/>
          <w:color w:val="auto"/>
          <w:highlight w:val="none"/>
        </w:rPr>
      </w:pPr>
    </w:p>
    <w:p>
      <w:pPr>
        <w:pStyle w:val="4"/>
        <w:numPr>
          <w:ilvl w:val="0"/>
          <w:numId w:val="0"/>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商务要求</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交货时间、地点及方式</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（1）交货时间：</w:t>
      </w:r>
      <w:r>
        <w:rPr>
          <w:rFonts w:hint="eastAsia" w:ascii="宋体" w:hAnsi="宋体" w:cs="宋体"/>
          <w:bCs/>
          <w:color w:val="auto"/>
          <w:sz w:val="24"/>
          <w:highlight w:val="none"/>
        </w:rPr>
        <w:t>在合同签订后</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0日内交货完毕，且安装调试完成。</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（2）交货地点：采购人指定地点。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（3）交货方式：成交供应商将货物运至采购人指定地点安装完毕直至验收合格；由成交单位承担验收前的一切风险、责任和费用。</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结算方法</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（1）付款人：成交供应商应自成交通知书发出之日起30日内，与采购人</w:t>
      </w:r>
      <w:r>
        <w:rPr>
          <w:rFonts w:hint="eastAsia" w:ascii="宋体" w:hAnsi="宋体" w:cs="宋体"/>
          <w:bCs/>
          <w:color w:val="auto"/>
          <w:sz w:val="24"/>
          <w:highlight w:val="none"/>
        </w:rPr>
        <w:t>签订采购合同，货款由采购人支付。</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（2）付款方式：</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合同签订后3个工作日内支付合同总价30%预付款，项目验收合格后支付合同总价款67%，质保金3%。</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（3）发票要求：提供增值税普通发票。</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质保和售后要求超出厂家正常质保期限和要求的，成交供应商收到成交通知书后10天内提交有效证明确保能履行承诺。</w:t>
      </w:r>
    </w:p>
    <w:p>
      <w:pPr>
        <w:adjustRightInd w:val="0"/>
        <w:spacing w:line="360" w:lineRule="auto"/>
        <w:rPr>
          <w:rFonts w:ascii="宋体" w:hAnsi="宋体" w:cs="宋体"/>
          <w:color w:val="auto"/>
          <w:highlight w:val="none"/>
        </w:rPr>
      </w:pP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4"/>
        <w:numPr>
          <w:ilvl w:val="0"/>
          <w:numId w:val="0"/>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val="en-US" w:eastAsia="zh-CN"/>
        </w:rPr>
        <w:t>要求</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质量验收标准或规范：现行的国家标准或国家行政部门颁布的法律法规、规章制度等，没有国家标准的，可以参考行业标准。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质保期：项目整体质保期限不少于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年，从</w:t>
      </w:r>
      <w:r>
        <w:rPr>
          <w:rFonts w:hint="eastAsia" w:ascii="宋体" w:hAnsi="宋体" w:cs="宋体"/>
          <w:color w:val="auto"/>
          <w:sz w:val="24"/>
          <w:highlight w:val="none"/>
          <w:lang w:val="en-US" w:eastAsia="zh-CN"/>
        </w:rPr>
        <w:t>终验</w:t>
      </w:r>
      <w:r>
        <w:rPr>
          <w:rFonts w:hint="eastAsia" w:ascii="宋体" w:hAnsi="宋体" w:cs="宋体"/>
          <w:color w:val="auto"/>
          <w:sz w:val="24"/>
          <w:highlight w:val="none"/>
        </w:rPr>
        <w:t>合格之日起计算。</w:t>
      </w:r>
    </w:p>
    <w:p>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违约责任</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.1质量瑕疵的补救措施和索赔</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①乙方同意退货并将货款退还给甲方，由此发生的一切费用和损失由乙方承担。</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②根据货物的质量状况以及甲方所遭受的损失，经过甲乙双方商定降低货物的价格。</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 迟延交货的违约责任</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（2）除</w:t>
      </w:r>
      <w:r>
        <w:rPr>
          <w:rFonts w:hint="eastAsia" w:ascii="宋体" w:hAnsi="宋体" w:cs="宋体"/>
          <w:color w:val="auto"/>
          <w:sz w:val="24"/>
          <w:szCs w:val="24"/>
          <w:highlight w:val="none"/>
        </w:rPr>
        <w:t>不可抗力</w:t>
      </w:r>
      <w:r>
        <w:rPr>
          <w:rFonts w:ascii="宋体" w:hAnsi="宋体" w:cs="宋体"/>
          <w:color w:val="auto"/>
          <w:sz w:val="24"/>
          <w:szCs w:val="24"/>
          <w:highlight w:val="none"/>
        </w:rPr>
        <w:t>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pStyle w:val="11"/>
        <w:tabs>
          <w:tab w:val="left" w:pos="567"/>
        </w:tabs>
        <w:spacing w:line="360" w:lineRule="auto"/>
        <w:rPr>
          <w:rFonts w:ascii="宋体" w:hAnsi="宋体" w:eastAsia="宋体" w:cs="宋体"/>
          <w:b w:val="0"/>
          <w:kern w:val="2"/>
          <w:sz w:val="24"/>
          <w:szCs w:val="24"/>
          <w:highlight w:val="none"/>
          <w:lang w:val="en-US" w:eastAsia="zh-CN" w:bidi="ar-SA"/>
        </w:rPr>
      </w:pPr>
      <w:r>
        <w:rPr>
          <w:rFonts w:ascii="宋体" w:hAnsi="宋体" w:eastAsia="宋体" w:cs="宋体"/>
          <w:b w:val="0"/>
          <w:color w:val="auto"/>
          <w:kern w:val="2"/>
          <w:sz w:val="24"/>
          <w:szCs w:val="24"/>
          <w:highlight w:val="none"/>
          <w:lang w:val="en-US" w:eastAsia="zh-CN" w:bidi="ar-SA"/>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spacing w:line="360" w:lineRule="auto"/>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pPr>
        <w:pStyle w:val="21"/>
        <w:rPr>
          <w:rFonts w:hint="eastAsia" w:ascii="宋体" w:hAnsi="宋体" w:eastAsia="宋体" w:cs="宋体"/>
          <w:color w:val="auto"/>
          <w:highlight w:val="none"/>
        </w:rPr>
      </w:pPr>
      <w:bookmarkStart w:id="138" w:name="_Toc24945"/>
      <w:r>
        <w:rPr>
          <w:rFonts w:hint="eastAsia" w:ascii="宋体" w:hAnsi="宋体" w:eastAsia="宋体" w:cs="宋体"/>
          <w:color w:val="auto"/>
          <w:highlight w:val="none"/>
        </w:rPr>
        <w:t>第四</w:t>
      </w:r>
      <w:bookmarkEnd w:id="126"/>
      <w:bookmarkStart w:id="139" w:name="_Toc246928931"/>
      <w:r>
        <w:rPr>
          <w:rFonts w:hint="eastAsia" w:ascii="宋体" w:hAnsi="宋体" w:eastAsia="宋体" w:cs="宋体"/>
          <w:color w:val="auto"/>
          <w:highlight w:val="none"/>
        </w:rPr>
        <w:t>章  合同一般条款</w:t>
      </w:r>
      <w:bookmarkEnd w:id="127"/>
      <w:bookmarkEnd w:id="128"/>
      <w:bookmarkEnd w:id="129"/>
      <w:bookmarkEnd w:id="130"/>
      <w:bookmarkEnd w:id="131"/>
      <w:bookmarkEnd w:id="132"/>
      <w:bookmarkEnd w:id="133"/>
      <w:bookmarkEnd w:id="134"/>
      <w:bookmarkEnd w:id="135"/>
      <w:bookmarkEnd w:id="137"/>
      <w:bookmarkEnd w:id="138"/>
      <w:bookmarkEnd w:id="139"/>
    </w:p>
    <w:p>
      <w:pPr>
        <w:spacing w:before="120" w:line="360" w:lineRule="auto"/>
        <w:jc w:val="center"/>
        <w:rPr>
          <w:rFonts w:hint="eastAsia" w:ascii="宋体" w:hAnsi="宋体" w:eastAsia="宋体" w:cs="宋体"/>
          <w:color w:val="auto"/>
          <w:sz w:val="28"/>
          <w:szCs w:val="28"/>
          <w:highlight w:val="none"/>
        </w:rPr>
      </w:pPr>
      <w:bookmarkStart w:id="140" w:name="_Toc246928960"/>
      <w:bookmarkStart w:id="141" w:name="_Toc389620242"/>
      <w:bookmarkStart w:id="142" w:name="_Toc497712134"/>
      <w:bookmarkStart w:id="143" w:name="_Toc385992402"/>
      <w:bookmarkStart w:id="144" w:name="_Toc497711586"/>
      <w:bookmarkStart w:id="145" w:name="_Toc492955460"/>
      <w:bookmarkStart w:id="146" w:name="_Toc497551821"/>
      <w:bookmarkStart w:id="147" w:name="_Toc497546919"/>
      <w:r>
        <w:rPr>
          <w:rFonts w:hint="eastAsia" w:ascii="宋体" w:hAnsi="宋体" w:eastAsia="宋体" w:cs="宋体"/>
          <w:color w:val="auto"/>
          <w:sz w:val="28"/>
          <w:szCs w:val="28"/>
          <w:highlight w:val="none"/>
        </w:rPr>
        <w:t>（参考格式）</w:t>
      </w: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政 府 采 购 合 同</w:t>
      </w:r>
    </w:p>
    <w:p>
      <w:pPr>
        <w:spacing w:before="120" w:line="360" w:lineRule="auto"/>
        <w:jc w:val="center"/>
        <w:rPr>
          <w:rFonts w:hint="eastAsia" w:ascii="宋体" w:hAnsi="宋体" w:eastAsia="宋体" w:cs="宋体"/>
          <w:color w:val="auto"/>
          <w:sz w:val="28"/>
          <w:szCs w:val="28"/>
          <w:highlight w:val="none"/>
        </w:rPr>
      </w:pPr>
    </w:p>
    <w:p>
      <w:pPr>
        <w:spacing w:before="120" w:line="360" w:lineRule="auto"/>
        <w:ind w:firstLine="3064" w:firstLineChars="1090"/>
        <w:rPr>
          <w:rFonts w:hint="eastAsia" w:ascii="宋体" w:hAnsi="宋体" w:eastAsia="宋体" w:cs="宋体"/>
          <w:color w:val="auto"/>
          <w:sz w:val="28"/>
          <w:szCs w:val="28"/>
          <w:highlight w:val="none"/>
        </w:rPr>
      </w:pPr>
      <w:bookmarkStart w:id="148" w:name="_Toc109542396"/>
      <w:bookmarkStart w:id="149" w:name="_Toc109543216"/>
      <w:r>
        <w:rPr>
          <w:rFonts w:hint="eastAsia" w:ascii="宋体" w:hAnsi="宋体" w:eastAsia="宋体" w:cs="宋体"/>
          <w:b/>
          <w:bCs/>
          <w:color w:val="auto"/>
          <w:sz w:val="28"/>
          <w:szCs w:val="28"/>
          <w:highlight w:val="none"/>
        </w:rPr>
        <w:t>合同编号：</w:t>
      </w:r>
      <w:bookmarkEnd w:id="148"/>
      <w:bookmarkEnd w:id="149"/>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9"/>
        <w:spacing w:before="120" w:line="360" w:lineRule="auto"/>
        <w:ind w:firstLine="0"/>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b/>
          <w:bCs/>
          <w:color w:val="auto"/>
          <w:sz w:val="28"/>
          <w:szCs w:val="28"/>
          <w:highlight w:val="none"/>
        </w:rPr>
      </w:pP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采购内容：</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成交供应商：</w:t>
      </w:r>
      <w:r>
        <w:rPr>
          <w:rFonts w:hint="eastAsia" w:ascii="宋体" w:hAnsi="宋体" w:eastAsia="宋体" w:cs="宋体"/>
          <w:b/>
          <w:bCs/>
          <w:color w:val="auto"/>
          <w:sz w:val="28"/>
          <w:szCs w:val="28"/>
          <w:highlight w:val="none"/>
          <w:u w:val="single"/>
        </w:rPr>
        <w:t xml:space="preserve">                              </w:t>
      </w:r>
    </w:p>
    <w:p>
      <w:pPr>
        <w:spacing w:line="480" w:lineRule="auto"/>
        <w:ind w:firstLine="981" w:firstLineChars="34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8"/>
          <w:szCs w:val="28"/>
          <w:highlight w:val="none"/>
        </w:rPr>
        <w:t>签署日期：</w:t>
      </w:r>
      <w:r>
        <w:rPr>
          <w:rFonts w:hint="eastAsia" w:ascii="宋体" w:hAnsi="宋体" w:eastAsia="宋体" w:cs="宋体"/>
          <w:b/>
          <w:bCs/>
          <w:color w:val="auto"/>
          <w:sz w:val="24"/>
          <w:szCs w:val="24"/>
          <w:highlight w:val="none"/>
          <w:u w:val="single"/>
        </w:rPr>
        <w:t xml:space="preserve">　　　　　　　　　　　　　           </w:t>
      </w:r>
      <w:bookmarkStart w:id="150" w:name="_Toc322598584"/>
      <w:bookmarkStart w:id="151" w:name="_Toc356836840"/>
      <w:bookmarkStart w:id="152" w:name="_Toc356825230"/>
    </w:p>
    <w:bookmarkEnd w:id="150"/>
    <w:bookmarkEnd w:id="151"/>
    <w:bookmarkEnd w:id="152"/>
    <w:p>
      <w:pPr>
        <w:spacing w:line="360" w:lineRule="auto"/>
        <w:jc w:val="center"/>
        <w:rPr>
          <w:rFonts w:hint="eastAsia" w:ascii="宋体" w:hAnsi="宋体" w:eastAsia="宋体" w:cs="宋体"/>
          <w:b/>
          <w:bCs/>
          <w:color w:val="auto"/>
          <w:sz w:val="36"/>
          <w:szCs w:val="36"/>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协议书</w:t>
      </w:r>
    </w:p>
    <w:p>
      <w:pPr>
        <w:spacing w:before="1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（主要条款）</w:t>
      </w:r>
    </w:p>
    <w:p>
      <w:pPr>
        <w:adjustRightInd w:val="0"/>
        <w:snapToGrid w:val="0"/>
        <w:spacing w:line="5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采购人（全称）：</w:t>
      </w:r>
      <w:r>
        <w:rPr>
          <w:rFonts w:hint="eastAsia" w:ascii="宋体" w:hAnsi="宋体" w:eastAsia="宋体" w:cs="宋体"/>
          <w:b/>
          <w:color w:val="auto"/>
          <w:sz w:val="24"/>
          <w:szCs w:val="24"/>
          <w:highlight w:val="none"/>
          <w:u w:val="single"/>
        </w:rPr>
        <w:t xml:space="preserve">                                      </w:t>
      </w:r>
    </w:p>
    <w:p>
      <w:pPr>
        <w:adjustRightInd w:val="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5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》及其他有关法律、法规，遵循平等、自愿、公平和诚信的原则，双方就下述项目范围与相关服务事项协商一致，订立本合同。</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项目规模：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成交通知书、响应文件、竞争性谈判文件、澄清、谈判补充文件（或委托书）；</w:t>
      </w:r>
    </w:p>
    <w:p>
      <w:pPr>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响应文件或相关服务建议书；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本合同签订后，双方依法签订的补充协议、备忘录也是本合同文件的组成部分。</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三、签约金额</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合同总价即成交价，合同总价一次包死，不受市场价变化或实际工作量变化的影响，合同价格为含税价，成交供应商提供产品所发生的一切税（包括增值税）费等都已包含于合同价款中。</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四、结算方式：</w:t>
      </w:r>
    </w:p>
    <w:p>
      <w:pPr>
        <w:adjustRightInd w:val="0"/>
        <w:snapToGrid w:val="0"/>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五、期限</w:t>
      </w:r>
    </w:p>
    <w:p>
      <w:pPr>
        <w:adjustRightInd w:val="0"/>
        <w:snapToGrid w:val="0"/>
        <w:spacing w:line="580" w:lineRule="exact"/>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交货及安装期：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六、双方承诺</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供应商向采购人承诺，按照本合同约定提供相关服务。</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采购人向供应商承诺，按照本合同约定支付服务款项。</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七、内容及要求：</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即交付的设备（产品）、服务内容、数量与响应文件、竞争性谈判文件等所指明的，或者与本合同所指明的设备（产品）、服务内容相一致。（附清单）</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八、项目实施地点：</w:t>
      </w:r>
      <w:r>
        <w:rPr>
          <w:rFonts w:hint="eastAsia" w:ascii="宋体" w:hAnsi="宋体" w:eastAsia="宋体" w:cs="宋体"/>
          <w:color w:val="auto"/>
          <w:sz w:val="24"/>
          <w:szCs w:val="24"/>
          <w:highlight w:val="none"/>
        </w:rPr>
        <w:t>用户指定交货地点。</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九、安装、培训：</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培训除非另有说明，凡需要现场安装、装配、测试的设备，成交供应商必须提供免费现场安装并义务进行相关货物的基本操作原理、调试、操作使用和保养维修等有关内容的培训。所有费用一次性计入投标报价。</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十、验收时提供以下技术资料：</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1、货物到达采购人指定的地点时必须提供渠道证明文件原件和售后服务证明文件原件；</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2、进口货物需提供相关报关手续的资料（如允许进口产品投标）；</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3、装箱清单；</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4、产品合格证；</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5、安装使用说明书；</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6、安装时根据采购人的要求派技术人员现场指导。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十一、技术培训：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包括设备(产品)使用操作、保养、维修等培训内容。供应商需为采购人免费培训技术人员若干名，培训服务以受培训人员熟练掌握相应技能为原则。在设备(产品)投入使用初期进行必要的跟踪指导，保障设备(产品)的稳定运行。投标设备(产品)需在培训基地培训的，供应商应按要求履行，培训产生的交通费、食宿费、培训费等均由供应商承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十二、技术资料要求：</w:t>
      </w:r>
    </w:p>
    <w:p>
      <w:pPr>
        <w:spacing w:line="58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供应商应向采购人提供全套中文技术资料一套，其费用包括在投标价格中：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1.完整的设备(产品)操作使用手册和维护、修理技术文件，保修卡等；</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2.制造厂的检验、测试报告、设备(产品)检验合格证书，质量保证书等文件验收时须一并提供；</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3.投标设备(产品)是原装进口的，应提供进口设备报关单及商检证明；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4.设备(产品)验收标准；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5.技术说明书及必须的其它技术资料；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6.使用说明书；</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7.系统安装，调试、维修线路图及原理图；</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8.零部件目录；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9.备品备件、易损件清单；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10.项目完工后提供竣工验收报告；</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11.合同中要求的其他文件资料。</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十三、质量保证：</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货物质保期：自甲方验收合格之日起不少于</w:t>
      </w:r>
      <w:r>
        <w:rPr>
          <w:rFonts w:hint="eastAsia" w:ascii="宋体" w:hAnsi="宋体" w:eastAsia="宋体" w:cs="宋体"/>
          <w:b/>
          <w:bCs/>
          <w:color w:val="auto"/>
          <w:sz w:val="24"/>
          <w:szCs w:val="24"/>
          <w:highlight w:val="none"/>
          <w:lang w:val="en-US" w:eastAsia="zh-CN"/>
        </w:rPr>
        <w:t>1年</w:t>
      </w:r>
      <w:r>
        <w:rPr>
          <w:rFonts w:hint="eastAsia" w:ascii="宋体" w:hAnsi="宋体" w:eastAsia="宋体" w:cs="宋体"/>
          <w:color w:val="auto"/>
          <w:sz w:val="24"/>
          <w:szCs w:val="24"/>
          <w:highlight w:val="none"/>
        </w:rPr>
        <w:t>，采购文件另有约定、厂家或供应商另有承诺的除外。</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（2）货物的设计、制造应遵照行业的现行规范和标准。所有货物及辅材必须是未使用过的，是用最新工艺生产的最新产品，质量优良、渠道正当，配置合理。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（3）供应商应承诺在质量保证期内免费提供货物维修、更换零部件等服务，质量保证期后以优惠价提供上述服务。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（4）用户只对成交供应商提出质量服务要求，所有涉及货物制造商的质量、售后、版权等有关事项均由成交供应商负责。</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（一）验收的三个关键环节：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乙方负责将设备运至现场后，采购人或甲方根据响应文件中约定硬件设备清单和实际运抵的设备进行逐一核对、清点并确认收货。经双方共同确认后，双方代表应于当日内签字确认。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（3）项目正式验收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（4）验收依据</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合同文本、合同附件、竞争性谈判文件、响应文件；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（二）成交供应商对最终的产品质量负完全责任。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（2）国家有关的验收标准及规范；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（3）生产厂家的生产标准；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（4）竞争性谈判文件、响应文件。</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十五、质保及维保服务（提供售后服务承诺书）：</w:t>
      </w:r>
    </w:p>
    <w:p>
      <w:pPr>
        <w:tabs>
          <w:tab w:val="left" w:pos="108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2）服务方式:现场服务，整体验收合格后质量保证期为≥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年，并提供终身维修（护）。在质量保证期内发生重大故障，维修工程师抵达现场时间≤2小时，24小时内无法恢复的故障提供免费备机服务。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3）每年至少两次上门维护，回访。</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4）对于存在质量问题或者短少的设备，供应商应在接到采购人的通知2个日历日内负责修复，调换、重新制作或补齐。</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5）工程质量保修期内，供应商应按照有关管理规定及双方约定承担工程质量保修责任。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6）在设备(产品)最终验收后的质量保证期内，供应商应对设计、工艺或材料的缺陷而产生的故障负责（负责解决并承担全部费用）。质保期满后如出现此类问题亦应负责。</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采购文件要求对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十六、保密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双方须对工作中了解到的使用单位技术、机密等进行严格保密，不得向他人泄漏。</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十七、知识产权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十八、合同争议的解决：</w:t>
      </w:r>
      <w:r>
        <w:rPr>
          <w:rFonts w:hint="eastAsia" w:ascii="宋体" w:hAnsi="宋体" w:eastAsia="宋体" w:cs="宋体"/>
          <w:color w:val="auto"/>
          <w:sz w:val="24"/>
          <w:szCs w:val="24"/>
          <w:highlight w:val="none"/>
        </w:rPr>
        <w:t>合同执行中发生争议的，当事人双方应协商解决，协商达不成一致时，可向采购人住所地有管辖权的人民法院提请诉讼。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十九、服务要求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的责任包括从投标设备及其配件到整套设备的交付使用。谈判供应商应提供在西安市内的售后服务中心自建证明材料或与合作方的协议书，这些服务中心和特约维修服务点的名称、地址、电话、联系人应在响应文件中一一列出。维修中心应备有对所购设备进行及时维修所需的常用关键零部件。谈判供应商应保证设备在进行安装、调试和试运行等过程中损坏的或有缺陷的组件或零、部件可方便地得到修理和免费更换。设备使用期间，凡发生质量问题，卖方均应能够及时地提供买方提出的技术服务要求。在质量保证期内，买方发出通知后，卖方应提供维修服务，免费修理或更换不合格的零、部件，以保证设备正常运行。</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谈判供应商必须定期巡检，每年不少于1次的全面巡检，在巡检的过程对硬件进行检修（包括但不限于清灰、检查运行情况、解决甲方提出的问题等）、软件系统进行维护。</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负责完成产品及相关物件的运输、保管、安装，直至其产品在采购人指定地点安装完毕、投入使用，并经采购人验收合格。对因此而产生的费用以及保修期内的维修、保养等与项目发生的一切费用，全部由成交供应商承担。</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在发生不可抗力情况下的应对措施和解决办法。</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w:t>
      </w:r>
      <w:r>
        <w:rPr>
          <w:rFonts w:hint="eastAsia" w:ascii="宋体" w:hAnsi="宋体" w:eastAsia="宋体" w:cs="宋体"/>
          <w:color w:val="auto"/>
          <w:sz w:val="24"/>
          <w:szCs w:val="24"/>
          <w:highlight w:val="none"/>
        </w:rPr>
        <w:t>合同一经签订，不得擅自变更、中止或者终止合同。对确需变更、调整或者中止、终止合同的，应按规定履行相应的手续。</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二十一、违约责任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（2）未按合同要求提供货物或货物质量不能满足技术要求（所供货物不满足采购人实际需求），用户有权终止合同。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（3）乙方应按照合同规定的期限完成供货及安装、调试、验收，每延迟一天应承担当期应付款2%的违约金，违约金累计不超过当期应付款10%。若违约金累计已达上限，乙方仍未履行，甲方有权解除合同。</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二十二、其他（</w:t>
      </w:r>
      <w:r>
        <w:rPr>
          <w:rFonts w:hint="eastAsia" w:ascii="宋体" w:hAnsi="宋体" w:eastAsia="宋体" w:cs="宋体"/>
          <w:color w:val="auto"/>
          <w:sz w:val="24"/>
          <w:szCs w:val="24"/>
          <w:highlight w:val="none"/>
        </w:rPr>
        <w:t>在合同中具体明确）</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二十三、合同订立</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980"/>
        </w:tabs>
        <w:kinsoku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本合同一式    份，具有同等法律效力，双方各执        份，监管部门备案壹份、采购代理机构存档壹份。各方签字盖章后生效，合同执行完毕自动失效。（合同的服务承诺则长期有效）。</w:t>
      </w:r>
    </w:p>
    <w:p>
      <w:pPr>
        <w:adjustRightInd w:val="0"/>
        <w:snapToGrid w:val="0"/>
        <w:spacing w:line="580" w:lineRule="exact"/>
        <w:ind w:firstLine="475" w:firstLineChars="198"/>
        <w:rPr>
          <w:rFonts w:hint="eastAsia" w:ascii="宋体" w:hAnsi="宋体" w:eastAsia="宋体" w:cs="宋体"/>
          <w:color w:val="auto"/>
          <w:sz w:val="24"/>
          <w:szCs w:val="24"/>
          <w:highlight w:val="none"/>
        </w:rPr>
      </w:pP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的代理人：</w:t>
      </w:r>
      <w:r>
        <w:rPr>
          <w:rFonts w:hint="eastAsia" w:ascii="宋体" w:hAnsi="宋体" w:eastAsia="宋体" w:cs="宋体"/>
          <w:color w:val="auto"/>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u w:val="singl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pPr>
        <w:pStyle w:val="21"/>
        <w:rPr>
          <w:rFonts w:hint="eastAsia" w:ascii="宋体" w:hAnsi="宋体" w:eastAsia="宋体" w:cs="宋体"/>
          <w:color w:val="auto"/>
          <w:highlight w:val="none"/>
        </w:rPr>
      </w:pPr>
      <w:bookmarkStart w:id="153" w:name="_Toc3770"/>
      <w:bookmarkStart w:id="154" w:name="_Toc519085742"/>
      <w:bookmarkStart w:id="155" w:name="_Toc1050"/>
      <w:bookmarkStart w:id="156" w:name="_Toc19146"/>
      <w:bookmarkStart w:id="157" w:name="_Toc519091924"/>
      <w:bookmarkStart w:id="158" w:name="_Toc15378"/>
      <w:bookmarkStart w:id="159" w:name="_Toc519091209"/>
      <w:r>
        <w:rPr>
          <w:rFonts w:hint="eastAsia" w:ascii="宋体" w:hAnsi="宋体" w:eastAsia="宋体" w:cs="宋体"/>
          <w:color w:val="auto"/>
          <w:highlight w:val="none"/>
        </w:rPr>
        <w:t>第五章  附件--谈判响应文件格式</w:t>
      </w:r>
      <w:bookmarkEnd w:id="140"/>
      <w:bookmarkEnd w:id="153"/>
      <w:bookmarkEnd w:id="154"/>
      <w:bookmarkEnd w:id="155"/>
      <w:bookmarkEnd w:id="156"/>
      <w:bookmarkEnd w:id="157"/>
      <w:bookmarkEnd w:id="158"/>
      <w:bookmarkEnd w:id="159"/>
    </w:p>
    <w:bookmarkEnd w:id="141"/>
    <w:bookmarkEnd w:id="142"/>
    <w:bookmarkEnd w:id="143"/>
    <w:bookmarkEnd w:id="144"/>
    <w:bookmarkEnd w:id="145"/>
    <w:bookmarkEnd w:id="146"/>
    <w:bookmarkEnd w:id="147"/>
    <w:p>
      <w:pPr>
        <w:spacing w:line="360" w:lineRule="auto"/>
        <w:jc w:val="right"/>
        <w:rPr>
          <w:rFonts w:hint="eastAsia" w:ascii="宋体" w:hAnsi="宋体" w:eastAsia="宋体" w:cs="宋体"/>
          <w:b/>
          <w:bCs/>
          <w:color w:val="auto"/>
          <w:sz w:val="28"/>
          <w:szCs w:val="28"/>
          <w:highlight w:val="none"/>
        </w:rPr>
      </w:pPr>
      <w:bookmarkStart w:id="160" w:name="_Toc357087379"/>
      <w:bookmarkStart w:id="161" w:name="_Toc357061558"/>
      <w:bookmarkStart w:id="162" w:name="_Toc18978"/>
      <w:bookmarkStart w:id="163" w:name="_Toc30434"/>
      <w:bookmarkStart w:id="164" w:name="_Toc246928961"/>
      <w:bookmarkStart w:id="165" w:name="_Toc246928962"/>
      <w:bookmarkStart w:id="166" w:name="_Toc128557264"/>
      <w:bookmarkStart w:id="167" w:name="_Toc389620244"/>
      <w:bookmarkStart w:id="168" w:name="_Toc492955463"/>
      <w:bookmarkStart w:id="169" w:name="_Toc497712137"/>
      <w:bookmarkStart w:id="170" w:name="_Toc497711589"/>
      <w:bookmarkStart w:id="171" w:name="_Toc497551824"/>
      <w:bookmarkStart w:id="172" w:name="_Toc385992404"/>
      <w:bookmarkStart w:id="173" w:name="_Toc497546922"/>
    </w:p>
    <w:p>
      <w:pPr>
        <w:pStyle w:val="4"/>
        <w:spacing w:line="360" w:lineRule="auto"/>
        <w:jc w:val="center"/>
        <w:rPr>
          <w:rFonts w:hint="eastAsia" w:ascii="宋体" w:hAnsi="宋体" w:eastAsia="宋体" w:cs="宋体"/>
          <w:color w:val="auto"/>
          <w:highlight w:val="none"/>
        </w:rPr>
      </w:pPr>
      <w:bookmarkStart w:id="174" w:name="_Toc9843"/>
      <w:r>
        <w:rPr>
          <w:rFonts w:hint="eastAsia" w:ascii="宋体" w:hAnsi="宋体" w:eastAsia="宋体" w:cs="宋体"/>
          <w:bCs/>
          <w:color w:val="auto"/>
          <w:sz w:val="28"/>
          <w:szCs w:val="28"/>
          <w:highlight w:val="none"/>
        </w:rPr>
        <w:t>一、</w:t>
      </w:r>
      <w:bookmarkEnd w:id="160"/>
      <w:bookmarkEnd w:id="161"/>
      <w:r>
        <w:rPr>
          <w:rFonts w:hint="eastAsia" w:ascii="宋体" w:hAnsi="宋体" w:eastAsia="宋体" w:cs="宋体"/>
          <w:bCs/>
          <w:color w:val="auto"/>
          <w:sz w:val="28"/>
          <w:szCs w:val="28"/>
          <w:highlight w:val="none"/>
        </w:rPr>
        <w:t>封面</w:t>
      </w:r>
      <w:bookmarkEnd w:id="162"/>
      <w:bookmarkEnd w:id="163"/>
      <w:bookmarkEnd w:id="174"/>
    </w:p>
    <w:p>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0"/>
          <w:szCs w:val="30"/>
          <w:highlight w:val="none"/>
        </w:rPr>
        <w:t>正本/副本</w:t>
      </w:r>
      <w:r>
        <w:rPr>
          <w:rFonts w:hint="eastAsia" w:ascii="宋体" w:hAnsi="宋体" w:eastAsia="宋体" w:cs="宋体"/>
          <w:b/>
          <w:bCs/>
          <w:color w:val="auto"/>
          <w:sz w:val="32"/>
          <w:szCs w:val="32"/>
          <w:highlight w:val="none"/>
        </w:rPr>
        <w:t>）</w:t>
      </w: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44"/>
          <w:szCs w:val="44"/>
          <w:highlight w:val="none"/>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SXGLZFCG2022-32号</w:t>
      </w:r>
    </w:p>
    <w:p>
      <w:pPr>
        <w:jc w:val="center"/>
        <w:rPr>
          <w:rFonts w:hint="eastAsia" w:ascii="宋体" w:hAnsi="宋体" w:eastAsia="宋体" w:cs="宋体"/>
          <w:b/>
          <w:color w:val="auto"/>
          <w:sz w:val="44"/>
          <w:szCs w:val="44"/>
          <w:highlight w:val="none"/>
        </w:rPr>
      </w:pPr>
    </w:p>
    <w:p>
      <w:pPr>
        <w:spacing w:line="480" w:lineRule="auto"/>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项目名称</w:t>
      </w:r>
    </w:p>
    <w:p>
      <w:pPr>
        <w:spacing w:line="480" w:lineRule="auto"/>
        <w:rPr>
          <w:rFonts w:hint="eastAsia" w:ascii="宋体" w:hAnsi="宋体" w:eastAsia="宋体" w:cs="宋体"/>
          <w:b/>
          <w:color w:val="auto"/>
          <w:sz w:val="36"/>
          <w:szCs w:val="36"/>
          <w:highlight w:val="none"/>
          <w:u w:val="single"/>
        </w:rPr>
      </w:pPr>
    </w:p>
    <w:p>
      <w:pPr>
        <w:rPr>
          <w:rFonts w:hint="eastAsia" w:ascii="宋体" w:hAnsi="宋体" w:eastAsia="宋体" w:cs="宋体"/>
          <w:b/>
          <w:color w:val="auto"/>
          <w:sz w:val="48"/>
          <w:highlight w:val="none"/>
        </w:rPr>
      </w:pPr>
    </w:p>
    <w:p>
      <w:pPr>
        <w:jc w:val="center"/>
        <w:rPr>
          <w:rFonts w:hint="eastAsia" w:ascii="宋体" w:hAnsi="宋体" w:eastAsia="宋体" w:cs="宋体"/>
          <w:b/>
          <w:color w:val="auto"/>
          <w:sz w:val="72"/>
          <w:szCs w:val="48"/>
          <w:highlight w:val="none"/>
        </w:rPr>
      </w:pPr>
      <w:r>
        <w:rPr>
          <w:rFonts w:hint="eastAsia" w:ascii="宋体" w:hAnsi="宋体" w:eastAsia="宋体" w:cs="宋体"/>
          <w:b/>
          <w:color w:val="auto"/>
          <w:sz w:val="72"/>
          <w:szCs w:val="48"/>
          <w:highlight w:val="none"/>
        </w:rPr>
        <w:t xml:space="preserve">谈判响应文件 </w:t>
      </w: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360" w:lineRule="auto"/>
        <w:ind w:firstLine="1265" w:firstLineChars="45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谈判供应商：</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 xml:space="preserve">（盖章）   </w:t>
      </w:r>
    </w:p>
    <w:p>
      <w:pPr>
        <w:jc w:val="center"/>
        <w:rPr>
          <w:rFonts w:hint="eastAsia" w:ascii="宋体" w:hAnsi="宋体" w:eastAsia="宋体" w:cs="宋体"/>
          <w:b/>
          <w:color w:val="auto"/>
          <w:sz w:val="28"/>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日</w:t>
      </w:r>
    </w:p>
    <w:p>
      <w:pPr>
        <w:rPr>
          <w:rFonts w:hint="eastAsia" w:ascii="宋体" w:hAnsi="宋体" w:eastAsia="宋体" w:cs="宋体"/>
          <w:color w:val="auto"/>
          <w:highlight w:val="none"/>
        </w:rPr>
      </w:pPr>
      <w:bookmarkStart w:id="175" w:name="_Toc357087380"/>
      <w:bookmarkStart w:id="176" w:name="_Toc21305"/>
    </w:p>
    <w:p>
      <w:pPr>
        <w:rPr>
          <w:rFonts w:hint="eastAsia" w:ascii="宋体" w:hAnsi="宋体" w:eastAsia="宋体" w:cs="宋体"/>
          <w:color w:val="auto"/>
          <w:highlight w:val="none"/>
        </w:rPr>
      </w:pP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p>
      <w:pPr>
        <w:rPr>
          <w:rFonts w:hint="eastAsia" w:ascii="宋体" w:hAnsi="宋体" w:eastAsia="宋体" w:cs="宋体"/>
          <w:color w:val="auto"/>
          <w:highlight w:val="none"/>
        </w:rPr>
      </w:pPr>
    </w:p>
    <w:p>
      <w:pPr>
        <w:pStyle w:val="4"/>
        <w:jc w:val="center"/>
        <w:rPr>
          <w:rFonts w:hint="eastAsia" w:ascii="宋体" w:hAnsi="宋体" w:eastAsia="宋体" w:cs="宋体"/>
          <w:color w:val="auto"/>
          <w:sz w:val="28"/>
          <w:szCs w:val="28"/>
          <w:highlight w:val="none"/>
        </w:rPr>
      </w:pPr>
      <w:bookmarkStart w:id="177" w:name="_Toc24925"/>
      <w:bookmarkStart w:id="178" w:name="_Toc16296"/>
      <w:r>
        <w:rPr>
          <w:rFonts w:hint="eastAsia" w:ascii="宋体" w:hAnsi="宋体" w:eastAsia="宋体" w:cs="宋体"/>
          <w:color w:val="auto"/>
          <w:sz w:val="28"/>
          <w:szCs w:val="28"/>
          <w:highlight w:val="none"/>
        </w:rPr>
        <w:t>二、目录</w:t>
      </w:r>
      <w:bookmarkEnd w:id="177"/>
      <w:bookmarkEnd w:id="178"/>
    </w:p>
    <w:p>
      <w:pPr>
        <w:rPr>
          <w:rFonts w:hint="eastAsia" w:ascii="宋体" w:hAnsi="宋体" w:eastAsia="宋体" w:cs="宋体"/>
          <w:color w:val="auto"/>
          <w:szCs w:val="22"/>
          <w:highlight w:val="none"/>
        </w:rPr>
      </w:pPr>
    </w:p>
    <w:p>
      <w:pPr>
        <w:rPr>
          <w:rFonts w:hint="eastAsia" w:ascii="宋体" w:hAnsi="宋体" w:eastAsia="宋体" w:cs="宋体"/>
          <w:color w:val="auto"/>
          <w:sz w:val="24"/>
          <w:szCs w:val="24"/>
          <w:highlight w:val="none"/>
        </w:rPr>
        <w:sectPr>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根据响应文件自行编制</w:t>
      </w:r>
      <w:r>
        <w:rPr>
          <w:rFonts w:hint="eastAsia" w:ascii="宋体" w:hAnsi="宋体" w:eastAsia="宋体" w:cs="宋体"/>
          <w:color w:val="auto"/>
          <w:sz w:val="24"/>
          <w:szCs w:val="24"/>
          <w:highlight w:val="none"/>
          <w:u w:val="single"/>
        </w:rPr>
        <w:t>详细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清晰</w:t>
      </w:r>
      <w:r>
        <w:rPr>
          <w:rFonts w:hint="eastAsia" w:ascii="宋体" w:hAnsi="宋体" w:eastAsia="宋体" w:cs="宋体"/>
          <w:color w:val="auto"/>
          <w:sz w:val="24"/>
          <w:szCs w:val="24"/>
          <w:highlight w:val="none"/>
          <w:u w:val="single"/>
        </w:rPr>
        <w:t>的目录</w:t>
      </w:r>
      <w:r>
        <w:rPr>
          <w:rFonts w:hint="eastAsia" w:ascii="宋体" w:hAnsi="宋体" w:eastAsia="宋体" w:cs="宋体"/>
          <w:color w:val="auto"/>
          <w:sz w:val="24"/>
          <w:szCs w:val="24"/>
          <w:highlight w:val="none"/>
        </w:rPr>
        <w:t>。</w:t>
      </w:r>
    </w:p>
    <w:p>
      <w:pPr>
        <w:widowControl/>
        <w:jc w:val="left"/>
        <w:rPr>
          <w:rFonts w:hint="eastAsia" w:ascii="宋体" w:hAnsi="宋体" w:eastAsia="宋体" w:cs="宋体"/>
          <w:color w:val="auto"/>
          <w:highlight w:val="none"/>
        </w:rPr>
      </w:pPr>
    </w:p>
    <w:p>
      <w:pPr>
        <w:pStyle w:val="4"/>
        <w:rPr>
          <w:rFonts w:hint="eastAsia" w:ascii="宋体" w:hAnsi="宋体" w:eastAsia="宋体" w:cs="宋体"/>
          <w:color w:val="auto"/>
          <w:sz w:val="28"/>
          <w:szCs w:val="28"/>
          <w:highlight w:val="none"/>
        </w:rPr>
      </w:pPr>
      <w:bookmarkStart w:id="179" w:name="_Toc519085751"/>
      <w:bookmarkStart w:id="180" w:name="_Toc2209"/>
      <w:r>
        <w:rPr>
          <w:rFonts w:hint="eastAsia" w:ascii="宋体" w:hAnsi="宋体" w:eastAsia="宋体" w:cs="宋体"/>
          <w:color w:val="auto"/>
          <w:sz w:val="28"/>
          <w:szCs w:val="28"/>
          <w:highlight w:val="none"/>
        </w:rPr>
        <w:t>三、</w:t>
      </w:r>
      <w:bookmarkEnd w:id="164"/>
      <w:bookmarkEnd w:id="175"/>
      <w:bookmarkEnd w:id="176"/>
      <w:bookmarkEnd w:id="179"/>
      <w:r>
        <w:rPr>
          <w:rFonts w:hint="eastAsia" w:ascii="宋体" w:hAnsi="宋体" w:eastAsia="宋体" w:cs="宋体"/>
          <w:color w:val="auto"/>
          <w:sz w:val="28"/>
          <w:szCs w:val="28"/>
          <w:highlight w:val="none"/>
        </w:rPr>
        <w:t>谈判响应函</w:t>
      </w:r>
      <w:bookmarkEnd w:id="180"/>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highlight w:val="none"/>
          <w:u w:val="single"/>
        </w:rPr>
        <w:t xml:space="preserve">     （采购人名称）   </w:t>
      </w:r>
    </w:p>
    <w:p>
      <w:pPr>
        <w:spacing w:line="400" w:lineRule="atLeast"/>
        <w:rPr>
          <w:rFonts w:hint="eastAsia" w:ascii="宋体" w:hAnsi="宋体" w:eastAsia="宋体" w:cs="宋体"/>
          <w:color w:val="auto"/>
          <w:sz w:val="24"/>
          <w:highlight w:val="none"/>
        </w:rPr>
      </w:pPr>
    </w:p>
    <w:p>
      <w:pPr>
        <w:spacing w:line="40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采购项目的竞争性谈判文件，签字代表</w:t>
      </w:r>
      <w:r>
        <w:rPr>
          <w:rFonts w:hint="eastAsia" w:ascii="宋体" w:hAnsi="宋体" w:eastAsia="宋体" w:cs="宋体"/>
          <w:color w:val="auto"/>
          <w:sz w:val="24"/>
          <w:highlight w:val="none"/>
          <w:u w:val="single"/>
        </w:rPr>
        <w:t xml:space="preserve">              (全名、职务)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 xml:space="preserve"> (供应商名称、地址）</w:t>
      </w:r>
      <w:r>
        <w:rPr>
          <w:rFonts w:hint="eastAsia" w:ascii="宋体" w:hAnsi="宋体" w:eastAsia="宋体" w:cs="宋体"/>
          <w:color w:val="auto"/>
          <w:sz w:val="24"/>
          <w:highlight w:val="none"/>
        </w:rPr>
        <w:t>提交包含下述内容的谈判响应文件正本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份，电子版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谈判响应函；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首次谈判报价表；</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按谈判须知要求提供的全部文件和谈判文件要求的响应文件；</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供应商资格证明文件；</w:t>
      </w:r>
    </w:p>
    <w:p>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 已交纳谈判保证金，金额为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据此函，签字代表宣布同意如下：</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所附开标一览表中规定的报价为：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（即：大写金额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2.供应商将按谈判文件的规定履行合同责任和义务;</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 供应商已详细审查全部谈判文件，包括修改文件（如有的话）以及全部参考资料和有关附件。我们完全理解并同意放弃对这方面有不明及误解的权利；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 谈判报价自谈判响应文件截止之日起有效期为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如果在响应文件截止时间后，供应商在谈判有效期内撤回谈判报价；或成交后未按谈判文件中谈判须知规定的向采购代理机构交纳足额的招标代理服务费，其谈判保证金将被贵方没收；</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 供应商同意提供按照贵方可能要求的与其报价有关的一切数据或资料，完全理解贵方不一定要接受最低价的谈判报价或收到的任何谈判报价。</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与本谈判有关的一切正式往来通讯请寄：</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供应商代表姓名、职务（印刷体）：</w:t>
      </w:r>
      <w:r>
        <w:rPr>
          <w:rFonts w:hint="eastAsia" w:ascii="宋体" w:hAnsi="宋体" w:eastAsia="宋体" w:cs="宋体"/>
          <w:color w:val="auto"/>
          <w:sz w:val="24"/>
          <w:highlight w:val="none"/>
          <w:u w:val="single"/>
        </w:rPr>
        <w:t xml:space="preserve">                                   </w:t>
      </w:r>
    </w:p>
    <w:p>
      <w:pPr>
        <w:spacing w:line="40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p>
    <w:p>
      <w:pPr>
        <w:spacing w:line="400" w:lineRule="atLeast"/>
        <w:ind w:firstLine="42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bookmarkEnd w:id="165"/>
      <w:bookmarkEnd w:id="166"/>
      <w:bookmarkStart w:id="181" w:name="_Toc519085752"/>
    </w:p>
    <w:p>
      <w:pPr>
        <w:pStyle w:val="7"/>
        <w:jc w:val="center"/>
        <w:rPr>
          <w:rFonts w:hint="eastAsia" w:ascii="宋体" w:hAnsi="宋体" w:eastAsia="宋体" w:cs="宋体"/>
          <w:color w:val="auto"/>
          <w:sz w:val="28"/>
          <w:szCs w:val="28"/>
          <w:highlight w:val="none"/>
        </w:rPr>
      </w:pPr>
      <w:bookmarkStart w:id="182" w:name="_Toc1469"/>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lang w:eastAsia="zh-CN"/>
        </w:rPr>
        <w:t>法定代表人证明书</w:t>
      </w:r>
      <w:r>
        <w:rPr>
          <w:rFonts w:hint="eastAsia" w:ascii="宋体" w:hAnsi="宋体" w:eastAsia="宋体" w:cs="宋体"/>
          <w:color w:val="auto"/>
          <w:sz w:val="28"/>
          <w:szCs w:val="28"/>
          <w:highlight w:val="none"/>
        </w:rPr>
        <w:t>或授权委托书</w:t>
      </w:r>
    </w:p>
    <w:p>
      <w:pPr>
        <w:pStyle w:val="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法定代表人证明书</w:t>
      </w:r>
    </w:p>
    <w:p>
      <w:pPr>
        <w:tabs>
          <w:tab w:val="left" w:pos="210"/>
        </w:tabs>
        <w:spacing w:line="320" w:lineRule="exact"/>
        <w:jc w:val="center"/>
        <w:rPr>
          <w:rFonts w:hint="eastAsia" w:ascii="宋体" w:hAnsi="宋体" w:eastAsia="宋体" w:cs="宋体"/>
          <w:b/>
          <w:color w:val="auto"/>
          <w:kern w:val="0"/>
          <w:sz w:val="24"/>
          <w:szCs w:val="24"/>
          <w:highlight w:val="none"/>
        </w:rPr>
      </w:pPr>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致：陕西公立工程项目管理咨询有限公司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296" w:type="dxa"/>
            <w:gridSpan w:val="2"/>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身份证正、反面</w:t>
            </w:r>
            <w:r>
              <w:rPr>
                <w:rFonts w:hint="eastAsia" w:ascii="宋体" w:hAnsi="宋体" w:eastAsia="宋体" w:cs="宋体"/>
                <w:color w:val="auto"/>
                <w:kern w:val="0"/>
                <w:sz w:val="24"/>
                <w:szCs w:val="24"/>
                <w:highlight w:val="none"/>
              </w:rPr>
              <w:t>）</w:t>
            </w:r>
          </w:p>
        </w:tc>
        <w:tc>
          <w:tcPr>
            <w:tcW w:w="4426" w:type="dxa"/>
            <w:gridSpan w:val="3"/>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296" w:type="dxa"/>
            <w:gridSpan w:val="2"/>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426" w:type="dxa"/>
            <w:gridSpan w:val="3"/>
            <w:vAlign w:val="bottom"/>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pStyle w:val="7"/>
        <w:tabs>
          <w:tab w:val="left" w:pos="21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kern w:val="2"/>
          <w:sz w:val="24"/>
          <w:szCs w:val="24"/>
          <w:highlight w:val="none"/>
        </w:rPr>
        <w:t>（2）授权委托书</w:t>
      </w:r>
    </w:p>
    <w:p>
      <w:pPr>
        <w:pStyle w:val="14"/>
        <w:spacing w:line="500" w:lineRule="exact"/>
        <w:rPr>
          <w:rFonts w:hint="eastAsia" w:ascii="宋体" w:hAnsi="宋体" w:eastAsia="宋体" w:cs="宋体"/>
          <w:b/>
          <w:bCs/>
          <w:color w:val="auto"/>
          <w:szCs w:val="24"/>
          <w:highlight w:val="none"/>
        </w:rPr>
      </w:pP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zCs w:val="24"/>
          <w:highlight w:val="none"/>
        </w:rPr>
        <w:t>：</w:t>
      </w:r>
    </w:p>
    <w:p>
      <w:pPr>
        <w:pStyle w:val="14"/>
        <w:spacing w:line="5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本授权书声明：注册于（</w:t>
      </w:r>
      <w:r>
        <w:rPr>
          <w:rFonts w:hint="eastAsia" w:ascii="宋体" w:hAnsi="宋体" w:eastAsia="宋体" w:cs="宋体"/>
          <w:color w:val="auto"/>
          <w:szCs w:val="24"/>
          <w:highlight w:val="none"/>
          <w:u w:val="single"/>
        </w:rPr>
        <w:t xml:space="preserve">工商行政管理局名称）之（委托单位全称） </w:t>
      </w:r>
      <w:r>
        <w:rPr>
          <w:rFonts w:hint="eastAsia" w:ascii="宋体" w:hAnsi="宋体" w:eastAsia="宋体" w:cs="宋体"/>
          <w:color w:val="auto"/>
          <w:szCs w:val="24"/>
          <w:highlight w:val="none"/>
        </w:rPr>
        <w:t>的法定代表人</w:t>
      </w:r>
      <w:r>
        <w:rPr>
          <w:rFonts w:hint="eastAsia" w:ascii="宋体" w:hAnsi="宋体" w:eastAsia="宋体" w:cs="宋体"/>
          <w:color w:val="auto"/>
          <w:szCs w:val="24"/>
          <w:highlight w:val="none"/>
          <w:u w:val="single"/>
        </w:rPr>
        <w:t>（姓名、性别、职务）</w:t>
      </w:r>
      <w:r>
        <w:rPr>
          <w:rFonts w:hint="eastAsia" w:ascii="宋体" w:hAnsi="宋体" w:eastAsia="宋体" w:cs="宋体"/>
          <w:color w:val="auto"/>
          <w:szCs w:val="24"/>
          <w:highlight w:val="none"/>
        </w:rPr>
        <w:t>授权本公司的</w:t>
      </w:r>
      <w:r>
        <w:rPr>
          <w:rFonts w:hint="eastAsia" w:ascii="宋体" w:hAnsi="宋体" w:eastAsia="宋体" w:cs="宋体"/>
          <w:color w:val="auto"/>
          <w:szCs w:val="24"/>
          <w:highlight w:val="none"/>
          <w:u w:val="single"/>
        </w:rPr>
        <w:t>（被授权人姓名、性别、职务）</w:t>
      </w:r>
      <w:r>
        <w:rPr>
          <w:rFonts w:hint="eastAsia" w:ascii="宋体" w:hAnsi="宋体" w:eastAsia="宋体" w:cs="宋体"/>
          <w:color w:val="auto"/>
          <w:szCs w:val="24"/>
          <w:highlight w:val="none"/>
        </w:rPr>
        <w:t>为合法代理人，就贵方组织的有关</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 xml:space="preserve">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项目编号：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的谈判采购的具体事务，签署全部有关文件、文书、协议、合同，本公司对被授权人在本项目中的签名承担全部法律责任。本授权书自响应文件递交截止时间起计算有效期为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天。</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委托单位：    （公章）                  法定代表人（签字）：</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pStyle w:val="14"/>
        <w:spacing w:line="500" w:lineRule="exact"/>
        <w:ind w:firstLine="480" w:firstLineChars="200"/>
        <w:rPr>
          <w:rFonts w:hint="eastAsia" w:ascii="宋体" w:hAnsi="宋体" w:eastAsia="宋体" w:cs="宋体"/>
          <w:color w:val="auto"/>
          <w:szCs w:val="24"/>
          <w:highlight w:val="none"/>
        </w:rPr>
      </w:pP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附：被授权人姓名：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联系地址：  </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被授权人签字：</w:t>
      </w:r>
      <w:r>
        <w:rPr>
          <w:rFonts w:hint="eastAsia" w:ascii="宋体" w:hAnsi="宋体" w:eastAsia="宋体" w:cs="宋体"/>
          <w:color w:val="auto"/>
          <w:szCs w:val="24"/>
          <w:highlight w:val="none"/>
          <w:u w:val="single"/>
        </w:rPr>
        <w:t xml:space="preserve">            </w:t>
      </w:r>
    </w:p>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说明：授权书内容填写要明确，文字要工整清楚，涂改无效。</w:t>
      </w:r>
    </w:p>
    <w:p>
      <w:pPr>
        <w:pStyle w:val="14"/>
        <w:spacing w:line="500" w:lineRule="exact"/>
        <w:ind w:firstLine="2760" w:firstLineChars="1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法定代表人/被授权人身份证复印件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法定代表人身份证复印件（正、反两面）</w:t>
            </w:r>
          </w:p>
        </w:tc>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被授权人身份证复印件（正、反两面）</w:t>
            </w:r>
          </w:p>
        </w:tc>
      </w:tr>
    </w:tbl>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法定代表人直接参与投标的，无需提供此授权书。</w:t>
      </w:r>
    </w:p>
    <w:p>
      <w:pPr>
        <w:pStyle w:val="4"/>
        <w:ind w:firstLine="562"/>
        <w:outlineLvl w:val="9"/>
        <w:rPr>
          <w:rFonts w:hint="eastAsia" w:ascii="宋体" w:hAnsi="宋体" w:eastAsia="宋体" w:cs="宋体"/>
          <w:color w:val="auto"/>
          <w:sz w:val="24"/>
          <w:szCs w:val="24"/>
          <w:highlight w:val="none"/>
        </w:rPr>
      </w:pPr>
    </w:p>
    <w:p>
      <w:pPr>
        <w:pStyle w:val="4"/>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w:t>
      </w:r>
      <w:bookmarkEnd w:id="181"/>
      <w:r>
        <w:rPr>
          <w:rFonts w:hint="eastAsia" w:ascii="宋体" w:hAnsi="宋体" w:eastAsia="宋体" w:cs="宋体"/>
          <w:color w:val="auto"/>
          <w:sz w:val="28"/>
          <w:szCs w:val="28"/>
          <w:highlight w:val="none"/>
        </w:rPr>
        <w:t>首次谈判报价表</w:t>
      </w:r>
      <w:bookmarkEnd w:id="182"/>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2"/>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2"/>
          <w:highlight w:val="none"/>
        </w:rPr>
        <w:t xml:space="preserve"> 单位：元</w:t>
      </w:r>
    </w:p>
    <w:bookmarkEnd w:id="167"/>
    <w:bookmarkEnd w:id="168"/>
    <w:bookmarkEnd w:id="169"/>
    <w:bookmarkEnd w:id="170"/>
    <w:bookmarkEnd w:id="171"/>
    <w:bookmarkEnd w:id="172"/>
    <w:bookmarkEnd w:id="173"/>
    <w:p>
      <w:pPr>
        <w:rPr>
          <w:rFonts w:hint="eastAsia" w:ascii="宋体" w:hAnsi="宋体" w:eastAsia="宋体" w:cs="宋体"/>
          <w:color w:val="auto"/>
          <w:highlight w:val="none"/>
        </w:rPr>
      </w:pPr>
      <w:bookmarkStart w:id="183" w:name="_Toc492955464"/>
      <w:bookmarkStart w:id="184" w:name="_Toc497711590"/>
      <w:bookmarkStart w:id="185" w:name="_Toc497712138"/>
      <w:bookmarkStart w:id="186" w:name="_Toc497551825"/>
      <w:bookmarkStart w:id="187" w:name="_Toc389620245"/>
      <w:bookmarkStart w:id="188" w:name="_Toc246928964"/>
      <w:bookmarkStart w:id="189" w:name="_Toc385992405"/>
      <w:bookmarkStart w:id="190" w:name="_Hlt491766443"/>
      <w:bookmarkStart w:id="191" w:name="_Toc497546923"/>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项目名称</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项目编号</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044" w:type="dxa"/>
            <w:vAlign w:val="center"/>
          </w:tcPr>
          <w:p>
            <w:pPr>
              <w:spacing w:line="360" w:lineRule="auto"/>
              <w:jc w:val="center"/>
              <w:rPr>
                <w:rFonts w:hint="default"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供货期（日历天）</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204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总报价</w:t>
            </w:r>
          </w:p>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（人民币）</w:t>
            </w:r>
          </w:p>
        </w:tc>
        <w:tc>
          <w:tcPr>
            <w:tcW w:w="6704" w:type="dxa"/>
            <w:vAlign w:val="center"/>
          </w:tcPr>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小写金额：</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大写金额：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备注：表内报价内容以元为单位，保留小数点后两位。</w:t>
            </w:r>
          </w:p>
        </w:tc>
      </w:tr>
    </w:tbl>
    <w:p>
      <w:pPr>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备注：供应商的报价应考虑到该采购项目所发生的一切费用。</w:t>
      </w:r>
    </w:p>
    <w:p>
      <w:pPr>
        <w:ind w:firstLine="420"/>
        <w:rPr>
          <w:rFonts w:hint="eastAsia" w:ascii="宋体" w:hAnsi="宋体" w:eastAsia="宋体" w:cs="宋体"/>
          <w:color w:val="auto"/>
          <w:sz w:val="24"/>
          <w:highlight w:val="none"/>
        </w:rPr>
      </w:pPr>
    </w:p>
    <w:p>
      <w:pPr>
        <w:rPr>
          <w:rFonts w:hint="eastAsia" w:ascii="宋体" w:hAnsi="宋体" w:eastAsia="宋体" w:cs="宋体"/>
          <w:color w:val="auto"/>
          <w:sz w:val="30"/>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pacing w:line="416" w:lineRule="atLeast"/>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7"/>
        <w:ind w:firstLine="56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7"/>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t>1、分项报价表（格式）</w:t>
      </w:r>
    </w:p>
    <w:p>
      <w:pPr>
        <w:rPr>
          <w:rFonts w:hint="eastAsia" w:ascii="宋体" w:hAnsi="宋体" w:eastAsia="宋体" w:cs="宋体"/>
          <w:color w:val="auto"/>
          <w:szCs w:val="24"/>
          <w:highlight w:val="none"/>
        </w:rPr>
      </w:pPr>
    </w:p>
    <w:tbl>
      <w:tblPr>
        <w:tblStyle w:val="25"/>
        <w:tblW w:w="5102" w:type="pct"/>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23"/>
        <w:gridCol w:w="1023"/>
        <w:gridCol w:w="1176"/>
        <w:gridCol w:w="876"/>
        <w:gridCol w:w="1029"/>
        <w:gridCol w:w="1029"/>
        <w:gridCol w:w="102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61" w:type="pct"/>
            <w:tcBorders>
              <w:top w:val="double" w:color="auto" w:sz="4" w:space="0"/>
              <w:left w:val="doub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pacing w:val="-20"/>
                <w:szCs w:val="24"/>
                <w:highlight w:val="none"/>
              </w:rPr>
              <w:t>序号</w:t>
            </w:r>
          </w:p>
        </w:tc>
        <w:tc>
          <w:tcPr>
            <w:tcW w:w="575"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w:t>
            </w:r>
          </w:p>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575"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661"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w:t>
            </w:r>
          </w:p>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w:t>
            </w:r>
          </w:p>
        </w:tc>
        <w:tc>
          <w:tcPr>
            <w:tcW w:w="492"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数量</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单价(元)</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合计(元)</w:t>
            </w:r>
          </w:p>
        </w:tc>
        <w:tc>
          <w:tcPr>
            <w:tcW w:w="597" w:type="pct"/>
            <w:tcBorders>
              <w:top w:val="double" w:color="auto" w:sz="4" w:space="0"/>
              <w:left w:val="single" w:color="auto" w:sz="4" w:space="0"/>
              <w:right w:val="doub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1" w:type="pct"/>
            <w:tcBorders>
              <w:left w:val="doub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61"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61"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N</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9"/>
            <w:tcBorders>
              <w:left w:val="double" w:color="auto" w:sz="4" w:space="0"/>
              <w:right w:val="double" w:color="auto" w:sz="4" w:space="0"/>
            </w:tcBorders>
          </w:tcPr>
          <w:p>
            <w:pPr>
              <w:spacing w:line="400" w:lineRule="atLeast"/>
              <w:rPr>
                <w:rFonts w:hint="eastAsia" w:ascii="宋体" w:hAnsi="宋体" w:eastAsia="宋体" w:cs="宋体"/>
                <w:color w:val="auto"/>
                <w:sz w:val="24"/>
                <w:szCs w:val="22"/>
                <w:highlight w:val="none"/>
              </w:rPr>
            </w:pPr>
            <w:r>
              <w:rPr>
                <w:rFonts w:hint="eastAsia" w:ascii="宋体" w:hAnsi="宋体" w:eastAsia="宋体" w:cs="宋体"/>
                <w:color w:val="auto"/>
                <w:spacing w:val="-6"/>
                <w:sz w:val="24"/>
                <w:szCs w:val="24"/>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9"/>
            <w:tcBorders>
              <w:left w:val="double" w:color="auto" w:sz="4" w:space="0"/>
              <w:bottom w:val="double" w:color="auto" w:sz="4" w:space="0"/>
              <w:right w:val="double" w:color="auto" w:sz="4" w:space="0"/>
            </w:tcBorders>
          </w:tcPr>
          <w:p>
            <w:pPr>
              <w:spacing w:line="400" w:lineRule="atLeast"/>
              <w:rPr>
                <w:rFonts w:hint="eastAsia"/>
                <w:b/>
                <w:bCs/>
                <w:highlight w:val="none"/>
              </w:rPr>
            </w:pPr>
            <w:r>
              <w:rPr>
                <w:rFonts w:hint="eastAsia"/>
                <w:b/>
                <w:bCs/>
                <w:highlight w:val="none"/>
              </w:rPr>
              <w:t>备注：</w:t>
            </w:r>
          </w:p>
          <w:p>
            <w:pPr>
              <w:numPr>
                <w:ilvl w:val="0"/>
                <w:numId w:val="3"/>
              </w:numPr>
              <w:spacing w:line="400" w:lineRule="atLeast"/>
              <w:rPr>
                <w:rFonts w:hint="eastAsia"/>
                <w:b/>
                <w:bCs/>
                <w:highlight w:val="none"/>
              </w:rPr>
            </w:pPr>
            <w:r>
              <w:rPr>
                <w:rFonts w:hint="eastAsia"/>
                <w:b/>
                <w:bCs/>
                <w:highlight w:val="none"/>
              </w:rPr>
              <w:t>表内报价内容以元为单位，保留小数点后两位。</w:t>
            </w:r>
          </w:p>
          <w:p>
            <w:pPr>
              <w:numPr>
                <w:ilvl w:val="0"/>
                <w:numId w:val="0"/>
              </w:numPr>
              <w:spacing w:line="400" w:lineRule="atLeast"/>
              <w:rPr>
                <w:rFonts w:hint="eastAsia"/>
                <w:highlight w:val="none"/>
              </w:rPr>
            </w:pPr>
            <w:r>
              <w:rPr>
                <w:rFonts w:hint="eastAsia"/>
                <w:b/>
                <w:bCs/>
                <w:highlight w:val="none"/>
                <w:lang w:val="en-US" w:eastAsia="zh-CN"/>
              </w:rPr>
              <w:t>2、此表将随中标/成交结果公告一同公示。</w:t>
            </w:r>
          </w:p>
        </w:tc>
      </w:tr>
    </w:tbl>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kinsoku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本表中的“总价”与“首次谈判报价表”中的</w:t>
      </w:r>
      <w:r>
        <w:rPr>
          <w:rFonts w:hint="eastAsia" w:ascii="宋体" w:hAnsi="宋体" w:eastAsia="宋体" w:cs="宋体"/>
          <w:color w:val="auto"/>
          <w:spacing w:val="-6"/>
          <w:sz w:val="24"/>
          <w:highlight w:val="none"/>
        </w:rPr>
        <w:t>“谈判总价”</w:t>
      </w:r>
      <w:r>
        <w:rPr>
          <w:rFonts w:hint="eastAsia" w:ascii="宋体" w:hAnsi="宋体" w:eastAsia="宋体" w:cs="宋体"/>
          <w:color w:val="auto"/>
          <w:sz w:val="24"/>
          <w:highlight w:val="none"/>
        </w:rPr>
        <w:t>一致。各子项分别报价。</w:t>
      </w:r>
    </w:p>
    <w:p>
      <w:pPr>
        <w:pStyle w:val="11"/>
        <w:rPr>
          <w:rFonts w:hint="eastAsia" w:ascii="宋体" w:hAnsi="宋体" w:eastAsia="宋体" w:cs="宋体"/>
          <w:color w:val="auto"/>
          <w:highlight w:val="none"/>
        </w:rPr>
      </w:pPr>
    </w:p>
    <w:p>
      <w:pPr>
        <w:rPr>
          <w:rFonts w:hint="eastAsia" w:ascii="宋体" w:hAnsi="宋体" w:eastAsia="宋体" w:cs="宋体"/>
          <w:color w:val="auto"/>
          <w:szCs w:val="24"/>
          <w:highlight w:val="none"/>
        </w:rPr>
      </w:pP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7"/>
        <w:ind w:firstLine="560"/>
        <w:jc w:val="center"/>
        <w:rPr>
          <w:rFonts w:hint="eastAsia" w:ascii="宋体" w:hAnsi="宋体" w:eastAsia="宋体" w:cs="宋体"/>
          <w:b/>
          <w:color w:val="auto"/>
          <w:highlight w:val="none"/>
        </w:rPr>
        <w:sectPr>
          <w:footerReference r:id="rId11"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7"/>
        <w:ind w:firstLine="56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bookmarkStart w:id="192" w:name="_Toc15553"/>
      <w:r>
        <w:rPr>
          <w:rFonts w:hint="eastAsia" w:ascii="宋体" w:hAnsi="宋体" w:eastAsia="宋体" w:cs="宋体"/>
          <w:b/>
          <w:color w:val="auto"/>
          <w:highlight w:val="none"/>
        </w:rPr>
        <w:t>谈判内容要求技术/商务偏</w:t>
      </w:r>
      <w:r>
        <w:rPr>
          <w:rFonts w:hint="eastAsia" w:ascii="宋体" w:hAnsi="宋体" w:eastAsia="宋体" w:cs="宋体"/>
          <w:b/>
          <w:color w:val="auto"/>
          <w:highlight w:val="none"/>
          <w:lang w:val="en-US" w:eastAsia="zh-CN"/>
        </w:rPr>
        <w:t>离</w:t>
      </w:r>
      <w:r>
        <w:rPr>
          <w:rFonts w:hint="eastAsia" w:ascii="宋体" w:hAnsi="宋体" w:eastAsia="宋体" w:cs="宋体"/>
          <w:b/>
          <w:color w:val="auto"/>
          <w:highlight w:val="none"/>
        </w:rPr>
        <w:t>表（格式）</w:t>
      </w:r>
    </w:p>
    <w:p>
      <w:pPr>
        <w:pStyle w:val="37"/>
        <w:ind w:firstLineChars="71"/>
        <w:rPr>
          <w:rFonts w:hint="eastAsia" w:ascii="宋体" w:hAnsi="宋体" w:eastAsia="宋体" w:cs="宋体"/>
          <w:b/>
          <w:color w:val="auto"/>
          <w:highlight w:val="none"/>
        </w:rPr>
      </w:pPr>
    </w:p>
    <w:p>
      <w:pPr>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25"/>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0" w:leftChars="19"/>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794" w:type="dxa"/>
            <w:tcMar>
              <w:top w:w="57" w:type="dxa"/>
              <w:left w:w="28" w:type="dxa"/>
              <w:bottom w:w="57" w:type="dxa"/>
              <w:right w:w="28" w:type="dxa"/>
            </w:tcMar>
            <w:vAlign w:val="center"/>
          </w:tcPr>
          <w:p>
            <w:pPr>
              <w:spacing w:line="360" w:lineRule="exact"/>
              <w:ind w:left="210" w:leftChars="1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谈判要求技术/商务需求</w:t>
            </w:r>
          </w:p>
        </w:tc>
        <w:tc>
          <w:tcPr>
            <w:tcW w:w="2659"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cs="宋体"/>
                <w:b/>
                <w:color w:val="auto"/>
                <w:szCs w:val="24"/>
                <w:highlight w:val="none"/>
                <w:lang w:eastAsia="zh-CN"/>
              </w:rPr>
              <w:t>响应</w:t>
            </w:r>
            <w:r>
              <w:rPr>
                <w:rFonts w:hint="eastAsia" w:ascii="宋体" w:hAnsi="宋体" w:eastAsia="宋体" w:cs="宋体"/>
                <w:b/>
                <w:color w:val="auto"/>
                <w:szCs w:val="24"/>
                <w:highlight w:val="none"/>
              </w:rPr>
              <w:t>技术/商务响应</w:t>
            </w:r>
          </w:p>
        </w:tc>
        <w:tc>
          <w:tcPr>
            <w:tcW w:w="2485"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bl>
    <w:p>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注：1、</w:t>
      </w:r>
      <w:r>
        <w:rPr>
          <w:rFonts w:hint="eastAsia" w:ascii="宋体" w:hAnsi="宋体" w:eastAsia="宋体" w:cs="宋体"/>
          <w:b/>
          <w:color w:val="auto"/>
          <w:szCs w:val="24"/>
          <w:highlight w:val="none"/>
          <w:u w:val="single"/>
          <w:lang w:val="en-US" w:eastAsia="zh-CN"/>
        </w:rPr>
        <w:t>供应商应按采购清单逐条填写技术条款并响应</w:t>
      </w:r>
      <w:r>
        <w:rPr>
          <w:rFonts w:hint="eastAsia" w:ascii="宋体" w:hAnsi="宋体" w:eastAsia="宋体" w:cs="宋体"/>
          <w:b/>
          <w:color w:val="auto"/>
          <w:szCs w:val="24"/>
          <w:highlight w:val="none"/>
          <w:lang w:val="en-US" w:eastAsia="zh-CN"/>
        </w:rPr>
        <w:t>；</w:t>
      </w:r>
    </w:p>
    <w:p>
      <w:pPr>
        <w:pStyle w:val="11"/>
        <w:numPr>
          <w:ilvl w:val="0"/>
          <w:numId w:val="4"/>
        </w:numPr>
        <w:spacing w:line="360" w:lineRule="auto"/>
        <w:rPr>
          <w:rFonts w:hint="eastAsia" w:ascii="宋体" w:hAnsi="宋体" w:eastAsia="宋体" w:cs="宋体"/>
          <w:b/>
          <w:color w:val="auto"/>
          <w:sz w:val="21"/>
          <w:szCs w:val="20"/>
          <w:highlight w:val="none"/>
          <w:lang w:val="en-US" w:eastAsia="zh-CN"/>
        </w:rPr>
      </w:pPr>
      <w:r>
        <w:rPr>
          <w:rFonts w:hint="eastAsia" w:ascii="宋体" w:hAnsi="宋体" w:cs="宋体"/>
          <w:b/>
          <w:color w:val="auto"/>
          <w:sz w:val="21"/>
          <w:szCs w:val="20"/>
          <w:highlight w:val="none"/>
          <w:lang w:val="en-US" w:eastAsia="zh-CN"/>
        </w:rPr>
        <w:t>商务条款偏离情况须对</w:t>
      </w:r>
      <w:r>
        <w:rPr>
          <w:rFonts w:hint="eastAsia" w:ascii="宋体" w:hAnsi="宋体" w:cs="宋体"/>
          <w:b/>
          <w:color w:val="auto"/>
          <w:sz w:val="21"/>
          <w:szCs w:val="20"/>
          <w:highlight w:val="none"/>
          <w:u w:val="single"/>
          <w:shd w:val="clear"/>
          <w:lang w:val="en-US" w:eastAsia="zh-CN"/>
        </w:rPr>
        <w:t>供货期、质保期、付款方式</w:t>
      </w:r>
      <w:r>
        <w:rPr>
          <w:rFonts w:hint="eastAsia" w:ascii="宋体" w:hAnsi="宋体" w:cs="宋体"/>
          <w:b/>
          <w:color w:val="auto"/>
          <w:sz w:val="21"/>
          <w:szCs w:val="20"/>
          <w:highlight w:val="none"/>
          <w:shd w:val="clear"/>
          <w:lang w:val="en-US" w:eastAsia="zh-CN"/>
        </w:rPr>
        <w:t>条款进</w:t>
      </w:r>
      <w:r>
        <w:rPr>
          <w:rFonts w:hint="eastAsia" w:ascii="宋体" w:hAnsi="宋体" w:cs="宋体"/>
          <w:b/>
          <w:color w:val="auto"/>
          <w:sz w:val="21"/>
          <w:szCs w:val="20"/>
          <w:highlight w:val="none"/>
          <w:lang w:val="en-US" w:eastAsia="zh-CN"/>
        </w:rPr>
        <w:t>行明确响应，其他</w:t>
      </w:r>
      <w:r>
        <w:rPr>
          <w:rFonts w:hint="eastAsia" w:ascii="宋体" w:hAnsi="宋体" w:eastAsia="宋体" w:cs="宋体"/>
          <w:b/>
          <w:color w:val="auto"/>
          <w:sz w:val="21"/>
          <w:szCs w:val="20"/>
          <w:highlight w:val="none"/>
          <w:lang w:val="en-US" w:eastAsia="zh-CN"/>
        </w:rPr>
        <w:t>未列明商务</w:t>
      </w:r>
      <w:r>
        <w:rPr>
          <w:rFonts w:hint="eastAsia" w:ascii="宋体" w:hAnsi="宋体" w:cs="宋体"/>
          <w:b/>
          <w:color w:val="auto"/>
          <w:sz w:val="21"/>
          <w:szCs w:val="20"/>
          <w:highlight w:val="none"/>
          <w:lang w:val="en-US" w:eastAsia="zh-CN"/>
        </w:rPr>
        <w:t>条款</w:t>
      </w:r>
      <w:r>
        <w:rPr>
          <w:rFonts w:hint="eastAsia" w:ascii="宋体" w:hAnsi="宋体" w:eastAsia="宋体" w:cs="宋体"/>
          <w:b/>
          <w:color w:val="auto"/>
          <w:sz w:val="21"/>
          <w:szCs w:val="20"/>
          <w:highlight w:val="none"/>
          <w:lang w:val="en-US" w:eastAsia="zh-CN"/>
        </w:rPr>
        <w:t>视为全部响应谈判文件要求；</w:t>
      </w:r>
    </w:p>
    <w:p>
      <w:pPr>
        <w:spacing w:line="480" w:lineRule="auto"/>
        <w:ind w:right="-161" w:firstLine="2640" w:firstLineChars="1100"/>
        <w:rPr>
          <w:rFonts w:hint="eastAsia" w:ascii="宋体" w:hAnsi="宋体" w:eastAsia="宋体" w:cs="宋体"/>
          <w:color w:val="auto"/>
          <w:sz w:val="24"/>
          <w:szCs w:val="24"/>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numPr>
          <w:ilvl w:val="0"/>
          <w:numId w:val="5"/>
        </w:numPr>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4"/>
          <w:highlight w:val="none"/>
        </w:rPr>
        <w:br w:type="page"/>
      </w:r>
      <w:bookmarkEnd w:id="183"/>
      <w:bookmarkEnd w:id="184"/>
      <w:bookmarkEnd w:id="185"/>
      <w:bookmarkEnd w:id="186"/>
      <w:bookmarkEnd w:id="187"/>
      <w:bookmarkEnd w:id="188"/>
      <w:bookmarkEnd w:id="189"/>
      <w:bookmarkEnd w:id="190"/>
      <w:bookmarkEnd w:id="191"/>
      <w:bookmarkEnd w:id="192"/>
      <w:bookmarkStart w:id="193" w:name="_Toc519085756"/>
      <w:bookmarkStart w:id="194" w:name="_Toc30363"/>
      <w:r>
        <w:rPr>
          <w:rFonts w:hint="eastAsia" w:ascii="宋体" w:hAnsi="宋体" w:eastAsia="宋体" w:cs="宋体"/>
          <w:b/>
          <w:bCs/>
          <w:color w:val="auto"/>
          <w:sz w:val="28"/>
          <w:szCs w:val="28"/>
          <w:highlight w:val="none"/>
        </w:rPr>
        <w:t>供应商资格证明文件及其他</w:t>
      </w:r>
      <w:bookmarkEnd w:id="193"/>
      <w:bookmarkEnd w:id="194"/>
    </w:p>
    <w:p>
      <w:pPr>
        <w:pStyle w:val="2"/>
        <w:numPr>
          <w:ilvl w:val="0"/>
          <w:numId w:val="0"/>
        </w:numPr>
        <w:rPr>
          <w:rFonts w:hint="eastAsia"/>
        </w:rPr>
      </w:pP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4"/>
        <w:spacing w:line="440" w:lineRule="exact"/>
        <w:ind w:firstLine="480" w:firstLineChars="200"/>
        <w:rPr>
          <w:rFonts w:hint="eastAsia" w:ascii="宋体" w:hAnsi="宋体" w:eastAsia="宋体" w:cs="宋体"/>
          <w:color w:val="auto"/>
          <w:szCs w:val="24"/>
          <w:highlight w:val="none"/>
        </w:rPr>
      </w:pPr>
      <w:bookmarkStart w:id="195" w:name="_Toc332805171"/>
      <w:bookmarkStart w:id="196" w:name="_Toc332805616"/>
      <w:bookmarkStart w:id="197" w:name="_Toc332805617"/>
      <w:bookmarkStart w:id="198" w:name="_Toc332805172"/>
    </w:p>
    <w:p>
      <w:pPr>
        <w:rPr>
          <w:rFonts w:hint="eastAsia" w:ascii="宋体" w:hAnsi="宋体" w:eastAsia="宋体" w:cs="宋体"/>
          <w:color w:val="auto"/>
          <w:szCs w:val="24"/>
          <w:highlight w:val="none"/>
        </w:rPr>
      </w:pPr>
    </w:p>
    <w:bookmarkEnd w:id="195"/>
    <w:bookmarkEnd w:id="196"/>
    <w:p>
      <w:pPr>
        <w:pStyle w:val="2"/>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附件1</w:t>
      </w:r>
    </w:p>
    <w:p>
      <w:pPr>
        <w:pStyle w:val="2"/>
        <w:rPr>
          <w:rFonts w:hint="eastAsia" w:ascii="宋体" w:hAnsi="宋体" w:eastAsia="宋体" w:cs="宋体"/>
          <w:b/>
          <w:color w:val="auto"/>
          <w:sz w:val="24"/>
          <w:highlight w:val="none"/>
        </w:rPr>
      </w:pPr>
    </w:p>
    <w:p>
      <w:pPr>
        <w:pStyle w:val="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供应商参加本次谈判近3年内，在经营活动中没有重大违法记录的书面声明</w:t>
      </w: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spacing w:line="48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公司）为在中华人民共和国境内合法注册并经营的机构。在此郑重声明，我公司在参与本次政府采购活动</w:t>
      </w:r>
      <w:r>
        <w:rPr>
          <w:rFonts w:hint="eastAsia" w:ascii="宋体" w:hAnsi="宋体" w:cs="宋体"/>
          <w:color w:val="auto"/>
          <w:spacing w:val="4"/>
          <w:sz w:val="24"/>
          <w:highlight w:val="none"/>
          <w:lang w:val="en-US" w:eastAsia="zh-CN"/>
        </w:rPr>
        <w:t>近</w:t>
      </w:r>
      <w:r>
        <w:rPr>
          <w:rFonts w:hint="eastAsia" w:ascii="宋体" w:hAnsi="宋体" w:eastAsia="宋体" w:cs="宋体"/>
          <w:color w:val="auto"/>
          <w:spacing w:val="4"/>
          <w:sz w:val="24"/>
          <w:highlight w:val="none"/>
        </w:rPr>
        <w:t>3年内在经营活动中没有重大违法记录。</w:t>
      </w:r>
    </w:p>
    <w:p>
      <w:pPr>
        <w:spacing w:line="480" w:lineRule="auto"/>
        <w:ind w:firstLine="496" w:firstLineChars="200"/>
        <w:rPr>
          <w:rFonts w:hint="eastAsia" w:ascii="宋体" w:hAnsi="宋体" w:eastAsia="宋体" w:cs="宋体"/>
          <w:color w:val="auto"/>
          <w:spacing w:val="4"/>
          <w:sz w:val="24"/>
          <w:highlight w:val="none"/>
        </w:rPr>
      </w:pPr>
    </w:p>
    <w:p>
      <w:pPr>
        <w:spacing w:line="480" w:lineRule="auto"/>
        <w:ind w:firstLine="496" w:firstLineChars="20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w:t>
      </w:r>
      <w:r>
        <w:rPr>
          <w:rFonts w:hint="eastAsia" w:ascii="宋体" w:hAnsi="宋体" w:cs="宋体"/>
          <w:color w:val="auto"/>
          <w:kern w:val="0"/>
          <w:sz w:val="24"/>
          <w:highlight w:val="none"/>
          <w:lang w:val="en-US" w:eastAsia="zh-CN"/>
        </w:rPr>
        <w:t>及</w:t>
      </w:r>
      <w:r>
        <w:rPr>
          <w:rFonts w:hint="eastAsia" w:ascii="宋体" w:hAnsi="宋体" w:eastAsia="宋体" w:cs="宋体"/>
          <w:color w:val="auto"/>
          <w:kern w:val="0"/>
          <w:sz w:val="24"/>
          <w:highlight w:val="none"/>
        </w:rPr>
        <w:t>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spacing w:line="360" w:lineRule="auto"/>
        <w:rPr>
          <w:rFonts w:hint="eastAsia" w:ascii="宋体" w:hAnsi="宋体" w:cs="宋体"/>
          <w:b/>
          <w:bCs/>
          <w:color w:val="auto"/>
          <w:spacing w:val="4"/>
          <w:sz w:val="24"/>
          <w:highlight w:val="none"/>
          <w:u w:val="none"/>
          <w:lang w:val="en-US" w:eastAsia="zh-CN"/>
        </w:rPr>
      </w:pPr>
    </w:p>
    <w:p>
      <w:pPr>
        <w:spacing w:line="360" w:lineRule="auto"/>
        <w:rPr>
          <w:rFonts w:hint="default" w:ascii="宋体" w:hAnsi="宋体" w:eastAsia="宋体" w:cs="宋体"/>
          <w:b/>
          <w:bCs/>
          <w:color w:val="auto"/>
          <w:spacing w:val="4"/>
          <w:sz w:val="24"/>
          <w:highlight w:val="none"/>
          <w:u w:val="none"/>
          <w:lang w:val="en-US" w:eastAsia="zh-CN"/>
        </w:rPr>
      </w:pPr>
      <w:r>
        <w:rPr>
          <w:rFonts w:hint="eastAsia" w:ascii="宋体" w:hAnsi="宋体" w:cs="宋体"/>
          <w:b/>
          <w:bCs/>
          <w:color w:val="auto"/>
          <w:spacing w:val="4"/>
          <w:sz w:val="24"/>
          <w:highlight w:val="none"/>
          <w:u w:val="none"/>
          <w:lang w:val="en-US" w:eastAsia="zh-CN"/>
        </w:rPr>
        <w:t>附件2</w:t>
      </w:r>
    </w:p>
    <w:p>
      <w:pPr>
        <w:spacing w:line="360" w:lineRule="auto"/>
        <w:jc w:val="center"/>
        <w:rPr>
          <w:rFonts w:hint="eastAsia" w:ascii="宋体" w:hAnsi="宋体" w:eastAsia="宋体" w:cs="宋体"/>
          <w:color w:val="auto"/>
          <w:spacing w:val="4"/>
          <w:sz w:val="24"/>
          <w:highlight w:val="none"/>
        </w:rPr>
      </w:pPr>
      <w:r>
        <w:rPr>
          <w:rFonts w:hint="eastAsia" w:ascii="宋体" w:hAnsi="宋体" w:eastAsia="宋体" w:cs="宋体"/>
          <w:b/>
          <w:color w:val="auto"/>
          <w:sz w:val="24"/>
          <w:highlight w:val="none"/>
        </w:rPr>
        <w:t>具有履行合同所必需的设备和专业技术能力的承诺函</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（公司或其他组织）</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。主要设备有</w:t>
      </w:r>
      <w:r>
        <w:rPr>
          <w:rFonts w:hint="eastAsia" w:ascii="宋体" w:hAnsi="宋体" w:eastAsia="宋体" w:cs="宋体"/>
          <w:color w:val="auto"/>
          <w:spacing w:val="4"/>
          <w:sz w:val="24"/>
          <w:highlight w:val="none"/>
          <w:u w:val="single"/>
        </w:rPr>
        <w:t>（品种、数量）</w:t>
      </w:r>
      <w:r>
        <w:rPr>
          <w:rFonts w:hint="eastAsia" w:ascii="宋体" w:hAnsi="宋体" w:eastAsia="宋体" w:cs="宋体"/>
          <w:color w:val="auto"/>
          <w:spacing w:val="4"/>
          <w:sz w:val="24"/>
          <w:highlight w:val="none"/>
        </w:rPr>
        <w:t>，其中用于履行本合同所必需的设备有</w:t>
      </w:r>
      <w:r>
        <w:rPr>
          <w:rFonts w:hint="eastAsia" w:ascii="宋体" w:hAnsi="宋体" w:eastAsia="宋体" w:cs="宋体"/>
          <w:color w:val="auto"/>
          <w:spacing w:val="4"/>
          <w:sz w:val="24"/>
          <w:highlight w:val="none"/>
          <w:u w:val="single"/>
        </w:rPr>
        <w:t>（ 品种、数量）</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，其中与履行本合同相关的专业技术人员有</w:t>
      </w:r>
      <w:r>
        <w:rPr>
          <w:rFonts w:hint="eastAsia" w:ascii="宋体" w:hAnsi="宋体" w:eastAsia="宋体" w:cs="宋体"/>
          <w:color w:val="auto"/>
          <w:spacing w:val="4"/>
          <w:sz w:val="24"/>
          <w:highlight w:val="none"/>
          <w:u w:val="single"/>
        </w:rPr>
        <w:t>（专业能力、数量）</w:t>
      </w:r>
      <w:r>
        <w:rPr>
          <w:rFonts w:hint="eastAsia" w:ascii="宋体" w:hAnsi="宋体" w:eastAsia="宋体" w:cs="宋体"/>
          <w:color w:val="auto"/>
          <w:spacing w:val="4"/>
          <w:sz w:val="24"/>
          <w:highlight w:val="none"/>
        </w:rPr>
        <w:t>，本单位郑重承诺，具有履行本合同所必需的设备和专业技术能力。</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w:t>
      </w:r>
      <w:r>
        <w:rPr>
          <w:rFonts w:hint="eastAsia" w:ascii="宋体" w:hAnsi="宋体" w:cs="宋体"/>
          <w:color w:val="auto"/>
          <w:kern w:val="0"/>
          <w:sz w:val="24"/>
          <w:highlight w:val="none"/>
          <w:lang w:val="en-US" w:eastAsia="zh-CN"/>
        </w:rPr>
        <w:t>及</w:t>
      </w:r>
      <w:r>
        <w:rPr>
          <w:rFonts w:hint="eastAsia" w:ascii="宋体" w:hAnsi="宋体" w:eastAsia="宋体" w:cs="宋体"/>
          <w:color w:val="auto"/>
          <w:kern w:val="0"/>
          <w:sz w:val="24"/>
          <w:highlight w:val="none"/>
        </w:rPr>
        <w:t>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b/>
          <w:color w:val="auto"/>
          <w:sz w:val="24"/>
          <w:highlight w:val="none"/>
        </w:rPr>
        <w:sectPr>
          <w:footerReference r:id="rId12"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pacing w:val="4"/>
          <w:sz w:val="24"/>
          <w:highlight w:val="none"/>
        </w:rPr>
        <w:t xml:space="preserve">                                         日期：   年     月    日</w:t>
      </w:r>
    </w:p>
    <w:bookmarkEnd w:id="197"/>
    <w:bookmarkEnd w:id="198"/>
    <w:p>
      <w:pPr>
        <w:pStyle w:val="4"/>
        <w:jc w:val="center"/>
        <w:rPr>
          <w:rFonts w:hint="eastAsia" w:ascii="宋体" w:hAnsi="宋体" w:eastAsia="宋体" w:cs="宋体"/>
          <w:color w:val="auto"/>
          <w:sz w:val="28"/>
          <w:szCs w:val="28"/>
          <w:highlight w:val="none"/>
        </w:rPr>
      </w:pPr>
      <w:bookmarkStart w:id="199" w:name="_Toc519085755"/>
      <w:bookmarkStart w:id="200" w:name="_Toc1244"/>
      <w:bookmarkStart w:id="201" w:name="_Toc519085757"/>
      <w:bookmarkStart w:id="202" w:name="_Toc14151"/>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、响应方案</w:t>
      </w:r>
      <w:bookmarkEnd w:id="199"/>
      <w:bookmarkEnd w:id="200"/>
    </w:p>
    <w:p>
      <w:pPr>
        <w:spacing w:line="360" w:lineRule="auto"/>
        <w:ind w:firstLine="480" w:firstLineChars="200"/>
        <w:rPr>
          <w:rFonts w:hint="eastAsia" w:ascii="宋体" w:hAnsi="宋体" w:eastAsia="宋体" w:cs="宋体"/>
          <w:color w:val="auto"/>
          <w:sz w:val="24"/>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谈判响应方案：</w:t>
      </w:r>
    </w:p>
    <w:p>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供应商根据本项目实际情况</w:t>
      </w:r>
      <w:r>
        <w:rPr>
          <w:rFonts w:hint="eastAsia" w:ascii="宋体" w:hAnsi="宋体" w:cs="宋体"/>
          <w:color w:val="auto"/>
          <w:sz w:val="24"/>
          <w:szCs w:val="22"/>
          <w:highlight w:val="none"/>
          <w:lang w:val="en-US" w:eastAsia="zh-CN"/>
        </w:rPr>
        <w:t>及要求</w:t>
      </w:r>
      <w:r>
        <w:rPr>
          <w:rFonts w:hint="eastAsia" w:ascii="宋体" w:hAnsi="宋体" w:eastAsia="宋体" w:cs="宋体"/>
          <w:color w:val="auto"/>
          <w:sz w:val="24"/>
          <w:szCs w:val="22"/>
          <w:highlight w:val="none"/>
        </w:rPr>
        <w:t>编写，格式自拟。</w:t>
      </w:r>
    </w:p>
    <w:p>
      <w:pPr>
        <w:tabs>
          <w:tab w:val="center" w:pos="4419"/>
        </w:tabs>
        <w:spacing w:line="360" w:lineRule="auto"/>
        <w:rPr>
          <w:rFonts w:hint="eastAsia" w:ascii="宋体" w:hAnsi="宋体" w:eastAsia="宋体" w:cs="宋体"/>
          <w:color w:val="auto"/>
          <w:sz w:val="24"/>
          <w:szCs w:val="24"/>
          <w:highlight w:val="none"/>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7"/>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八、产品质量证明文件</w:t>
      </w:r>
    </w:p>
    <w:p>
      <w:pPr>
        <w:numPr>
          <w:ilvl w:val="0"/>
          <w:numId w:val="0"/>
        </w:numPr>
        <w:spacing w:line="360" w:lineRule="auto"/>
        <w:rPr>
          <w:rFonts w:hint="eastAsia" w:ascii="宋体" w:hAnsi="宋体" w:eastAsia="宋体" w:cs="宋体"/>
          <w:b/>
          <w:color w:val="auto"/>
          <w:kern w:val="2"/>
          <w:sz w:val="21"/>
          <w:szCs w:val="20"/>
          <w:highlight w:val="none"/>
          <w:lang w:val="en-US" w:eastAsia="zh-CN" w:bidi="ar-SA"/>
        </w:rPr>
      </w:pPr>
    </w:p>
    <w:p>
      <w:pPr>
        <w:numPr>
          <w:ilvl w:val="0"/>
          <w:numId w:val="0"/>
        </w:numPr>
        <w:spacing w:line="360" w:lineRule="auto"/>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供应商应提供</w:t>
      </w:r>
      <w:r>
        <w:rPr>
          <w:rFonts w:hint="eastAsia" w:ascii="宋体" w:hAnsi="宋体" w:cs="宋体"/>
          <w:b/>
          <w:color w:val="auto"/>
          <w:kern w:val="2"/>
          <w:sz w:val="21"/>
          <w:szCs w:val="20"/>
          <w:highlight w:val="none"/>
          <w:lang w:val="en-US" w:eastAsia="zh-CN" w:bidi="ar-SA"/>
        </w:rPr>
        <w:t>采购文件要求要求的</w:t>
      </w:r>
      <w:r>
        <w:rPr>
          <w:rFonts w:hint="eastAsia" w:ascii="宋体" w:hAnsi="宋体" w:eastAsia="宋体" w:cs="宋体"/>
          <w:b/>
          <w:color w:val="auto"/>
          <w:kern w:val="2"/>
          <w:sz w:val="21"/>
          <w:szCs w:val="20"/>
          <w:highlight w:val="none"/>
          <w:lang w:val="en-US" w:eastAsia="zh-CN" w:bidi="ar-SA"/>
        </w:rPr>
        <w:t>产品证明资料（如产品彩页</w:t>
      </w:r>
      <w:r>
        <w:rPr>
          <w:rFonts w:hint="eastAsia" w:ascii="宋体" w:hAnsi="宋体" w:cs="宋体"/>
          <w:b/>
          <w:color w:val="auto"/>
          <w:kern w:val="2"/>
          <w:sz w:val="21"/>
          <w:szCs w:val="20"/>
          <w:highlight w:val="none"/>
          <w:lang w:val="en-US" w:eastAsia="zh-CN" w:bidi="ar-SA"/>
        </w:rPr>
        <w:t>或</w:t>
      </w:r>
      <w:r>
        <w:rPr>
          <w:rFonts w:hint="eastAsia" w:ascii="宋体" w:hAnsi="宋体" w:eastAsia="宋体" w:cs="宋体"/>
          <w:b/>
          <w:color w:val="auto"/>
          <w:kern w:val="2"/>
          <w:sz w:val="21"/>
          <w:szCs w:val="20"/>
          <w:highlight w:val="none"/>
          <w:lang w:val="en-US" w:eastAsia="zh-CN" w:bidi="ar-SA"/>
        </w:rPr>
        <w:t>检测报告</w:t>
      </w:r>
      <w:r>
        <w:rPr>
          <w:rFonts w:hint="eastAsia" w:ascii="宋体" w:hAnsi="宋体" w:cs="宋体"/>
          <w:b/>
          <w:color w:val="auto"/>
          <w:kern w:val="2"/>
          <w:sz w:val="21"/>
          <w:szCs w:val="20"/>
          <w:highlight w:val="none"/>
          <w:lang w:val="en-US" w:eastAsia="zh-CN" w:bidi="ar-SA"/>
        </w:rPr>
        <w:t>或</w:t>
      </w:r>
      <w:r>
        <w:rPr>
          <w:rFonts w:hint="eastAsia" w:ascii="宋体" w:hAnsi="宋体" w:eastAsia="宋体" w:cs="宋体"/>
          <w:b/>
          <w:color w:val="auto"/>
          <w:kern w:val="2"/>
          <w:sz w:val="21"/>
          <w:szCs w:val="20"/>
          <w:highlight w:val="none"/>
          <w:lang w:val="en-US" w:eastAsia="zh-CN" w:bidi="ar-SA"/>
        </w:rPr>
        <w:t>功能截图）。</w:t>
      </w: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jc w:val="center"/>
        <w:rPr>
          <w:rFonts w:hint="default" w:ascii="宋体" w:hAnsi="宋体" w:eastAsia="宋体" w:cs="宋体"/>
          <w:b/>
          <w:color w:val="auto"/>
          <w:kern w:val="0"/>
          <w:sz w:val="28"/>
          <w:szCs w:val="20"/>
          <w:highlight w:val="none"/>
          <w:lang w:val="en-US" w:eastAsia="zh-CN" w:bidi="ar-SA"/>
        </w:rPr>
      </w:pPr>
      <w:r>
        <w:rPr>
          <w:rFonts w:hint="eastAsia" w:ascii="宋体" w:hAnsi="宋体" w:eastAsia="宋体" w:cs="宋体"/>
          <w:b/>
          <w:color w:val="auto"/>
          <w:kern w:val="0"/>
          <w:sz w:val="28"/>
          <w:szCs w:val="20"/>
          <w:highlight w:val="none"/>
          <w:lang w:val="en-US" w:eastAsia="zh-CN" w:bidi="ar-SA"/>
        </w:rPr>
        <w:t>九、质量保证措施及售后服务承诺</w:t>
      </w:r>
    </w:p>
    <w:p>
      <w:pPr>
        <w:pStyle w:val="2"/>
        <w:rPr>
          <w:rFonts w:hint="eastAsia" w:ascii="宋体" w:hAnsi="宋体" w:eastAsia="宋体" w:cs="宋体"/>
          <w:b/>
          <w:color w:val="auto"/>
          <w:kern w:val="0"/>
          <w:sz w:val="28"/>
          <w:szCs w:val="20"/>
          <w:highlight w:val="none"/>
          <w:lang w:val="en-US" w:eastAsia="zh-CN" w:bidi="ar-SA"/>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jc w:val="cente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7"/>
        <w:numPr>
          <w:ilvl w:val="0"/>
          <w:numId w:val="6"/>
        </w:numPr>
        <w:jc w:val="center"/>
        <w:rPr>
          <w:rFonts w:hint="eastAsia" w:ascii="宋体" w:hAnsi="宋体" w:eastAsia="宋体" w:cs="宋体"/>
          <w:color w:val="auto"/>
          <w:highlight w:val="none"/>
        </w:rPr>
      </w:pPr>
      <w:r>
        <w:rPr>
          <w:rFonts w:hint="eastAsia" w:ascii="宋体" w:hAnsi="宋体" w:eastAsia="宋体" w:cs="宋体"/>
          <w:color w:val="auto"/>
          <w:highlight w:val="none"/>
        </w:rPr>
        <w:t>投标声明</w:t>
      </w:r>
    </w:p>
    <w:p>
      <w:pPr>
        <w:numPr>
          <w:ilvl w:val="0"/>
          <w:numId w:val="0"/>
        </w:numPr>
        <w:rPr>
          <w:rFonts w:hint="eastAsia"/>
        </w:rPr>
      </w:pPr>
    </w:p>
    <w:p>
      <w:pPr>
        <w:rPr>
          <w:rFonts w:hint="eastAsia"/>
        </w:rPr>
      </w:pP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我公司参与本项目以单个主体进行参与，没有与其他供应商组成联合体。我公司的</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不与其他投标供应商的单位负责人</w:t>
      </w:r>
      <w:r>
        <w:rPr>
          <w:rFonts w:hint="eastAsia" w:ascii="宋体" w:hAnsi="宋体" w:eastAsia="宋体" w:cs="宋体"/>
          <w:color w:val="auto"/>
          <w:sz w:val="24"/>
          <w:szCs w:val="24"/>
          <w:highlight w:val="none"/>
          <w:lang w:val="zh-CN"/>
        </w:rPr>
        <w:t>为同一人，</w:t>
      </w:r>
      <w:r>
        <w:rPr>
          <w:rFonts w:hint="eastAsia" w:ascii="宋体" w:hAnsi="宋体" w:eastAsia="宋体" w:cs="宋体"/>
          <w:color w:val="auto"/>
          <w:sz w:val="24"/>
          <w:szCs w:val="24"/>
          <w:highlight w:val="none"/>
        </w:rPr>
        <w:t>不存在与其他供应商有</w:t>
      </w:r>
      <w:r>
        <w:rPr>
          <w:rFonts w:hint="eastAsia" w:ascii="宋体" w:hAnsi="宋体" w:eastAsia="宋体" w:cs="宋体"/>
          <w:color w:val="auto"/>
          <w:sz w:val="24"/>
          <w:szCs w:val="24"/>
          <w:highlight w:val="none"/>
          <w:lang w:val="zh-CN"/>
        </w:rPr>
        <w:t>直接控股、管理关系。</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170"/>
        <w:rPr>
          <w:rFonts w:hint="eastAsia" w:ascii="宋体" w:hAnsi="宋体" w:eastAsia="宋体" w:cs="宋体"/>
          <w:color w:val="auto"/>
          <w:spacing w:val="4"/>
          <w:sz w:val="24"/>
          <w:highlight w:val="none"/>
        </w:rPr>
      </w:pPr>
    </w:p>
    <w:p>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highlight w:val="none"/>
        </w:rPr>
      </w:pPr>
    </w:p>
    <w:p>
      <w:pPr>
        <w:spacing w:line="360" w:lineRule="auto"/>
        <w:ind w:firstLine="643" w:firstLineChars="200"/>
        <w:jc w:val="center"/>
        <w:rPr>
          <w:rFonts w:hint="eastAsia" w:ascii="宋体" w:hAnsi="宋体" w:eastAsia="宋体" w:cs="宋体"/>
          <w:color w:val="auto"/>
          <w:sz w:val="24"/>
          <w:highlight w:val="none"/>
        </w:rPr>
      </w:pPr>
      <w:r>
        <w:rPr>
          <w:rFonts w:hint="eastAsia" w:ascii="宋体" w:hAnsi="宋体" w:eastAsia="宋体" w:cs="宋体"/>
          <w:b/>
          <w:bCs/>
          <w:color w:val="auto"/>
          <w:kern w:val="44"/>
          <w:sz w:val="32"/>
          <w:szCs w:val="44"/>
          <w:highlight w:val="none"/>
        </w:rPr>
        <w:t xml:space="preserve">                    </w:t>
      </w:r>
      <w:r>
        <w:rPr>
          <w:rFonts w:hint="eastAsia" w:ascii="宋体" w:hAnsi="宋体" w:eastAsia="宋体" w:cs="宋体"/>
          <w:color w:val="auto"/>
          <w:sz w:val="24"/>
          <w:highlight w:val="none"/>
        </w:rPr>
        <w:t xml:space="preserve">  年   月   日</w:t>
      </w:r>
    </w:p>
    <w:p>
      <w:pPr>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ind w:firstLine="560"/>
        <w:rPr>
          <w:rFonts w:hint="eastAsia" w:ascii="宋体" w:hAnsi="宋体" w:eastAsia="宋体" w:cs="宋体"/>
          <w:color w:val="auto"/>
          <w:sz w:val="24"/>
          <w:szCs w:val="24"/>
          <w:highlight w:val="none"/>
        </w:rPr>
      </w:pPr>
      <w:bookmarkStart w:id="203" w:name="_Toc7357"/>
      <w:r>
        <w:rPr>
          <w:rFonts w:hint="eastAsia" w:ascii="宋体" w:hAnsi="宋体" w:eastAsia="宋体" w:cs="宋体"/>
          <w:b/>
          <w:color w:val="auto"/>
          <w:kern w:val="0"/>
          <w:sz w:val="28"/>
          <w:highlight w:val="none"/>
          <w:lang w:val="en-US" w:eastAsia="zh-CN" w:bidi="ar-SA"/>
        </w:rPr>
        <w:t>十一、陕西省政府采购供应商拒绝政府采购领域商业贿赂承诺书</w:t>
      </w:r>
      <w:bookmarkEnd w:id="201"/>
      <w:bookmarkEnd w:id="203"/>
    </w:p>
    <w:p>
      <w:pPr>
        <w:pStyle w:val="37"/>
        <w:ind w:firstLine="482"/>
        <w:rPr>
          <w:rFonts w:hint="eastAsia" w:ascii="宋体" w:hAnsi="宋体" w:eastAsia="宋体" w:cs="宋体"/>
          <w:b/>
          <w:color w:val="auto"/>
          <w:sz w:val="24"/>
          <w:highlight w:val="none"/>
        </w:rPr>
      </w:pP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9、不发生其他有悖于政府采购公开、公平、公正和诚信原则的行为。</w:t>
      </w:r>
    </w:p>
    <w:p>
      <w:pPr>
        <w:pStyle w:val="11"/>
        <w:rPr>
          <w:rFonts w:hint="eastAsia"/>
          <w:color w:val="auto"/>
          <w:highlight w:val="none"/>
          <w:lang w:eastAsia="zh-CN"/>
        </w:rPr>
      </w:pP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承诺单位：（盖章）</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kern w:val="0"/>
          <w:sz w:val="24"/>
          <w:highlight w:val="none"/>
        </w:rPr>
        <w:t>：（签字或盖章）</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                        </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邮  编：</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                                                            年  月  日</w:t>
      </w:r>
    </w:p>
    <w:p>
      <w:pPr>
        <w:widowControl/>
        <w:spacing w:line="408" w:lineRule="auto"/>
        <w:ind w:left="239" w:leftChars="114"/>
        <w:jc w:val="left"/>
        <w:rPr>
          <w:rFonts w:hint="eastAsia" w:ascii="宋体" w:hAnsi="宋体" w:eastAsia="宋体" w:cs="宋体"/>
          <w:color w:val="auto"/>
          <w:kern w:val="0"/>
          <w:sz w:val="24"/>
          <w:highlight w:val="none"/>
        </w:rPr>
      </w:pPr>
    </w:p>
    <w:p>
      <w:pPr>
        <w:spacing w:line="360" w:lineRule="auto"/>
        <w:ind w:left="1"/>
        <w:jc w:val="center"/>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br w:type="page"/>
      </w:r>
      <w:bookmarkStart w:id="204" w:name="_Toc519085758"/>
    </w:p>
    <w:bookmarkEnd w:id="202"/>
    <w:bookmarkEnd w:id="204"/>
    <w:p>
      <w:pPr>
        <w:pStyle w:val="4"/>
        <w:jc w:val="center"/>
        <w:rPr>
          <w:rFonts w:hint="eastAsia" w:ascii="宋体" w:hAnsi="宋体" w:eastAsia="宋体" w:cs="宋体"/>
          <w:color w:val="auto"/>
          <w:sz w:val="28"/>
          <w:szCs w:val="28"/>
          <w:highlight w:val="none"/>
          <w:lang w:eastAsia="zh-CN"/>
        </w:rPr>
      </w:pPr>
      <w:bookmarkStart w:id="205" w:name="_Toc15317"/>
      <w:bookmarkStart w:id="206" w:name="_Toc7717"/>
      <w:bookmarkStart w:id="207" w:name="_Toc25333"/>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rPr>
        <w:t>、供应商满足政府采购相关优惠政策的声明或证明材料</w:t>
      </w:r>
      <w:bookmarkEnd w:id="205"/>
      <w:bookmarkEnd w:id="206"/>
      <w:bookmarkEnd w:id="207"/>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pPr>
        <w:spacing w:before="120" w:line="360" w:lineRule="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color w:val="auto"/>
          <w:highlight w:val="none"/>
        </w:rPr>
      </w:pPr>
    </w:p>
    <w:p>
      <w:pPr>
        <w:widowControl/>
        <w:spacing w:line="432"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凡满足政府采购相关优惠政策的供应商自行根据相关政策规定提供声明和证明材料，如供应商不符合要求无需提供。</w:t>
      </w:r>
    </w:p>
    <w:p>
      <w:pPr>
        <w:spacing w:line="500" w:lineRule="exact"/>
        <w:ind w:firstLine="480" w:firstLineChars="200"/>
        <w:jc w:val="left"/>
        <w:rPr>
          <w:rFonts w:hint="eastAsia" w:ascii="宋体" w:hAnsi="宋体" w:eastAsia="宋体" w:cs="宋体"/>
          <w:color w:val="auto"/>
          <w:sz w:val="24"/>
          <w:szCs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中小企业声明函（货物）</w:t>
      </w:r>
    </w:p>
    <w:p>
      <w:pPr>
        <w:spacing w:line="500" w:lineRule="exact"/>
        <w:jc w:val="center"/>
        <w:rPr>
          <w:rFonts w:hint="eastAsia" w:ascii="宋体" w:hAnsi="宋体" w:eastAsia="宋体" w:cs="宋体"/>
          <w:b/>
          <w:color w:val="auto"/>
          <w:sz w:val="30"/>
          <w:szCs w:val="30"/>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numPr>
          <w:ilvl w:val="0"/>
          <w:numId w:val="7"/>
        </w:num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numPr>
          <w:ilvl w:val="0"/>
          <w:numId w:val="7"/>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tabs>
          <w:tab w:val="left" w:pos="5670"/>
        </w:tabs>
        <w:spacing w:line="500" w:lineRule="exact"/>
        <w:ind w:firstLine="420" w:firstLineChars="20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残疾人福利性单位声明函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Cs w:val="24"/>
          <w:highlight w:val="none"/>
        </w:rPr>
        <w:t>签字或盖章</w:t>
      </w:r>
      <w:r>
        <w:rPr>
          <w:rFonts w:hint="eastAsia" w:ascii="宋体" w:hAnsi="宋体" w:eastAsia="宋体" w:cs="宋体"/>
          <w:color w:val="auto"/>
          <w:sz w:val="24"/>
          <w:szCs w:val="24"/>
          <w:highlight w:val="none"/>
        </w:rPr>
        <w:t>）</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24"/>
          <w:szCs w:val="24"/>
          <w:highlight w:val="none"/>
        </w:rPr>
        <w:t>非残疾人福利性单位无需出具此函。</w:t>
      </w:r>
    </w:p>
    <w:p>
      <w:pPr>
        <w:pStyle w:val="6"/>
        <w:outlineLvl w:val="9"/>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tabs>
          <w:tab w:val="left" w:pos="5670"/>
        </w:tabs>
        <w:spacing w:line="500" w:lineRule="exact"/>
        <w:ind w:firstLine="3313" w:firstLineChars="11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监狱企业证明函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非监狱企业无需出具此函。</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lang w:val="en-US" w:eastAsia="zh-CN"/>
        </w:rPr>
      </w:pPr>
    </w:p>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hint="eastAsia" w:cs="宋体"/>
        <w:szCs w:val="18"/>
      </w:rPr>
    </w:pPr>
    <w:r>
      <w:rPr>
        <w:rFonts w:hint="eastAsia" w:cs="宋体"/>
        <w:szCs w:val="18"/>
      </w:rPr>
      <w:t>陕西公立工程项目管理咨询有限公司                       地址：铜川市王益区七一路工行三楼313室</w:t>
    </w:r>
  </w:p>
  <w:p>
    <w:pPr>
      <w:pStyle w:val="16"/>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rPr>
        <w:rFonts w:hint="eastAsia" w:cs="宋体"/>
        <w:szCs w:val="18"/>
      </w:rPr>
    </w:pPr>
    <w:r>
      <w:rPr>
        <w:rFonts w:hint="eastAsia" w:cs="宋体"/>
        <w:szCs w:val="18"/>
      </w:rPr>
      <w:t>陕西公立工程项目管理咨询有限公司                       地址：铜川市王益区七一路工行三楼313室</w:t>
    </w:r>
  </w:p>
  <w:p>
    <w:pPr>
      <w:pStyle w:val="16"/>
      <w:jc w:val="cente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rPr>
        <w:rFonts w:cs="宋体"/>
        <w:szCs w:val="18"/>
      </w:rPr>
    </w:pPr>
    <w:r>
      <w:rPr>
        <w:rFonts w:hint="eastAsia" w:cs="宋体"/>
        <w:szCs w:val="18"/>
      </w:rPr>
      <w:t xml:space="preserve">陕西中信海诚造价咨询有限公司          </w:t>
    </w:r>
    <w:r>
      <w:rPr>
        <w:rFonts w:hint="eastAsia" w:cs="宋体"/>
        <w:szCs w:val="18"/>
        <w:lang w:val="en-US" w:eastAsia="zh-CN"/>
      </w:rPr>
      <w:t xml:space="preserve">                                                                </w:t>
    </w:r>
    <w:r>
      <w:rPr>
        <w:rFonts w:hint="eastAsia" w:cs="宋体"/>
        <w:szCs w:val="18"/>
      </w:rPr>
      <w:t xml:space="preserve">  地址：西安市碑林区含光北路2号广丰国际大厦II区806室</w:t>
    </w:r>
  </w:p>
  <w:p>
    <w:pPr>
      <w:pStyle w:val="16"/>
      <w:jc w:val="center"/>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53</w:t>
                    </w:r>
                    <w:r>
                      <w:fldChar w:fldCharType="end"/>
                    </w:r>
                  </w:p>
                </w:txbxContent>
              </v:textbox>
            </v:shape>
          </w:pict>
        </mc:Fallback>
      </mc:AlternateContent>
    </w: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25826"/>
    <w:multiLevelType w:val="singleLevel"/>
    <w:tmpl w:val="B5D25826"/>
    <w:lvl w:ilvl="0" w:tentative="0">
      <w:start w:val="2"/>
      <w:numFmt w:val="decimal"/>
      <w:suff w:val="nothing"/>
      <w:lvlText w:val="%1、"/>
      <w:lvlJc w:val="left"/>
    </w:lvl>
  </w:abstractNum>
  <w:abstractNum w:abstractNumId="1">
    <w:nsid w:val="E73BE5CF"/>
    <w:multiLevelType w:val="singleLevel"/>
    <w:tmpl w:val="E73BE5CF"/>
    <w:lvl w:ilvl="0" w:tentative="0">
      <w:start w:val="10"/>
      <w:numFmt w:val="chineseCounting"/>
      <w:suff w:val="nothing"/>
      <w:lvlText w:val="%1、"/>
      <w:lvlJc w:val="left"/>
      <w:rPr>
        <w:rFonts w:hint="eastAsia"/>
      </w:rPr>
    </w:lvl>
  </w:abstractNum>
  <w:abstractNum w:abstractNumId="2">
    <w:nsid w:val="FC5F827B"/>
    <w:multiLevelType w:val="singleLevel"/>
    <w:tmpl w:val="FC5F827B"/>
    <w:lvl w:ilvl="0" w:tentative="0">
      <w:start w:val="1"/>
      <w:numFmt w:val="decimal"/>
      <w:lvlText w:val="%1."/>
      <w:lvlJc w:val="left"/>
      <w:pPr>
        <w:tabs>
          <w:tab w:val="left" w:pos="312"/>
        </w:tabs>
      </w:pPr>
    </w:lvl>
  </w:abstractNum>
  <w:abstractNum w:abstractNumId="3">
    <w:nsid w:val="FE9D9E2D"/>
    <w:multiLevelType w:val="singleLevel"/>
    <w:tmpl w:val="FE9D9E2D"/>
    <w:lvl w:ilvl="0" w:tentative="0">
      <w:start w:val="1"/>
      <w:numFmt w:val="decimal"/>
      <w:suff w:val="nothing"/>
      <w:lvlText w:val="%1、"/>
      <w:lvlJc w:val="left"/>
    </w:lvl>
  </w:abstractNum>
  <w:abstractNum w:abstractNumId="4">
    <w:nsid w:val="69843588"/>
    <w:multiLevelType w:val="singleLevel"/>
    <w:tmpl w:val="69843588"/>
    <w:lvl w:ilvl="0" w:tentative="0">
      <w:start w:val="1"/>
      <w:numFmt w:val="decimal"/>
      <w:suff w:val="nothing"/>
      <w:lvlText w:val="%1、"/>
      <w:lvlJc w:val="left"/>
    </w:lvl>
  </w:abstractNum>
  <w:abstractNum w:abstractNumId="5">
    <w:nsid w:val="6B1840D7"/>
    <w:multiLevelType w:val="singleLevel"/>
    <w:tmpl w:val="6B1840D7"/>
    <w:lvl w:ilvl="0" w:tentative="0">
      <w:start w:val="6"/>
      <w:numFmt w:val="chineseCounting"/>
      <w:suff w:val="nothing"/>
      <w:lvlText w:val="%1、"/>
      <w:lvlJc w:val="left"/>
      <w:rPr>
        <w:rFonts w:hint="eastAsia"/>
      </w:rPr>
    </w:lvl>
  </w:abstractNum>
  <w:abstractNum w:abstractNumId="6">
    <w:nsid w:val="7FABEADA"/>
    <w:multiLevelType w:val="singleLevel"/>
    <w:tmpl w:val="7FABEADA"/>
    <w:lvl w:ilvl="0" w:tentative="0">
      <w:start w:val="3"/>
      <w:numFmt w:val="chineseCounting"/>
      <w:suff w:val="space"/>
      <w:lvlText w:val="第%1章"/>
      <w:lvlJc w:val="left"/>
      <w:rPr>
        <w:rFonts w:hint="eastAsia"/>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dit="forms" w:formatting="1"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WJiZWU5YjNlYzcyYjJiZjMwODQyYTdlZDdhMDgifQ=="/>
  </w:docVars>
  <w:rsids>
    <w:rsidRoot w:val="68E14B9D"/>
    <w:rsid w:val="00030E3B"/>
    <w:rsid w:val="00036460"/>
    <w:rsid w:val="00082611"/>
    <w:rsid w:val="000F5B9D"/>
    <w:rsid w:val="00173181"/>
    <w:rsid w:val="00181BEC"/>
    <w:rsid w:val="00184E6A"/>
    <w:rsid w:val="001E01C9"/>
    <w:rsid w:val="001E264E"/>
    <w:rsid w:val="0023578A"/>
    <w:rsid w:val="00287BB1"/>
    <w:rsid w:val="002A0EFA"/>
    <w:rsid w:val="002A6B4B"/>
    <w:rsid w:val="0030743C"/>
    <w:rsid w:val="00317B43"/>
    <w:rsid w:val="00321DA0"/>
    <w:rsid w:val="003A6814"/>
    <w:rsid w:val="00433134"/>
    <w:rsid w:val="00460885"/>
    <w:rsid w:val="004819D5"/>
    <w:rsid w:val="00486D75"/>
    <w:rsid w:val="004C5F35"/>
    <w:rsid w:val="004D6D2A"/>
    <w:rsid w:val="00503783"/>
    <w:rsid w:val="005C3B13"/>
    <w:rsid w:val="005C5513"/>
    <w:rsid w:val="005E4180"/>
    <w:rsid w:val="00675F3D"/>
    <w:rsid w:val="0068355E"/>
    <w:rsid w:val="00685920"/>
    <w:rsid w:val="00753CB9"/>
    <w:rsid w:val="00792F0C"/>
    <w:rsid w:val="007C7A9A"/>
    <w:rsid w:val="0092286A"/>
    <w:rsid w:val="00941083"/>
    <w:rsid w:val="00966EE6"/>
    <w:rsid w:val="009C267F"/>
    <w:rsid w:val="009D1750"/>
    <w:rsid w:val="009E795C"/>
    <w:rsid w:val="00A0287F"/>
    <w:rsid w:val="00A53485"/>
    <w:rsid w:val="00AD41B0"/>
    <w:rsid w:val="00B3567E"/>
    <w:rsid w:val="00BE24F7"/>
    <w:rsid w:val="00C236C0"/>
    <w:rsid w:val="00C31095"/>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B3B8E"/>
    <w:rsid w:val="00FF48CE"/>
    <w:rsid w:val="01F510EE"/>
    <w:rsid w:val="02166422"/>
    <w:rsid w:val="026B0E48"/>
    <w:rsid w:val="026E5A15"/>
    <w:rsid w:val="02B03C97"/>
    <w:rsid w:val="02F60B1E"/>
    <w:rsid w:val="032A0C79"/>
    <w:rsid w:val="03564A79"/>
    <w:rsid w:val="0379778E"/>
    <w:rsid w:val="039E4FA9"/>
    <w:rsid w:val="03C96D89"/>
    <w:rsid w:val="03D35307"/>
    <w:rsid w:val="04172BF8"/>
    <w:rsid w:val="043F3CA7"/>
    <w:rsid w:val="04641C91"/>
    <w:rsid w:val="04DA3A06"/>
    <w:rsid w:val="04E50E24"/>
    <w:rsid w:val="04FB2EB1"/>
    <w:rsid w:val="050642F1"/>
    <w:rsid w:val="05650933"/>
    <w:rsid w:val="058E78B6"/>
    <w:rsid w:val="0675074F"/>
    <w:rsid w:val="069B07AA"/>
    <w:rsid w:val="07460585"/>
    <w:rsid w:val="07E763D1"/>
    <w:rsid w:val="080816E0"/>
    <w:rsid w:val="080D4F1E"/>
    <w:rsid w:val="08A544E7"/>
    <w:rsid w:val="08CE1BEC"/>
    <w:rsid w:val="09836E04"/>
    <w:rsid w:val="0A797E83"/>
    <w:rsid w:val="0AB82D91"/>
    <w:rsid w:val="0B853613"/>
    <w:rsid w:val="0CF54666"/>
    <w:rsid w:val="0DA36D2B"/>
    <w:rsid w:val="0E0F7F0B"/>
    <w:rsid w:val="0E3A1D5C"/>
    <w:rsid w:val="0E813FB1"/>
    <w:rsid w:val="0E8925F9"/>
    <w:rsid w:val="0EA9019B"/>
    <w:rsid w:val="0EEB1858"/>
    <w:rsid w:val="0F31639B"/>
    <w:rsid w:val="0F466F3B"/>
    <w:rsid w:val="0F9676F6"/>
    <w:rsid w:val="0FD47384"/>
    <w:rsid w:val="0FF071E8"/>
    <w:rsid w:val="0FF26905"/>
    <w:rsid w:val="0FF92E4C"/>
    <w:rsid w:val="10B87336"/>
    <w:rsid w:val="10DF0397"/>
    <w:rsid w:val="10F5023B"/>
    <w:rsid w:val="11474561"/>
    <w:rsid w:val="119B329C"/>
    <w:rsid w:val="11A623CB"/>
    <w:rsid w:val="12716693"/>
    <w:rsid w:val="12766E6A"/>
    <w:rsid w:val="12A91934"/>
    <w:rsid w:val="12C25A87"/>
    <w:rsid w:val="12DD6110"/>
    <w:rsid w:val="12E71012"/>
    <w:rsid w:val="136E2B1F"/>
    <w:rsid w:val="13F83460"/>
    <w:rsid w:val="149C06D4"/>
    <w:rsid w:val="14F50214"/>
    <w:rsid w:val="14FF7444"/>
    <w:rsid w:val="15AA110F"/>
    <w:rsid w:val="15C80202"/>
    <w:rsid w:val="15CA5D30"/>
    <w:rsid w:val="15F06E59"/>
    <w:rsid w:val="16365C85"/>
    <w:rsid w:val="166070CD"/>
    <w:rsid w:val="166A5115"/>
    <w:rsid w:val="16B62592"/>
    <w:rsid w:val="16B65CA8"/>
    <w:rsid w:val="16B67B5B"/>
    <w:rsid w:val="173B0CF0"/>
    <w:rsid w:val="17C410E8"/>
    <w:rsid w:val="17F142F2"/>
    <w:rsid w:val="183250CC"/>
    <w:rsid w:val="18B84D23"/>
    <w:rsid w:val="18D64480"/>
    <w:rsid w:val="1913512D"/>
    <w:rsid w:val="19695EA1"/>
    <w:rsid w:val="197C23D2"/>
    <w:rsid w:val="1A311299"/>
    <w:rsid w:val="1AA54730"/>
    <w:rsid w:val="1BCD7C37"/>
    <w:rsid w:val="1C166ABB"/>
    <w:rsid w:val="1C3518F2"/>
    <w:rsid w:val="1CE15080"/>
    <w:rsid w:val="1CF1611C"/>
    <w:rsid w:val="1D2753DD"/>
    <w:rsid w:val="1DE11FCD"/>
    <w:rsid w:val="1EA9562C"/>
    <w:rsid w:val="1ED86328"/>
    <w:rsid w:val="1F1D0FA8"/>
    <w:rsid w:val="1F8C4ACB"/>
    <w:rsid w:val="1F9E003B"/>
    <w:rsid w:val="1FB15B3E"/>
    <w:rsid w:val="200E6437"/>
    <w:rsid w:val="20974C17"/>
    <w:rsid w:val="21162ADA"/>
    <w:rsid w:val="21282C9D"/>
    <w:rsid w:val="21413C8E"/>
    <w:rsid w:val="21855480"/>
    <w:rsid w:val="219F4C39"/>
    <w:rsid w:val="21E83927"/>
    <w:rsid w:val="22761F52"/>
    <w:rsid w:val="22922850"/>
    <w:rsid w:val="22DE5AD1"/>
    <w:rsid w:val="231478EE"/>
    <w:rsid w:val="23191484"/>
    <w:rsid w:val="23482EF7"/>
    <w:rsid w:val="238F5A30"/>
    <w:rsid w:val="23C27C22"/>
    <w:rsid w:val="24184829"/>
    <w:rsid w:val="243B0C17"/>
    <w:rsid w:val="247D7612"/>
    <w:rsid w:val="24913C2C"/>
    <w:rsid w:val="24C03050"/>
    <w:rsid w:val="24D90E50"/>
    <w:rsid w:val="24DA2E77"/>
    <w:rsid w:val="25D91DE0"/>
    <w:rsid w:val="26106916"/>
    <w:rsid w:val="264F1DAC"/>
    <w:rsid w:val="2731493A"/>
    <w:rsid w:val="27806612"/>
    <w:rsid w:val="27ED457B"/>
    <w:rsid w:val="28D477F0"/>
    <w:rsid w:val="296E4EFF"/>
    <w:rsid w:val="29B45308"/>
    <w:rsid w:val="29F933D2"/>
    <w:rsid w:val="2A6718E9"/>
    <w:rsid w:val="2B2506EE"/>
    <w:rsid w:val="2B684EC8"/>
    <w:rsid w:val="2B9619FE"/>
    <w:rsid w:val="2BBE6F14"/>
    <w:rsid w:val="2BD44CEC"/>
    <w:rsid w:val="2C9F3724"/>
    <w:rsid w:val="2D003251"/>
    <w:rsid w:val="2D2A4919"/>
    <w:rsid w:val="2D823B19"/>
    <w:rsid w:val="2DBF32F7"/>
    <w:rsid w:val="2DE8293D"/>
    <w:rsid w:val="2E1168A9"/>
    <w:rsid w:val="2E430855"/>
    <w:rsid w:val="2E9A01D7"/>
    <w:rsid w:val="2E9F2BA8"/>
    <w:rsid w:val="2EC754FB"/>
    <w:rsid w:val="2EFE4DF5"/>
    <w:rsid w:val="2F285AA9"/>
    <w:rsid w:val="2F7C1992"/>
    <w:rsid w:val="2FD40A9F"/>
    <w:rsid w:val="30271754"/>
    <w:rsid w:val="30365D4E"/>
    <w:rsid w:val="307870CA"/>
    <w:rsid w:val="308A4FC2"/>
    <w:rsid w:val="30E635EF"/>
    <w:rsid w:val="31081ED3"/>
    <w:rsid w:val="31167FB1"/>
    <w:rsid w:val="31501BB8"/>
    <w:rsid w:val="31BC7EB2"/>
    <w:rsid w:val="32F403E5"/>
    <w:rsid w:val="331308B2"/>
    <w:rsid w:val="339B5E6E"/>
    <w:rsid w:val="34B03B5A"/>
    <w:rsid w:val="351F4A4B"/>
    <w:rsid w:val="35306081"/>
    <w:rsid w:val="35483492"/>
    <w:rsid w:val="35AD3460"/>
    <w:rsid w:val="35C175DC"/>
    <w:rsid w:val="35F953B3"/>
    <w:rsid w:val="370F5C4C"/>
    <w:rsid w:val="37111B4C"/>
    <w:rsid w:val="37415A36"/>
    <w:rsid w:val="382261BB"/>
    <w:rsid w:val="382A7843"/>
    <w:rsid w:val="384D3846"/>
    <w:rsid w:val="386E4086"/>
    <w:rsid w:val="391B520F"/>
    <w:rsid w:val="398A71F8"/>
    <w:rsid w:val="39A07173"/>
    <w:rsid w:val="3A084A21"/>
    <w:rsid w:val="3A380EDB"/>
    <w:rsid w:val="3A541246"/>
    <w:rsid w:val="3B0B7CC2"/>
    <w:rsid w:val="3C1F5239"/>
    <w:rsid w:val="3C826B6D"/>
    <w:rsid w:val="3C834E16"/>
    <w:rsid w:val="3CE232A1"/>
    <w:rsid w:val="3E0C32FF"/>
    <w:rsid w:val="3E254B56"/>
    <w:rsid w:val="3EAC7D34"/>
    <w:rsid w:val="3F6D58F2"/>
    <w:rsid w:val="3FA7438D"/>
    <w:rsid w:val="40526335"/>
    <w:rsid w:val="408708C6"/>
    <w:rsid w:val="40B32D3C"/>
    <w:rsid w:val="40D55FC1"/>
    <w:rsid w:val="42165935"/>
    <w:rsid w:val="42214C53"/>
    <w:rsid w:val="4224223B"/>
    <w:rsid w:val="42375BDE"/>
    <w:rsid w:val="42D95A64"/>
    <w:rsid w:val="42FA51D3"/>
    <w:rsid w:val="43075DC8"/>
    <w:rsid w:val="43B17D90"/>
    <w:rsid w:val="44CC2F1C"/>
    <w:rsid w:val="459D5052"/>
    <w:rsid w:val="45C47D8D"/>
    <w:rsid w:val="45E75709"/>
    <w:rsid w:val="463A5FFE"/>
    <w:rsid w:val="46770A39"/>
    <w:rsid w:val="46C603C0"/>
    <w:rsid w:val="46FE3916"/>
    <w:rsid w:val="485F5A2D"/>
    <w:rsid w:val="48764FF6"/>
    <w:rsid w:val="48E26672"/>
    <w:rsid w:val="490E096C"/>
    <w:rsid w:val="4910720E"/>
    <w:rsid w:val="492E0305"/>
    <w:rsid w:val="494F1608"/>
    <w:rsid w:val="4AE03396"/>
    <w:rsid w:val="4AE62AAE"/>
    <w:rsid w:val="4B0921FB"/>
    <w:rsid w:val="4BA267E9"/>
    <w:rsid w:val="4BD86D8D"/>
    <w:rsid w:val="4C01632E"/>
    <w:rsid w:val="4C331B03"/>
    <w:rsid w:val="4C504CF2"/>
    <w:rsid w:val="4C8C76CE"/>
    <w:rsid w:val="4CFB7112"/>
    <w:rsid w:val="4D2B6942"/>
    <w:rsid w:val="4D482242"/>
    <w:rsid w:val="4D602B6B"/>
    <w:rsid w:val="4DA24BDF"/>
    <w:rsid w:val="4DAA5044"/>
    <w:rsid w:val="4E616C3D"/>
    <w:rsid w:val="4E936D6F"/>
    <w:rsid w:val="4EF74BED"/>
    <w:rsid w:val="4FA450F9"/>
    <w:rsid w:val="4FDD71CE"/>
    <w:rsid w:val="50FF44A5"/>
    <w:rsid w:val="514029A7"/>
    <w:rsid w:val="51402E7D"/>
    <w:rsid w:val="51E01378"/>
    <w:rsid w:val="51F90549"/>
    <w:rsid w:val="52112A75"/>
    <w:rsid w:val="52281D83"/>
    <w:rsid w:val="53021A50"/>
    <w:rsid w:val="53E3498A"/>
    <w:rsid w:val="54533A36"/>
    <w:rsid w:val="54816FCD"/>
    <w:rsid w:val="54B35A61"/>
    <w:rsid w:val="54C622AA"/>
    <w:rsid w:val="54DA4E6B"/>
    <w:rsid w:val="54F8581B"/>
    <w:rsid w:val="551B0923"/>
    <w:rsid w:val="55664D9D"/>
    <w:rsid w:val="56360DA6"/>
    <w:rsid w:val="56893461"/>
    <w:rsid w:val="56FC12E0"/>
    <w:rsid w:val="575241F5"/>
    <w:rsid w:val="58867C79"/>
    <w:rsid w:val="589E64A1"/>
    <w:rsid w:val="58A21DAF"/>
    <w:rsid w:val="5918439C"/>
    <w:rsid w:val="59A47F88"/>
    <w:rsid w:val="59B3689E"/>
    <w:rsid w:val="59DC482A"/>
    <w:rsid w:val="5A352F51"/>
    <w:rsid w:val="5ABD0931"/>
    <w:rsid w:val="5B5E4E03"/>
    <w:rsid w:val="5B871FF5"/>
    <w:rsid w:val="5B8A674F"/>
    <w:rsid w:val="5BA94701"/>
    <w:rsid w:val="5BBC3C32"/>
    <w:rsid w:val="5BDA07F6"/>
    <w:rsid w:val="5BFB2B73"/>
    <w:rsid w:val="5CCA4DB2"/>
    <w:rsid w:val="5D307D59"/>
    <w:rsid w:val="5D5B4236"/>
    <w:rsid w:val="5D6448D7"/>
    <w:rsid w:val="5D85684A"/>
    <w:rsid w:val="5DBB6A4D"/>
    <w:rsid w:val="5DDD08B6"/>
    <w:rsid w:val="5DF07ECB"/>
    <w:rsid w:val="5E731AA7"/>
    <w:rsid w:val="5E7F1896"/>
    <w:rsid w:val="5EAB07C7"/>
    <w:rsid w:val="5F8C3876"/>
    <w:rsid w:val="5FE218F6"/>
    <w:rsid w:val="6153538F"/>
    <w:rsid w:val="61EC16EE"/>
    <w:rsid w:val="62E14735"/>
    <w:rsid w:val="630A013F"/>
    <w:rsid w:val="63DF696F"/>
    <w:rsid w:val="640A041F"/>
    <w:rsid w:val="64291F0A"/>
    <w:rsid w:val="64384F95"/>
    <w:rsid w:val="643A5DAD"/>
    <w:rsid w:val="64422923"/>
    <w:rsid w:val="64820305"/>
    <w:rsid w:val="64FA7634"/>
    <w:rsid w:val="64FC2F60"/>
    <w:rsid w:val="6500696C"/>
    <w:rsid w:val="6541152B"/>
    <w:rsid w:val="65441F93"/>
    <w:rsid w:val="65C629FA"/>
    <w:rsid w:val="65D469A4"/>
    <w:rsid w:val="65EE0C62"/>
    <w:rsid w:val="66E84C26"/>
    <w:rsid w:val="671A529D"/>
    <w:rsid w:val="676F4FF1"/>
    <w:rsid w:val="678767D7"/>
    <w:rsid w:val="67F667BA"/>
    <w:rsid w:val="68493A94"/>
    <w:rsid w:val="687C4C4A"/>
    <w:rsid w:val="68844BFE"/>
    <w:rsid w:val="68910BAB"/>
    <w:rsid w:val="68A06514"/>
    <w:rsid w:val="68E14B9D"/>
    <w:rsid w:val="69010F7C"/>
    <w:rsid w:val="69303956"/>
    <w:rsid w:val="69551FF4"/>
    <w:rsid w:val="6959390B"/>
    <w:rsid w:val="6A905B81"/>
    <w:rsid w:val="6B981E05"/>
    <w:rsid w:val="6D0936FF"/>
    <w:rsid w:val="6D0F055C"/>
    <w:rsid w:val="6D2650AA"/>
    <w:rsid w:val="6D545F9D"/>
    <w:rsid w:val="6D650477"/>
    <w:rsid w:val="6DAF7683"/>
    <w:rsid w:val="6DB34CEE"/>
    <w:rsid w:val="6DD43CD0"/>
    <w:rsid w:val="6DD57802"/>
    <w:rsid w:val="6E5A77CC"/>
    <w:rsid w:val="6E6D107E"/>
    <w:rsid w:val="6E9175C9"/>
    <w:rsid w:val="6EA712FB"/>
    <w:rsid w:val="6EE545FB"/>
    <w:rsid w:val="6F115FA3"/>
    <w:rsid w:val="6F4110B0"/>
    <w:rsid w:val="6F67333C"/>
    <w:rsid w:val="6F9603E0"/>
    <w:rsid w:val="6FA74C06"/>
    <w:rsid w:val="70166085"/>
    <w:rsid w:val="710A080E"/>
    <w:rsid w:val="71D465A4"/>
    <w:rsid w:val="721335B7"/>
    <w:rsid w:val="72C749B5"/>
    <w:rsid w:val="73521564"/>
    <w:rsid w:val="739E141C"/>
    <w:rsid w:val="73E12740"/>
    <w:rsid w:val="74A06B32"/>
    <w:rsid w:val="74E71794"/>
    <w:rsid w:val="74F61A28"/>
    <w:rsid w:val="75174EF0"/>
    <w:rsid w:val="75271EC7"/>
    <w:rsid w:val="756861B9"/>
    <w:rsid w:val="7593069C"/>
    <w:rsid w:val="75E94D61"/>
    <w:rsid w:val="760F6440"/>
    <w:rsid w:val="763216AE"/>
    <w:rsid w:val="77884403"/>
    <w:rsid w:val="782A5497"/>
    <w:rsid w:val="78744B90"/>
    <w:rsid w:val="78866844"/>
    <w:rsid w:val="790C7500"/>
    <w:rsid w:val="7964518E"/>
    <w:rsid w:val="79C41825"/>
    <w:rsid w:val="7AA064A2"/>
    <w:rsid w:val="7AA560F1"/>
    <w:rsid w:val="7AC12467"/>
    <w:rsid w:val="7B181812"/>
    <w:rsid w:val="7B214172"/>
    <w:rsid w:val="7B22333A"/>
    <w:rsid w:val="7B4302CD"/>
    <w:rsid w:val="7B88061D"/>
    <w:rsid w:val="7B9421BA"/>
    <w:rsid w:val="7C141288"/>
    <w:rsid w:val="7CF62216"/>
    <w:rsid w:val="7DBA117A"/>
    <w:rsid w:val="7E0C4283"/>
    <w:rsid w:val="7E121065"/>
    <w:rsid w:val="7E4F53C3"/>
    <w:rsid w:val="7EC07DE8"/>
    <w:rsid w:val="7F2D1569"/>
    <w:rsid w:val="7FDE549E"/>
    <w:rsid w:val="7FEB00A0"/>
    <w:rsid w:val="7FEB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link w:val="43"/>
    <w:qFormat/>
    <w:uiPriority w:val="0"/>
    <w:pPr>
      <w:keepNext/>
      <w:keepLines/>
      <w:spacing w:line="415" w:lineRule="auto"/>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line="376" w:lineRule="atLeast"/>
      <w:outlineLvl w:val="4"/>
    </w:pPr>
    <w:rPr>
      <w:b/>
      <w:kern w:val="0"/>
      <w:sz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Normal Indent"/>
    <w:basedOn w:val="1"/>
    <w:qFormat/>
    <w:uiPriority w:val="0"/>
    <w:pPr>
      <w:ind w:firstLine="420"/>
    </w:pPr>
  </w:style>
  <w:style w:type="paragraph" w:styleId="10">
    <w:name w:val="annotation text"/>
    <w:basedOn w:val="1"/>
    <w:link w:val="52"/>
    <w:semiHidden/>
    <w:unhideWhenUsed/>
    <w:qFormat/>
    <w:uiPriority w:val="0"/>
    <w:pPr>
      <w:jc w:val="left"/>
    </w:pPr>
  </w:style>
  <w:style w:type="paragraph" w:styleId="11">
    <w:name w:val="Body Text"/>
    <w:basedOn w:val="1"/>
    <w:next w:val="1"/>
    <w:qFormat/>
    <w:uiPriority w:val="0"/>
    <w:rPr>
      <w:b/>
      <w:sz w:val="28"/>
    </w:rPr>
  </w:style>
  <w:style w:type="paragraph" w:styleId="12">
    <w:name w:val="Body Text Indent"/>
    <w:basedOn w:val="1"/>
    <w:link w:val="39"/>
    <w:qFormat/>
    <w:uiPriority w:val="99"/>
    <w:pPr>
      <w:ind w:firstLine="420" w:firstLineChars="200"/>
    </w:pPr>
    <w:rPr>
      <w:rFonts w:ascii="Calibri" w:hAnsi="Calibri"/>
      <w:szCs w:val="24"/>
    </w:rPr>
  </w:style>
  <w:style w:type="paragraph" w:styleId="13">
    <w:name w:val="toc 3"/>
    <w:basedOn w:val="1"/>
    <w:next w:val="1"/>
    <w:semiHidden/>
    <w:unhideWhenUsed/>
    <w:qFormat/>
    <w:uiPriority w:val="0"/>
    <w:pPr>
      <w:ind w:left="840" w:leftChars="400"/>
    </w:pPr>
  </w:style>
  <w:style w:type="paragraph" w:styleId="14">
    <w:name w:val="Plain Text"/>
    <w:basedOn w:val="1"/>
    <w:next w:val="1"/>
    <w:qFormat/>
    <w:uiPriority w:val="0"/>
    <w:rPr>
      <w:rFonts w:hint="eastAsia" w:ascii="宋体" w:hAnsi="Courier New"/>
      <w:sz w:val="24"/>
    </w:rPr>
  </w:style>
  <w:style w:type="paragraph" w:styleId="15">
    <w:name w:val="Balloon Text"/>
    <w:basedOn w:val="1"/>
    <w:link w:val="44"/>
    <w:qFormat/>
    <w:uiPriority w:val="0"/>
    <w:rPr>
      <w:sz w:val="18"/>
      <w:szCs w:val="18"/>
    </w:rPr>
  </w:style>
  <w:style w:type="paragraph" w:styleId="16">
    <w:name w:val="footer"/>
    <w:basedOn w:val="1"/>
    <w:link w:val="42"/>
    <w:qFormat/>
    <w:uiPriority w:val="0"/>
    <w:pPr>
      <w:tabs>
        <w:tab w:val="center" w:pos="4153"/>
        <w:tab w:val="right" w:pos="8306"/>
      </w:tabs>
      <w:snapToGrid w:val="0"/>
      <w:jc w:val="left"/>
    </w:pPr>
    <w:rPr>
      <w:sz w:val="18"/>
    </w:rPr>
  </w:style>
  <w:style w:type="paragraph" w:styleId="17">
    <w:name w:val="header"/>
    <w:basedOn w:val="1"/>
    <w:link w:val="4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8">
    <w:name w:val="toc 1"/>
    <w:basedOn w:val="1"/>
    <w:next w:val="1"/>
    <w:qFormat/>
    <w:uiPriority w:val="39"/>
    <w:pPr>
      <w:jc w:val="left"/>
    </w:pPr>
    <w:rPr>
      <w:b/>
      <w:bCs/>
      <w:caps/>
      <w:sz w:val="20"/>
    </w:rPr>
  </w:style>
  <w:style w:type="paragraph" w:styleId="19">
    <w:name w:val="toc 2"/>
    <w:basedOn w:val="1"/>
    <w:next w:val="1"/>
    <w:qFormat/>
    <w:uiPriority w:val="39"/>
    <w:pPr>
      <w:ind w:left="210"/>
      <w:jc w:val="left"/>
    </w:pPr>
    <w:rPr>
      <w:smallCaps/>
      <w:sz w:val="20"/>
    </w:rPr>
  </w:style>
  <w:style w:type="paragraph" w:styleId="20">
    <w:name w:val="Normal (Web)"/>
    <w:basedOn w:val="1"/>
    <w:qFormat/>
    <w:uiPriority w:val="99"/>
    <w:pPr>
      <w:widowControl/>
      <w:spacing w:beforeAutospacing="1"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等线 Light" w:hAnsi="等线 Light"/>
      <w:b/>
      <w:bCs/>
      <w:sz w:val="32"/>
      <w:szCs w:val="32"/>
    </w:rPr>
  </w:style>
  <w:style w:type="paragraph" w:styleId="22">
    <w:name w:val="annotation subject"/>
    <w:basedOn w:val="10"/>
    <w:next w:val="10"/>
    <w:link w:val="53"/>
    <w:semiHidden/>
    <w:unhideWhenUsed/>
    <w:qFormat/>
    <w:uiPriority w:val="0"/>
    <w:rPr>
      <w:b/>
      <w:bCs/>
    </w:rPr>
  </w:style>
  <w:style w:type="paragraph" w:styleId="23">
    <w:name w:val="Body Text First Indent"/>
    <w:basedOn w:val="11"/>
    <w:next w:val="24"/>
    <w:qFormat/>
    <w:uiPriority w:val="0"/>
    <w:pPr>
      <w:adjustRightInd w:val="0"/>
      <w:ind w:firstLine="420"/>
      <w:jc w:val="left"/>
      <w:textAlignment w:val="baseline"/>
    </w:pPr>
    <w:rPr>
      <w:b w:val="0"/>
      <w:kern w:val="0"/>
      <w:sz w:val="21"/>
    </w:rPr>
  </w:style>
  <w:style w:type="paragraph" w:styleId="24">
    <w:name w:val="Body Text First Indent 2"/>
    <w:basedOn w:val="12"/>
    <w:next w:val="1"/>
    <w:link w:val="40"/>
    <w:qFormat/>
    <w:uiPriority w:val="99"/>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2"/>
    <w:rPr>
      <w:b/>
    </w:rPr>
  </w:style>
  <w:style w:type="character" w:styleId="29">
    <w:name w:val="page number"/>
    <w:basedOn w:val="27"/>
    <w:qFormat/>
    <w:uiPriority w:val="0"/>
  </w:style>
  <w:style w:type="character" w:styleId="30">
    <w:name w:val="FollowedHyperlink"/>
    <w:basedOn w:val="27"/>
    <w:semiHidden/>
    <w:unhideWhenUsed/>
    <w:qFormat/>
    <w:uiPriority w:val="0"/>
    <w:rPr>
      <w:color w:val="800080"/>
      <w:u w:val="none"/>
    </w:rPr>
  </w:style>
  <w:style w:type="character" w:styleId="31">
    <w:name w:val="Emphasis"/>
    <w:basedOn w:val="27"/>
    <w:qFormat/>
    <w:uiPriority w:val="0"/>
  </w:style>
  <w:style w:type="character" w:styleId="32">
    <w:name w:val="Hyperlink"/>
    <w:qFormat/>
    <w:uiPriority w:val="99"/>
    <w:rPr>
      <w:color w:val="333333"/>
      <w:u w:val="none"/>
    </w:rPr>
  </w:style>
  <w:style w:type="character" w:styleId="33">
    <w:name w:val="annotation reference"/>
    <w:basedOn w:val="27"/>
    <w:semiHidden/>
    <w:unhideWhenUsed/>
    <w:qFormat/>
    <w:uiPriority w:val="0"/>
    <w:rPr>
      <w:sz w:val="21"/>
      <w:szCs w:val="21"/>
    </w:r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_Style 6"/>
    <w:basedOn w:val="3"/>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6">
    <w:name w:val="列出段落1"/>
    <w:basedOn w:val="1"/>
    <w:qFormat/>
    <w:uiPriority w:val="0"/>
    <w:pPr>
      <w:ind w:firstLine="420" w:firstLineChars="200"/>
    </w:pPr>
    <w:rPr>
      <w:szCs w:val="24"/>
    </w:rPr>
  </w:style>
  <w:style w:type="paragraph" w:customStyle="1" w:styleId="3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8">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9">
    <w:name w:val="正文文本缩进 Char"/>
    <w:basedOn w:val="27"/>
    <w:link w:val="12"/>
    <w:qFormat/>
    <w:uiPriority w:val="99"/>
    <w:rPr>
      <w:rFonts w:ascii="Calibri" w:hAnsi="Calibri" w:eastAsia="宋体" w:cs="Times New Roman"/>
      <w:kern w:val="2"/>
      <w:sz w:val="21"/>
      <w:szCs w:val="24"/>
    </w:rPr>
  </w:style>
  <w:style w:type="character" w:customStyle="1" w:styleId="40">
    <w:name w:val="正文首行缩进 2 Char"/>
    <w:basedOn w:val="39"/>
    <w:link w:val="24"/>
    <w:qFormat/>
    <w:uiPriority w:val="99"/>
    <w:rPr>
      <w:rFonts w:ascii="Calibri" w:hAnsi="Calibri" w:eastAsia="宋体" w:cs="Times New Roman"/>
      <w:kern w:val="2"/>
      <w:sz w:val="21"/>
      <w:szCs w:val="24"/>
    </w:rPr>
  </w:style>
  <w:style w:type="character" w:customStyle="1" w:styleId="41">
    <w:name w:val="页眉 Char"/>
    <w:basedOn w:val="27"/>
    <w:link w:val="17"/>
    <w:qFormat/>
    <w:uiPriority w:val="0"/>
    <w:rPr>
      <w:rFonts w:ascii="Times New Roman" w:hAnsi="Times New Roman" w:eastAsia="宋体" w:cs="Times New Roman"/>
      <w:sz w:val="18"/>
    </w:rPr>
  </w:style>
  <w:style w:type="character" w:customStyle="1" w:styleId="42">
    <w:name w:val="页脚 Char"/>
    <w:basedOn w:val="27"/>
    <w:link w:val="16"/>
    <w:qFormat/>
    <w:uiPriority w:val="0"/>
    <w:rPr>
      <w:rFonts w:ascii="Times New Roman" w:hAnsi="Times New Roman" w:eastAsia="宋体" w:cs="Times New Roman"/>
      <w:kern w:val="2"/>
      <w:sz w:val="18"/>
    </w:rPr>
  </w:style>
  <w:style w:type="character" w:customStyle="1" w:styleId="43">
    <w:name w:val="标题 2 Char"/>
    <w:link w:val="4"/>
    <w:qFormat/>
    <w:uiPriority w:val="0"/>
    <w:rPr>
      <w:rFonts w:ascii="Arial" w:hAnsi="Arial" w:eastAsia="黑体"/>
      <w:b/>
      <w:sz w:val="32"/>
    </w:rPr>
  </w:style>
  <w:style w:type="character" w:customStyle="1" w:styleId="44">
    <w:name w:val="批注框文本 Char"/>
    <w:basedOn w:val="27"/>
    <w:link w:val="15"/>
    <w:qFormat/>
    <w:uiPriority w:val="0"/>
    <w:rPr>
      <w:kern w:val="2"/>
      <w:sz w:val="18"/>
      <w:szCs w:val="18"/>
    </w:rPr>
  </w:style>
  <w:style w:type="character" w:customStyle="1" w:styleId="45">
    <w:name w:val="beforeinfotext"/>
    <w:basedOn w:val="27"/>
    <w:qFormat/>
    <w:uiPriority w:val="0"/>
    <w:rPr>
      <w:color w:val="666666"/>
    </w:rPr>
  </w:style>
  <w:style w:type="paragraph" w:customStyle="1" w:styleId="46">
    <w:name w:val="title12"/>
    <w:basedOn w:val="1"/>
    <w:qFormat/>
    <w:uiPriority w:val="0"/>
    <w:pPr>
      <w:spacing w:before="100"/>
      <w:jc w:val="left"/>
    </w:pPr>
    <w:rPr>
      <w:b/>
      <w:kern w:val="0"/>
      <w:sz w:val="15"/>
      <w:szCs w:val="15"/>
    </w:rPr>
  </w:style>
  <w:style w:type="character" w:customStyle="1" w:styleId="47">
    <w:name w:val="number"/>
    <w:basedOn w:val="27"/>
    <w:qFormat/>
    <w:uiPriority w:val="0"/>
    <w:rPr>
      <w:color w:val="FF8833"/>
      <w:sz w:val="12"/>
      <w:szCs w:val="12"/>
    </w:rPr>
  </w:style>
  <w:style w:type="character" w:customStyle="1" w:styleId="48">
    <w:name w:val="proollist"/>
    <w:basedOn w:val="27"/>
    <w:qFormat/>
    <w:uiPriority w:val="0"/>
  </w:style>
  <w:style w:type="character" w:customStyle="1" w:styleId="49">
    <w:name w:val="phone"/>
    <w:basedOn w:val="27"/>
    <w:qFormat/>
    <w:uiPriority w:val="0"/>
    <w:rPr>
      <w:color w:val="FF8833"/>
      <w:sz w:val="12"/>
      <w:szCs w:val="12"/>
    </w:rPr>
  </w:style>
  <w:style w:type="character" w:customStyle="1" w:styleId="50">
    <w:name w:val="stclosebtn"/>
    <w:basedOn w:val="27"/>
    <w:qFormat/>
    <w:uiPriority w:val="0"/>
  </w:style>
  <w:style w:type="paragraph" w:customStyle="1" w:styleId="51">
    <w:name w:val="正文缩进1"/>
    <w:basedOn w:val="1"/>
    <w:qFormat/>
    <w:uiPriority w:val="0"/>
    <w:pPr>
      <w:autoSpaceDE w:val="0"/>
      <w:autoSpaceDN w:val="0"/>
      <w:adjustRightInd w:val="0"/>
      <w:ind w:firstLine="420"/>
      <w:jc w:val="left"/>
    </w:pPr>
    <w:rPr>
      <w:rFonts w:ascii="宋体"/>
      <w:kern w:val="0"/>
      <w:sz w:val="24"/>
    </w:rPr>
  </w:style>
  <w:style w:type="character" w:customStyle="1" w:styleId="52">
    <w:name w:val="批注文字 Char"/>
    <w:basedOn w:val="27"/>
    <w:link w:val="10"/>
    <w:semiHidden/>
    <w:qFormat/>
    <w:uiPriority w:val="0"/>
    <w:rPr>
      <w:kern w:val="2"/>
      <w:sz w:val="21"/>
    </w:rPr>
  </w:style>
  <w:style w:type="character" w:customStyle="1" w:styleId="53">
    <w:name w:val="批注主题 Char"/>
    <w:basedOn w:val="52"/>
    <w:link w:val="22"/>
    <w:semiHidden/>
    <w:qFormat/>
    <w:uiPriority w:val="0"/>
    <w:rPr>
      <w:b/>
      <w:bCs/>
      <w:kern w:val="2"/>
      <w:sz w:val="21"/>
    </w:rPr>
  </w:style>
  <w:style w:type="character" w:customStyle="1" w:styleId="54">
    <w:name w:val="font21"/>
    <w:basedOn w:val="27"/>
    <w:qFormat/>
    <w:uiPriority w:val="0"/>
    <w:rPr>
      <w:rFonts w:hint="eastAsia" w:ascii="宋体" w:hAnsi="宋体" w:eastAsia="宋体" w:cs="宋体"/>
      <w:color w:val="000000"/>
      <w:sz w:val="20"/>
      <w:szCs w:val="20"/>
      <w:u w:val="none"/>
    </w:rPr>
  </w:style>
  <w:style w:type="character" w:customStyle="1" w:styleId="55">
    <w:name w:val="font31"/>
    <w:basedOn w:val="27"/>
    <w:qFormat/>
    <w:uiPriority w:val="0"/>
    <w:rPr>
      <w:rFonts w:hint="eastAsia" w:ascii="宋体" w:hAnsi="宋体" w:eastAsia="宋体" w:cs="宋体"/>
      <w:b/>
      <w:bCs/>
      <w:color w:val="000000"/>
      <w:sz w:val="20"/>
      <w:szCs w:val="20"/>
      <w:u w:val="none"/>
    </w:rPr>
  </w:style>
  <w:style w:type="paragraph" w:styleId="56">
    <w:name w:val="List Paragraph"/>
    <w:basedOn w:val="1"/>
    <w:qFormat/>
    <w:uiPriority w:val="34"/>
    <w:pPr>
      <w:ind w:firstLine="420" w:firstLineChars="200"/>
    </w:pPr>
    <w:rPr>
      <w:rFonts w:ascii="Calibri" w:hAnsi="Calibri" w:eastAsia="宋体" w:cs="Times New Roman"/>
    </w:rPr>
  </w:style>
  <w:style w:type="paragraph" w:customStyle="1" w:styleId="57">
    <w:name w:val="p0"/>
    <w:basedOn w:val="1"/>
    <w:qFormat/>
    <w:uiPriority w:val="0"/>
    <w:pPr>
      <w:widowControl/>
    </w:pPr>
    <w:rPr>
      <w:rFonts w:ascii="Times New Roman" w:hAnsi="Times New Roman" w:eastAsia="宋体" w:cs="Times New Roman"/>
      <w:kern w:val="0"/>
      <w:szCs w:val="21"/>
    </w:rPr>
  </w:style>
  <w:style w:type="character" w:customStyle="1" w:styleId="58">
    <w:name w:val="font71"/>
    <w:basedOn w:val="27"/>
    <w:qFormat/>
    <w:uiPriority w:val="0"/>
    <w:rPr>
      <w:rFonts w:hint="eastAsia" w:ascii="宋体" w:hAnsi="宋体" w:eastAsia="宋体" w:cs="宋体"/>
      <w:color w:val="000000"/>
      <w:sz w:val="28"/>
      <w:szCs w:val="28"/>
      <w:u w:val="single"/>
    </w:rPr>
  </w:style>
  <w:style w:type="paragraph" w:customStyle="1" w:styleId="59">
    <w:name w:val="列出段落3"/>
    <w:basedOn w:val="1"/>
    <w:qFormat/>
    <w:uiPriority w:val="34"/>
    <w:pPr>
      <w:ind w:firstLine="420" w:firstLineChars="200"/>
    </w:pPr>
    <w:rPr>
      <w:rFonts w:ascii="Calibri" w:hAnsi="Calibri"/>
      <w:szCs w:val="22"/>
    </w:rPr>
  </w:style>
  <w:style w:type="paragraph" w:styleId="60">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2">
    <w:name w:val="font41"/>
    <w:basedOn w:val="27"/>
    <w:qFormat/>
    <w:uiPriority w:val="0"/>
    <w:rPr>
      <w:rFonts w:hint="eastAsia" w:ascii="宋体" w:hAnsi="宋体" w:eastAsia="宋体" w:cs="宋体"/>
      <w:color w:val="FF0000"/>
      <w:sz w:val="16"/>
      <w:szCs w:val="16"/>
      <w:u w:val="none"/>
    </w:rPr>
  </w:style>
  <w:style w:type="paragraph" w:customStyle="1" w:styleId="63">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 w:type="character" w:customStyle="1" w:styleId="64">
    <w:name w:val="font51"/>
    <w:qFormat/>
    <w:uiPriority w:val="0"/>
    <w:rPr>
      <w:rFonts w:hint="eastAsia" w:ascii="宋体" w:hAnsi="宋体" w:eastAsia="宋体" w:cs="宋体"/>
      <w:color w:val="FF0000"/>
      <w:sz w:val="16"/>
      <w:szCs w:val="16"/>
      <w:u w:val="none"/>
    </w:rPr>
  </w:style>
  <w:style w:type="character" w:customStyle="1" w:styleId="65">
    <w:name w:val="font01"/>
    <w:qFormat/>
    <w:uiPriority w:val="0"/>
    <w:rPr>
      <w:rFonts w:hint="eastAsia" w:ascii="宋体" w:hAnsi="宋体" w:eastAsia="宋体" w:cs="宋体"/>
      <w:color w:val="000000"/>
      <w:sz w:val="16"/>
      <w:szCs w:val="16"/>
      <w:u w:val="none"/>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44891</Words>
  <Characters>49590</Characters>
  <Lines>273</Lines>
  <Paragraphs>76</Paragraphs>
  <TotalTime>30</TotalTime>
  <ScaleCrop>false</ScaleCrop>
  <LinksUpToDate>false</LinksUpToDate>
  <CharactersWithSpaces>52761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晓慧</cp:lastModifiedBy>
  <cp:lastPrinted>2022-08-17T09:50:38Z</cp:lastPrinted>
  <dcterms:modified xsi:type="dcterms:W3CDTF">2022-08-17T09:50:56Z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65CA5AA266E74DE3B2B395617CE1DB9D</vt:lpwstr>
  </property>
</Properties>
</file>