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采购项目编号：</w:t>
      </w:r>
      <w:r>
        <w:rPr>
          <w:rFonts w:hint="eastAsia" w:ascii="仿宋_GB2312" w:hAnsi="仿宋_GB2312" w:eastAsia="仿宋_GB2312" w:cs="仿宋_GB2312"/>
          <w:b/>
          <w:bCs/>
          <w:color w:val="auto"/>
          <w:sz w:val="30"/>
          <w:szCs w:val="30"/>
          <w:highlight w:val="none"/>
          <w:lang w:val="en-US" w:eastAsia="zh-CN"/>
        </w:rPr>
        <w:t>XHZB2022-CS-016/001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
      <w:pPr>
        <w:tabs>
          <w:tab w:val="left" w:pos="5670"/>
        </w:tabs>
        <w:autoSpaceDE w:val="0"/>
        <w:autoSpaceDN w:val="0"/>
        <w:adjustRightInd w:val="0"/>
        <w:snapToGrid w:val="0"/>
        <w:spacing w:line="360" w:lineRule="auto"/>
        <w:jc w:val="center"/>
        <w:rPr>
          <w:rFonts w:hint="eastAsia" w:asciiTheme="majorEastAsia" w:hAnsiTheme="majorEastAsia" w:eastAsiaTheme="majorEastAsia" w:cstheme="majorEastAsia"/>
          <w:b/>
          <w:bCs/>
          <w:color w:val="auto"/>
          <w:sz w:val="44"/>
          <w:szCs w:val="44"/>
          <w:highlight w:val="none"/>
          <w:lang w:eastAsia="zh-CN"/>
        </w:rPr>
      </w:pPr>
      <w:r>
        <w:rPr>
          <w:rFonts w:hint="eastAsia" w:asciiTheme="majorEastAsia" w:hAnsiTheme="majorEastAsia" w:eastAsiaTheme="majorEastAsia" w:cstheme="majorEastAsia"/>
          <w:b/>
          <w:bCs/>
          <w:color w:val="auto"/>
          <w:sz w:val="44"/>
          <w:szCs w:val="44"/>
          <w:highlight w:val="none"/>
          <w:lang w:val="en-US" w:eastAsia="zh-CN"/>
        </w:rPr>
        <w:t>耀州区电子商务进农村综合示范公共服务中心升级改造与运营项目</w:t>
      </w:r>
    </w:p>
    <w:p>
      <w:pPr>
        <w:tabs>
          <w:tab w:val="left" w:pos="5670"/>
        </w:tabs>
        <w:autoSpaceDE w:val="0"/>
        <w:autoSpaceDN w:val="0"/>
        <w:adjustRightInd w:val="0"/>
        <w:snapToGrid w:val="0"/>
        <w:spacing w:line="360" w:lineRule="auto"/>
        <w:jc w:val="center"/>
        <w:rPr>
          <w:rFonts w:hint="eastAsia" w:asciiTheme="majorEastAsia" w:hAnsiTheme="majorEastAsia" w:eastAsiaTheme="majorEastAsia" w:cstheme="majorEastAsia"/>
          <w:b/>
          <w:bCs/>
          <w:color w:val="auto"/>
          <w:sz w:val="52"/>
          <w:szCs w:val="52"/>
          <w:highlight w:val="none"/>
          <w:lang w:val="zh-CN"/>
        </w:rPr>
      </w:pPr>
    </w:p>
    <w:p>
      <w:pPr>
        <w:tabs>
          <w:tab w:val="left" w:pos="5670"/>
        </w:tabs>
        <w:autoSpaceDE w:val="0"/>
        <w:autoSpaceDN w:val="0"/>
        <w:adjustRightInd w:val="0"/>
        <w:snapToGrid w:val="0"/>
        <w:spacing w:line="360" w:lineRule="auto"/>
        <w:jc w:val="center"/>
        <w:rPr>
          <w:rFonts w:hint="eastAsia" w:asciiTheme="majorEastAsia" w:hAnsiTheme="majorEastAsia" w:eastAsiaTheme="majorEastAsia" w:cstheme="majorEastAsia"/>
          <w:color w:val="auto"/>
          <w:sz w:val="50"/>
          <w:szCs w:val="50"/>
          <w:highlight w:val="none"/>
        </w:rPr>
      </w:pPr>
      <w:r>
        <w:rPr>
          <w:rFonts w:hint="eastAsia" w:asciiTheme="majorEastAsia" w:hAnsiTheme="majorEastAsia" w:eastAsiaTheme="majorEastAsia" w:cstheme="majorEastAsia"/>
          <w:b/>
          <w:bCs/>
          <w:color w:val="auto"/>
          <w:sz w:val="52"/>
          <w:szCs w:val="52"/>
          <w:highlight w:val="none"/>
          <w:lang w:val="zh-CN"/>
        </w:rPr>
        <w:t>竞争性磋商文件</w:t>
      </w:r>
    </w:p>
    <w:p>
      <w:pPr>
        <w:pStyle w:val="6"/>
        <w:rPr>
          <w:rFonts w:ascii="仿宋_GB2312" w:hAnsi="仿宋_GB2312" w:eastAsia="仿宋_GB2312" w:cs="仿宋_GB2312"/>
          <w:b/>
          <w:bCs/>
          <w:color w:val="auto"/>
          <w:sz w:val="30"/>
          <w:szCs w:val="30"/>
          <w:highlight w:val="none"/>
        </w:rPr>
      </w:pPr>
    </w:p>
    <w:p>
      <w:pPr>
        <w:rPr>
          <w:rFonts w:ascii="仿宋_GB2312" w:hAnsi="仿宋_GB2312" w:eastAsia="仿宋_GB2312" w:cs="仿宋_GB2312"/>
          <w:b/>
          <w:bCs/>
          <w:color w:val="auto"/>
          <w:sz w:val="30"/>
          <w:szCs w:val="30"/>
          <w:highlight w:val="none"/>
        </w:rPr>
      </w:pPr>
    </w:p>
    <w:p>
      <w:pPr>
        <w:pStyle w:val="6"/>
        <w:rPr>
          <w:rFonts w:ascii="仿宋_GB2312" w:hAnsi="仿宋_GB2312" w:eastAsia="仿宋_GB2312" w:cs="仿宋_GB2312"/>
          <w:b/>
          <w:bCs/>
          <w:color w:val="auto"/>
          <w:sz w:val="30"/>
          <w:szCs w:val="30"/>
          <w:highlight w:val="none"/>
        </w:rPr>
      </w:pPr>
    </w:p>
    <w:p>
      <w:pPr>
        <w:pStyle w:val="6"/>
        <w:rPr>
          <w:rFonts w:ascii="仿宋_GB2312" w:hAnsi="仿宋_GB2312" w:eastAsia="仿宋_GB2312" w:cs="仿宋_GB2312"/>
          <w:b/>
          <w:bCs/>
          <w:color w:val="auto"/>
          <w:sz w:val="30"/>
          <w:szCs w:val="30"/>
          <w:highlight w:val="none"/>
        </w:rPr>
      </w:pPr>
    </w:p>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ab/>
      </w:r>
      <w:bookmarkStart w:id="515" w:name="_GoBack"/>
      <w:bookmarkEnd w:id="515"/>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ind w:firstLine="643" w:firstLineChars="200"/>
        <w:jc w:val="left"/>
        <w:rPr>
          <w:rFonts w:eastAsia="楷体_GB2312"/>
          <w:b/>
          <w:bCs/>
          <w:sz w:val="32"/>
          <w:szCs w:val="32"/>
          <w:lang w:val="zh-CN"/>
        </w:rPr>
      </w:pPr>
      <w:r>
        <w:rPr>
          <w:rFonts w:hint="eastAsia" w:eastAsia="楷体_GB2312"/>
          <w:b/>
          <w:bCs/>
          <w:sz w:val="32"/>
          <w:szCs w:val="32"/>
          <w:lang w:val="zh-CN"/>
        </w:rPr>
        <w:t>采</w:t>
      </w:r>
      <w:r>
        <w:rPr>
          <w:rFonts w:hint="eastAsia" w:eastAsia="楷体_GB2312"/>
          <w:b/>
          <w:bCs/>
          <w:sz w:val="32"/>
          <w:szCs w:val="32"/>
          <w:lang w:val="en-US" w:eastAsia="zh-CN"/>
        </w:rPr>
        <w:t xml:space="preserve">   </w:t>
      </w:r>
      <w:r>
        <w:rPr>
          <w:rFonts w:hint="eastAsia" w:eastAsia="楷体_GB2312"/>
          <w:b/>
          <w:bCs/>
          <w:sz w:val="32"/>
          <w:szCs w:val="32"/>
          <w:lang w:val="zh-CN"/>
        </w:rPr>
        <w:t>购</w:t>
      </w:r>
      <w:r>
        <w:rPr>
          <w:rFonts w:hint="eastAsia" w:eastAsia="楷体_GB2312"/>
          <w:b/>
          <w:bCs/>
          <w:sz w:val="32"/>
          <w:szCs w:val="32"/>
          <w:lang w:val="en-US" w:eastAsia="zh-CN"/>
        </w:rPr>
        <w:t xml:space="preserve">   </w:t>
      </w:r>
      <w:r>
        <w:rPr>
          <w:rFonts w:hint="eastAsia" w:eastAsia="楷体_GB2312"/>
          <w:b/>
          <w:bCs/>
          <w:sz w:val="32"/>
          <w:szCs w:val="32"/>
          <w:lang w:val="zh-CN"/>
        </w:rPr>
        <w:t>人：铜川市耀州区经济贸易局</w:t>
      </w:r>
    </w:p>
    <w:p>
      <w:pPr>
        <w:tabs>
          <w:tab w:val="left" w:pos="5670"/>
        </w:tabs>
        <w:autoSpaceDE w:val="0"/>
        <w:autoSpaceDN w:val="0"/>
        <w:adjustRightInd w:val="0"/>
        <w:snapToGrid w:val="0"/>
        <w:spacing w:line="360" w:lineRule="auto"/>
        <w:ind w:firstLine="643" w:firstLineChars="200"/>
        <w:jc w:val="left"/>
        <w:rPr>
          <w:rFonts w:eastAsia="楷体_GB2312"/>
          <w:b/>
          <w:bCs/>
          <w:sz w:val="32"/>
          <w:szCs w:val="32"/>
          <w:lang w:val="zh-CN"/>
        </w:rPr>
      </w:pPr>
    </w:p>
    <w:p>
      <w:pPr>
        <w:tabs>
          <w:tab w:val="left" w:pos="5670"/>
        </w:tabs>
        <w:autoSpaceDE w:val="0"/>
        <w:autoSpaceDN w:val="0"/>
        <w:adjustRightInd w:val="0"/>
        <w:snapToGrid w:val="0"/>
        <w:spacing w:line="360" w:lineRule="auto"/>
        <w:ind w:firstLine="643" w:firstLineChars="200"/>
        <w:jc w:val="left"/>
        <w:rPr>
          <w:rFonts w:hint="default" w:eastAsia="楷体_GB2312"/>
          <w:b/>
          <w:bCs/>
          <w:sz w:val="32"/>
          <w:szCs w:val="32"/>
          <w:lang w:val="en-US" w:eastAsia="zh-CN"/>
        </w:rPr>
      </w:pPr>
      <w:r>
        <w:rPr>
          <w:rFonts w:eastAsia="楷体_GB2312"/>
          <w:b/>
          <w:bCs/>
          <w:sz w:val="32"/>
          <w:szCs w:val="32"/>
          <w:lang w:val="zh-CN"/>
        </w:rPr>
        <w:t>采购代理机构</w:t>
      </w:r>
      <w:r>
        <w:rPr>
          <w:rFonts w:hint="eastAsia" w:eastAsia="楷体_GB2312"/>
          <w:b/>
          <w:bCs/>
          <w:sz w:val="32"/>
          <w:szCs w:val="32"/>
          <w:lang w:val="zh-CN"/>
        </w:rPr>
        <w:t>：</w:t>
      </w:r>
      <w:r>
        <w:rPr>
          <w:rFonts w:eastAsia="楷体_GB2312"/>
          <w:b/>
          <w:bCs/>
          <w:sz w:val="32"/>
          <w:szCs w:val="32"/>
          <w:lang w:val="zh-CN"/>
        </w:rPr>
        <w:t>陕西</w:t>
      </w:r>
      <w:r>
        <w:rPr>
          <w:rFonts w:hint="eastAsia" w:eastAsia="楷体_GB2312"/>
          <w:b/>
          <w:bCs/>
          <w:sz w:val="32"/>
          <w:szCs w:val="32"/>
          <w:lang w:val="en-US" w:eastAsia="zh-CN"/>
        </w:rPr>
        <w:t>星火工程管理有限公司</w:t>
      </w:r>
    </w:p>
    <w:p>
      <w:pPr>
        <w:tabs>
          <w:tab w:val="left" w:pos="5460"/>
        </w:tabs>
        <w:autoSpaceDE w:val="0"/>
        <w:autoSpaceDN w:val="0"/>
        <w:adjustRightInd w:val="0"/>
        <w:snapToGrid w:val="0"/>
        <w:spacing w:line="360" w:lineRule="auto"/>
        <w:jc w:val="center"/>
        <w:rPr>
          <w:rFonts w:hint="eastAsia" w:eastAsia="楷体_GB2312"/>
          <w:b/>
          <w:bCs/>
          <w:sz w:val="32"/>
          <w:szCs w:val="32"/>
          <w:lang w:val="zh-CN"/>
        </w:rPr>
      </w:pPr>
    </w:p>
    <w:p>
      <w:pPr>
        <w:tabs>
          <w:tab w:val="left" w:pos="5460"/>
        </w:tabs>
        <w:autoSpaceDE w:val="0"/>
        <w:autoSpaceDN w:val="0"/>
        <w:adjustRightInd w:val="0"/>
        <w:snapToGrid w:val="0"/>
        <w:spacing w:line="360" w:lineRule="auto"/>
        <w:jc w:val="center"/>
        <w:rPr>
          <w:rFonts w:hint="eastAsia" w:eastAsia="楷体_GB2312"/>
          <w:b/>
          <w:bCs/>
          <w:sz w:val="32"/>
          <w:szCs w:val="32"/>
        </w:rPr>
      </w:pPr>
      <w:r>
        <w:rPr>
          <w:rFonts w:eastAsia="楷体_GB2312"/>
          <w:b/>
          <w:bCs/>
          <w:sz w:val="32"/>
          <w:szCs w:val="32"/>
          <w:lang w:val="zh-CN"/>
        </w:rPr>
        <w:t>二〇二</w:t>
      </w:r>
      <w:r>
        <w:rPr>
          <w:rFonts w:hint="eastAsia" w:eastAsia="楷体_GB2312"/>
          <w:b/>
          <w:bCs/>
          <w:sz w:val="32"/>
          <w:szCs w:val="32"/>
          <w:lang w:val="zh-CN"/>
        </w:rPr>
        <w:t>二</w:t>
      </w:r>
      <w:r>
        <w:rPr>
          <w:rFonts w:eastAsia="楷体_GB2312"/>
          <w:b/>
          <w:bCs/>
          <w:sz w:val="32"/>
          <w:szCs w:val="32"/>
          <w:lang w:val="zh-CN"/>
        </w:rPr>
        <w:t>年</w:t>
      </w:r>
      <w:r>
        <w:rPr>
          <w:rFonts w:hint="eastAsia" w:eastAsia="楷体_GB2312"/>
          <w:b/>
          <w:bCs/>
          <w:sz w:val="32"/>
          <w:szCs w:val="32"/>
          <w:lang w:val="zh-CN"/>
        </w:rPr>
        <w:t>六</w:t>
      </w:r>
      <w:r>
        <w:rPr>
          <w:rFonts w:eastAsia="楷体_GB2312"/>
          <w:b/>
          <w:bCs/>
          <w:sz w:val="32"/>
          <w:szCs w:val="32"/>
          <w:lang w:val="zh-CN"/>
        </w:rPr>
        <w:t>月</w:t>
      </w:r>
    </w:p>
    <w:p>
      <w:pPr>
        <w:pStyle w:val="15"/>
        <w:ind w:firstLine="0" w:firstLineChars="0"/>
        <w:jc w:val="center"/>
        <w:rPr>
          <w:rFonts w:hint="eastAsia" w:ascii="仿宋_GB2312" w:hAnsi="仿宋_GB2312" w:eastAsia="仿宋_GB2312" w:cs="仿宋_GB2312"/>
          <w:b/>
          <w:color w:val="auto"/>
          <w:sz w:val="32"/>
          <w:szCs w:val="32"/>
          <w:highlight w:val="none"/>
        </w:rPr>
        <w:sectPr>
          <w:headerReference r:id="rId4" w:type="first"/>
          <w:headerReference r:id="rId3" w:type="default"/>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pStyle w:val="15"/>
        <w:ind w:firstLine="0" w:firstLineChars="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目  录</w:t>
      </w:r>
    </w:p>
    <w:p>
      <w:pPr>
        <w:pStyle w:val="37"/>
        <w:tabs>
          <w:tab w:val="right" w:leader="dot" w:pos="8300"/>
          <w:tab w:val="clear" w:pos="9344"/>
        </w:tabs>
        <w:rPr>
          <w:rFonts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olor w:val="auto"/>
          <w:sz w:val="28"/>
          <w:szCs w:val="28"/>
          <w:highlight w:val="none"/>
        </w:rPr>
        <w:fldChar w:fldCharType="begin"/>
      </w:r>
      <w:r>
        <w:rPr>
          <w:rFonts w:hint="eastAsia" w:ascii="仿宋_GB2312" w:hAnsi="仿宋_GB2312" w:eastAsia="仿宋_GB2312" w:cs="仿宋_GB2312"/>
          <w:b w:val="0"/>
          <w:bCs w:val="0"/>
          <w:color w:val="auto"/>
          <w:sz w:val="28"/>
          <w:szCs w:val="28"/>
          <w:highlight w:val="none"/>
        </w:rPr>
        <w:instrText xml:space="preserve"> TOC \o "1-2" \h \z \u </w:instrText>
      </w:r>
      <w:r>
        <w:rPr>
          <w:rFonts w:hint="eastAsia" w:ascii="仿宋_GB2312" w:hAnsi="仿宋_GB2312" w:eastAsia="仿宋_GB2312" w:cs="仿宋_GB2312"/>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"_Toc68590965"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第一章  磋商公告</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_Toc68590965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7"/>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"_Toc68590966"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第二章  供应商须知</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_Toc68590966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"_Toc68590967"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（一）供应商须知前附表</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_Toc68590967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"_Toc68590968"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（二）供应商须知</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_Toc68590968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"_Toc68590969"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一、总  则</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_Toc68590969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"_Toc68590970"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二、磋商文件说明</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_Toc68590970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8</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"_Toc68590971"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三、响应文件的编写</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_Toc68590971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"_Toc68590972"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四、响应文件的密封和递交</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_Toc68590972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12</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"_Toc68590973"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五、评审与磋商</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_Toc68590973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13</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"_Toc68590974"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六、确定成交单位、授予合同</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_Toc68590974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7"/>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"_Toc68590975"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第三章  评审办法和标准</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_Toc68590975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19</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"_Toc68590976"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1.评审方法</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_Toc68590976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19</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"_Toc68590977"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2.评审标准</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_Toc68590977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19</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2"/>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"_Toc68590978"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3.评审程序</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_Toc68590978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7"/>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"_Toc68590979"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第四章  合同草案条款</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_Toc68590979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28</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7"/>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"_Toc68590980"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第五章  采购内容及要求</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_Toc68590980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7"/>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"_Toc68590981" </w:instrText>
      </w:r>
      <w:r>
        <w:rPr>
          <w:color w:val="auto"/>
          <w:highlight w:val="none"/>
        </w:rPr>
        <w:fldChar w:fldCharType="separate"/>
      </w:r>
      <w:r>
        <w:rPr>
          <w:rStyle w:val="61"/>
          <w:rFonts w:hint="default" w:ascii="仿宋_GB2312" w:hAnsi="仿宋_GB2312" w:eastAsia="仿宋_GB2312" w:cs="仿宋_GB2312"/>
          <w:color w:val="auto"/>
          <w:sz w:val="28"/>
          <w:szCs w:val="28"/>
          <w:highlight w:val="none"/>
        </w:rPr>
        <w:t>第六章  磋商响应文件格式</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_Toc68590981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tabs>
          <w:tab w:val="center" w:pos="4677"/>
          <w:tab w:val="left" w:pos="5040"/>
        </w:tabs>
        <w:adjustRightInd w:val="0"/>
        <w:snapToGrid w:val="0"/>
        <w:spacing w:line="360" w:lineRule="auto"/>
        <w:jc w:val="left"/>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 w:val="28"/>
          <w:szCs w:val="28"/>
          <w:highlight w:val="none"/>
        </w:rPr>
        <w:fldChar w:fldCharType="end"/>
      </w:r>
    </w:p>
    <w:p>
      <w:pPr>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Cs w:val="20"/>
          <w:highlight w:val="none"/>
        </w:rPr>
        <w:br w:type="page"/>
      </w:r>
    </w:p>
    <w:p>
      <w:pPr>
        <w:pStyle w:val="48"/>
        <w:spacing w:line="360" w:lineRule="auto"/>
        <w:rPr>
          <w:rStyle w:val="205"/>
          <w:rFonts w:ascii="宋体" w:hAnsi="宋体" w:eastAsia="宋体"/>
          <w:color w:val="auto"/>
          <w:sz w:val="36"/>
          <w:szCs w:val="36"/>
          <w:highlight w:val="none"/>
        </w:rPr>
      </w:pPr>
      <w:bookmarkStart w:id="0" w:name="_Toc415499894"/>
      <w:bookmarkStart w:id="1" w:name="_Toc21755"/>
      <w:bookmarkStart w:id="2" w:name="_Toc58504445"/>
      <w:bookmarkStart w:id="3" w:name="_Toc68590965"/>
      <w:bookmarkStart w:id="4" w:name="_Toc496324577"/>
      <w:bookmarkStart w:id="5" w:name="_Toc176882541"/>
      <w:bookmarkStart w:id="6" w:name="_Toc53722839"/>
      <w:bookmarkStart w:id="7" w:name="_Toc500747187"/>
      <w:bookmarkStart w:id="8" w:name="_Toc492955413"/>
      <w:bookmarkStart w:id="9" w:name="_Toc177995472"/>
      <w:bookmarkStart w:id="10" w:name="_Toc499711882"/>
      <w:bookmarkStart w:id="11" w:name="_Toc499711041"/>
      <w:bookmarkStart w:id="12" w:name="_Toc503063420"/>
      <w:bookmarkStart w:id="13" w:name="_Toc500746964"/>
      <w:bookmarkStart w:id="14" w:name="_Toc500747060"/>
      <w:bookmarkStart w:id="15" w:name="_Toc70687138"/>
      <w:bookmarkStart w:id="16" w:name="_Toc177189234"/>
      <w:bookmarkStart w:id="17" w:name="_Toc177817333"/>
      <w:bookmarkStart w:id="18" w:name="_Toc385992325"/>
      <w:bookmarkStart w:id="19" w:name="_Toc385992324"/>
      <w:r>
        <w:rPr>
          <w:rStyle w:val="205"/>
          <w:rFonts w:hint="eastAsia" w:ascii="宋体" w:hAnsi="宋体" w:eastAsia="宋体"/>
          <w:color w:val="auto"/>
          <w:sz w:val="36"/>
          <w:szCs w:val="36"/>
          <w:highlight w:val="none"/>
        </w:rPr>
        <w:t>第一章  磋商公告</w:t>
      </w:r>
      <w:bookmarkEnd w:id="0"/>
      <w:bookmarkEnd w:id="1"/>
      <w:bookmarkEnd w:id="2"/>
      <w:bookmarkEnd w:id="3"/>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耀州区电子商务进农村综合示范公共服务中心升级改造与运营项目</w:t>
      </w:r>
      <w:r>
        <w:rPr>
          <w:rFonts w:hint="eastAsia" w:ascii="仿宋_GB2312" w:hAnsi="仿宋_GB2312" w:eastAsia="仿宋_GB2312" w:cs="仿宋_GB2312"/>
          <w:b/>
          <w:color w:val="auto"/>
          <w:sz w:val="28"/>
          <w:szCs w:val="28"/>
          <w:highlight w:val="none"/>
        </w:rPr>
        <w:t>竞争性磋商公告</w:t>
      </w:r>
    </w:p>
    <w:p>
      <w:pPr>
        <w:widowControl/>
        <w:snapToGrid w:val="0"/>
        <w:spacing w:line="360" w:lineRule="auto"/>
        <w:ind w:right="-197" w:rightChars="-94"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000000" w:themeColor="text1"/>
          <w:kern w:val="0"/>
          <w:sz w:val="24"/>
          <w:highlight w:val="none"/>
          <w:u w:val="none"/>
          <w14:textFill>
            <w14:solidFill>
              <w14:schemeClr w14:val="tx1"/>
            </w14:solidFill>
          </w14:textFill>
        </w:rPr>
        <w:fldChar w:fldCharType="begin"/>
      </w:r>
      <w:r>
        <w:rPr>
          <w:rFonts w:hint="eastAsia" w:ascii="仿宋_GB2312" w:hAnsi="仿宋_GB2312" w:eastAsia="仿宋_GB2312" w:cs="仿宋_GB2312"/>
          <w:color w:val="000000" w:themeColor="text1"/>
          <w:kern w:val="0"/>
          <w:sz w:val="24"/>
          <w:highlight w:val="none"/>
          <w:u w:val="none"/>
          <w14:textFill>
            <w14:solidFill>
              <w14:schemeClr w14:val="tx1"/>
            </w14:solidFill>
          </w14:textFill>
        </w:rPr>
        <w:instrText xml:space="preserve"> HYPERLINK "mailto:2021年西安市畜禽产品质量监测项目潜在的供应商可在西安市高新区高新路88号尚品国际C幢北12804室或邮箱330730271@qq.com获取采购文件，并于2021-" </w:instrText>
      </w:r>
      <w:r>
        <w:rPr>
          <w:rFonts w:hint="eastAsia" w:ascii="仿宋_GB2312" w:hAnsi="仿宋_GB2312" w:eastAsia="仿宋_GB2312" w:cs="仿宋_GB2312"/>
          <w:color w:val="000000" w:themeColor="text1"/>
          <w:kern w:val="0"/>
          <w:sz w:val="24"/>
          <w:highlight w:val="none"/>
          <w:u w:val="none"/>
          <w14:textFill>
            <w14:solidFill>
              <w14:schemeClr w14:val="tx1"/>
            </w14:solidFill>
          </w14:textFill>
        </w:rPr>
        <w:fldChar w:fldCharType="separate"/>
      </w:r>
      <w:r>
        <w:rPr>
          <w:rStyle w:val="61"/>
          <w:rFonts w:hint="eastAsia" w:ascii="仿宋_GB2312" w:hAnsi="仿宋_GB2312" w:eastAsia="仿宋_GB2312" w:cs="仿宋_GB2312"/>
          <w:color w:val="000000" w:themeColor="text1"/>
          <w:kern w:val="0"/>
          <w:sz w:val="24"/>
          <w:highlight w:val="none"/>
          <w:u w:val="none"/>
          <w:lang w:eastAsia="zh-CN"/>
          <w14:textFill>
            <w14:solidFill>
              <w14:schemeClr w14:val="tx1"/>
            </w14:solidFill>
          </w14:textFill>
        </w:rPr>
        <w:t>耀州区电子商务进农村综合示范公共服务中心升级改造与运营项目</w:t>
      </w:r>
      <w:r>
        <w:rPr>
          <w:rStyle w:val="61"/>
          <w:rFonts w:hint="eastAsia" w:ascii="仿宋_GB2312" w:hAnsi="仿宋_GB2312" w:eastAsia="仿宋_GB2312" w:cs="仿宋_GB2312"/>
          <w:color w:val="000000" w:themeColor="text1"/>
          <w:kern w:val="0"/>
          <w:sz w:val="24"/>
          <w:highlight w:val="none"/>
          <w:u w:val="none"/>
          <w14:textFill>
            <w14:solidFill>
              <w14:schemeClr w14:val="tx1"/>
            </w14:solidFill>
          </w14:textFill>
        </w:rPr>
        <w:t>潜在的供应商可在西安市高新区高新路88号尚品国际C幢北12804室或邮箱</w:t>
      </w:r>
      <w:r>
        <w:rPr>
          <w:rStyle w:val="61"/>
          <w:rFonts w:hint="eastAsia" w:ascii="仿宋_GB2312" w:hAnsi="仿宋_GB2312" w:eastAsia="仿宋_GB2312" w:cs="仿宋_GB2312"/>
          <w:color w:val="000000" w:themeColor="text1"/>
          <w:kern w:val="0"/>
          <w:sz w:val="24"/>
          <w:highlight w:val="none"/>
          <w:u w:val="none"/>
          <w:lang w:val="en-US" w:eastAsia="zh-CN"/>
          <w14:textFill>
            <w14:solidFill>
              <w14:schemeClr w14:val="tx1"/>
            </w14:solidFill>
          </w14:textFill>
        </w:rPr>
        <w:t>975240583</w:t>
      </w:r>
      <w:r>
        <w:rPr>
          <w:rStyle w:val="61"/>
          <w:rFonts w:hint="eastAsia" w:ascii="仿宋_GB2312" w:hAnsi="仿宋_GB2312" w:eastAsia="仿宋_GB2312" w:cs="仿宋_GB2312"/>
          <w:color w:val="000000" w:themeColor="text1"/>
          <w:kern w:val="0"/>
          <w:sz w:val="24"/>
          <w:highlight w:val="none"/>
          <w:u w:val="none"/>
          <w14:textFill>
            <w14:solidFill>
              <w14:schemeClr w14:val="tx1"/>
            </w14:solidFill>
          </w14:textFill>
        </w:rPr>
        <w:t>@qq.com获取采购文件，并于202</w:t>
      </w:r>
      <w:r>
        <w:rPr>
          <w:rStyle w:val="61"/>
          <w:rFonts w:hint="eastAsia" w:ascii="仿宋_GB2312" w:hAnsi="仿宋_GB2312" w:eastAsia="仿宋_GB2312" w:cs="仿宋_GB2312"/>
          <w:color w:val="000000" w:themeColor="text1"/>
          <w:kern w:val="0"/>
          <w:sz w:val="24"/>
          <w:highlight w:val="none"/>
          <w:u w:val="none"/>
          <w:lang w:val="en-US" w:eastAsia="zh-CN"/>
          <w14:textFill>
            <w14:solidFill>
              <w14:schemeClr w14:val="tx1"/>
            </w14:solidFill>
          </w14:textFill>
        </w:rPr>
        <w:t>2</w:t>
      </w:r>
      <w:r>
        <w:rPr>
          <w:rStyle w:val="61"/>
          <w:rFonts w:hint="eastAsia" w:ascii="仿宋_GB2312" w:hAnsi="仿宋_GB2312" w:eastAsia="仿宋_GB2312" w:cs="仿宋_GB2312"/>
          <w:color w:val="000000" w:themeColor="text1"/>
          <w:kern w:val="0"/>
          <w:sz w:val="24"/>
          <w:highlight w:val="none"/>
          <w:u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u w:val="none"/>
          <w14:textFill>
            <w14:solidFill>
              <w14:schemeClr w14:val="tx1"/>
            </w14:solidFill>
          </w14:textFill>
        </w:rPr>
        <w:fldChar w:fldCharType="end"/>
      </w:r>
      <w:r>
        <w:rPr>
          <w:rFonts w:hint="eastAsia" w:ascii="仿宋_GB2312" w:hAnsi="仿宋_GB2312" w:eastAsia="仿宋_GB2312" w:cs="仿宋_GB2312"/>
          <w:color w:val="000000" w:themeColor="text1"/>
          <w:kern w:val="0"/>
          <w:sz w:val="24"/>
          <w:highlight w:val="none"/>
          <w:u w:val="none"/>
          <w:lang w:val="en-US" w:eastAsia="zh-CN"/>
          <w14:textFill>
            <w14:solidFill>
              <w14:schemeClr w14:val="tx1"/>
            </w14:solidFill>
          </w14:textFill>
        </w:rPr>
        <w:t>06</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30 14</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:00前递交响应文件。</w:t>
      </w:r>
    </w:p>
    <w:p>
      <w:pPr>
        <w:widowControl/>
        <w:snapToGrid w:val="0"/>
        <w:spacing w:line="360" w:lineRule="auto"/>
        <w:ind w:right="-197" w:rightChars="-94" w:firstLine="482" w:firstLineChars="200"/>
        <w:jc w:val="left"/>
        <w:rPr>
          <w:rFonts w:hint="eastAsia" w:ascii="仿宋" w:hAnsi="仿宋" w:eastAsia="仿宋" w:cs="仿宋"/>
          <w:b w:val="0"/>
          <w:bCs w:val="0"/>
          <w:i w:val="0"/>
          <w:iCs w:val="0"/>
          <w:caps w:val="0"/>
          <w:color w:val="222222"/>
          <w:spacing w:val="0"/>
          <w:sz w:val="24"/>
          <w:szCs w:val="24"/>
        </w:rPr>
      </w:pPr>
      <w:r>
        <w:rPr>
          <w:rStyle w:val="55"/>
          <w:rFonts w:hint="eastAsia" w:ascii="仿宋" w:hAnsi="仿宋" w:eastAsia="仿宋" w:cs="仿宋"/>
          <w:b/>
          <w:bCs/>
          <w:i w:val="0"/>
          <w:iCs w:val="0"/>
          <w:caps w:val="0"/>
          <w:color w:val="222222"/>
          <w:spacing w:val="0"/>
          <w:sz w:val="24"/>
          <w:szCs w:val="24"/>
          <w:shd w:val="clear" w:fill="FFFFFF"/>
        </w:rPr>
        <w:t>一、项目基本情况</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项目编号：XHZB2022-CS-016-001</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4"/>
          <w:szCs w:val="24"/>
        </w:rPr>
      </w:pPr>
      <w:r>
        <w:rPr>
          <w:rFonts w:hint="eastAsia" w:ascii="仿宋" w:hAnsi="仿宋" w:eastAsia="仿宋" w:cs="仿宋"/>
          <w:i w:val="0"/>
          <w:iCs w:val="0"/>
          <w:caps w:val="0"/>
          <w:color w:val="222222"/>
          <w:spacing w:val="0"/>
          <w:sz w:val="24"/>
          <w:szCs w:val="24"/>
          <w:shd w:val="clear" w:fill="FFFFFF"/>
        </w:rPr>
        <w:t>项目名称：耀州区电子商务进农村综合示范公共服务中心升级改造与运营项目</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222222"/>
          <w:spacing w:val="0"/>
          <w:sz w:val="24"/>
          <w:szCs w:val="24"/>
          <w:shd w:val="clear" w:fill="FFFFFF"/>
        </w:rPr>
        <w:t>采购方</w:t>
      </w:r>
      <w:r>
        <w:rPr>
          <w:rFonts w:hint="eastAsia" w:ascii="仿宋" w:hAnsi="仿宋" w:eastAsia="仿宋" w:cs="仿宋"/>
          <w:i w:val="0"/>
          <w:iCs w:val="0"/>
          <w:caps w:val="0"/>
          <w:color w:val="auto"/>
          <w:spacing w:val="0"/>
          <w:sz w:val="24"/>
          <w:szCs w:val="24"/>
          <w:shd w:val="clear" w:fill="FFFFFF"/>
        </w:rPr>
        <w:t>式：竞争性磋商</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预算金额：1,980,000.00元</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合同包1(耀州区电子商务进农村综合示范公共服务中心升级改造与运营项目):</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合同包预算金额：1,980,000.00元</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合同包最高限价：1,980,000.00元</w:t>
      </w:r>
    </w:p>
    <w:tbl>
      <w:tblPr>
        <w:tblStyle w:val="52"/>
        <w:tblW w:w="97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199"/>
        <w:gridCol w:w="2023"/>
        <w:gridCol w:w="1308"/>
        <w:gridCol w:w="1264"/>
        <w:gridCol w:w="1680"/>
        <w:gridCol w:w="16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4" w:hRule="atLeast"/>
          <w:tblHeader/>
        </w:trPr>
        <w:tc>
          <w:tcPr>
            <w:tcW w:w="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1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公共服务</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耀州区电子商务进农村综合示范公共服务中心升级改造与运营</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1,980,000.00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1,980,000.00</w:t>
            </w:r>
          </w:p>
        </w:tc>
      </w:tr>
    </w:tbl>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合同履行期限：服务期2年，维护期1年</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b w:val="0"/>
          <w:bCs w:val="0"/>
          <w:i w:val="0"/>
          <w:iCs w:val="0"/>
          <w:caps w:val="0"/>
          <w:color w:val="auto"/>
          <w:spacing w:val="0"/>
          <w:sz w:val="24"/>
          <w:szCs w:val="24"/>
        </w:rPr>
      </w:pPr>
      <w:r>
        <w:rPr>
          <w:rStyle w:val="55"/>
          <w:rFonts w:hint="eastAsia" w:ascii="仿宋" w:hAnsi="仿宋" w:eastAsia="仿宋" w:cs="仿宋"/>
          <w:b/>
          <w:bCs/>
          <w:i w:val="0"/>
          <w:iCs w:val="0"/>
          <w:caps w:val="0"/>
          <w:color w:val="auto"/>
          <w:spacing w:val="0"/>
          <w:sz w:val="24"/>
          <w:szCs w:val="24"/>
          <w:shd w:val="clear" w:fill="FFFFFF"/>
        </w:rPr>
        <w:t>二、申请人的资格要求：</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合同包1(耀州区电子商务进农村综合示范公共服务中心升级改造与运营项目)落实政府采购政策需满足的资格要求如下:</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无，属于专门面向中小企业采购的项目；供应商应为中小微企业、监狱企业、残疾人福利性单位；落实陕西省财政厅关于印发《陕西省中小企业政府采购信用融资办法》（陕财办采〔2018〕23号）等内容</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合同包1(耀州区电子商务进农村综合示范公共服务中心升级改造与运营项目)特定资格要求如下:</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3.1供应商在递交响应文件截止时间前被信用中国网站（www.creditchina.gov.cn）和中国政府采购网（www.ccgp.gov.cn）上被列入失信被执行人、重大税收违法案件当事人名单、政府采购严重违法失信行为记录名单的，不得参加磋商；</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3.2法定代表人直接参加磋商的须出具法人身份证（须与营业执照上信息一致），法定代表人授权代表参加磋商的须出具法定代表人授权书及授权代表本单位身份证明（养老保险缴纳证明或劳动合同）；</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3.3供应商不得存在下列情形之一：</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（1）单位负责人为同一人或者存在直接控股、管理关系的不同供应商，不得参加本次采购活动；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（2）为本项目提供整体设计、规范编制或者项目管理、监理、检测等服务的供应商，不得再参加本项目的采购活动；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3.4需向采购代理机构购买（或免费领取）磋商文件并登记备案，未向采购代理机构购买（或免费领取）磋商文件并登记备案的供应商均无资格参加磋商。</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b w:val="0"/>
          <w:bCs w:val="0"/>
          <w:i w:val="0"/>
          <w:iCs w:val="0"/>
          <w:caps w:val="0"/>
          <w:color w:val="auto"/>
          <w:spacing w:val="0"/>
          <w:sz w:val="24"/>
          <w:szCs w:val="24"/>
        </w:rPr>
      </w:pPr>
      <w:r>
        <w:rPr>
          <w:rStyle w:val="55"/>
          <w:rFonts w:hint="eastAsia" w:ascii="仿宋" w:hAnsi="仿宋" w:eastAsia="仿宋" w:cs="仿宋"/>
          <w:b/>
          <w:bCs/>
          <w:i w:val="0"/>
          <w:iCs w:val="0"/>
          <w:caps w:val="0"/>
          <w:color w:val="auto"/>
          <w:spacing w:val="0"/>
          <w:sz w:val="24"/>
          <w:szCs w:val="24"/>
          <w:shd w:val="clear" w:fill="FFFFFF"/>
        </w:rPr>
        <w:t>三、获取采购文件</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2022年06月20日 至 2022年06月24日 ，每天上午 08:00:00 至 12:00:00 ，下午 14:00:00 至 18:00:00 （北京时间,法定节假日除外）</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地点：西安市高新区高新路88号尚品国际C幢北12804室或邮箱975240583@qq.com</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方式：现场获取</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售价： 免费获取</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b w:val="0"/>
          <w:bCs w:val="0"/>
          <w:i w:val="0"/>
          <w:iCs w:val="0"/>
          <w:caps w:val="0"/>
          <w:color w:val="auto"/>
          <w:spacing w:val="0"/>
          <w:sz w:val="24"/>
          <w:szCs w:val="24"/>
        </w:rPr>
      </w:pPr>
      <w:r>
        <w:rPr>
          <w:rStyle w:val="55"/>
          <w:rFonts w:hint="eastAsia" w:ascii="仿宋" w:hAnsi="仿宋" w:eastAsia="仿宋" w:cs="仿宋"/>
          <w:b/>
          <w:bCs/>
          <w:i w:val="0"/>
          <w:iCs w:val="0"/>
          <w:caps w:val="0"/>
          <w:color w:val="auto"/>
          <w:spacing w:val="0"/>
          <w:sz w:val="24"/>
          <w:szCs w:val="24"/>
          <w:shd w:val="clear" w:fill="FFFFFF"/>
        </w:rPr>
        <w:t>四、响应文件提交</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2022年06月30日 14时30分00秒 （北京时间）</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地点：西安市高新路88号尚品国际C幢北12805室</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b w:val="0"/>
          <w:bCs w:val="0"/>
          <w:i w:val="0"/>
          <w:iCs w:val="0"/>
          <w:caps w:val="0"/>
          <w:color w:val="auto"/>
          <w:spacing w:val="0"/>
          <w:sz w:val="24"/>
          <w:szCs w:val="24"/>
        </w:rPr>
      </w:pPr>
      <w:r>
        <w:rPr>
          <w:rStyle w:val="55"/>
          <w:rFonts w:hint="eastAsia" w:ascii="仿宋" w:hAnsi="仿宋" w:eastAsia="仿宋" w:cs="仿宋"/>
          <w:b/>
          <w:bCs/>
          <w:i w:val="0"/>
          <w:iCs w:val="0"/>
          <w:caps w:val="0"/>
          <w:color w:val="auto"/>
          <w:spacing w:val="0"/>
          <w:sz w:val="24"/>
          <w:szCs w:val="24"/>
          <w:shd w:val="clear" w:fill="FFFFFF"/>
        </w:rPr>
        <w:t>五、开启</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2022年06月30日 14时30分00秒 （北京时间）</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地点：西安市高新路88号尚品国际C幢北12805室</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b w:val="0"/>
          <w:bCs w:val="0"/>
          <w:i w:val="0"/>
          <w:iCs w:val="0"/>
          <w:caps w:val="0"/>
          <w:color w:val="auto"/>
          <w:spacing w:val="0"/>
          <w:sz w:val="24"/>
          <w:szCs w:val="24"/>
        </w:rPr>
      </w:pPr>
      <w:r>
        <w:rPr>
          <w:rStyle w:val="55"/>
          <w:rFonts w:hint="eastAsia" w:ascii="仿宋" w:hAnsi="仿宋" w:eastAsia="仿宋" w:cs="仿宋"/>
          <w:b/>
          <w:bCs/>
          <w:i w:val="0"/>
          <w:iCs w:val="0"/>
          <w:caps w:val="0"/>
          <w:color w:val="auto"/>
          <w:spacing w:val="0"/>
          <w:sz w:val="24"/>
          <w:szCs w:val="24"/>
          <w:shd w:val="clear" w:fill="FFFFFF"/>
        </w:rPr>
        <w:t>六、公告期限</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自本公告发布之日起3个工作日。</w:t>
      </w:r>
    </w:p>
    <w:p>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b w:val="0"/>
          <w:bCs w:val="0"/>
          <w:i w:val="0"/>
          <w:iCs w:val="0"/>
          <w:caps w:val="0"/>
          <w:color w:val="auto"/>
          <w:spacing w:val="0"/>
          <w:sz w:val="24"/>
          <w:szCs w:val="24"/>
        </w:rPr>
      </w:pPr>
      <w:r>
        <w:rPr>
          <w:rStyle w:val="55"/>
          <w:rFonts w:hint="eastAsia" w:ascii="仿宋" w:hAnsi="仿宋" w:eastAsia="仿宋" w:cs="仿宋"/>
          <w:b/>
          <w:bCs/>
          <w:i w:val="0"/>
          <w:iCs w:val="0"/>
          <w:caps w:val="0"/>
          <w:color w:val="auto"/>
          <w:spacing w:val="0"/>
          <w:sz w:val="24"/>
          <w:szCs w:val="24"/>
          <w:shd w:val="clear" w:fill="FFFFFF"/>
        </w:rPr>
        <w:t>七、其他补充事宜</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1、供应商持单位介绍信及身份证原件复印件领取磋商文件。疫情期间供应商可以将相关资料发至项目负责人邮箱 (975240583@qq.com)并在邮件中注明公司名称、联系人、联系电话及邮箱，并附单位介绍信、加盖公章的被授权人身份证扫描件（邮件发送当日招标代理机构项目负责人若未以邮件形式回复，请及时致电联系）。项目负责人确认信息后，将加盖公章的磋商文件电子版发送至单位邮箱。</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 xml:space="preserve"> 2、供应商务必按照《陕西省财政厅关于政府采购供应商注册登记有关事项的通知》要求，通过陕西省政府采购网（www.ccgp-shaanxi.gov.cn）进行陕西政府采购统一身份认证注册登记</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  3、本项目执行政府强制、优先采购节能产品，优先采购环境标志产品，支持中小企业，支持监狱和戒毒企业、残疾人企业、扶持不发达地区和少数民族地区、支持脱贫攻坚、乡村振兴等相关政策。详见磋商文件</w:t>
      </w:r>
    </w:p>
    <w:p>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2" w:firstLineChars="200"/>
        <w:jc w:val="both"/>
        <w:rPr>
          <w:rFonts w:hint="eastAsia" w:ascii="仿宋" w:hAnsi="仿宋" w:eastAsia="仿宋" w:cs="仿宋"/>
          <w:b w:val="0"/>
          <w:bCs w:val="0"/>
          <w:i w:val="0"/>
          <w:iCs w:val="0"/>
          <w:caps w:val="0"/>
          <w:color w:val="auto"/>
          <w:spacing w:val="0"/>
          <w:sz w:val="24"/>
          <w:szCs w:val="24"/>
        </w:rPr>
      </w:pPr>
      <w:r>
        <w:rPr>
          <w:rStyle w:val="55"/>
          <w:rFonts w:hint="eastAsia" w:ascii="仿宋" w:hAnsi="仿宋" w:eastAsia="仿宋" w:cs="仿宋"/>
          <w:b/>
          <w:bCs/>
          <w:i w:val="0"/>
          <w:iCs w:val="0"/>
          <w:caps w:val="0"/>
          <w:color w:val="auto"/>
          <w:spacing w:val="0"/>
          <w:sz w:val="24"/>
          <w:szCs w:val="24"/>
          <w:shd w:val="clear" w:fill="FFFFFF"/>
        </w:rPr>
        <w:t>八、凡对本次采购提出询问，请按以下方式联系。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169" w:leftChars="159" w:right="0" w:hanging="835" w:hangingChars="348"/>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名称：铜川市耀州区经济贸易局</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w:t>
      </w:r>
      <w:r>
        <w:rPr>
          <w:rFonts w:hint="eastAsia" w:ascii="仿宋_GB2312" w:hAnsi="仿宋_GB2312" w:eastAsia="仿宋_GB2312" w:cs="仿宋_GB2312"/>
          <w:color w:val="auto"/>
          <w:kern w:val="0"/>
          <w:sz w:val="24"/>
          <w:highlight w:val="none"/>
        </w:rPr>
        <w:t>铜川市耀州区文营西路82号</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w:t>
      </w:r>
      <w:r>
        <w:rPr>
          <w:rFonts w:hint="eastAsia" w:ascii="仿宋_GB2312" w:hAnsi="仿宋_GB2312" w:eastAsia="仿宋_GB2312" w:cs="仿宋_GB2312"/>
          <w:color w:val="auto"/>
          <w:kern w:val="0"/>
          <w:sz w:val="24"/>
          <w:highlight w:val="none"/>
        </w:rPr>
        <w:t>0919-6600630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314" w:leftChars="114" w:right="0" w:hanging="1075" w:hangingChars="448"/>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名称：陕西星火工程管理有限公司</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地址：西安市高新区高新路88号尚品国际C幢北12804室</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联系方式：029-88852300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314" w:leftChars="114" w:right="0" w:hanging="1075" w:hangingChars="448"/>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项目联系人：黄旭</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电话：029-88852300</w:t>
      </w:r>
    </w:p>
    <w:p>
      <w:pPr>
        <w:pStyle w:val="48"/>
        <w:spacing w:line="360" w:lineRule="auto"/>
        <w:rPr>
          <w:rStyle w:val="205"/>
          <w:rFonts w:ascii="宋体" w:hAnsi="宋体" w:eastAsia="宋体"/>
          <w:color w:val="auto"/>
          <w:sz w:val="36"/>
          <w:szCs w:val="36"/>
          <w:highlight w:val="none"/>
        </w:rPr>
      </w:pPr>
      <w:r>
        <w:rPr>
          <w:rFonts w:hint="eastAsia" w:ascii="仿宋_GB2312" w:hAnsi="仿宋_GB2312" w:eastAsia="仿宋_GB2312" w:cs="仿宋_GB2312"/>
          <w:color w:val="auto"/>
          <w:highlight w:val="non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230583540"/>
      <w:bookmarkStart w:id="21" w:name="_Toc256342142"/>
      <w:bookmarkStart w:id="22" w:name="_Toc21126"/>
      <w:bookmarkStart w:id="23" w:name="_Toc68590966"/>
      <w:bookmarkStart w:id="24" w:name="_Toc249515277"/>
      <w:bookmarkStart w:id="25" w:name="_Toc415499895"/>
      <w:bookmarkStart w:id="26" w:name="_Toc232176271"/>
      <w:bookmarkStart w:id="27" w:name="_Toc249525158"/>
      <w:bookmarkStart w:id="28" w:name="_Toc230013631"/>
      <w:bookmarkStart w:id="29" w:name="_Toc232395211"/>
      <w:bookmarkStart w:id="30" w:name="_Toc230099796"/>
      <w:bookmarkStart w:id="31" w:name="_Toc58504446"/>
      <w:bookmarkStart w:id="32" w:name="_Toc184043011"/>
      <w:bookmarkStart w:id="33" w:name="_Toc249515389"/>
      <w:bookmarkStart w:id="34" w:name="_Toc230099797"/>
      <w:bookmarkStart w:id="35" w:name="_Toc500747188"/>
      <w:bookmarkStart w:id="36" w:name="_Toc500747061"/>
      <w:bookmarkStart w:id="37" w:name="_Toc492955414"/>
      <w:bookmarkStart w:id="38" w:name="_Toc256342143"/>
      <w:bookmarkStart w:id="39" w:name="_Toc53722840"/>
      <w:bookmarkStart w:id="40" w:name="_Toc184043012"/>
      <w:bookmarkStart w:id="41" w:name="_Toc249515390"/>
      <w:bookmarkStart w:id="42" w:name="_Toc177817334"/>
      <w:bookmarkStart w:id="43" w:name="_Toc249525159"/>
      <w:bookmarkStart w:id="44" w:name="_Toc70687139"/>
      <w:bookmarkStart w:id="45" w:name="_Toc177995473"/>
      <w:bookmarkStart w:id="46" w:name="_Toc499711883"/>
      <w:bookmarkStart w:id="47" w:name="_Toc232176272"/>
      <w:bookmarkStart w:id="48" w:name="_Toc499711042"/>
      <w:bookmarkStart w:id="49" w:name="_Toc496324578"/>
      <w:bookmarkStart w:id="50" w:name="_Toc500746965"/>
      <w:bookmarkStart w:id="51" w:name="_Toc176882542"/>
      <w:bookmarkStart w:id="52" w:name="_Toc232395212"/>
      <w:bookmarkStart w:id="53" w:name="_Toc177189235"/>
      <w:bookmarkStart w:id="54" w:name="_Toc230583541"/>
      <w:bookmarkStart w:id="55" w:name="_Toc230013632"/>
      <w:bookmarkStart w:id="56" w:name="_Toc503063421"/>
      <w:bookmarkStart w:id="57" w:name="_Toc249515278"/>
      <w:r>
        <w:rPr>
          <w:rStyle w:val="205"/>
          <w:rFonts w:hint="eastAsia" w:ascii="宋体" w:hAnsi="宋体"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9"/>
        <w:spacing w:beforeLines="100" w:after="24"/>
        <w:jc w:val="center"/>
        <w:rPr>
          <w:rFonts w:ascii="仿宋_GB2312" w:hAnsi="仿宋_GB2312" w:eastAsia="仿宋_GB2312" w:cs="仿宋_GB2312"/>
          <w:color w:val="auto"/>
          <w:sz w:val="28"/>
          <w:szCs w:val="28"/>
          <w:highlight w:val="none"/>
        </w:rPr>
      </w:pPr>
      <w:bookmarkStart w:id="58" w:name="_Toc68590967"/>
      <w:r>
        <w:rPr>
          <w:rFonts w:hint="eastAsia" w:ascii="仿宋_GB2312" w:hAnsi="仿宋_GB2312" w:eastAsia="仿宋_GB2312" w:cs="仿宋_GB2312"/>
          <w:color w:val="auto"/>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color w:val="auto"/>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本表是对供应商须知的具体补充和修改，如有矛盾，均以本表为准。</w:t>
      </w:r>
    </w:p>
    <w:p>
      <w:pPr>
        <w:ind w:left="720" w:hanging="720" w:hangingChars="343"/>
        <w:rPr>
          <w:rFonts w:ascii="仿宋_GB2312" w:hAnsi="仿宋_GB2312" w:eastAsia="仿宋_GB2312" w:cs="仿宋_GB2312"/>
          <w:b/>
          <w:color w:val="auto"/>
          <w:sz w:val="20"/>
          <w:szCs w:val="20"/>
          <w:highlight w:val="none"/>
        </w:rPr>
      </w:pPr>
      <w:r>
        <w:rPr>
          <w:rFonts w:hint="eastAsia" w:ascii="仿宋_GB2312" w:hAnsi="仿宋_GB2312" w:eastAsia="仿宋_GB2312" w:cs="仿宋_GB2312"/>
          <w:color w:val="auto"/>
          <w:szCs w:val="21"/>
          <w:highlight w:val="none"/>
        </w:rPr>
        <w:t xml:space="preserve">   </w:t>
      </w:r>
    </w:p>
    <w:bookmarkEnd w:id="18"/>
    <w:tbl>
      <w:tblPr>
        <w:tblStyle w:val="52"/>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b/>
                <w:color w:val="auto"/>
                <w:sz w:val="24"/>
                <w:szCs w:val="24"/>
                <w:highlight w:val="none"/>
              </w:rPr>
            </w:pPr>
            <w:bookmarkStart w:id="59" w:name="_Hlt14560610"/>
            <w:bookmarkEnd w:id="59"/>
            <w:bookmarkStart w:id="60" w:name="_Toc500746967"/>
            <w:bookmarkStart w:id="61" w:name="_Toc385992326"/>
            <w:bookmarkStart w:id="62" w:name="_Toc496324580"/>
            <w:bookmarkStart w:id="63" w:name="_Toc503063423"/>
            <w:bookmarkStart w:id="64" w:name="_Toc389620165"/>
            <w:bookmarkStart w:id="65" w:name="_Toc500747063"/>
            <w:bookmarkStart w:id="66" w:name="_Toc500747190"/>
            <w:bookmarkStart w:id="67" w:name="_Toc499711044"/>
            <w:bookmarkStart w:id="68" w:name="_Toc499711885"/>
            <w:bookmarkStart w:id="69" w:name="_Toc492955416"/>
            <w:r>
              <w:rPr>
                <w:rFonts w:hint="eastAsia" w:ascii="仿宋_GB2312" w:hAnsi="仿宋_GB2312" w:eastAsia="仿宋_GB2312" w:cs="仿宋_GB2312"/>
                <w:b/>
                <w:color w:val="auto"/>
                <w:sz w:val="24"/>
                <w:szCs w:val="24"/>
                <w:highlight w:val="none"/>
              </w:rPr>
              <w:t>条款号</w:t>
            </w:r>
          </w:p>
        </w:tc>
        <w:tc>
          <w:tcPr>
            <w:tcW w:w="7650" w:type="dxa"/>
            <w:vAlign w:val="center"/>
          </w:tcPr>
          <w:p>
            <w:pPr>
              <w:pStyle w:val="30"/>
              <w:adjustRightInd w:val="0"/>
              <w:snapToGrid w:val="0"/>
              <w:spacing w:line="240" w:lineRule="auto"/>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7650" w:type="dxa"/>
            <w:vAlign w:val="center"/>
          </w:tcPr>
          <w:p>
            <w:pPr>
              <w:pStyle w:val="30"/>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耀州区电子商务进农村综合示范公共服务中心升级改造与运营项目</w:t>
            </w:r>
          </w:p>
          <w:p>
            <w:pPr>
              <w:pStyle w:val="30"/>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XHZB2022-CS-016/001</w:t>
            </w:r>
          </w:p>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资金来源：财政资金</w:t>
            </w:r>
          </w:p>
          <w:p>
            <w:pPr>
              <w:pStyle w:val="30"/>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预算金额：</w:t>
            </w:r>
            <w:r>
              <w:rPr>
                <w:rFonts w:hint="eastAsia" w:ascii="仿宋_GB2312" w:hAnsi="仿宋_GB2312" w:eastAsia="仿宋_GB2312" w:cs="仿宋_GB2312"/>
                <w:color w:val="auto"/>
                <w:sz w:val="24"/>
                <w:szCs w:val="24"/>
                <w:highlight w:val="none"/>
                <w:lang w:val="en-US" w:eastAsia="zh-CN"/>
              </w:rPr>
              <w:t>1980000</w:t>
            </w:r>
            <w:r>
              <w:rPr>
                <w:rFonts w:hint="eastAsia" w:ascii="仿宋_GB2312" w:hAnsi="仿宋_GB2312" w:eastAsia="仿宋_GB2312" w:cs="仿宋_GB2312"/>
                <w:color w:val="auto"/>
                <w:sz w:val="24"/>
                <w:szCs w:val="24"/>
                <w:highlight w:val="none"/>
              </w:rPr>
              <w:t>.00</w:t>
            </w:r>
          </w:p>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7650" w:type="dxa"/>
            <w:vAlign w:val="center"/>
          </w:tcPr>
          <w:p>
            <w:pPr>
              <w:pStyle w:val="30"/>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sz w:val="24"/>
                <w:szCs w:val="24"/>
                <w:highlight w:val="none"/>
                <w:lang w:eastAsia="zh-CN"/>
              </w:rPr>
              <w:t>铜川市耀州区经济贸易局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7650" w:type="dxa"/>
            <w:vAlign w:val="center"/>
          </w:tcPr>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采购代理机构：陕西星火工程管理有限公司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7650" w:type="dxa"/>
            <w:vAlign w:val="center"/>
          </w:tcPr>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邀请供应商的方式：</w:t>
            </w: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（1）发布磋商公告</w:t>
            </w: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（2）采购人和评审专家分别书面推荐的方式邀请不少于3 家</w:t>
            </w: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符合相应资格条件的供应商</w:t>
            </w:r>
          </w:p>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7650" w:type="dxa"/>
            <w:vAlign w:val="center"/>
          </w:tcPr>
          <w:p>
            <w:pPr>
              <w:pStyle w:val="14"/>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p>
        </w:tc>
        <w:tc>
          <w:tcPr>
            <w:tcW w:w="7650" w:type="dxa"/>
            <w:vAlign w:val="center"/>
          </w:tcPr>
          <w:p>
            <w:pPr>
              <w:pStyle w:val="14"/>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是否允许采购进口产品：</w:t>
            </w:r>
            <w:r>
              <w:rPr>
                <w:rFonts w:hint="eastAsia" w:ascii="仿宋_GB2312" w:hAnsi="仿宋_GB2312" w:eastAsia="仿宋_GB2312" w:cs="仿宋_GB2312"/>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p>
        </w:tc>
        <w:tc>
          <w:tcPr>
            <w:tcW w:w="7650" w:type="dxa"/>
            <w:vAlign w:val="center"/>
          </w:tcPr>
          <w:p>
            <w:pPr>
              <w:pStyle w:val="14"/>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是否允许联合体磋商：</w:t>
            </w:r>
            <w:r>
              <w:rPr>
                <w:rFonts w:hint="eastAsia" w:ascii="仿宋_GB2312" w:hAnsi="仿宋_GB2312" w:eastAsia="仿宋_GB2312" w:cs="仿宋_GB2312"/>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p>
        </w:tc>
        <w:tc>
          <w:tcPr>
            <w:tcW w:w="7650" w:type="dxa"/>
            <w:vAlign w:val="center"/>
          </w:tcPr>
          <w:p>
            <w:pPr>
              <w:pStyle w:val="14"/>
              <w:spacing w:line="360" w:lineRule="auto"/>
              <w:rPr>
                <w:rFonts w:ascii="仿宋_GB2312" w:hAnsi="仿宋_GB2312" w:eastAsia="仿宋_GB2312" w:cs="仿宋_GB2312"/>
                <w:color w:val="auto"/>
                <w:kern w:val="2"/>
                <w:highlight w:val="none"/>
              </w:rPr>
            </w:pPr>
            <w:r>
              <w:rPr>
                <w:rFonts w:hint="eastAsia" w:ascii="仿宋_GB2312" w:eastAsia="仿宋_GB2312"/>
                <w:color w:val="auto"/>
                <w:highlight w:val="none"/>
              </w:rPr>
              <w:t>是否为专门面向</w:t>
            </w:r>
            <w:r>
              <w:rPr>
                <w:rFonts w:ascii="仿宋_GB2312" w:hAnsi="宋体" w:eastAsia="仿宋_GB2312"/>
                <w:color w:val="auto"/>
                <w:highlight w:val="none"/>
              </w:rPr>
              <w:t>中小企业采购</w:t>
            </w:r>
            <w:r>
              <w:rPr>
                <w:rFonts w:hint="eastAsia" w:ascii="仿宋_GB2312" w:hAnsi="宋体" w:eastAsia="仿宋_GB2312"/>
                <w:color w:val="auto"/>
                <w:highlight w:val="none"/>
              </w:rPr>
              <w:t>：</w:t>
            </w:r>
            <w:r>
              <w:rPr>
                <w:rFonts w:hint="eastAsia" w:ascii="仿宋_GB2312" w:hAnsi="宋体" w:eastAsia="仿宋_GB2312"/>
                <w:color w:val="auto"/>
                <w:highlight w:val="none"/>
                <w:u w:val="single"/>
              </w:rPr>
              <w:t xml:space="preserve"> </w:t>
            </w:r>
            <w:r>
              <w:rPr>
                <w:rFonts w:hint="eastAsia" w:ascii="仿宋_GB2312" w:hAnsi="宋体" w:eastAsia="仿宋_GB2312"/>
                <w:color w:val="auto"/>
                <w:highlight w:val="none"/>
                <w:u w:val="single"/>
                <w:lang w:eastAsia="zh-CN"/>
              </w:rPr>
              <w:t>是</w:t>
            </w:r>
            <w:r>
              <w:rPr>
                <w:rFonts w:hint="eastAsia" w:ascii="仿宋_GB2312" w:hAnsi="宋体" w:eastAsia="仿宋_GB2312"/>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w:t>
            </w:r>
          </w:p>
        </w:tc>
        <w:tc>
          <w:tcPr>
            <w:tcW w:w="7650" w:type="dxa"/>
            <w:vAlign w:val="center"/>
          </w:tcPr>
          <w:p>
            <w:pPr>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成交响应报价为完成本项目并达到磋商文件要求所需要的全部费用，包括但不限于提供项目实施费、人工费、供应商应缴纳的所有税费等。</w:t>
            </w:r>
          </w:p>
          <w:p>
            <w:pPr>
              <w:pStyle w:val="30"/>
              <w:adjustRightInd w:val="0"/>
              <w:snapToGrid w:val="0"/>
              <w:spacing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（1）报价货币：人民币；</w:t>
            </w:r>
          </w:p>
          <w:p>
            <w:pPr>
              <w:pStyle w:val="30"/>
              <w:adjustRightInd w:val="0"/>
              <w:snapToGrid w:val="0"/>
              <w:spacing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p>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w:t>
            </w:r>
          </w:p>
          <w:p>
            <w:pPr>
              <w:pStyle w:val="30"/>
              <w:adjustRightInd w:val="0"/>
              <w:snapToGrid w:val="0"/>
              <w:spacing w:line="240" w:lineRule="auto"/>
              <w:rPr>
                <w:rFonts w:ascii="仿宋_GB2312" w:hAnsi="仿宋_GB2312" w:eastAsia="仿宋_GB2312" w:cs="仿宋_GB2312"/>
                <w:color w:val="auto"/>
                <w:sz w:val="24"/>
                <w:szCs w:val="24"/>
                <w:highlight w:val="none"/>
              </w:rPr>
            </w:pPr>
          </w:p>
        </w:tc>
        <w:tc>
          <w:tcPr>
            <w:tcW w:w="7650" w:type="dxa"/>
            <w:vAlign w:val="center"/>
          </w:tcPr>
          <w:p>
            <w:pPr>
              <w:pStyle w:val="30"/>
              <w:adjustRightInd w:val="0"/>
              <w:snapToGrid w:val="0"/>
              <w:spacing w:line="24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本项目收取投标保证金：</w:t>
            </w:r>
            <w:r>
              <w:rPr>
                <w:rFonts w:hint="eastAsia" w:ascii="仿宋_GB2312" w:hAnsi="仿宋_GB2312" w:eastAsia="仿宋_GB2312" w:cs="仿宋_GB2312"/>
                <w:color w:val="auto"/>
                <w:sz w:val="24"/>
                <w:highlight w:val="none"/>
                <w:u w:val="single"/>
              </w:rPr>
              <w:t xml:space="preserve"> 0 </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w:t>
            </w:r>
          </w:p>
        </w:tc>
        <w:tc>
          <w:tcPr>
            <w:tcW w:w="7650" w:type="dxa"/>
            <w:vAlign w:val="center"/>
          </w:tcPr>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磋商有效期：自响应文件递交之日起</w:t>
            </w:r>
            <w:r>
              <w:rPr>
                <w:rFonts w:hint="eastAsia" w:ascii="仿宋_GB2312" w:hAnsi="仿宋_GB2312" w:eastAsia="仿宋_GB2312" w:cs="仿宋_GB2312"/>
                <w:color w:val="auto"/>
                <w:sz w:val="24"/>
                <w:szCs w:val="24"/>
                <w:highlight w:val="none"/>
                <w:u w:val="single"/>
              </w:rPr>
              <w:t xml:space="preserve">  60  </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w:t>
            </w:r>
          </w:p>
        </w:tc>
        <w:tc>
          <w:tcPr>
            <w:tcW w:w="7650" w:type="dxa"/>
            <w:vAlign w:val="center"/>
          </w:tcPr>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响应文件的份数：</w:t>
            </w:r>
          </w:p>
          <w:p>
            <w:pPr>
              <w:pStyle w:val="30"/>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正本</w:t>
            </w:r>
            <w:r>
              <w:rPr>
                <w:rFonts w:hint="eastAsia" w:ascii="仿宋_GB2312" w:hAnsi="仿宋_GB2312" w:eastAsia="仿宋_GB2312" w:cs="仿宋_GB2312"/>
                <w:color w:val="auto"/>
                <w:sz w:val="24"/>
                <w:szCs w:val="24"/>
                <w:highlight w:val="none"/>
                <w:u w:val="single"/>
              </w:rPr>
              <w:t>1</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w:t>
            </w:r>
          </w:p>
        </w:tc>
        <w:tc>
          <w:tcPr>
            <w:tcW w:w="7650" w:type="dxa"/>
            <w:vAlign w:val="center"/>
          </w:tcPr>
          <w:p>
            <w:pPr>
              <w:pStyle w:val="30"/>
              <w:adjustRightInd w:val="0"/>
              <w:snapToGrid w:val="0"/>
              <w:spacing w:line="240" w:lineRule="auto"/>
              <w:rPr>
                <w:rFonts w:ascii="仿宋_GB2312" w:hAnsi="仿宋_GB2312" w:eastAsia="仿宋_GB2312" w:cs="仿宋_GB2312"/>
                <w:color w:val="auto"/>
                <w:sz w:val="24"/>
                <w:szCs w:val="24"/>
                <w:highlight w:val="none"/>
              </w:rPr>
            </w:pP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密封袋（箱）上须标注：</w:t>
            </w: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（l）采购项目编号：</w:t>
            </w: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（2）项目名称：</w:t>
            </w:r>
          </w:p>
          <w:p>
            <w:pPr>
              <w:pStyle w:val="30"/>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（3）供应商的名称、地址、联系人、电话和传真。</w:t>
            </w:r>
          </w:p>
          <w:p>
            <w:pPr>
              <w:pStyle w:val="30"/>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（4）在  ******（北京时间）之前不得启封</w:t>
            </w:r>
          </w:p>
          <w:p>
            <w:pPr>
              <w:pStyle w:val="30"/>
              <w:adjustRightInd w:val="0"/>
              <w:snapToGrid w:val="0"/>
              <w:spacing w:line="240" w:lineRule="auto"/>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pPr>
              <w:pStyle w:val="30"/>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本项目不要求提交样品。</w:t>
            </w:r>
          </w:p>
          <w:p>
            <w:pPr>
              <w:pStyle w:val="30"/>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□本项目要求提交样品。样品为响应文件的一部分，随响应文件同时递交。</w:t>
            </w:r>
          </w:p>
          <w:p>
            <w:pPr>
              <w:pStyle w:val="30"/>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（1）样品需标明：项目名称、供应商名称、样品名称等内容。</w:t>
            </w:r>
          </w:p>
          <w:p>
            <w:pPr>
              <w:pStyle w:val="30"/>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w:t>
            </w:r>
          </w:p>
        </w:tc>
        <w:tc>
          <w:tcPr>
            <w:tcW w:w="7650" w:type="dxa"/>
            <w:vAlign w:val="center"/>
          </w:tcPr>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响应文件递交截止时间：</w:t>
            </w:r>
            <w:r>
              <w:rPr>
                <w:rFonts w:hint="eastAsia" w:ascii="仿宋_GB2312" w:hAnsi="仿宋_GB2312" w:eastAsia="仿宋_GB2312" w:cs="仿宋_GB2312"/>
                <w:color w:val="auto"/>
                <w:kern w:val="0"/>
                <w:sz w:val="24"/>
                <w:highlight w:val="none"/>
              </w:rPr>
              <w:t>202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 xml:space="preserve"> 06 </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kern w:val="0"/>
                <w:sz w:val="24"/>
                <w:highlight w:val="none"/>
                <w:lang w:val="en-US" w:eastAsia="zh-CN"/>
              </w:rPr>
              <w:t>14</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:00</w:t>
            </w:r>
            <w:r>
              <w:rPr>
                <w:rFonts w:hint="eastAsia" w:ascii="仿宋_GB2312" w:hAnsi="仿宋_GB2312" w:eastAsia="仿宋_GB2312" w:cs="仿宋_GB2312"/>
                <w:color w:val="auto"/>
                <w:kern w:val="24"/>
                <w:sz w:val="24"/>
                <w:szCs w:val="21"/>
                <w:highlight w:val="none"/>
              </w:rPr>
              <w:t>（北京时间）。</w:t>
            </w:r>
          </w:p>
          <w:p>
            <w:pPr>
              <w:tabs>
                <w:tab w:val="left" w:pos="588"/>
              </w:tabs>
              <w:spacing w:line="360" w:lineRule="auto"/>
              <w:rPr>
                <w:rFonts w:hint="default" w:ascii="仿宋_GB2312" w:hAnsi="仿宋_GB2312" w:eastAsia="仿宋_GB2312" w:cs="仿宋_GB2312"/>
                <w:color w:val="auto"/>
                <w:kern w:val="24"/>
                <w:sz w:val="24"/>
                <w:szCs w:val="21"/>
                <w:highlight w:val="none"/>
                <w:lang w:val="en-US" w:eastAsia="zh-CN"/>
              </w:rPr>
            </w:pPr>
            <w:r>
              <w:rPr>
                <w:rFonts w:hint="eastAsia" w:ascii="仿宋_GB2312" w:hAnsi="仿宋_GB2312" w:eastAsia="仿宋_GB2312" w:cs="仿宋_GB2312"/>
                <w:color w:val="auto"/>
                <w:kern w:val="24"/>
                <w:sz w:val="24"/>
                <w:szCs w:val="21"/>
                <w:highlight w:val="none"/>
              </w:rPr>
              <w:t>响应文件递交地点：</w:t>
            </w:r>
            <w:r>
              <w:rPr>
                <w:rFonts w:hint="eastAsia" w:ascii="仿宋_GB2312" w:hAnsi="仿宋_GB2312" w:eastAsia="仿宋_GB2312" w:cs="仿宋_GB2312"/>
                <w:color w:val="auto"/>
                <w:kern w:val="0"/>
                <w:sz w:val="24"/>
                <w:highlight w:val="none"/>
                <w:lang w:eastAsia="zh-CN"/>
              </w:rPr>
              <w:t>西安市高新路</w:t>
            </w:r>
            <w:r>
              <w:rPr>
                <w:rFonts w:hint="eastAsia" w:ascii="仿宋_GB2312" w:hAnsi="仿宋_GB2312" w:eastAsia="仿宋_GB2312" w:cs="仿宋_GB2312"/>
                <w:color w:val="auto"/>
                <w:kern w:val="0"/>
                <w:sz w:val="24"/>
                <w:highlight w:val="none"/>
                <w:lang w:val="en-US" w:eastAsia="zh-CN"/>
              </w:rPr>
              <w:t>88号尚品国际C幢北12805室</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30"/>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7650" w:type="dxa"/>
            <w:vAlign w:val="center"/>
          </w:tcPr>
          <w:p>
            <w:pPr>
              <w:spacing w:line="3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磋商小组由</w:t>
            </w:r>
            <w:r>
              <w:rPr>
                <w:rFonts w:hint="eastAsia" w:ascii="仿宋_GB2312" w:hAnsi="仿宋_GB2312" w:eastAsia="仿宋_GB2312" w:cs="仿宋_GB2312"/>
                <w:color w:val="auto"/>
                <w:sz w:val="24"/>
                <w:highlight w:val="none"/>
                <w:u w:val="single"/>
              </w:rPr>
              <w:t xml:space="preserve"> 3 </w:t>
            </w:r>
            <w:r>
              <w:rPr>
                <w:rFonts w:hint="eastAsia" w:ascii="仿宋_GB2312" w:hAnsi="仿宋_GB2312" w:eastAsia="仿宋_GB2312" w:cs="仿宋_GB2312"/>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w:t>
            </w:r>
          </w:p>
        </w:tc>
        <w:tc>
          <w:tcPr>
            <w:tcW w:w="7650" w:type="dxa"/>
            <w:vAlign w:val="center"/>
          </w:tcPr>
          <w:p>
            <w:pP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本项目要求履约保证金，金额为成交合同金额的</w:t>
            </w:r>
            <w:r>
              <w:rPr>
                <w:rFonts w:hint="eastAsia" w:ascii="仿宋_GB2312" w:hAnsi="仿宋_GB2312" w:eastAsia="仿宋_GB2312" w:cs="仿宋_GB2312"/>
                <w:b/>
                <w:color w:val="auto"/>
                <w:sz w:val="24"/>
                <w:highlight w:val="none"/>
              </w:rPr>
              <w:t xml:space="preserve">10% </w:t>
            </w:r>
          </w:p>
          <w:p>
            <w:pPr>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jc w:val="center"/>
              <w:rPr>
                <w:rFonts w:hint="eastAsia" w:ascii="仿宋_GB2312" w:hAnsi="仿宋_GB2312" w:eastAsia="仿宋_GB2312" w:cs="仿宋_GB2312"/>
                <w:color w:val="auto"/>
                <w:sz w:val="24"/>
                <w:highlight w:val="none"/>
                <w:lang w:eastAsia="zh-CN"/>
              </w:rPr>
            </w:pPr>
            <w:bookmarkStart w:id="70" w:name="_Toc184043013"/>
            <w:bookmarkStart w:id="71" w:name="_Toc70687140"/>
            <w:bookmarkStart w:id="72" w:name="_Toc249515279"/>
            <w:bookmarkStart w:id="73" w:name="_Toc177189236"/>
            <w:bookmarkStart w:id="74" w:name="_Toc232395213"/>
            <w:bookmarkStart w:id="75" w:name="_Toc230013633"/>
            <w:bookmarkStart w:id="76" w:name="_Toc249525160"/>
            <w:bookmarkStart w:id="77" w:name="_Toc177995474"/>
            <w:bookmarkStart w:id="78" w:name="_Toc256342144"/>
            <w:bookmarkStart w:id="79" w:name="_Toc177817335"/>
            <w:bookmarkStart w:id="80" w:name="_Toc232176273"/>
            <w:bookmarkStart w:id="81" w:name="_Toc230583542"/>
            <w:bookmarkStart w:id="82" w:name="_Toc230099798"/>
            <w:bookmarkStart w:id="83" w:name="_Toc249515391"/>
            <w:bookmarkStart w:id="84" w:name="_Toc53722841"/>
            <w:bookmarkStart w:id="85" w:name="_Toc176882543"/>
            <w:r>
              <w:rPr>
                <w:rFonts w:hint="eastAsia" w:ascii="仿宋_GB2312" w:hAnsi="仿宋_GB2312" w:eastAsia="仿宋_GB2312" w:cs="仿宋_GB2312"/>
                <w:color w:val="auto"/>
                <w:sz w:val="24"/>
                <w:highlight w:val="none"/>
                <w:lang w:eastAsia="zh-CN"/>
              </w:rPr>
              <w:t>其他</w:t>
            </w:r>
          </w:p>
        </w:tc>
        <w:tc>
          <w:tcPr>
            <w:tcW w:w="7650" w:type="dxa"/>
            <w:vAlign w:val="center"/>
          </w:tcPr>
          <w:p>
            <w:pPr>
              <w:jc w:val="left"/>
              <w:rPr>
                <w:rFonts w:hint="eastAsia" w:ascii="仿宋_GB2312" w:hAnsi="仿宋_GB2312" w:eastAsia="仿宋_GB2312" w:cs="仿宋_GB2312"/>
                <w:color w:val="auto"/>
                <w:sz w:val="24"/>
                <w:highlight w:val="none"/>
              </w:rPr>
            </w:pPr>
            <w:r>
              <w:rPr>
                <w:rFonts w:hint="eastAsia" w:ascii="仿宋_GB2312" w:hAnsi="宋体" w:eastAsia="仿宋_GB2312"/>
                <w:b/>
                <w:bCs/>
                <w:sz w:val="24"/>
                <w:lang w:val="en-US" w:eastAsia="zh-CN"/>
              </w:rPr>
              <w:t>供应商如不参与项目投标，应在递交响应文件截止时间前一日以书面形式告知采购代理机构。否则，采购代理机构可以向财政部门反映情况并提供相关的佐证。供应商一年内累计出现三次该情形，将被监管部门记录为失信行为。</w:t>
            </w:r>
          </w:p>
        </w:tc>
      </w:tr>
    </w:tbl>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br w:type="page"/>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Pr>
        <w:pStyle w:val="79"/>
        <w:spacing w:before="24" w:after="24"/>
        <w:jc w:val="center"/>
        <w:rPr>
          <w:rFonts w:ascii="仿宋_GB2312" w:hAnsi="仿宋_GB2312" w:eastAsia="仿宋_GB2312" w:cs="仿宋_GB2312"/>
          <w:color w:val="auto"/>
          <w:szCs w:val="32"/>
          <w:highlight w:val="none"/>
        </w:rPr>
      </w:pPr>
      <w:bookmarkStart w:id="86" w:name="_Toc68590968"/>
      <w:bookmarkStart w:id="87" w:name="_Toc230099802"/>
      <w:bookmarkStart w:id="88" w:name="_Toc184114070"/>
      <w:bookmarkStart w:id="89" w:name="_Toc184025279"/>
      <w:bookmarkStart w:id="90" w:name="_Toc230013637"/>
      <w:r>
        <w:rPr>
          <w:rFonts w:hint="eastAsia" w:ascii="仿宋_GB2312" w:hAnsi="仿宋_GB2312" w:eastAsia="仿宋_GB2312" w:cs="仿宋_GB2312"/>
          <w:color w:val="auto"/>
          <w:szCs w:val="32"/>
          <w:highlight w:val="none"/>
        </w:rPr>
        <w:t>（二）供应商须知</w:t>
      </w:r>
      <w:bookmarkEnd w:id="86"/>
    </w:p>
    <w:p>
      <w:pPr>
        <w:pStyle w:val="79"/>
        <w:spacing w:before="24" w:after="24"/>
        <w:jc w:val="center"/>
        <w:rPr>
          <w:rFonts w:ascii="仿宋_GB2312" w:hAnsi="仿宋_GB2312" w:eastAsia="仿宋_GB2312" w:cs="仿宋_GB2312"/>
          <w:color w:val="auto"/>
          <w:sz w:val="30"/>
          <w:szCs w:val="30"/>
          <w:highlight w:val="none"/>
        </w:rPr>
      </w:pPr>
      <w:bookmarkStart w:id="91" w:name="_Toc68590969"/>
      <w:r>
        <w:rPr>
          <w:rFonts w:hint="eastAsia" w:ascii="仿宋_GB2312" w:hAnsi="仿宋_GB2312" w:eastAsia="仿宋_GB2312" w:cs="仿宋_GB2312"/>
          <w:color w:val="auto"/>
          <w:sz w:val="30"/>
          <w:szCs w:val="30"/>
          <w:highlight w:val="none"/>
        </w:rPr>
        <w:t>一、总  则</w:t>
      </w:r>
      <w:bookmarkEnd w:id="91"/>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92" w:name="_Hlt14560612"/>
      <w:bookmarkEnd w:id="92"/>
      <w:bookmarkStart w:id="93" w:name="_Toc25504"/>
      <w:bookmarkStart w:id="94" w:name="_Toc249515392"/>
      <w:bookmarkStart w:id="95" w:name="_Toc184043014"/>
      <w:bookmarkStart w:id="96" w:name="_Toc249515280"/>
      <w:bookmarkStart w:id="97" w:name="_Toc249525161"/>
      <w:r>
        <w:rPr>
          <w:rFonts w:hint="eastAsia" w:ascii="仿宋_GB2312" w:hAnsi="仿宋_GB2312" w:eastAsia="仿宋_GB2312" w:cs="仿宋_GB2312"/>
          <w:b/>
          <w:color w:val="auto"/>
          <w:sz w:val="24"/>
          <w:szCs w:val="21"/>
          <w:highlight w:val="none"/>
        </w:rPr>
        <w:t>1.     项目说明</w:t>
      </w:r>
      <w:bookmarkEnd w:id="93"/>
      <w:bookmarkEnd w:id="94"/>
      <w:bookmarkEnd w:id="95"/>
      <w:bookmarkEnd w:id="96"/>
      <w:bookmarkEnd w:id="97"/>
    </w:p>
    <w:p>
      <w:pPr>
        <w:pStyle w:val="65"/>
        <w:widowControl w:val="0"/>
        <w:tabs>
          <w:tab w:val="left" w:pos="588"/>
        </w:tabs>
        <w:spacing w:before="0" w:beforeAutospacing="0" w:after="0" w:afterAutospacing="0"/>
        <w:textAlignment w:val="auto"/>
        <w:rPr>
          <w:rFonts w:ascii="仿宋_GB2312" w:hAnsi="仿宋_GB2312" w:eastAsia="仿宋_GB2312" w:cs="仿宋_GB2312"/>
          <w:color w:val="auto"/>
          <w:kern w:val="24"/>
          <w:szCs w:val="21"/>
          <w:highlight w:val="none"/>
        </w:rPr>
      </w:pPr>
      <w:r>
        <w:rPr>
          <w:rFonts w:hint="eastAsia" w:ascii="仿宋_GB2312" w:hAnsi="仿宋_GB2312" w:eastAsia="仿宋_GB2312" w:cs="仿宋_GB2312"/>
          <w:color w:val="auto"/>
          <w:kern w:val="24"/>
          <w:szCs w:val="21"/>
          <w:highlight w:val="none"/>
        </w:rPr>
        <w:t>1.1    项目说明：</w:t>
      </w:r>
      <w:r>
        <w:rPr>
          <w:rFonts w:hint="eastAsia" w:ascii="仿宋_GB2312" w:hAnsi="仿宋_GB2312" w:eastAsia="仿宋_GB2312" w:cs="仿宋_GB2312"/>
          <w:b/>
          <w:color w:val="auto"/>
          <w:kern w:val="24"/>
          <w:szCs w:val="21"/>
          <w:highlight w:val="none"/>
        </w:rPr>
        <w:t>见供应商须知前附表</w:t>
      </w:r>
      <w:r>
        <w:rPr>
          <w:rFonts w:hint="eastAsia" w:ascii="仿宋_GB2312" w:hAnsi="仿宋_GB2312" w:eastAsia="仿宋_GB2312" w:cs="仿宋_GB2312"/>
          <w:color w:val="auto"/>
          <w:kern w:val="24"/>
          <w:szCs w:val="21"/>
          <w:highlight w:val="none"/>
        </w:rPr>
        <w:t>。</w:t>
      </w:r>
    </w:p>
    <w:p>
      <w:pPr>
        <w:pStyle w:val="5"/>
        <w:rPr>
          <w:rFonts w:ascii="仿宋_GB2312" w:hAnsi="仿宋_GB2312" w:eastAsia="仿宋_GB2312" w:cs="仿宋_GB2312"/>
          <w:b/>
          <w:color w:val="auto"/>
          <w:sz w:val="24"/>
          <w:szCs w:val="21"/>
          <w:highlight w:val="none"/>
        </w:rPr>
      </w:pPr>
      <w:bookmarkStart w:id="98" w:name="_Toc31509"/>
      <w:bookmarkStart w:id="99" w:name="_Toc249515393"/>
      <w:bookmarkStart w:id="100" w:name="_Toc184043015"/>
      <w:bookmarkStart w:id="101" w:name="_Toc70687142"/>
      <w:bookmarkStart w:id="102" w:name="_Toc249525162"/>
      <w:bookmarkStart w:id="103" w:name="_Toc249515281"/>
      <w:r>
        <w:rPr>
          <w:rFonts w:hint="eastAsia" w:ascii="仿宋_GB2312" w:hAnsi="仿宋_GB2312" w:eastAsia="仿宋_GB2312" w:cs="仿宋_GB2312"/>
          <w:b/>
          <w:color w:val="auto"/>
          <w:sz w:val="24"/>
          <w:szCs w:val="21"/>
          <w:highlight w:val="none"/>
        </w:rPr>
        <w:t>2.     定义</w:t>
      </w:r>
      <w:bookmarkEnd w:id="98"/>
      <w:bookmarkEnd w:id="99"/>
      <w:bookmarkEnd w:id="100"/>
      <w:bookmarkEnd w:id="101"/>
      <w:bookmarkEnd w:id="102"/>
      <w:bookmarkEnd w:id="103"/>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采购人：</w:t>
      </w:r>
      <w:r>
        <w:rPr>
          <w:rFonts w:hint="eastAsia" w:ascii="仿宋_GB2312" w:hAnsi="仿宋_GB2312" w:eastAsia="仿宋_GB2312" w:cs="仿宋_GB2312"/>
          <w:b/>
          <w:color w:val="auto"/>
          <w:sz w:val="24"/>
          <w:highlight w:val="none"/>
        </w:rPr>
        <w:t>见供应商须知前附表</w:t>
      </w:r>
      <w:r>
        <w:rPr>
          <w:rFonts w:hint="eastAsia" w:ascii="仿宋_GB2312" w:hAnsi="仿宋_GB2312" w:eastAsia="仿宋_GB2312" w:cs="仿宋_GB2312"/>
          <w:color w:val="auto"/>
          <w:sz w:val="24"/>
          <w:highlight w:val="none"/>
        </w:rPr>
        <w:t>。</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2.2    采购代理机构：</w:t>
      </w:r>
      <w:r>
        <w:rPr>
          <w:rFonts w:hint="eastAsia" w:ascii="仿宋_GB2312" w:hAnsi="仿宋_GB2312" w:eastAsia="仿宋_GB2312" w:cs="仿宋_GB2312"/>
          <w:b/>
          <w:color w:val="auto"/>
          <w:kern w:val="24"/>
          <w:sz w:val="24"/>
          <w:szCs w:val="21"/>
          <w:highlight w:val="none"/>
        </w:rPr>
        <w:t>见供应商须知前附表</w:t>
      </w:r>
      <w:r>
        <w:rPr>
          <w:rFonts w:hint="eastAsia" w:ascii="仿宋_GB2312" w:hAnsi="仿宋_GB2312" w:eastAsia="仿宋_GB2312" w:cs="仿宋_GB2312"/>
          <w:color w:val="auto"/>
          <w:kern w:val="24"/>
          <w:sz w:val="24"/>
          <w:szCs w:val="21"/>
          <w:highlight w:val="none"/>
        </w:rPr>
        <w:t>。</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highlight w:val="none"/>
        </w:rPr>
        <w:t>供应商须知前附表。</w:t>
      </w:r>
    </w:p>
    <w:p>
      <w:pPr>
        <w:pStyle w:val="23"/>
        <w:tabs>
          <w:tab w:val="left" w:pos="360"/>
        </w:tabs>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    磋商小组：指参照《中华人民共和国政府采购法》和财政部《政府采购竞争性磋商采购方式管理暂行办法》有关规定组建，依法依规履行其职责和义务的机构。</w:t>
      </w:r>
    </w:p>
    <w:p>
      <w:pPr>
        <w:pStyle w:val="5"/>
        <w:rPr>
          <w:rFonts w:ascii="仿宋_GB2312" w:hAnsi="仿宋_GB2312" w:eastAsia="仿宋_GB2312" w:cs="仿宋_GB2312"/>
          <w:b/>
          <w:color w:val="auto"/>
          <w:sz w:val="24"/>
          <w:szCs w:val="21"/>
          <w:highlight w:val="none"/>
        </w:rPr>
      </w:pPr>
      <w:bookmarkStart w:id="104" w:name="_Toc184043016"/>
      <w:bookmarkStart w:id="105" w:name="_Toc249515282"/>
      <w:bookmarkStart w:id="106" w:name="_Toc23705"/>
      <w:bookmarkStart w:id="107" w:name="_Toc389620168"/>
      <w:bookmarkStart w:id="108" w:name="_Toc70687143"/>
      <w:bookmarkStart w:id="109" w:name="_Toc249525163"/>
      <w:bookmarkStart w:id="110" w:name="_Toc249515394"/>
      <w:bookmarkStart w:id="111" w:name="_Toc385992329"/>
      <w:r>
        <w:rPr>
          <w:rFonts w:hint="eastAsia" w:ascii="仿宋_GB2312" w:hAnsi="仿宋_GB2312" w:eastAsia="仿宋_GB2312" w:cs="仿宋_GB2312"/>
          <w:b/>
          <w:color w:val="auto"/>
          <w:sz w:val="24"/>
          <w:szCs w:val="21"/>
          <w:highlight w:val="none"/>
        </w:rPr>
        <w:t>3.     合格的供应商</w:t>
      </w:r>
      <w:bookmarkEnd w:id="104"/>
      <w:bookmarkEnd w:id="105"/>
      <w:bookmarkEnd w:id="106"/>
      <w:bookmarkEnd w:id="107"/>
      <w:bookmarkEnd w:id="108"/>
      <w:bookmarkEnd w:id="109"/>
      <w:bookmarkEnd w:id="110"/>
      <w:bookmarkEnd w:id="111"/>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3.1    供应商基本资质要求详见</w:t>
      </w:r>
      <w:r>
        <w:rPr>
          <w:rFonts w:hint="eastAsia" w:ascii="仿宋_GB2312" w:hAnsi="仿宋_GB2312" w:eastAsia="仿宋_GB2312" w:cs="仿宋_GB2312"/>
          <w:b/>
          <w:color w:val="auto"/>
          <w:kern w:val="24"/>
          <w:sz w:val="24"/>
          <w:szCs w:val="21"/>
          <w:highlight w:val="none"/>
        </w:rPr>
        <w:t>供应商须知前附表</w:t>
      </w:r>
      <w:r>
        <w:rPr>
          <w:rFonts w:hint="eastAsia" w:ascii="仿宋_GB2312" w:hAnsi="仿宋_GB2312" w:eastAsia="仿宋_GB2312" w:cs="仿宋_GB2312"/>
          <w:color w:val="auto"/>
          <w:kern w:val="24"/>
          <w:sz w:val="24"/>
          <w:szCs w:val="21"/>
          <w:highlight w:val="none"/>
        </w:rPr>
        <w:t>。</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    本项目将执行在政府采购活动中查询及使用信用记录的规定，具体要求为：</w:t>
      </w:r>
    </w:p>
    <w:p>
      <w:pPr>
        <w:tabs>
          <w:tab w:val="left" w:pos="588"/>
        </w:tabs>
        <w:spacing w:line="360" w:lineRule="auto"/>
        <w:rPr>
          <w:rFonts w:hint="eastAsia"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3.2.1  供应商应当未被列入失信被执行人、重大税收违法案件当事人名单、政府采购</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 </w:t>
      </w:r>
      <w:r>
        <w:rPr>
          <w:rFonts w:hint="eastAsia" w:ascii="仿宋_GB2312" w:hAnsi="仿宋_GB2312" w:eastAsia="仿宋_GB2312" w:cs="仿宋_GB2312"/>
          <w:color w:val="auto"/>
          <w:kern w:val="24"/>
          <w:sz w:val="24"/>
          <w:szCs w:val="21"/>
          <w:highlight w:val="none"/>
          <w:lang w:val="en-US" w:eastAsia="zh-CN"/>
        </w:rPr>
        <w:t xml:space="preserve">      </w:t>
      </w:r>
      <w:r>
        <w:rPr>
          <w:rFonts w:hint="eastAsia" w:ascii="仿宋_GB2312" w:hAnsi="仿宋_GB2312" w:eastAsia="仿宋_GB2312" w:cs="仿宋_GB2312"/>
          <w:color w:val="auto"/>
          <w:kern w:val="24"/>
          <w:sz w:val="24"/>
          <w:szCs w:val="21"/>
          <w:highlight w:val="none"/>
        </w:rPr>
        <w:t>严重违法失信行为记录名单，否则不得参与政府采购活动。</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3.2.2  信用信息查询的时间：响应文件递交截止时间之后至磋商</w:t>
      </w:r>
      <w:r>
        <w:rPr>
          <w:rFonts w:hint="eastAsia" w:ascii="仿宋_GB2312" w:hAnsi="仿宋_GB2312" w:eastAsia="仿宋_GB2312" w:cs="仿宋_GB2312"/>
          <w:color w:val="auto"/>
          <w:sz w:val="24"/>
          <w:highlight w:val="none"/>
        </w:rPr>
        <w:t>资格性检查结束</w:t>
      </w:r>
      <w:r>
        <w:rPr>
          <w:rFonts w:hint="eastAsia" w:ascii="仿宋_GB2312" w:hAnsi="仿宋_GB2312" w:eastAsia="仿宋_GB2312" w:cs="仿宋_GB2312"/>
          <w:color w:val="auto"/>
          <w:kern w:val="24"/>
          <w:sz w:val="24"/>
          <w:szCs w:val="21"/>
          <w:highlight w:val="none"/>
        </w:rPr>
        <w:t xml:space="preserve">。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3.5    供应商应遵守《中华人民共和国政府采购法》及其它有关的中国法律和法规。</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3.6    若前附表中写明允许采购进口产品，供应商应保证所投产品可履行合法报通关手续进入中国关境内。</w:t>
      </w:r>
    </w:p>
    <w:p>
      <w:pPr>
        <w:pStyle w:val="23"/>
        <w:ind w:firstLine="480" w:firstLineChars="20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若前附表中不允许采购进口产品，如供应商所投产品为进口产品，其响应文件将被认定为无效。</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    如须知前附表中允许联合体投标，对联合体规定如下：</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3.7.1  两个及以上供应商可以组成一个投标联合体，以一个供应商的身份投标。</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3.7.2  联合体各方均应符合本须知规定。</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3.7.3  采购人根据采购项目对供应商的特殊要求，联合体中至少应当有一方符合相关规定。</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3.7.4  联合体各方应签订共同磋商响应协议，明确约定联合体各方承担的工作和相应的责任，并将共同响应协议作为响应文件的内容提交。</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3.7.5  大中型企业、其他自然人、法人或者其他组织与小型、微型企业组成联合体共同参加磋商，共同响应协议中应写明小型、微型企业的协议合同金额占到共同响应协议报价总金额的比例。</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3.7.6  以联合体形式参加政府采购活动的，联合体各方不得再单独参加或者与其他供应商另外组成联合体参加本项目同一合同项下的磋商，否则相关响应文件将被认定为无效。</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3.7.7  对联合体磋商的其他资格要求见须知前附表。</w:t>
      </w:r>
    </w:p>
    <w:p>
      <w:pPr>
        <w:pStyle w:val="2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3.8    </w:t>
      </w:r>
      <w:r>
        <w:rPr>
          <w:rFonts w:hint="eastAsia" w:ascii="仿宋_GB2312" w:hAnsi="宋体" w:eastAsia="仿宋_GB2312"/>
          <w:color w:val="auto"/>
          <w:sz w:val="24"/>
          <w:highlight w:val="none"/>
        </w:rPr>
        <w:t>若前附表中写明</w:t>
      </w:r>
      <w:r>
        <w:rPr>
          <w:rFonts w:ascii="仿宋_GB2312" w:hAnsi="宋体" w:eastAsia="仿宋_GB2312"/>
          <w:color w:val="auto"/>
          <w:sz w:val="24"/>
          <w:highlight w:val="none"/>
        </w:rPr>
        <w:t>专门面向中小企业采购</w:t>
      </w:r>
      <w:r>
        <w:rPr>
          <w:rFonts w:hint="eastAsia" w:ascii="仿宋_GB2312" w:hAnsi="宋体" w:eastAsia="仿宋_GB2312"/>
          <w:color w:val="auto"/>
          <w:sz w:val="24"/>
          <w:highlight w:val="none"/>
        </w:rPr>
        <w:t>的，如供应商为</w:t>
      </w:r>
      <w:r>
        <w:rPr>
          <w:rFonts w:ascii="仿宋_GB2312" w:hAnsi="宋体" w:eastAsia="仿宋_GB2312"/>
          <w:color w:val="auto"/>
          <w:sz w:val="24"/>
          <w:highlight w:val="none"/>
        </w:rPr>
        <w:t>非中小企业</w:t>
      </w:r>
      <w:r>
        <w:rPr>
          <w:rFonts w:hint="eastAsia" w:ascii="仿宋_GB2312" w:hAnsi="宋体" w:eastAsia="仿宋_GB2312"/>
          <w:color w:val="auto"/>
          <w:sz w:val="24"/>
          <w:highlight w:val="none"/>
        </w:rPr>
        <w:t>或所投产品为非中小企业产品，其响应文件将被认定为无效。</w:t>
      </w:r>
    </w:p>
    <w:p>
      <w:pPr>
        <w:pStyle w:val="5"/>
        <w:rPr>
          <w:rFonts w:ascii="仿宋_GB2312" w:hAnsi="仿宋_GB2312" w:eastAsia="仿宋_GB2312" w:cs="仿宋_GB2312"/>
          <w:b/>
          <w:color w:val="auto"/>
          <w:sz w:val="24"/>
          <w:szCs w:val="21"/>
          <w:highlight w:val="none"/>
        </w:rPr>
      </w:pPr>
      <w:bookmarkStart w:id="112" w:name="_Toc385992330"/>
      <w:bookmarkStart w:id="113" w:name="_Toc70687144"/>
      <w:bookmarkStart w:id="114" w:name="_Toc249525164"/>
      <w:bookmarkStart w:id="115" w:name="_Toc249515395"/>
      <w:bookmarkStart w:id="116" w:name="_Toc26580"/>
      <w:bookmarkStart w:id="117" w:name="_Toc249515283"/>
      <w:bookmarkStart w:id="118" w:name="_Toc389620169"/>
      <w:bookmarkStart w:id="119" w:name="_Toc184043017"/>
      <w:r>
        <w:rPr>
          <w:rFonts w:hint="eastAsia" w:ascii="仿宋_GB2312" w:hAnsi="仿宋_GB2312" w:eastAsia="仿宋_GB2312" w:cs="仿宋_GB2312"/>
          <w:b/>
          <w:color w:val="auto"/>
          <w:sz w:val="24"/>
          <w:szCs w:val="21"/>
          <w:highlight w:val="none"/>
        </w:rPr>
        <w:t>4.     磋商费用</w:t>
      </w:r>
      <w:bookmarkEnd w:id="112"/>
      <w:bookmarkEnd w:id="113"/>
      <w:bookmarkEnd w:id="114"/>
      <w:bookmarkEnd w:id="115"/>
      <w:bookmarkEnd w:id="116"/>
      <w:bookmarkEnd w:id="117"/>
      <w:bookmarkEnd w:id="118"/>
      <w:bookmarkEnd w:id="119"/>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4.1    供应商应承担所有与编写和提交响应文件有关的费用，无论磋商过程和结果如何，采购人在任何情况下均无义务和责任承担这些费用。</w:t>
      </w:r>
    </w:p>
    <w:p>
      <w:pPr>
        <w:pStyle w:val="23"/>
        <w:rPr>
          <w:rFonts w:ascii="仿宋_GB2312" w:hAnsi="仿宋_GB2312" w:eastAsia="仿宋_GB2312" w:cs="仿宋_GB2312"/>
          <w:color w:val="auto"/>
          <w:highlight w:val="none"/>
        </w:rPr>
      </w:pPr>
    </w:p>
    <w:p>
      <w:pPr>
        <w:pStyle w:val="79"/>
        <w:spacing w:before="24" w:after="24"/>
        <w:ind w:left="3313"/>
        <w:rPr>
          <w:rFonts w:ascii="仿宋_GB2312" w:hAnsi="仿宋_GB2312" w:eastAsia="仿宋_GB2312" w:cs="仿宋_GB2312"/>
          <w:color w:val="auto"/>
          <w:sz w:val="30"/>
          <w:szCs w:val="30"/>
          <w:highlight w:val="none"/>
        </w:rPr>
      </w:pPr>
      <w:bookmarkStart w:id="120" w:name="_Toc68590970"/>
      <w:r>
        <w:rPr>
          <w:rFonts w:hint="eastAsia" w:ascii="仿宋_GB2312" w:hAnsi="仿宋_GB2312" w:eastAsia="仿宋_GB2312" w:cs="仿宋_GB2312"/>
          <w:color w:val="auto"/>
          <w:sz w:val="30"/>
          <w:szCs w:val="30"/>
          <w:highlight w:val="none"/>
        </w:rPr>
        <w:t>二、磋商文件说明</w:t>
      </w:r>
      <w:bookmarkEnd w:id="120"/>
    </w:p>
    <w:p>
      <w:pPr>
        <w:rPr>
          <w:rFonts w:ascii="仿宋_GB2312" w:hAnsi="仿宋_GB2312" w:eastAsia="仿宋_GB2312" w:cs="仿宋_GB2312"/>
          <w:color w:val="auto"/>
          <w:highlight w:val="none"/>
        </w:rPr>
      </w:pPr>
    </w:p>
    <w:p>
      <w:pPr>
        <w:pStyle w:val="5"/>
        <w:numPr>
          <w:ilvl w:val="0"/>
          <w:numId w:val="5"/>
        </w:numPr>
        <w:rPr>
          <w:rFonts w:ascii="仿宋_GB2312" w:hAnsi="仿宋_GB2312" w:eastAsia="仿宋_GB2312" w:cs="仿宋_GB2312"/>
          <w:b/>
          <w:color w:val="auto"/>
          <w:sz w:val="24"/>
          <w:szCs w:val="21"/>
          <w:highlight w:val="none"/>
        </w:rPr>
      </w:pPr>
      <w:bookmarkStart w:id="121" w:name="_Toc128"/>
      <w:bookmarkStart w:id="122" w:name="_Toc184043019"/>
      <w:bookmarkStart w:id="123" w:name="_Toc249515397"/>
      <w:bookmarkStart w:id="124" w:name="_Toc249525166"/>
      <w:bookmarkStart w:id="125" w:name="_Toc249515285"/>
      <w:bookmarkStart w:id="126" w:name="_Toc70687146"/>
      <w:bookmarkStart w:id="127" w:name="_Toc389620171"/>
      <w:bookmarkStart w:id="128" w:name="_Toc385992332"/>
      <w:r>
        <w:rPr>
          <w:rFonts w:hint="eastAsia" w:ascii="仿宋_GB2312" w:hAnsi="仿宋_GB2312" w:eastAsia="仿宋_GB2312" w:cs="仿宋_GB2312"/>
          <w:b/>
          <w:color w:val="auto"/>
          <w:sz w:val="24"/>
          <w:szCs w:val="21"/>
          <w:highlight w:val="none"/>
        </w:rPr>
        <w:t xml:space="preserve">    通知</w:t>
      </w:r>
      <w:bookmarkEnd w:id="121"/>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color w:val="auto"/>
          <w:sz w:val="24"/>
          <w:szCs w:val="21"/>
          <w:highlight w:val="none"/>
        </w:rPr>
      </w:pPr>
      <w:bookmarkStart w:id="129" w:name="_Toc27223"/>
      <w:r>
        <w:rPr>
          <w:rFonts w:hint="eastAsia" w:ascii="仿宋_GB2312" w:hAnsi="仿宋_GB2312" w:eastAsia="仿宋_GB2312" w:cs="仿宋_GB2312"/>
          <w:b/>
          <w:color w:val="auto"/>
          <w:sz w:val="24"/>
          <w:szCs w:val="21"/>
          <w:highlight w:val="none"/>
        </w:rPr>
        <w:t>6.     磋商文件的构成</w:t>
      </w:r>
      <w:bookmarkEnd w:id="122"/>
      <w:bookmarkEnd w:id="123"/>
      <w:bookmarkEnd w:id="124"/>
      <w:bookmarkEnd w:id="125"/>
      <w:bookmarkEnd w:id="126"/>
      <w:bookmarkEnd w:id="127"/>
      <w:bookmarkEnd w:id="128"/>
      <w:bookmarkEnd w:id="12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    磋商文件用以阐明供应商所需提供的服务、工程或货物以及其它类似的义务、采购响应程序和合同条款。磋商文件包括如下五章内容：</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磋商公告</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供应商须知</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评审办法和标准</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合同草案条款</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采购内容及要求</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磋商响应文件格式</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仿宋_GB2312" w:hAnsi="仿宋_GB2312" w:eastAsia="仿宋_GB2312" w:cs="仿宋_GB2312"/>
          <w:b/>
          <w:color w:val="auto"/>
          <w:sz w:val="24"/>
          <w:szCs w:val="21"/>
          <w:highlight w:val="none"/>
        </w:rPr>
      </w:pPr>
      <w:bookmarkStart w:id="130" w:name="_Toc249515286"/>
      <w:bookmarkStart w:id="131" w:name="_Toc70687147"/>
      <w:bookmarkStart w:id="132" w:name="_Toc385992333"/>
      <w:bookmarkStart w:id="133" w:name="_Toc249515398"/>
      <w:bookmarkStart w:id="134" w:name="_Toc249525167"/>
      <w:bookmarkStart w:id="135" w:name="_Toc389620172"/>
      <w:bookmarkStart w:id="136" w:name="_Toc184043020"/>
      <w:bookmarkStart w:id="137" w:name="_Toc10350"/>
      <w:r>
        <w:rPr>
          <w:rFonts w:hint="eastAsia" w:ascii="仿宋_GB2312" w:hAnsi="仿宋_GB2312" w:eastAsia="仿宋_GB2312" w:cs="仿宋_GB2312"/>
          <w:b/>
          <w:color w:val="auto"/>
          <w:sz w:val="24"/>
          <w:szCs w:val="21"/>
          <w:highlight w:val="none"/>
        </w:rPr>
        <w:t>7.     磋商文件的澄清</w:t>
      </w:r>
      <w:bookmarkEnd w:id="130"/>
      <w:bookmarkEnd w:id="131"/>
      <w:bookmarkEnd w:id="132"/>
      <w:bookmarkEnd w:id="133"/>
      <w:bookmarkEnd w:id="134"/>
      <w:bookmarkEnd w:id="135"/>
      <w:bookmarkEnd w:id="136"/>
      <w:r>
        <w:rPr>
          <w:rFonts w:hint="eastAsia" w:ascii="仿宋_GB2312" w:hAnsi="仿宋_GB2312" w:eastAsia="仿宋_GB2312" w:cs="仿宋_GB2312"/>
          <w:b/>
          <w:color w:val="auto"/>
          <w:sz w:val="24"/>
          <w:szCs w:val="21"/>
          <w:highlight w:val="none"/>
        </w:rPr>
        <w:t>和修改</w:t>
      </w:r>
      <w:bookmarkEnd w:id="137"/>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138" w:name="_Toc389620173"/>
      <w:bookmarkStart w:id="139" w:name="_Toc385992334"/>
      <w:bookmarkStart w:id="140" w:name="_Toc70687148"/>
      <w:r>
        <w:rPr>
          <w:rFonts w:hint="eastAsia" w:ascii="仿宋_GB2312" w:hAnsi="仿宋_GB2312" w:eastAsia="仿宋_GB2312" w:cs="仿宋_GB2312"/>
          <w:color w:val="auto"/>
          <w:sz w:val="24"/>
          <w:highlight w:val="none"/>
        </w:rPr>
        <w:t xml:space="preserve">7.1    </w:t>
      </w:r>
      <w:bookmarkEnd w:id="138"/>
      <w:bookmarkEnd w:id="139"/>
      <w:bookmarkEnd w:id="140"/>
      <w:bookmarkStart w:id="141" w:name="_Toc503063425"/>
      <w:bookmarkStart w:id="142" w:name="_Toc500746969"/>
      <w:bookmarkStart w:id="143" w:name="_Toc496324582"/>
      <w:bookmarkStart w:id="144" w:name="_Toc70687149"/>
      <w:bookmarkStart w:id="145" w:name="_Toc500747065"/>
      <w:bookmarkStart w:id="146" w:name="_Toc499711046"/>
      <w:bookmarkStart w:id="147" w:name="_Toc500747192"/>
      <w:bookmarkStart w:id="148" w:name="_Toc385992335"/>
      <w:bookmarkStart w:id="149" w:name="_Toc53722843"/>
      <w:bookmarkStart w:id="150" w:name="_Toc499711887"/>
      <w:bookmarkStart w:id="151" w:name="_Toc389620174"/>
      <w:bookmarkStart w:id="152" w:name="_Toc492955418"/>
      <w:r>
        <w:rPr>
          <w:rFonts w:hint="eastAsia" w:ascii="仿宋_GB2312" w:hAnsi="仿宋_GB2312" w:eastAsia="仿宋_GB2312" w:cs="仿宋_GB2312"/>
          <w:color w:val="auto"/>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7.3    澄清或修改的内容可能影响响应文件编制的，采购人或采购代理机构可适当延长首次响应文件递交截止时间，并以书面形式通知所有领取磋商文件的供应商。</w:t>
      </w:r>
    </w:p>
    <w:p>
      <w:pPr>
        <w:pStyle w:val="79"/>
        <w:spacing w:before="24" w:after="24"/>
        <w:ind w:left="3313"/>
        <w:rPr>
          <w:rFonts w:ascii="仿宋_GB2312" w:hAnsi="仿宋_GB2312" w:eastAsia="仿宋_GB2312" w:cs="仿宋_GB2312"/>
          <w:color w:val="auto"/>
          <w:sz w:val="30"/>
          <w:szCs w:val="30"/>
          <w:highlight w:val="none"/>
        </w:rPr>
      </w:pPr>
      <w:bookmarkStart w:id="153" w:name="_Toc177817337"/>
      <w:bookmarkStart w:id="154" w:name="_Toc230099800"/>
      <w:bookmarkStart w:id="155" w:name="_Toc230013635"/>
      <w:bookmarkStart w:id="156" w:name="_Toc256342146"/>
      <w:bookmarkStart w:id="157" w:name="_Toc249525169"/>
      <w:bookmarkStart w:id="158" w:name="_Toc249515288"/>
      <w:bookmarkStart w:id="159" w:name="_Toc249515400"/>
      <w:bookmarkStart w:id="160" w:name="_Toc232395215"/>
      <w:bookmarkStart w:id="161" w:name="_Toc176882545"/>
      <w:bookmarkStart w:id="162" w:name="_Toc184043022"/>
      <w:bookmarkStart w:id="163" w:name="_Toc230583544"/>
      <w:bookmarkStart w:id="164" w:name="_Toc68590971"/>
      <w:bookmarkStart w:id="165" w:name="_Toc177995476"/>
      <w:bookmarkStart w:id="166" w:name="_Toc177189238"/>
      <w:bookmarkStart w:id="167" w:name="_Toc232176275"/>
      <w:r>
        <w:rPr>
          <w:rFonts w:hint="eastAsia" w:ascii="仿宋_GB2312" w:hAnsi="仿宋_GB2312" w:eastAsia="仿宋_GB2312" w:cs="仿宋_GB2312"/>
          <w:color w:val="auto"/>
          <w:sz w:val="30"/>
          <w:szCs w:val="30"/>
          <w:highlight w:val="none"/>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5"/>
        <w:rPr>
          <w:rFonts w:ascii="仿宋_GB2312" w:hAnsi="仿宋_GB2312" w:eastAsia="仿宋_GB2312" w:cs="仿宋_GB2312"/>
          <w:b/>
          <w:color w:val="auto"/>
          <w:sz w:val="24"/>
          <w:szCs w:val="21"/>
          <w:highlight w:val="none"/>
        </w:rPr>
      </w:pPr>
      <w:bookmarkStart w:id="168" w:name="_Toc249515401"/>
      <w:bookmarkStart w:id="169" w:name="_Toc30150"/>
      <w:bookmarkStart w:id="170" w:name="_Toc249515289"/>
      <w:bookmarkStart w:id="171" w:name="_Toc70687150"/>
      <w:bookmarkStart w:id="172" w:name="_Toc249525170"/>
      <w:bookmarkStart w:id="173" w:name="_Toc184043023"/>
      <w:bookmarkStart w:id="174" w:name="_Toc389620176"/>
      <w:bookmarkStart w:id="175" w:name="_Toc385992337"/>
      <w:r>
        <w:rPr>
          <w:rFonts w:hint="eastAsia" w:ascii="仿宋_GB2312" w:hAnsi="仿宋_GB2312" w:eastAsia="仿宋_GB2312" w:cs="仿宋_GB2312"/>
          <w:b/>
          <w:color w:val="auto"/>
          <w:sz w:val="24"/>
          <w:szCs w:val="21"/>
          <w:highlight w:val="none"/>
        </w:rPr>
        <w:t>8.     响应文件语言</w:t>
      </w:r>
      <w:bookmarkEnd w:id="168"/>
      <w:bookmarkEnd w:id="169"/>
      <w:bookmarkEnd w:id="170"/>
      <w:bookmarkEnd w:id="171"/>
      <w:bookmarkEnd w:id="172"/>
      <w:bookmarkEnd w:id="173"/>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    响应文件及与响应相关的所有文件均应以中文书写。</w:t>
      </w:r>
    </w:p>
    <w:p>
      <w:pPr>
        <w:pStyle w:val="5"/>
        <w:rPr>
          <w:rFonts w:ascii="仿宋_GB2312" w:hAnsi="仿宋_GB2312" w:eastAsia="仿宋_GB2312" w:cs="仿宋_GB2312"/>
          <w:b/>
          <w:color w:val="auto"/>
          <w:sz w:val="24"/>
          <w:szCs w:val="21"/>
          <w:highlight w:val="none"/>
        </w:rPr>
      </w:pPr>
      <w:bookmarkStart w:id="176" w:name="_Toc70687151"/>
      <w:bookmarkStart w:id="177" w:name="_Toc249515290"/>
      <w:bookmarkStart w:id="178" w:name="_Toc249525171"/>
      <w:bookmarkStart w:id="179" w:name="_Toc249515402"/>
      <w:bookmarkStart w:id="180" w:name="_Toc184043024"/>
      <w:bookmarkStart w:id="181" w:name="_Toc18327"/>
      <w:r>
        <w:rPr>
          <w:rFonts w:hint="eastAsia" w:ascii="仿宋_GB2312" w:hAnsi="仿宋_GB2312" w:eastAsia="仿宋_GB2312" w:cs="仿宋_GB2312"/>
          <w:b/>
          <w:color w:val="auto"/>
          <w:sz w:val="24"/>
          <w:szCs w:val="21"/>
          <w:highlight w:val="none"/>
        </w:rPr>
        <w:t>9.     计量单位</w:t>
      </w:r>
      <w:bookmarkEnd w:id="174"/>
      <w:bookmarkEnd w:id="175"/>
      <w:bookmarkEnd w:id="176"/>
      <w:bookmarkEnd w:id="177"/>
      <w:bookmarkEnd w:id="178"/>
      <w:bookmarkEnd w:id="179"/>
      <w:bookmarkEnd w:id="180"/>
      <w:bookmarkEnd w:id="181"/>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除在磋商文件的技术规格中另有规定外，计量单位应使用中华人民共和国法定计量单位。</w:t>
      </w:r>
    </w:p>
    <w:p>
      <w:pPr>
        <w:pStyle w:val="5"/>
        <w:rPr>
          <w:rFonts w:ascii="仿宋_GB2312" w:hAnsi="仿宋_GB2312" w:eastAsia="仿宋_GB2312" w:cs="仿宋_GB2312"/>
          <w:b/>
          <w:color w:val="auto"/>
          <w:sz w:val="24"/>
          <w:szCs w:val="21"/>
          <w:highlight w:val="none"/>
        </w:rPr>
      </w:pPr>
      <w:bookmarkStart w:id="182" w:name="_Toc249515291"/>
      <w:bookmarkStart w:id="183" w:name="_Toc184043025"/>
      <w:bookmarkStart w:id="184" w:name="_Toc389620177"/>
      <w:bookmarkStart w:id="185" w:name="_Toc70687152"/>
      <w:bookmarkStart w:id="186" w:name="_Toc385992338"/>
      <w:bookmarkStart w:id="187" w:name="_Toc249525172"/>
      <w:bookmarkStart w:id="188" w:name="_Toc29318"/>
      <w:bookmarkStart w:id="189" w:name="_Toc249515403"/>
      <w:r>
        <w:rPr>
          <w:rFonts w:hint="eastAsia" w:ascii="仿宋_GB2312" w:hAnsi="仿宋_GB2312" w:eastAsia="仿宋_GB2312" w:cs="仿宋_GB2312"/>
          <w:b/>
          <w:color w:val="auto"/>
          <w:sz w:val="24"/>
          <w:szCs w:val="21"/>
          <w:highlight w:val="none"/>
        </w:rPr>
        <w:t>10.    响应文件的组成</w:t>
      </w:r>
      <w:bookmarkEnd w:id="182"/>
      <w:bookmarkEnd w:id="183"/>
      <w:bookmarkEnd w:id="184"/>
      <w:bookmarkEnd w:id="185"/>
      <w:bookmarkEnd w:id="186"/>
      <w:bookmarkEnd w:id="187"/>
      <w:bookmarkEnd w:id="188"/>
      <w:bookmarkEnd w:id="189"/>
    </w:p>
    <w:p>
      <w:pPr>
        <w:tabs>
          <w:tab w:val="left" w:pos="588"/>
        </w:tabs>
        <w:spacing w:line="360" w:lineRule="auto"/>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10.1   供应商编写的响应文件</w:t>
      </w:r>
      <w:r>
        <w:rPr>
          <w:rFonts w:hint="eastAsia" w:ascii="仿宋_GB2312" w:hAnsi="仿宋_GB2312" w:eastAsia="仿宋_GB2312" w:cs="仿宋_GB2312"/>
          <w:b/>
          <w:color w:val="auto"/>
          <w:sz w:val="24"/>
          <w:highlight w:val="none"/>
        </w:rPr>
        <w:t>由《资格证明文件》、《商务及技术文件》两部分</w:t>
      </w:r>
      <w:r>
        <w:rPr>
          <w:rFonts w:hint="eastAsia" w:ascii="仿宋_GB2312" w:hAnsi="仿宋_GB2312" w:eastAsia="仿宋_GB2312" w:cs="仿宋_GB2312"/>
          <w:color w:val="auto"/>
          <w:sz w:val="24"/>
          <w:highlight w:val="none"/>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   供应商提供的以上材料必须真实有效，任何一项的虚假将导致其响应被拒绝。</w:t>
      </w:r>
    </w:p>
    <w:p>
      <w:pPr>
        <w:pStyle w:val="5"/>
        <w:rPr>
          <w:rFonts w:ascii="仿宋_GB2312" w:hAnsi="仿宋_GB2312" w:eastAsia="仿宋_GB2312" w:cs="仿宋_GB2312"/>
          <w:b/>
          <w:color w:val="auto"/>
          <w:sz w:val="24"/>
          <w:szCs w:val="21"/>
          <w:highlight w:val="none"/>
        </w:rPr>
      </w:pPr>
      <w:bookmarkStart w:id="190" w:name="_Toc385992339"/>
      <w:bookmarkStart w:id="191" w:name="_Toc70687153"/>
      <w:bookmarkStart w:id="192" w:name="_Toc249515292"/>
      <w:bookmarkStart w:id="193" w:name="_Toc26312"/>
      <w:bookmarkStart w:id="194" w:name="_Toc249515404"/>
      <w:bookmarkStart w:id="195" w:name="_Toc249525173"/>
      <w:bookmarkStart w:id="196" w:name="_Toc184043026"/>
      <w:bookmarkStart w:id="197" w:name="_Toc389620178"/>
      <w:r>
        <w:rPr>
          <w:rFonts w:hint="eastAsia" w:ascii="仿宋_GB2312" w:hAnsi="仿宋_GB2312" w:eastAsia="仿宋_GB2312" w:cs="仿宋_GB2312"/>
          <w:b/>
          <w:color w:val="auto"/>
          <w:sz w:val="24"/>
          <w:highlight w:val="none"/>
        </w:rPr>
        <w:t>11.    响应文件格式</w:t>
      </w:r>
      <w:bookmarkEnd w:id="190"/>
      <w:bookmarkEnd w:id="191"/>
      <w:bookmarkEnd w:id="192"/>
      <w:bookmarkEnd w:id="193"/>
      <w:bookmarkEnd w:id="194"/>
      <w:bookmarkEnd w:id="195"/>
      <w:bookmarkEnd w:id="196"/>
      <w:bookmarkEnd w:id="197"/>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11.1   对于磋商文件第六章中已经提供了格式的响应文件内容，供应商必须按提供的响应文件格式进行填写和编制，没有提供格式的可自行设计。</w:t>
      </w:r>
    </w:p>
    <w:p>
      <w:pPr>
        <w:pStyle w:val="5"/>
        <w:rPr>
          <w:rFonts w:ascii="仿宋_GB2312" w:hAnsi="仿宋_GB2312" w:eastAsia="仿宋_GB2312" w:cs="仿宋_GB2312"/>
          <w:b/>
          <w:color w:val="auto"/>
          <w:sz w:val="24"/>
          <w:szCs w:val="21"/>
          <w:highlight w:val="none"/>
        </w:rPr>
      </w:pPr>
      <w:bookmarkStart w:id="198" w:name="_Toc26688"/>
      <w:r>
        <w:rPr>
          <w:rFonts w:hint="eastAsia" w:ascii="仿宋_GB2312" w:hAnsi="仿宋_GB2312" w:eastAsia="仿宋_GB2312" w:cs="仿宋_GB2312"/>
          <w:b/>
          <w:color w:val="auto"/>
          <w:sz w:val="24"/>
          <w:szCs w:val="21"/>
          <w:highlight w:val="none"/>
        </w:rPr>
        <w:t>12.    响应报价</w:t>
      </w:r>
      <w:bookmarkEnd w:id="198"/>
    </w:p>
    <w:p>
      <w:pPr>
        <w:tabs>
          <w:tab w:val="left" w:pos="0"/>
          <w:tab w:val="left" w:pos="540"/>
          <w:tab w:val="left" w:pos="720"/>
        </w:tabs>
        <w:spacing w:line="360" w:lineRule="auto"/>
        <w:ind w:left="840" w:hanging="840" w:hangingChars="350"/>
        <w:rPr>
          <w:rFonts w:ascii="仿宋_GB2312" w:hAnsi="仿宋_GB2312" w:eastAsia="仿宋_GB2312" w:cs="仿宋_GB2312"/>
          <w:color w:val="auto"/>
          <w:highlight w:val="none"/>
        </w:rPr>
      </w:pPr>
      <w:r>
        <w:rPr>
          <w:rFonts w:hint="eastAsia" w:ascii="仿宋_GB2312" w:hAnsi="仿宋_GB2312" w:eastAsia="仿宋_GB2312" w:cs="仿宋_GB2312"/>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szCs w:val="21"/>
          <w:highlight w:val="none"/>
        </w:rPr>
        <w:t>供应商须知前附表。</w:t>
      </w:r>
    </w:p>
    <w:p>
      <w:pPr>
        <w:tabs>
          <w:tab w:val="left" w:pos="540"/>
          <w:tab w:val="left" w:pos="8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12.2   供应商应在响应分项报价表中详细列出所报货物和</w:t>
      </w:r>
      <w:r>
        <w:rPr>
          <w:rFonts w:hint="eastAsia" w:ascii="仿宋_GB2312" w:hAnsi="仿宋_GB2312" w:eastAsia="仿宋_GB2312" w:cs="仿宋_GB2312"/>
          <w:color w:val="auto"/>
          <w:sz w:val="24"/>
          <w:highlight w:val="none"/>
        </w:rPr>
        <w:t>服务</w:t>
      </w:r>
      <w:r>
        <w:rPr>
          <w:rFonts w:hint="eastAsia" w:ascii="仿宋_GB2312" w:hAnsi="仿宋_GB2312" w:eastAsia="仿宋_GB2312" w:cs="仿宋_GB2312"/>
          <w:color w:val="auto"/>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12.5   供应商每次对每种</w:t>
      </w:r>
      <w:r>
        <w:rPr>
          <w:rFonts w:hint="eastAsia" w:ascii="仿宋_GB2312" w:hAnsi="仿宋_GB2312" w:eastAsia="仿宋_GB2312" w:cs="仿宋_GB2312"/>
          <w:color w:val="auto"/>
          <w:kern w:val="24"/>
          <w:sz w:val="24"/>
          <w:szCs w:val="21"/>
          <w:highlight w:val="none"/>
          <w:u w:val="single"/>
        </w:rPr>
        <w:t xml:space="preserve"> </w:t>
      </w:r>
      <w:r>
        <w:rPr>
          <w:rFonts w:hint="eastAsia" w:ascii="仿宋_GB2312" w:hAnsi="仿宋_GB2312" w:eastAsia="仿宋_GB2312" w:cs="仿宋_GB2312"/>
          <w:color w:val="auto"/>
          <w:kern w:val="24"/>
          <w:sz w:val="24"/>
          <w:szCs w:val="21"/>
          <w:highlight w:val="none"/>
          <w:u w:val="single"/>
          <w:lang w:eastAsia="zh-CN"/>
        </w:rPr>
        <w:t>报价类型</w:t>
      </w:r>
      <w:r>
        <w:rPr>
          <w:rFonts w:hint="eastAsia" w:ascii="仿宋_GB2312" w:hAnsi="仿宋_GB2312" w:eastAsia="仿宋_GB2312" w:cs="仿宋_GB2312"/>
          <w:color w:val="auto"/>
          <w:kern w:val="24"/>
          <w:sz w:val="24"/>
          <w:szCs w:val="21"/>
          <w:highlight w:val="none"/>
          <w:u w:val="single"/>
          <w:lang w:val="en-US" w:eastAsia="zh-CN"/>
        </w:rPr>
        <w:t xml:space="preserve"> </w:t>
      </w:r>
      <w:r>
        <w:rPr>
          <w:rFonts w:hint="eastAsia" w:ascii="仿宋_GB2312" w:hAnsi="仿宋_GB2312" w:eastAsia="仿宋_GB2312" w:cs="仿宋_GB2312"/>
          <w:color w:val="auto"/>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highlight w:val="none"/>
        </w:rPr>
        <w:t>12.6   供应商根据本须知12.2条规定将响应报价分成几部分并按</w:t>
      </w:r>
      <w:r>
        <w:rPr>
          <w:rFonts w:hint="eastAsia" w:ascii="仿宋_GB2312" w:hAnsi="仿宋_GB2312" w:eastAsia="仿宋_GB2312" w:cs="仿宋_GB2312"/>
          <w:color w:val="auto"/>
          <w:kern w:val="24"/>
          <w:sz w:val="24"/>
          <w:szCs w:val="21"/>
          <w:highlight w:val="none"/>
        </w:rPr>
        <w:t>磋商文件第六章提供的格式填写“响应分项报价表”，只是为了方便采购人对响应文件进行比较，并不限制采购人以其它方式签订合同的权力。</w:t>
      </w:r>
    </w:p>
    <w:p>
      <w:pPr>
        <w:pStyle w:val="5"/>
        <w:rPr>
          <w:rFonts w:ascii="仿宋_GB2312" w:hAnsi="仿宋_GB2312" w:eastAsia="仿宋_GB2312" w:cs="仿宋_GB2312"/>
          <w:b/>
          <w:color w:val="auto"/>
          <w:sz w:val="24"/>
          <w:szCs w:val="21"/>
          <w:highlight w:val="none"/>
        </w:rPr>
      </w:pPr>
      <w:bookmarkStart w:id="199" w:name="_Toc385992341"/>
      <w:bookmarkStart w:id="200" w:name="_Toc20687"/>
      <w:bookmarkStart w:id="201" w:name="_Toc249515294"/>
      <w:bookmarkStart w:id="202" w:name="_Toc70687155"/>
      <w:bookmarkStart w:id="203" w:name="_Toc249525175"/>
      <w:bookmarkStart w:id="204" w:name="_Toc389620180"/>
      <w:bookmarkStart w:id="205" w:name="_Toc249515406"/>
      <w:bookmarkStart w:id="206" w:name="_Toc184043028"/>
      <w:r>
        <w:rPr>
          <w:rFonts w:hint="eastAsia" w:ascii="仿宋_GB2312" w:hAnsi="仿宋_GB2312" w:eastAsia="仿宋_GB2312" w:cs="仿宋_GB2312"/>
          <w:b/>
          <w:color w:val="auto"/>
          <w:sz w:val="24"/>
          <w:szCs w:val="21"/>
          <w:highlight w:val="none"/>
        </w:rPr>
        <w:t>13.    报价货币</w:t>
      </w:r>
      <w:bookmarkEnd w:id="199"/>
      <w:bookmarkEnd w:id="200"/>
      <w:bookmarkEnd w:id="201"/>
      <w:bookmarkEnd w:id="202"/>
      <w:bookmarkEnd w:id="203"/>
      <w:bookmarkEnd w:id="204"/>
      <w:bookmarkEnd w:id="205"/>
      <w:bookmarkEnd w:id="206"/>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磋商响应函、响应报价一览表、响应分项报价表、最后报价表等所有报价一律用人民币填报。采购人不接受任何非人民币币种的报价。</w:t>
      </w:r>
      <w:bookmarkStart w:id="207" w:name="_Toc385992342"/>
      <w:bookmarkStart w:id="208" w:name="_Toc389620181"/>
    </w:p>
    <w:bookmarkEnd w:id="207"/>
    <w:bookmarkEnd w:id="208"/>
    <w:p>
      <w:pPr>
        <w:pStyle w:val="5"/>
        <w:rPr>
          <w:rFonts w:ascii="仿宋_GB2312" w:hAnsi="仿宋_GB2312" w:eastAsia="仿宋_GB2312" w:cs="仿宋_GB2312"/>
          <w:b/>
          <w:color w:val="auto"/>
          <w:kern w:val="24"/>
          <w:sz w:val="24"/>
          <w:szCs w:val="21"/>
          <w:highlight w:val="none"/>
        </w:rPr>
      </w:pPr>
      <w:bookmarkStart w:id="209" w:name="止观"/>
      <w:bookmarkEnd w:id="209"/>
      <w:r>
        <w:rPr>
          <w:rFonts w:hint="eastAsia" w:ascii="仿宋_GB2312" w:hAnsi="仿宋_GB2312" w:eastAsia="仿宋_GB2312" w:cs="仿宋_GB2312"/>
          <w:b/>
          <w:color w:val="auto"/>
          <w:sz w:val="24"/>
          <w:szCs w:val="21"/>
          <w:highlight w:val="none"/>
        </w:rPr>
        <w:t>14.    磋商保证金</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szCs w:val="21"/>
          <w:highlight w:val="none"/>
        </w:rPr>
        <w:t>14.1   本项目须在磋商前向采购代理机构提供</w:t>
      </w:r>
      <w:r>
        <w:rPr>
          <w:rFonts w:hint="eastAsia" w:ascii="仿宋_GB2312" w:hAnsi="仿宋_GB2312" w:eastAsia="仿宋_GB2312" w:cs="仿宋_GB2312"/>
          <w:b/>
          <w:color w:val="auto"/>
          <w:sz w:val="24"/>
          <w:szCs w:val="21"/>
          <w:highlight w:val="none"/>
        </w:rPr>
        <w:t>供应商须知前附表</w:t>
      </w:r>
      <w:r>
        <w:rPr>
          <w:rFonts w:hint="eastAsia" w:ascii="仿宋_GB2312" w:hAnsi="仿宋_GB2312" w:eastAsia="仿宋_GB2312" w:cs="仿宋_GB2312"/>
          <w:color w:val="auto"/>
          <w:sz w:val="24"/>
          <w:szCs w:val="21"/>
          <w:highlight w:val="none"/>
        </w:rPr>
        <w:t>规定金额的保证金，并作为其响应文件的一部分。</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14.2   保证金的货币为人民币，并采用下列任何一种非现金形式向采购代理机构递交：</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电汇；</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银行转账；</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14.5   未成交供应商的保证金, 采购代理机构将在成交通知书发出后5个工作日内退还。</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供应商在提交响应文件截止时间后撤销响应文件的；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供应商在响应文件中提供虚假材料的；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除因不可抗力外，成交供应商在规定期限内未能根据本须知第26条规定签订合同； </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供应商与采购人、其他供应商或者采购代理机构恶意串通的；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成交供应商未按本须知第29条规定缴纳服务费。</w:t>
      </w:r>
    </w:p>
    <w:p>
      <w:pPr>
        <w:pStyle w:val="5"/>
        <w:rPr>
          <w:rFonts w:ascii="仿宋_GB2312" w:hAnsi="仿宋_GB2312" w:eastAsia="仿宋_GB2312" w:cs="仿宋_GB2312"/>
          <w:b/>
          <w:color w:val="auto"/>
          <w:sz w:val="24"/>
          <w:szCs w:val="21"/>
          <w:highlight w:val="none"/>
        </w:rPr>
      </w:pPr>
      <w:bookmarkStart w:id="210" w:name="_Toc249515408"/>
      <w:bookmarkStart w:id="211" w:name="_Toc7949"/>
      <w:bookmarkStart w:id="212" w:name="_Toc249515296"/>
      <w:bookmarkStart w:id="213" w:name="_Toc249525177"/>
      <w:r>
        <w:rPr>
          <w:rFonts w:hint="eastAsia" w:ascii="仿宋_GB2312" w:hAnsi="仿宋_GB2312" w:eastAsia="仿宋_GB2312" w:cs="仿宋_GB2312"/>
          <w:b/>
          <w:color w:val="auto"/>
          <w:sz w:val="24"/>
          <w:szCs w:val="21"/>
          <w:highlight w:val="none"/>
        </w:rPr>
        <w:t>15.    磋商有效期</w:t>
      </w:r>
      <w:bookmarkEnd w:id="210"/>
      <w:bookmarkEnd w:id="211"/>
      <w:bookmarkEnd w:id="212"/>
      <w:bookmarkEnd w:id="213"/>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15.1   磋商有效期见</w:t>
      </w:r>
      <w:r>
        <w:rPr>
          <w:rFonts w:hint="eastAsia" w:ascii="仿宋_GB2312" w:hAnsi="仿宋_GB2312" w:eastAsia="仿宋_GB2312" w:cs="仿宋_GB2312"/>
          <w:b/>
          <w:color w:val="auto"/>
          <w:sz w:val="24"/>
          <w:highlight w:val="none"/>
        </w:rPr>
        <w:t>本须知前附表</w:t>
      </w:r>
      <w:r>
        <w:rPr>
          <w:rFonts w:hint="eastAsia" w:ascii="仿宋_GB2312" w:hAnsi="仿宋_GB2312" w:eastAsia="仿宋_GB2312" w:cs="仿宋_GB2312"/>
          <w:color w:val="auto"/>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仿宋_GB2312" w:hAnsi="仿宋_GB2312" w:eastAsia="仿宋_GB2312" w:cs="仿宋_GB2312"/>
          <w:b/>
          <w:color w:val="auto"/>
          <w:sz w:val="24"/>
          <w:szCs w:val="21"/>
          <w:highlight w:val="none"/>
        </w:rPr>
      </w:pPr>
      <w:bookmarkStart w:id="214" w:name="_Toc389620185"/>
      <w:bookmarkStart w:id="215" w:name="_Toc70687160"/>
      <w:bookmarkStart w:id="216" w:name="_Toc249515297"/>
      <w:bookmarkStart w:id="217" w:name="_Toc385992346"/>
      <w:bookmarkStart w:id="218" w:name="_Toc16612"/>
      <w:bookmarkStart w:id="219" w:name="_Toc184043033"/>
      <w:bookmarkStart w:id="220" w:name="_Toc249515409"/>
      <w:bookmarkStart w:id="221" w:name="_Toc249525178"/>
      <w:r>
        <w:rPr>
          <w:rFonts w:hint="eastAsia" w:ascii="仿宋_GB2312" w:hAnsi="仿宋_GB2312" w:eastAsia="仿宋_GB2312" w:cs="仿宋_GB2312"/>
          <w:b/>
          <w:color w:val="auto"/>
          <w:sz w:val="24"/>
          <w:szCs w:val="21"/>
          <w:highlight w:val="none"/>
        </w:rPr>
        <w:t>16.    响应文件的制作和签署</w:t>
      </w:r>
      <w:bookmarkEnd w:id="214"/>
      <w:bookmarkEnd w:id="215"/>
      <w:bookmarkEnd w:id="216"/>
      <w:bookmarkEnd w:id="217"/>
      <w:bookmarkEnd w:id="218"/>
      <w:bookmarkEnd w:id="219"/>
      <w:bookmarkEnd w:id="220"/>
      <w:bookmarkEnd w:id="221"/>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16.1   供应商应准备一份响应文件正本和“</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22" w:name="_Hlt491765640"/>
      <w:bookmarkEnd w:id="222"/>
      <w:bookmarkStart w:id="223" w:name="_Toc500746970"/>
      <w:bookmarkStart w:id="224" w:name="_Toc232176276"/>
      <w:bookmarkStart w:id="225" w:name="_Toc177995477"/>
      <w:bookmarkStart w:id="226" w:name="_Toc492955419"/>
      <w:bookmarkStart w:id="227" w:name="_Toc177189239"/>
      <w:bookmarkStart w:id="228" w:name="_Toc500747193"/>
      <w:bookmarkStart w:id="229" w:name="_Toc176882546"/>
      <w:bookmarkStart w:id="230" w:name="_Toc70687161"/>
      <w:bookmarkStart w:id="231" w:name="_Toc230013636"/>
      <w:bookmarkStart w:id="232" w:name="_Toc230583545"/>
      <w:bookmarkStart w:id="233" w:name="_Toc53722844"/>
      <w:bookmarkStart w:id="234" w:name="_Toc249515298"/>
      <w:bookmarkStart w:id="235" w:name="_Toc249525179"/>
      <w:bookmarkStart w:id="236" w:name="_Toc232395216"/>
      <w:bookmarkStart w:id="237" w:name="_Toc385992347"/>
      <w:bookmarkStart w:id="238" w:name="_Toc499711888"/>
      <w:bookmarkStart w:id="239" w:name="_Toc184043034"/>
      <w:bookmarkStart w:id="240" w:name="_Toc256342147"/>
      <w:bookmarkStart w:id="241" w:name="_Toc389620186"/>
      <w:bookmarkStart w:id="242" w:name="_Toc177817338"/>
      <w:bookmarkStart w:id="243" w:name="_Toc503063426"/>
      <w:bookmarkStart w:id="244" w:name="_Toc249515410"/>
      <w:bookmarkStart w:id="245" w:name="_Toc500747066"/>
      <w:bookmarkStart w:id="246" w:name="_Toc499711047"/>
      <w:bookmarkStart w:id="247" w:name="_Toc230099801"/>
      <w:bookmarkStart w:id="248" w:name="_Toc496324583"/>
      <w:r>
        <w:rPr>
          <w:rFonts w:hint="eastAsia" w:ascii="仿宋_GB2312" w:hAnsi="仿宋_GB2312" w:eastAsia="仿宋_GB2312" w:cs="仿宋_GB2312"/>
          <w:color w:val="auto"/>
          <w:sz w:val="24"/>
          <w:highlight w:val="none"/>
        </w:rPr>
        <w:t>16.7   响应文件应按照“资格证明文件”和“商务及技术文件”分成两部分，并用不可拆装的方式分别装订成册。</w:t>
      </w:r>
    </w:p>
    <w:p>
      <w:pPr>
        <w:pStyle w:val="79"/>
        <w:spacing w:before="24" w:after="24"/>
        <w:jc w:val="center"/>
        <w:rPr>
          <w:rFonts w:ascii="仿宋_GB2312" w:hAnsi="仿宋_GB2312" w:eastAsia="仿宋_GB2312" w:cs="仿宋_GB2312"/>
          <w:color w:val="auto"/>
          <w:sz w:val="30"/>
          <w:szCs w:val="30"/>
          <w:highlight w:val="none"/>
        </w:rPr>
      </w:pPr>
      <w:bookmarkStart w:id="249" w:name="_Toc68590972"/>
      <w:r>
        <w:rPr>
          <w:rFonts w:hint="eastAsia" w:ascii="仿宋_GB2312" w:hAnsi="仿宋_GB2312" w:eastAsia="仿宋_GB2312" w:cs="仿宋_GB2312"/>
          <w:color w:val="auto"/>
          <w:sz w:val="30"/>
          <w:szCs w:val="30"/>
          <w:highlight w:val="none"/>
        </w:rPr>
        <w:t>四、响应文件的密封和递交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250" w:name="_Toc4042"/>
      <w:bookmarkStart w:id="251" w:name="_Toc249525180"/>
      <w:bookmarkStart w:id="252" w:name="_Toc249515411"/>
      <w:bookmarkStart w:id="253" w:name="_Toc249515299"/>
      <w:bookmarkStart w:id="254" w:name="_Toc389620187"/>
      <w:bookmarkStart w:id="255" w:name="_Toc385992348"/>
      <w:bookmarkStart w:id="256" w:name="_Toc184043035"/>
      <w:bookmarkStart w:id="257" w:name="_Toc70687162"/>
      <w:r>
        <w:rPr>
          <w:rFonts w:hint="eastAsia" w:ascii="仿宋_GB2312" w:hAnsi="仿宋_GB2312" w:eastAsia="仿宋_GB2312" w:cs="仿宋_GB2312"/>
          <w:b/>
          <w:color w:val="auto"/>
          <w:sz w:val="24"/>
          <w:szCs w:val="21"/>
          <w:highlight w:val="none"/>
        </w:rPr>
        <w:t>17.    响应文件的密封和标记</w:t>
      </w:r>
      <w:bookmarkEnd w:id="250"/>
      <w:bookmarkEnd w:id="251"/>
      <w:bookmarkEnd w:id="252"/>
      <w:bookmarkEnd w:id="253"/>
      <w:bookmarkEnd w:id="254"/>
      <w:bookmarkEnd w:id="255"/>
      <w:bookmarkEnd w:id="256"/>
      <w:bookmarkEnd w:id="257"/>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58" w:name="_Toc385992349"/>
      <w:bookmarkStart w:id="259" w:name="_Toc389620188"/>
      <w:bookmarkStart w:id="260" w:name="_Toc184043036"/>
      <w:bookmarkStart w:id="261" w:name="_Toc70687163"/>
      <w:r>
        <w:rPr>
          <w:rFonts w:hint="eastAsia" w:ascii="仿宋_GB2312" w:hAnsi="仿宋_GB2312" w:eastAsia="仿宋_GB2312" w:cs="仿宋_GB2312"/>
          <w:color w:val="auto"/>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kern w:val="0"/>
          <w:sz w:val="24"/>
          <w:szCs w:val="21"/>
          <w:highlight w:val="none"/>
        </w:rPr>
        <w:t>17.2   密封袋（箱）上标识的内容见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szCs w:val="21"/>
          <w:highlight w:val="none"/>
        </w:rPr>
        <w:t>响应文件</w:t>
      </w:r>
      <w:r>
        <w:rPr>
          <w:rFonts w:hint="eastAsia" w:ascii="仿宋_GB2312" w:hAnsi="仿宋_GB2312" w:eastAsia="仿宋_GB2312" w:cs="仿宋_GB2312"/>
          <w:color w:val="auto"/>
          <w:kern w:val="0"/>
          <w:sz w:val="24"/>
          <w:szCs w:val="21"/>
          <w:highlight w:val="none"/>
        </w:rPr>
        <w:t>如果</w:t>
      </w:r>
      <w:r>
        <w:rPr>
          <w:rFonts w:hint="eastAsia" w:ascii="仿宋_GB2312" w:hAnsi="仿宋_GB2312" w:eastAsia="仿宋_GB2312" w:cs="仿宋_GB2312"/>
          <w:color w:val="auto"/>
          <w:sz w:val="24"/>
          <w:szCs w:val="21"/>
          <w:highlight w:val="none"/>
        </w:rPr>
        <w:t>未按上述规定密封和标记，采购代理机构应当拒绝接收。</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bookmarkEnd w:id="258"/>
    <w:bookmarkEnd w:id="259"/>
    <w:p>
      <w:pPr>
        <w:pStyle w:val="5"/>
        <w:rPr>
          <w:rFonts w:ascii="仿宋_GB2312" w:hAnsi="仿宋_GB2312" w:eastAsia="仿宋_GB2312" w:cs="仿宋_GB2312"/>
          <w:b/>
          <w:color w:val="auto"/>
          <w:sz w:val="24"/>
          <w:szCs w:val="21"/>
          <w:highlight w:val="none"/>
        </w:rPr>
      </w:pPr>
      <w:bookmarkStart w:id="262" w:name="_Toc249525181"/>
      <w:bookmarkStart w:id="263" w:name="_Toc249515412"/>
      <w:bookmarkStart w:id="264" w:name="_Toc31171"/>
      <w:bookmarkStart w:id="265" w:name="_Toc249515300"/>
      <w:r>
        <w:rPr>
          <w:rFonts w:hint="eastAsia" w:ascii="仿宋_GB2312" w:hAnsi="仿宋_GB2312" w:eastAsia="仿宋_GB2312" w:cs="仿宋_GB2312"/>
          <w:b/>
          <w:color w:val="auto"/>
          <w:sz w:val="24"/>
          <w:szCs w:val="21"/>
          <w:highlight w:val="none"/>
        </w:rPr>
        <w:t>18.    响应文件递交截止时间</w:t>
      </w:r>
      <w:bookmarkEnd w:id="260"/>
      <w:bookmarkEnd w:id="261"/>
      <w:bookmarkEnd w:id="262"/>
      <w:bookmarkEnd w:id="263"/>
      <w:bookmarkEnd w:id="264"/>
      <w:bookmarkEnd w:id="265"/>
    </w:p>
    <w:p>
      <w:pPr>
        <w:tabs>
          <w:tab w:val="left" w:pos="588"/>
        </w:tabs>
        <w:spacing w:line="360" w:lineRule="auto"/>
        <w:rPr>
          <w:rFonts w:ascii="仿宋_GB2312" w:hAnsi="仿宋_GB2312" w:eastAsia="仿宋_GB2312" w:cs="仿宋_GB2312"/>
          <w:color w:val="auto"/>
          <w:sz w:val="24"/>
          <w:highlight w:val="none"/>
        </w:rPr>
      </w:pPr>
      <w:bookmarkStart w:id="266" w:name="_Toc184043037"/>
      <w:bookmarkStart w:id="267" w:name="_Toc70687164"/>
      <w:bookmarkStart w:id="268" w:name="_Toc385992350"/>
      <w:bookmarkStart w:id="269" w:name="_Toc389620189"/>
      <w:r>
        <w:rPr>
          <w:rFonts w:hint="eastAsia" w:ascii="仿宋_GB2312" w:hAnsi="仿宋_GB2312" w:eastAsia="仿宋_GB2312" w:cs="仿宋_GB2312"/>
          <w:color w:val="auto"/>
          <w:sz w:val="24"/>
          <w:highlight w:val="none"/>
        </w:rPr>
        <w:t>18.1   响应文件递交截止时间和地点见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仿宋_GB2312" w:hAnsi="仿宋_GB2312" w:eastAsia="仿宋_GB2312" w:cs="仿宋_GB2312"/>
          <w:b/>
          <w:color w:val="auto"/>
          <w:sz w:val="24"/>
          <w:szCs w:val="21"/>
          <w:highlight w:val="none"/>
        </w:rPr>
      </w:pPr>
      <w:bookmarkStart w:id="270" w:name="_Toc249515301"/>
      <w:bookmarkStart w:id="271" w:name="_Toc249515413"/>
      <w:bookmarkStart w:id="272" w:name="_Toc7175"/>
      <w:bookmarkStart w:id="273" w:name="_Toc249525182"/>
      <w:r>
        <w:rPr>
          <w:rFonts w:hint="eastAsia" w:ascii="仿宋_GB2312" w:hAnsi="仿宋_GB2312" w:eastAsia="仿宋_GB2312" w:cs="仿宋_GB2312"/>
          <w:b/>
          <w:color w:val="auto"/>
          <w:sz w:val="24"/>
          <w:szCs w:val="21"/>
          <w:highlight w:val="none"/>
        </w:rPr>
        <w:t>19.    迟交的响应文件</w:t>
      </w:r>
      <w:bookmarkEnd w:id="266"/>
      <w:bookmarkEnd w:id="267"/>
      <w:bookmarkEnd w:id="268"/>
      <w:bookmarkEnd w:id="269"/>
      <w:bookmarkEnd w:id="270"/>
      <w:bookmarkEnd w:id="271"/>
      <w:bookmarkEnd w:id="272"/>
      <w:bookmarkEnd w:id="273"/>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19.1   采购人将拒绝接收第18条规定的响应文件递交截止时间后递交的任何响应文件。</w:t>
      </w:r>
    </w:p>
    <w:p>
      <w:pPr>
        <w:pStyle w:val="5"/>
        <w:rPr>
          <w:rFonts w:ascii="仿宋_GB2312" w:hAnsi="仿宋_GB2312" w:eastAsia="仿宋_GB2312" w:cs="仿宋_GB2312"/>
          <w:b/>
          <w:color w:val="auto"/>
          <w:sz w:val="24"/>
          <w:szCs w:val="21"/>
          <w:highlight w:val="none"/>
        </w:rPr>
      </w:pPr>
      <w:bookmarkStart w:id="274" w:name="_Toc385992351"/>
      <w:bookmarkStart w:id="275" w:name="_Toc184043038"/>
      <w:bookmarkStart w:id="276" w:name="_Toc249515414"/>
      <w:bookmarkStart w:id="277" w:name="_Toc70687165"/>
      <w:bookmarkStart w:id="278" w:name="_Toc249525183"/>
      <w:bookmarkStart w:id="279" w:name="_Toc389620190"/>
      <w:bookmarkStart w:id="280" w:name="_Toc249515302"/>
      <w:bookmarkStart w:id="281" w:name="_Toc10272"/>
      <w:r>
        <w:rPr>
          <w:rFonts w:hint="eastAsia" w:ascii="仿宋_GB2312" w:hAnsi="仿宋_GB2312" w:eastAsia="仿宋_GB2312" w:cs="仿宋_GB2312"/>
          <w:b/>
          <w:color w:val="auto"/>
          <w:sz w:val="24"/>
          <w:szCs w:val="21"/>
          <w:highlight w:val="none"/>
        </w:rPr>
        <w:t>20.    响应文件的修改和撤</w:t>
      </w:r>
      <w:bookmarkEnd w:id="274"/>
      <w:bookmarkEnd w:id="275"/>
      <w:bookmarkEnd w:id="276"/>
      <w:bookmarkEnd w:id="277"/>
      <w:bookmarkEnd w:id="278"/>
      <w:bookmarkEnd w:id="279"/>
      <w:bookmarkEnd w:id="280"/>
      <w:bookmarkEnd w:id="281"/>
      <w:r>
        <w:rPr>
          <w:rFonts w:hint="eastAsia" w:ascii="仿宋_GB2312" w:hAnsi="仿宋_GB2312" w:eastAsia="仿宋_GB2312" w:cs="仿宋_GB2312"/>
          <w:b/>
          <w:color w:val="auto"/>
          <w:sz w:val="24"/>
          <w:szCs w:val="21"/>
          <w:highlight w:val="none"/>
        </w:rPr>
        <w:t>回</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20.3   供应商不得在响应文件递交截止时间起至响应文件有效期期满前撤销其响应文件。</w:t>
      </w:r>
    </w:p>
    <w:p>
      <w:pPr>
        <w:pStyle w:val="79"/>
        <w:spacing w:before="24" w:after="24"/>
        <w:ind w:left="3313"/>
        <w:rPr>
          <w:rFonts w:ascii="仿宋_GB2312" w:hAnsi="仿宋_GB2312" w:eastAsia="仿宋_GB2312" w:cs="仿宋_GB2312"/>
          <w:color w:val="auto"/>
          <w:sz w:val="30"/>
          <w:szCs w:val="30"/>
          <w:highlight w:val="none"/>
        </w:rPr>
      </w:pPr>
      <w:bookmarkStart w:id="282" w:name="_Hlt497729441"/>
      <w:bookmarkEnd w:id="282"/>
      <w:bookmarkStart w:id="283" w:name="_Hlt491765712"/>
      <w:bookmarkEnd w:id="283"/>
      <w:bookmarkStart w:id="284" w:name="_Toc249515415"/>
      <w:bookmarkStart w:id="285" w:name="_Toc249515303"/>
      <w:bookmarkStart w:id="286" w:name="_Toc256342148"/>
      <w:bookmarkStart w:id="287" w:name="_Toc249525184"/>
      <w:bookmarkStart w:id="288" w:name="_Toc68590973"/>
      <w:bookmarkStart w:id="289" w:name="_Toc500747067"/>
      <w:bookmarkStart w:id="290" w:name="_Toc184043039"/>
      <w:bookmarkStart w:id="291" w:name="_Toc389620191"/>
      <w:bookmarkStart w:id="292" w:name="_Toc503063427"/>
      <w:bookmarkStart w:id="293" w:name="_Toc496324584"/>
      <w:bookmarkStart w:id="294" w:name="_Toc177189240"/>
      <w:bookmarkStart w:id="295" w:name="_Toc385992352"/>
      <w:bookmarkStart w:id="296" w:name="_Toc499711048"/>
      <w:bookmarkStart w:id="297" w:name="_Toc492955420"/>
      <w:bookmarkStart w:id="298" w:name="_Toc176882547"/>
      <w:bookmarkStart w:id="299" w:name="_Toc500747194"/>
      <w:bookmarkStart w:id="300" w:name="_Toc500746971"/>
      <w:bookmarkStart w:id="301" w:name="_Toc177995478"/>
      <w:bookmarkStart w:id="302" w:name="_Toc70687166"/>
      <w:bookmarkStart w:id="303" w:name="_Toc53722845"/>
      <w:bookmarkStart w:id="304" w:name="_Toc177817339"/>
      <w:bookmarkStart w:id="305" w:name="_Toc499711889"/>
      <w:r>
        <w:rPr>
          <w:rFonts w:hint="eastAsia" w:ascii="仿宋_GB2312" w:hAnsi="仿宋_GB2312" w:eastAsia="仿宋_GB2312" w:cs="仿宋_GB2312"/>
          <w:color w:val="auto"/>
          <w:sz w:val="30"/>
          <w:szCs w:val="30"/>
          <w:highlight w:val="none"/>
        </w:rPr>
        <w:t>五、评审与</w:t>
      </w:r>
      <w:bookmarkEnd w:id="284"/>
      <w:bookmarkEnd w:id="285"/>
      <w:bookmarkEnd w:id="286"/>
      <w:bookmarkEnd w:id="287"/>
      <w:r>
        <w:rPr>
          <w:rFonts w:hint="eastAsia" w:ascii="仿宋_GB2312" w:hAnsi="仿宋_GB2312" w:eastAsia="仿宋_GB2312" w:cs="仿宋_GB2312"/>
          <w:color w:val="auto"/>
          <w:sz w:val="30"/>
          <w:szCs w:val="30"/>
          <w:highlight w:val="none"/>
        </w:rPr>
        <w:t>磋商</w:t>
      </w:r>
      <w:bookmarkEnd w:id="288"/>
    </w:p>
    <w:p>
      <w:pPr>
        <w:pStyle w:val="5"/>
        <w:numPr>
          <w:ilvl w:val="0"/>
          <w:numId w:val="8"/>
        </w:numPr>
        <w:rPr>
          <w:rFonts w:ascii="仿宋_GB2312" w:hAnsi="仿宋_GB2312" w:eastAsia="仿宋_GB2312" w:cs="仿宋_GB2312"/>
          <w:b/>
          <w:color w:val="auto"/>
          <w:sz w:val="24"/>
          <w:highlight w:val="none"/>
        </w:rPr>
      </w:pPr>
      <w:bookmarkStart w:id="306" w:name="_Toc249525186"/>
      <w:bookmarkStart w:id="307" w:name="_Toc16042"/>
      <w:bookmarkStart w:id="308" w:name="_Toc249515417"/>
      <w:bookmarkStart w:id="309" w:name="_Toc249515305"/>
      <w:r>
        <w:rPr>
          <w:rFonts w:hint="eastAsia" w:ascii="仿宋_GB2312" w:hAnsi="仿宋_GB2312" w:eastAsia="仿宋_GB2312" w:cs="仿宋_GB2312"/>
          <w:b/>
          <w:color w:val="auto"/>
          <w:sz w:val="24"/>
          <w:highlight w:val="none"/>
        </w:rPr>
        <w:t xml:space="preserve">   磋商小组</w:t>
      </w:r>
      <w:bookmarkEnd w:id="306"/>
      <w:bookmarkEnd w:id="307"/>
      <w:bookmarkEnd w:id="308"/>
      <w:bookmarkEnd w:id="309"/>
    </w:p>
    <w:p>
      <w:pPr>
        <w:pStyle w:val="30"/>
        <w:adjustRightInd w:val="0"/>
        <w:snapToGrid w:val="0"/>
        <w:ind w:left="840" w:hanging="840" w:hangingChars="35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szCs w:val="24"/>
          <w:highlight w:val="none"/>
        </w:rPr>
        <w:t>21.1   在磋商开始前组建磋商小组，磋商小组由采购人代表和有关专家组成。</w:t>
      </w: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   磋商小组职责</w:t>
      </w:r>
    </w:p>
    <w:p>
      <w:pPr>
        <w:pStyle w:val="30"/>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（1）确认竞争性磋商文件；</w:t>
      </w:r>
    </w:p>
    <w:p>
      <w:pPr>
        <w:pStyle w:val="30"/>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（2）审查通过了资格审查的供应商响应文件并做出评价；</w:t>
      </w:r>
    </w:p>
    <w:p>
      <w:pPr>
        <w:pStyle w:val="30"/>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（3）要求供应商解释或者澄清其响应文件；</w:t>
      </w:r>
    </w:p>
    <w:p>
      <w:pPr>
        <w:pStyle w:val="30"/>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（4）编写评审报告；</w:t>
      </w:r>
    </w:p>
    <w:p>
      <w:pPr>
        <w:pStyle w:val="30"/>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（5）告知采购人、采购代理机构在评审过程中发现的供应商的违法违规行为。</w:t>
      </w:r>
    </w:p>
    <w:p>
      <w:pPr>
        <w:pStyle w:val="30"/>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   磋商小组义务</w:t>
      </w:r>
    </w:p>
    <w:p>
      <w:pPr>
        <w:pStyle w:val="30"/>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（1）遵纪客观、公正、审慎的原则；</w:t>
      </w:r>
    </w:p>
    <w:p>
      <w:pPr>
        <w:pStyle w:val="30"/>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（2）根据磋商文件的规定评审程序、评审方法和评审标准独立进行评审，对个人的评审意见承担法律责任；</w:t>
      </w:r>
    </w:p>
    <w:p>
      <w:pPr>
        <w:pStyle w:val="30"/>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（3）参与评审报告的起草；</w:t>
      </w:r>
    </w:p>
    <w:p>
      <w:pPr>
        <w:pStyle w:val="30"/>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（4）配合采购人、采购代理机构答复供应商提出的质疑；</w:t>
      </w:r>
    </w:p>
    <w:p>
      <w:pPr>
        <w:pStyle w:val="30"/>
        <w:adjustRightInd w:val="0"/>
        <w:snapToGrid w:val="0"/>
        <w:ind w:left="840" w:hanging="840" w:hangingChars="3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21.4   确认磋商文件：磋商小组对磋商文件进行审阅，无修改进行签字确认，有修改，修改内容经采购人确认后，磋商小组以书面形式通知所有供应商。</w:t>
      </w:r>
    </w:p>
    <w:p>
      <w:pPr>
        <w:pStyle w:val="5"/>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22.    磋商小组成员有下列情形之一的，应当回避：</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22.1   参加采购活动前3年内与供应商存在劳动关系；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22.2   参加采购活动前3年内担任供应商的董事、监事；</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22.3   参加采购活动前3年内是供应商的控股股东或者实际控制人；</w:t>
      </w:r>
    </w:p>
    <w:p>
      <w:pPr>
        <w:pStyle w:val="5"/>
        <w:tabs>
          <w:tab w:val="left" w:pos="360"/>
        </w:tabs>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22.4   与供应商的法定代表人或者负责人有夫妻、直系血亲、三代以内旁系血亲或者近姻亲关系；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22.5   与供应商有其他可能影响政府采购活动公平、公正进行的关系。</w:t>
      </w:r>
    </w:p>
    <w:p>
      <w:pPr>
        <w:pStyle w:val="5"/>
        <w:rPr>
          <w:rFonts w:ascii="仿宋_GB2312" w:hAnsi="仿宋_GB2312" w:eastAsia="仿宋_GB2312" w:cs="仿宋_GB2312"/>
          <w:b/>
          <w:color w:val="auto"/>
          <w:sz w:val="24"/>
          <w:szCs w:val="21"/>
          <w:highlight w:val="none"/>
        </w:rPr>
      </w:pPr>
      <w:bookmarkStart w:id="310" w:name="_Toc249515306"/>
      <w:bookmarkStart w:id="311" w:name="_Toc20608"/>
      <w:bookmarkStart w:id="312" w:name="_Toc249525187"/>
      <w:bookmarkStart w:id="313" w:name="_Toc83547667"/>
      <w:bookmarkStart w:id="314" w:name="_Toc249515418"/>
      <w:r>
        <w:rPr>
          <w:rFonts w:hint="eastAsia" w:ascii="仿宋_GB2312" w:hAnsi="仿宋_GB2312" w:eastAsia="仿宋_GB2312" w:cs="仿宋_GB2312"/>
          <w:b/>
          <w:color w:val="auto"/>
          <w:sz w:val="24"/>
          <w:szCs w:val="21"/>
          <w:highlight w:val="none"/>
        </w:rPr>
        <w:t>23.    磋商程序</w:t>
      </w:r>
    </w:p>
    <w:p>
      <w:pPr>
        <w:pStyle w:val="5"/>
        <w:tabs>
          <w:tab w:val="left" w:pos="360"/>
        </w:tabs>
        <w:rPr>
          <w:rFonts w:ascii="仿宋_GB2312" w:hAnsi="仿宋_GB2312" w:eastAsia="仿宋_GB2312" w:cs="仿宋_GB2312"/>
          <w:b/>
          <w:color w:val="auto"/>
          <w:sz w:val="24"/>
          <w:szCs w:val="21"/>
          <w:highlight w:val="none"/>
        </w:rPr>
      </w:pPr>
      <w:bookmarkStart w:id="315" w:name="_Toc58504507"/>
      <w:r>
        <w:rPr>
          <w:rFonts w:hint="eastAsia" w:ascii="仿宋_GB2312" w:hAnsi="仿宋_GB2312" w:eastAsia="仿宋_GB2312" w:cs="仿宋_GB2312"/>
          <w:b/>
          <w:color w:val="auto"/>
          <w:sz w:val="24"/>
          <w:szCs w:val="21"/>
          <w:highlight w:val="none"/>
        </w:rPr>
        <w:t>23.1   磋商会议</w:t>
      </w:r>
      <w:bookmarkEnd w:id="315"/>
    </w:p>
    <w:p>
      <w:pPr>
        <w:pStyle w:val="23"/>
        <w:ind w:left="840" w:leftChars="400"/>
        <w:rPr>
          <w:rFonts w:ascii="仿宋_GB2312" w:hAnsi="仿宋_GB2312" w:eastAsia="仿宋_GB2312" w:cs="仿宋_GB2312"/>
          <w:color w:val="auto"/>
          <w:sz w:val="24"/>
          <w:szCs w:val="32"/>
          <w:highlight w:val="none"/>
        </w:rPr>
      </w:pPr>
      <w:bookmarkStart w:id="316" w:name="_Toc58504508"/>
      <w:r>
        <w:rPr>
          <w:rFonts w:hint="eastAsia" w:ascii="仿宋_GB2312" w:hAnsi="仿宋_GB2312" w:eastAsia="仿宋_GB2312" w:cs="仿宋_GB2312"/>
          <w:color w:val="auto"/>
          <w:sz w:val="24"/>
          <w:szCs w:val="32"/>
          <w:highlight w:val="none"/>
        </w:rPr>
        <w:t>（1）在磋商文件规定的时间和地点，由采购代理机构组织磋商工作，供应商须委派代表参加，签名以证明其出席。</w:t>
      </w:r>
      <w:bookmarkEnd w:id="316"/>
    </w:p>
    <w:p>
      <w:pPr>
        <w:pStyle w:val="23"/>
        <w:ind w:left="840" w:leftChars="400"/>
        <w:rPr>
          <w:rFonts w:ascii="仿宋_GB2312" w:hAnsi="仿宋_GB2312" w:eastAsia="仿宋_GB2312" w:cs="仿宋_GB2312"/>
          <w:color w:val="auto"/>
          <w:sz w:val="24"/>
          <w:szCs w:val="32"/>
          <w:highlight w:val="none"/>
        </w:rPr>
      </w:pPr>
      <w:bookmarkStart w:id="317" w:name="_Toc58504509"/>
      <w:r>
        <w:rPr>
          <w:rFonts w:hint="eastAsia" w:ascii="仿宋_GB2312" w:hAnsi="仿宋_GB2312" w:eastAsia="仿宋_GB2312" w:cs="仿宋_GB2312"/>
          <w:color w:val="auto"/>
          <w:sz w:val="24"/>
          <w:szCs w:val="32"/>
          <w:highlight w:val="none"/>
        </w:rPr>
        <w:t>（2）各供应商或其推荐的代表与采购监督人共同检查响应文件的密封情况，经检查无误后，签字确认。</w:t>
      </w:r>
      <w:bookmarkEnd w:id="317"/>
    </w:p>
    <w:p>
      <w:pPr>
        <w:pStyle w:val="23"/>
        <w:ind w:left="840" w:leftChars="400"/>
        <w:rPr>
          <w:rFonts w:ascii="仿宋_GB2312" w:hAnsi="仿宋_GB2312" w:eastAsia="仿宋_GB2312" w:cs="仿宋_GB2312"/>
          <w:color w:val="auto"/>
          <w:sz w:val="24"/>
          <w:szCs w:val="32"/>
          <w:highlight w:val="none"/>
        </w:rPr>
      </w:pPr>
      <w:bookmarkStart w:id="318" w:name="_Toc58504510"/>
      <w:r>
        <w:rPr>
          <w:rFonts w:hint="eastAsia" w:ascii="仿宋_GB2312" w:hAnsi="仿宋_GB2312" w:eastAsia="仿宋_GB2312" w:cs="仿宋_GB2312"/>
          <w:color w:val="auto"/>
          <w:sz w:val="24"/>
          <w:szCs w:val="32"/>
          <w:highlight w:val="none"/>
        </w:rPr>
        <w:t>（3）采购代理机构工作人员按照顺序，将各供应商首次响应文件的份数等内容公布，无异议后，由供应商法定代表人（或授权代表人）和监督人签字确认。</w:t>
      </w:r>
      <w:bookmarkEnd w:id="318"/>
    </w:p>
    <w:p>
      <w:pPr>
        <w:pStyle w:val="5"/>
        <w:tabs>
          <w:tab w:val="left" w:pos="360"/>
        </w:tabs>
        <w:rPr>
          <w:rFonts w:ascii="仿宋_GB2312" w:hAnsi="仿宋_GB2312" w:eastAsia="仿宋_GB2312" w:cs="仿宋_GB2312"/>
          <w:b/>
          <w:color w:val="auto"/>
          <w:sz w:val="24"/>
          <w:szCs w:val="21"/>
          <w:highlight w:val="none"/>
        </w:rPr>
      </w:pPr>
      <w:bookmarkStart w:id="319" w:name="_Toc58504511"/>
      <w:r>
        <w:rPr>
          <w:rFonts w:hint="eastAsia" w:ascii="仿宋_GB2312" w:hAnsi="仿宋_GB2312" w:eastAsia="仿宋_GB2312" w:cs="仿宋_GB2312"/>
          <w:b/>
          <w:color w:val="auto"/>
          <w:sz w:val="24"/>
          <w:szCs w:val="21"/>
          <w:highlight w:val="none"/>
        </w:rPr>
        <w:t>23.2   响应文件</w:t>
      </w:r>
      <w:bookmarkEnd w:id="310"/>
      <w:bookmarkEnd w:id="311"/>
      <w:bookmarkEnd w:id="312"/>
      <w:bookmarkEnd w:id="313"/>
      <w:bookmarkEnd w:id="314"/>
      <w:r>
        <w:rPr>
          <w:rFonts w:hint="eastAsia" w:ascii="仿宋_GB2312" w:hAnsi="仿宋_GB2312" w:eastAsia="仿宋_GB2312" w:cs="仿宋_GB2312"/>
          <w:b/>
          <w:color w:val="auto"/>
          <w:sz w:val="24"/>
          <w:szCs w:val="21"/>
          <w:highlight w:val="none"/>
        </w:rPr>
        <w:t>评审</w:t>
      </w:r>
      <w:bookmarkEnd w:id="319"/>
    </w:p>
    <w:p>
      <w:pPr>
        <w:tabs>
          <w:tab w:val="left" w:pos="360"/>
          <w:tab w:val="left" w:pos="588"/>
        </w:tabs>
        <w:spacing w:line="360" w:lineRule="auto"/>
        <w:ind w:left="843" w:hanging="843" w:hangingChars="350"/>
        <w:rPr>
          <w:rFonts w:ascii="仿宋_GB2312" w:hAnsi="仿宋_GB2312" w:eastAsia="仿宋_GB2312" w:cs="仿宋_GB2312"/>
          <w:color w:val="auto"/>
          <w:sz w:val="24"/>
          <w:highlight w:val="none"/>
        </w:rPr>
      </w:pPr>
      <w:bookmarkStart w:id="320" w:name="_Toc83547671"/>
      <w:r>
        <w:rPr>
          <w:rFonts w:hint="eastAsia" w:ascii="仿宋_GB2312" w:hAnsi="仿宋_GB2312" w:eastAsia="仿宋_GB2312" w:cs="仿宋_GB2312"/>
          <w:b/>
          <w:color w:val="auto"/>
          <w:sz w:val="24"/>
          <w:highlight w:val="none"/>
        </w:rPr>
        <w:t>23.2.1</w:t>
      </w:r>
      <w:r>
        <w:rPr>
          <w:rFonts w:hint="eastAsia" w:ascii="仿宋_GB2312" w:hAnsi="仿宋_GB2312" w:eastAsia="仿宋_GB2312" w:cs="仿宋_GB2312"/>
          <w:b/>
          <w:i/>
          <w:color w:val="auto"/>
          <w:sz w:val="24"/>
          <w:highlight w:val="none"/>
        </w:rPr>
        <w:t xml:space="preserve"> </w:t>
      </w:r>
      <w:r>
        <w:rPr>
          <w:rFonts w:hint="eastAsia" w:ascii="仿宋_GB2312" w:hAnsi="仿宋_GB2312" w:eastAsia="仿宋_GB2312" w:cs="仿宋_GB2312"/>
          <w:b/>
          <w:color w:val="auto"/>
          <w:sz w:val="24"/>
          <w:highlight w:val="none"/>
        </w:rPr>
        <w:t>响应文件的资格性审查</w:t>
      </w:r>
      <w:r>
        <w:rPr>
          <w:rFonts w:hint="eastAsia" w:ascii="仿宋_GB2312" w:hAnsi="仿宋_GB2312" w:eastAsia="仿宋_GB2312" w:cs="仿宋_GB2312"/>
          <w:color w:val="auto"/>
          <w:sz w:val="24"/>
          <w:highlight w:val="none"/>
        </w:rPr>
        <w:t>。参照《政府采购法》第二十三条和磋商文件的规定，</w:t>
      </w:r>
      <w:r>
        <w:rPr>
          <w:rFonts w:hint="eastAsia" w:ascii="仿宋_GB2312" w:hAnsi="仿宋_GB2312" w:eastAsia="仿宋_GB2312" w:cs="仿宋_GB2312"/>
          <w:b/>
          <w:color w:val="auto"/>
          <w:sz w:val="24"/>
          <w:highlight w:val="none"/>
        </w:rPr>
        <w:t>采购人或采购代理机构负责</w:t>
      </w:r>
      <w:r>
        <w:rPr>
          <w:rFonts w:hint="eastAsia" w:ascii="仿宋_GB2312" w:hAnsi="仿宋_GB2312" w:eastAsia="仿宋_GB2312" w:cs="仿宋_GB2312"/>
          <w:color w:val="auto"/>
          <w:sz w:val="24"/>
          <w:highlight w:val="none"/>
        </w:rPr>
        <w:t>对响应文件中的资格证明文件、信用查询记录等进行审查，以确认供应商具备相应资格。资格性审查出现下列情况者（但不限于），按无效文件处理：</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highlight w:val="none"/>
        </w:rPr>
        <w:t>1）供应商不符合《中华人民共和国政府采购法》第二十二条的规定和特定资格条件要求的。</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（2）供应商没有经过正常渠道购买或免费领取磋商文件或供应商的名称与登记领取磋商文件单位的名称不符。</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（4）信用查询中列入失信被执行人、重大税收违法案件当事人名单、政府采购严重违法失信行为记录名单及其他不符合《中华人民共和国政府采购法》第二十二条规定条件的供应商。</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（5）采购人或采购代理机构通过“信用中国”网站(www.creditchina.gov.cn)、中国政府采购网(www.ccgp.gov.cn) 等查询相关主体信用记录，并将查询网页打印、存档备查。</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（6）查询时间为磋商文件发售期至评审截止时间前，此段时间段外，网站信息发生的任何变更均不作为资格审查依据。</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供应商不良信用记录以采购人或采购代理机构查询结果为准。供应商自行提供的与网站信息不一致的其他证明材料亦不作为资格审查依据。</w:t>
      </w:r>
    </w:p>
    <w:p>
      <w:pPr>
        <w:pStyle w:val="23"/>
        <w:ind w:left="840" w:leftChars="4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_GB2312" w:hAnsi="仿宋_GB2312" w:eastAsia="仿宋_GB2312" w:cs="仿宋_GB2312"/>
          <w:i/>
          <w:color w:val="auto"/>
          <w:sz w:val="24"/>
          <w:highlight w:val="none"/>
        </w:rPr>
        <w:t>)</w:t>
      </w:r>
    </w:p>
    <w:p>
      <w:pPr>
        <w:pStyle w:val="23"/>
        <w:ind w:left="843" w:hanging="843" w:hangingChars="35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23.2.2 磋商响应文件有效性、完整性和响应程度审查：磋商小组</w:t>
      </w:r>
      <w:r>
        <w:rPr>
          <w:rFonts w:hint="eastAsia" w:ascii="仿宋_GB2312" w:hAnsi="仿宋_GB2312" w:eastAsia="仿宋_GB2312" w:cs="仿宋_GB2312"/>
          <w:color w:val="auto"/>
          <w:sz w:val="24"/>
          <w:highlight w:val="none"/>
        </w:rPr>
        <w:t>负责对通过资格审查的响应文件的有效性、完整性和响应性进行审查，以确定是否满足磋商文件要求，出现下列情况者（但不限于），按无效文件处理。</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（1）供应商未按磋商文件要求加盖单位公章；</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（2）磋商响应文件未按磋商文件要求进行法定代表人或其授权代表签字；</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（3）无有效期或有效期达不到磋商文件的要求。</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（4）供应商首次磋商报价出现选择性报价。</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（5）首次磋商报价超出采购预算；</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（6）响应文件中对合同草案条款附加了采购人难以接受的条件。</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（7）磋商内容出现漏项或数量与要求不符，出现重大负偏差。</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（8）响应文件中技术指标达不到采购要求，降低了产品档次或影响产品性能、功能。</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（9）响应报价与市场价偏离较大，低于成本，形成不正当竞争。</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（10）供应商提供虚假证明，开具虚假资质，出现虚假应答或故意隐瞒行为。</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（11）保证金未提交或未提交至指定账户、或提交保证金不符合磋商文件要求的。 </w:t>
      </w:r>
    </w:p>
    <w:p>
      <w:pPr>
        <w:pStyle w:val="5"/>
        <w:tabs>
          <w:tab w:val="left" w:pos="360"/>
        </w:tabs>
        <w:rPr>
          <w:rFonts w:ascii="仿宋_GB2312" w:hAnsi="仿宋_GB2312" w:eastAsia="仿宋_GB2312" w:cs="仿宋_GB2312"/>
          <w:b/>
          <w:color w:val="auto"/>
          <w:sz w:val="24"/>
          <w:szCs w:val="21"/>
          <w:highlight w:val="none"/>
        </w:rPr>
      </w:pPr>
      <w:bookmarkStart w:id="321" w:name="_Toc58504512"/>
      <w:r>
        <w:rPr>
          <w:rFonts w:hint="eastAsia" w:ascii="仿宋_GB2312" w:hAnsi="仿宋_GB2312" w:eastAsia="仿宋_GB2312" w:cs="仿宋_GB2312"/>
          <w:b/>
          <w:color w:val="auto"/>
          <w:sz w:val="24"/>
          <w:szCs w:val="21"/>
          <w:highlight w:val="none"/>
        </w:rPr>
        <w:t>23.3   磋商</w:t>
      </w:r>
      <w:bookmarkEnd w:id="321"/>
    </w:p>
    <w:p>
      <w:pPr>
        <w:pStyle w:val="23"/>
        <w:ind w:left="840" w:hanging="840" w:hangingChars="350"/>
        <w:rPr>
          <w:rFonts w:ascii="仿宋_GB2312" w:hAnsi="仿宋_GB2312" w:eastAsia="仿宋_GB2312" w:cs="仿宋_GB2312"/>
          <w:color w:val="auto"/>
          <w:sz w:val="24"/>
          <w:highlight w:val="none"/>
        </w:rPr>
      </w:pPr>
      <w:bookmarkStart w:id="322" w:name="_Toc58504513"/>
      <w:r>
        <w:rPr>
          <w:rFonts w:hint="eastAsia" w:ascii="仿宋_GB2312" w:hAnsi="仿宋_GB2312" w:eastAsia="仿宋_GB2312" w:cs="仿宋_GB2312"/>
          <w:color w:val="auto"/>
          <w:sz w:val="24"/>
          <w:highlight w:val="none"/>
        </w:rPr>
        <w:t>23.3.1 磋商小组集中与各供应商分别进行磋商，并给所有参加磋商供应商平等的磋商机会。</w:t>
      </w:r>
      <w:bookmarkEnd w:id="322"/>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23.3.2 磋商小组在对响应文件的有效性、完整性和响应程度进行审核时，以</w:t>
      </w:r>
      <w:r>
        <w:rPr>
          <w:rFonts w:hint="eastAsia" w:ascii="仿宋_GB2312" w:hAnsi="仿宋_GB2312" w:eastAsia="仿宋_GB2312" w:cs="仿宋_GB2312"/>
          <w:b/>
          <w:color w:val="auto"/>
          <w:sz w:val="24"/>
          <w:highlight w:val="none"/>
        </w:rPr>
        <w:t>书面形式</w:t>
      </w:r>
      <w:r>
        <w:rPr>
          <w:rFonts w:hint="eastAsia" w:ascii="仿宋_GB2312" w:hAnsi="仿宋_GB2312" w:eastAsia="仿宋_GB2312" w:cs="仿宋_GB2312"/>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23.3.4 如出现下述情形之一的，视为供应商主动退出磋商，其响应将被拒绝：</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（1）供应商未按要求确认磋商小组确定的本项目最终技术需求的；</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（2）最后报价未实质性响应磋商小组确定的本项目最终技术需求的，或附有采购人无法接受的条件的。</w:t>
      </w:r>
    </w:p>
    <w:p>
      <w:pPr>
        <w:pStyle w:val="23"/>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23.4   最后报价</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5"/>
        <w:rPr>
          <w:rFonts w:ascii="仿宋_GB2312" w:hAnsi="仿宋_GB2312" w:eastAsia="仿宋_GB2312" w:cs="仿宋_GB2312"/>
          <w:b/>
          <w:bCs/>
          <w:color w:val="auto"/>
          <w:sz w:val="24"/>
          <w:szCs w:val="21"/>
          <w:highlight w:val="none"/>
        </w:rPr>
      </w:pPr>
      <w:bookmarkStart w:id="323" w:name="_Toc150774646"/>
      <w:bookmarkStart w:id="324" w:name="_Toc195842911"/>
      <w:bookmarkStart w:id="325" w:name="_Toc142311048"/>
      <w:bookmarkStart w:id="326" w:name="_Toc13753"/>
      <w:bookmarkStart w:id="327" w:name="_Toc151193716"/>
      <w:bookmarkStart w:id="328" w:name="_Toc164608815"/>
      <w:bookmarkStart w:id="329" w:name="_Toc164608660"/>
      <w:bookmarkStart w:id="330" w:name="_Toc150480784"/>
      <w:bookmarkStart w:id="331" w:name="_Toc249525191"/>
      <w:bookmarkStart w:id="332" w:name="_Toc164229241"/>
      <w:bookmarkStart w:id="333" w:name="_Toc127161460"/>
      <w:bookmarkStart w:id="334" w:name="_Toc149720839"/>
      <w:bookmarkStart w:id="335" w:name="_Toc151193860"/>
      <w:bookmarkStart w:id="336" w:name="_Toc249515422"/>
      <w:bookmarkStart w:id="337" w:name="_Toc127151546"/>
      <w:bookmarkStart w:id="338" w:name="_Toc164229387"/>
      <w:bookmarkStart w:id="339" w:name="_Toc520356170"/>
      <w:bookmarkStart w:id="340" w:name="_Toc150774751"/>
      <w:bookmarkStart w:id="341" w:name="_Toc127151747"/>
      <w:bookmarkStart w:id="342" w:name="_Toc151193788"/>
      <w:bookmarkStart w:id="343" w:name="_Toc249515310"/>
      <w:bookmarkStart w:id="344" w:name="_Toc151193644"/>
      <w:bookmarkStart w:id="345" w:name="_Toc164351640"/>
      <w:bookmarkStart w:id="346" w:name="_Toc151193934"/>
      <w:bookmarkStart w:id="347" w:name="_Toc150509297"/>
      <w:bookmarkStart w:id="348" w:name="_Ref467307010"/>
      <w:bookmarkStart w:id="349" w:name="_Toc151190173"/>
      <w:r>
        <w:rPr>
          <w:rFonts w:hint="eastAsia" w:ascii="仿宋_GB2312" w:hAnsi="仿宋_GB2312" w:eastAsia="仿宋_GB2312" w:cs="仿宋_GB2312"/>
          <w:b/>
          <w:bCs/>
          <w:color w:val="auto"/>
          <w:sz w:val="24"/>
          <w:szCs w:val="21"/>
          <w:highlight w:val="none"/>
        </w:rPr>
        <w:t xml:space="preserve">24.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eastAsia" w:ascii="仿宋_GB2312" w:hAnsi="仿宋_GB2312" w:eastAsia="仿宋_GB2312" w:cs="仿宋_GB2312"/>
          <w:b/>
          <w:bCs/>
          <w:color w:val="auto"/>
          <w:sz w:val="24"/>
          <w:szCs w:val="21"/>
          <w:highlight w:val="none"/>
        </w:rPr>
        <w:t>评审办法及落实政府采购政策，详见第三章。</w:t>
      </w:r>
    </w:p>
    <w:p>
      <w:pPr>
        <w:rPr>
          <w:rFonts w:ascii="仿宋_GB2312" w:hAnsi="仿宋_GB2312" w:eastAsia="仿宋_GB2312" w:cs="仿宋_GB2312"/>
          <w:color w:val="auto"/>
          <w:highlight w:val="none"/>
        </w:rPr>
      </w:pP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20"/>
    <w:p>
      <w:pPr>
        <w:pStyle w:val="79"/>
        <w:spacing w:before="24" w:after="24"/>
        <w:jc w:val="center"/>
        <w:rPr>
          <w:rFonts w:ascii="仿宋_GB2312" w:hAnsi="仿宋_GB2312" w:eastAsia="仿宋_GB2312" w:cs="仿宋_GB2312"/>
          <w:color w:val="auto"/>
          <w:sz w:val="30"/>
          <w:szCs w:val="30"/>
          <w:highlight w:val="none"/>
        </w:rPr>
      </w:pPr>
      <w:bookmarkStart w:id="350" w:name="_Hlt497729446"/>
      <w:bookmarkEnd w:id="350"/>
      <w:bookmarkStart w:id="351" w:name="_Hlt491765714"/>
      <w:bookmarkEnd w:id="351"/>
      <w:bookmarkStart w:id="352" w:name="_Toc249525192"/>
      <w:bookmarkStart w:id="353" w:name="_Toc68590974"/>
      <w:bookmarkStart w:id="354" w:name="_Toc232395218"/>
      <w:bookmarkStart w:id="355" w:name="_Toc256342149"/>
      <w:bookmarkStart w:id="356" w:name="_Toc232176278"/>
      <w:bookmarkStart w:id="357" w:name="_Toc249515311"/>
      <w:bookmarkStart w:id="358" w:name="_Toc249515423"/>
      <w:bookmarkStart w:id="359" w:name="_Toc389620199"/>
      <w:bookmarkStart w:id="360" w:name="_Toc499711890"/>
      <w:bookmarkStart w:id="361" w:name="_Toc499711049"/>
      <w:bookmarkStart w:id="362" w:name="_Toc500746972"/>
      <w:bookmarkStart w:id="363" w:name="_Toc500747195"/>
      <w:bookmarkStart w:id="364" w:name="_Toc496324585"/>
      <w:bookmarkStart w:id="365" w:name="_Toc184043047"/>
      <w:bookmarkStart w:id="366" w:name="_Toc176882548"/>
      <w:bookmarkStart w:id="367" w:name="_Toc177817340"/>
      <w:bookmarkStart w:id="368" w:name="_Toc53722846"/>
      <w:bookmarkStart w:id="369" w:name="_Toc500747068"/>
      <w:bookmarkStart w:id="370" w:name="_Toc70687174"/>
      <w:bookmarkStart w:id="371" w:name="_Toc177995479"/>
      <w:bookmarkStart w:id="372" w:name="_Toc492955421"/>
      <w:bookmarkStart w:id="373" w:name="_Toc503063428"/>
      <w:bookmarkStart w:id="374" w:name="_Toc177189241"/>
      <w:bookmarkStart w:id="375" w:name="_Toc385992360"/>
      <w:r>
        <w:rPr>
          <w:rFonts w:hint="eastAsia" w:ascii="仿宋_GB2312" w:hAnsi="仿宋_GB2312" w:eastAsia="仿宋_GB2312" w:cs="仿宋_GB2312"/>
          <w:color w:val="auto"/>
          <w:sz w:val="30"/>
          <w:szCs w:val="30"/>
          <w:highlight w:val="none"/>
        </w:rPr>
        <w:t>六、确定成交单位、授予合同</w:t>
      </w:r>
      <w:bookmarkEnd w:id="352"/>
      <w:bookmarkEnd w:id="353"/>
      <w:bookmarkEnd w:id="354"/>
      <w:bookmarkEnd w:id="355"/>
      <w:bookmarkEnd w:id="356"/>
      <w:bookmarkEnd w:id="357"/>
      <w:bookmarkEnd w:id="358"/>
    </w:p>
    <w:p>
      <w:pPr>
        <w:rPr>
          <w:rFonts w:ascii="仿宋_GB2312" w:hAnsi="仿宋_GB2312" w:eastAsia="仿宋_GB2312" w:cs="仿宋_GB2312"/>
          <w:color w:val="auto"/>
          <w:highlight w:val="none"/>
        </w:rPr>
      </w:pP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pStyle w:val="5"/>
        <w:numPr>
          <w:ilvl w:val="0"/>
          <w:numId w:val="9"/>
        </w:numPr>
        <w:rPr>
          <w:rFonts w:ascii="仿宋_GB2312" w:hAnsi="仿宋_GB2312" w:eastAsia="仿宋_GB2312" w:cs="仿宋_GB2312"/>
          <w:b/>
          <w:bCs/>
          <w:color w:val="auto"/>
          <w:sz w:val="24"/>
          <w:szCs w:val="21"/>
          <w:highlight w:val="none"/>
        </w:rPr>
      </w:pPr>
      <w:bookmarkStart w:id="376" w:name="_Toc70687175"/>
      <w:bookmarkStart w:id="377" w:name="_Toc184043048"/>
      <w:bookmarkStart w:id="378" w:name="_Toc249515424"/>
      <w:bookmarkStart w:id="379" w:name="_Toc249525193"/>
      <w:bookmarkStart w:id="380" w:name="_Toc389620200"/>
      <w:bookmarkStart w:id="381" w:name="_Toc27151"/>
      <w:bookmarkStart w:id="382" w:name="_Toc249515312"/>
      <w:bookmarkStart w:id="383" w:name="_Toc385992361"/>
      <w:r>
        <w:rPr>
          <w:rFonts w:hint="eastAsia" w:ascii="仿宋_GB2312" w:hAnsi="仿宋_GB2312" w:eastAsia="仿宋_GB2312" w:cs="仿宋_GB2312"/>
          <w:b/>
          <w:bCs/>
          <w:color w:val="auto"/>
          <w:sz w:val="24"/>
          <w:szCs w:val="21"/>
          <w:highlight w:val="none"/>
        </w:rPr>
        <w:t xml:space="preserve">   确定成交</w:t>
      </w:r>
      <w:bookmarkEnd w:id="376"/>
      <w:bookmarkEnd w:id="377"/>
      <w:bookmarkEnd w:id="378"/>
      <w:bookmarkEnd w:id="379"/>
      <w:bookmarkEnd w:id="380"/>
      <w:bookmarkEnd w:id="381"/>
      <w:bookmarkEnd w:id="382"/>
      <w:bookmarkEnd w:id="383"/>
      <w:r>
        <w:rPr>
          <w:rFonts w:hint="eastAsia" w:ascii="仿宋_GB2312" w:hAnsi="仿宋_GB2312" w:eastAsia="仿宋_GB2312" w:cs="仿宋_GB2312"/>
          <w:b/>
          <w:bCs/>
          <w:color w:val="auto"/>
          <w:sz w:val="24"/>
          <w:szCs w:val="21"/>
          <w:highlight w:val="none"/>
        </w:rPr>
        <w:t>单位</w:t>
      </w:r>
    </w:p>
    <w:p>
      <w:pPr>
        <w:tabs>
          <w:tab w:val="left" w:pos="588"/>
        </w:tabs>
        <w:spacing w:line="360" w:lineRule="auto"/>
        <w:rPr>
          <w:rFonts w:ascii="仿宋_GB2312" w:hAnsi="仿宋_GB2312" w:eastAsia="仿宋_GB2312" w:cs="仿宋_GB2312"/>
          <w:color w:val="auto"/>
          <w:sz w:val="24"/>
          <w:highlight w:val="none"/>
        </w:rPr>
      </w:pPr>
      <w:bookmarkStart w:id="384" w:name="_Toc389620204"/>
      <w:bookmarkStart w:id="385" w:name="_Toc385992365"/>
      <w:r>
        <w:rPr>
          <w:rFonts w:hint="eastAsia" w:ascii="仿宋_GB2312" w:hAnsi="仿宋_GB2312" w:eastAsia="仿宋_GB2312" w:cs="仿宋_GB2312"/>
          <w:color w:val="auto"/>
          <w:sz w:val="24"/>
          <w:highlight w:val="none"/>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25.3   采购代理机构在接到采购人的成交复函后，发布公告，公告期限为一个工作日，并向成交供应商发出成交通知书。成交通知书是合同文件的组成部分。</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26.    合同</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27.    询问与质疑 </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27.4   供应商提出质疑应当提交质疑函和必要的证明材料。质疑函应当包括下列内容：</w:t>
      </w:r>
    </w:p>
    <w:p>
      <w:pPr>
        <w:pStyle w:val="69"/>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供应商的姓名或者名称、地址、邮编、联系人及联系电话；</w:t>
      </w:r>
    </w:p>
    <w:p>
      <w:pPr>
        <w:pStyle w:val="69"/>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质疑项目的名称、编号；</w:t>
      </w:r>
    </w:p>
    <w:p>
      <w:pPr>
        <w:pStyle w:val="69"/>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具体、明确的质疑事项和与质疑事项相关的请求；</w:t>
      </w:r>
    </w:p>
    <w:p>
      <w:pPr>
        <w:pStyle w:val="69"/>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事实依据；</w:t>
      </w:r>
    </w:p>
    <w:p>
      <w:pPr>
        <w:pStyle w:val="69"/>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必要的法律依据；</w:t>
      </w:r>
    </w:p>
    <w:p>
      <w:pPr>
        <w:pStyle w:val="69"/>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提出质疑的日期。</w:t>
      </w:r>
    </w:p>
    <w:p>
      <w:pPr>
        <w:pStyle w:val="69"/>
        <w:tabs>
          <w:tab w:val="left" w:pos="588"/>
        </w:tabs>
        <w:spacing w:line="360" w:lineRule="auto"/>
        <w:ind w:left="838" w:leftChars="399" w:firstLine="0" w:firstLine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27.5   符合要求的质疑，采购代理机构将予以受理并答复。</w:t>
      </w:r>
    </w:p>
    <w:p>
      <w:pPr>
        <w:tabs>
          <w:tab w:val="left" w:pos="588"/>
        </w:tabs>
        <w:spacing w:line="360" w:lineRule="auto"/>
        <w:ind w:left="840" w:leftChars="4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eastAsia="zh-CN"/>
        </w:rPr>
        <w:t>宋培嘉</w:t>
      </w:r>
      <w:r>
        <w:rPr>
          <w:rFonts w:hint="eastAsia" w:ascii="仿宋_GB2312" w:hAnsi="仿宋_GB2312" w:eastAsia="仿宋_GB2312" w:cs="仿宋_GB2312"/>
          <w:color w:val="auto"/>
          <w:sz w:val="24"/>
          <w:highlight w:val="none"/>
        </w:rPr>
        <w:t>，联系电话：029-</w:t>
      </w:r>
      <w:r>
        <w:rPr>
          <w:rFonts w:hint="eastAsia" w:ascii="仿宋_GB2312" w:hAnsi="仿宋_GB2312" w:eastAsia="仿宋_GB2312" w:cs="仿宋_GB2312"/>
          <w:color w:val="auto"/>
          <w:sz w:val="24"/>
          <w:highlight w:val="none"/>
          <w:lang w:val="en-US" w:eastAsia="zh-CN"/>
        </w:rPr>
        <w:t>88852300</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27.6   供应商进行虚假和恶意质疑的，采购代理机构将提供相关资料报监督机构，按其情况进行相应处理。</w:t>
      </w:r>
    </w:p>
    <w:bookmarkEnd w:id="384"/>
    <w:bookmarkEnd w:id="385"/>
    <w:p>
      <w:pPr>
        <w:pStyle w:val="5"/>
        <w:rPr>
          <w:rFonts w:ascii="仿宋_GB2312" w:hAnsi="仿宋_GB2312" w:eastAsia="仿宋_GB2312" w:cs="仿宋_GB2312"/>
          <w:b/>
          <w:bCs/>
          <w:color w:val="auto"/>
          <w:sz w:val="24"/>
          <w:szCs w:val="21"/>
          <w:highlight w:val="none"/>
        </w:rPr>
      </w:pPr>
      <w:bookmarkStart w:id="386" w:name="_Toc25547"/>
      <w:r>
        <w:rPr>
          <w:rFonts w:hint="eastAsia" w:ascii="仿宋_GB2312" w:hAnsi="仿宋_GB2312" w:eastAsia="仿宋_GB2312" w:cs="仿宋_GB2312"/>
          <w:b/>
          <w:bCs/>
          <w:color w:val="auto"/>
          <w:sz w:val="24"/>
          <w:szCs w:val="21"/>
          <w:highlight w:val="none"/>
        </w:rPr>
        <w:t>28.    履约保证金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   履约保证金金额见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28.2   履约保证金缴纳时间：合同签订前必须交纳至（采购人）。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28.3   履约保证金缴纳形式：成交供应商应当以支票、汇票、本票、保函（格式见附件2）等非现金形式缴纳。</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28.4   履约保证金收取单位名称：</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               联系电话：</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28.5   履约保证金退还的方式、时间、条件：*****</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28.6   履约保证金不予退还的情况：****</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28.7   逾期退还履约保证金的违约责任：****</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29.    成交服务费</w:t>
      </w:r>
      <w:bookmarkEnd w:id="386"/>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29.1   成交供应商在领取成交通知书前，须向采购代理机构支付成交服务费，服务费由采购人与采购代理机构约定：</w:t>
      </w:r>
    </w:p>
    <w:p>
      <w:pPr>
        <w:snapToGrid w:val="0"/>
        <w:spacing w:line="360" w:lineRule="auto"/>
        <w:ind w:left="840" w:leftChars="4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参照原国家计委计价格【2002】1980号文和国家发改委发改办价格【2003】857号文的计算方法</w:t>
      </w:r>
      <w:r>
        <w:rPr>
          <w:rFonts w:hint="eastAsia" w:ascii="仿宋_GB2312" w:hAnsi="仿宋_GB2312" w:eastAsia="仿宋_GB2312" w:cs="仿宋_GB2312"/>
          <w:color w:val="auto"/>
          <w:sz w:val="24"/>
          <w:highlight w:val="none"/>
          <w:lang w:val="en-US" w:eastAsia="zh-CN"/>
        </w:rPr>
        <w:t>收取</w:t>
      </w:r>
      <w:r>
        <w:rPr>
          <w:rFonts w:hint="eastAsia" w:ascii="仿宋_GB2312" w:hAnsi="仿宋_GB2312" w:eastAsia="仿宋_GB2312" w:cs="仿宋_GB2312"/>
          <w:color w:val="auto"/>
          <w:sz w:val="24"/>
          <w:highlight w:val="none"/>
        </w:rPr>
        <w:t>，由成交人在领取成交通知书前向招标代理机构一次性支付。</w:t>
      </w:r>
    </w:p>
    <w:p>
      <w:pPr>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29.2   成交单位的代理服务费交纳信息</w:t>
      </w:r>
    </w:p>
    <w:p>
      <w:pPr>
        <w:snapToGrid w:val="0"/>
        <w:spacing w:line="360" w:lineRule="auto"/>
        <w:ind w:firstLine="840" w:firstLineChars="35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银行户名：</w:t>
      </w:r>
      <w:r>
        <w:rPr>
          <w:rFonts w:hint="eastAsia" w:ascii="仿宋_GB2312" w:hAnsi="仿宋_GB2312" w:eastAsia="仿宋_GB2312" w:cs="仿宋_GB2312"/>
          <w:color w:val="auto"/>
          <w:sz w:val="24"/>
          <w:highlight w:val="none"/>
          <w:lang w:eastAsia="zh-CN"/>
        </w:rPr>
        <w:t>陕西星火工程管理有限公司</w:t>
      </w:r>
    </w:p>
    <w:p>
      <w:pPr>
        <w:snapToGrid w:val="0"/>
        <w:spacing w:line="360" w:lineRule="auto"/>
        <w:ind w:firstLine="840" w:firstLineChars="35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开户银行：</w:t>
      </w:r>
      <w:r>
        <w:rPr>
          <w:rFonts w:hint="eastAsia" w:ascii="仿宋_GB2312" w:hAnsi="仿宋_GB2312" w:eastAsia="仿宋_GB2312" w:cs="仿宋_GB2312"/>
          <w:color w:val="auto"/>
          <w:sz w:val="24"/>
          <w:highlight w:val="none"/>
          <w:lang w:eastAsia="zh-CN"/>
        </w:rPr>
        <w:t>中国银行股份有限公司西安逸翠园支行</w:t>
      </w:r>
    </w:p>
    <w:p>
      <w:pPr>
        <w:snapToGrid w:val="0"/>
        <w:spacing w:line="360" w:lineRule="auto"/>
        <w:ind w:firstLine="840" w:firstLineChars="35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账    号：</w:t>
      </w:r>
      <w:r>
        <w:rPr>
          <w:rFonts w:hint="eastAsia" w:ascii="仿宋_GB2312" w:hAnsi="仿宋_GB2312" w:eastAsia="仿宋_GB2312" w:cs="仿宋_GB2312"/>
          <w:color w:val="auto"/>
          <w:sz w:val="24"/>
          <w:highlight w:val="none"/>
          <w:lang w:val="en-US" w:eastAsia="zh-CN"/>
        </w:rPr>
        <w:t>102490819083</w:t>
      </w:r>
    </w:p>
    <w:p>
      <w:pPr>
        <w:snapToGrid w:val="0"/>
        <w:spacing w:line="360" w:lineRule="auto"/>
        <w:ind w:firstLine="840" w:firstLineChars="35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eastAsia="zh-CN"/>
        </w:rPr>
        <w:t>王晨琳</w:t>
      </w:r>
      <w:r>
        <w:rPr>
          <w:rFonts w:hint="eastAsia" w:ascii="仿宋_GB2312" w:hAnsi="仿宋_GB2312" w:eastAsia="仿宋_GB2312" w:cs="仿宋_GB2312"/>
          <w:color w:val="auto"/>
          <w:sz w:val="24"/>
          <w:highlight w:val="none"/>
        </w:rPr>
        <w:t xml:space="preserve">   联系电话：029-8</w:t>
      </w:r>
      <w:r>
        <w:rPr>
          <w:rFonts w:hint="eastAsia" w:ascii="仿宋_GB2312" w:hAnsi="仿宋_GB2312" w:eastAsia="仿宋_GB2312" w:cs="仿宋_GB2312"/>
          <w:color w:val="auto"/>
          <w:sz w:val="24"/>
          <w:highlight w:val="none"/>
          <w:lang w:val="en-US" w:eastAsia="zh-CN"/>
        </w:rPr>
        <w:t>8852300</w:t>
      </w:r>
    </w:p>
    <w:p>
      <w:pPr>
        <w:pStyle w:val="5"/>
        <w:numPr>
          <w:ilvl w:val="0"/>
          <w:numId w:val="11"/>
        </w:numPr>
        <w:rPr>
          <w:rFonts w:ascii="仿宋_GB2312" w:hAnsi="仿宋_GB2312" w:eastAsia="仿宋_GB2312" w:cs="仿宋_GB2312"/>
          <w:b/>
          <w:bCs/>
          <w:color w:val="auto"/>
          <w:sz w:val="24"/>
          <w:szCs w:val="21"/>
          <w:highlight w:val="none"/>
        </w:rPr>
      </w:pPr>
      <w:bookmarkStart w:id="387" w:name="_Toc1585"/>
      <w:r>
        <w:rPr>
          <w:rFonts w:hint="eastAsia" w:ascii="仿宋_GB2312" w:hAnsi="仿宋_GB2312" w:eastAsia="仿宋_GB2312" w:cs="仿宋_GB2312"/>
          <w:b/>
          <w:bCs/>
          <w:color w:val="auto"/>
          <w:sz w:val="24"/>
          <w:szCs w:val="21"/>
          <w:highlight w:val="none"/>
        </w:rPr>
        <w:t xml:space="preserve">  采购人追加采购数量的权力</w:t>
      </w:r>
      <w:bookmarkEnd w:id="387"/>
    </w:p>
    <w:p>
      <w:pPr>
        <w:tabs>
          <w:tab w:val="left" w:pos="588"/>
        </w:tabs>
        <w:spacing w:line="360" w:lineRule="auto"/>
        <w:ind w:left="840" w:leftChars="400"/>
        <w:rPr>
          <w:rFonts w:ascii="仿宋_GB2312" w:hAnsi="仿宋_GB2312" w:eastAsia="仿宋_GB2312" w:cs="仿宋_GB2312"/>
          <w:color w:val="auto"/>
          <w:sz w:val="24"/>
          <w:highlight w:val="none"/>
        </w:rPr>
      </w:pPr>
      <w:bookmarkStart w:id="388" w:name="_Toc389620205"/>
      <w:bookmarkStart w:id="389" w:name="_Toc385992366"/>
      <w:r>
        <w:rPr>
          <w:rFonts w:hint="eastAsia" w:ascii="仿宋_GB2312" w:hAnsi="仿宋_GB2312" w:eastAsia="仿宋_GB2312" w:cs="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bookmarkEnd w:id="388"/>
    <w:bookmarkEnd w:id="389"/>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bookmarkEnd w:id="87"/>
    <w:bookmarkEnd w:id="88"/>
    <w:bookmarkEnd w:id="89"/>
    <w:bookmarkEnd w:id="90"/>
    <w:p>
      <w:pPr>
        <w:pStyle w:val="48"/>
        <w:spacing w:line="360" w:lineRule="auto"/>
        <w:rPr>
          <w:rStyle w:val="205"/>
          <w:rFonts w:ascii="宋体" w:hAnsi="宋体" w:eastAsia="宋体"/>
          <w:color w:val="auto"/>
          <w:sz w:val="36"/>
          <w:szCs w:val="36"/>
          <w:highlight w:val="none"/>
        </w:rPr>
      </w:pPr>
      <w:bookmarkStart w:id="390" w:name="_Toc68590975"/>
      <w:bookmarkStart w:id="391" w:name="_Toc17469"/>
      <w:bookmarkStart w:id="392" w:name="_Toc58504447"/>
      <w:r>
        <w:rPr>
          <w:rStyle w:val="205"/>
          <w:rFonts w:hint="eastAsia" w:ascii="宋体" w:hAnsi="宋体" w:eastAsia="宋体"/>
          <w:color w:val="auto"/>
          <w:sz w:val="36"/>
          <w:szCs w:val="36"/>
          <w:highlight w:val="none"/>
        </w:rPr>
        <w:t>第三章  评审办法和标准</w:t>
      </w:r>
      <w:bookmarkEnd w:id="390"/>
    </w:p>
    <w:p>
      <w:pPr>
        <w:tabs>
          <w:tab w:val="left" w:pos="360"/>
          <w:tab w:val="left" w:pos="588"/>
        </w:tabs>
        <w:spacing w:line="360" w:lineRule="auto"/>
        <w:ind w:left="840"/>
        <w:rPr>
          <w:rFonts w:ascii="仿宋_GB2312" w:hAnsi="仿宋_GB2312" w:eastAsia="仿宋_GB2312" w:cs="仿宋_GB2312"/>
          <w:color w:val="auto"/>
          <w:sz w:val="24"/>
          <w:highlight w:val="none"/>
        </w:rPr>
      </w:pPr>
    </w:p>
    <w:p>
      <w:pPr>
        <w:pStyle w:val="79"/>
        <w:spacing w:before="24" w:after="24"/>
        <w:rPr>
          <w:rFonts w:ascii="仿宋_GB2312" w:hAnsi="仿宋_GB2312" w:eastAsia="仿宋_GB2312" w:cs="仿宋_GB2312"/>
          <w:color w:val="auto"/>
          <w:sz w:val="28"/>
          <w:szCs w:val="28"/>
          <w:highlight w:val="none"/>
        </w:rPr>
      </w:pPr>
      <w:bookmarkStart w:id="393" w:name="_Toc7005040"/>
      <w:bookmarkStart w:id="394" w:name="_Toc68590976"/>
      <w:r>
        <w:rPr>
          <w:rFonts w:hint="eastAsia" w:ascii="仿宋_GB2312" w:hAnsi="仿宋_GB2312" w:eastAsia="仿宋_GB2312" w:cs="仿宋_GB2312"/>
          <w:color w:val="auto"/>
          <w:sz w:val="28"/>
          <w:szCs w:val="28"/>
          <w:highlight w:val="none"/>
        </w:rPr>
        <w:t>1.评审方法</w:t>
      </w:r>
      <w:bookmarkEnd w:id="393"/>
      <w:bookmarkEnd w:id="394"/>
    </w:p>
    <w:p>
      <w:pPr>
        <w:pStyle w:val="23"/>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9"/>
        <w:spacing w:before="24" w:after="24"/>
        <w:rPr>
          <w:rFonts w:ascii="仿宋_GB2312" w:hAnsi="仿宋_GB2312" w:eastAsia="仿宋_GB2312" w:cs="仿宋_GB2312"/>
          <w:color w:val="auto"/>
          <w:sz w:val="28"/>
          <w:szCs w:val="28"/>
          <w:highlight w:val="none"/>
        </w:rPr>
      </w:pPr>
      <w:bookmarkStart w:id="395" w:name="_Toc68590977"/>
      <w:bookmarkStart w:id="396" w:name="_Toc7005041"/>
      <w:r>
        <w:rPr>
          <w:rFonts w:hint="eastAsia" w:ascii="仿宋_GB2312" w:hAnsi="仿宋_GB2312" w:eastAsia="仿宋_GB2312" w:cs="仿宋_GB2312"/>
          <w:color w:val="auto"/>
          <w:sz w:val="28"/>
          <w:szCs w:val="28"/>
          <w:highlight w:val="none"/>
        </w:rPr>
        <w:t>2.评审标准</w:t>
      </w:r>
      <w:bookmarkEnd w:id="395"/>
      <w:bookmarkEnd w:id="396"/>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资格审查和符合性评审标准：见附表一和附表二。</w:t>
      </w:r>
    </w:p>
    <w:p>
      <w:pPr>
        <w:pStyle w:val="23"/>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2.2 分值构成：总分100分</w:t>
      </w:r>
      <w:r>
        <w:rPr>
          <w:rFonts w:hint="eastAsia" w:ascii="仿宋_GB2312" w:hAnsi="仿宋_GB2312" w:eastAsia="仿宋_GB2312" w:cs="仿宋_GB2312"/>
          <w:color w:val="auto"/>
          <w:sz w:val="24"/>
          <w:highlight w:val="none"/>
          <w:lang w:eastAsia="zh-CN"/>
        </w:rPr>
        <w:t>。</w:t>
      </w:r>
    </w:p>
    <w:p>
      <w:pPr>
        <w:pStyle w:val="23"/>
        <w:rPr>
          <w:rFonts w:ascii="仿宋_GB2312" w:hAnsi="仿宋_GB2312" w:eastAsia="仿宋_GB2312" w:cs="仿宋_GB2312"/>
          <w:color w:val="auto"/>
          <w:sz w:val="24"/>
          <w:highlight w:val="none"/>
        </w:rPr>
      </w:pPr>
      <w:bookmarkStart w:id="397" w:name="_Ref426362114"/>
      <w:r>
        <w:rPr>
          <w:rFonts w:hint="eastAsia" w:ascii="仿宋_GB2312" w:hAnsi="仿宋_GB2312" w:eastAsia="仿宋_GB2312" w:cs="仿宋_GB2312"/>
          <w:color w:val="auto"/>
          <w:sz w:val="24"/>
          <w:highlight w:val="none"/>
        </w:rPr>
        <w:t>2.3 商务和技术评审标准</w:t>
      </w:r>
      <w:bookmarkEnd w:id="397"/>
    </w:p>
    <w:p>
      <w:pPr>
        <w:pStyle w:val="23"/>
        <w:rPr>
          <w:rFonts w:ascii="仿宋_GB2312" w:hAnsi="仿宋_GB2312" w:eastAsia="仿宋_GB2312" w:cs="仿宋_GB2312"/>
          <w:color w:val="auto"/>
          <w:sz w:val="24"/>
          <w:highlight w:val="none"/>
        </w:rPr>
      </w:pPr>
      <w:bookmarkStart w:id="398" w:name="_Ref426362140"/>
      <w:r>
        <w:rPr>
          <w:rFonts w:hint="eastAsia" w:ascii="仿宋_GB2312" w:hAnsi="仿宋_GB2312" w:eastAsia="仿宋_GB2312" w:cs="仿宋_GB2312"/>
          <w:color w:val="auto"/>
          <w:sz w:val="24"/>
          <w:highlight w:val="none"/>
        </w:rPr>
        <w:t>2.3.1商务部分评分标准：见附表</w:t>
      </w:r>
      <w:bookmarkEnd w:id="398"/>
      <w:r>
        <w:rPr>
          <w:rFonts w:hint="eastAsia" w:ascii="仿宋_GB2312" w:hAnsi="仿宋_GB2312" w:eastAsia="仿宋_GB2312" w:cs="仿宋_GB2312"/>
          <w:color w:val="auto"/>
          <w:sz w:val="24"/>
          <w:highlight w:val="none"/>
        </w:rPr>
        <w:t>三</w:t>
      </w:r>
    </w:p>
    <w:p>
      <w:pPr>
        <w:pStyle w:val="23"/>
        <w:rPr>
          <w:rFonts w:ascii="仿宋_GB2312" w:hAnsi="仿宋_GB2312" w:eastAsia="仿宋_GB2312" w:cs="仿宋_GB2312"/>
          <w:color w:val="auto"/>
          <w:sz w:val="24"/>
          <w:highlight w:val="none"/>
        </w:rPr>
      </w:pPr>
      <w:bookmarkStart w:id="399" w:name="_Ref426362158"/>
      <w:r>
        <w:rPr>
          <w:rFonts w:hint="eastAsia" w:ascii="仿宋_GB2312" w:hAnsi="仿宋_GB2312" w:eastAsia="仿宋_GB2312" w:cs="仿宋_GB2312"/>
          <w:color w:val="auto"/>
          <w:sz w:val="24"/>
          <w:highlight w:val="none"/>
        </w:rPr>
        <w:t>2.3.2技术部分评分标准：见附表</w:t>
      </w:r>
      <w:bookmarkEnd w:id="399"/>
      <w:r>
        <w:rPr>
          <w:rFonts w:hint="eastAsia" w:ascii="仿宋_GB2312" w:hAnsi="仿宋_GB2312" w:eastAsia="仿宋_GB2312" w:cs="仿宋_GB2312"/>
          <w:color w:val="auto"/>
          <w:sz w:val="24"/>
          <w:highlight w:val="none"/>
        </w:rPr>
        <w:t>四</w:t>
      </w:r>
    </w:p>
    <w:p>
      <w:pPr>
        <w:pStyle w:val="23"/>
        <w:rPr>
          <w:rFonts w:ascii="仿宋_GB2312" w:hAnsi="仿宋_GB2312" w:eastAsia="仿宋_GB2312" w:cs="仿宋_GB2312"/>
          <w:color w:val="auto"/>
          <w:sz w:val="24"/>
          <w:highlight w:val="none"/>
        </w:rPr>
      </w:pPr>
      <w:bookmarkStart w:id="400" w:name="_Ref426362176"/>
      <w:r>
        <w:rPr>
          <w:rFonts w:hint="eastAsia" w:ascii="仿宋_GB2312" w:hAnsi="仿宋_GB2312" w:eastAsia="仿宋_GB2312" w:cs="仿宋_GB2312"/>
          <w:color w:val="auto"/>
          <w:sz w:val="24"/>
          <w:highlight w:val="none"/>
        </w:rPr>
        <w:t>2.3.3报价评分标准：</w:t>
      </w:r>
      <w:bookmarkEnd w:id="400"/>
      <w:r>
        <w:rPr>
          <w:rFonts w:hint="eastAsia" w:ascii="仿宋_GB2312" w:hAnsi="仿宋_GB2312" w:eastAsia="仿宋_GB2312" w:cs="仿宋_GB2312"/>
          <w:color w:val="auto"/>
          <w:sz w:val="24"/>
          <w:highlight w:val="none"/>
        </w:rPr>
        <w:t>见附表五</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（1）根据《政府采购促进中小企业发展管理办法》（财库〔2020〕46号）调整供应商参与评审的价格。对小型和微型企业产品的价格给予6%（</w:t>
      </w:r>
      <w:r>
        <w:rPr>
          <w:rFonts w:hint="eastAsia" w:ascii="仿宋_GB2312" w:hAnsi="仿宋_GB2312" w:eastAsia="仿宋_GB2312" w:cs="仿宋_GB2312"/>
          <w:i/>
          <w:color w:val="auto"/>
          <w:sz w:val="24"/>
          <w:highlight w:val="none"/>
        </w:rPr>
        <w:t>工程项目为3%</w:t>
      </w:r>
      <w:r>
        <w:rPr>
          <w:rFonts w:hint="eastAsia" w:ascii="仿宋_GB2312" w:hAnsi="仿宋_GB2312" w:eastAsia="仿宋_GB2312" w:cs="仿宋_GB2312"/>
          <w:color w:val="auto"/>
          <w:sz w:val="24"/>
          <w:highlight w:val="none"/>
        </w:rPr>
        <w:t>）的扣除。如允许与小微企业组成联合体或向其分包的，且合同额占总金额30%以上的，给予2%（工程为1%）的扣除。</w:t>
      </w:r>
    </w:p>
    <w:p>
      <w:pPr>
        <w:pStyle w:val="2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注：监狱企业、残疾人福利性单位视同小微企业；残疾人福利性单位属于小型、微型企业的，不重复享受政策。</w:t>
      </w:r>
    </w:p>
    <w:p>
      <w:pPr>
        <w:pStyle w:val="23"/>
        <w:rPr>
          <w:rFonts w:hint="eastAsia" w:eastAsia="仿宋_GB2312"/>
          <w:lang w:eastAsia="zh-CN"/>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本项目为为专门面向中小企业采购、对中小企业参加磋商的不再进行价格扣除优惠</w:t>
      </w:r>
      <w:r>
        <w:rPr>
          <w:rFonts w:hint="eastAsia" w:ascii="仿宋_GB2312" w:hAnsi="仿宋_GB2312" w:eastAsia="仿宋_GB2312" w:cs="仿宋_GB2312"/>
          <w:color w:val="auto"/>
          <w:sz w:val="24"/>
          <w:highlight w:val="none"/>
        </w:rPr>
        <w:t>。</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（2）评审基准价。有效响应文件中的最后报价并按本款（1）和（2）进行调整的最低报价为评审基准价。</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（3）供应商报价（按本款（1）和（2）进行调整后价格）得分=(评审基准价／最后报价)×价格权值。</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 响应文件出现下列情况之一者，磋商小组在评审过程中按以下原则修正：</w:t>
      </w:r>
    </w:p>
    <w:p>
      <w:pPr>
        <w:tabs>
          <w:tab w:val="left" w:pos="588"/>
        </w:tabs>
        <w:spacing w:line="360" w:lineRule="auto"/>
        <w:ind w:firstLine="120" w:firstLineChar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（1）大写金额与小写金额不一致的，以大写金额为准；</w:t>
      </w:r>
    </w:p>
    <w:p>
      <w:pPr>
        <w:tabs>
          <w:tab w:val="left" w:pos="588"/>
        </w:tabs>
        <w:spacing w:line="360" w:lineRule="auto"/>
        <w:ind w:firstLine="120" w:firstLineChar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（2）总价金额与按单价汇总金额不一致的，以单价金额计算结果为准；</w:t>
      </w:r>
    </w:p>
    <w:p>
      <w:pPr>
        <w:tabs>
          <w:tab w:val="left" w:pos="588"/>
        </w:tabs>
        <w:spacing w:line="360" w:lineRule="auto"/>
        <w:ind w:firstLine="120" w:firstLineChar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（3）单价金额小数点有明显错位的，应以总价为准，并修改单价；</w:t>
      </w:r>
    </w:p>
    <w:p>
      <w:pPr>
        <w:tabs>
          <w:tab w:val="left" w:pos="588"/>
        </w:tabs>
        <w:spacing w:line="360" w:lineRule="auto"/>
        <w:ind w:firstLine="120" w:firstLineChar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（4）对不同文字文本响应文件的解释发生异议的，以中文文本为准；</w:t>
      </w:r>
    </w:p>
    <w:p>
      <w:pPr>
        <w:tabs>
          <w:tab w:val="left" w:pos="588"/>
        </w:tabs>
        <w:spacing w:line="360" w:lineRule="auto"/>
        <w:ind w:firstLine="120" w:firstLineChar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（5）文字与图表不一致的，以文字为准；</w:t>
      </w:r>
    </w:p>
    <w:p>
      <w:pPr>
        <w:tabs>
          <w:tab w:val="left" w:pos="588"/>
        </w:tabs>
        <w:spacing w:line="360" w:lineRule="auto"/>
        <w:ind w:firstLine="120" w:firstLineChar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（6）正本与副本不一致的，以正本为准；</w:t>
      </w:r>
    </w:p>
    <w:p>
      <w:pPr>
        <w:tabs>
          <w:tab w:val="left" w:pos="588"/>
        </w:tabs>
        <w:spacing w:line="360" w:lineRule="auto"/>
        <w:ind w:firstLine="120" w:firstLineChar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（7）响应文件的文字叙述与制造厂商的产品样本/检测报告不符时，以产品样本/检测报告为准。</w:t>
      </w:r>
    </w:p>
    <w:p>
      <w:pPr>
        <w:pStyle w:val="79"/>
        <w:spacing w:before="24" w:after="24"/>
        <w:rPr>
          <w:rFonts w:ascii="仿宋_GB2312" w:hAnsi="仿宋_GB2312" w:eastAsia="仿宋_GB2312" w:cs="仿宋_GB2312"/>
          <w:color w:val="auto"/>
          <w:sz w:val="28"/>
          <w:szCs w:val="28"/>
          <w:highlight w:val="none"/>
        </w:rPr>
      </w:pPr>
      <w:bookmarkStart w:id="401" w:name="_Toc7005042"/>
      <w:bookmarkStart w:id="402" w:name="_Toc68590978"/>
      <w:r>
        <w:rPr>
          <w:rFonts w:hint="eastAsia" w:ascii="仿宋_GB2312" w:hAnsi="仿宋_GB2312" w:eastAsia="仿宋_GB2312" w:cs="仿宋_GB2312"/>
          <w:color w:val="auto"/>
          <w:sz w:val="28"/>
          <w:szCs w:val="28"/>
          <w:highlight w:val="none"/>
        </w:rPr>
        <w:t>3.评审程序</w:t>
      </w:r>
      <w:bookmarkEnd w:id="401"/>
      <w:bookmarkEnd w:id="402"/>
    </w:p>
    <w:p>
      <w:pPr>
        <w:pStyle w:val="23"/>
        <w:rPr>
          <w:rFonts w:ascii="仿宋_GB2312" w:hAnsi="仿宋_GB2312" w:eastAsia="仿宋_GB2312" w:cs="仿宋_GB2312"/>
          <w:b/>
          <w:color w:val="auto"/>
          <w:sz w:val="24"/>
          <w:highlight w:val="none"/>
        </w:rPr>
      </w:pPr>
      <w:bookmarkStart w:id="403" w:name="_Toc7005043"/>
      <w:r>
        <w:rPr>
          <w:rFonts w:hint="eastAsia" w:ascii="仿宋_GB2312" w:hAnsi="仿宋_GB2312" w:eastAsia="仿宋_GB2312" w:cs="仿宋_GB2312"/>
          <w:b/>
          <w:color w:val="auto"/>
          <w:sz w:val="24"/>
          <w:highlight w:val="none"/>
        </w:rPr>
        <w:t>3.1资格审查及符合性审查</w:t>
      </w:r>
      <w:bookmarkEnd w:id="403"/>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采购人或采购代理机构按附表一所列审查标准对供应商资格进行审查，以确定供应商是否具备磋商资格。</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磋商小组对符合资格要求的响应文件按附表二进行符合性审查，以确定其是否满足磋商文件的实质性要求（见本章内的符合性审查表）。</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磋商小组不接受供应商主动提出的澄清、说明或补正。</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供应商的书面澄清、说明和补正属于响应文件的组成部分。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磋商小组对供应商提交的澄清、说明或补正有疑问的，可以要求供应商进一步澄清、说明或补正，直至满足评审小组的要求。</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3.1.4 不具备磋商文件要求的资格或未通过符合性审查的供应商，不参与磋商，由磋商小组告知该供应商。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3.1.5 通过资格审查和符合性审查的合格供应商不足3家的，不再进行评审和磋商。</w:t>
      </w:r>
    </w:p>
    <w:p>
      <w:pPr>
        <w:pStyle w:val="23"/>
        <w:rPr>
          <w:rFonts w:ascii="仿宋_GB2312" w:hAnsi="仿宋_GB2312" w:eastAsia="仿宋_GB2312" w:cs="仿宋_GB2312"/>
          <w:b/>
          <w:color w:val="auto"/>
          <w:sz w:val="24"/>
          <w:highlight w:val="none"/>
        </w:rPr>
      </w:pPr>
      <w:bookmarkStart w:id="404" w:name="_Toc7005044"/>
      <w:r>
        <w:rPr>
          <w:rFonts w:hint="eastAsia" w:ascii="仿宋_GB2312" w:hAnsi="仿宋_GB2312" w:eastAsia="仿宋_GB2312" w:cs="仿宋_GB2312"/>
          <w:b/>
          <w:color w:val="auto"/>
          <w:sz w:val="24"/>
          <w:highlight w:val="none"/>
        </w:rPr>
        <w:t>3.2 磋商</w:t>
      </w:r>
      <w:bookmarkEnd w:id="404"/>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3.2.1按“供应商须知”第五条规定，由磋商小组与供应商进行磋商。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磋商结束后，磋商小组可以要求所有继续参加磋商的供应商在规定时间内提交最后报价函，提交最后报价函的供应商不得少于3家。</w:t>
      </w:r>
    </w:p>
    <w:p>
      <w:pPr>
        <w:pStyle w:val="23"/>
        <w:rPr>
          <w:rFonts w:ascii="仿宋_GB2312" w:hAnsi="仿宋_GB2312" w:eastAsia="仿宋_GB2312" w:cs="仿宋_GB2312"/>
          <w:b/>
          <w:color w:val="auto"/>
          <w:sz w:val="24"/>
          <w:highlight w:val="none"/>
        </w:rPr>
      </w:pPr>
      <w:bookmarkStart w:id="405" w:name="_Toc7005045"/>
      <w:r>
        <w:rPr>
          <w:rFonts w:hint="eastAsia" w:ascii="仿宋_GB2312" w:hAnsi="仿宋_GB2312" w:eastAsia="仿宋_GB2312" w:cs="仿宋_GB2312"/>
          <w:b/>
          <w:color w:val="auto"/>
          <w:sz w:val="24"/>
          <w:highlight w:val="none"/>
        </w:rPr>
        <w:t>3.3评审</w:t>
      </w:r>
      <w:bookmarkEnd w:id="405"/>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3.3.1 比较与评价</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磋商小组按本章第2.3款[商务和技术评审标准]对供应商提交的响应文件（包括最后报价函）进行商务和技术评估，综合比较与评价。</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3.3.2 磋商小组按本章第2.3款规定的量化因素和分值进行打分，并计算出综合评估得分。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（1）按本章第2.3.1项规定的评审因素和分值对商务部分计算出得分A；</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（2）按本章第2.3.2项规定的评审因素和分值对技术部分计算出得分B；</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（3）按本章第2.3.3项规定的评审因素和分值对报价部分计算出得分C。</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3.3.3评分分值计算保留小数点后两位，小数点后第三位“四舍五入”。</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3.3.4供应商得分=A＋B＋C</w:t>
      </w:r>
    </w:p>
    <w:p>
      <w:pPr>
        <w:pStyle w:val="2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3.4 评审结果</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3.4.1 除第二章“供应商须知”前附表授权直接确定成交供应商外，磋商小组按照得分由高到低的顺序推荐3名成交候选人。</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3.4.2 磋商小组完成评审后，应当向采购人提交书面评审报告。</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附表一 资格审查表</w:t>
      </w:r>
    </w:p>
    <w:tbl>
      <w:tblPr>
        <w:tblStyle w:val="52"/>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序号</w:t>
            </w:r>
          </w:p>
        </w:tc>
        <w:tc>
          <w:tcPr>
            <w:tcW w:w="2655" w:type="dxa"/>
            <w:vAlign w:val="center"/>
          </w:tcPr>
          <w:p>
            <w:pPr>
              <w:snapToGrid w:val="0"/>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评审内容</w:t>
            </w:r>
          </w:p>
        </w:tc>
        <w:tc>
          <w:tcPr>
            <w:tcW w:w="4677" w:type="dxa"/>
            <w:vAlign w:val="center"/>
          </w:tcPr>
          <w:p>
            <w:pPr>
              <w:snapToGrid w:val="0"/>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评审合格标准</w:t>
            </w:r>
          </w:p>
        </w:tc>
        <w:tc>
          <w:tcPr>
            <w:tcW w:w="1178"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审查结果</w:t>
            </w:r>
          </w:p>
          <w:p>
            <w:pPr>
              <w:snapToGrid w:val="0"/>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1</w:t>
            </w:r>
          </w:p>
        </w:tc>
        <w:tc>
          <w:tcPr>
            <w:tcW w:w="2655" w:type="dxa"/>
            <w:vAlign w:val="center"/>
          </w:tcPr>
          <w:p>
            <w:pPr>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供应商名称</w:t>
            </w:r>
          </w:p>
        </w:tc>
        <w:tc>
          <w:tcPr>
            <w:tcW w:w="4677" w:type="dxa"/>
            <w:vAlign w:val="center"/>
          </w:tcPr>
          <w:p>
            <w:pPr>
              <w:snapToGrid w:val="0"/>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与磋商登记备案、营业执照一致（符合法定工商变更程序除外）；</w:t>
            </w:r>
          </w:p>
        </w:tc>
        <w:tc>
          <w:tcPr>
            <w:tcW w:w="1178" w:type="dxa"/>
            <w:vAlign w:val="center"/>
          </w:tcPr>
          <w:p>
            <w:pPr>
              <w:snapToGrid w:val="0"/>
              <w:jc w:val="center"/>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2655"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具有独立承担民事责任的能力</w:t>
            </w:r>
          </w:p>
        </w:tc>
        <w:tc>
          <w:tcPr>
            <w:tcW w:w="4677" w:type="dxa"/>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提供了有效的法人或者其他组织的营业执照等证明文件，自然人的身份证明</w:t>
            </w:r>
          </w:p>
        </w:tc>
        <w:tc>
          <w:tcPr>
            <w:tcW w:w="1178" w:type="dxa"/>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655"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具有健全的财务会计制度</w:t>
            </w:r>
          </w:p>
        </w:tc>
        <w:tc>
          <w:tcPr>
            <w:tcW w:w="4677" w:type="dxa"/>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提供上一年度（20</w:t>
            </w:r>
            <w:r>
              <w:rPr>
                <w:rFonts w:hint="eastAsia" w:ascii="仿宋_GB2312" w:hAnsi="仿宋_GB2312" w:eastAsia="仿宋_GB2312" w:cs="仿宋_GB2312"/>
                <w:color w:val="auto"/>
                <w:szCs w:val="21"/>
                <w:highlight w:val="none"/>
                <w:lang w:val="en-US" w:eastAsia="zh-CN"/>
              </w:rPr>
              <w:t>20</w:t>
            </w:r>
            <w:r>
              <w:rPr>
                <w:rFonts w:hint="eastAsia" w:ascii="仿宋_GB2312" w:hAnsi="仿宋_GB2312" w:eastAsia="仿宋_GB2312" w:cs="仿宋_GB2312"/>
                <w:color w:val="auto"/>
                <w:szCs w:val="21"/>
                <w:highlight w:val="none"/>
              </w:rPr>
              <w:t>年度或202</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年度）的经审计的财务报告、或任意一个月单位内部财务报表、或本年度基本开户银行出具的资信证明</w:t>
            </w:r>
          </w:p>
        </w:tc>
        <w:tc>
          <w:tcPr>
            <w:tcW w:w="1178" w:type="dxa"/>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2" w:type="dxa"/>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2655"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具有履行合同所必需的设备和专业技术能力</w:t>
            </w:r>
          </w:p>
        </w:tc>
        <w:tc>
          <w:tcPr>
            <w:tcW w:w="4677" w:type="dxa"/>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提供了可充分满足履行合同所需设备和专业技术能力的证明材料或承诺</w:t>
            </w:r>
          </w:p>
        </w:tc>
        <w:tc>
          <w:tcPr>
            <w:tcW w:w="1178" w:type="dxa"/>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2655"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有依法缴纳税收和社会保障资金的良好记录</w:t>
            </w:r>
          </w:p>
        </w:tc>
        <w:tc>
          <w:tcPr>
            <w:tcW w:w="4677" w:type="dxa"/>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1.任意一个月缴税凭证或免税证明（复印件加盖公章）。</w:t>
            </w:r>
          </w:p>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 任意一个月社会保障资金缴纳证明或免缴纳证明（复印件加盖公章）</w:t>
            </w:r>
          </w:p>
        </w:tc>
        <w:tc>
          <w:tcPr>
            <w:tcW w:w="1178" w:type="dxa"/>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2655"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参加政府采购活动前三年内，在经营活动中没有重大违法记录</w:t>
            </w:r>
          </w:p>
        </w:tc>
        <w:tc>
          <w:tcPr>
            <w:tcW w:w="4677" w:type="dxa"/>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提供了有效的参加政府采购活动前3年内在经营活动中没有重大违法记录的书面声明</w:t>
            </w:r>
          </w:p>
        </w:tc>
        <w:tc>
          <w:tcPr>
            <w:tcW w:w="1178" w:type="dxa"/>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2655"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法律、行政法规规定的其他条件</w:t>
            </w:r>
          </w:p>
        </w:tc>
        <w:tc>
          <w:tcPr>
            <w:tcW w:w="4677" w:type="dxa"/>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不存在违反法律、法规的情况</w:t>
            </w:r>
          </w:p>
        </w:tc>
        <w:tc>
          <w:tcPr>
            <w:tcW w:w="1178" w:type="dxa"/>
            <w:vAlign w:val="center"/>
          </w:tcPr>
          <w:p>
            <w:pPr>
              <w:snapToGrid w:val="0"/>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8</w:t>
            </w:r>
          </w:p>
        </w:tc>
        <w:tc>
          <w:tcPr>
            <w:tcW w:w="2655" w:type="dxa"/>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非联合体</w:t>
            </w:r>
          </w:p>
        </w:tc>
        <w:tc>
          <w:tcPr>
            <w:tcW w:w="4677" w:type="dxa"/>
          </w:tcPr>
          <w:p>
            <w:pPr>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供应商为非联合体投标</w:t>
            </w:r>
          </w:p>
        </w:tc>
        <w:tc>
          <w:tcPr>
            <w:tcW w:w="1178" w:type="dxa"/>
            <w:vAlign w:val="center"/>
          </w:tcPr>
          <w:p>
            <w:pPr>
              <w:snapToGrid w:val="0"/>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w:t>
            </w:r>
          </w:p>
        </w:tc>
        <w:tc>
          <w:tcPr>
            <w:tcW w:w="2655" w:type="dxa"/>
            <w:vAlign w:val="center"/>
          </w:tcPr>
          <w:p>
            <w:pPr>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落实政府采购政策需满足的资格要求</w:t>
            </w:r>
          </w:p>
        </w:tc>
        <w:tc>
          <w:tcPr>
            <w:tcW w:w="4677" w:type="dxa"/>
          </w:tcPr>
          <w:p>
            <w:pPr>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供应商应为中小微企业、监狱企业、残疾人福利性单位</w:t>
            </w:r>
          </w:p>
        </w:tc>
        <w:tc>
          <w:tcPr>
            <w:tcW w:w="1178" w:type="dxa"/>
            <w:vAlign w:val="center"/>
          </w:tcPr>
          <w:p>
            <w:pPr>
              <w:snapToGrid w:val="0"/>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pPr>
              <w:snapToGrid w:val="0"/>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0</w:t>
            </w:r>
          </w:p>
        </w:tc>
        <w:tc>
          <w:tcPr>
            <w:tcW w:w="2655" w:type="dxa"/>
            <w:vMerge w:val="restart"/>
            <w:vAlign w:val="center"/>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供应商特定资格条件</w:t>
            </w:r>
          </w:p>
        </w:tc>
        <w:tc>
          <w:tcPr>
            <w:tcW w:w="4677" w:type="dxa"/>
          </w:tcPr>
          <w:p>
            <w:pPr>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1、向采购代理机构购买（或免费领取）磋商文件并登记备案。</w:t>
            </w:r>
          </w:p>
        </w:tc>
        <w:tc>
          <w:tcPr>
            <w:tcW w:w="1178" w:type="dxa"/>
            <w:vMerge w:val="restart"/>
            <w:vAlign w:val="center"/>
          </w:tcPr>
          <w:p>
            <w:pPr>
              <w:snapToGrid w:val="0"/>
              <w:ind w:left="425"/>
              <w:jc w:val="cente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ascii="仿宋_GB2312" w:hAnsi="仿宋_GB2312" w:eastAsia="仿宋_GB2312" w:cs="仿宋_GB2312"/>
                <w:color w:val="auto"/>
                <w:szCs w:val="21"/>
                <w:highlight w:val="none"/>
              </w:rPr>
            </w:pPr>
          </w:p>
        </w:tc>
        <w:tc>
          <w:tcPr>
            <w:tcW w:w="2655" w:type="dxa"/>
            <w:vMerge w:val="continue"/>
            <w:vAlign w:val="center"/>
          </w:tcPr>
          <w:p>
            <w:pPr>
              <w:snapToGrid w:val="0"/>
              <w:jc w:val="left"/>
              <w:rPr>
                <w:rFonts w:ascii="仿宋_GB2312" w:hAnsi="仿宋_GB2312" w:eastAsia="仿宋_GB2312" w:cs="仿宋_GB2312"/>
                <w:color w:val="auto"/>
                <w:szCs w:val="21"/>
                <w:highlight w:val="none"/>
              </w:rPr>
            </w:pPr>
          </w:p>
        </w:tc>
        <w:tc>
          <w:tcPr>
            <w:tcW w:w="4677" w:type="dxa"/>
          </w:tcPr>
          <w:p>
            <w:pPr>
              <w:snapToGrid w:val="0"/>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2、法定代表人直接参加磋商的须出具法人身份证（须与营业执照上信息一致），法定代表人授权代表参加磋商的须出具法定代表人授权书及授权代表本单位身份证明（养老保险缴纳证明或劳动合同）。</w:t>
            </w:r>
          </w:p>
        </w:tc>
        <w:tc>
          <w:tcPr>
            <w:tcW w:w="1178" w:type="dxa"/>
            <w:vMerge w:val="continue"/>
            <w:vAlign w:val="center"/>
          </w:tcPr>
          <w:p>
            <w:pPr>
              <w:snapToGrid w:val="0"/>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2" w:type="dxa"/>
            <w:vMerge w:val="continue"/>
            <w:vAlign w:val="center"/>
          </w:tcPr>
          <w:p>
            <w:pPr>
              <w:snapToGrid w:val="0"/>
              <w:jc w:val="center"/>
              <w:rPr>
                <w:rFonts w:ascii="仿宋_GB2312" w:hAnsi="仿宋_GB2312" w:eastAsia="仿宋_GB2312" w:cs="仿宋_GB2312"/>
                <w:color w:val="auto"/>
                <w:szCs w:val="21"/>
                <w:highlight w:val="none"/>
              </w:rPr>
            </w:pPr>
          </w:p>
        </w:tc>
        <w:tc>
          <w:tcPr>
            <w:tcW w:w="2655" w:type="dxa"/>
            <w:vMerge w:val="continue"/>
            <w:vAlign w:val="center"/>
          </w:tcPr>
          <w:p>
            <w:pPr>
              <w:snapToGrid w:val="0"/>
              <w:jc w:val="left"/>
              <w:rPr>
                <w:rFonts w:ascii="仿宋_GB2312" w:hAnsi="仿宋_GB2312" w:eastAsia="仿宋_GB2312" w:cs="仿宋_GB2312"/>
                <w:color w:val="auto"/>
                <w:szCs w:val="21"/>
                <w:highlight w:val="none"/>
              </w:rPr>
            </w:pPr>
          </w:p>
        </w:tc>
        <w:tc>
          <w:tcPr>
            <w:tcW w:w="4677" w:type="dxa"/>
          </w:tcPr>
          <w:p>
            <w:pPr>
              <w:snapToGrid w:val="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未被“信用中国”网站（</w:t>
            </w:r>
            <w:r>
              <w:rPr>
                <w:rFonts w:hint="eastAsia" w:ascii="仿宋_GB2312" w:hAnsi="仿宋_GB2312" w:eastAsia="仿宋_GB2312" w:cs="仿宋_GB2312"/>
                <w:color w:val="auto"/>
                <w:szCs w:val="21"/>
                <w:highlight w:val="none"/>
              </w:rPr>
              <w:fldChar w:fldCharType="begin"/>
            </w:r>
            <w:r>
              <w:rPr>
                <w:rFonts w:hint="eastAsia" w:ascii="仿宋_GB2312" w:hAnsi="仿宋_GB2312" w:eastAsia="仿宋_GB2312" w:cs="仿宋_GB2312"/>
                <w:color w:val="auto"/>
                <w:szCs w:val="21"/>
                <w:highlight w:val="none"/>
              </w:rPr>
              <w:instrText xml:space="preserve"> HYPERLINK "http://www.creditchina.gov.cn）中列入失信被执行人和/" </w:instrText>
            </w:r>
            <w:r>
              <w:rPr>
                <w:rFonts w:hint="eastAsia" w:ascii="仿宋_GB2312" w:hAnsi="仿宋_GB2312" w:eastAsia="仿宋_GB2312" w:cs="仿宋_GB2312"/>
                <w:color w:val="auto"/>
                <w:szCs w:val="21"/>
                <w:highlight w:val="none"/>
              </w:rPr>
              <w:fldChar w:fldCharType="separate"/>
            </w:r>
            <w:r>
              <w:rPr>
                <w:rFonts w:hint="eastAsia" w:ascii="仿宋_GB2312" w:hAnsi="仿宋_GB2312" w:eastAsia="仿宋_GB2312" w:cs="仿宋_GB2312"/>
                <w:color w:val="auto"/>
                <w:szCs w:val="21"/>
                <w:highlight w:val="none"/>
              </w:rPr>
              <w:t>www.creditchina.gov.cn）中列入失信被执行人和</w:t>
            </w:r>
            <w:r>
              <w:rPr>
                <w:rFonts w:hint="eastAsia" w:ascii="仿宋_GB2312" w:hAnsi="仿宋_GB2312" w:eastAsia="仿宋_GB2312" w:cs="仿宋_GB2312"/>
                <w:color w:val="auto"/>
                <w:szCs w:val="21"/>
                <w:highlight w:val="none"/>
              </w:rPr>
              <w:fldChar w:fldCharType="end"/>
            </w:r>
            <w:r>
              <w:rPr>
                <w:rFonts w:hint="eastAsia" w:ascii="仿宋_GB2312" w:hAnsi="仿宋_GB2312" w:eastAsia="仿宋_GB2312" w:cs="仿宋_GB2312"/>
                <w:color w:val="auto"/>
                <w:szCs w:val="21"/>
                <w:highlight w:val="none"/>
              </w:rPr>
              <w:t>重大税收违法案件当事人名单的供应商、未被中国政府采购网（www.ccgp.gov.cn）列入政府采购严重违法失信行为记录名单中被财政部门禁止参加政府采购活动的供应商</w:t>
            </w:r>
          </w:p>
        </w:tc>
        <w:tc>
          <w:tcPr>
            <w:tcW w:w="1178" w:type="dxa"/>
            <w:vAlign w:val="center"/>
          </w:tcPr>
          <w:p>
            <w:pPr>
              <w:snapToGrid w:val="0"/>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Merge w:val="continue"/>
            <w:vAlign w:val="center"/>
          </w:tcPr>
          <w:p>
            <w:pPr>
              <w:snapToGrid w:val="0"/>
              <w:jc w:val="center"/>
              <w:rPr>
                <w:rFonts w:ascii="仿宋_GB2312" w:hAnsi="仿宋_GB2312" w:eastAsia="仿宋_GB2312" w:cs="仿宋_GB2312"/>
                <w:color w:val="auto"/>
                <w:szCs w:val="21"/>
                <w:highlight w:val="none"/>
              </w:rPr>
            </w:pPr>
          </w:p>
        </w:tc>
        <w:tc>
          <w:tcPr>
            <w:tcW w:w="2655" w:type="dxa"/>
            <w:vMerge w:val="continue"/>
            <w:vAlign w:val="center"/>
          </w:tcPr>
          <w:p>
            <w:pPr>
              <w:snapToGrid w:val="0"/>
              <w:jc w:val="left"/>
              <w:rPr>
                <w:rFonts w:ascii="仿宋_GB2312" w:hAnsi="仿宋_GB2312" w:eastAsia="仿宋_GB2312" w:cs="仿宋_GB2312"/>
                <w:color w:val="auto"/>
                <w:szCs w:val="21"/>
                <w:highlight w:val="none"/>
              </w:rPr>
            </w:pPr>
          </w:p>
        </w:tc>
        <w:tc>
          <w:tcPr>
            <w:tcW w:w="4677" w:type="dxa"/>
          </w:tcPr>
          <w:p>
            <w:pPr>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供应商不得存在下列情形之一：</w:t>
            </w:r>
          </w:p>
          <w:p>
            <w:pPr>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（1）单位负责人为同一人或者存在直接控股、管理关系的不同供应商，不得参加本次采购活动；</w:t>
            </w:r>
          </w:p>
          <w:p>
            <w:pPr>
              <w:snapToGrid w:val="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（2）为本项目提供整体设计、规范编制或者项目管理、监理、检测等服务的供应商，不得再参加本项目的采购活动；</w:t>
            </w:r>
          </w:p>
          <w:p>
            <w:pPr>
              <w:snapToGrid w:val="0"/>
              <w:jc w:val="left"/>
              <w:rPr>
                <w:rFonts w:hint="eastAsia" w:ascii="仿宋_GB2312" w:hAnsi="仿宋_GB2312" w:eastAsia="仿宋_GB2312" w:cs="仿宋_GB2312"/>
                <w:color w:val="auto"/>
                <w:szCs w:val="21"/>
                <w:highlight w:val="none"/>
                <w:lang w:val="en-US" w:eastAsia="zh-CN"/>
              </w:rPr>
            </w:pPr>
          </w:p>
        </w:tc>
        <w:tc>
          <w:tcPr>
            <w:tcW w:w="1178" w:type="dxa"/>
            <w:vAlign w:val="center"/>
          </w:tcPr>
          <w:p>
            <w:pPr>
              <w:snapToGrid w:val="0"/>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07" w:type="dxa"/>
            <w:gridSpan w:val="2"/>
            <w:vAlign w:val="center"/>
          </w:tcPr>
          <w:p>
            <w:p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结论（通过或未通过）</w:t>
            </w:r>
          </w:p>
        </w:tc>
        <w:tc>
          <w:tcPr>
            <w:tcW w:w="4677" w:type="dxa"/>
          </w:tcPr>
          <w:p>
            <w:pPr>
              <w:snapToGrid w:val="0"/>
              <w:jc w:val="center"/>
              <w:rPr>
                <w:rFonts w:ascii="仿宋_GB2312" w:hAnsi="仿宋_GB2312" w:eastAsia="仿宋_GB2312" w:cs="仿宋_GB2312"/>
                <w:color w:val="auto"/>
                <w:szCs w:val="21"/>
                <w:highlight w:val="none"/>
              </w:rPr>
            </w:pPr>
          </w:p>
        </w:tc>
        <w:tc>
          <w:tcPr>
            <w:tcW w:w="1178" w:type="dxa"/>
            <w:vAlign w:val="center"/>
          </w:tcPr>
          <w:p>
            <w:pPr>
              <w:snapToGrid w:val="0"/>
              <w:ind w:left="425"/>
              <w:jc w:val="center"/>
              <w:rPr>
                <w:rFonts w:ascii="仿宋_GB2312" w:hAnsi="仿宋_GB2312" w:eastAsia="仿宋_GB2312" w:cs="仿宋_GB2312"/>
                <w:color w:val="auto"/>
                <w:szCs w:val="21"/>
                <w:highlight w:val="none"/>
              </w:rPr>
            </w:pPr>
          </w:p>
        </w:tc>
      </w:tr>
    </w:tbl>
    <w:p>
      <w:pPr>
        <w:spacing w:line="0" w:lineRule="atLeast"/>
        <w:ind w:left="425"/>
        <w:rPr>
          <w:rFonts w:ascii="仿宋_GB2312" w:hAnsi="仿宋_GB2312" w:eastAsia="仿宋_GB2312" w:cs="仿宋_GB2312"/>
          <w:color w:val="auto"/>
          <w:szCs w:val="21"/>
          <w:highlight w:val="none"/>
        </w:rPr>
      </w:pPr>
    </w:p>
    <w:p>
      <w:pPr>
        <w:spacing w:line="0" w:lineRule="atLeast"/>
        <w:ind w:left="425"/>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color w:val="auto"/>
          <w:szCs w:val="21"/>
          <w:highlight w:val="none"/>
        </w:rPr>
        <w:t>注：符合要求用“√”表示，不符合用“×”表示。有一项不符合要求，结论为不合格。</w:t>
      </w:r>
    </w:p>
    <w:p>
      <w:pPr>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30"/>
          <w:szCs w:val="30"/>
          <w:highlight w:val="none"/>
          <w:lang w:eastAsia="zh-CN"/>
        </w:rPr>
        <w:br w:type="page"/>
      </w:r>
    </w:p>
    <w:p>
      <w:pPr>
        <w:tabs>
          <w:tab w:val="left" w:pos="2300"/>
          <w:tab w:val="center" w:pos="4595"/>
        </w:tabs>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30"/>
          <w:szCs w:val="30"/>
          <w:highlight w:val="none"/>
        </w:rPr>
        <w:t>附表二 符合性审查表</w:t>
      </w:r>
    </w:p>
    <w:tbl>
      <w:tblPr>
        <w:tblStyle w:val="52"/>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957"/>
        <w:gridCol w:w="5167"/>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序号</w:t>
            </w:r>
          </w:p>
        </w:tc>
        <w:tc>
          <w:tcPr>
            <w:tcW w:w="1957"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评审项目</w:t>
            </w:r>
          </w:p>
        </w:tc>
        <w:tc>
          <w:tcPr>
            <w:tcW w:w="5167"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磋商保证金</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按照磋商文件的规定提交磋商保证金（包括形式及金额）；</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响应文件签署盖章</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附加条件</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公平竞争</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其他无效情形</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响应文件有效期</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响应文件格式</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备选方案</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strike/>
                <w:color w:val="auto"/>
                <w:szCs w:val="21"/>
                <w:highlight w:val="none"/>
              </w:rPr>
            </w:pPr>
            <w:r>
              <w:rPr>
                <w:rFonts w:hint="eastAsia" w:ascii="仿宋_GB2312" w:hAnsi="仿宋_GB2312" w:eastAsia="仿宋_GB2312" w:cs="仿宋_GB2312"/>
                <w:color w:val="auto"/>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响应文件内容</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供应商提供的货物/服务无实质性遗漏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技术响应</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服务期和服务地点</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957"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付款方式</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798" w:type="dxa"/>
            <w:gridSpan w:val="2"/>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结论（通过或未通过）</w:t>
            </w:r>
          </w:p>
        </w:tc>
        <w:tc>
          <w:tcPr>
            <w:tcW w:w="5167"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p>
      <w:pPr>
        <w:jc w:val="center"/>
        <w:rPr>
          <w:rFonts w:ascii="仿宋_GB2312" w:hAnsi="仿宋_GB2312" w:eastAsia="仿宋_GB2312" w:cs="仿宋_GB2312"/>
          <w:b/>
          <w:color w:val="auto"/>
          <w:sz w:val="30"/>
          <w:szCs w:val="30"/>
          <w:highlight w:val="none"/>
        </w:rPr>
      </w:pPr>
      <w:bookmarkStart w:id="406" w:name="_Toc414446034"/>
      <w:bookmarkStart w:id="407" w:name="_Toc7005048"/>
      <w:bookmarkStart w:id="408" w:name="_Toc410631198"/>
      <w:r>
        <w:rPr>
          <w:rFonts w:hint="eastAsia" w:ascii="仿宋_GB2312" w:hAnsi="仿宋_GB2312" w:eastAsia="仿宋_GB2312" w:cs="仿宋_GB2312"/>
          <w:b/>
          <w:color w:val="auto"/>
          <w:sz w:val="30"/>
          <w:szCs w:val="30"/>
          <w:highlight w:val="none"/>
        </w:rPr>
        <w:t>附表三 商务评审因素及分值分配表</w:t>
      </w:r>
      <w:bookmarkEnd w:id="406"/>
      <w:bookmarkEnd w:id="407"/>
      <w:bookmarkEnd w:id="408"/>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szCs w:val="21"/>
          <w:highlight w:val="none"/>
        </w:rPr>
      </w:pP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（满分1</w:t>
      </w:r>
      <w:r>
        <w:rPr>
          <w:rFonts w:hint="eastAsia" w:ascii="仿宋_GB2312" w:hAnsi="仿宋_GB2312" w:eastAsia="仿宋_GB2312" w:cs="仿宋_GB2312"/>
          <w:b/>
          <w:color w:val="auto"/>
          <w:szCs w:val="21"/>
          <w:highlight w:val="none"/>
          <w:lang w:val="en-US" w:eastAsia="zh-CN"/>
        </w:rPr>
        <w:t>0</w:t>
      </w:r>
      <w:r>
        <w:rPr>
          <w:rFonts w:hint="eastAsia" w:ascii="仿宋_GB2312" w:hAnsi="仿宋_GB2312" w:eastAsia="仿宋_GB2312" w:cs="仿宋_GB2312"/>
          <w:b/>
          <w:color w:val="auto"/>
          <w:szCs w:val="21"/>
          <w:highlight w:val="none"/>
        </w:rPr>
        <w:t>分）</w:t>
      </w:r>
    </w:p>
    <w:tbl>
      <w:tblPr>
        <w:tblStyle w:val="5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569"/>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9"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1569"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评审内容</w:t>
            </w:r>
          </w:p>
        </w:tc>
        <w:tc>
          <w:tcPr>
            <w:tcW w:w="5306"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  审  标  准</w:t>
            </w:r>
          </w:p>
        </w:tc>
        <w:tc>
          <w:tcPr>
            <w:tcW w:w="1061"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9" w:type="dxa"/>
            <w:vAlign w:val="center"/>
          </w:tcPr>
          <w:p>
            <w:pPr>
              <w:jc w:val="center"/>
              <w:rPr>
                <w:rFonts w:ascii="仿宋_GB2312" w:hAnsi="仿宋_GB2312" w:eastAsia="仿宋_GB2312" w:cs="仿宋_GB2312"/>
                <w:color w:val="auto"/>
                <w:highlight w:val="none"/>
              </w:rPr>
            </w:pPr>
            <w:bookmarkStart w:id="409" w:name="_Toc7005049"/>
            <w:r>
              <w:rPr>
                <w:rFonts w:hint="eastAsia" w:ascii="仿宋_GB2312" w:hAnsi="仿宋_GB2312" w:eastAsia="仿宋_GB2312" w:cs="仿宋_GB2312"/>
                <w:color w:val="auto"/>
                <w:highlight w:val="none"/>
              </w:rPr>
              <w:t>1</w:t>
            </w:r>
            <w:bookmarkEnd w:id="409"/>
          </w:p>
        </w:tc>
        <w:tc>
          <w:tcPr>
            <w:tcW w:w="1569" w:type="dxa"/>
            <w:vAlign w:val="center"/>
          </w:tcPr>
          <w:p>
            <w:pPr>
              <w:jc w:val="cente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合同主要条款</w:t>
            </w:r>
          </w:p>
        </w:tc>
        <w:tc>
          <w:tcPr>
            <w:tcW w:w="5306" w:type="dxa"/>
            <w:vAlign w:val="center"/>
          </w:tcPr>
          <w:p>
            <w:pPr>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经过资格审查合格的供应商，响应文件中对付款、交付内容、服务等方面进行响应说明，按其响应程度计</w:t>
            </w:r>
            <w:r>
              <w:rPr>
                <w:rFonts w:ascii="仿宋_GB2312" w:hAnsi="仿宋_GB2312" w:eastAsia="仿宋_GB2312" w:cs="仿宋_GB2312"/>
                <w:color w:val="auto"/>
                <w:highlight w:val="none"/>
              </w:rPr>
              <w:t>0</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5</w:t>
            </w:r>
            <w:r>
              <w:rPr>
                <w:rFonts w:hint="eastAsia" w:ascii="仿宋_GB2312" w:hAnsi="仿宋_GB2312" w:eastAsia="仿宋_GB2312" w:cs="仿宋_GB2312"/>
                <w:color w:val="auto"/>
                <w:highlight w:val="none"/>
              </w:rPr>
              <w:t>分。无响应说明的不计分。</w:t>
            </w:r>
          </w:p>
        </w:tc>
        <w:tc>
          <w:tcPr>
            <w:tcW w:w="1061"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69" w:type="dxa"/>
            <w:vAlign w:val="center"/>
          </w:tcPr>
          <w:p>
            <w:pPr>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2</w:t>
            </w:r>
          </w:p>
        </w:tc>
        <w:tc>
          <w:tcPr>
            <w:tcW w:w="1569" w:type="dxa"/>
            <w:vAlign w:val="center"/>
          </w:tcPr>
          <w:p>
            <w:pPr>
              <w:snapToGrid w:val="0"/>
              <w:jc w:val="center"/>
              <w:rPr>
                <w:rFonts w:ascii="仿宋_GB2312" w:hAnsi="仿宋_GB2312" w:eastAsia="仿宋_GB2312" w:cs="仿宋_GB2312"/>
                <w:bCs/>
                <w:color w:val="auto"/>
                <w:highlight w:val="none"/>
              </w:rPr>
            </w:pPr>
            <w:r>
              <w:rPr>
                <w:rFonts w:hint="eastAsia" w:ascii="仿宋_GB2312" w:hAnsi="仿宋_GB2312" w:eastAsia="仿宋_GB2312" w:cs="仿宋_GB2312"/>
                <w:color w:val="auto"/>
                <w:kern w:val="0"/>
                <w:szCs w:val="21"/>
                <w:highlight w:val="none"/>
                <w:lang w:val="en-US" w:eastAsia="zh-CN"/>
              </w:rPr>
              <w:t>业绩</w:t>
            </w:r>
          </w:p>
        </w:tc>
        <w:tc>
          <w:tcPr>
            <w:tcW w:w="5306" w:type="dxa"/>
            <w:vAlign w:val="center"/>
          </w:tcPr>
          <w:p>
            <w:pPr>
              <w:snapToGrid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供应商</w:t>
            </w:r>
            <w:r>
              <w:rPr>
                <w:rFonts w:hint="eastAsia" w:ascii="仿宋_GB2312" w:hAnsi="仿宋_GB2312" w:eastAsia="仿宋_GB2312" w:cs="仿宋_GB2312"/>
                <w:color w:val="auto"/>
                <w:szCs w:val="21"/>
                <w:highlight w:val="none"/>
              </w:rPr>
              <w:t>需具有近三年（201</w:t>
            </w: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月至今，以合同签订为准）的同类项目业绩，每提供一个计</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分，满分</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分。</w:t>
            </w:r>
          </w:p>
          <w:p>
            <w:pPr>
              <w:snapToGrid w:val="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注：投标文件中提供合同复印件加盖公章。</w:t>
            </w:r>
          </w:p>
        </w:tc>
        <w:tc>
          <w:tcPr>
            <w:tcW w:w="1061" w:type="dxa"/>
            <w:vAlign w:val="center"/>
          </w:tcPr>
          <w:p>
            <w:pPr>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5</w:t>
            </w:r>
          </w:p>
        </w:tc>
      </w:tr>
    </w:tbl>
    <w:p>
      <w:pPr>
        <w:jc w:val="center"/>
        <w:rPr>
          <w:rFonts w:hint="eastAsia" w:ascii="仿宋_GB2312" w:hAnsi="仿宋_GB2312" w:eastAsia="仿宋_GB2312" w:cs="仿宋_GB2312"/>
          <w:b/>
          <w:color w:val="auto"/>
          <w:sz w:val="30"/>
          <w:szCs w:val="30"/>
          <w:highlight w:val="none"/>
        </w:rPr>
      </w:pPr>
      <w:bookmarkStart w:id="410" w:name="_Toc410631199"/>
      <w:bookmarkStart w:id="411" w:name="_Toc7005063"/>
      <w:bookmarkStart w:id="412" w:name="_Toc414446035"/>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0"/>
          <w:szCs w:val="30"/>
          <w:highlight w:val="none"/>
        </w:rPr>
      </w:pPr>
    </w:p>
    <w:p>
      <w:pPr>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附件四 技术评审因素及分值分配</w:t>
      </w:r>
      <w:bookmarkEnd w:id="410"/>
      <w:bookmarkEnd w:id="411"/>
      <w:bookmarkEnd w:id="412"/>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szCs w:val="21"/>
          <w:highlight w:val="none"/>
        </w:rPr>
      </w:pP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（总分</w:t>
      </w:r>
      <w:r>
        <w:rPr>
          <w:rFonts w:hint="eastAsia" w:ascii="仿宋_GB2312" w:hAnsi="仿宋_GB2312" w:eastAsia="仿宋_GB2312" w:cs="仿宋_GB2312"/>
          <w:b/>
          <w:color w:val="auto"/>
          <w:szCs w:val="21"/>
          <w:highlight w:val="none"/>
          <w:lang w:val="en-US" w:eastAsia="zh-CN"/>
        </w:rPr>
        <w:t>60</w:t>
      </w:r>
      <w:r>
        <w:rPr>
          <w:rFonts w:hint="eastAsia" w:ascii="仿宋_GB2312" w:hAnsi="仿宋_GB2312" w:eastAsia="仿宋_GB2312" w:cs="仿宋_GB2312"/>
          <w:b/>
          <w:color w:val="auto"/>
          <w:szCs w:val="21"/>
          <w:highlight w:val="none"/>
        </w:rPr>
        <w:t>分）</w:t>
      </w:r>
    </w:p>
    <w:tbl>
      <w:tblPr>
        <w:tblStyle w:val="52"/>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216"/>
        <w:gridCol w:w="473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jc w:val="center"/>
        </w:trPr>
        <w:tc>
          <w:tcPr>
            <w:tcW w:w="501" w:type="dxa"/>
            <w:vAlign w:val="center"/>
          </w:tcPr>
          <w:p>
            <w:pPr>
              <w:widowControl/>
              <w:snapToGrid w:val="0"/>
              <w:jc w:val="center"/>
              <w:rPr>
                <w:rFonts w:ascii="仿宋_GB2312" w:hAnsi="仿宋_GB2312" w:eastAsia="仿宋_GB2312" w:cs="仿宋_GB2312"/>
                <w:b/>
                <w:color w:val="auto"/>
                <w:kern w:val="0"/>
                <w:sz w:val="22"/>
                <w:szCs w:val="22"/>
                <w:highlight w:val="none"/>
              </w:rPr>
            </w:pPr>
            <w:r>
              <w:rPr>
                <w:rFonts w:hint="eastAsia" w:ascii="仿宋_GB2312" w:hAnsi="仿宋_GB2312" w:eastAsia="仿宋_GB2312" w:cs="仿宋_GB2312"/>
                <w:b/>
                <w:color w:val="auto"/>
                <w:kern w:val="0"/>
                <w:sz w:val="22"/>
                <w:szCs w:val="22"/>
                <w:highlight w:val="none"/>
              </w:rPr>
              <w:t>序号</w:t>
            </w:r>
          </w:p>
        </w:tc>
        <w:tc>
          <w:tcPr>
            <w:tcW w:w="2216" w:type="dxa"/>
            <w:vAlign w:val="center"/>
          </w:tcPr>
          <w:p>
            <w:pPr>
              <w:widowControl/>
              <w:snapToGrid w:val="0"/>
              <w:jc w:val="center"/>
              <w:rPr>
                <w:rFonts w:ascii="仿宋_GB2312" w:hAnsi="仿宋_GB2312" w:eastAsia="仿宋_GB2312" w:cs="仿宋_GB2312"/>
                <w:b/>
                <w:color w:val="auto"/>
                <w:kern w:val="0"/>
                <w:sz w:val="22"/>
                <w:szCs w:val="22"/>
                <w:highlight w:val="none"/>
              </w:rPr>
            </w:pPr>
            <w:r>
              <w:rPr>
                <w:rFonts w:hint="eastAsia" w:ascii="仿宋_GB2312" w:hAnsi="仿宋_GB2312" w:eastAsia="仿宋_GB2312" w:cs="仿宋_GB2312"/>
                <w:b/>
                <w:color w:val="auto"/>
                <w:kern w:val="0"/>
                <w:sz w:val="22"/>
                <w:szCs w:val="22"/>
                <w:highlight w:val="none"/>
              </w:rPr>
              <w:t>项目</w:t>
            </w:r>
          </w:p>
        </w:tc>
        <w:tc>
          <w:tcPr>
            <w:tcW w:w="4733" w:type="dxa"/>
            <w:vAlign w:val="center"/>
          </w:tcPr>
          <w:p>
            <w:pPr>
              <w:widowControl/>
              <w:snapToGrid w:val="0"/>
              <w:jc w:val="center"/>
              <w:rPr>
                <w:rFonts w:ascii="仿宋_GB2312" w:hAnsi="仿宋_GB2312" w:eastAsia="仿宋_GB2312" w:cs="仿宋_GB2312"/>
                <w:b/>
                <w:color w:val="auto"/>
                <w:kern w:val="0"/>
                <w:sz w:val="22"/>
                <w:szCs w:val="22"/>
                <w:highlight w:val="none"/>
              </w:rPr>
            </w:pPr>
            <w:r>
              <w:rPr>
                <w:rFonts w:hint="eastAsia" w:ascii="仿宋_GB2312" w:hAnsi="仿宋_GB2312" w:eastAsia="仿宋_GB2312" w:cs="仿宋_GB2312"/>
                <w:b/>
                <w:color w:val="auto"/>
                <w:kern w:val="0"/>
                <w:sz w:val="22"/>
                <w:szCs w:val="22"/>
                <w:highlight w:val="none"/>
              </w:rPr>
              <w:t>评分参考标准</w:t>
            </w:r>
          </w:p>
        </w:tc>
        <w:tc>
          <w:tcPr>
            <w:tcW w:w="1427" w:type="dxa"/>
            <w:vAlign w:val="center"/>
          </w:tcPr>
          <w:p>
            <w:pPr>
              <w:widowControl/>
              <w:snapToGrid w:val="0"/>
              <w:jc w:val="center"/>
              <w:rPr>
                <w:rFonts w:ascii="仿宋_GB2312" w:hAnsi="仿宋_GB2312" w:eastAsia="仿宋_GB2312" w:cs="仿宋_GB2312"/>
                <w:b/>
                <w:color w:val="auto"/>
                <w:kern w:val="0"/>
                <w:sz w:val="22"/>
                <w:szCs w:val="22"/>
                <w:highlight w:val="none"/>
              </w:rPr>
            </w:pPr>
            <w:r>
              <w:rPr>
                <w:rFonts w:hint="eastAsia" w:ascii="仿宋_GB2312" w:hAnsi="仿宋_GB2312" w:eastAsia="仿宋_GB2312" w:cs="仿宋_GB2312"/>
                <w:b/>
                <w:color w:val="auto"/>
                <w:kern w:val="0"/>
                <w:sz w:val="22"/>
                <w:szCs w:val="22"/>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blHeader/>
          <w:jc w:val="center"/>
        </w:trPr>
        <w:tc>
          <w:tcPr>
            <w:tcW w:w="501" w:type="dxa"/>
            <w:vAlign w:val="center"/>
          </w:tcPr>
          <w:p>
            <w:pPr>
              <w:widowControl/>
              <w:snapToGrid w:val="0"/>
              <w:jc w:val="center"/>
              <w:rPr>
                <w:rFonts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1</w:t>
            </w:r>
          </w:p>
        </w:tc>
        <w:tc>
          <w:tcPr>
            <w:tcW w:w="2216" w:type="dxa"/>
            <w:vAlign w:val="center"/>
          </w:tcPr>
          <w:p>
            <w:pPr>
              <w:widowControl/>
              <w:snapToGrid w:val="0"/>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eastAsia="zh-CN"/>
              </w:rPr>
              <w:t>技术</w:t>
            </w:r>
            <w:r>
              <w:rPr>
                <w:rFonts w:hint="eastAsia" w:ascii="仿宋_GB2312" w:hAnsi="仿宋_GB2312" w:eastAsia="仿宋_GB2312" w:cs="仿宋_GB2312"/>
                <w:color w:val="auto"/>
                <w:kern w:val="0"/>
                <w:sz w:val="22"/>
                <w:szCs w:val="22"/>
                <w:highlight w:val="none"/>
              </w:rPr>
              <w:t>方案</w:t>
            </w:r>
          </w:p>
        </w:tc>
        <w:tc>
          <w:tcPr>
            <w:tcW w:w="4733" w:type="dxa"/>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1、技术方案内容完整、详实可行、可操作性强，按其响应性计0～5分；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2、所提供产品设备符合采购人要求、设备在国家规定范围内、符合国家相关行业标准及规范、设备渠道安全可靠，按其响应性计0～5分；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3、投标人具备良好的媒体宣传能力，按其响应性计0～5分；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4、疫情防控措施，按其响应性计0～5分；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p>
        </w:tc>
        <w:tc>
          <w:tcPr>
            <w:tcW w:w="1427" w:type="dxa"/>
            <w:vAlign w:val="center"/>
          </w:tcPr>
          <w:p>
            <w:pPr>
              <w:snapToGrid w:val="0"/>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8" w:hRule="atLeast"/>
          <w:tblHeader/>
          <w:jc w:val="center"/>
        </w:trPr>
        <w:tc>
          <w:tcPr>
            <w:tcW w:w="501" w:type="dxa"/>
            <w:vAlign w:val="center"/>
          </w:tcPr>
          <w:p>
            <w:pPr>
              <w:widowControl/>
              <w:snapToGrid w:val="0"/>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w:t>
            </w:r>
          </w:p>
        </w:tc>
        <w:tc>
          <w:tcPr>
            <w:tcW w:w="2216" w:type="dxa"/>
            <w:vAlign w:val="center"/>
          </w:tcPr>
          <w:p>
            <w:pPr>
              <w:widowControl/>
              <w:snapToGrid w:val="0"/>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eastAsia="zh-CN"/>
              </w:rPr>
              <w:t>服务方案</w:t>
            </w:r>
          </w:p>
        </w:tc>
        <w:tc>
          <w:tcPr>
            <w:tcW w:w="4733" w:type="dxa"/>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1、制定完整的方案，方案内容完整、详实可行、可操作性强，有对突发性服务项目提供完整的工作计划、重点分析，按其响应性计0～5分；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2、制定合理可行的质量保证服务方案以及详实、可行的服务内容，按其响应性计0～5分；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3、服务响应及时有效，投标人须提供服务响应及时性方案及完善可行的服务进度计划安排，按其响应程度计0～5分；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4、提供进度跟踪、数据分析、总结报送等工作方案，按其响应程度计0～5分；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5、提供保密承诺方案，按其响应程度计0～5分；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6、在服务期间发生质量问题后的补救措施等方面，有明确的承诺，且具体、切实可行，按其响应程度计0～5分；</w:t>
            </w:r>
          </w:p>
        </w:tc>
        <w:tc>
          <w:tcPr>
            <w:tcW w:w="1427" w:type="dxa"/>
            <w:vAlign w:val="center"/>
          </w:tcPr>
          <w:p>
            <w:pPr>
              <w:snapToGrid w:val="0"/>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501" w:type="dxa"/>
            <w:vAlign w:val="center"/>
          </w:tcPr>
          <w:p>
            <w:pPr>
              <w:widowControl/>
              <w:snapToGrid w:val="0"/>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w:t>
            </w:r>
          </w:p>
        </w:tc>
        <w:tc>
          <w:tcPr>
            <w:tcW w:w="2216" w:type="dxa"/>
            <w:vAlign w:val="center"/>
          </w:tcPr>
          <w:p>
            <w:pPr>
              <w:widowControl/>
              <w:snapToGrid w:val="0"/>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服务团队</w:t>
            </w:r>
          </w:p>
        </w:tc>
        <w:tc>
          <w:tcPr>
            <w:tcW w:w="4733" w:type="dxa"/>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仿宋_GB2312" w:hAnsi="仿宋_GB2312" w:eastAsia="仿宋_GB2312" w:cs="仿宋_GB2312"/>
                <w:color w:val="auto"/>
                <w:kern w:val="0"/>
                <w:sz w:val="22"/>
                <w:szCs w:val="22"/>
                <w:highlight w:val="none"/>
                <w:lang w:val="en-US" w:eastAsia="zh-CN"/>
              </w:rPr>
            </w:pPr>
            <w:r>
              <w:rPr>
                <w:rFonts w:hint="default" w:ascii="仿宋_GB2312" w:hAnsi="仿宋_GB2312" w:eastAsia="仿宋_GB2312" w:cs="仿宋_GB2312"/>
                <w:color w:val="auto"/>
                <w:kern w:val="0"/>
                <w:sz w:val="22"/>
                <w:szCs w:val="22"/>
                <w:highlight w:val="none"/>
                <w:lang w:val="en-US" w:eastAsia="zh-CN"/>
              </w:rPr>
              <w:t>1、对项目负责人履历，职称，从业资格，类似业绩情况进行综合评审比较，按其程度赋分0～5分。</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仿宋_GB2312" w:hAnsi="仿宋_GB2312" w:eastAsia="仿宋_GB2312" w:cs="仿宋_GB2312"/>
                <w:color w:val="auto"/>
                <w:kern w:val="0"/>
                <w:sz w:val="22"/>
                <w:szCs w:val="22"/>
                <w:highlight w:val="none"/>
                <w:lang w:val="en-US" w:eastAsia="zh-CN"/>
              </w:rPr>
            </w:pPr>
            <w:r>
              <w:rPr>
                <w:rFonts w:hint="default" w:ascii="仿宋_GB2312" w:hAnsi="仿宋_GB2312" w:eastAsia="仿宋_GB2312" w:cs="仿宋_GB2312"/>
                <w:color w:val="auto"/>
                <w:kern w:val="0"/>
                <w:sz w:val="22"/>
                <w:szCs w:val="22"/>
                <w:highlight w:val="none"/>
                <w:lang w:val="en-US" w:eastAsia="zh-CN"/>
              </w:rPr>
              <w:t>2、项目人员配备、分工，组织结构设置的健全程度和合理性进行评审，按其程度赋分0～5分。</w:t>
            </w:r>
          </w:p>
        </w:tc>
        <w:tc>
          <w:tcPr>
            <w:tcW w:w="1427" w:type="dxa"/>
            <w:vAlign w:val="center"/>
          </w:tcPr>
          <w:p>
            <w:pPr>
              <w:jc w:val="center"/>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10</w:t>
            </w:r>
          </w:p>
        </w:tc>
      </w:tr>
    </w:tbl>
    <w:p>
      <w:pP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br w:type="page"/>
      </w:r>
    </w:p>
    <w:p>
      <w:pPr>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附件五 报价评审因素及分值分配表</w:t>
      </w:r>
    </w:p>
    <w:p>
      <w:pPr>
        <w:rPr>
          <w:rFonts w:ascii="仿宋_GB2312" w:hAnsi="仿宋_GB2312" w:eastAsia="仿宋_GB2312" w:cs="仿宋_GB2312"/>
          <w:b/>
          <w:color w:val="auto"/>
          <w:sz w:val="28"/>
          <w:szCs w:val="28"/>
          <w:highlight w:val="none"/>
        </w:rPr>
      </w:pP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（总分</w:t>
      </w:r>
      <w:r>
        <w:rPr>
          <w:rFonts w:hint="eastAsia" w:ascii="仿宋_GB2312" w:hAnsi="仿宋_GB2312" w:eastAsia="仿宋_GB2312" w:cs="仿宋_GB2312"/>
          <w:b/>
          <w:color w:val="auto"/>
          <w:szCs w:val="21"/>
          <w:highlight w:val="none"/>
          <w:lang w:val="en-US" w:eastAsia="zh-CN"/>
        </w:rPr>
        <w:t>30</w:t>
      </w:r>
      <w:r>
        <w:rPr>
          <w:rFonts w:hint="eastAsia" w:ascii="仿宋_GB2312" w:hAnsi="仿宋_GB2312" w:eastAsia="仿宋_GB2312" w:cs="仿宋_GB2312"/>
          <w:b/>
          <w:color w:val="auto"/>
          <w:szCs w:val="21"/>
          <w:highlight w:val="none"/>
        </w:rPr>
        <w:t>分）</w:t>
      </w:r>
    </w:p>
    <w:p/>
    <w:tbl>
      <w:tblPr>
        <w:tblStyle w:val="52"/>
        <w:tblpPr w:leftFromText="180" w:rightFromText="180" w:vertAnchor="text" w:horzAnchor="page" w:tblpX="1553"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264"/>
        <w:gridCol w:w="47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34" w:type="dxa"/>
            <w:vAlign w:val="center"/>
          </w:tcPr>
          <w:p>
            <w:pPr>
              <w:jc w:val="center"/>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序号</w:t>
            </w:r>
          </w:p>
        </w:tc>
        <w:tc>
          <w:tcPr>
            <w:tcW w:w="2264" w:type="dxa"/>
            <w:vAlign w:val="center"/>
          </w:tcPr>
          <w:p>
            <w:pPr>
              <w:jc w:val="center"/>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评审内容</w:t>
            </w:r>
          </w:p>
        </w:tc>
        <w:tc>
          <w:tcPr>
            <w:tcW w:w="4791" w:type="dxa"/>
            <w:vAlign w:val="center"/>
          </w:tcPr>
          <w:p>
            <w:pPr>
              <w:jc w:val="center"/>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评审标准</w:t>
            </w:r>
          </w:p>
        </w:tc>
        <w:tc>
          <w:tcPr>
            <w:tcW w:w="1449" w:type="dxa"/>
            <w:vAlign w:val="center"/>
          </w:tcPr>
          <w:p>
            <w:pPr>
              <w:jc w:val="center"/>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534"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2264" w:type="dxa"/>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w:t>
            </w:r>
          </w:p>
        </w:tc>
        <w:tc>
          <w:tcPr>
            <w:tcW w:w="4791" w:type="dxa"/>
            <w:vAlign w:val="center"/>
          </w:tcPr>
          <w:p>
            <w:pPr>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满足磋商文件要求且最后报价最低的供应商的价格为磋商基准价，其价格分为满分。其他供应商的价格分统一按照下列公式计算：磋商报价得分</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（磋商基准价</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最后磋商报价）</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价格权值；</w:t>
            </w:r>
          </w:p>
          <w:p>
            <w:pPr>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本项目专门面向中小企业采购、不再给予</w:t>
            </w:r>
            <w:r>
              <w:rPr>
                <w:rFonts w:hint="eastAsia" w:ascii="仿宋_GB2312" w:hAnsi="仿宋_GB2312" w:eastAsia="仿宋_GB2312" w:cs="仿宋_GB2312"/>
                <w:color w:val="auto"/>
                <w:highlight w:val="none"/>
              </w:rPr>
              <w:t>价格</w:t>
            </w:r>
            <w:r>
              <w:rPr>
                <w:rFonts w:hint="eastAsia" w:ascii="仿宋_GB2312" w:hAnsi="仿宋_GB2312" w:eastAsia="仿宋_GB2312" w:cs="仿宋_GB2312"/>
                <w:color w:val="auto"/>
                <w:highlight w:val="none"/>
                <w:lang w:eastAsia="zh-CN"/>
              </w:rPr>
              <w:t>优惠</w:t>
            </w:r>
            <w:r>
              <w:rPr>
                <w:rFonts w:hint="eastAsia" w:ascii="仿宋_GB2312" w:hAnsi="仿宋_GB2312" w:eastAsia="仿宋_GB2312" w:cs="仿宋_GB2312"/>
                <w:color w:val="auto"/>
                <w:highlight w:val="none"/>
              </w:rPr>
              <w:t>。</w:t>
            </w:r>
          </w:p>
        </w:tc>
        <w:tc>
          <w:tcPr>
            <w:tcW w:w="1449" w:type="dxa"/>
            <w:vAlign w:val="center"/>
          </w:tcPr>
          <w:p>
            <w:pPr>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w:t>
            </w:r>
          </w:p>
        </w:tc>
      </w:tr>
    </w:tbl>
    <w:p>
      <w:pPr>
        <w:pStyle w:val="23"/>
        <w:rPr>
          <w:rFonts w:ascii="仿宋_GB2312" w:hAnsi="仿宋_GB2312" w:eastAsia="仿宋_GB2312" w:cs="仿宋_GB2312"/>
          <w:color w:val="auto"/>
          <w:highlight w:val="none"/>
        </w:rPr>
      </w:pPr>
    </w:p>
    <w:p>
      <w:pPr>
        <w:pStyle w:val="23"/>
        <w:rPr>
          <w:rFonts w:ascii="仿宋_GB2312" w:hAnsi="仿宋_GB2312" w:eastAsia="仿宋_GB2312" w:cs="仿宋_GB2312"/>
          <w:color w:val="auto"/>
          <w:highlight w:val="none"/>
        </w:rPr>
      </w:pPr>
    </w:p>
    <w:p>
      <w:pPr>
        <w:jc w:val="center"/>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br w:type="page"/>
      </w:r>
    </w:p>
    <w:p>
      <w:pPr>
        <w:pStyle w:val="48"/>
        <w:spacing w:line="360" w:lineRule="auto"/>
        <w:rPr>
          <w:rStyle w:val="205"/>
          <w:rFonts w:hint="eastAsia" w:ascii="宋体" w:hAnsi="宋体" w:eastAsia="宋体"/>
          <w:color w:val="auto"/>
          <w:sz w:val="36"/>
          <w:szCs w:val="36"/>
          <w:highlight w:val="none"/>
        </w:rPr>
        <w:sectPr>
          <w:footerReference r:id="rId7" w:type="first"/>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titlePg/>
          <w:docGrid w:linePitch="312" w:charSpace="0"/>
        </w:sectPr>
      </w:pPr>
      <w:bookmarkStart w:id="413" w:name="_Toc68590979"/>
    </w:p>
    <w:p>
      <w:pPr>
        <w:pStyle w:val="48"/>
        <w:spacing w:line="360" w:lineRule="auto"/>
        <w:rPr>
          <w:rStyle w:val="205"/>
          <w:rFonts w:ascii="宋体" w:hAnsi="宋体" w:eastAsia="宋体"/>
          <w:color w:val="auto"/>
          <w:sz w:val="36"/>
          <w:szCs w:val="36"/>
          <w:highlight w:val="none"/>
        </w:rPr>
      </w:pPr>
      <w:r>
        <w:rPr>
          <w:rStyle w:val="205"/>
          <w:rFonts w:hint="eastAsia" w:ascii="宋体" w:hAnsi="宋体" w:eastAsia="宋体"/>
          <w:color w:val="auto"/>
          <w:sz w:val="36"/>
          <w:szCs w:val="36"/>
          <w:highlight w:val="none"/>
        </w:rPr>
        <w:t>第四章  合同草案条款</w:t>
      </w:r>
      <w:bookmarkEnd w:id="19"/>
      <w:bookmarkEnd w:id="391"/>
      <w:bookmarkEnd w:id="392"/>
      <w:bookmarkEnd w:id="413"/>
      <w:bookmarkStart w:id="414" w:name="_Toc177189245"/>
      <w:bookmarkStart w:id="415" w:name="_Toc499711928"/>
      <w:bookmarkStart w:id="416" w:name="_Toc256342152"/>
      <w:bookmarkStart w:id="417" w:name="_Toc496324623"/>
      <w:bookmarkStart w:id="418" w:name="_Toc415499897"/>
      <w:bookmarkStart w:id="419" w:name="_Toc230013638"/>
      <w:bookmarkStart w:id="420" w:name="_Toc230099803"/>
      <w:bookmarkStart w:id="421" w:name="_Toc232176282"/>
      <w:bookmarkStart w:id="422" w:name="_Toc500747010"/>
      <w:bookmarkStart w:id="423" w:name="_Toc184043058"/>
      <w:bookmarkStart w:id="424" w:name="_Toc176882552"/>
      <w:bookmarkStart w:id="425" w:name="_Toc177995483"/>
      <w:bookmarkStart w:id="426" w:name="_Toc53722865"/>
      <w:bookmarkStart w:id="427" w:name="_Toc28450"/>
      <w:bookmarkStart w:id="428" w:name="_Toc177817344"/>
      <w:bookmarkStart w:id="429" w:name="_Toc492955459"/>
      <w:bookmarkStart w:id="430" w:name="_Toc503063458"/>
      <w:bookmarkStart w:id="431" w:name="_Toc70687202"/>
      <w:bookmarkStart w:id="432" w:name="_Toc249515482"/>
      <w:bookmarkStart w:id="433" w:name="_Toc249515369"/>
      <w:bookmarkStart w:id="434" w:name="_Toc232395222"/>
      <w:bookmarkStart w:id="435" w:name="_Toc500747233"/>
      <w:bookmarkStart w:id="436" w:name="_Toc500747106"/>
      <w:bookmarkStart w:id="437" w:name="_Toc499711087"/>
      <w:bookmarkStart w:id="438" w:name="_Toc249525250"/>
      <w:bookmarkStart w:id="439" w:name="_Toc230583552"/>
    </w:p>
    <w:p>
      <w:pPr>
        <w:pStyle w:val="25"/>
        <w:rPr>
          <w:rFonts w:hint="eastAsia"/>
          <w:lang w:eastAsia="zh-CN"/>
        </w:rPr>
      </w:pPr>
    </w:p>
    <w:p>
      <w:pPr>
        <w:tabs>
          <w:tab w:val="left" w:pos="735"/>
        </w:tabs>
        <w:autoSpaceDE w:val="0"/>
        <w:autoSpaceDN w:val="0"/>
        <w:adjustRightInd w:val="0"/>
        <w:snapToGrid w:val="0"/>
        <w:spacing w:before="240" w:beforeLines="100" w:line="360" w:lineRule="auto"/>
        <w:ind w:firstLine="629"/>
        <w:rPr>
          <w:rFonts w:ascii="仿宋" w:hAnsi="仿宋" w:eastAsia="仿宋"/>
          <w:b/>
          <w:bCs/>
          <w:sz w:val="28"/>
          <w:szCs w:val="28"/>
          <w:lang w:val="zh-CN"/>
        </w:rPr>
      </w:pPr>
      <w:r>
        <w:rPr>
          <w:rFonts w:ascii="仿宋" w:hAnsi="仿宋" w:eastAsia="仿宋"/>
          <w:b/>
          <w:bCs/>
          <w:sz w:val="28"/>
          <w:szCs w:val="28"/>
          <w:lang w:val="zh-CN"/>
        </w:rPr>
        <w:t>甲方：</w:t>
      </w:r>
      <w:r>
        <w:rPr>
          <w:rFonts w:ascii="仿宋" w:hAnsi="仿宋" w:eastAsia="仿宋"/>
          <w:bCs/>
          <w:sz w:val="28"/>
          <w:szCs w:val="28"/>
          <w:lang w:val="zh-CN"/>
        </w:rPr>
        <w:t>（</w:t>
      </w:r>
      <w:r>
        <w:rPr>
          <w:rFonts w:hint="eastAsia" w:ascii="仿宋" w:hAnsi="仿宋" w:eastAsia="仿宋"/>
          <w:bCs/>
          <w:sz w:val="28"/>
          <w:szCs w:val="28"/>
          <w:lang w:val="zh-CN"/>
        </w:rPr>
        <w:t>前款所称采购人</w:t>
      </w:r>
      <w:r>
        <w:rPr>
          <w:rFonts w:ascii="仿宋" w:hAnsi="仿宋" w:eastAsia="仿宋"/>
          <w:bCs/>
          <w:sz w:val="28"/>
          <w:szCs w:val="28"/>
          <w:lang w:val="zh-CN"/>
        </w:rPr>
        <w:t>）</w:t>
      </w:r>
      <w:r>
        <w:rPr>
          <w:rFonts w:hint="eastAsia" w:ascii="仿宋" w:hAnsi="仿宋" w:eastAsia="仿宋"/>
          <w:bCs/>
          <w:sz w:val="28"/>
          <w:szCs w:val="28"/>
          <w:lang w:val="zh-CN"/>
        </w:rPr>
        <w:t xml:space="preserve">     住所：</w:t>
      </w:r>
    </w:p>
    <w:p>
      <w:pPr>
        <w:tabs>
          <w:tab w:val="left" w:pos="735"/>
        </w:tabs>
        <w:autoSpaceDE w:val="0"/>
        <w:autoSpaceDN w:val="0"/>
        <w:adjustRightInd w:val="0"/>
        <w:snapToGrid w:val="0"/>
        <w:spacing w:line="360" w:lineRule="auto"/>
        <w:ind w:firstLine="631"/>
        <w:rPr>
          <w:rFonts w:ascii="仿宋" w:hAnsi="仿宋" w:eastAsia="仿宋"/>
          <w:bCs/>
          <w:sz w:val="28"/>
          <w:szCs w:val="28"/>
          <w:lang w:val="zh-CN"/>
        </w:rPr>
      </w:pPr>
      <w:r>
        <w:rPr>
          <w:rFonts w:ascii="仿宋" w:hAnsi="仿宋" w:eastAsia="仿宋"/>
          <w:b/>
          <w:bCs/>
          <w:sz w:val="28"/>
          <w:szCs w:val="28"/>
          <w:lang w:val="zh-CN"/>
        </w:rPr>
        <w:t>乙方：</w:t>
      </w:r>
      <w:r>
        <w:rPr>
          <w:rFonts w:ascii="仿宋" w:hAnsi="仿宋" w:eastAsia="仿宋"/>
          <w:bCs/>
          <w:sz w:val="28"/>
          <w:szCs w:val="28"/>
          <w:lang w:val="zh-CN"/>
        </w:rPr>
        <w:t>（</w:t>
      </w:r>
      <w:r>
        <w:rPr>
          <w:rFonts w:hint="eastAsia" w:ascii="仿宋" w:hAnsi="仿宋" w:eastAsia="仿宋"/>
          <w:bCs/>
          <w:sz w:val="28"/>
          <w:szCs w:val="28"/>
          <w:lang w:val="zh-CN"/>
        </w:rPr>
        <w:t>前款所称</w:t>
      </w:r>
      <w:r>
        <w:rPr>
          <w:rFonts w:ascii="仿宋" w:hAnsi="仿宋" w:eastAsia="仿宋"/>
          <w:bCs/>
          <w:sz w:val="28"/>
          <w:szCs w:val="28"/>
          <w:lang w:val="zh-CN"/>
        </w:rPr>
        <w:t>中标人）</w:t>
      </w:r>
      <w:r>
        <w:rPr>
          <w:rFonts w:hint="eastAsia" w:ascii="仿宋" w:hAnsi="仿宋" w:eastAsia="仿宋"/>
          <w:bCs/>
          <w:sz w:val="28"/>
          <w:szCs w:val="28"/>
          <w:lang w:val="zh-CN"/>
        </w:rPr>
        <w:t xml:space="preserve">     住所：</w:t>
      </w:r>
    </w:p>
    <w:p>
      <w:pPr>
        <w:keepNext w:val="0"/>
        <w:keepLines w:val="0"/>
        <w:pageBreakBefore w:val="0"/>
        <w:tabs>
          <w:tab w:val="left" w:pos="735"/>
        </w:tabs>
        <w:kinsoku/>
        <w:wordWrap/>
        <w:overflowPunct/>
        <w:topLinePunct w:val="0"/>
        <w:autoSpaceDE w:val="0"/>
        <w:autoSpaceDN w:val="0"/>
        <w:bidi w:val="0"/>
        <w:adjustRightInd w:val="0"/>
        <w:snapToGrid w:val="0"/>
        <w:spacing w:line="600" w:lineRule="exact"/>
        <w:ind w:firstLine="631"/>
        <w:jc w:val="both"/>
        <w:outlineLvl w:val="9"/>
        <w:rPr>
          <w:rFonts w:hint="eastAsia" w:ascii="仿宋_GB2312" w:eastAsia="仿宋_GB2312"/>
          <w:b/>
          <w:bCs/>
          <w:sz w:val="28"/>
          <w:szCs w:val="28"/>
          <w:lang w:val="zh-CN"/>
        </w:rPr>
      </w:pPr>
      <w:r>
        <w:rPr>
          <w:rFonts w:hint="eastAsia" w:ascii="仿宋_GB2312" w:hAnsi="仿宋" w:eastAsia="仿宋_GB2312"/>
          <w:b/>
          <w:bCs/>
          <w:sz w:val="28"/>
          <w:szCs w:val="28"/>
          <w:lang w:val="zh-CN"/>
        </w:rPr>
        <w:t>一、合同内容</w:t>
      </w:r>
      <w:r>
        <w:rPr>
          <w:rFonts w:hint="eastAsia" w:ascii="仿宋_GB2312" w:eastAsia="仿宋_GB2312"/>
          <w:b/>
          <w:bCs/>
          <w:sz w:val="28"/>
          <w:szCs w:val="28"/>
          <w:lang w:val="zh-CN"/>
        </w:rPr>
        <w:t>:</w:t>
      </w:r>
    </w:p>
    <w:p>
      <w:pPr>
        <w:keepNext w:val="0"/>
        <w:keepLines w:val="0"/>
        <w:pageBreakBefore w:val="0"/>
        <w:tabs>
          <w:tab w:val="left" w:pos="735"/>
        </w:tabs>
        <w:kinsoku/>
        <w:wordWrap/>
        <w:overflowPunct/>
        <w:topLinePunct w:val="0"/>
        <w:bidi w:val="0"/>
        <w:adjustRightInd w:val="0"/>
        <w:snapToGrid w:val="0"/>
        <w:spacing w:line="600" w:lineRule="exact"/>
        <w:ind w:firstLine="590" w:firstLineChars="210"/>
        <w:jc w:val="both"/>
        <w:outlineLvl w:val="9"/>
        <w:rPr>
          <w:rFonts w:hint="eastAsia" w:ascii="仿宋_GB2312" w:eastAsia="仿宋_GB2312"/>
          <w:sz w:val="28"/>
          <w:szCs w:val="28"/>
        </w:rPr>
      </w:pPr>
      <w:r>
        <w:rPr>
          <w:rFonts w:hint="eastAsia" w:ascii="仿宋_GB2312" w:hAnsi="仿宋" w:eastAsia="仿宋_GB2312"/>
          <w:b/>
          <w:sz w:val="28"/>
          <w:szCs w:val="28"/>
        </w:rPr>
        <w:t>二、合同价款</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、合同总价：</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、合同总价包括：</w:t>
      </w:r>
      <w:r>
        <w:rPr>
          <w:rFonts w:hint="eastAsia" w:ascii="仿宋_GB2312" w:hAnsi="仿宋" w:eastAsia="仿宋_GB2312"/>
          <w:sz w:val="28"/>
          <w:szCs w:val="28"/>
          <w:lang w:eastAsia="zh-CN"/>
        </w:rPr>
        <w:t>运营费</w:t>
      </w:r>
      <w:r>
        <w:rPr>
          <w:rFonts w:hint="eastAsia" w:ascii="仿宋_GB2312" w:hAnsi="仿宋" w:eastAsia="仿宋_GB2312"/>
          <w:sz w:val="28"/>
          <w:szCs w:val="28"/>
        </w:rPr>
        <w:t>、</w:t>
      </w:r>
      <w:r>
        <w:rPr>
          <w:rFonts w:hint="eastAsia" w:ascii="仿宋_GB2312" w:hAnsi="仿宋" w:eastAsia="仿宋_GB2312"/>
          <w:sz w:val="28"/>
          <w:szCs w:val="28"/>
          <w:lang w:eastAsia="zh-CN"/>
        </w:rPr>
        <w:t>改造费</w:t>
      </w:r>
      <w:r>
        <w:rPr>
          <w:rFonts w:hint="eastAsia" w:ascii="仿宋_GB2312" w:hAnsi="仿宋" w:eastAsia="仿宋_GB2312"/>
          <w:sz w:val="28"/>
          <w:szCs w:val="28"/>
        </w:rPr>
        <w:t>、</w:t>
      </w:r>
      <w:r>
        <w:rPr>
          <w:rFonts w:hint="eastAsia" w:ascii="仿宋_GB2312" w:hAnsi="仿宋" w:eastAsia="仿宋_GB2312"/>
          <w:sz w:val="28"/>
          <w:szCs w:val="28"/>
          <w:lang w:eastAsia="zh-CN"/>
        </w:rPr>
        <w:t>设备费、维保费</w:t>
      </w:r>
      <w:r>
        <w:rPr>
          <w:rFonts w:hint="eastAsia" w:ascii="仿宋_GB2312" w:hAnsi="仿宋" w:eastAsia="仿宋_GB2312"/>
          <w:sz w:val="28"/>
          <w:szCs w:val="28"/>
        </w:rPr>
        <w:t>、税金及其它相关费用等。</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、合同总价一次包死，不受市场价变化的影响。</w:t>
      </w:r>
    </w:p>
    <w:p>
      <w:pPr>
        <w:keepNext w:val="0"/>
        <w:keepLines w:val="0"/>
        <w:pageBreakBefore w:val="0"/>
        <w:tabs>
          <w:tab w:val="left" w:pos="735"/>
        </w:tabs>
        <w:kinsoku/>
        <w:wordWrap/>
        <w:overflowPunct/>
        <w:topLinePunct w:val="0"/>
        <w:bidi w:val="0"/>
        <w:adjustRightInd w:val="0"/>
        <w:snapToGrid w:val="0"/>
        <w:spacing w:line="600" w:lineRule="exact"/>
        <w:ind w:firstLine="590" w:firstLineChars="210"/>
        <w:jc w:val="both"/>
        <w:outlineLvl w:val="9"/>
        <w:rPr>
          <w:rFonts w:hint="eastAsia" w:ascii="仿宋_GB2312" w:eastAsia="仿宋_GB2312"/>
          <w:sz w:val="28"/>
          <w:szCs w:val="28"/>
        </w:rPr>
      </w:pPr>
      <w:r>
        <w:rPr>
          <w:rFonts w:hint="eastAsia" w:ascii="仿宋_GB2312" w:hAnsi="仿宋" w:eastAsia="仿宋_GB2312"/>
          <w:b/>
          <w:sz w:val="28"/>
          <w:szCs w:val="28"/>
        </w:rPr>
        <w:t>三、合同结算</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、付款比例：</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color w:val="auto"/>
          <w:sz w:val="28"/>
          <w:szCs w:val="28"/>
        </w:rPr>
      </w:pPr>
      <w:r>
        <w:rPr>
          <w:rFonts w:hint="eastAsia" w:ascii="仿宋_GB2312" w:eastAsia="仿宋_GB2312"/>
          <w:color w:val="auto"/>
          <w:sz w:val="28"/>
          <w:szCs w:val="28"/>
        </w:rPr>
        <w:t>1-1</w:t>
      </w:r>
      <w:r>
        <w:rPr>
          <w:rFonts w:hint="eastAsia" w:ascii="仿宋_GB2312" w:hAnsi="仿宋" w:eastAsia="仿宋_GB2312"/>
          <w:color w:val="auto"/>
          <w:sz w:val="28"/>
          <w:szCs w:val="28"/>
        </w:rPr>
        <w:t>、</w:t>
      </w:r>
      <w:r>
        <w:rPr>
          <w:rFonts w:hint="eastAsia" w:ascii="仿宋_GB2312" w:hAnsi="仿宋" w:eastAsia="仿宋_GB2312"/>
          <w:color w:val="auto"/>
          <w:sz w:val="28"/>
          <w:szCs w:val="28"/>
          <w:lang w:val="en-US" w:eastAsia="zh-CN"/>
        </w:rPr>
        <w:t>完成项目总进度30%</w:t>
      </w:r>
      <w:r>
        <w:rPr>
          <w:rFonts w:hint="eastAsia" w:ascii="仿宋_GB2312" w:hAnsi="仿宋" w:eastAsia="仿宋_GB2312"/>
          <w:color w:val="auto"/>
          <w:sz w:val="28"/>
          <w:szCs w:val="28"/>
        </w:rPr>
        <w:t>，支付合同总价的</w:t>
      </w:r>
      <w:r>
        <w:rPr>
          <w:rFonts w:hint="eastAsia" w:ascii="仿宋_GB2312" w:eastAsia="仿宋_GB2312"/>
          <w:color w:val="auto"/>
          <w:sz w:val="28"/>
          <w:szCs w:val="28"/>
          <w:lang w:val="en-US" w:eastAsia="zh-CN"/>
        </w:rPr>
        <w:t>30</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color w:val="auto"/>
          <w:sz w:val="28"/>
          <w:szCs w:val="28"/>
        </w:rPr>
      </w:pPr>
      <w:r>
        <w:rPr>
          <w:rFonts w:hint="eastAsia" w:ascii="仿宋_GB2312" w:eastAsia="仿宋_GB2312"/>
          <w:color w:val="auto"/>
          <w:sz w:val="28"/>
          <w:szCs w:val="28"/>
        </w:rPr>
        <w:t>1-2</w:t>
      </w:r>
      <w:r>
        <w:rPr>
          <w:rFonts w:hint="eastAsia" w:ascii="仿宋_GB2312" w:hAnsi="仿宋" w:eastAsia="仿宋_GB2312"/>
          <w:color w:val="auto"/>
          <w:sz w:val="28"/>
          <w:szCs w:val="28"/>
        </w:rPr>
        <w:t>、</w:t>
      </w:r>
      <w:r>
        <w:rPr>
          <w:rFonts w:hint="eastAsia" w:ascii="仿宋_GB2312" w:hAnsi="仿宋" w:eastAsia="仿宋_GB2312"/>
          <w:color w:val="auto"/>
          <w:sz w:val="28"/>
          <w:szCs w:val="28"/>
          <w:lang w:eastAsia="zh-CN"/>
        </w:rPr>
        <w:t>正常运营并进行</w:t>
      </w:r>
      <w:r>
        <w:rPr>
          <w:rFonts w:hint="eastAsia" w:ascii="仿宋_GB2312" w:hAnsi="仿宋" w:eastAsia="仿宋_GB2312"/>
          <w:color w:val="auto"/>
          <w:sz w:val="28"/>
          <w:szCs w:val="28"/>
          <w:lang w:val="en-US" w:eastAsia="zh-CN"/>
        </w:rPr>
        <w:t>验收合格</w:t>
      </w:r>
      <w:r>
        <w:rPr>
          <w:rFonts w:hint="eastAsia" w:ascii="仿宋_GB2312" w:hAnsi="仿宋" w:eastAsia="仿宋_GB2312"/>
          <w:color w:val="auto"/>
          <w:sz w:val="28"/>
          <w:szCs w:val="28"/>
          <w:lang w:eastAsia="zh-CN"/>
        </w:rPr>
        <w:t>后支付合同总价的</w:t>
      </w:r>
      <w:r>
        <w:rPr>
          <w:rFonts w:hint="eastAsia" w:ascii="仿宋_GB2312" w:hAnsi="仿宋" w:eastAsia="仿宋_GB2312"/>
          <w:color w:val="auto"/>
          <w:sz w:val="28"/>
          <w:szCs w:val="28"/>
          <w:lang w:val="en-US" w:eastAsia="zh-CN"/>
        </w:rPr>
        <w:t>50%;</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color w:val="auto"/>
          <w:sz w:val="28"/>
          <w:szCs w:val="28"/>
        </w:rPr>
      </w:pPr>
      <w:r>
        <w:rPr>
          <w:rFonts w:hint="eastAsia" w:ascii="仿宋_GB2312" w:eastAsia="仿宋_GB2312"/>
          <w:color w:val="auto"/>
          <w:sz w:val="28"/>
          <w:szCs w:val="28"/>
        </w:rPr>
        <w:t>1-3</w:t>
      </w:r>
      <w:r>
        <w:rPr>
          <w:rFonts w:hint="eastAsia" w:ascii="仿宋_GB2312" w:hAnsi="仿宋" w:eastAsia="仿宋_GB2312"/>
          <w:color w:val="auto"/>
          <w:sz w:val="28"/>
          <w:szCs w:val="28"/>
        </w:rPr>
        <w:t>、留合同总价</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w:t>
      </w:r>
      <w:r>
        <w:rPr>
          <w:rFonts w:hint="eastAsia" w:ascii="仿宋_GB2312" w:hAnsi="仿宋" w:eastAsia="仿宋_GB2312"/>
          <w:color w:val="auto"/>
          <w:sz w:val="28"/>
          <w:szCs w:val="28"/>
        </w:rPr>
        <w:t>的尾款，在</w:t>
      </w:r>
      <w:r>
        <w:rPr>
          <w:rFonts w:hint="eastAsia" w:ascii="仿宋_GB2312" w:hAnsi="仿宋" w:eastAsia="仿宋_GB2312"/>
          <w:color w:val="auto"/>
          <w:sz w:val="28"/>
          <w:szCs w:val="28"/>
          <w:lang w:eastAsia="zh-CN"/>
        </w:rPr>
        <w:t>服务期满</w:t>
      </w:r>
      <w:r>
        <w:rPr>
          <w:rFonts w:hint="eastAsia" w:ascii="仿宋_GB2312" w:hAnsi="仿宋" w:eastAsia="仿宋_GB2312"/>
          <w:color w:val="auto"/>
          <w:sz w:val="28"/>
          <w:szCs w:val="28"/>
        </w:rPr>
        <w:t>后一次付清。</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、结算方式：银行转账。</w:t>
      </w:r>
    </w:p>
    <w:p>
      <w:pPr>
        <w:keepNext w:val="0"/>
        <w:keepLines w:val="0"/>
        <w:pageBreakBefore w:val="0"/>
        <w:tabs>
          <w:tab w:val="left" w:pos="735"/>
        </w:tabs>
        <w:kinsoku/>
        <w:wordWrap/>
        <w:overflowPunct/>
        <w:topLinePunct w:val="0"/>
        <w:bidi w:val="0"/>
        <w:adjustRightInd w:val="0"/>
        <w:snapToGrid w:val="0"/>
        <w:spacing w:line="600" w:lineRule="exact"/>
        <w:ind w:firstLine="588" w:firstLineChars="210"/>
        <w:jc w:val="both"/>
        <w:outlineLvl w:val="9"/>
        <w:rPr>
          <w:rFonts w:hint="eastAsia"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、结算单位：由</w:t>
      </w:r>
      <w:r>
        <w:rPr>
          <w:rFonts w:hint="eastAsia" w:ascii="仿宋_GB2312" w:hAnsi="仿宋" w:eastAsia="仿宋_GB2312"/>
          <w:sz w:val="28"/>
          <w:szCs w:val="28"/>
          <w:u w:val="single"/>
        </w:rPr>
        <w:t>采购人</w:t>
      </w:r>
      <w:r>
        <w:rPr>
          <w:rFonts w:hint="eastAsia" w:ascii="仿宋_GB2312" w:hAnsi="仿宋" w:eastAsia="仿宋_GB2312"/>
          <w:sz w:val="28"/>
          <w:szCs w:val="28"/>
        </w:rPr>
        <w:t>负责结算，乙方开具合同总价数的全额发票交采购人。</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b/>
          <w:sz w:val="28"/>
          <w:szCs w:val="28"/>
        </w:rPr>
      </w:pPr>
      <w:r>
        <w:rPr>
          <w:rFonts w:hint="eastAsia" w:ascii="仿宋_GB2312" w:hAnsi="仿宋" w:eastAsia="仿宋_GB2312"/>
          <w:b/>
          <w:sz w:val="28"/>
          <w:szCs w:val="28"/>
        </w:rPr>
        <w:t>四、验收</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hAnsi="仿宋" w:eastAsia="仿宋_GB2312"/>
          <w:sz w:val="28"/>
          <w:szCs w:val="28"/>
        </w:rPr>
        <w:t>验收依据：</w:t>
      </w:r>
    </w:p>
    <w:p>
      <w:pPr>
        <w:keepNext w:val="0"/>
        <w:keepLines w:val="0"/>
        <w:pageBreakBefore w:val="0"/>
        <w:kinsoku/>
        <w:wordWrap/>
        <w:overflowPunct/>
        <w:topLinePunct w:val="0"/>
        <w:bidi w:val="0"/>
        <w:adjustRightInd w:val="0"/>
        <w:snapToGrid w:val="0"/>
        <w:spacing w:line="600" w:lineRule="exact"/>
        <w:ind w:firstLine="560" w:firstLineChars="200"/>
        <w:jc w:val="both"/>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、合同文本、合同附件、</w:t>
      </w:r>
      <w:r>
        <w:rPr>
          <w:rFonts w:hint="eastAsia" w:ascii="仿宋_GB2312" w:hAnsi="仿宋" w:eastAsia="仿宋_GB2312"/>
          <w:sz w:val="28"/>
          <w:szCs w:val="28"/>
          <w:lang w:eastAsia="zh-CN"/>
        </w:rPr>
        <w:t>招标</w:t>
      </w:r>
      <w:r>
        <w:rPr>
          <w:rFonts w:hint="eastAsia" w:ascii="仿宋_GB2312" w:hAnsi="仿宋" w:eastAsia="仿宋_GB2312"/>
          <w:sz w:val="28"/>
          <w:szCs w:val="28"/>
        </w:rPr>
        <w:t>文件、</w:t>
      </w:r>
      <w:r>
        <w:rPr>
          <w:rFonts w:hint="eastAsia" w:ascii="仿宋_GB2312" w:hAnsi="仿宋" w:eastAsia="仿宋_GB2312"/>
          <w:sz w:val="28"/>
          <w:szCs w:val="28"/>
          <w:lang w:eastAsia="zh-CN"/>
        </w:rPr>
        <w:t>投标</w:t>
      </w:r>
      <w:r>
        <w:rPr>
          <w:rFonts w:hint="eastAsia" w:ascii="仿宋_GB2312" w:hAnsi="仿宋" w:eastAsia="仿宋_GB2312"/>
          <w:sz w:val="28"/>
          <w:szCs w:val="28"/>
        </w:rPr>
        <w:t>文件。</w:t>
      </w:r>
    </w:p>
    <w:p>
      <w:pPr>
        <w:keepNext w:val="0"/>
        <w:keepLines w:val="0"/>
        <w:pageBreakBefore w:val="0"/>
        <w:kinsoku/>
        <w:wordWrap/>
        <w:overflowPunct/>
        <w:topLinePunct w:val="0"/>
        <w:bidi w:val="0"/>
        <w:snapToGrid w:val="0"/>
        <w:spacing w:line="600" w:lineRule="exact"/>
        <w:ind w:right="893" w:firstLine="560" w:firstLineChars="200"/>
        <w:jc w:val="both"/>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、国内相应的标准、规范。</w:t>
      </w:r>
    </w:p>
    <w:p>
      <w:pPr>
        <w:keepNext w:val="0"/>
        <w:keepLines w:val="0"/>
        <w:pageBreakBefore w:val="0"/>
        <w:kinsoku/>
        <w:wordWrap/>
        <w:overflowPunct/>
        <w:topLinePunct w:val="0"/>
        <w:bidi w:val="0"/>
        <w:adjustRightInd w:val="0"/>
        <w:snapToGrid w:val="0"/>
        <w:spacing w:line="600" w:lineRule="exact"/>
        <w:ind w:left="645"/>
        <w:jc w:val="both"/>
        <w:outlineLvl w:val="9"/>
        <w:rPr>
          <w:rFonts w:hint="eastAsia" w:ascii="仿宋_GB2312" w:eastAsia="仿宋_GB2312"/>
          <w:b/>
          <w:sz w:val="28"/>
          <w:szCs w:val="28"/>
        </w:rPr>
      </w:pPr>
      <w:r>
        <w:rPr>
          <w:rFonts w:hint="eastAsia" w:ascii="仿宋_GB2312" w:hAnsi="仿宋" w:eastAsia="仿宋_GB2312"/>
          <w:b/>
          <w:sz w:val="28"/>
          <w:szCs w:val="28"/>
        </w:rPr>
        <w:t>五、违约责任</w:t>
      </w:r>
    </w:p>
    <w:p>
      <w:pPr>
        <w:keepNext w:val="0"/>
        <w:keepLines w:val="0"/>
        <w:pageBreakBefore w:val="0"/>
        <w:numPr>
          <w:ilvl w:val="0"/>
          <w:numId w:val="14"/>
        </w:numPr>
        <w:kinsoku/>
        <w:wordWrap/>
        <w:overflowPunct/>
        <w:topLinePunct w:val="0"/>
        <w:bidi w:val="0"/>
        <w:adjustRightInd w:val="0"/>
        <w:snapToGrid w:val="0"/>
        <w:spacing w:line="600" w:lineRule="exact"/>
        <w:jc w:val="both"/>
        <w:outlineLvl w:val="9"/>
        <w:rPr>
          <w:rFonts w:hint="eastAsia" w:ascii="仿宋_GB2312" w:eastAsia="仿宋_GB2312"/>
          <w:sz w:val="28"/>
          <w:szCs w:val="28"/>
        </w:rPr>
      </w:pPr>
      <w:r>
        <w:rPr>
          <w:rFonts w:hint="eastAsia" w:ascii="仿宋_GB2312" w:hAnsi="仿宋" w:eastAsia="仿宋_GB2312"/>
          <w:sz w:val="28"/>
          <w:szCs w:val="28"/>
        </w:rPr>
        <w:t>按《</w:t>
      </w:r>
      <w:r>
        <w:rPr>
          <w:rFonts w:hint="eastAsia" w:ascii="仿宋_GB2312" w:hAnsi="仿宋" w:eastAsia="仿宋_GB2312"/>
          <w:sz w:val="28"/>
          <w:szCs w:val="28"/>
          <w:lang w:eastAsia="zh-CN"/>
        </w:rPr>
        <w:t>中华人民共和国民法典</w:t>
      </w:r>
      <w:r>
        <w:rPr>
          <w:rFonts w:hint="eastAsia" w:ascii="仿宋_GB2312" w:hAnsi="仿宋" w:eastAsia="仿宋_GB2312"/>
          <w:sz w:val="28"/>
          <w:szCs w:val="28"/>
        </w:rPr>
        <w:t>》中的相关条款执行。</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、乙方履约延误</w:t>
      </w:r>
    </w:p>
    <w:p>
      <w:pPr>
        <w:keepNext w:val="0"/>
        <w:keepLines w:val="0"/>
        <w:pageBreakBefore w:val="0"/>
        <w:kinsoku/>
        <w:wordWrap/>
        <w:overflowPunct/>
        <w:topLinePunct w:val="0"/>
        <w:bidi w:val="0"/>
        <w:adjustRightInd w:val="0"/>
        <w:snapToGrid w:val="0"/>
        <w:spacing w:line="600" w:lineRule="exact"/>
        <w:ind w:firstLine="560" w:firstLineChars="200"/>
        <w:jc w:val="both"/>
        <w:outlineLvl w:val="9"/>
        <w:rPr>
          <w:rFonts w:hint="eastAsia" w:ascii="仿宋_GB2312" w:eastAsia="仿宋_GB2312"/>
          <w:sz w:val="28"/>
          <w:szCs w:val="28"/>
        </w:rPr>
      </w:pPr>
      <w:r>
        <w:rPr>
          <w:rFonts w:hint="eastAsia" w:ascii="仿宋_GB2312" w:eastAsia="仿宋_GB2312"/>
          <w:sz w:val="28"/>
          <w:szCs w:val="28"/>
        </w:rPr>
        <w:t>2-1</w:t>
      </w:r>
      <w:r>
        <w:rPr>
          <w:rFonts w:hint="eastAsia" w:ascii="仿宋_GB2312" w:hAnsi="仿宋" w:eastAsia="仿宋_GB2312"/>
          <w:sz w:val="28"/>
          <w:szCs w:val="28"/>
        </w:rPr>
        <w:t>、如乙方事先未征得甲方同意并得到甲方的谅解而单方面延迟交货，将按违约终止合同。</w:t>
      </w:r>
    </w:p>
    <w:p>
      <w:pPr>
        <w:keepNext w:val="0"/>
        <w:keepLines w:val="0"/>
        <w:pageBreakBefore w:val="0"/>
        <w:kinsoku/>
        <w:wordWrap/>
        <w:overflowPunct/>
        <w:topLinePunct w:val="0"/>
        <w:bidi w:val="0"/>
        <w:adjustRightInd w:val="0"/>
        <w:snapToGrid w:val="0"/>
        <w:spacing w:line="600" w:lineRule="exact"/>
        <w:ind w:firstLine="560" w:firstLineChars="200"/>
        <w:jc w:val="both"/>
        <w:outlineLvl w:val="9"/>
        <w:rPr>
          <w:rFonts w:hint="eastAsia" w:ascii="仿宋_GB2312" w:eastAsia="仿宋_GB2312"/>
          <w:sz w:val="28"/>
          <w:szCs w:val="28"/>
        </w:rPr>
      </w:pPr>
      <w:r>
        <w:rPr>
          <w:rFonts w:hint="eastAsia" w:ascii="仿宋_GB2312" w:eastAsia="仿宋_GB2312"/>
          <w:sz w:val="28"/>
          <w:szCs w:val="28"/>
        </w:rPr>
        <w:t>2-2</w:t>
      </w:r>
      <w:r>
        <w:rPr>
          <w:rFonts w:hint="eastAsia" w:ascii="仿宋_GB2312" w:hAnsi="仿宋" w:eastAsia="仿宋_GB2312"/>
          <w:sz w:val="28"/>
          <w:szCs w:val="28"/>
        </w:rPr>
        <w:t>、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w:t>
      </w:r>
      <w:r>
        <w:rPr>
          <w:rFonts w:hint="eastAsia" w:ascii="仿宋_GB2312" w:eastAsia="仿宋_GB2312"/>
          <w:sz w:val="28"/>
          <w:szCs w:val="28"/>
        </w:rPr>
        <w:t>0.5%</w:t>
      </w:r>
      <w:r>
        <w:rPr>
          <w:rFonts w:hint="eastAsia" w:ascii="仿宋_GB2312" w:hAnsi="仿宋" w:eastAsia="仿宋_GB2312"/>
          <w:sz w:val="28"/>
          <w:szCs w:val="28"/>
        </w:rPr>
        <w:t>）计收，直至交货或提供服务为止。误期赔偿费的最高限额为合同价格的百分之五（</w:t>
      </w:r>
      <w:r>
        <w:rPr>
          <w:rFonts w:hint="eastAsia" w:ascii="仿宋_GB2312" w:eastAsia="仿宋_GB2312"/>
          <w:sz w:val="28"/>
          <w:szCs w:val="28"/>
        </w:rPr>
        <w:t>5%</w:t>
      </w:r>
      <w:r>
        <w:rPr>
          <w:rFonts w:hint="eastAsia" w:ascii="仿宋_GB2312" w:hAnsi="仿宋" w:eastAsia="仿宋_GB2312"/>
          <w:sz w:val="28"/>
          <w:szCs w:val="28"/>
        </w:rPr>
        <w:t>）。一旦达到误期赔偿费的最高限额，甲方可终止合同。</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、违约终止合同：未按合同要求提供货物或质量不能满足技术要求，甲方会同监督机构有权终止合同，对乙方违约行为进行追究，同时按政府采购法的有关规定进行相应的处罚。</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b/>
          <w:sz w:val="28"/>
          <w:szCs w:val="28"/>
        </w:rPr>
      </w:pPr>
      <w:r>
        <w:rPr>
          <w:rFonts w:hint="eastAsia" w:ascii="仿宋_GB2312" w:hAnsi="仿宋" w:eastAsia="仿宋_GB2312"/>
          <w:b/>
          <w:sz w:val="28"/>
          <w:szCs w:val="28"/>
        </w:rPr>
        <w:t>六、合同组成</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w:t>
      </w:r>
      <w:r>
        <w:rPr>
          <w:rFonts w:hint="eastAsia" w:ascii="仿宋_GB2312" w:hAnsi="仿宋" w:eastAsia="仿宋_GB2312"/>
          <w:sz w:val="28"/>
          <w:szCs w:val="28"/>
          <w:lang w:eastAsia="zh-CN"/>
        </w:rPr>
        <w:t>成交</w:t>
      </w:r>
      <w:r>
        <w:rPr>
          <w:rFonts w:hint="eastAsia" w:ascii="仿宋_GB2312" w:hAnsi="仿宋" w:eastAsia="仿宋_GB2312"/>
          <w:sz w:val="28"/>
          <w:szCs w:val="28"/>
        </w:rPr>
        <w:t>通知书</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、合同文件</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、国家相关规范及标准</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eastAsia="仿宋_GB2312"/>
          <w:sz w:val="28"/>
          <w:szCs w:val="28"/>
        </w:rPr>
        <w:t>4</w:t>
      </w:r>
      <w:r>
        <w:rPr>
          <w:rFonts w:hint="eastAsia" w:ascii="仿宋_GB2312" w:hAnsi="仿宋" w:eastAsia="仿宋_GB2312"/>
          <w:sz w:val="28"/>
          <w:szCs w:val="28"/>
        </w:rPr>
        <w:t>、</w:t>
      </w:r>
      <w:r>
        <w:rPr>
          <w:rFonts w:hint="eastAsia" w:ascii="仿宋_GB2312" w:hAnsi="仿宋" w:eastAsia="仿宋_GB2312"/>
          <w:sz w:val="28"/>
          <w:szCs w:val="28"/>
          <w:lang w:eastAsia="zh-CN"/>
        </w:rPr>
        <w:t>竞争性磋商</w:t>
      </w:r>
      <w:r>
        <w:rPr>
          <w:rFonts w:hint="eastAsia" w:ascii="仿宋_GB2312" w:hAnsi="仿宋" w:eastAsia="仿宋_GB2312"/>
          <w:sz w:val="28"/>
          <w:szCs w:val="28"/>
        </w:rPr>
        <w:t>文件</w:t>
      </w:r>
    </w:p>
    <w:p>
      <w:pPr>
        <w:keepNext w:val="0"/>
        <w:keepLines w:val="0"/>
        <w:pageBreakBefore w:val="0"/>
        <w:kinsoku/>
        <w:wordWrap/>
        <w:overflowPunct/>
        <w:topLinePunct w:val="0"/>
        <w:bidi w:val="0"/>
        <w:adjustRightInd w:val="0"/>
        <w:snapToGrid w:val="0"/>
        <w:spacing w:line="600" w:lineRule="exact"/>
        <w:ind w:firstLine="645"/>
        <w:jc w:val="both"/>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hAnsi="仿宋" w:eastAsia="仿宋_GB2312"/>
          <w:sz w:val="28"/>
          <w:szCs w:val="28"/>
        </w:rPr>
        <w:t>、</w:t>
      </w:r>
      <w:r>
        <w:rPr>
          <w:rFonts w:hint="eastAsia" w:ascii="仿宋_GB2312" w:hAnsi="仿宋" w:eastAsia="仿宋_GB2312"/>
          <w:sz w:val="28"/>
          <w:szCs w:val="28"/>
          <w:lang w:eastAsia="zh-CN"/>
        </w:rPr>
        <w:t>竞争性磋商响应</w:t>
      </w:r>
      <w:r>
        <w:rPr>
          <w:rFonts w:hint="eastAsia" w:ascii="仿宋_GB2312" w:hAnsi="仿宋" w:eastAsia="仿宋_GB2312"/>
          <w:sz w:val="28"/>
          <w:szCs w:val="28"/>
        </w:rPr>
        <w:t>文件</w:t>
      </w:r>
    </w:p>
    <w:p>
      <w:pPr>
        <w:keepNext w:val="0"/>
        <w:keepLines w:val="0"/>
        <w:pageBreakBefore w:val="0"/>
        <w:widowControl/>
        <w:kinsoku/>
        <w:wordWrap/>
        <w:overflowPunct/>
        <w:topLinePunct w:val="0"/>
        <w:autoSpaceDE w:val="0"/>
        <w:autoSpaceDN w:val="0"/>
        <w:bidi w:val="0"/>
        <w:snapToGrid w:val="0"/>
        <w:spacing w:line="600" w:lineRule="exact"/>
        <w:ind w:right="893" w:firstLine="551" w:firstLineChars="196"/>
        <w:jc w:val="both"/>
        <w:textAlignment w:val="bottom"/>
        <w:outlineLvl w:val="9"/>
        <w:rPr>
          <w:rFonts w:hint="eastAsia" w:ascii="仿宋_GB2312" w:eastAsia="仿宋_GB2312"/>
          <w:b/>
          <w:kern w:val="0"/>
          <w:sz w:val="28"/>
          <w:szCs w:val="28"/>
        </w:rPr>
      </w:pPr>
      <w:r>
        <w:rPr>
          <w:rFonts w:hint="eastAsia" w:ascii="仿宋_GB2312" w:hAnsi="仿宋" w:eastAsia="仿宋_GB2312"/>
          <w:b/>
          <w:kern w:val="0"/>
          <w:sz w:val="28"/>
          <w:szCs w:val="28"/>
        </w:rPr>
        <w:t>七、合同生效及其它</w:t>
      </w:r>
    </w:p>
    <w:p>
      <w:pPr>
        <w:keepNext w:val="0"/>
        <w:keepLines w:val="0"/>
        <w:pageBreakBefore w:val="0"/>
        <w:widowControl/>
        <w:kinsoku/>
        <w:wordWrap/>
        <w:overflowPunct/>
        <w:topLinePunct w:val="0"/>
        <w:autoSpaceDE w:val="0"/>
        <w:autoSpaceDN w:val="0"/>
        <w:bidi w:val="0"/>
        <w:snapToGrid w:val="0"/>
        <w:spacing w:line="600" w:lineRule="exact"/>
        <w:ind w:right="-110" w:firstLine="560" w:firstLineChars="200"/>
        <w:jc w:val="both"/>
        <w:textAlignment w:val="bottom"/>
        <w:outlineLvl w:val="9"/>
        <w:rPr>
          <w:rFonts w:hint="eastAsia" w:ascii="仿宋_GB2312" w:eastAsia="仿宋_GB2312"/>
          <w:kern w:val="0"/>
          <w:sz w:val="28"/>
          <w:szCs w:val="28"/>
        </w:rPr>
      </w:pPr>
      <w:r>
        <w:rPr>
          <w:rFonts w:hint="eastAsia" w:ascii="仿宋_GB2312" w:eastAsia="仿宋_GB2312"/>
          <w:kern w:val="0"/>
          <w:sz w:val="28"/>
          <w:szCs w:val="28"/>
        </w:rPr>
        <w:t>1</w:t>
      </w:r>
      <w:r>
        <w:rPr>
          <w:rFonts w:hint="eastAsia" w:ascii="仿宋_GB2312" w:hAnsi="仿宋" w:eastAsia="仿宋_GB2312"/>
          <w:kern w:val="0"/>
          <w:sz w:val="28"/>
          <w:szCs w:val="28"/>
        </w:rPr>
        <w:t>、合同未尽事宜、由甲、乙双方协商，作为合同补充，与原合同具有同等法律效力。</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560" w:firstLineChars="200"/>
        <w:jc w:val="both"/>
        <w:textAlignment w:val="bottom"/>
        <w:outlineLvl w:val="9"/>
        <w:rPr>
          <w:rFonts w:hint="eastAsia" w:ascii="仿宋_GB2312" w:eastAsia="仿宋_GB2312"/>
          <w:kern w:val="0"/>
          <w:sz w:val="28"/>
          <w:szCs w:val="28"/>
        </w:rPr>
      </w:pPr>
      <w:r>
        <w:rPr>
          <w:rFonts w:hint="eastAsia" w:ascii="仿宋_GB2312" w:eastAsia="仿宋_GB2312"/>
          <w:kern w:val="0"/>
          <w:sz w:val="28"/>
          <w:szCs w:val="28"/>
        </w:rPr>
        <w:t>2</w:t>
      </w:r>
      <w:r>
        <w:rPr>
          <w:rFonts w:hint="eastAsia" w:ascii="仿宋_GB2312" w:hAnsi="仿宋" w:eastAsia="仿宋_GB2312"/>
          <w:kern w:val="0"/>
          <w:sz w:val="28"/>
          <w:szCs w:val="28"/>
        </w:rPr>
        <w:t>、</w:t>
      </w:r>
      <w:r>
        <w:rPr>
          <w:rFonts w:hint="eastAsia" w:ascii="仿宋_GB2312" w:eastAsia="仿宋_GB2312"/>
          <w:kern w:val="0"/>
          <w:sz w:val="28"/>
          <w:szCs w:val="28"/>
        </w:rPr>
        <w:t xml:space="preserve"> </w:t>
      </w:r>
      <w:r>
        <w:rPr>
          <w:rFonts w:hint="eastAsia" w:ascii="仿宋_GB2312" w:hAnsi="仿宋" w:eastAsia="仿宋_GB2312"/>
          <w:kern w:val="0"/>
          <w:sz w:val="28"/>
          <w:szCs w:val="28"/>
        </w:rPr>
        <w:t>本合同正本一式</w:t>
      </w:r>
      <w:r>
        <w:rPr>
          <w:rFonts w:hint="eastAsia" w:ascii="仿宋_GB2312" w:eastAsia="仿宋_GB2312"/>
          <w:kern w:val="0"/>
          <w:sz w:val="28"/>
          <w:szCs w:val="28"/>
          <w:u w:val="single"/>
        </w:rPr>
        <w:t xml:space="preserve">   </w:t>
      </w:r>
      <w:r>
        <w:rPr>
          <w:rFonts w:hint="eastAsia" w:ascii="仿宋_GB2312" w:hAnsi="仿宋" w:eastAsia="仿宋_GB2312"/>
          <w:kern w:val="0"/>
          <w:sz w:val="28"/>
          <w:szCs w:val="28"/>
        </w:rPr>
        <w:t>份，甲方执</w:t>
      </w:r>
      <w:r>
        <w:rPr>
          <w:rFonts w:hint="eastAsia" w:ascii="仿宋_GB2312" w:eastAsia="仿宋_GB2312"/>
          <w:kern w:val="0"/>
          <w:sz w:val="28"/>
          <w:szCs w:val="28"/>
          <w:u w:val="single"/>
        </w:rPr>
        <w:t xml:space="preserve">   </w:t>
      </w:r>
      <w:r>
        <w:rPr>
          <w:rFonts w:hint="eastAsia" w:ascii="仿宋_GB2312" w:hAnsi="仿宋" w:eastAsia="仿宋_GB2312"/>
          <w:kern w:val="0"/>
          <w:sz w:val="28"/>
          <w:szCs w:val="28"/>
        </w:rPr>
        <w:t>份、乙方执</w:t>
      </w:r>
      <w:r>
        <w:rPr>
          <w:rFonts w:hint="eastAsia" w:ascii="仿宋_GB2312" w:eastAsia="仿宋_GB2312"/>
          <w:kern w:val="0"/>
          <w:sz w:val="28"/>
          <w:szCs w:val="28"/>
          <w:u w:val="single"/>
        </w:rPr>
        <w:t xml:space="preserve">    </w:t>
      </w:r>
      <w:r>
        <w:rPr>
          <w:rFonts w:hint="eastAsia" w:ascii="仿宋_GB2312" w:hAnsi="仿宋" w:eastAsia="仿宋_GB2312"/>
          <w:kern w:val="0"/>
          <w:sz w:val="28"/>
          <w:szCs w:val="28"/>
        </w:rPr>
        <w:t>份。</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560" w:firstLineChars="200"/>
        <w:jc w:val="both"/>
        <w:textAlignment w:val="bottom"/>
        <w:outlineLvl w:val="9"/>
        <w:rPr>
          <w:rFonts w:hint="eastAsia" w:ascii="仿宋_GB2312" w:eastAsia="仿宋_GB2312"/>
          <w:kern w:val="0"/>
          <w:sz w:val="28"/>
          <w:szCs w:val="28"/>
        </w:rPr>
      </w:pPr>
      <w:r>
        <w:rPr>
          <w:rFonts w:hint="eastAsia" w:ascii="仿宋_GB2312" w:eastAsia="仿宋_GB2312"/>
          <w:kern w:val="0"/>
          <w:sz w:val="28"/>
          <w:szCs w:val="28"/>
        </w:rPr>
        <w:t>3</w:t>
      </w:r>
      <w:r>
        <w:rPr>
          <w:rFonts w:hint="eastAsia" w:ascii="仿宋_GB2312" w:hAnsi="仿宋" w:eastAsia="仿宋_GB2312"/>
          <w:kern w:val="0"/>
          <w:sz w:val="28"/>
          <w:szCs w:val="28"/>
        </w:rPr>
        <w:t>、合同经甲乙双方盖章、签字后生效，合同签订地点为</w:t>
      </w:r>
      <w:r>
        <w:rPr>
          <w:rFonts w:hint="eastAsia" w:ascii="仿宋_GB2312" w:eastAsia="仿宋_GB2312"/>
          <w:kern w:val="0"/>
          <w:sz w:val="28"/>
          <w:szCs w:val="28"/>
          <w:u w:val="single"/>
        </w:rPr>
        <w:t xml:space="preserve">   </w:t>
      </w:r>
      <w:r>
        <w:rPr>
          <w:rFonts w:hint="eastAsia" w:ascii="仿宋_GB2312" w:hAnsi="仿宋" w:eastAsia="仿宋_GB2312"/>
          <w:kern w:val="0"/>
          <w:sz w:val="28"/>
          <w:szCs w:val="28"/>
        </w:rPr>
        <w:t>。</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560" w:firstLineChars="200"/>
        <w:jc w:val="both"/>
        <w:textAlignment w:val="bottom"/>
        <w:outlineLvl w:val="9"/>
        <w:rPr>
          <w:rFonts w:hint="eastAsia" w:ascii="仿宋_GB2312" w:eastAsia="仿宋_GB2312"/>
          <w:kern w:val="0"/>
          <w:sz w:val="28"/>
          <w:szCs w:val="28"/>
        </w:rPr>
      </w:pPr>
      <w:r>
        <w:rPr>
          <w:rFonts w:hint="eastAsia" w:ascii="仿宋_GB2312" w:eastAsia="仿宋_GB2312"/>
          <w:kern w:val="0"/>
          <w:sz w:val="28"/>
          <w:szCs w:val="28"/>
        </w:rPr>
        <w:t>4</w:t>
      </w:r>
      <w:r>
        <w:rPr>
          <w:rFonts w:hint="eastAsia" w:ascii="仿宋_GB2312" w:hAnsi="仿宋" w:eastAsia="仿宋_GB2312"/>
          <w:kern w:val="0"/>
          <w:sz w:val="28"/>
          <w:szCs w:val="28"/>
        </w:rPr>
        <w:t>、生效时间：</w:t>
      </w:r>
      <w:r>
        <w:rPr>
          <w:rFonts w:hint="eastAsia" w:ascii="仿宋_GB2312" w:eastAsia="仿宋_GB2312"/>
          <w:kern w:val="0"/>
          <w:sz w:val="28"/>
          <w:szCs w:val="28"/>
        </w:rPr>
        <w:t xml:space="preserve">    </w:t>
      </w:r>
      <w:r>
        <w:rPr>
          <w:rFonts w:hint="eastAsia" w:ascii="仿宋_GB2312" w:hAnsi="仿宋" w:eastAsia="仿宋_GB2312"/>
          <w:kern w:val="0"/>
          <w:sz w:val="28"/>
          <w:szCs w:val="28"/>
        </w:rPr>
        <w:t>年</w:t>
      </w:r>
      <w:r>
        <w:rPr>
          <w:rFonts w:hint="eastAsia" w:ascii="仿宋_GB2312" w:eastAsia="仿宋_GB2312"/>
          <w:kern w:val="0"/>
          <w:sz w:val="28"/>
          <w:szCs w:val="28"/>
        </w:rPr>
        <w:t xml:space="preserve">  </w:t>
      </w:r>
      <w:r>
        <w:rPr>
          <w:rFonts w:hint="eastAsia" w:ascii="仿宋_GB2312" w:hAnsi="仿宋" w:eastAsia="仿宋_GB2312"/>
          <w:kern w:val="0"/>
          <w:sz w:val="28"/>
          <w:szCs w:val="28"/>
        </w:rPr>
        <w:t>月</w:t>
      </w:r>
      <w:r>
        <w:rPr>
          <w:rFonts w:hint="eastAsia" w:ascii="仿宋_GB2312" w:eastAsia="仿宋_GB2312"/>
          <w:kern w:val="0"/>
          <w:sz w:val="28"/>
          <w:szCs w:val="28"/>
        </w:rPr>
        <w:t xml:space="preserve">  </w:t>
      </w:r>
      <w:r>
        <w:rPr>
          <w:rFonts w:hint="eastAsia" w:ascii="仿宋_GB2312" w:hAnsi="仿宋" w:eastAsia="仿宋_GB2312"/>
          <w:kern w:val="0"/>
          <w:sz w:val="28"/>
          <w:szCs w:val="28"/>
        </w:rPr>
        <w:t>日</w:t>
      </w:r>
    </w:p>
    <w:p>
      <w:pPr>
        <w:keepNext w:val="0"/>
        <w:keepLines w:val="0"/>
        <w:pageBreakBefore w:val="0"/>
        <w:widowControl/>
        <w:tabs>
          <w:tab w:val="left" w:pos="8391"/>
        </w:tabs>
        <w:kinsoku/>
        <w:wordWrap/>
        <w:overflowPunct/>
        <w:topLinePunct w:val="0"/>
        <w:autoSpaceDE w:val="0"/>
        <w:autoSpaceDN w:val="0"/>
        <w:bidi w:val="0"/>
        <w:snapToGrid w:val="0"/>
        <w:spacing w:line="600" w:lineRule="exact"/>
        <w:ind w:right="-69" w:firstLine="980" w:firstLineChars="350"/>
        <w:jc w:val="both"/>
        <w:textAlignment w:val="bottom"/>
        <w:outlineLvl w:val="9"/>
        <w:rPr>
          <w:rFonts w:hint="eastAsia" w:ascii="仿宋_GB2312" w:eastAsia="仿宋_GB2312"/>
          <w:kern w:val="0"/>
          <w:sz w:val="28"/>
          <w:szCs w:val="28"/>
        </w:rPr>
      </w:pPr>
    </w:p>
    <w:tbl>
      <w:tblPr>
        <w:tblStyle w:val="52"/>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甲方名称</w:t>
            </w:r>
            <w:r>
              <w:rPr>
                <w:rFonts w:hint="eastAsia" w:ascii="仿宋_GB2312" w:hAnsi="仿宋" w:eastAsia="仿宋_GB2312"/>
                <w:spacing w:val="-20"/>
                <w:kern w:val="0"/>
                <w:sz w:val="28"/>
                <w:szCs w:val="28"/>
              </w:rPr>
              <w:t>（盖章）</w:t>
            </w:r>
            <w:r>
              <w:rPr>
                <w:rFonts w:hint="eastAsia" w:ascii="仿宋_GB2312" w:eastAsia="仿宋_GB2312"/>
                <w:kern w:val="0"/>
                <w:sz w:val="28"/>
                <w:szCs w:val="28"/>
              </w:rPr>
              <w:t>:</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地址：</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代表人（签字）：</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电话：</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开户银行：</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帐号：</w:t>
            </w:r>
          </w:p>
        </w:tc>
        <w:tc>
          <w:tcPr>
            <w:tcW w:w="4643" w:type="dxa"/>
            <w:noWrap w:val="0"/>
            <w:vAlign w:val="top"/>
          </w:tcPr>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乙方名称</w:t>
            </w:r>
            <w:r>
              <w:rPr>
                <w:rFonts w:hint="eastAsia" w:ascii="仿宋_GB2312" w:hAnsi="仿宋" w:eastAsia="仿宋_GB2312"/>
                <w:spacing w:val="-20"/>
                <w:kern w:val="0"/>
                <w:sz w:val="28"/>
                <w:szCs w:val="28"/>
              </w:rPr>
              <w:t>（盖章）</w:t>
            </w:r>
            <w:r>
              <w:rPr>
                <w:rFonts w:hint="eastAsia" w:ascii="仿宋_GB2312" w:eastAsia="仿宋_GB2312"/>
                <w:kern w:val="0"/>
                <w:sz w:val="28"/>
                <w:szCs w:val="28"/>
              </w:rPr>
              <w:t>:</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地址：</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代表人（签字）：</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电话：</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开户银行：</w:t>
            </w:r>
          </w:p>
          <w:p>
            <w:pPr>
              <w:keepNext w:val="0"/>
              <w:keepLines w:val="0"/>
              <w:pageBreakBefore w:val="0"/>
              <w:widowControl/>
              <w:kinsoku/>
              <w:wordWrap/>
              <w:overflowPunct/>
              <w:topLinePunct w:val="0"/>
              <w:autoSpaceDE w:val="0"/>
              <w:autoSpaceDN w:val="0"/>
              <w:bidi w:val="0"/>
              <w:snapToGrid w:val="0"/>
              <w:spacing w:line="600" w:lineRule="exact"/>
              <w:ind w:right="-154"/>
              <w:jc w:val="both"/>
              <w:textAlignment w:val="bottom"/>
              <w:outlineLvl w:val="9"/>
              <w:rPr>
                <w:rFonts w:hint="eastAsia" w:ascii="仿宋_GB2312" w:eastAsia="仿宋_GB2312"/>
                <w:kern w:val="0"/>
                <w:sz w:val="28"/>
                <w:szCs w:val="28"/>
              </w:rPr>
            </w:pPr>
            <w:r>
              <w:rPr>
                <w:rFonts w:hint="eastAsia" w:ascii="仿宋_GB2312" w:hAnsi="仿宋" w:eastAsia="仿宋_GB2312"/>
                <w:kern w:val="0"/>
                <w:sz w:val="28"/>
                <w:szCs w:val="28"/>
              </w:rPr>
              <w:t>帐号：</w:t>
            </w:r>
          </w:p>
        </w:tc>
      </w:tr>
    </w:tbl>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adjustRightInd w:val="0"/>
        <w:snapToGrid w:val="0"/>
        <w:spacing w:line="360" w:lineRule="auto"/>
        <w:rPr>
          <w:rFonts w:hint="eastAsia" w:ascii="仿宋_GB2312" w:hAnsi="仿宋_GB2312" w:eastAsia="仿宋_GB2312" w:cs="仿宋_GB2312"/>
          <w:color w:val="auto"/>
          <w:sz w:val="24"/>
          <w:highlight w:val="none"/>
          <w:lang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48"/>
        <w:numPr>
          <w:ilvl w:val="0"/>
          <w:numId w:val="15"/>
        </w:numPr>
        <w:spacing w:line="360" w:lineRule="auto"/>
        <w:rPr>
          <w:rStyle w:val="205"/>
          <w:rFonts w:hint="eastAsia" w:ascii="宋体" w:hAnsi="宋体" w:eastAsia="宋体"/>
          <w:color w:val="auto"/>
          <w:sz w:val="36"/>
          <w:szCs w:val="36"/>
          <w:highlight w:val="none"/>
        </w:rPr>
      </w:pPr>
      <w:bookmarkStart w:id="440" w:name="_Toc68590980"/>
      <w:bookmarkStart w:id="441" w:name="_Toc58504448"/>
      <w:r>
        <w:rPr>
          <w:rStyle w:val="205"/>
          <w:rFonts w:hint="eastAsia" w:ascii="宋体" w:hAnsi="宋体" w:eastAsia="宋体"/>
          <w:color w:val="auto"/>
          <w:sz w:val="36"/>
          <w:szCs w:val="36"/>
          <w:highlight w:val="none"/>
        </w:rPr>
        <w:t xml:space="preserve"> 采购内容及要求</w:t>
      </w:r>
      <w:bookmarkEnd w:id="440"/>
      <w:bookmarkEnd w:id="441"/>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000000"/>
          <w:kern w:val="0"/>
          <w:sz w:val="24"/>
          <w:szCs w:val="24"/>
          <w:lang w:val="en-US" w:eastAsia="zh-CN" w:bidi="ar"/>
        </w:rPr>
      </w:pPr>
      <w:bookmarkStart w:id="442" w:name="_Toc385992401"/>
      <w:bookmarkStart w:id="443" w:name="_Toc389620241"/>
      <w:bookmarkStart w:id="444" w:name="_Toc415499899"/>
      <w:bookmarkStart w:id="445" w:name="_Toc68590981"/>
      <w:bookmarkStart w:id="446" w:name="_Toc31008"/>
      <w:bookmarkStart w:id="447" w:name="_Toc58504449"/>
      <w:r>
        <w:rPr>
          <w:rFonts w:hint="eastAsia" w:ascii="仿宋" w:hAnsi="仿宋" w:eastAsia="仿宋" w:cs="仿宋"/>
          <w:b/>
          <w:bCs/>
          <w:color w:val="000000"/>
          <w:kern w:val="0"/>
          <w:sz w:val="24"/>
          <w:szCs w:val="24"/>
          <w:lang w:val="en-US" w:eastAsia="zh-CN" w:bidi="ar"/>
        </w:rPr>
        <w:t>项目背景</w:t>
      </w:r>
    </w:p>
    <w:p>
      <w:pPr>
        <w:pStyle w:val="2"/>
        <w:keepNext/>
        <w:keepLines/>
        <w:pageBreakBefore w:val="0"/>
        <w:widowControl/>
        <w:numPr>
          <w:ilvl w:val="0"/>
          <w:numId w:val="0"/>
        </w:numPr>
        <w:kinsoku/>
        <w:wordWrap/>
        <w:overflowPunct/>
        <w:topLinePunct w:val="0"/>
        <w:autoSpaceDE/>
        <w:autoSpaceDN/>
        <w:bidi w:val="0"/>
        <w:adjustRightInd/>
        <w:snapToGrid/>
        <w:spacing w:before="0" w:line="240" w:lineRule="auto"/>
        <w:ind w:firstLine="480" w:firstLineChars="200"/>
        <w:jc w:val="both"/>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耀州区以电子商务进农村综合示范为抓手，以农村流通设施建设为重点，着力提升完善农村电子商务公共服务体系，不断促进产销对接，积极探索数据驱动，努力打造综合示范“升级版”，构建普惠共享、线上线下融合、工业品下乡和农产品进城双向畅通的农村现代流通体系。</w:t>
      </w:r>
    </w:p>
    <w:p>
      <w:pPr>
        <w:pStyle w:val="2"/>
        <w:keepNext/>
        <w:keepLines/>
        <w:pageBreakBefore w:val="0"/>
        <w:widowControl/>
        <w:numPr>
          <w:ilvl w:val="0"/>
          <w:numId w:val="0"/>
        </w:numPr>
        <w:kinsoku/>
        <w:wordWrap/>
        <w:overflowPunct/>
        <w:topLinePunct w:val="0"/>
        <w:autoSpaceDE/>
        <w:autoSpaceDN/>
        <w:bidi w:val="0"/>
        <w:adjustRightInd/>
        <w:snapToGrid/>
        <w:spacing w:before="0" w:line="240" w:lineRule="auto"/>
        <w:ind w:firstLine="480" w:firstLineChars="200"/>
        <w:jc w:val="both"/>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为了持续巩固耀州区电子商务进农村综合示范区项目建设成果,全区电子商务进农村综合示范项目还需继续巩固加强,以确保我区顺利通过绩效评估。</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项目建设目标及具体要求</w:t>
      </w:r>
    </w:p>
    <w:p>
      <w:pPr>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1.建设目标</w:t>
      </w:r>
    </w:p>
    <w:p>
      <w:pPr>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通过对选定耀州区电子商务公共服务中心的升级改造，达到电子商务进农村综合示范项目的基本要求。耀州区电子商务公共服务中心功能区建设主要包括:入驻企业办公场所、公共孵化区、培训教室、服务前台、产品展销区、美工摄影室、农产品检测服务窗口、标准化直播室（3个）等场所的装修改造(不含土建);新增电脑、打(复)印机、投影仪、电话、网络接入设备、液晶显示系统、文件柜、空调、桌椅等必要的设施设备。</w:t>
      </w:r>
    </w:p>
    <w:p>
      <w:pPr>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2.具体建设内容</w:t>
      </w:r>
    </w:p>
    <w:p>
      <w:pPr>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1）组建1支具有项目实施经验的项目经理1名、美工设计1名、平台店铺运营1名、新媒体运营推广1名、营销策划1名等5人以上专业运营团队长期驻耀州提供落地服务（需持有电子商务相关证书并接受专业技能审核后上岗），建立健全服务中心机制、完善制度、明确分工、规范管理。</w:t>
      </w:r>
    </w:p>
    <w:p>
      <w:pPr>
        <w:pageBreakBefore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（2）每月组织入驻企业、孵化企业、直播等电商相关人员开展1次不限于电商沙龙、电商研讨等为主题的会议或产销对接活动，每期活动方案经甲方审核同意后执行。</w:t>
      </w:r>
    </w:p>
    <w:p>
      <w:pPr>
        <w:pageBreakBefore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（3）统筹推进品牌、标准、品质控制、金融、物流、培训等服务，每年服务记录不得少于100次（以服务工单为准）。</w:t>
      </w:r>
    </w:p>
    <w:p>
      <w:pPr>
        <w:pageBreakBefore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4）强化媒体宣传，利用现有或自建线上微信公众平台宣传渠道，每周不少于完成1篇关于耀州区电子商务进农村综合示范项目高质量文章编辑，并通过渠道进行宣传和推广，累计年曝光量不得少于10万次；每年在区级以上媒体累计宣传不得少于3次。</w:t>
      </w:r>
    </w:p>
    <w:p>
      <w:pPr>
        <w:pageBreakBefore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（5）至少为县域20家以上企业及个人等提供产品指导、品牌培育、营销策划、数据分析、店铺运营指导等常态化、可持续孵化服务，其中孵化100万元以上企业不少于5家。</w:t>
      </w:r>
    </w:p>
    <w:p>
      <w:pPr>
        <w:pageBreakBefore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（6）利用自有电商销售平台或渠道，上架耀州区展销馆产品不少于20个品类，线上线下每年带动销售不少于100万元。</w:t>
      </w:r>
    </w:p>
    <w:p>
      <w:pPr>
        <w:pageBreakBefore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7）每月定期报送本项目实施产生的相关数据信息及工作总结等。统筹汇总各标段提交的数据提交甲方审核无误后，每月定期向《商务部业务系统统一平台》报送信息；每年年底负责与第三方权威数据机构对接数据并形成证明资料。</w:t>
      </w:r>
    </w:p>
    <w:p>
      <w:pPr>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（8）积极配合主管单位的所有验收检查。</w:t>
      </w:r>
    </w:p>
    <w:p>
      <w:pPr>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 xml:space="preserve">（9）合同执行依据包括合同规定的内容、耀州电子商务进农村综合示范项目实施方案相关的量化指标及上级部门各项绩效评价指标体系。  </w:t>
      </w:r>
    </w:p>
    <w:p>
      <w:pPr>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10）根据耀州区电子商务公共服务中心实际情况，具备入驻企业办公场所、公共孵化区、培训教室、服务前台、产品展销区、美工摄影室、农产品检测服务窗口、标准化直播室（3个）等场所的装修改造(不含土建)等功能;在原有设备的基础之上，增添必要的设施设备。</w:t>
      </w:r>
    </w:p>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kern w:val="0"/>
          <w:sz w:val="24"/>
          <w:szCs w:val="24"/>
          <w:lang w:val="en-US" w:eastAsia="zh-CN" w:bidi="ar-SA"/>
        </w:rPr>
        <w:t>耀州区电子商务公共服务中心改造升级清单</w:t>
      </w:r>
    </w:p>
    <w:tbl>
      <w:tblPr>
        <w:tblStyle w:val="5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266"/>
        <w:gridCol w:w="1536"/>
        <w:gridCol w:w="1051"/>
        <w:gridCol w:w="439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序号</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分项名称</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名称</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数量</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规格参数</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w:t>
            </w:r>
          </w:p>
        </w:tc>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公共服务中心设计、基础装修、基础硬件</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基础装修</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 xml:space="preserve">装修范围包括电商公共服务中心墙面内外粉刷、墙面装饰、吊顶、亮化、贴砖、玻璃钢架隔断布局等内容,具体装修方案根据场地实际情况确定。包含公共服务中心装修整体设计、020展示体验馆、项目路演室、培训中心、美工室、直播间等各功能区的粉刷装修、吊顶，隔档、灯具、电路综合布线、网络综合布线(包含有线和无线网络)等。（装修材料必须符合国家标准。） </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空调</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10台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空调技术参数：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 xml:space="preserve">正1.5匹一级能效 变频冷暖 智能 壁挂式卧室空调挂机 </w:t>
            </w:r>
          </w:p>
          <w:p>
            <w:pPr>
              <w:pStyle w:val="31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lang w:val="en-US"/>
              </w:rPr>
            </w:pPr>
            <w:bookmarkStart w:id="448" w:name="_Toc3790"/>
            <w:bookmarkStart w:id="449" w:name="_Toc21563"/>
            <w:r>
              <w:rPr>
                <w:rFonts w:hint="eastAsia" w:ascii="仿宋" w:hAnsi="仿宋" w:eastAsia="仿宋" w:cs="仿宋"/>
                <w:b w:val="0"/>
                <w:bCs w:val="0"/>
                <w:color w:val="auto"/>
                <w:sz w:val="24"/>
                <w:szCs w:val="24"/>
                <w:lang w:val="en-US"/>
              </w:rPr>
              <w:t>(</w:t>
            </w:r>
            <w:r>
              <w:rPr>
                <w:rFonts w:hint="eastAsia" w:ascii="仿宋" w:hAnsi="仿宋" w:eastAsia="仿宋" w:cs="仿宋"/>
                <w:b w:val="0"/>
                <w:bCs w:val="0"/>
                <w:color w:val="auto"/>
                <w:sz w:val="24"/>
                <w:szCs w:val="24"/>
              </w:rPr>
              <w:t>投标时不能低于本参数）</w:t>
            </w:r>
            <w:bookmarkEnd w:id="448"/>
            <w:bookmarkEnd w:id="449"/>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监控设备（布控服务中心和展销馆）</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监控摄像头 400万星光级智能警戒摄像头内置麦克风 手机监控高清红外监控。</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4</w:t>
            </w:r>
          </w:p>
        </w:tc>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基础网络建设</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业务服务器</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处理器：≥1颗Intel Xeon E3-1225 v6处理器3.3GHz；内存：16GB 2133 DDR4内存；硬盘：2块1TB 7.2K 3.5寸企业级SATA硬盘，RAID功能：板载6Gb SATA RAID，支持RAID0/1/10/5；网卡：1个Intel千兆网卡；配件：DVD-RW光驱，USB键盘鼠标冷却系统：支持2个非热插拔系统风扇；电源：电源输出功率 250W；端口：8个USB3.0接口（2前6后）,1个串行接口，1组音频接口，1个VGA接口，个DisplayPort接口，1个RJ45网口；服务：原厂商3年保修。</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5</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存储服务器</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产品类别：机架式；产品结构：2U；CPU型号：Xeon Silver 4114；标配CPU数量：1颗；内存类型：DDR4；内存容量：16GB；硬盘接口类型：SAS；标配硬盘容量：2*600GB；质保时间：36个月。</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6</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显示器</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面板类型TN 21.5寸；屏幕比例16:9；最佳分辨率1920×1080；刷新率60Hz；响应时间5ms；点距0.248mm；色数16.7M；亮度200cd/m2；对比度动态对比度：10000000：1；电源内置，100-240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伏交流，50-60hz。</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7</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核心交换器</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网络标准以太网；端口48个10/100/1000 Base-T以太网端口，4个千兆SFP；速度10/100/1000 Mbps；MAC地址表8K；VLAN4K；支持RIP、SVF、iStack堆叠，交换容量：336Gbps/3.36Tbps，包转发率：87Mpps/144Mpps。</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8</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千兆交换器</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网络标准以太网；端口24个10/100/1000 Base-T以太网端口，4个千兆SFP；速度10/100/1000 Mbps；MAC地址表8K；VLAN4k；支持4K个VLAN；支持Guest VLAN、Voice VLANs；支持GVRP协议；支持MUX VLAN功能；支持基于MAC/协议/IP子网/策略/端口的VLAN；支持1：1和N：1 VLAN Mapping功能。</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9</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防火墙</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防火墙并发衔接数 800000，收集吞吐量（Mbps），6 个百兆电口。多治理方法：SNMP；静态图标展现；公有MIB；液晶屏显示；集中治理；治理员权限分级；在线辅助；平安诊断支撑状况检测包过滤，利用层过滤；路由功效：支撑静态路由，动态路由，战略路由；进级性：不成进级至UTM；多管理方式：SNMP；动态图标展示：私有 MIB；液晶屏显示；集中管理；管理员权限分级；在线帮助；安全诊断利用过滤；Web过滤、邮件过滤、文件传输把持；及时监控与日记审计：Syslog日记、NETFLOW日记、主动报表支持VPN。</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10</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机柜</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600*800*1655服务器柜</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11</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UPS</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后备时间：半载：＞11分钟；电池类型：阀控式免维护铅酸蓄电池；输入电压范围：115-300V；输入频率范围：40-60Hz；输出电压范围：220*（1±2%）V；输出频率范围：电池模式：50±0.2%Hz；输出电压波形：正弦波；额定容量：3KVA输出</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12</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机房设施</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包括机房空调、地板、灭火器、交换机等</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13</w:t>
            </w:r>
          </w:p>
        </w:tc>
        <w:tc>
          <w:tcPr>
            <w:tcW w:w="12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创业孵化中心建设</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电脑</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20台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国产品牌i5四核商用办公台式电脑整机27英寸 IPS全高清窄边框屏 定i5-7400/8G/1T+128G固态硬盘</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14</w:t>
            </w:r>
          </w:p>
        </w:tc>
        <w:tc>
          <w:tcPr>
            <w:tcW w:w="126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办公桌+办公椅+储物柜</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20个工位</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办公桌+办公椅+储物柜</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15</w:t>
            </w:r>
          </w:p>
        </w:tc>
        <w:tc>
          <w:tcPr>
            <w:tcW w:w="126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打印机</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打印机A4黑白激光打印复印扫描多功能一体升级 329dw（三合一+双打+有线无线+35页/分钟）</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16</w:t>
            </w:r>
          </w:p>
        </w:tc>
        <w:tc>
          <w:tcPr>
            <w:tcW w:w="12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饮水机</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普通饮水机</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17</w:t>
            </w:r>
          </w:p>
        </w:tc>
        <w:tc>
          <w:tcPr>
            <w:tcW w:w="12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公共服务中心公共会议室</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会议桌椅</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8米会议桌+30把椅子</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18</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投影仪</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投影仪办公商务家用高清会议培训手机投影机电视教学</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19</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办公设施</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1批</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项目建设所需要的各类办公桌椅、文件柜、档案盒等设施</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020展示体验馆</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货架+收银台</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20组</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020展示体验馆农特产品货架、1个收银台</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21</w:t>
            </w:r>
          </w:p>
        </w:tc>
        <w:tc>
          <w:tcPr>
            <w:tcW w:w="12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项目路演室</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音箱</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大型线阵音箱10寸单18寸大功率远程音响婚庆演出专业舞台套装 收纳移动式线阵音箱套装</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22</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话筒</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领夹式无线麦克风 （小蜜蜂） 无线话筒 配件 UTX-M03手持话筒</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23</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电脑</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笔记本电脑（I5-12500H 16G 512G 2.8K）</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24</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桌椅</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20套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可折叠桌子、办公椅</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25</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单反相机</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pStyle w:val="314"/>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rPr>
              <w:t>单反相机</w:t>
            </w:r>
            <w:r>
              <w:rPr>
                <w:rFonts w:hint="eastAsia" w:ascii="仿宋" w:hAnsi="仿宋" w:eastAsia="仿宋" w:cs="仿宋"/>
                <w:b w:val="0"/>
                <w:bCs w:val="0"/>
                <w:color w:val="auto"/>
                <w:sz w:val="24"/>
                <w:szCs w:val="24"/>
                <w:lang w:val="en-US"/>
              </w:rPr>
              <w:t>1</w:t>
            </w:r>
            <w:r>
              <w:rPr>
                <w:rFonts w:hint="eastAsia" w:ascii="仿宋" w:hAnsi="仿宋" w:eastAsia="仿宋" w:cs="仿宋"/>
                <w:b w:val="0"/>
                <w:bCs w:val="0"/>
                <w:color w:val="auto"/>
                <w:sz w:val="24"/>
                <w:szCs w:val="24"/>
              </w:rPr>
              <w:t>台（配备</w:t>
            </w:r>
            <w:r>
              <w:rPr>
                <w:rFonts w:hint="eastAsia" w:ascii="仿宋" w:hAnsi="仿宋" w:eastAsia="仿宋" w:cs="仿宋"/>
                <w:b w:val="0"/>
                <w:bCs w:val="0"/>
                <w:color w:val="auto"/>
                <w:sz w:val="24"/>
                <w:szCs w:val="24"/>
                <w:lang w:val="en-US"/>
              </w:rPr>
              <w:t>24-105mm</w:t>
            </w:r>
            <w:r>
              <w:rPr>
                <w:rFonts w:hint="eastAsia" w:ascii="仿宋" w:hAnsi="仿宋" w:eastAsia="仿宋" w:cs="仿宋"/>
                <w:b w:val="0"/>
                <w:bCs w:val="0"/>
                <w:color w:val="auto"/>
                <w:sz w:val="24"/>
                <w:szCs w:val="24"/>
              </w:rPr>
              <w:t>标准镜头）微距镜头一套</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26</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摄影棚</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摄影棚1组：4种颜色幕布，1个背景架</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27</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摄影辅助设备</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pStyle w:val="314"/>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rPr>
              <w:t>摄影补光灯</w:t>
            </w:r>
            <w:r>
              <w:rPr>
                <w:rFonts w:hint="eastAsia" w:ascii="仿宋" w:hAnsi="仿宋" w:eastAsia="仿宋" w:cs="仿宋"/>
                <w:b w:val="0"/>
                <w:bCs w:val="0"/>
                <w:color w:val="auto"/>
                <w:sz w:val="24"/>
                <w:szCs w:val="24"/>
                <w:lang w:val="en-US"/>
              </w:rPr>
              <w:t xml:space="preserve"> 3</w:t>
            </w:r>
            <w:r>
              <w:rPr>
                <w:rFonts w:hint="eastAsia" w:ascii="仿宋" w:hAnsi="仿宋" w:eastAsia="仿宋" w:cs="仿宋"/>
                <w:b w:val="0"/>
                <w:bCs w:val="0"/>
                <w:color w:val="auto"/>
                <w:sz w:val="24"/>
                <w:szCs w:val="24"/>
              </w:rPr>
              <w:t>个</w:t>
            </w:r>
          </w:p>
          <w:p>
            <w:pPr>
              <w:pStyle w:val="314"/>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rPr>
              <w:t>三脚架含云台</w:t>
            </w:r>
            <w:r>
              <w:rPr>
                <w:rFonts w:hint="eastAsia" w:ascii="仿宋" w:hAnsi="仿宋" w:eastAsia="仿宋" w:cs="仿宋"/>
                <w:b w:val="0"/>
                <w:bCs w:val="0"/>
                <w:color w:val="auto"/>
                <w:sz w:val="24"/>
                <w:szCs w:val="24"/>
                <w:lang w:val="en-US"/>
              </w:rPr>
              <w:t xml:space="preserve"> 1</w:t>
            </w:r>
            <w:r>
              <w:rPr>
                <w:rFonts w:hint="eastAsia" w:ascii="仿宋" w:hAnsi="仿宋" w:eastAsia="仿宋" w:cs="仿宋"/>
                <w:b w:val="0"/>
                <w:bCs w:val="0"/>
                <w:color w:val="auto"/>
                <w:sz w:val="24"/>
                <w:szCs w:val="24"/>
              </w:rPr>
              <w:t>个</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28</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摄影桌</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1张</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摄影桌1张</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29</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三角架</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三脚架 含云台 1套</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30</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反光板</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大型反光板反光屏旗板柔光屏柔光板移动带轮影棚拍摄柔光屏反光支架屏 150*200旗板</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31</w:t>
            </w:r>
          </w:p>
        </w:tc>
        <w:tc>
          <w:tcPr>
            <w:tcW w:w="12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直播间设备</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3间</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3套直播设备（直播补光灯3套、直播声卡3套、美颜环形灯及手机直播摄影支架3个、直播桌椅3套）</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32</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档案室</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文件柜</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20个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一个中心，五个体系每个版块一个文件柜</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33</w:t>
            </w:r>
          </w:p>
        </w:tc>
        <w:tc>
          <w:tcPr>
            <w:tcW w:w="12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多功能培训室</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培训桌</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25组</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现代简约桌子（一组座2人）</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34</w:t>
            </w:r>
          </w:p>
        </w:tc>
        <w:tc>
          <w:tcPr>
            <w:tcW w:w="126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椅子</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50把</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简约现代椅子</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35</w:t>
            </w:r>
          </w:p>
        </w:tc>
        <w:tc>
          <w:tcPr>
            <w:tcW w:w="126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电脑</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25台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四核商用办公台式电脑整机 27英寸 IPS全高清 窄边框屏 定制 1T+128G固态硬盘</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36</w:t>
            </w:r>
          </w:p>
        </w:tc>
        <w:tc>
          <w:tcPr>
            <w:tcW w:w="126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投影仪</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 xml:space="preserve">投影仪办公商务家用高清会议培训手机投影机电视教学 </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37</w:t>
            </w:r>
          </w:p>
        </w:tc>
        <w:tc>
          <w:tcPr>
            <w:tcW w:w="12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主席台长条桌椅</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1批</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木制简约长条卓和皮质椅子1批</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38</w:t>
            </w:r>
          </w:p>
        </w:tc>
        <w:tc>
          <w:tcPr>
            <w:tcW w:w="12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茶吧间</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饮水机</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普通饮水机</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39</w:t>
            </w:r>
          </w:p>
        </w:tc>
        <w:tc>
          <w:tcPr>
            <w:tcW w:w="12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lang w:val="en-US" w:eastAsia="zh-CN"/>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圆桌</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3套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木制圆桌椅3套</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40</w:t>
            </w:r>
          </w:p>
        </w:tc>
        <w:tc>
          <w:tcPr>
            <w:tcW w:w="12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中心管理办公室</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饮水机</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普通饮水机</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41</w:t>
            </w:r>
          </w:p>
        </w:tc>
        <w:tc>
          <w:tcPr>
            <w:tcW w:w="126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lang w:val="en-US" w:eastAsia="zh-CN"/>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电脑</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1台</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国产品牌i5四核商用办公台式电脑整机27英寸 IPS全高清窄边框屏 定i5-7400/8G/1T+128G固态硬盘</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42</w:t>
            </w:r>
          </w:p>
        </w:tc>
        <w:tc>
          <w:tcPr>
            <w:tcW w:w="12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4"/>
                <w:szCs w:val="24"/>
                <w:lang w:val="en-US" w:eastAsia="zh-CN"/>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沙发、茶几</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现代简约皮艺沙发和茶几</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43</w:t>
            </w:r>
          </w:p>
        </w:tc>
        <w:tc>
          <w:tcPr>
            <w:tcW w:w="28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花卉</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（根据现场布局）</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大小型花卉</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44</w:t>
            </w:r>
          </w:p>
        </w:tc>
        <w:tc>
          <w:tcPr>
            <w:tcW w:w="28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公共服务中心门头、室内文化墙装饰</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1套</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公共服务中心门头、文化墙、各项管理制度等。</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45</w:t>
            </w:r>
          </w:p>
        </w:tc>
        <w:tc>
          <w:tcPr>
            <w:tcW w:w="28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前台</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1个</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简约现代迎宾台</w:t>
            </w:r>
          </w:p>
        </w:tc>
        <w:tc>
          <w:tcPr>
            <w:tcW w:w="8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6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6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kern w:val="0"/>
                <w:sz w:val="24"/>
                <w:szCs w:val="24"/>
                <w:lang w:val="en-US" w:eastAsia="zh-CN" w:bidi="ar"/>
              </w:rPr>
              <w:t>注：没有给定规格的项，供应商根据自行现场勘察后，自行设计后自主报价。</w:t>
            </w:r>
          </w:p>
        </w:tc>
      </w:tr>
    </w:tbl>
    <w:p>
      <w:pPr>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lang w:val="en-US" w:eastAsia="zh-CN" w:bidi="ar-SA"/>
        </w:rPr>
        <w:t>3.项目预算</w:t>
      </w:r>
    </w:p>
    <w:tbl>
      <w:tblPr>
        <w:tblStyle w:val="5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062"/>
        <w:gridCol w:w="2975"/>
        <w:gridCol w:w="1246"/>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33"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项目名称</w:t>
            </w:r>
          </w:p>
        </w:tc>
        <w:tc>
          <w:tcPr>
            <w:tcW w:w="2062" w:type="dxa"/>
            <w:noWrap w:val="0"/>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项目</w:t>
            </w:r>
            <w:r>
              <w:rPr>
                <w:rFonts w:hint="eastAsia" w:ascii="仿宋" w:hAnsi="仿宋" w:eastAsia="仿宋" w:cs="仿宋"/>
                <w:b w:val="0"/>
                <w:bCs w:val="0"/>
                <w:sz w:val="24"/>
                <w:szCs w:val="24"/>
                <w:lang w:val="en-US" w:eastAsia="zh-CN"/>
              </w:rPr>
              <w:t>内容</w:t>
            </w:r>
          </w:p>
        </w:tc>
        <w:tc>
          <w:tcPr>
            <w:tcW w:w="2975"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绩效目标</w:t>
            </w:r>
          </w:p>
        </w:tc>
        <w:tc>
          <w:tcPr>
            <w:tcW w:w="1246"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预算费用</w:t>
            </w:r>
          </w:p>
        </w:tc>
        <w:tc>
          <w:tcPr>
            <w:tcW w:w="1023"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33"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耀州区电商公共服务中心运营服务费</w:t>
            </w:r>
          </w:p>
        </w:tc>
        <w:tc>
          <w:tcPr>
            <w:tcW w:w="2062"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完成项目建设要求所有内容</w:t>
            </w:r>
          </w:p>
        </w:tc>
        <w:tc>
          <w:tcPr>
            <w:tcW w:w="2975" w:type="dxa"/>
            <w:noWrap w:val="0"/>
            <w:vAlign w:val="center"/>
          </w:tcPr>
          <w:p>
            <w:pPr>
              <w:jc w:val="both"/>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rPr>
              <w:t>孵化100万元以上企业</w:t>
            </w:r>
            <w:r>
              <w:rPr>
                <w:rFonts w:hint="eastAsia" w:ascii="仿宋" w:hAnsi="仿宋" w:eastAsia="仿宋" w:cs="仿宋"/>
                <w:b w:val="0"/>
                <w:bCs w:val="0"/>
                <w:sz w:val="24"/>
                <w:szCs w:val="24"/>
                <w:lang w:val="en-US" w:eastAsia="zh-CN"/>
              </w:rPr>
              <w:t>不少于5</w:t>
            </w:r>
            <w:r>
              <w:rPr>
                <w:rFonts w:hint="eastAsia" w:ascii="仿宋" w:hAnsi="仿宋" w:eastAsia="仿宋" w:cs="仿宋"/>
                <w:b w:val="0"/>
                <w:bCs w:val="0"/>
                <w:sz w:val="24"/>
                <w:szCs w:val="24"/>
                <w:lang w:val="en-US"/>
              </w:rPr>
              <w:t>家</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rPr>
              <w:t>利用自有电商销售平台或渠道，上架耀州区展销馆产品不少于20</w:t>
            </w:r>
            <w:r>
              <w:rPr>
                <w:rFonts w:hint="eastAsia" w:ascii="仿宋" w:hAnsi="仿宋" w:eastAsia="仿宋" w:cs="仿宋"/>
                <w:b w:val="0"/>
                <w:bCs w:val="0"/>
                <w:sz w:val="24"/>
                <w:szCs w:val="24"/>
                <w:lang w:val="en-US" w:eastAsia="zh-CN"/>
              </w:rPr>
              <w:t>个</w:t>
            </w:r>
            <w:r>
              <w:rPr>
                <w:rFonts w:hint="eastAsia" w:ascii="仿宋" w:hAnsi="仿宋" w:eastAsia="仿宋" w:cs="仿宋"/>
                <w:b w:val="0"/>
                <w:bCs w:val="0"/>
                <w:sz w:val="24"/>
                <w:szCs w:val="24"/>
                <w:lang w:val="en-US"/>
              </w:rPr>
              <w:t>品类，线上线下每年带动销售不少于</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lang w:val="en-US"/>
              </w:rPr>
              <w:t>0万元。</w:t>
            </w:r>
          </w:p>
        </w:tc>
        <w:tc>
          <w:tcPr>
            <w:tcW w:w="1246"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80万</w:t>
            </w:r>
          </w:p>
        </w:tc>
        <w:tc>
          <w:tcPr>
            <w:tcW w:w="1023"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服务期2年，维护期1年。年均40万元。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1233" w:type="dxa"/>
            <w:noWrap w:val="0"/>
            <w:vAlign w:val="center"/>
          </w:tcPr>
          <w:p>
            <w:pPr>
              <w:jc w:val="both"/>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耀州区电商公共服务中心改造提升</w:t>
            </w:r>
          </w:p>
        </w:tc>
        <w:tc>
          <w:tcPr>
            <w:tcW w:w="2062" w:type="dxa"/>
            <w:noWrap w:val="0"/>
            <w:vAlign w:val="center"/>
          </w:tcPr>
          <w:p>
            <w:pPr>
              <w:numPr>
                <w:ilvl w:val="0"/>
                <w:numId w:val="0"/>
              </w:num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耀州区电商公共服务中心的形象展示区、创业孵化区、摄影美工区、本地电子商务企业孵化等区域进行改造提升。</w:t>
            </w:r>
          </w:p>
        </w:tc>
        <w:tc>
          <w:tcPr>
            <w:tcW w:w="2975" w:type="dxa"/>
            <w:noWrap w:val="0"/>
            <w:vAlign w:val="center"/>
          </w:tcPr>
          <w:p>
            <w:pPr>
              <w:jc w:val="both"/>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升级耀州区电子商务公共服务中心1处，形象展示区、创业孵化区、摄影美工区、本地电子商务企业孵化等功能。</w:t>
            </w:r>
          </w:p>
        </w:tc>
        <w:tc>
          <w:tcPr>
            <w:tcW w:w="1246"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68</w:t>
            </w:r>
            <w:r>
              <w:rPr>
                <w:rFonts w:hint="eastAsia" w:ascii="仿宋" w:hAnsi="仿宋" w:eastAsia="仿宋" w:cs="仿宋"/>
                <w:b w:val="0"/>
                <w:bCs w:val="0"/>
                <w:sz w:val="24"/>
                <w:szCs w:val="24"/>
              </w:rPr>
              <w:t>万</w:t>
            </w:r>
          </w:p>
        </w:tc>
        <w:tc>
          <w:tcPr>
            <w:tcW w:w="1023"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90个天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233" w:type="dxa"/>
            <w:noWrap w:val="0"/>
            <w:vAlign w:val="center"/>
          </w:tcPr>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耀州区电商公共服务中心固定资产增设</w:t>
            </w:r>
          </w:p>
        </w:tc>
        <w:tc>
          <w:tcPr>
            <w:tcW w:w="2062" w:type="dxa"/>
            <w:noWrap w:val="0"/>
            <w:vAlign w:val="center"/>
          </w:tcPr>
          <w:p>
            <w:pPr>
              <w:numPr>
                <w:ilvl w:val="0"/>
                <w:numId w:val="0"/>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根据耀州区电子商务公共服务中心各功能区增设的设施设备。</w:t>
            </w:r>
          </w:p>
        </w:tc>
        <w:tc>
          <w:tcPr>
            <w:tcW w:w="2975" w:type="dxa"/>
            <w:noWrap w:val="0"/>
            <w:vAlign w:val="center"/>
          </w:tcPr>
          <w:p>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根据耀州区电子商务公共服务中心各功能区增设的设施设备。</w:t>
            </w:r>
          </w:p>
        </w:tc>
        <w:tc>
          <w:tcPr>
            <w:tcW w:w="1246"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50万</w:t>
            </w:r>
          </w:p>
        </w:tc>
        <w:tc>
          <w:tcPr>
            <w:tcW w:w="1023" w:type="dxa"/>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90个天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95" w:type="dxa"/>
            <w:gridSpan w:val="2"/>
            <w:noWrap w:val="0"/>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总价</w:t>
            </w:r>
          </w:p>
        </w:tc>
        <w:tc>
          <w:tcPr>
            <w:tcW w:w="2975" w:type="dxa"/>
            <w:noWrap w:val="0"/>
            <w:vAlign w:val="center"/>
          </w:tcPr>
          <w:p>
            <w:pPr>
              <w:jc w:val="center"/>
              <w:rPr>
                <w:rFonts w:hint="eastAsia" w:ascii="仿宋" w:hAnsi="仿宋" w:eastAsia="仿宋" w:cs="仿宋"/>
                <w:b w:val="0"/>
                <w:bCs w:val="0"/>
                <w:sz w:val="24"/>
                <w:szCs w:val="24"/>
                <w:lang w:val="en-US" w:eastAsia="zh-CN"/>
              </w:rPr>
            </w:pPr>
          </w:p>
        </w:tc>
        <w:tc>
          <w:tcPr>
            <w:tcW w:w="1246" w:type="dxa"/>
            <w:noWrap w:val="0"/>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198万</w:t>
            </w:r>
          </w:p>
        </w:tc>
        <w:tc>
          <w:tcPr>
            <w:tcW w:w="1023" w:type="dxa"/>
            <w:noWrap w:val="0"/>
            <w:vAlign w:val="center"/>
          </w:tcPr>
          <w:p>
            <w:pPr>
              <w:jc w:val="center"/>
              <w:rPr>
                <w:rFonts w:hint="eastAsia" w:ascii="仿宋" w:hAnsi="仿宋" w:eastAsia="仿宋" w:cs="仿宋"/>
                <w:b w:val="0"/>
                <w:bCs w:val="0"/>
                <w:sz w:val="24"/>
                <w:szCs w:val="24"/>
              </w:rPr>
            </w:pPr>
          </w:p>
        </w:tc>
      </w:tr>
    </w:tbl>
    <w:p>
      <w:pPr>
        <w:rPr>
          <w:rFonts w:hint="default"/>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三、商务要求：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款项结算</w:t>
      </w:r>
    </w:p>
    <w:p>
      <w:pPr>
        <w:keepNext w:val="0"/>
        <w:keepLines w:val="0"/>
        <w:pageBreakBefore w:val="0"/>
        <w:widowControl w:val="0"/>
        <w:tabs>
          <w:tab w:val="left" w:pos="735"/>
        </w:tab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1、付款比例：</w:t>
      </w:r>
    </w:p>
    <w:p>
      <w:pPr>
        <w:keepNext w:val="0"/>
        <w:keepLines w:val="0"/>
        <w:pageBreakBefore w:val="0"/>
        <w:widowControl w:val="0"/>
        <w:tabs>
          <w:tab w:val="left" w:pos="735"/>
        </w:tab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完成项目总进度30%</w:t>
      </w:r>
      <w:r>
        <w:rPr>
          <w:rFonts w:hint="eastAsia" w:ascii="仿宋_GB2312" w:hAnsi="仿宋_GB2312" w:eastAsia="仿宋_GB2312" w:cs="仿宋_GB2312"/>
          <w:sz w:val="24"/>
          <w:szCs w:val="24"/>
        </w:rPr>
        <w:t>，支付合同总价的</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w:t>
      </w:r>
    </w:p>
    <w:p>
      <w:pPr>
        <w:keepNext w:val="0"/>
        <w:keepLines w:val="0"/>
        <w:pageBreakBefore w:val="0"/>
        <w:widowControl w:val="0"/>
        <w:tabs>
          <w:tab w:val="left" w:pos="735"/>
        </w:tab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正常运营并进行</w:t>
      </w:r>
      <w:r>
        <w:rPr>
          <w:rFonts w:hint="eastAsia" w:ascii="仿宋_GB2312" w:hAnsi="仿宋_GB2312" w:eastAsia="仿宋_GB2312" w:cs="仿宋_GB2312"/>
          <w:sz w:val="24"/>
          <w:szCs w:val="24"/>
          <w:lang w:val="en-US" w:eastAsia="zh-CN"/>
        </w:rPr>
        <w:t>验收合格</w:t>
      </w:r>
      <w:r>
        <w:rPr>
          <w:rFonts w:hint="eastAsia" w:ascii="仿宋_GB2312" w:hAnsi="仿宋_GB2312" w:eastAsia="仿宋_GB2312" w:cs="仿宋_GB2312"/>
          <w:sz w:val="24"/>
          <w:szCs w:val="24"/>
          <w:lang w:eastAsia="zh-CN"/>
        </w:rPr>
        <w:t>后支付合同总价的</w:t>
      </w:r>
      <w:r>
        <w:rPr>
          <w:rFonts w:hint="eastAsia" w:ascii="仿宋_GB2312" w:hAnsi="仿宋_GB2312" w:eastAsia="仿宋_GB2312" w:cs="仿宋_GB2312"/>
          <w:sz w:val="24"/>
          <w:szCs w:val="24"/>
          <w:lang w:val="en-US" w:eastAsia="zh-CN"/>
        </w:rPr>
        <w:t>50%;</w:t>
      </w:r>
    </w:p>
    <w:p>
      <w:pPr>
        <w:keepNext w:val="0"/>
        <w:keepLines w:val="0"/>
        <w:pageBreakBefore w:val="0"/>
        <w:widowControl w:val="0"/>
        <w:tabs>
          <w:tab w:val="left" w:pos="735"/>
        </w:tab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3、留合同总价</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%的尾款，在</w:t>
      </w:r>
      <w:r>
        <w:rPr>
          <w:rFonts w:hint="eastAsia" w:ascii="仿宋_GB2312" w:hAnsi="仿宋_GB2312" w:eastAsia="仿宋_GB2312" w:cs="仿宋_GB2312"/>
          <w:sz w:val="24"/>
          <w:szCs w:val="24"/>
          <w:lang w:eastAsia="zh-CN"/>
        </w:rPr>
        <w:t>服务期满</w:t>
      </w:r>
      <w:r>
        <w:rPr>
          <w:rFonts w:hint="eastAsia" w:ascii="仿宋_GB2312" w:hAnsi="仿宋_GB2312" w:eastAsia="仿宋_GB2312" w:cs="仿宋_GB2312"/>
          <w:sz w:val="24"/>
          <w:szCs w:val="24"/>
        </w:rPr>
        <w:t>后一次付清。</w:t>
      </w:r>
    </w:p>
    <w:p>
      <w:pPr>
        <w:keepNext w:val="0"/>
        <w:keepLines w:val="0"/>
        <w:pageBreakBefore w:val="0"/>
        <w:widowControl w:val="0"/>
        <w:tabs>
          <w:tab w:val="left" w:pos="735"/>
        </w:tabs>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、结算方式：银行转账。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、结算单位：由</w:t>
      </w:r>
      <w:r>
        <w:rPr>
          <w:rFonts w:hint="eastAsia" w:ascii="仿宋_GB2312" w:hAnsi="仿宋_GB2312" w:eastAsia="仿宋_GB2312" w:cs="仿宋_GB2312"/>
          <w:sz w:val="24"/>
          <w:szCs w:val="24"/>
          <w:u w:val="single"/>
        </w:rPr>
        <w:t>采购人</w:t>
      </w:r>
      <w:r>
        <w:rPr>
          <w:rFonts w:hint="eastAsia" w:ascii="仿宋_GB2312" w:hAnsi="仿宋_GB2312" w:eastAsia="仿宋_GB2312" w:cs="仿宋_GB2312"/>
          <w:sz w:val="24"/>
          <w:szCs w:val="24"/>
        </w:rPr>
        <w:t>负责结算，乙方开具合同总价数的全额发票交采购人。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sz w:val="24"/>
          <w:szCs w:val="24"/>
        </w:rPr>
        <w:t>履行期限、地点及方式：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2.1</w:t>
      </w:r>
      <w:r>
        <w:rPr>
          <w:rFonts w:hint="eastAsia" w:ascii="仿宋_GB2312" w:hAnsi="仿宋_GB2312" w:eastAsia="仿宋_GB2312" w:cs="仿宋_GB2312"/>
          <w:kern w:val="0"/>
          <w:sz w:val="24"/>
          <w:szCs w:val="24"/>
        </w:rPr>
        <w:t>履行期限：服务期2年，维护期1年</w:t>
      </w:r>
      <w:r>
        <w:rPr>
          <w:rFonts w:hint="eastAsia" w:ascii="仿宋_GB2312" w:hAnsi="仿宋_GB2312" w:eastAsia="仿宋_GB2312" w:cs="仿宋_GB2312"/>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地点：采购人指定地点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方式：采购人指定方式。</w:t>
      </w:r>
    </w:p>
    <w:p>
      <w:pPr>
        <w:pStyle w:val="48"/>
        <w:spacing w:line="360" w:lineRule="auto"/>
        <w:rPr>
          <w:rStyle w:val="205"/>
          <w:rFonts w:hint="eastAsia" w:ascii="宋体" w:hAnsi="宋体" w:eastAsia="宋体"/>
          <w:color w:val="auto"/>
          <w:sz w:val="36"/>
          <w:szCs w:val="36"/>
          <w:highlight w:val="none"/>
        </w:rPr>
      </w:pPr>
    </w:p>
    <w:p>
      <w:pPr>
        <w:pStyle w:val="48"/>
        <w:spacing w:line="360" w:lineRule="auto"/>
        <w:rPr>
          <w:rFonts w:asciiTheme="minorEastAsia" w:hAnsiTheme="minorEastAsia" w:eastAsiaTheme="minorEastAsia"/>
          <w:color w:val="auto"/>
          <w:highlight w:val="none"/>
        </w:rPr>
      </w:pPr>
      <w:r>
        <w:rPr>
          <w:rStyle w:val="205"/>
          <w:rFonts w:hint="eastAsia" w:ascii="宋体" w:hAnsi="宋体" w:eastAsia="宋体"/>
          <w:color w:val="auto"/>
          <w:sz w:val="36"/>
          <w:szCs w:val="36"/>
          <w:highlight w:val="none"/>
        </w:rPr>
        <w:t>第六章  磋商响应文件格式</w:t>
      </w:r>
      <w:bookmarkEnd w:id="442"/>
      <w:bookmarkEnd w:id="443"/>
      <w:bookmarkEnd w:id="444"/>
      <w:bookmarkEnd w:id="445"/>
      <w:bookmarkEnd w:id="446"/>
      <w:bookmarkEnd w:id="447"/>
      <w:r>
        <w:rPr>
          <w:rFonts w:hint="eastAsia" w:asciiTheme="minorEastAsia" w:hAnsiTheme="minorEastAsia" w:eastAsiaTheme="minorEastAsia"/>
          <w:color w:val="auto"/>
          <w:highlight w:val="none"/>
        </w:rPr>
        <w:t xml:space="preserve"> </w:t>
      </w:r>
    </w:p>
    <w:p>
      <w:pPr>
        <w:pStyle w:val="48"/>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w:t>
      </w:r>
    </w:p>
    <w:p>
      <w:pPr>
        <w:pStyle w:val="160"/>
        <w:ind w:firstLine="6586" w:firstLineChars="2050"/>
        <w:rPr>
          <w:bCs/>
          <w:color w:val="auto"/>
          <w:highlight w:val="none"/>
          <w:lang w:val="zh-CN"/>
        </w:rPr>
      </w:pPr>
      <w:bookmarkStart w:id="450" w:name="_Toc62196433"/>
      <w:r>
        <w:rPr>
          <w:rFonts w:hint="eastAsia"/>
          <w:color w:val="auto"/>
          <w:highlight w:val="none"/>
          <w:lang w:val="zh-CN"/>
        </w:rPr>
        <w:t>正本/副本</w:t>
      </w:r>
      <w:bookmarkEnd w:id="450"/>
    </w:p>
    <w:p>
      <w:pP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采购项目编号：</w:t>
      </w:r>
      <w:r>
        <w:rPr>
          <w:rFonts w:hint="eastAsia" w:ascii="仿宋_GB2312" w:hAnsi="仿宋_GB2312" w:eastAsia="仿宋_GB2312" w:cs="仿宋_GB2312"/>
          <w:b/>
          <w:bCs/>
          <w:color w:val="auto"/>
          <w:sz w:val="30"/>
          <w:szCs w:val="30"/>
          <w:highlight w:val="none"/>
          <w:lang w:val="en-US" w:eastAsia="zh-CN"/>
        </w:rPr>
        <w:t>XHZB2022-CS-016/001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autoSpaceDE w:val="0"/>
        <w:autoSpaceDN w:val="0"/>
        <w:adjustRightInd w:val="0"/>
        <w:snapToGrid w:val="0"/>
        <w:spacing w:line="360" w:lineRule="auto"/>
        <w:jc w:val="center"/>
        <w:rPr>
          <w:rFonts w:ascii="仿宋_GB2312" w:hAnsi="仿宋_GB2312" w:eastAsia="仿宋_GB2312" w:cs="仿宋_GB2312"/>
          <w:b/>
          <w:bCs/>
          <w:color w:val="auto"/>
          <w:sz w:val="44"/>
          <w:szCs w:val="44"/>
          <w:highlight w:val="none"/>
        </w:rPr>
      </w:pPr>
    </w:p>
    <w:p>
      <w:pPr>
        <w:tabs>
          <w:tab w:val="left" w:pos="5670"/>
        </w:tabs>
        <w:autoSpaceDE w:val="0"/>
        <w:autoSpaceDN w:val="0"/>
        <w:adjustRightInd w:val="0"/>
        <w:snapToGrid w:val="0"/>
        <w:spacing w:line="360" w:lineRule="auto"/>
        <w:jc w:val="center"/>
        <w:rPr>
          <w:lang w:val="zh-CN"/>
        </w:rPr>
      </w:pPr>
      <w:r>
        <w:rPr>
          <w:rFonts w:hint="eastAsia" w:asciiTheme="majorEastAsia" w:hAnsiTheme="majorEastAsia" w:eastAsiaTheme="majorEastAsia" w:cstheme="majorEastAsia"/>
          <w:b/>
          <w:bCs/>
          <w:color w:val="auto"/>
          <w:sz w:val="44"/>
          <w:szCs w:val="44"/>
          <w:highlight w:val="none"/>
          <w:lang w:val="en-US" w:eastAsia="zh-CN"/>
        </w:rPr>
        <w:t>耀州区电子商务进农村综合示范公共服务中心升级改造与运营项目</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pStyle w:val="197"/>
        <w:ind w:firstLine="2891" w:firstLineChars="120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bCs/>
          <w:color w:val="auto"/>
          <w:highlight w:val="none"/>
          <w:lang w:val="zh-CN"/>
        </w:rPr>
        <w:t xml:space="preserve"> </w:t>
      </w:r>
      <w:r>
        <w:rPr>
          <w:rFonts w:hint="eastAsia" w:ascii="仿宋_GB2312" w:hAnsi="仿宋_GB2312" w:eastAsia="仿宋_GB2312" w:cs="仿宋_GB2312"/>
          <w:b/>
          <w:color w:val="auto"/>
          <w:sz w:val="30"/>
          <w:szCs w:val="30"/>
          <w:highlight w:val="none"/>
        </w:rPr>
        <w:t>（</w:t>
      </w:r>
      <w:r>
        <w:rPr>
          <w:rFonts w:hint="eastAsia"/>
          <w:b/>
          <w:color w:val="auto"/>
          <w:sz w:val="30"/>
          <w:szCs w:val="30"/>
          <w:highlight w:val="none"/>
        </w:rPr>
        <w:t>资格证明文件</w:t>
      </w:r>
      <w:r>
        <w:rPr>
          <w:rFonts w:hint="eastAsia" w:ascii="仿宋_GB2312" w:hAnsi="仿宋_GB2312" w:eastAsia="仿宋_GB2312" w:cs="仿宋_GB2312"/>
          <w:b/>
          <w:color w:val="auto"/>
          <w:sz w:val="30"/>
          <w:szCs w:val="30"/>
          <w:highlight w:val="none"/>
        </w:rPr>
        <w:t>）</w:t>
      </w:r>
    </w:p>
    <w:p>
      <w:pPr>
        <w:rPr>
          <w:color w:val="auto"/>
          <w:highlight w:val="none"/>
        </w:rPr>
      </w:pPr>
    </w:p>
    <w:p>
      <w:pPr>
        <w:pStyle w:val="23"/>
        <w:rPr>
          <w:color w:val="auto"/>
          <w:highlight w:val="none"/>
        </w:rPr>
      </w:pPr>
    </w:p>
    <w:p>
      <w:pPr>
        <w:pStyle w:val="23"/>
        <w:rPr>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928" w:firstLineChars="600"/>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r>
        <w:rPr>
          <w:rFonts w:hint="eastAsia" w:ascii="仿宋_GB2312" w:hAnsi="仿宋_GB2312" w:eastAsia="仿宋_GB2312" w:cs="仿宋_GB2312"/>
          <w:b/>
          <w:bCs/>
          <w:color w:val="auto"/>
          <w:sz w:val="32"/>
          <w:szCs w:val="32"/>
          <w:highlight w:val="none"/>
          <w:u w:val="single"/>
          <w:lang w:val="zh-CN"/>
        </w:rPr>
        <w:t xml:space="preserve">                  </w:t>
      </w:r>
      <w:r>
        <w:rPr>
          <w:rFonts w:hint="eastAsia" w:ascii="仿宋_GB2312" w:hAnsi="仿宋_GB2312" w:eastAsia="仿宋_GB2312" w:cs="仿宋_GB2312"/>
          <w:b/>
          <w:bCs/>
          <w:color w:val="auto"/>
          <w:sz w:val="32"/>
          <w:szCs w:val="32"/>
          <w:highlight w:val="none"/>
          <w:u w:val="single"/>
        </w:rPr>
        <w:t xml:space="preserve">    </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928" w:firstLineChars="6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lang w:val="zh-CN"/>
        </w:rPr>
        <w:t>间：</w:t>
      </w:r>
      <w:r>
        <w:rPr>
          <w:rFonts w:hint="eastAsia" w:ascii="仿宋_GB2312" w:hAnsi="仿宋_GB2312" w:eastAsia="仿宋_GB2312" w:cs="仿宋_GB2312"/>
          <w:b/>
          <w:bCs/>
          <w:color w:val="auto"/>
          <w:sz w:val="32"/>
          <w:szCs w:val="32"/>
          <w:highlight w:val="none"/>
          <w:u w:val="single"/>
        </w:rPr>
        <w:t xml:space="preserve">                      </w:t>
      </w:r>
    </w:p>
    <w:p>
      <w:pPr>
        <w:pStyle w:val="23"/>
        <w:rPr>
          <w:color w:val="auto"/>
          <w:highlight w:val="none"/>
        </w:rPr>
      </w:pPr>
      <w:r>
        <w:rPr>
          <w:color w:val="auto"/>
          <w:highlight w:val="none"/>
        </w:rPr>
        <w:br w:type="page"/>
      </w:r>
    </w:p>
    <w:p>
      <w:pPr>
        <w:pStyle w:val="197"/>
        <w:ind w:firstLine="0"/>
        <w:jc w:val="center"/>
        <w:rPr>
          <w:b/>
          <w:color w:val="auto"/>
          <w:sz w:val="32"/>
          <w:szCs w:val="32"/>
          <w:highlight w:val="none"/>
        </w:rPr>
      </w:pPr>
      <w:r>
        <w:rPr>
          <w:rFonts w:hint="eastAsia"/>
          <w:b/>
          <w:color w:val="auto"/>
          <w:sz w:val="32"/>
          <w:szCs w:val="32"/>
          <w:highlight w:val="none"/>
        </w:rPr>
        <w:t>第一部分  身份证明文件</w:t>
      </w:r>
    </w:p>
    <w:p>
      <w:pPr>
        <w:spacing w:after="120"/>
        <w:rPr>
          <w:rFonts w:ascii="仿宋_GB2312" w:hAnsi="仿宋_GB2312" w:eastAsia="仿宋_GB2312" w:cs="仿宋_GB2312"/>
          <w:color w:val="auto"/>
          <w:highlight w:val="none"/>
        </w:rPr>
      </w:pPr>
    </w:p>
    <w:p>
      <w:pPr>
        <w:widowControl/>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zh-CN"/>
        </w:rPr>
        <w:t>1、法定代表人授权书</w:t>
      </w:r>
    </w:p>
    <w:p>
      <w:pPr>
        <w:autoSpaceDE w:val="0"/>
        <w:autoSpaceDN w:val="0"/>
        <w:adjustRightInd w:val="0"/>
        <w:spacing w:line="348" w:lineRule="auto"/>
        <w:ind w:firstLine="400"/>
        <w:rPr>
          <w:rFonts w:ascii="仿宋_GB2312" w:hAnsi="仿宋_GB2312" w:eastAsia="仿宋_GB2312" w:cs="仿宋_GB2312"/>
          <w:b/>
          <w:bCs/>
          <w:color w:val="auto"/>
          <w:sz w:val="20"/>
          <w:highlight w:val="none"/>
        </w:rPr>
      </w:pPr>
    </w:p>
    <w:p>
      <w:pPr>
        <w:autoSpaceDE w:val="0"/>
        <w:autoSpaceDN w:val="0"/>
        <w:adjustRightInd w:val="0"/>
        <w:spacing w:line="34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陕西星火工程管理有限公司：</w:t>
      </w:r>
    </w:p>
    <w:p>
      <w:pPr>
        <w:autoSpaceDE w:val="0"/>
        <w:autoSpaceDN w:val="0"/>
        <w:adjustRightInd w:val="0"/>
        <w:spacing w:line="348" w:lineRule="auto"/>
        <w:ind w:firstLine="6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注册于</w:t>
      </w:r>
      <w:r>
        <w:rPr>
          <w:rFonts w:hint="eastAsia" w:ascii="仿宋_GB2312" w:hAnsi="仿宋_GB2312" w:eastAsia="仿宋_GB2312" w:cs="仿宋_GB2312"/>
          <w:color w:val="auto"/>
          <w:sz w:val="24"/>
          <w:highlight w:val="none"/>
          <w:u w:val="single"/>
          <w:lang w:val="zh-CN"/>
        </w:rPr>
        <w:t>（工商行政管理局名称）</w:t>
      </w:r>
      <w:r>
        <w:rPr>
          <w:rFonts w:hint="eastAsia" w:ascii="仿宋_GB2312" w:hAnsi="仿宋_GB2312" w:eastAsia="仿宋_GB2312" w:cs="仿宋_GB2312"/>
          <w:color w:val="auto"/>
          <w:sz w:val="24"/>
          <w:highlight w:val="none"/>
          <w:lang w:val="zh-CN"/>
        </w:rPr>
        <w:t>之</w:t>
      </w:r>
      <w:r>
        <w:rPr>
          <w:rFonts w:hint="eastAsia" w:ascii="仿宋_GB2312" w:hAnsi="仿宋_GB2312" w:eastAsia="仿宋_GB2312" w:cs="仿宋_GB2312"/>
          <w:color w:val="auto"/>
          <w:sz w:val="24"/>
          <w:highlight w:val="none"/>
          <w:u w:val="single"/>
          <w:lang w:val="zh-CN"/>
        </w:rPr>
        <w:t>（供应商全称）</w:t>
      </w:r>
      <w:r>
        <w:rPr>
          <w:rFonts w:hint="eastAsia" w:ascii="仿宋_GB2312" w:hAnsi="仿宋_GB2312" w:eastAsia="仿宋_GB2312" w:cs="仿宋_GB2312"/>
          <w:color w:val="auto"/>
          <w:sz w:val="24"/>
          <w:highlight w:val="none"/>
          <w:lang w:val="zh-CN"/>
        </w:rPr>
        <w:t>法人代表</w:t>
      </w:r>
      <w:r>
        <w:rPr>
          <w:rFonts w:hint="eastAsia" w:ascii="仿宋_GB2312" w:hAnsi="仿宋_GB2312" w:eastAsia="仿宋_GB2312" w:cs="仿宋_GB2312"/>
          <w:color w:val="auto"/>
          <w:sz w:val="24"/>
          <w:highlight w:val="none"/>
          <w:u w:val="single"/>
          <w:lang w:val="zh-CN"/>
        </w:rPr>
        <w:t>（姓名、职务）</w:t>
      </w:r>
      <w:r>
        <w:rPr>
          <w:rFonts w:hint="eastAsia" w:ascii="仿宋_GB2312" w:hAnsi="仿宋_GB2312" w:eastAsia="仿宋_GB2312" w:cs="仿宋_GB2312"/>
          <w:color w:val="auto"/>
          <w:sz w:val="24"/>
          <w:highlight w:val="none"/>
          <w:lang w:val="zh-CN"/>
        </w:rPr>
        <w:t>授权</w:t>
      </w:r>
      <w:r>
        <w:rPr>
          <w:rFonts w:hint="eastAsia" w:ascii="仿宋_GB2312" w:hAnsi="仿宋_GB2312" w:eastAsia="仿宋_GB2312" w:cs="仿宋_GB2312"/>
          <w:color w:val="auto"/>
          <w:sz w:val="24"/>
          <w:highlight w:val="none"/>
          <w:u w:val="single"/>
          <w:lang w:val="zh-CN"/>
        </w:rPr>
        <w:t>（被授权人姓名、职务）</w:t>
      </w:r>
      <w:r>
        <w:rPr>
          <w:rFonts w:hint="eastAsia" w:ascii="仿宋_GB2312" w:hAnsi="仿宋_GB2312" w:eastAsia="仿宋_GB2312" w:cs="仿宋_GB2312"/>
          <w:color w:val="auto"/>
          <w:sz w:val="24"/>
          <w:highlight w:val="none"/>
          <w:lang w:val="zh-CN"/>
        </w:rPr>
        <w:t>为本公司的合法代理人，就</w:t>
      </w:r>
      <w:r>
        <w:rPr>
          <w:rFonts w:hint="eastAsia" w:ascii="仿宋_GB2312" w:hAnsi="仿宋_GB2312" w:eastAsia="仿宋_GB2312" w:cs="仿宋_GB2312"/>
          <w:color w:val="auto"/>
          <w:sz w:val="24"/>
          <w:highlight w:val="none"/>
          <w:u w:val="single"/>
          <w:lang w:val="zh-CN"/>
        </w:rPr>
        <w:t>（项目名称）</w:t>
      </w:r>
      <w:r>
        <w:rPr>
          <w:rFonts w:hint="eastAsia" w:ascii="仿宋_GB2312" w:hAnsi="仿宋_GB2312" w:eastAsia="仿宋_GB2312" w:cs="仿宋_GB2312"/>
          <w:color w:val="auto"/>
          <w:sz w:val="24"/>
          <w:highlight w:val="none"/>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color w:val="auto"/>
          <w:sz w:val="24"/>
          <w:highlight w:val="none"/>
          <w:lang w:val="zh-CN"/>
        </w:rPr>
      </w:pPr>
      <w:r>
        <w:rPr>
          <w:rFonts w:hint="eastAsia" w:ascii="仿宋_GB2312" w:hAnsi="仿宋_GB2312" w:eastAsia="仿宋_GB2312" w:cs="仿宋_GB2312"/>
          <w:color w:val="auto"/>
          <w:sz w:val="24"/>
          <w:highlight w:val="none"/>
          <w:lang w:val="zh-CN"/>
        </w:rPr>
        <w:t>本授权自</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日起生效。（</w:t>
      </w:r>
      <w:r>
        <w:rPr>
          <w:rFonts w:hint="eastAsia" w:ascii="仿宋_GB2312" w:hAnsi="仿宋_GB2312" w:eastAsia="仿宋_GB2312" w:cs="仿宋_GB2312"/>
          <w:b/>
          <w:color w:val="auto"/>
          <w:sz w:val="24"/>
          <w:highlight w:val="none"/>
          <w:lang w:val="zh-CN"/>
        </w:rPr>
        <w:t>提示：此日期不应晚于磋商响应函签署日期</w:t>
      </w:r>
      <w:r>
        <w:rPr>
          <w:rFonts w:hint="eastAsia" w:ascii="仿宋_GB2312" w:hAnsi="仿宋_GB2312" w:eastAsia="仿宋_GB2312" w:cs="仿宋_GB2312"/>
          <w:color w:val="auto"/>
          <w:sz w:val="24"/>
          <w:highlight w:val="none"/>
          <w:lang w:val="zh-CN"/>
        </w:rPr>
        <w:t>）</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附：被授权人姓名：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none"/>
          <w:lang w:eastAsia="zh-CN"/>
        </w:rPr>
        <w:t>（签字）</w:t>
      </w:r>
      <w:r>
        <w:rPr>
          <w:rFonts w:hint="eastAsia" w:ascii="仿宋_GB2312" w:hAnsi="仿宋_GB2312" w:eastAsia="仿宋_GB2312" w:cs="仿宋_GB2312"/>
          <w:color w:val="auto"/>
          <w:sz w:val="24"/>
          <w:highlight w:val="none"/>
          <w:lang w:val="zh-CN"/>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年龄：</w:t>
      </w:r>
      <w:r>
        <w:rPr>
          <w:rFonts w:hint="eastAsia" w:ascii="仿宋_GB2312" w:hAnsi="仿宋_GB2312" w:eastAsia="仿宋_GB2312" w:cs="仿宋_GB2312"/>
          <w:color w:val="auto"/>
          <w:sz w:val="24"/>
          <w:highlight w:val="none"/>
          <w:u w:val="single"/>
        </w:rPr>
        <w:t xml:space="preserve">        </w:t>
      </w:r>
    </w:p>
    <w:p>
      <w:pPr>
        <w:autoSpaceDE w:val="0"/>
        <w:autoSpaceDN w:val="0"/>
        <w:adjustRightInd w:val="0"/>
        <w:spacing w:line="348"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职</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务：</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身份证号码：</w:t>
      </w:r>
      <w:r>
        <w:rPr>
          <w:rFonts w:hint="eastAsia" w:ascii="仿宋_GB2312" w:hAnsi="仿宋_GB2312" w:eastAsia="仿宋_GB2312" w:cs="仿宋_GB2312"/>
          <w:color w:val="auto"/>
          <w:sz w:val="24"/>
          <w:highlight w:val="none"/>
          <w:u w:val="single"/>
        </w:rPr>
        <w:t xml:space="preserve">             </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通讯地址：</w:t>
      </w:r>
      <w:r>
        <w:rPr>
          <w:rFonts w:hint="eastAsia" w:ascii="仿宋_GB2312" w:hAnsi="仿宋_GB2312" w:eastAsia="仿宋_GB2312" w:cs="仿宋_GB2312"/>
          <w:color w:val="auto"/>
          <w:sz w:val="24"/>
          <w:highlight w:val="none"/>
          <w:u w:val="single"/>
        </w:rPr>
        <w:t xml:space="preserve">                                      </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邮政编码：</w:t>
      </w:r>
      <w:r>
        <w:rPr>
          <w:rFonts w:hint="eastAsia" w:ascii="仿宋_GB2312" w:hAnsi="仿宋_GB2312" w:eastAsia="仿宋_GB2312" w:cs="仿宋_GB2312"/>
          <w:color w:val="auto"/>
          <w:sz w:val="24"/>
          <w:highlight w:val="none"/>
          <w:u w:val="single"/>
        </w:rPr>
        <w:t xml:space="preserve">                                      </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电</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传真：</w:t>
      </w:r>
      <w:r>
        <w:rPr>
          <w:rFonts w:hint="eastAsia" w:ascii="仿宋_GB2312" w:hAnsi="仿宋_GB2312" w:eastAsia="仿宋_GB2312" w:cs="仿宋_GB2312"/>
          <w:color w:val="auto"/>
          <w:sz w:val="24"/>
          <w:highlight w:val="none"/>
          <w:u w:val="single"/>
        </w:rPr>
        <w:t xml:space="preserve">           </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及</w:t>
      </w:r>
      <w:r>
        <w:rPr>
          <w:rFonts w:hint="eastAsia" w:ascii="仿宋_GB2312" w:hAnsi="仿宋_GB2312" w:eastAsia="仿宋_GB2312" w:cs="仿宋_GB2312"/>
          <w:color w:val="auto"/>
          <w:sz w:val="24"/>
          <w:highlight w:val="none"/>
          <w:lang w:val="zh-CN"/>
        </w:rPr>
        <w:t>授权代表身份证复印件</w:t>
      </w:r>
    </w:p>
    <w:tbl>
      <w:tblPr>
        <w:tblStyle w:val="52"/>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法定代表人身份证复印件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授权代表身份证复印件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r>
    </w:tbl>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adjustRightInd w:val="0"/>
        <w:snapToGrid w:val="0"/>
        <w:spacing w:line="360" w:lineRule="auto"/>
        <w:ind w:firstLine="1320" w:firstLineChars="5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                                 法定代表人</w:t>
      </w: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（公章）：                              （签字）：</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2、法定代表人身份证明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供应商名称：</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单位性质： </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地    址： </w:t>
      </w:r>
      <w:r>
        <w:rPr>
          <w:rFonts w:hint="eastAsia" w:ascii="仿宋_GB2312" w:hAnsi="仿宋_GB2312" w:eastAsia="仿宋_GB2312" w:cs="仿宋_GB2312"/>
          <w:color w:val="auto"/>
          <w:kern w:val="0"/>
          <w:sz w:val="24"/>
          <w:highlight w:val="none"/>
          <w:u w:val="single"/>
        </w:rPr>
        <w:t xml:space="preserve">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成立时间：</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年</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日</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经营期限：</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性别：</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年龄：</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职务：</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系</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名称）的法定代表人。</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特此证明。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           （公章）</w:t>
      </w: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6659" w:leftChars="31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  月  日</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widowControl/>
        <w:ind w:firstLine="141" w:firstLineChars="5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3、授权代表本单位证明</w:t>
      </w:r>
    </w:p>
    <w:p>
      <w:pPr>
        <w:spacing w:after="120"/>
        <w:rPr>
          <w:rFonts w:ascii="仿宋_GB2312" w:hAnsi="仿宋_GB2312" w:eastAsia="仿宋_GB2312" w:cs="仿宋_GB2312"/>
          <w:color w:val="auto"/>
          <w:highlight w:val="none"/>
        </w:rPr>
      </w:pPr>
    </w:p>
    <w:p>
      <w:pPr>
        <w:autoSpaceDE w:val="0"/>
        <w:autoSpaceDN w:val="0"/>
        <w:adjustRightInd w:val="0"/>
        <w:spacing w:line="348"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养老保险缴纳证明或劳动合同复印件</w:t>
      </w:r>
      <w:r>
        <w:rPr>
          <w:rFonts w:hint="eastAsia" w:ascii="仿宋_GB2312" w:hAnsi="仿宋_GB2312" w:eastAsia="仿宋_GB2312" w:cs="仿宋_GB2312"/>
          <w:color w:val="auto"/>
          <w:sz w:val="28"/>
          <w:szCs w:val="28"/>
          <w:highlight w:val="none"/>
          <w:lang w:val="zh-CN"/>
        </w:rPr>
        <w:t>）</w:t>
      </w: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p>
      <w:pPr>
        <w:pStyle w:val="197"/>
        <w:ind w:firstLine="2570" w:firstLineChars="800"/>
        <w:rPr>
          <w:b/>
          <w:color w:val="auto"/>
          <w:sz w:val="32"/>
          <w:szCs w:val="32"/>
          <w:highlight w:val="none"/>
        </w:rPr>
      </w:pPr>
      <w:r>
        <w:rPr>
          <w:rFonts w:hint="eastAsia"/>
          <w:b/>
          <w:color w:val="auto"/>
          <w:sz w:val="32"/>
          <w:szCs w:val="32"/>
          <w:highlight w:val="none"/>
        </w:rPr>
        <w:t>第二部分  资格证明文件</w:t>
      </w:r>
    </w:p>
    <w:p>
      <w:pPr>
        <w:spacing w:after="120"/>
        <w:rPr>
          <w:rFonts w:ascii="仿宋_GB2312" w:hAnsi="仿宋_GB2312" w:eastAsia="仿宋_GB2312" w:cs="仿宋_GB2312"/>
          <w:color w:val="auto"/>
          <w:highlight w:val="none"/>
        </w:rPr>
      </w:pPr>
    </w:p>
    <w:p>
      <w:pPr>
        <w:numPr>
          <w:ilvl w:val="1"/>
          <w:numId w:val="17"/>
        </w:numPr>
        <w:tabs>
          <w:tab w:val="left" w:pos="993"/>
          <w:tab w:val="left" w:pos="1030"/>
          <w:tab w:val="left" w:pos="8364"/>
        </w:tabs>
        <w:snapToGrid w:val="0"/>
        <w:spacing w:afterLines="50" w:line="360" w:lineRule="auto"/>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供应商的企业法人营业执照副本复印件（格式要求见附件6-1）；</w:t>
      </w:r>
    </w:p>
    <w:p>
      <w:pPr>
        <w:numPr>
          <w:ilvl w:val="1"/>
          <w:numId w:val="17"/>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供应商上一年度（20</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rPr>
        <w:t>年度或202</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年度）的经审计的财务报告、或</w:t>
      </w:r>
      <w:r>
        <w:rPr>
          <w:rFonts w:hint="eastAsia" w:ascii="仿宋_GB2312" w:hAnsi="仿宋_GB2312" w:eastAsia="仿宋_GB2312" w:cs="仿宋_GB2312"/>
          <w:color w:val="auto"/>
          <w:sz w:val="24"/>
          <w:highlight w:val="none"/>
          <w:lang w:val="en-US" w:eastAsia="zh-CN"/>
        </w:rPr>
        <w:t>任意一个月</w:t>
      </w:r>
      <w:r>
        <w:rPr>
          <w:rFonts w:hint="eastAsia" w:ascii="仿宋_GB2312" w:hAnsi="仿宋_GB2312" w:eastAsia="仿宋_GB2312" w:cs="仿宋_GB2312"/>
          <w:color w:val="auto"/>
          <w:sz w:val="24"/>
          <w:highlight w:val="none"/>
        </w:rPr>
        <w:t>单位内部财务报表、或本年度基本开户银行出具的资信证明（格式要求见附件6-2）；</w:t>
      </w:r>
    </w:p>
    <w:p>
      <w:pPr>
        <w:numPr>
          <w:ilvl w:val="1"/>
          <w:numId w:val="17"/>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依法缴纳税收和社会保障资金的证明材料复印件（格式见附件6-3、6-4）</w:t>
      </w:r>
    </w:p>
    <w:p>
      <w:pPr>
        <w:numPr>
          <w:ilvl w:val="1"/>
          <w:numId w:val="17"/>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具备履行合同所必需的设备和专业技术能力的承诺（格式见附件6-5）；</w:t>
      </w:r>
    </w:p>
    <w:p>
      <w:pPr>
        <w:numPr>
          <w:ilvl w:val="1"/>
          <w:numId w:val="17"/>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供应商参加政府采购活动前3年内在经营活动中没有重大违法记录的书面声明（格式见附件6-6）</w:t>
      </w:r>
    </w:p>
    <w:p>
      <w:pPr>
        <w:numPr>
          <w:ilvl w:val="1"/>
          <w:numId w:val="17"/>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供应商控股股东名称、控股公司的名称和存在管理、被管理关系的单位名称说明（格式见附件6-7)</w:t>
      </w:r>
    </w:p>
    <w:p>
      <w:pPr>
        <w:numPr>
          <w:ilvl w:val="1"/>
          <w:numId w:val="17"/>
        </w:numPr>
        <w:tabs>
          <w:tab w:val="left" w:pos="993"/>
          <w:tab w:val="left" w:pos="1030"/>
          <w:tab w:val="left" w:pos="8364"/>
        </w:tabs>
        <w:snapToGrid w:val="0"/>
        <w:spacing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供应商是否属于为本项目提供整体设计、规范编制或者项目管理、监理、检测等服务的供应商声明（格式见附件6-8)</w:t>
      </w:r>
    </w:p>
    <w:p>
      <w:pPr>
        <w:spacing w:after="120"/>
        <w:ind w:left="780"/>
        <w:rPr>
          <w:rFonts w:ascii="仿宋_GB2312" w:hAnsi="仿宋_GB2312" w:eastAsia="仿宋_GB2312" w:cs="仿宋_GB2312"/>
          <w:color w:val="auto"/>
          <w:highlight w:val="none"/>
        </w:rPr>
      </w:pPr>
    </w:p>
    <w:p>
      <w:pPr>
        <w:adjustRightInd w:val="0"/>
        <w:spacing w:line="360" w:lineRule="auto"/>
        <w:ind w:firstLine="482" w:firstLineChars="200"/>
        <w:jc w:val="left"/>
        <w:textAlignment w:val="baseline"/>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以上提供的扫描件、复印件必须加盖供应商公章。</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jc w:val="left"/>
        <w:outlineLvl w:val="2"/>
        <w:rPr>
          <w:rFonts w:ascii="仿宋_GB2312" w:hAnsi="仿宋_GB2312" w:eastAsia="仿宋_GB2312" w:cs="仿宋_GB2312"/>
          <w:b/>
          <w:color w:val="auto"/>
          <w:sz w:val="24"/>
          <w:highlight w:val="none"/>
        </w:rPr>
      </w:pPr>
      <w:bookmarkStart w:id="451" w:name="_Toc7005120"/>
      <w:r>
        <w:rPr>
          <w:rFonts w:hint="eastAsia" w:ascii="仿宋_GB2312" w:hAnsi="仿宋_GB2312" w:eastAsia="仿宋_GB2312" w:cs="仿宋_GB2312"/>
          <w:b/>
          <w:color w:val="auto"/>
          <w:sz w:val="24"/>
          <w:highlight w:val="none"/>
        </w:rPr>
        <w:t>6-1  供应商的企业法人营业执照副本复印件（加盖公章）</w:t>
      </w:r>
      <w:bookmarkEnd w:id="451"/>
    </w:p>
    <w:p>
      <w:pPr>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color w:val="auto"/>
          <w:sz w:val="28"/>
          <w:highlight w:val="none"/>
        </w:rPr>
      </w:pPr>
    </w:p>
    <w:p>
      <w:pPr>
        <w:adjustRightInd w:val="0"/>
        <w:spacing w:line="360" w:lineRule="atLeast"/>
        <w:jc w:val="left"/>
        <w:textAlignment w:val="baseline"/>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 xml:space="preserve"> </w:t>
      </w:r>
    </w:p>
    <w:p>
      <w:pPr>
        <w:jc w:val="left"/>
        <w:outlineLvl w:val="2"/>
        <w:rPr>
          <w:rFonts w:ascii="仿宋_GB2312" w:hAnsi="仿宋_GB2312" w:eastAsia="仿宋_GB2312" w:cs="仿宋_GB2312"/>
          <w:b/>
          <w:color w:val="auto"/>
          <w:sz w:val="24"/>
          <w:highlight w:val="none"/>
        </w:rPr>
      </w:pPr>
      <w:bookmarkStart w:id="452" w:name="_Toc7005121"/>
      <w:bookmarkStart w:id="453" w:name="_Ref527015333"/>
      <w:r>
        <w:rPr>
          <w:rFonts w:hint="eastAsia" w:ascii="仿宋_GB2312" w:hAnsi="仿宋_GB2312" w:eastAsia="仿宋_GB2312" w:cs="仿宋_GB2312"/>
          <w:b/>
          <w:color w:val="auto"/>
          <w:sz w:val="24"/>
          <w:highlight w:val="none"/>
        </w:rPr>
        <w:t xml:space="preserve">6-2  </w:t>
      </w:r>
      <w:bookmarkEnd w:id="452"/>
      <w:bookmarkEnd w:id="453"/>
      <w:r>
        <w:rPr>
          <w:rFonts w:hint="eastAsia" w:ascii="仿宋_GB2312" w:hAnsi="仿宋_GB2312" w:eastAsia="仿宋_GB2312" w:cs="仿宋_GB2312"/>
          <w:b/>
          <w:color w:val="auto"/>
          <w:sz w:val="24"/>
          <w:highlight w:val="none"/>
        </w:rPr>
        <w:t>健全的财务会计制度</w:t>
      </w:r>
    </w:p>
    <w:p>
      <w:pPr>
        <w:spacing w:line="360" w:lineRule="auto"/>
        <w:rPr>
          <w:rFonts w:ascii="仿宋_GB2312" w:hAnsi="仿宋_GB2312" w:eastAsia="仿宋_GB2312" w:cs="仿宋_GB2312"/>
          <w:color w:val="auto"/>
          <w:szCs w:val="21"/>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4"/>
          <w:highlight w:val="none"/>
        </w:rPr>
        <w:t>提供上一年度（</w:t>
      </w:r>
      <w:r>
        <w:rPr>
          <w:rFonts w:ascii="仿宋_GB2312" w:hAnsi="仿宋_GB2312" w:eastAsia="仿宋_GB2312" w:cs="仿宋_GB2312"/>
          <w:color w:val="auto"/>
          <w:sz w:val="24"/>
          <w:highlight w:val="none"/>
        </w:rPr>
        <w:t>20</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rPr>
        <w:t>年度或</w:t>
      </w:r>
      <w:r>
        <w:rPr>
          <w:rFonts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年度）的经审计的财务报告、或</w:t>
      </w:r>
      <w:r>
        <w:rPr>
          <w:rFonts w:hint="eastAsia" w:ascii="仿宋_GB2312" w:hAnsi="仿宋_GB2312" w:eastAsia="仿宋_GB2312" w:cs="仿宋_GB2312"/>
          <w:color w:val="auto"/>
          <w:sz w:val="24"/>
          <w:highlight w:val="none"/>
          <w:lang w:val="en-US" w:eastAsia="zh-CN"/>
        </w:rPr>
        <w:t>任意一个月</w:t>
      </w:r>
      <w:r>
        <w:rPr>
          <w:rFonts w:hint="eastAsia" w:ascii="仿宋_GB2312" w:hAnsi="仿宋_GB2312" w:eastAsia="仿宋_GB2312" w:cs="仿宋_GB2312"/>
          <w:color w:val="auto"/>
          <w:sz w:val="24"/>
          <w:highlight w:val="none"/>
        </w:rPr>
        <w:t>单位内部财务报表、或本年度基本开户银行出具的资信证明复印件或扫描件、所有复印件或扫描件需加盖单位公章。</w:t>
      </w:r>
    </w:p>
    <w:p>
      <w:pPr>
        <w:widowControl/>
        <w:jc w:val="left"/>
        <w:rPr>
          <w:rFonts w:ascii="仿宋_GB2312" w:hAnsi="仿宋_GB2312" w:eastAsia="仿宋_GB2312" w:cs="仿宋_GB2312"/>
          <w:b/>
          <w:color w:val="auto"/>
          <w:spacing w:val="20"/>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4" w:name="_Toc7005123"/>
      <w:r>
        <w:rPr>
          <w:rFonts w:hint="eastAsia" w:ascii="仿宋_GB2312" w:hAnsi="仿宋_GB2312" w:eastAsia="仿宋_GB2312" w:cs="仿宋_GB2312"/>
          <w:b/>
          <w:color w:val="auto"/>
          <w:sz w:val="24"/>
          <w:highlight w:val="none"/>
        </w:rPr>
        <w:t>6-3 依法缴纳税收的证明</w:t>
      </w:r>
      <w:bookmarkEnd w:id="454"/>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tabs>
          <w:tab w:val="left" w:pos="993"/>
          <w:tab w:val="left" w:pos="1030"/>
          <w:tab w:val="left" w:pos="8364"/>
        </w:tabs>
        <w:snapToGrid w:val="0"/>
        <w:spacing w:afterLines="50"/>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1、供应商应提供任意一个月缴税的凭证；</w:t>
      </w:r>
    </w:p>
    <w:p>
      <w:pPr>
        <w:tabs>
          <w:tab w:val="left" w:pos="993"/>
          <w:tab w:val="left" w:pos="1030"/>
          <w:tab w:val="left" w:pos="8364"/>
        </w:tabs>
        <w:snapToGrid w:val="0"/>
        <w:spacing w:afterLines="50"/>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2、依法免税的供应商，应提供相应文件证明其依法免税。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55" w:name="_Toc7005124"/>
      <w:r>
        <w:rPr>
          <w:rFonts w:hint="eastAsia" w:ascii="仿宋_GB2312" w:hAnsi="仿宋_GB2312" w:eastAsia="仿宋_GB2312" w:cs="仿宋_GB2312"/>
          <w:b/>
          <w:color w:val="auto"/>
          <w:sz w:val="24"/>
          <w:highlight w:val="none"/>
        </w:rPr>
        <w:t>6-4社会保障资金缴纳记录</w:t>
      </w:r>
      <w:bookmarkEnd w:id="455"/>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cr/>
      </w:r>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numPr>
          <w:ilvl w:val="0"/>
          <w:numId w:val="18"/>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供应商应提供任意一个月缴纳社会保险的凭证。</w:t>
      </w:r>
    </w:p>
    <w:p>
      <w:pPr>
        <w:numPr>
          <w:ilvl w:val="0"/>
          <w:numId w:val="18"/>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pStyle w:val="23"/>
        <w:rPr>
          <w:rFonts w:eastAsiaTheme="minorEastAsia"/>
          <w:color w:val="auto"/>
          <w:highlight w:val="none"/>
        </w:rPr>
      </w:pPr>
    </w:p>
    <w:p>
      <w:pPr>
        <w:widowControl/>
        <w:jc w:val="left"/>
        <w:rPr>
          <w:rFonts w:ascii="仿宋_GB2312" w:hAnsi="仿宋_GB2312" w:eastAsia="仿宋_GB2312" w:cs="仿宋_GB2312"/>
          <w:color w:val="auto"/>
          <w:sz w:val="24"/>
          <w:highlight w:val="none"/>
        </w:rPr>
      </w:pPr>
      <w:bookmarkStart w:id="456" w:name="_Toc7005125"/>
      <w:r>
        <w:rPr>
          <w:rFonts w:ascii="仿宋_GB2312" w:hAnsi="仿宋_GB2312" w:eastAsia="仿宋_GB2312" w:cs="仿宋_GB2312"/>
          <w:color w:val="auto"/>
          <w:sz w:val="24"/>
          <w:highlight w:val="none"/>
        </w:rPr>
        <w:br w:type="page"/>
      </w:r>
    </w:p>
    <w:p>
      <w:pP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 xml:space="preserve">6-5 </w:t>
      </w:r>
      <w:r>
        <w:rPr>
          <w:rFonts w:hint="eastAsia" w:ascii="仿宋_GB2312" w:hAnsi="仿宋_GB2312" w:eastAsia="仿宋_GB2312" w:cs="仿宋_GB2312"/>
          <w:b/>
          <w:color w:val="auto"/>
          <w:sz w:val="24"/>
          <w:highlight w:val="none"/>
        </w:rPr>
        <w:t>具备履行合同所必需的设备和专业技术能力承诺书</w:t>
      </w:r>
      <w:bookmarkEnd w:id="456"/>
      <w:r>
        <w:rPr>
          <w:rFonts w:hint="eastAsia" w:ascii="仿宋_GB2312" w:hAnsi="仿宋_GB2312" w:eastAsia="仿宋_GB2312" w:cs="仿宋_GB2312"/>
          <w:b/>
          <w:color w:val="auto"/>
          <w:sz w:val="24"/>
          <w:highlight w:val="none"/>
        </w:rPr>
        <w:t xml:space="preserve">                                                                                                                                                                                                                                                                                                                                                                                                                                                                                                                                                                                                                                                                                                      </w:t>
      </w:r>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p>
    <w:p>
      <w:pPr>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u w:val="single"/>
        </w:rPr>
        <w:t xml:space="preserve">陕西星火工程管理有限公司：   </w:t>
      </w:r>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我公司承诺</w:t>
      </w:r>
      <w:r>
        <w:rPr>
          <w:rFonts w:hint="eastAsia" w:ascii="仿宋_GB2312" w:hAnsi="仿宋_GB2312" w:eastAsia="仿宋_GB2312" w:cs="仿宋_GB2312"/>
          <w:color w:val="auto"/>
          <w:sz w:val="24"/>
          <w:highlight w:val="none"/>
        </w:rPr>
        <w:t>具备履行合同所必需的设备和专业技术能力</w:t>
      </w:r>
      <w:r>
        <w:rPr>
          <w:rFonts w:hint="eastAsia" w:ascii="仿宋_GB2312" w:hAnsi="仿宋_GB2312" w:eastAsia="仿宋_GB2312" w:cs="仿宋_GB2312"/>
          <w:color w:val="auto"/>
          <w:kern w:val="0"/>
          <w:sz w:val="24"/>
          <w:highlight w:val="none"/>
        </w:rPr>
        <w:t>。</w:t>
      </w: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ind w:right="28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b/>
          <w:color w:val="auto"/>
          <w:sz w:val="24"/>
          <w:highlight w:val="none"/>
        </w:rPr>
      </w:pPr>
    </w:p>
    <w:p>
      <w:pPr>
        <w:numPr>
          <w:ilvl w:val="1"/>
          <w:numId w:val="19"/>
        </w:numPr>
        <w:jc w:val="left"/>
        <w:outlineLvl w:val="2"/>
        <w:rPr>
          <w:rFonts w:ascii="仿宋_GB2312" w:hAnsi="仿宋_GB2312" w:eastAsia="仿宋_GB2312" w:cs="仿宋_GB2312"/>
          <w:b/>
          <w:color w:val="auto"/>
          <w:sz w:val="24"/>
          <w:szCs w:val="22"/>
          <w:highlight w:val="none"/>
        </w:rPr>
      </w:pPr>
      <w:bookmarkStart w:id="457" w:name="_Toc7005126"/>
      <w:r>
        <w:rPr>
          <w:rFonts w:hint="eastAsia" w:ascii="仿宋_GB2312" w:hAnsi="仿宋_GB2312" w:eastAsia="仿宋_GB2312" w:cs="仿宋_GB2312"/>
          <w:b/>
          <w:color w:val="auto"/>
          <w:sz w:val="24"/>
          <w:szCs w:val="22"/>
          <w:highlight w:val="none"/>
        </w:rPr>
        <w:t>供应商参加政府采购活动前3年内在经营活动中没有重大违法记录的书面声明（格式）</w:t>
      </w:r>
      <w:bookmarkEnd w:id="457"/>
    </w:p>
    <w:p>
      <w:pPr>
        <w:jc w:val="center"/>
        <w:rPr>
          <w:rFonts w:ascii="仿宋_GB2312" w:hAnsi="仿宋_GB2312" w:eastAsia="仿宋_GB2312" w:cs="仿宋_GB2312"/>
          <w:color w:val="auto"/>
          <w:sz w:val="24"/>
          <w:highlight w:val="none"/>
        </w:rPr>
      </w:pPr>
    </w:p>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声明函</w:t>
      </w:r>
    </w:p>
    <w:p>
      <w:pPr>
        <w:jc w:val="center"/>
        <w:rPr>
          <w:rFonts w:ascii="仿宋_GB2312" w:hAnsi="仿宋_GB2312" w:eastAsia="仿宋_GB2312" w:cs="仿宋_GB2312"/>
          <w:color w:val="auto"/>
          <w:sz w:val="24"/>
          <w:highlight w:val="none"/>
        </w:rPr>
      </w:pPr>
    </w:p>
    <w:p>
      <w:pPr>
        <w:tabs>
          <w:tab w:val="left" w:pos="5580"/>
        </w:tabs>
        <w:spacing w:before="120"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至：</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u w:val="single"/>
        </w:rPr>
        <w:t>陕西星火工程管理有限公司</w:t>
      </w:r>
      <w:r>
        <w:rPr>
          <w:rFonts w:hint="eastAsia" w:ascii="仿宋_GB2312" w:hAnsi="仿宋_GB2312" w:eastAsia="仿宋_GB2312" w:cs="仿宋_GB2312"/>
          <w:color w:val="auto"/>
          <w:sz w:val="24"/>
          <w:highlight w:val="none"/>
          <w:u w:val="single"/>
        </w:rPr>
        <w:t xml:space="preserve">  </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特此声明。</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numPr>
          <w:ilvl w:val="1"/>
          <w:numId w:val="20"/>
        </w:numPr>
        <w:jc w:val="left"/>
        <w:outlineLvl w:val="2"/>
        <w:rPr>
          <w:rFonts w:ascii="仿宋_GB2312" w:hAnsi="仿宋_GB2312" w:eastAsia="仿宋_GB2312" w:cs="仿宋_GB2312"/>
          <w:b/>
          <w:color w:val="auto"/>
          <w:sz w:val="24"/>
          <w:szCs w:val="22"/>
          <w:highlight w:val="none"/>
        </w:rPr>
      </w:pPr>
      <w:bookmarkStart w:id="458" w:name="_Toc7005127"/>
      <w:r>
        <w:rPr>
          <w:rFonts w:hint="eastAsia" w:ascii="仿宋_GB2312" w:hAnsi="仿宋_GB2312" w:eastAsia="仿宋_GB2312" w:cs="仿宋_GB2312"/>
          <w:b/>
          <w:color w:val="auto"/>
          <w:sz w:val="24"/>
          <w:szCs w:val="22"/>
          <w:highlight w:val="none"/>
        </w:rPr>
        <w:t>供应商控股股东名称、控股公司的名称和存在管理、被管理关系的单位名称说明</w:t>
      </w:r>
      <w:bookmarkEnd w:id="458"/>
    </w:p>
    <w:p>
      <w:pPr>
        <w:ind w:firstLine="420"/>
        <w:rPr>
          <w:rFonts w:ascii="仿宋_GB2312" w:hAnsi="仿宋_GB2312" w:eastAsia="仿宋_GB2312" w:cs="仿宋_GB2312"/>
          <w:color w:val="auto"/>
          <w:szCs w:val="21"/>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致：陕西星火工程管理有限公司</w:t>
      </w:r>
    </w:p>
    <w:p>
      <w:pPr>
        <w:spacing w:after="120"/>
        <w:rPr>
          <w:rFonts w:ascii="仿宋_GB2312" w:hAnsi="仿宋_GB2312" w:eastAsia="仿宋_GB2312" w:cs="仿宋_GB2312"/>
          <w:color w:val="auto"/>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与我方的法定代表人（单位负责人）为同一人的企业如下：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我方的控股股东如下：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我方直接控股的企业如下：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与我方存在管理、被管理关系的单位名称如下：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numPr>
          <w:ilvl w:val="1"/>
          <w:numId w:val="20"/>
        </w:numPr>
        <w:jc w:val="left"/>
        <w:outlineLvl w:val="2"/>
        <w:rPr>
          <w:rFonts w:ascii="仿宋_GB2312" w:hAnsi="仿宋_GB2312" w:eastAsia="仿宋_GB2312" w:cs="仿宋_GB2312"/>
          <w:b/>
          <w:color w:val="auto"/>
          <w:sz w:val="24"/>
          <w:szCs w:val="22"/>
          <w:highlight w:val="none"/>
        </w:rPr>
      </w:pPr>
      <w:bookmarkStart w:id="459" w:name="_Toc7005128"/>
      <w:r>
        <w:rPr>
          <w:rFonts w:hint="eastAsia" w:ascii="仿宋_GB2312" w:hAnsi="仿宋_GB2312" w:eastAsia="仿宋_GB2312" w:cs="仿宋_GB2312"/>
          <w:b/>
          <w:color w:val="auto"/>
          <w:sz w:val="24"/>
          <w:szCs w:val="22"/>
          <w:highlight w:val="none"/>
        </w:rPr>
        <w:t>供应商是否属于为本项目提供整体设计、规范编制或者项目管理、监理、检测等服务的供应商声明</w:t>
      </w:r>
      <w:bookmarkEnd w:id="459"/>
    </w:p>
    <w:p>
      <w:pPr>
        <w:ind w:firstLine="420"/>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致：陕西星火工程管理有限公司</w:t>
      </w: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我方 </w:t>
      </w:r>
      <w:r>
        <w:rPr>
          <w:rFonts w:hint="eastAsia" w:ascii="仿宋_GB2312" w:hAnsi="仿宋_GB2312" w:eastAsia="仿宋_GB2312" w:cs="仿宋_GB2312"/>
          <w:i/>
          <w:iCs/>
          <w:color w:val="auto"/>
          <w:sz w:val="24"/>
          <w:highlight w:val="none"/>
        </w:rPr>
        <w:t>属于/不属于</w:t>
      </w:r>
      <w:r>
        <w:rPr>
          <w:rFonts w:hint="eastAsia" w:ascii="仿宋_GB2312" w:hAnsi="仿宋_GB2312" w:eastAsia="仿宋_GB2312" w:cs="仿宋_GB2312"/>
          <w:color w:val="auto"/>
          <w:sz w:val="24"/>
          <w:highlight w:val="none"/>
        </w:rPr>
        <w:t xml:space="preserve"> 为本项目提供整体设计、规范编制或者项目管理、监理、检测等服务的供应商。</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b/>
          <w:color w:val="auto"/>
          <w:sz w:val="24"/>
          <w:highlight w:val="none"/>
        </w:rPr>
      </w:pPr>
      <w:bookmarkStart w:id="460" w:name="_Toc7005129"/>
      <w:r>
        <w:rPr>
          <w:rFonts w:hint="eastAsia" w:ascii="仿宋_GB2312" w:hAnsi="仿宋_GB2312" w:eastAsia="仿宋_GB2312" w:cs="仿宋_GB2312"/>
          <w:b/>
          <w:color w:val="auto"/>
          <w:sz w:val="24"/>
          <w:highlight w:val="none"/>
        </w:rPr>
        <w:t>6-9证明供应商符合特定资格条件的证明材料</w:t>
      </w:r>
      <w:bookmarkEnd w:id="460"/>
      <w:r>
        <w:rPr>
          <w:rFonts w:hint="eastAsia" w:ascii="仿宋_GB2312" w:hAnsi="仿宋_GB2312" w:eastAsia="仿宋_GB2312" w:cs="仿宋_GB2312"/>
          <w:b/>
          <w:color w:val="auto"/>
          <w:sz w:val="24"/>
          <w:highlight w:val="none"/>
        </w:rPr>
        <w:t>：</w:t>
      </w:r>
    </w:p>
    <w:p>
      <w:pPr>
        <w:pStyle w:val="23"/>
        <w:rPr>
          <w:rFonts w:hint="eastAsia" w:ascii="仿宋_GB2312" w:hAnsi="仿宋_GB2312" w:eastAsia="仿宋_GB2312" w:cs="仿宋_GB2312"/>
          <w:color w:val="auto"/>
          <w:kern w:val="2"/>
          <w:sz w:val="24"/>
          <w:szCs w:val="24"/>
          <w:highlight w:val="none"/>
          <w:lang w:val="en-US" w:eastAsia="zh-CN" w:bidi="ar-SA"/>
        </w:rPr>
      </w:pPr>
    </w:p>
    <w:p>
      <w:pPr>
        <w:pStyle w:val="23"/>
        <w:ind w:firstLine="480"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根据磋商文件要求，自行提供。</w:t>
      </w:r>
    </w:p>
    <w:p>
      <w:pPr>
        <w:spacing w:after="120"/>
        <w:rPr>
          <w:rFonts w:hint="eastAsia" w:ascii="仿宋_GB2312" w:hAnsi="仿宋_GB2312" w:eastAsia="仿宋_GB2312" w:cs="仿宋_GB2312"/>
          <w:color w:val="auto"/>
          <w:kern w:val="2"/>
          <w:sz w:val="24"/>
          <w:szCs w:val="24"/>
          <w:highlight w:val="none"/>
          <w:lang w:val="en-US" w:eastAsia="zh-CN" w:bidi="ar-SA"/>
        </w:rPr>
      </w:pPr>
    </w:p>
    <w:p>
      <w:pPr>
        <w:pStyle w:val="197"/>
        <w:ind w:firstLine="6927" w:firstLineChars="2300"/>
        <w:rPr>
          <w:b/>
          <w:color w:val="auto"/>
          <w:sz w:val="30"/>
          <w:szCs w:val="30"/>
          <w:highlight w:val="none"/>
          <w:lang w:val="zh-CN"/>
        </w:rPr>
      </w:pPr>
      <w:r>
        <w:rPr>
          <w:rFonts w:hint="eastAsia"/>
          <w:b/>
          <w:color w:val="auto"/>
          <w:sz w:val="30"/>
          <w:szCs w:val="30"/>
          <w:highlight w:val="none"/>
          <w:lang w:val="zh-CN"/>
        </w:rPr>
        <w:t>正本/副本</w:t>
      </w:r>
    </w:p>
    <w:p>
      <w:pP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采购项目编号：</w:t>
      </w:r>
      <w:r>
        <w:rPr>
          <w:rFonts w:hint="eastAsia" w:ascii="仿宋_GB2312" w:hAnsi="仿宋_GB2312" w:eastAsia="仿宋_GB2312" w:cs="仿宋_GB2312"/>
          <w:b/>
          <w:bCs/>
          <w:color w:val="auto"/>
          <w:sz w:val="30"/>
          <w:szCs w:val="30"/>
          <w:highlight w:val="none"/>
          <w:lang w:val="en-US" w:eastAsia="zh-CN"/>
        </w:rPr>
        <w:t>XHZB2022-CS-016/001</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autoSpaceDE w:val="0"/>
        <w:autoSpaceDN w:val="0"/>
        <w:adjustRightInd w:val="0"/>
        <w:snapToGrid w:val="0"/>
        <w:spacing w:line="360" w:lineRule="auto"/>
        <w:jc w:val="center"/>
        <w:rPr>
          <w:rFonts w:ascii="仿宋_GB2312" w:hAnsi="仿宋_GB2312" w:eastAsia="仿宋_GB2312" w:cs="仿宋_GB2312"/>
          <w:b/>
          <w:bCs/>
          <w:color w:val="auto"/>
          <w:sz w:val="44"/>
          <w:szCs w:val="44"/>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r>
        <w:rPr>
          <w:rFonts w:hint="eastAsia" w:asciiTheme="majorEastAsia" w:hAnsiTheme="majorEastAsia" w:eastAsiaTheme="majorEastAsia" w:cstheme="majorEastAsia"/>
          <w:b/>
          <w:bCs/>
          <w:color w:val="auto"/>
          <w:sz w:val="44"/>
          <w:szCs w:val="44"/>
          <w:highlight w:val="none"/>
          <w:lang w:val="en-US" w:eastAsia="zh-CN"/>
        </w:rPr>
        <w:t>耀州区电子商务进农村综合示范公共服务中心升级改造与运营项目</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autoSpaceDE w:val="0"/>
        <w:autoSpaceDN w:val="0"/>
        <w:adjustRightInd w:val="0"/>
        <w:snapToGrid w:val="0"/>
        <w:spacing w:line="360" w:lineRule="auto"/>
        <w:rPr>
          <w:rFonts w:ascii="黑体" w:hAnsi="黑体" w:eastAsia="黑体"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 xml:space="preserve">                    </w:t>
      </w:r>
      <w:r>
        <w:rPr>
          <w:rFonts w:hint="eastAsia" w:ascii="黑体" w:hAnsi="黑体" w:eastAsia="黑体" w:cs="仿宋_GB2312"/>
          <w:b/>
          <w:bCs/>
          <w:color w:val="auto"/>
          <w:sz w:val="32"/>
          <w:szCs w:val="32"/>
          <w:highlight w:val="none"/>
          <w:lang w:val="zh-CN"/>
        </w:rPr>
        <w:t>（</w:t>
      </w:r>
      <w:r>
        <w:rPr>
          <w:rStyle w:val="96"/>
          <w:rFonts w:hint="eastAsia"/>
          <w:color w:val="auto"/>
          <w:highlight w:val="none"/>
        </w:rPr>
        <w:t>商务及技术文件</w:t>
      </w:r>
      <w:r>
        <w:rPr>
          <w:rFonts w:hint="eastAsia" w:ascii="黑体" w:hAnsi="黑体" w:eastAsia="黑体" w:cs="仿宋_GB2312"/>
          <w:b/>
          <w:bCs/>
          <w:color w:val="auto"/>
          <w:sz w:val="32"/>
          <w:szCs w:val="32"/>
          <w:highlight w:val="none"/>
          <w:lang w:val="zh-CN"/>
        </w:rPr>
        <w:t>）</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pStyle w:val="23"/>
        <w:rPr>
          <w:rFonts w:eastAsiaTheme="minorEastAsia"/>
          <w:color w:val="auto"/>
          <w:highlight w:val="none"/>
        </w:rPr>
      </w:pPr>
    </w:p>
    <w:p>
      <w:pPr>
        <w:rPr>
          <w:rFonts w:eastAsiaTheme="minorEastAsia"/>
          <w:color w:val="auto"/>
          <w:highlight w:val="none"/>
        </w:rPr>
      </w:pPr>
    </w:p>
    <w:p>
      <w:pPr>
        <w:pStyle w:val="6"/>
        <w:rPr>
          <w:rFonts w:eastAsiaTheme="minorEastAsia"/>
          <w:color w:val="auto"/>
          <w:highlight w:val="none"/>
        </w:rPr>
      </w:pPr>
    </w:p>
    <w:p/>
    <w:p>
      <w:pPr>
        <w:pStyle w:val="23"/>
        <w:rPr>
          <w:rFonts w:eastAsiaTheme="minorEastAsia"/>
          <w:color w:val="auto"/>
          <w:highlight w:val="none"/>
        </w:rPr>
      </w:pPr>
    </w:p>
    <w:p>
      <w:pPr>
        <w:autoSpaceDE w:val="0"/>
        <w:autoSpaceDN w:val="0"/>
        <w:adjustRightInd w:val="0"/>
        <w:snapToGrid w:val="0"/>
        <w:spacing w:line="360" w:lineRule="auto"/>
        <w:ind w:firstLine="1800" w:firstLineChars="600"/>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b/>
          <w:bCs/>
          <w:color w:val="auto"/>
          <w:sz w:val="32"/>
          <w:szCs w:val="32"/>
          <w:highlight w:val="none"/>
          <w:lang w:val="zh-CN"/>
        </w:rPr>
        <w:t>供应商：</w:t>
      </w:r>
      <w:r>
        <w:rPr>
          <w:rFonts w:hint="eastAsia" w:ascii="仿宋_GB2312" w:hAnsi="仿宋_GB2312" w:eastAsia="仿宋_GB2312" w:cs="仿宋_GB2312"/>
          <w:b/>
          <w:bCs/>
          <w:color w:val="auto"/>
          <w:sz w:val="32"/>
          <w:szCs w:val="32"/>
          <w:highlight w:val="none"/>
          <w:u w:val="single"/>
          <w:lang w:val="zh-CN"/>
        </w:rPr>
        <w:t xml:space="preserve">                  </w:t>
      </w:r>
      <w:r>
        <w:rPr>
          <w:rFonts w:hint="eastAsia" w:ascii="仿宋_GB2312" w:hAnsi="仿宋_GB2312" w:eastAsia="仿宋_GB2312" w:cs="仿宋_GB2312"/>
          <w:b/>
          <w:bCs/>
          <w:color w:val="auto"/>
          <w:sz w:val="32"/>
          <w:szCs w:val="32"/>
          <w:highlight w:val="none"/>
          <w:u w:val="single"/>
        </w:rPr>
        <w:t xml:space="preserve">    </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928" w:firstLineChars="6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lang w:val="zh-CN"/>
        </w:rPr>
        <w:t>间：</w:t>
      </w:r>
      <w:r>
        <w:rPr>
          <w:rFonts w:hint="eastAsia" w:ascii="仿宋_GB2312" w:hAnsi="仿宋_GB2312" w:eastAsia="仿宋_GB2312" w:cs="仿宋_GB2312"/>
          <w:b/>
          <w:bCs/>
          <w:color w:val="auto"/>
          <w:sz w:val="32"/>
          <w:szCs w:val="32"/>
          <w:highlight w:val="none"/>
          <w:u w:val="single"/>
        </w:rPr>
        <w:t xml:space="preserve">                      </w:t>
      </w:r>
    </w:p>
    <w:p>
      <w:pPr>
        <w:autoSpaceDE w:val="0"/>
        <w:autoSpaceDN w:val="0"/>
        <w:adjustRightInd w:val="0"/>
        <w:snapToGrid w:val="0"/>
        <w:spacing w:line="360" w:lineRule="auto"/>
        <w:ind w:firstLine="2088" w:firstLineChars="650"/>
        <w:rPr>
          <w:rFonts w:ascii="仿宋_GB2312" w:hAnsi="仿宋_GB2312" w:eastAsia="仿宋_GB2312" w:cs="仿宋_GB2312"/>
          <w:b/>
          <w:bCs/>
          <w:color w:val="auto"/>
          <w:sz w:val="32"/>
          <w:szCs w:val="32"/>
          <w:highlight w:val="none"/>
          <w:u w:val="single"/>
        </w:rPr>
      </w:pPr>
    </w:p>
    <w:p>
      <w:pPr>
        <w:pStyle w:val="23"/>
        <w:rPr>
          <w:color w:val="auto"/>
          <w:highlight w:val="none"/>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u w:val="single"/>
        </w:rPr>
      </w:pPr>
    </w:p>
    <w:p>
      <w:pPr>
        <w:pStyle w:val="23"/>
        <w:rPr>
          <w:rFonts w:ascii="仿宋_GB2312" w:hAnsi="仿宋_GB2312" w:eastAsia="仿宋_GB2312" w:cs="仿宋_GB2312"/>
          <w:color w:val="auto"/>
          <w:highlight w:val="none"/>
        </w:rPr>
      </w:pPr>
    </w:p>
    <w:p>
      <w:pPr>
        <w:autoSpaceDE w:val="0"/>
        <w:autoSpaceDN w:val="0"/>
        <w:adjustRightInd w:val="0"/>
        <w:snapToGrid w:val="0"/>
        <w:spacing w:line="360" w:lineRule="auto"/>
        <w:ind w:firstLine="3534" w:firstLineChars="11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  录</w:t>
      </w:r>
    </w:p>
    <w:p>
      <w:pPr>
        <w:spacing w:after="120"/>
        <w:ind w:firstLine="315" w:firstLineChars="150"/>
        <w:rPr>
          <w:rFonts w:ascii="仿宋_GB2312" w:hAnsi="仿宋_GB2312" w:eastAsia="仿宋_GB2312" w:cs="仿宋_GB2312"/>
          <w:color w:val="auto"/>
          <w:highlight w:val="none"/>
        </w:rPr>
      </w:pPr>
    </w:p>
    <w:p>
      <w:pPr>
        <w:spacing w:after="120" w:line="360" w:lineRule="auto"/>
        <w:ind w:firstLine="1120" w:firstLineChars="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磋商响应函</w:t>
      </w:r>
    </w:p>
    <w:p>
      <w:pPr>
        <w:spacing w:after="120" w:line="360" w:lineRule="auto"/>
        <w:ind w:firstLine="1120" w:firstLineChars="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第二部分   磋商响应报价表 </w:t>
      </w:r>
    </w:p>
    <w:p>
      <w:pPr>
        <w:spacing w:after="120" w:line="360" w:lineRule="auto"/>
        <w:ind w:firstLine="1120" w:firstLineChars="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偏离表</w:t>
      </w:r>
    </w:p>
    <w:p>
      <w:pPr>
        <w:spacing w:after="120" w:line="360" w:lineRule="auto"/>
        <w:ind w:firstLine="1120" w:firstLineChars="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响应方案说明</w:t>
      </w:r>
    </w:p>
    <w:p>
      <w:pPr>
        <w:spacing w:after="120" w:line="360" w:lineRule="auto"/>
        <w:ind w:firstLine="1120" w:firstLineChars="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小微企业、监狱企业、残疾人福利单位声明函或证明</w:t>
      </w:r>
    </w:p>
    <w:p>
      <w:pPr>
        <w:spacing w:after="120" w:line="360" w:lineRule="auto"/>
        <w:ind w:firstLine="1120" w:firstLineChars="4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第六部分   保证金支付凭证或担保函（复印件）</w:t>
      </w:r>
    </w:p>
    <w:p>
      <w:pPr>
        <w:pStyle w:val="23"/>
        <w:ind w:firstLine="480"/>
        <w:rPr>
          <w:rFonts w:ascii="仿宋_GB2312" w:hAnsi="仿宋_GB2312" w:eastAsia="仿宋_GB2312" w:cs="仿宋_GB2312"/>
          <w:color w:val="auto"/>
          <w:sz w:val="24"/>
          <w:highlight w:val="none"/>
        </w:rPr>
      </w:pPr>
    </w:p>
    <w:p>
      <w:pPr>
        <w:pStyle w:val="23"/>
        <w:ind w:firstLine="48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197"/>
        <w:ind w:firstLine="2731" w:firstLineChars="850"/>
        <w:rPr>
          <w:rFonts w:ascii="仿宋" w:hAnsi="仿宋" w:eastAsia="仿宋"/>
          <w:b/>
          <w:color w:val="auto"/>
          <w:sz w:val="32"/>
          <w:szCs w:val="32"/>
          <w:highlight w:val="none"/>
        </w:rPr>
      </w:pPr>
      <w:r>
        <w:rPr>
          <w:rFonts w:hint="eastAsia" w:ascii="仿宋" w:hAnsi="仿宋" w:eastAsia="仿宋"/>
          <w:b/>
          <w:color w:val="auto"/>
          <w:sz w:val="32"/>
          <w:szCs w:val="32"/>
          <w:highlight w:val="none"/>
          <w:lang w:val="zh-CN"/>
        </w:rPr>
        <w:t>第一部分</w:t>
      </w:r>
      <w:r>
        <w:rPr>
          <w:rFonts w:hint="eastAsia" w:ascii="仿宋" w:hAnsi="仿宋" w:eastAsia="仿宋"/>
          <w:b/>
          <w:color w:val="auto"/>
          <w:sz w:val="32"/>
          <w:szCs w:val="32"/>
          <w:highlight w:val="none"/>
        </w:rPr>
        <w:t xml:space="preserve">  </w:t>
      </w:r>
      <w:r>
        <w:rPr>
          <w:rFonts w:hint="eastAsia" w:ascii="仿宋" w:hAnsi="仿宋" w:eastAsia="仿宋"/>
          <w:b/>
          <w:color w:val="auto"/>
          <w:sz w:val="32"/>
          <w:szCs w:val="32"/>
          <w:highlight w:val="none"/>
          <w:lang w:val="zh-CN"/>
        </w:rPr>
        <w:t>磋商响应函</w:t>
      </w:r>
    </w:p>
    <w:p>
      <w:pPr>
        <w:autoSpaceDE w:val="0"/>
        <w:autoSpaceDN w:val="0"/>
        <w:adjustRightInd w:val="0"/>
        <w:snapToGrid w:val="0"/>
        <w:spacing w:line="312" w:lineRule="auto"/>
        <w:rPr>
          <w:rFonts w:ascii="仿宋_GB2312" w:hAnsi="仿宋_GB2312" w:eastAsia="仿宋_GB2312" w:cs="仿宋_GB2312"/>
          <w:b/>
          <w:bCs/>
          <w:color w:val="auto"/>
          <w:sz w:val="24"/>
          <w:highlight w:val="none"/>
          <w:lang w:val="zh-CN"/>
        </w:rPr>
      </w:pPr>
    </w:p>
    <w:p>
      <w:pPr>
        <w:autoSpaceDE w:val="0"/>
        <w:autoSpaceDN w:val="0"/>
        <w:adjustRightInd w:val="0"/>
        <w:snapToGrid w:val="0"/>
        <w:spacing w:line="312"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zh-CN"/>
        </w:rPr>
        <w:t>陕西星火工程管理有限公司：</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我单位收到贵公司</w:t>
      </w:r>
      <w:r>
        <w:rPr>
          <w:rFonts w:hint="eastAsia" w:ascii="仿宋_GB2312" w:hAnsi="仿宋_GB2312" w:eastAsia="仿宋_GB2312" w:cs="仿宋_GB2312"/>
          <w:color w:val="auto"/>
          <w:sz w:val="24"/>
          <w:highlight w:val="none"/>
          <w:u w:val="single"/>
          <w:lang w:val="zh-CN"/>
        </w:rPr>
        <w:t>（项目名称）</w:t>
      </w:r>
      <w:r>
        <w:rPr>
          <w:rFonts w:hint="eastAsia" w:ascii="仿宋_GB2312" w:hAnsi="仿宋_GB2312" w:eastAsia="仿宋_GB2312" w:cs="仿宋_GB2312"/>
          <w:color w:val="auto"/>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w:t>
      </w:r>
      <w:r>
        <w:rPr>
          <w:rFonts w:hint="eastAsia" w:ascii="仿宋_GB2312" w:hAnsi="仿宋_GB2312" w:eastAsia="仿宋_GB2312" w:cs="仿宋_GB2312"/>
          <w:color w:val="auto"/>
          <w:sz w:val="24"/>
          <w:highlight w:val="none"/>
          <w:lang w:val="zh-CN"/>
        </w:rPr>
        <w:t>、按竞争性磋商文件的规定，我公司的首次磋商响应报价为人民币（大写：</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zh-CN"/>
        </w:rPr>
        <w:t>、我方提交的响应文件正本</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份、副本</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份、电子版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份。</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七、我方的响应文件有效期为自磋商之日起</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u w:val="single"/>
        </w:rPr>
        <w:t xml:space="preserve">60 </w:t>
      </w:r>
      <w:r>
        <w:rPr>
          <w:rFonts w:hint="eastAsia" w:ascii="仿宋_GB2312" w:hAnsi="仿宋_GB2312" w:eastAsia="仿宋_GB2312" w:cs="仿宋_GB2312"/>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val="zh-CN"/>
        </w:rPr>
        <w:t>、如我方成交：</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地</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址：</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开户银行：</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帐</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号：</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电</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话：</w:t>
      </w:r>
      <w:r>
        <w:rPr>
          <w:rFonts w:hint="eastAsia" w:ascii="仿宋_GB2312" w:hAnsi="仿宋_GB2312" w:eastAsia="仿宋_GB2312" w:cs="仿宋_GB2312"/>
          <w:color w:val="auto"/>
          <w:sz w:val="24"/>
          <w:highlight w:val="none"/>
        </w:rPr>
        <w:t>_____________________</w:t>
      </w:r>
      <w:r>
        <w:rPr>
          <w:rFonts w:hint="eastAsia" w:ascii="仿宋_GB2312" w:hAnsi="仿宋_GB2312" w:eastAsia="仿宋_GB2312" w:cs="仿宋_GB2312"/>
          <w:color w:val="auto"/>
          <w:sz w:val="24"/>
          <w:highlight w:val="none"/>
          <w:lang w:val="zh-CN"/>
        </w:rPr>
        <w:t>传</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真：</w:t>
      </w:r>
      <w:r>
        <w:rPr>
          <w:rFonts w:hint="eastAsia" w:ascii="仿宋_GB2312" w:hAnsi="仿宋_GB2312" w:eastAsia="仿宋_GB2312" w:cs="仿宋_GB2312"/>
          <w:color w:val="auto"/>
          <w:sz w:val="24"/>
          <w:highlight w:val="none"/>
        </w:rPr>
        <w:t>________________</w:t>
      </w:r>
    </w:p>
    <w:p>
      <w:pPr>
        <w:pStyle w:val="23"/>
        <w:rPr>
          <w:rFonts w:ascii="仿宋_GB2312" w:hAnsi="仿宋_GB2312" w:eastAsia="仿宋_GB2312" w:cs="仿宋_GB2312"/>
          <w:color w:val="auto"/>
          <w:highlight w:val="none"/>
        </w:rPr>
      </w:pPr>
    </w:p>
    <w:p>
      <w:pPr>
        <w:autoSpaceDE w:val="0"/>
        <w:autoSpaceDN w:val="0"/>
        <w:adjustRightInd w:val="0"/>
        <w:snapToGrid w:val="0"/>
        <w:spacing w:line="312" w:lineRule="auto"/>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供应商全称（公章）：</w:t>
      </w:r>
    </w:p>
    <w:p>
      <w:pPr>
        <w:pStyle w:val="23"/>
        <w:rPr>
          <w:rFonts w:ascii="仿宋_GB2312" w:hAnsi="仿宋_GB2312" w:eastAsia="仿宋_GB2312" w:cs="仿宋_GB2312"/>
          <w:color w:val="auto"/>
          <w:highlight w:val="none"/>
          <w:lang w:val="zh-CN"/>
        </w:rPr>
      </w:pP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法定代表人或授权代表（签字）：</w:t>
      </w:r>
      <w:r>
        <w:rPr>
          <w:rFonts w:hint="eastAsia" w:ascii="仿宋_GB2312" w:hAnsi="仿宋_GB2312" w:eastAsia="仿宋_GB2312" w:cs="仿宋_GB2312"/>
          <w:color w:val="auto"/>
          <w:sz w:val="24"/>
          <w:highlight w:val="none"/>
        </w:rPr>
        <w:t>______________________________</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_____</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日</w:t>
      </w:r>
    </w:p>
    <w:p>
      <w:pPr>
        <w:pStyle w:val="23"/>
        <w:rPr>
          <w:rFonts w:ascii="仿宋_GB2312" w:hAnsi="仿宋_GB2312" w:eastAsia="仿宋_GB2312" w:cs="仿宋_GB2312"/>
          <w:color w:val="auto"/>
          <w:highlight w:val="none"/>
        </w:rPr>
      </w:pPr>
    </w:p>
    <w:p>
      <w:pPr>
        <w:pStyle w:val="197"/>
        <w:ind w:firstLine="2640" w:firstLineChars="1100"/>
        <w:rPr>
          <w:rFonts w:ascii="仿宋" w:hAnsi="仿宋" w:eastAsia="仿宋"/>
          <w:b/>
          <w:bCs/>
          <w:color w:val="auto"/>
          <w:sz w:val="32"/>
          <w:szCs w:val="32"/>
          <w:highlight w:val="none"/>
        </w:rPr>
      </w:pPr>
      <w:bookmarkStart w:id="461" w:name="_Hlt520356241"/>
      <w:bookmarkEnd w:id="461"/>
      <w:r>
        <w:rPr>
          <w:rFonts w:hint="eastAsia"/>
          <w:color w:val="auto"/>
          <w:highlight w:val="none"/>
        </w:rPr>
        <w:br w:type="page"/>
      </w:r>
      <w:bookmarkStart w:id="462" w:name="_Toc232395224"/>
      <w:bookmarkStart w:id="463" w:name="_Toc8496"/>
      <w:bookmarkStart w:id="464" w:name="_Toc230099805"/>
      <w:bookmarkStart w:id="465" w:name="_Toc256342154"/>
      <w:bookmarkStart w:id="466" w:name="_Toc249515371"/>
      <w:bookmarkStart w:id="467" w:name="_Toc230583554"/>
      <w:bookmarkStart w:id="468" w:name="_Toc232176284"/>
      <w:bookmarkStart w:id="469" w:name="_Toc415499901"/>
      <w:bookmarkStart w:id="470" w:name="_Toc230013640"/>
      <w:bookmarkStart w:id="471" w:name="_Toc249525252"/>
      <w:r>
        <w:rPr>
          <w:rFonts w:hint="eastAsia" w:ascii="仿宋" w:hAnsi="仿宋" w:eastAsia="仿宋"/>
          <w:b/>
          <w:color w:val="auto"/>
          <w:sz w:val="32"/>
          <w:szCs w:val="32"/>
          <w:highlight w:val="none"/>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首次响应</w:t>
      </w:r>
      <w:r>
        <w:rPr>
          <w:rFonts w:hint="eastAsia" w:ascii="仿宋_GB2312" w:hAnsi="仿宋_GB2312" w:eastAsia="仿宋_GB2312" w:cs="仿宋_GB2312"/>
          <w:b/>
          <w:bCs/>
          <w:color w:val="auto"/>
          <w:sz w:val="28"/>
          <w:szCs w:val="28"/>
          <w:highlight w:val="none"/>
          <w:lang w:val="zh-CN"/>
        </w:rPr>
        <w:t>报价表</w:t>
      </w:r>
    </w:p>
    <w:p>
      <w:pPr>
        <w:autoSpaceDE w:val="0"/>
        <w:autoSpaceDN w:val="0"/>
        <w:adjustRightInd w:val="0"/>
        <w:snapToGrid w:val="0"/>
        <w:spacing w:line="360" w:lineRule="auto"/>
        <w:jc w:val="right"/>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32"/>
          <w:szCs w:val="32"/>
          <w:highlight w:val="none"/>
        </w:rPr>
        <w:t xml:space="preserve">    </w:t>
      </w:r>
    </w:p>
    <w:tbl>
      <w:tblPr>
        <w:tblStyle w:val="52"/>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1598" w:type="dxa"/>
            <w:vAlign w:val="center"/>
          </w:tcPr>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w:t>
            </w:r>
          </w:p>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6981" w:type="dxa"/>
            <w:vAlign w:val="center"/>
          </w:tcPr>
          <w:p>
            <w:pPr>
              <w:pStyle w:val="23"/>
              <w:ind w:firstLine="720" w:firstLineChars="3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u w:val="single"/>
              </w:rPr>
              <w:t xml:space="preserve">              </w:t>
            </w:r>
          </w:p>
          <w:p>
            <w:pPr>
              <w:pStyle w:val="23"/>
              <w:ind w:firstLine="720" w:firstLineChars="3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981" w:type="dxa"/>
            <w:vAlign w:val="center"/>
          </w:tcPr>
          <w:p>
            <w:pPr>
              <w:pStyle w:val="23"/>
              <w:ind w:firstLine="720" w:firstLineChars="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大写：</w:t>
            </w:r>
            <w:r>
              <w:rPr>
                <w:rFonts w:hint="eastAsia" w:ascii="仿宋_GB2312" w:hAnsi="仿宋_GB2312" w:eastAsia="仿宋_GB2312" w:cs="仿宋_GB2312"/>
                <w:color w:val="auto"/>
                <w:sz w:val="24"/>
                <w:highlight w:val="none"/>
                <w:u w:val="single"/>
              </w:rPr>
              <w:t xml:space="preserve">人民币             </w:t>
            </w:r>
            <w:r>
              <w:rPr>
                <w:rFonts w:hint="eastAsia" w:ascii="仿宋_GB2312" w:hAnsi="仿宋_GB2312" w:eastAsia="仿宋_GB2312" w:cs="仿宋_GB2312"/>
                <w:color w:val="auto"/>
                <w:sz w:val="24"/>
                <w:highlight w:val="none"/>
              </w:rPr>
              <w:t xml:space="preserve"> </w:t>
            </w:r>
          </w:p>
          <w:p>
            <w:pPr>
              <w:pStyle w:val="23"/>
              <w:ind w:firstLine="720" w:firstLineChars="3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小写：</w:t>
            </w:r>
            <w:r>
              <w:rPr>
                <w:rFonts w:hint="eastAsia" w:ascii="宋体" w:hAnsi="宋体" w:eastAsia="宋体" w:cs="宋体"/>
                <w:color w:val="auto"/>
                <w:sz w:val="24"/>
                <w:highlight w:val="none"/>
                <w:u w:val="single"/>
              </w:rPr>
              <w:t>¥</w:t>
            </w:r>
            <w:r>
              <w:rPr>
                <w:rFonts w:hint="eastAsia" w:ascii="仿宋_GB2312" w:hAnsi="仿宋_GB2312" w:eastAsia="仿宋_GB2312" w:cs="仿宋_GB2312"/>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981" w:type="dxa"/>
            <w:vAlign w:val="center"/>
          </w:tcPr>
          <w:p>
            <w:pPr>
              <w:pStyle w:val="23"/>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981" w:type="dxa"/>
            <w:vAlign w:val="center"/>
          </w:tcPr>
          <w:p>
            <w:pPr>
              <w:pStyle w:val="23"/>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981" w:type="dxa"/>
            <w:vAlign w:val="center"/>
          </w:tcPr>
          <w:p>
            <w:pPr>
              <w:pStyle w:val="23"/>
              <w:rPr>
                <w:rFonts w:ascii="仿宋_GB2312" w:hAnsi="仿宋_GB2312" w:eastAsia="仿宋_GB2312" w:cs="仿宋_GB2312"/>
                <w:color w:val="auto"/>
                <w:sz w:val="24"/>
                <w:highlight w:val="none"/>
              </w:rPr>
            </w:pPr>
          </w:p>
        </w:tc>
      </w:tr>
    </w:tbl>
    <w:p>
      <w:pPr>
        <w:pStyle w:val="23"/>
        <w:rPr>
          <w:rFonts w:ascii="仿宋_GB2312" w:hAnsi="仿宋_GB2312" w:eastAsia="仿宋_GB2312" w:cs="仿宋_GB2312"/>
          <w:color w:val="auto"/>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240" w:firstLineChars="1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 xml:space="preserve">                                              </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 xml:space="preserve">年 </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w:t>
      </w: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（首次）分项报价表</w:t>
      </w:r>
    </w:p>
    <w:p>
      <w:pPr>
        <w:autoSpaceDE w:val="0"/>
        <w:autoSpaceDN w:val="0"/>
        <w:adjustRightInd w:val="0"/>
        <w:snapToGrid w:val="0"/>
        <w:spacing w:before="120" w:line="360" w:lineRule="auto"/>
        <w:ind w:left="-206" w:leftChars="-98"/>
        <w:jc w:val="center"/>
        <w:rPr>
          <w:rFonts w:hint="eastAsia" w:ascii="仿宋" w:hAnsi="仿宋" w:eastAsia="仿宋"/>
          <w:color w:val="auto"/>
          <w:kern w:val="0"/>
          <w:sz w:val="24"/>
          <w:szCs w:val="28"/>
          <w:highlight w:val="none"/>
          <w:lang w:eastAsia="zh-CN"/>
        </w:rPr>
      </w:pPr>
      <w:r>
        <w:rPr>
          <w:rFonts w:hint="eastAsia" w:ascii="仿宋" w:hAnsi="仿宋" w:eastAsia="仿宋"/>
          <w:color w:val="auto"/>
          <w:kern w:val="0"/>
          <w:sz w:val="24"/>
          <w:szCs w:val="28"/>
          <w:highlight w:val="none"/>
          <w:lang w:eastAsia="zh-CN"/>
        </w:rPr>
        <w:t>（格式自拟）</w:t>
      </w: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adjustRightInd w:val="0"/>
        <w:snapToGrid w:val="0"/>
        <w:spacing w:line="360" w:lineRule="auto"/>
        <w:ind w:firstLine="600" w:firstLineChars="250"/>
        <w:rPr>
          <w:rFonts w:ascii="仿宋_GB2312" w:hAnsi="仿宋" w:eastAsia="仿宋_GB2312"/>
          <w:color w:val="auto"/>
          <w:sz w:val="24"/>
          <w:highlight w:val="none"/>
        </w:rPr>
      </w:pPr>
      <w:r>
        <w:rPr>
          <w:rFonts w:hint="eastAsia" w:ascii="仿宋_GB2312" w:hAnsi="仿宋" w:eastAsia="仿宋_GB2312"/>
          <w:color w:val="auto"/>
          <w:sz w:val="24"/>
          <w:highlight w:val="none"/>
          <w:lang w:eastAsia="zh-CN"/>
        </w:rPr>
        <w:t>供应商</w:t>
      </w:r>
      <w:r>
        <w:rPr>
          <w:rFonts w:hint="eastAsia" w:ascii="仿宋_GB2312" w:hAnsi="仿宋" w:eastAsia="仿宋_GB2312"/>
          <w:color w:val="auto"/>
          <w:sz w:val="24"/>
          <w:highlight w:val="none"/>
        </w:rPr>
        <w:t xml:space="preserve">                                  法定代表人或授权代表</w:t>
      </w:r>
    </w:p>
    <w:p>
      <w:pPr>
        <w:adjustRightInd w:val="0"/>
        <w:snapToGrid w:val="0"/>
        <w:spacing w:line="360" w:lineRule="auto"/>
        <w:ind w:left="-525" w:leftChars="-250" w:firstLine="960" w:firstLineChars="400"/>
        <w:rPr>
          <w:rFonts w:ascii="仿宋_GB2312" w:hAnsi="仿宋" w:eastAsia="仿宋_GB2312"/>
          <w:color w:val="auto"/>
          <w:sz w:val="24"/>
          <w:highlight w:val="none"/>
        </w:rPr>
      </w:pPr>
      <w:r>
        <w:rPr>
          <w:rFonts w:hint="eastAsia" w:ascii="仿宋_GB2312" w:hAnsi="仿宋" w:eastAsia="仿宋_GB2312"/>
          <w:color w:val="auto"/>
          <w:sz w:val="24"/>
          <w:highlight w:val="none"/>
        </w:rPr>
        <w:t>（公章）：                                     （签字）：</w:t>
      </w:r>
    </w:p>
    <w:p>
      <w:pPr>
        <w:adjustRightInd w:val="0"/>
        <w:snapToGrid w:val="0"/>
        <w:spacing w:line="360" w:lineRule="auto"/>
        <w:jc w:val="center"/>
        <w:rPr>
          <w:rFonts w:ascii="仿宋_GB2312" w:hAnsi="仿宋_GB2312" w:eastAsia="仿宋_GB2312" w:cs="仿宋_GB2312"/>
          <w:b/>
          <w:color w:val="auto"/>
          <w:sz w:val="42"/>
          <w:highlight w:val="none"/>
        </w:rPr>
      </w:pPr>
    </w:p>
    <w:p>
      <w:pPr>
        <w:spacing w:line="288" w:lineRule="auto"/>
        <w:ind w:left="424" w:leftChars="202"/>
        <w:rPr>
          <w:rFonts w:ascii="仿宋_GB2312" w:hAnsi="仿宋_GB2312" w:eastAsia="仿宋_GB2312" w:cs="仿宋_GB2312"/>
          <w:bCs/>
          <w:color w:val="auto"/>
          <w:sz w:val="24"/>
          <w:highlight w:val="none"/>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62"/>
    <w:bookmarkEnd w:id="463"/>
    <w:bookmarkEnd w:id="464"/>
    <w:bookmarkEnd w:id="465"/>
    <w:bookmarkEnd w:id="466"/>
    <w:bookmarkEnd w:id="467"/>
    <w:bookmarkEnd w:id="468"/>
    <w:bookmarkEnd w:id="469"/>
    <w:bookmarkEnd w:id="470"/>
    <w:bookmarkEnd w:id="471"/>
    <w:p>
      <w:pPr>
        <w:pStyle w:val="197"/>
        <w:ind w:firstLine="3052" w:firstLineChars="950"/>
        <w:rPr>
          <w:rFonts w:ascii="仿宋" w:hAnsi="仿宋" w:eastAsia="仿宋"/>
          <w:b/>
          <w:color w:val="auto"/>
          <w:sz w:val="32"/>
          <w:szCs w:val="32"/>
          <w:highlight w:val="none"/>
        </w:rPr>
      </w:pPr>
      <w:bookmarkStart w:id="472" w:name="_Toc177995484"/>
      <w:bookmarkStart w:id="473" w:name="_Toc232176285"/>
      <w:bookmarkStart w:id="474" w:name="_Toc83547687"/>
      <w:bookmarkStart w:id="475" w:name="_Toc53722866"/>
      <w:bookmarkStart w:id="476" w:name="_Toc385992402"/>
      <w:bookmarkStart w:id="477" w:name="_Toc249525253"/>
      <w:bookmarkStart w:id="478" w:name="_Toc230099806"/>
      <w:bookmarkStart w:id="479" w:name="_Toc177189246"/>
      <w:bookmarkStart w:id="480" w:name="_Toc415499902"/>
      <w:bookmarkStart w:id="481" w:name="_Toc500747011"/>
      <w:bookmarkStart w:id="482" w:name="_Toc230583555"/>
      <w:bookmarkStart w:id="483" w:name="_Toc177817345"/>
      <w:bookmarkStart w:id="484" w:name="_Toc249515372"/>
      <w:bookmarkStart w:id="485" w:name="_Toc500747107"/>
      <w:bookmarkStart w:id="486" w:name="_Toc225933091"/>
      <w:bookmarkStart w:id="487" w:name="_Toc70687203"/>
      <w:bookmarkStart w:id="488" w:name="_Toc499711929"/>
      <w:bookmarkStart w:id="489" w:name="_Toc184043059"/>
      <w:bookmarkStart w:id="490" w:name="_Toc503063459"/>
      <w:bookmarkStart w:id="491" w:name="_Toc499711088"/>
      <w:bookmarkStart w:id="492" w:name="_Toc500747234"/>
      <w:bookmarkStart w:id="493" w:name="_Toc496324624"/>
      <w:bookmarkStart w:id="494" w:name="_Toc176882553"/>
      <w:bookmarkStart w:id="495" w:name="_Toc232395225"/>
      <w:bookmarkStart w:id="496" w:name="_Toc256342155"/>
      <w:bookmarkStart w:id="497" w:name="_Toc492955460"/>
      <w:bookmarkStart w:id="498" w:name="_Toc389620242"/>
      <w:bookmarkStart w:id="499" w:name="_Toc230013641"/>
      <w:r>
        <w:rPr>
          <w:rFonts w:hint="eastAsia" w:ascii="仿宋" w:hAnsi="仿宋" w:eastAsia="仿宋"/>
          <w:b/>
          <w:color w:val="auto"/>
          <w:sz w:val="32"/>
          <w:szCs w:val="32"/>
          <w:highlight w:val="none"/>
        </w:rPr>
        <w:t>第三部分  偏离表</w:t>
      </w:r>
    </w:p>
    <w:p>
      <w:pPr>
        <w:rPr>
          <w:rFonts w:ascii="仿宋_GB2312" w:hAnsi="仿宋_GB2312" w:eastAsia="仿宋_GB2312" w:cs="仿宋_GB2312"/>
          <w:color w:val="auto"/>
          <w:highlight w:val="none"/>
        </w:rPr>
      </w:pPr>
    </w:p>
    <w:p>
      <w:pPr>
        <w:autoSpaceDE w:val="0"/>
        <w:autoSpaceDN w:val="0"/>
        <w:adjustRightInd w:val="0"/>
        <w:snapToGrid w:val="0"/>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一、商务、合同条款偏离表</w:t>
      </w:r>
    </w:p>
    <w:p>
      <w:pPr>
        <w:pStyle w:val="30"/>
        <w:ind w:left="645" w:leftChars="307" w:right="560"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项目编号:</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3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835" w:type="dxa"/>
          </w:tcPr>
          <w:p>
            <w:pPr>
              <w:pStyle w:val="3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磋商文件商务、合同条款</w:t>
            </w:r>
          </w:p>
        </w:tc>
        <w:tc>
          <w:tcPr>
            <w:tcW w:w="1701" w:type="dxa"/>
          </w:tcPr>
          <w:p>
            <w:pPr>
              <w:pStyle w:val="3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完全响应</w:t>
            </w:r>
          </w:p>
        </w:tc>
        <w:tc>
          <w:tcPr>
            <w:tcW w:w="1417" w:type="dxa"/>
          </w:tcPr>
          <w:p>
            <w:pPr>
              <w:pStyle w:val="3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有偏离</w:t>
            </w:r>
          </w:p>
        </w:tc>
        <w:tc>
          <w:tcPr>
            <w:tcW w:w="2195" w:type="dxa"/>
          </w:tcPr>
          <w:p>
            <w:pPr>
              <w:pStyle w:val="3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jc w:val="center"/>
              <w:rPr>
                <w:rFonts w:ascii="仿宋_GB2312" w:hAnsi="仿宋_GB2312" w:eastAsia="仿宋_GB2312" w:cs="仿宋_GB2312"/>
                <w:color w:val="auto"/>
                <w:sz w:val="24"/>
                <w:szCs w:val="24"/>
                <w:highlight w:val="none"/>
              </w:rPr>
            </w:pPr>
          </w:p>
        </w:tc>
        <w:tc>
          <w:tcPr>
            <w:tcW w:w="2835" w:type="dxa"/>
          </w:tcPr>
          <w:p>
            <w:pPr>
              <w:pStyle w:val="3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交货</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服务地点)</w:t>
            </w:r>
          </w:p>
        </w:tc>
        <w:tc>
          <w:tcPr>
            <w:tcW w:w="1701" w:type="dxa"/>
          </w:tcPr>
          <w:p>
            <w:pPr>
              <w:pStyle w:val="30"/>
              <w:jc w:val="center"/>
              <w:rPr>
                <w:rFonts w:ascii="仿宋_GB2312" w:hAnsi="仿宋_GB2312" w:eastAsia="仿宋_GB2312" w:cs="仿宋_GB2312"/>
                <w:color w:val="auto"/>
                <w:sz w:val="24"/>
                <w:szCs w:val="24"/>
                <w:highlight w:val="none"/>
              </w:rPr>
            </w:pPr>
          </w:p>
        </w:tc>
        <w:tc>
          <w:tcPr>
            <w:tcW w:w="1417" w:type="dxa"/>
          </w:tcPr>
          <w:p>
            <w:pPr>
              <w:pStyle w:val="30"/>
              <w:jc w:val="center"/>
              <w:rPr>
                <w:rFonts w:ascii="仿宋_GB2312" w:hAnsi="仿宋_GB2312" w:eastAsia="仿宋_GB2312" w:cs="仿宋_GB2312"/>
                <w:color w:val="auto"/>
                <w:sz w:val="24"/>
                <w:szCs w:val="24"/>
                <w:highlight w:val="none"/>
              </w:rPr>
            </w:pPr>
          </w:p>
        </w:tc>
        <w:tc>
          <w:tcPr>
            <w:tcW w:w="2195" w:type="dxa"/>
          </w:tcPr>
          <w:p>
            <w:pPr>
              <w:pStyle w:val="30"/>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color w:val="auto"/>
                <w:sz w:val="24"/>
                <w:szCs w:val="24"/>
                <w:highlight w:val="none"/>
                <w:lang w:eastAsia="zh-CN"/>
              </w:rPr>
              <w:t>交货</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highlight w:val="none"/>
              </w:rPr>
              <w:t>服务</w:t>
            </w:r>
            <w:r>
              <w:rPr>
                <w:rFonts w:hint="eastAsia" w:ascii="仿宋_GB2312" w:hAnsi="仿宋_GB2312" w:eastAsia="仿宋_GB2312" w:cs="仿宋_GB2312"/>
                <w:bCs/>
                <w:color w:val="auto"/>
                <w:sz w:val="24"/>
                <w:highlight w:val="none"/>
              </w:rPr>
              <w:t>期)</w:t>
            </w:r>
          </w:p>
        </w:tc>
        <w:tc>
          <w:tcPr>
            <w:tcW w:w="1701" w:type="dxa"/>
          </w:tcPr>
          <w:p>
            <w:pPr>
              <w:pStyle w:val="30"/>
              <w:ind w:left="1080" w:leftChars="257" w:hanging="540"/>
              <w:jc w:val="center"/>
              <w:rPr>
                <w:rFonts w:ascii="仿宋_GB2312" w:hAnsi="仿宋_GB2312" w:eastAsia="仿宋_GB2312" w:cs="仿宋_GB2312"/>
                <w:color w:val="auto"/>
                <w:sz w:val="24"/>
                <w:szCs w:val="24"/>
                <w:highlight w:val="none"/>
              </w:rPr>
            </w:pPr>
          </w:p>
        </w:tc>
        <w:tc>
          <w:tcPr>
            <w:tcW w:w="1417" w:type="dxa"/>
          </w:tcPr>
          <w:p>
            <w:pPr>
              <w:pStyle w:val="30"/>
              <w:ind w:left="1080" w:leftChars="257" w:hanging="540"/>
              <w:jc w:val="center"/>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(付款方式)</w:t>
            </w: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w:t>
            </w: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tcPr>
          <w:p>
            <w:pPr>
              <w:pStyle w:val="30"/>
              <w:ind w:left="1080" w:leftChars="257" w:hanging="540"/>
              <w:rPr>
                <w:rFonts w:ascii="仿宋_GB2312" w:hAnsi="仿宋_GB2312" w:eastAsia="仿宋_GB2312" w:cs="仿宋_GB2312"/>
                <w:color w:val="auto"/>
                <w:sz w:val="24"/>
                <w:szCs w:val="24"/>
                <w:highlight w:val="none"/>
              </w:rPr>
            </w:pP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tcPr>
          <w:p>
            <w:pPr>
              <w:pStyle w:val="30"/>
              <w:ind w:left="1080" w:leftChars="257" w:hanging="540"/>
              <w:rPr>
                <w:rFonts w:ascii="仿宋_GB2312" w:hAnsi="仿宋_GB2312" w:eastAsia="仿宋_GB2312" w:cs="仿宋_GB2312"/>
                <w:color w:val="auto"/>
                <w:sz w:val="24"/>
                <w:szCs w:val="24"/>
                <w:highlight w:val="none"/>
              </w:rPr>
            </w:pP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tcPr>
          <w:p>
            <w:pPr>
              <w:pStyle w:val="30"/>
              <w:ind w:left="1080" w:leftChars="257" w:hanging="540"/>
              <w:rPr>
                <w:rFonts w:ascii="仿宋_GB2312" w:hAnsi="仿宋_GB2312" w:eastAsia="仿宋_GB2312" w:cs="仿宋_GB2312"/>
                <w:color w:val="auto"/>
                <w:sz w:val="24"/>
                <w:szCs w:val="24"/>
                <w:highlight w:val="none"/>
              </w:rPr>
            </w:pP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30"/>
              <w:ind w:left="1080" w:leftChars="257" w:hanging="540"/>
              <w:rPr>
                <w:rFonts w:ascii="仿宋_GB2312" w:hAnsi="仿宋_GB2312" w:eastAsia="仿宋_GB2312" w:cs="仿宋_GB2312"/>
                <w:color w:val="auto"/>
                <w:sz w:val="24"/>
                <w:szCs w:val="24"/>
                <w:highlight w:val="none"/>
              </w:rPr>
            </w:pPr>
          </w:p>
        </w:tc>
        <w:tc>
          <w:tcPr>
            <w:tcW w:w="2835" w:type="dxa"/>
          </w:tcPr>
          <w:p>
            <w:pPr>
              <w:pStyle w:val="30"/>
              <w:ind w:left="1080" w:leftChars="257" w:hanging="540"/>
              <w:rPr>
                <w:rFonts w:ascii="仿宋_GB2312" w:hAnsi="仿宋_GB2312" w:eastAsia="仿宋_GB2312" w:cs="仿宋_GB2312"/>
                <w:color w:val="auto"/>
                <w:sz w:val="24"/>
                <w:szCs w:val="24"/>
                <w:highlight w:val="none"/>
              </w:rPr>
            </w:pPr>
          </w:p>
        </w:tc>
        <w:tc>
          <w:tcPr>
            <w:tcW w:w="1701" w:type="dxa"/>
          </w:tcPr>
          <w:p>
            <w:pPr>
              <w:pStyle w:val="30"/>
              <w:ind w:left="1080" w:leftChars="257" w:hanging="540"/>
              <w:rPr>
                <w:rFonts w:ascii="仿宋_GB2312" w:hAnsi="仿宋_GB2312" w:eastAsia="仿宋_GB2312" w:cs="仿宋_GB2312"/>
                <w:color w:val="auto"/>
                <w:sz w:val="24"/>
                <w:szCs w:val="24"/>
                <w:highlight w:val="none"/>
              </w:rPr>
            </w:pPr>
          </w:p>
        </w:tc>
        <w:tc>
          <w:tcPr>
            <w:tcW w:w="1417" w:type="dxa"/>
          </w:tcPr>
          <w:p>
            <w:pPr>
              <w:pStyle w:val="30"/>
              <w:ind w:left="1080" w:leftChars="257" w:hanging="540"/>
              <w:rPr>
                <w:rFonts w:ascii="仿宋_GB2312" w:hAnsi="仿宋_GB2312" w:eastAsia="仿宋_GB2312" w:cs="仿宋_GB2312"/>
                <w:color w:val="auto"/>
                <w:sz w:val="24"/>
                <w:szCs w:val="24"/>
                <w:highlight w:val="none"/>
              </w:rPr>
            </w:pPr>
          </w:p>
        </w:tc>
        <w:tc>
          <w:tcPr>
            <w:tcW w:w="2195" w:type="dxa"/>
          </w:tcPr>
          <w:p>
            <w:pPr>
              <w:pStyle w:val="30"/>
              <w:ind w:left="1080" w:leftChars="257" w:hanging="540"/>
              <w:rPr>
                <w:rFonts w:ascii="仿宋_GB2312" w:hAnsi="仿宋_GB2312" w:eastAsia="仿宋_GB2312" w:cs="仿宋_GB2312"/>
                <w:color w:val="auto"/>
                <w:sz w:val="24"/>
                <w:szCs w:val="24"/>
                <w:highlight w:val="none"/>
              </w:rPr>
            </w:pPr>
          </w:p>
        </w:tc>
      </w:tr>
    </w:tbl>
    <w:p>
      <w:pPr>
        <w:pStyle w:val="30"/>
        <w:ind w:left="1080" w:leftChars="257" w:hanging="540"/>
        <w:rPr>
          <w:rFonts w:ascii="仿宋_GB2312" w:hAnsi="仿宋_GB2312" w:eastAsia="仿宋_GB2312" w:cs="仿宋_GB2312"/>
          <w:color w:val="auto"/>
          <w:sz w:val="24"/>
          <w:szCs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供应商（公章）：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法定代表人或其授权代表（签字或盖章）：</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320" w:firstLineChars="18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snapToGrid w:val="0"/>
        <w:spacing w:afterLines="50"/>
        <w:ind w:left="910" w:leftChars="203" w:hanging="48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1、对完全响应的，在下表相应列中标注“√”。对有偏离的条目在本表相应列中标注“正偏离”或“负偏离”，并在“偏离简述”栏中加以说明。</w:t>
      </w:r>
    </w:p>
    <w:p>
      <w:pPr>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正偏离是指应答的条件高于磋商文件要求，负偏离是指应答的条件低于磋商文件要求，正偏离项目不作扣分处理。</w:t>
      </w:r>
    </w:p>
    <w:p>
      <w:pPr>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供应商须完整填写响应表。如果未完整填写本表的各项内容则视作供应商已经对磋商文件相关要求和内容完全理解并同意，其报价为在此基础上的完全价格。</w:t>
      </w:r>
    </w:p>
    <w:p>
      <w:pPr>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30"/>
        <w:ind w:left="1080" w:leftChars="257" w:hanging="540"/>
        <w:rPr>
          <w:rFonts w:ascii="仿宋_GB2312" w:hAnsi="仿宋_GB2312" w:eastAsia="仿宋_GB2312" w:cs="仿宋_GB2312"/>
          <w:color w:val="auto"/>
          <w:sz w:val="24"/>
          <w:szCs w:val="24"/>
          <w:highlight w:val="none"/>
        </w:rPr>
      </w:pPr>
    </w:p>
    <w:p>
      <w:pPr>
        <w:rPr>
          <w:rFonts w:ascii="仿宋_GB2312" w:hAnsi="仿宋_GB2312" w:eastAsia="仿宋_GB2312" w:cs="仿宋_GB2312"/>
          <w:b/>
          <w:color w:val="auto"/>
          <w:sz w:val="28"/>
          <w:szCs w:val="28"/>
          <w:highlight w:val="none"/>
        </w:rPr>
      </w:pPr>
      <w:bookmarkStart w:id="500" w:name="_Toc414445775"/>
      <w:bookmarkStart w:id="501" w:name="_Toc410631184"/>
      <w:bookmarkStart w:id="502" w:name="_Toc7005136"/>
      <w:bookmarkStart w:id="503" w:name="_Toc416103825"/>
      <w:r>
        <w:rPr>
          <w:rFonts w:hint="eastAsia" w:ascii="仿宋_GB2312" w:hAnsi="仿宋_GB2312" w:eastAsia="仿宋_GB2312" w:cs="仿宋_GB2312"/>
          <w:b/>
          <w:color w:val="auto"/>
          <w:sz w:val="28"/>
          <w:szCs w:val="28"/>
          <w:highlight w:val="none"/>
        </w:rPr>
        <w:br w:type="page"/>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二、技术偏离表</w:t>
      </w:r>
      <w:bookmarkEnd w:id="500"/>
      <w:bookmarkEnd w:id="501"/>
      <w:bookmarkEnd w:id="502"/>
      <w:bookmarkEnd w:id="503"/>
    </w:p>
    <w:p>
      <w:pPr>
        <w:spacing w:after="240"/>
        <w:ind w:hanging="119"/>
        <w:rPr>
          <w:rFonts w:ascii="仿宋_GB2312" w:hAnsi="仿宋_GB2312" w:eastAsia="仿宋_GB2312" w:cs="仿宋_GB2312"/>
          <w:color w:val="auto"/>
          <w:highlight w:val="none"/>
        </w:rPr>
      </w:pPr>
    </w:p>
    <w:p>
      <w:pPr>
        <w:spacing w:after="240"/>
        <w:ind w:left="105" w:leftChars="50"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项目编号:</w:t>
      </w:r>
    </w:p>
    <w:tbl>
      <w:tblPr>
        <w:tblStyle w:val="52"/>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磋商文件条目号</w:t>
            </w:r>
          </w:p>
        </w:tc>
        <w:tc>
          <w:tcPr>
            <w:tcW w:w="1932"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技术条款要求</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完全响应</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有偏离</w:t>
            </w:r>
          </w:p>
        </w:tc>
        <w:tc>
          <w:tcPr>
            <w:tcW w:w="2394"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bl>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供应商（公章）： </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法定代表人或其授权代表（签字或盖章）：</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spacing w:line="360" w:lineRule="auto"/>
        <w:rPr>
          <w:rFonts w:ascii="仿宋_GB2312" w:hAnsi="仿宋_GB2312" w:eastAsia="仿宋_GB2312" w:cs="仿宋_GB2312"/>
          <w:color w:val="auto"/>
          <w:highlight w:val="none"/>
        </w:rPr>
      </w:pPr>
    </w:p>
    <w:p>
      <w:pPr>
        <w:snapToGrid w:val="0"/>
        <w:spacing w:afterLines="50"/>
        <w:ind w:left="850" w:hanging="850" w:hangingChars="40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注：1.</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正偏离是指应答的条件高于磋商文件要求，负偏离是指应答的条件低于磋商文件要求，正偏离项目不作扣分处理。</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highlight w:val="none"/>
        </w:rPr>
        <w:br w:type="page"/>
      </w:r>
    </w:p>
    <w:p>
      <w:pPr>
        <w:pStyle w:val="197"/>
        <w:ind w:firstLine="2570" w:firstLineChars="800"/>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  响应方案说明</w:t>
      </w:r>
    </w:p>
    <w:p>
      <w:pPr>
        <w:pStyle w:val="23"/>
        <w:rPr>
          <w:rFonts w:ascii="仿宋_GB2312" w:hAnsi="仿宋_GB2312" w:eastAsia="仿宋_GB2312" w:cs="仿宋_GB2312"/>
          <w:color w:val="auto"/>
          <w:highlight w:val="none"/>
          <w:lang w:val="zh-CN"/>
        </w:rPr>
      </w:pPr>
    </w:p>
    <w:p>
      <w:pPr>
        <w:autoSpaceDE w:val="0"/>
        <w:autoSpaceDN w:val="0"/>
        <w:adjustRightInd w:val="0"/>
        <w:spacing w:line="360"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（格式自拟，内容需符合评审办法中要求的内容要求）</w:t>
      </w:r>
    </w:p>
    <w:p>
      <w:pPr>
        <w:pStyle w:val="23"/>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Pr>
        <w:pStyle w:val="197"/>
        <w:ind w:firstLine="0"/>
        <w:rPr>
          <w:rFonts w:ascii="仿宋" w:hAnsi="仿宋" w:eastAsia="仿宋"/>
          <w:b/>
          <w:color w:val="auto"/>
          <w:sz w:val="32"/>
          <w:szCs w:val="32"/>
          <w:highlight w:val="none"/>
        </w:rPr>
      </w:pPr>
      <w:r>
        <w:rPr>
          <w:rFonts w:hint="eastAsia" w:ascii="仿宋" w:hAnsi="仿宋" w:eastAsia="仿宋"/>
          <w:b/>
          <w:color w:val="auto"/>
          <w:sz w:val="32"/>
          <w:szCs w:val="32"/>
          <w:highlight w:val="none"/>
        </w:rPr>
        <w:t>第五部分 小微企业、监狱企业、残疾人福利单位声明函或证明</w:t>
      </w:r>
    </w:p>
    <w:p>
      <w:pPr>
        <w:pStyle w:val="197"/>
        <w:rPr>
          <w:rFonts w:ascii="仿宋" w:hAnsi="仿宋" w:eastAsia="仿宋"/>
          <w:b/>
          <w:bCs/>
          <w:color w:val="auto"/>
          <w:sz w:val="32"/>
          <w:szCs w:val="32"/>
          <w:highlight w:val="none"/>
        </w:rPr>
      </w:pPr>
    </w:p>
    <w:p>
      <w:pPr>
        <w:jc w:val="center"/>
        <w:rPr>
          <w:rFonts w:ascii="仿宋_GB2312" w:hAnsi="仿宋_GB2312" w:eastAsia="仿宋_GB2312" w:cs="仿宋_GB2312"/>
          <w:b/>
          <w:color w:val="auto"/>
          <w:kern w:val="0"/>
          <w:sz w:val="28"/>
          <w:szCs w:val="28"/>
          <w:highlight w:val="none"/>
        </w:rPr>
      </w:pPr>
      <w:bookmarkStart w:id="504" w:name="_Toc7005133"/>
      <w:r>
        <w:rPr>
          <w:rFonts w:hint="eastAsia" w:ascii="仿宋_GB2312" w:hAnsi="仿宋_GB2312" w:eastAsia="仿宋_GB2312" w:cs="仿宋_GB2312"/>
          <w:b/>
          <w:color w:val="auto"/>
          <w:kern w:val="0"/>
          <w:sz w:val="28"/>
          <w:szCs w:val="28"/>
          <w:highlight w:val="none"/>
        </w:rPr>
        <w:t>一、中小企业声明函(工程、服务)</w:t>
      </w:r>
    </w:p>
    <w:p>
      <w:pPr>
        <w:rPr>
          <w:rFonts w:ascii="仿宋_GB2312" w:hAnsi="仿宋_GB2312" w:eastAsia="仿宋_GB2312" w:cs="仿宋_GB2312"/>
          <w:color w:val="auto"/>
          <w:kern w:val="0"/>
          <w:sz w:val="30"/>
          <w:szCs w:val="30"/>
          <w:highlight w:val="none"/>
        </w:rPr>
      </w:pP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i/>
          <w:color w:val="auto"/>
          <w:kern w:val="0"/>
          <w:sz w:val="24"/>
          <w:highlight w:val="none"/>
          <w:u w:val="single"/>
        </w:rPr>
        <w:t>(单位名称)</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的</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i/>
          <w:color w:val="auto"/>
          <w:kern w:val="0"/>
          <w:sz w:val="24"/>
          <w:highlight w:val="none"/>
          <w:u w:val="single"/>
        </w:rPr>
        <w:t>(项目名称)</w:t>
      </w:r>
      <w:r>
        <w:rPr>
          <w:rFonts w:hint="eastAsia" w:ascii="仿宋_GB2312" w:hAnsi="仿宋_GB2312" w:eastAsia="仿宋_GB2312" w:cs="仿宋_GB2312"/>
          <w:color w:val="auto"/>
          <w:kern w:val="0"/>
          <w:sz w:val="24"/>
          <w:highlight w:val="none"/>
          <w:u w:val="single"/>
        </w:rPr>
        <w:t xml:space="preserve"> 采购</w:t>
      </w:r>
      <w:r>
        <w:rPr>
          <w:rFonts w:hint="eastAsia" w:ascii="仿宋_GB2312" w:hAnsi="仿宋_GB2312" w:eastAsia="仿宋_GB2312" w:cs="仿宋_GB2312"/>
          <w:color w:val="auto"/>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pStyle w:val="69"/>
        <w:numPr>
          <w:ilvl w:val="0"/>
          <w:numId w:val="21"/>
        </w:numPr>
        <w:spacing w:line="560" w:lineRule="exact"/>
        <w:ind w:firstLineChars="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i/>
          <w:color w:val="auto"/>
          <w:kern w:val="0"/>
          <w:sz w:val="24"/>
          <w:szCs w:val="24"/>
          <w:highlight w:val="none"/>
          <w:u w:val="single"/>
        </w:rPr>
        <w:t xml:space="preserve"> (标的名称) </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i/>
          <w:color w:val="auto"/>
          <w:kern w:val="0"/>
          <w:sz w:val="24"/>
          <w:szCs w:val="24"/>
          <w:highlight w:val="none"/>
          <w:u w:val="single"/>
        </w:rPr>
        <w:t>(租赁和商务服务业)</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；承建(承接)企业为</w:t>
      </w:r>
      <w:r>
        <w:rPr>
          <w:rFonts w:hint="eastAsia" w:ascii="仿宋_GB2312" w:hAnsi="仿宋_GB2312" w:eastAsia="仿宋_GB2312" w:cs="仿宋_GB2312"/>
          <w:i/>
          <w:color w:val="auto"/>
          <w:kern w:val="0"/>
          <w:sz w:val="24"/>
          <w:szCs w:val="24"/>
          <w:highlight w:val="none"/>
          <w:u w:val="single"/>
        </w:rPr>
        <w:t xml:space="preserve"> (企业名称) </w:t>
      </w:r>
      <w:r>
        <w:rPr>
          <w:rFonts w:hint="eastAsia" w:ascii="仿宋_GB2312" w:hAnsi="仿宋_GB2312" w:eastAsia="仿宋_GB2312" w:cs="仿宋_GB2312"/>
          <w:color w:val="auto"/>
          <w:kern w:val="0"/>
          <w:sz w:val="24"/>
          <w:szCs w:val="24"/>
          <w:highlight w:val="none"/>
        </w:rPr>
        <w:t>，从业人员</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人，营业收入为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万元，资产总额为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万元，属于</w:t>
      </w:r>
      <w:r>
        <w:rPr>
          <w:rFonts w:hint="eastAsia" w:ascii="仿宋_GB2312" w:hAnsi="仿宋_GB2312" w:eastAsia="仿宋_GB2312" w:cs="仿宋_GB2312"/>
          <w:i/>
          <w:color w:val="auto"/>
          <w:kern w:val="0"/>
          <w:sz w:val="24"/>
          <w:szCs w:val="24"/>
          <w:highlight w:val="none"/>
          <w:u w:val="single"/>
        </w:rPr>
        <w:t xml:space="preserve"> (中型企必、小型企业、微型企业) </w:t>
      </w:r>
      <w:r>
        <w:rPr>
          <w:rFonts w:hint="eastAsia" w:ascii="仿宋_GB2312" w:hAnsi="仿宋_GB2312" w:eastAsia="仿宋_GB2312" w:cs="仿宋_GB2312"/>
          <w:color w:val="auto"/>
          <w:kern w:val="0"/>
          <w:sz w:val="24"/>
          <w:szCs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2. </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i/>
          <w:color w:val="auto"/>
          <w:kern w:val="0"/>
          <w:sz w:val="24"/>
          <w:highlight w:val="none"/>
          <w:u w:val="single"/>
        </w:rPr>
        <w:t xml:space="preserve">(标的名称) </w:t>
      </w:r>
      <w:r>
        <w:rPr>
          <w:rFonts w:hint="eastAsia" w:ascii="仿宋_GB2312" w:hAnsi="仿宋_GB2312" w:eastAsia="仿宋_GB2312" w:cs="仿宋_GB2312"/>
          <w:color w:val="auto"/>
          <w:kern w:val="0"/>
          <w:sz w:val="24"/>
          <w:highlight w:val="none"/>
        </w:rPr>
        <w:t>，属于</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i/>
          <w:color w:val="auto"/>
          <w:kern w:val="0"/>
          <w:sz w:val="24"/>
          <w:highlight w:val="none"/>
          <w:u w:val="single"/>
        </w:rPr>
        <w:t>(租赁和商务服务业)</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；承建(承接)企业为</w:t>
      </w:r>
      <w:r>
        <w:rPr>
          <w:rFonts w:hint="eastAsia" w:ascii="仿宋_GB2312" w:hAnsi="仿宋_GB2312" w:eastAsia="仿宋_GB2312" w:cs="仿宋_GB2312"/>
          <w:i/>
          <w:color w:val="auto"/>
          <w:kern w:val="0"/>
          <w:sz w:val="24"/>
          <w:highlight w:val="none"/>
          <w:u w:val="single"/>
        </w:rPr>
        <w:t xml:space="preserve"> (企业名称) </w:t>
      </w:r>
      <w:r>
        <w:rPr>
          <w:rFonts w:hint="eastAsia" w:ascii="仿宋_GB2312" w:hAnsi="仿宋_GB2312" w:eastAsia="仿宋_GB2312" w:cs="仿宋_GB2312"/>
          <w:color w:val="auto"/>
          <w:kern w:val="0"/>
          <w:sz w:val="24"/>
          <w:highlight w:val="none"/>
        </w:rPr>
        <w:t>，从业人员</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人，营业收入为</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万元，资产总额为</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万元，属于</w:t>
      </w:r>
      <w:r>
        <w:rPr>
          <w:rFonts w:hint="eastAsia" w:ascii="仿宋_GB2312" w:hAnsi="仿宋_GB2312" w:eastAsia="仿宋_GB2312" w:cs="仿宋_GB2312"/>
          <w:i/>
          <w:color w:val="auto"/>
          <w:kern w:val="0"/>
          <w:sz w:val="24"/>
          <w:highlight w:val="none"/>
          <w:u w:val="single"/>
        </w:rPr>
        <w:t xml:space="preserve"> (中型企必、小型企业、微型企业) </w:t>
      </w: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本企业对上述声明内容的真实性负责。如有虚假，将依法承担相应责任。</w:t>
      </w:r>
    </w:p>
    <w:p>
      <w:pPr>
        <w:spacing w:line="56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企业名称(盖章):</w:t>
      </w:r>
    </w:p>
    <w:p>
      <w:pPr>
        <w:spacing w:line="560" w:lineRule="exact"/>
        <w:ind w:firstLine="4320" w:firstLineChars="18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日期：</w:t>
      </w:r>
    </w:p>
    <w:p>
      <w:pPr>
        <w:spacing w:line="560" w:lineRule="exact"/>
        <w:ind w:firstLine="5400" w:firstLineChars="1800"/>
        <w:rPr>
          <w:rFonts w:ascii="仿宋_GB2312" w:hAnsi="仿宋_GB2312" w:eastAsia="仿宋_GB2312" w:cs="仿宋_GB2312"/>
          <w:color w:val="auto"/>
          <w:kern w:val="0"/>
          <w:sz w:val="30"/>
          <w:szCs w:val="30"/>
          <w:highlight w:val="none"/>
        </w:rPr>
      </w:pPr>
    </w:p>
    <w:p>
      <w:pPr>
        <w:rPr>
          <w:rFonts w:ascii="仿宋_GB2312" w:hAnsi="仿宋_GB2312" w:eastAsia="仿宋_GB2312" w:cs="仿宋_GB2312"/>
          <w:color w:val="auto"/>
          <w:kern w:val="0"/>
          <w:sz w:val="30"/>
          <w:szCs w:val="30"/>
          <w:highlight w:val="none"/>
          <w:u w:val="single"/>
        </w:rPr>
      </w:pPr>
      <w:r>
        <w:rPr>
          <w:rFonts w:hint="eastAsia" w:ascii="仿宋_GB2312" w:hAnsi="仿宋_GB2312" w:eastAsia="仿宋_GB2312" w:cs="仿宋_GB2312"/>
          <w:color w:val="auto"/>
          <w:kern w:val="0"/>
          <w:sz w:val="30"/>
          <w:szCs w:val="30"/>
          <w:highlight w:val="none"/>
        </w:rPr>
        <w:t xml:space="preserve"> </w:t>
      </w:r>
      <w:r>
        <w:rPr>
          <w:rFonts w:hint="eastAsia" w:ascii="仿宋_GB2312" w:hAnsi="仿宋_GB2312" w:eastAsia="仿宋_GB2312" w:cs="仿宋_GB2312"/>
          <w:color w:val="auto"/>
          <w:kern w:val="0"/>
          <w:sz w:val="30"/>
          <w:szCs w:val="30"/>
          <w:highlight w:val="none"/>
          <w:u w:val="single"/>
        </w:rPr>
        <w:t xml:space="preserve">                                                   </w:t>
      </w:r>
    </w:p>
    <w:p>
      <w:pPr>
        <w:ind w:firstLine="105" w:firstLineChars="5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（从业人员、营业收入、资产总额填报上一年度数据，无上一年度数据的新成立企业可不填报）</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pP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二、监狱企业证明</w:t>
      </w:r>
      <w:bookmarkEnd w:id="504"/>
    </w:p>
    <w:p>
      <w:pPr>
        <w:spacing w:after="120"/>
        <w:rPr>
          <w:rFonts w:ascii="仿宋_GB2312" w:hAnsi="仿宋_GB2312" w:eastAsia="仿宋_GB2312" w:cs="仿宋_GB2312"/>
          <w:color w:val="auto"/>
          <w:highlight w:val="none"/>
        </w:rPr>
      </w:pPr>
    </w:p>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（注：符合条件的监狱企业请提供本函，不符合的不提供本函）</w:t>
      </w:r>
    </w:p>
    <w:p>
      <w:pPr>
        <w:snapToGrid w:val="0"/>
        <w:spacing w:beforeLines="50"/>
        <w:rPr>
          <w:rFonts w:ascii="仿宋_GB2312" w:hAnsi="仿宋_GB2312" w:eastAsia="仿宋_GB2312" w:cs="仿宋_GB2312"/>
          <w:color w:val="auto"/>
          <w:sz w:val="24"/>
          <w:highlight w:val="none"/>
        </w:rPr>
      </w:pPr>
    </w:p>
    <w:p>
      <w:pPr>
        <w:snapToGrid w:val="0"/>
        <w:spacing w:beforeLines="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省级以上监狱管理局、戒毒管理局（含新疆生产建设兵团）出具的属于监狱企业的证明文件。</w:t>
      </w: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jc w:val="center"/>
        <w:outlineLvl w:val="2"/>
        <w:rPr>
          <w:rFonts w:ascii="仿宋_GB2312" w:hAnsi="仿宋_GB2312" w:eastAsia="仿宋_GB2312" w:cs="仿宋_GB2312"/>
          <w:b/>
          <w:color w:val="auto"/>
          <w:sz w:val="32"/>
          <w:szCs w:val="32"/>
          <w:highlight w:val="none"/>
        </w:rPr>
      </w:pPr>
      <w:bookmarkStart w:id="505" w:name="_Toc7005134"/>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28"/>
          <w:szCs w:val="28"/>
          <w:highlight w:val="none"/>
        </w:rPr>
        <w:t>三、残疾人福利性单位声明函</w:t>
      </w:r>
      <w:bookmarkEnd w:id="505"/>
    </w:p>
    <w:p>
      <w:pPr>
        <w:spacing w:after="120"/>
        <w:rPr>
          <w:rFonts w:ascii="仿宋_GB2312" w:hAnsi="仿宋_GB2312" w:eastAsia="仿宋_GB2312" w:cs="仿宋_GB2312"/>
          <w:color w:val="auto"/>
          <w:highlight w:val="none"/>
        </w:rPr>
      </w:pPr>
    </w:p>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（注：符合条件的残疾人福利性单位请提供本函，不符合的不提供本函）</w:t>
      </w:r>
    </w:p>
    <w:p>
      <w:pPr>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pPr>
        <w:spacing w:line="360" w:lineRule="auto"/>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单位名称（公章）：</w:t>
      </w: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p>
    <w:p>
      <w:pPr>
        <w:rPr>
          <w:rFonts w:ascii="仿宋_GB2312" w:hAnsi="仿宋_GB2312" w:eastAsia="仿宋_GB2312" w:cs="仿宋_GB2312"/>
          <w:color w:val="auto"/>
          <w:sz w:val="24"/>
          <w:highlight w:val="none"/>
        </w:rPr>
      </w:pPr>
    </w:p>
    <w:p>
      <w:pPr>
        <w:snapToGrid w:val="0"/>
        <w:spacing w:beforeLines="50"/>
        <w:jc w:val="center"/>
        <w:rPr>
          <w:rFonts w:ascii="仿宋_GB2312" w:hAnsi="仿宋_GB2312" w:eastAsia="仿宋_GB2312" w:cs="仿宋_GB2312"/>
          <w:b/>
          <w:color w:val="auto"/>
          <w:sz w:val="24"/>
          <w:szCs w:val="21"/>
          <w:highlight w:val="none"/>
        </w:rPr>
      </w:pPr>
    </w:p>
    <w:p>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四、响应承诺书</w:t>
      </w: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致：陕西星火工程管理有限公司</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我方在此声明，我方以下事项进行承诺：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 我公司没有处于被责令停产、停业、投标资格被取消状态；</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特此承诺。</w:t>
      </w:r>
    </w:p>
    <w:p>
      <w:pPr>
        <w:spacing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r>
        <w:rPr>
          <w:rFonts w:hint="eastAsia" w:ascii="仿宋_GB2312" w:hAnsi="仿宋_GB2312" w:eastAsia="仿宋_GB2312" w:cs="仿宋_GB2312"/>
          <w:color w:val="auto"/>
          <w:sz w:val="24"/>
          <w:highlight w:val="none"/>
          <w:u w:val="single"/>
        </w:rPr>
        <w:t xml:space="preserve">                  </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23"/>
        <w:rPr>
          <w:color w:val="auto"/>
          <w:highlight w:val="none"/>
        </w:rPr>
      </w:pPr>
      <w:r>
        <w:rPr>
          <w:color w:val="auto"/>
          <w:highlight w:val="none"/>
        </w:rPr>
        <w:br w:type="page"/>
      </w:r>
    </w:p>
    <w:p>
      <w:pPr>
        <w:pStyle w:val="197"/>
        <w:ind w:firstLine="0"/>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第六部分  保证金支付凭证或担保函（复印件）</w:t>
      </w:r>
    </w:p>
    <w:p>
      <w:pPr>
        <w:pStyle w:val="197"/>
        <w:rPr>
          <w:rFonts w:ascii="仿宋" w:hAnsi="仿宋" w:eastAsia="仿宋"/>
          <w:b/>
          <w:color w:val="auto"/>
          <w:sz w:val="32"/>
          <w:szCs w:val="32"/>
          <w:highlight w:val="none"/>
        </w:rPr>
      </w:pPr>
    </w:p>
    <w:p>
      <w:pPr>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本项目不要求提供保证金</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autoSpaceDE w:val="0"/>
        <w:autoSpaceDN w:val="0"/>
        <w:adjustRightInd w:val="0"/>
        <w:spacing w:line="360" w:lineRule="auto"/>
        <w:jc w:val="center"/>
        <w:rPr>
          <w:rFonts w:ascii="仿宋_GB2312" w:hAnsi="仿宋_GB2312" w:eastAsia="仿宋_GB2312" w:cs="仿宋_GB2312"/>
          <w:b/>
          <w:bCs/>
          <w:color w:val="auto"/>
          <w:sz w:val="44"/>
          <w:szCs w:val="44"/>
          <w:highlight w:val="none"/>
          <w:lang w:val="zh-CN"/>
        </w:rPr>
      </w:pPr>
    </w:p>
    <w:p>
      <w:pPr>
        <w:autoSpaceDE w:val="0"/>
        <w:autoSpaceDN w:val="0"/>
        <w:adjustRightInd w:val="0"/>
        <w:snapToGrid w:val="0"/>
        <w:spacing w:line="288" w:lineRule="auto"/>
        <w:jc w:val="left"/>
        <w:rPr>
          <w:rFonts w:ascii="仿宋_GB2312" w:hAnsi="仿宋_GB2312" w:eastAsia="仿宋_GB2312" w:cs="仿宋_GB2312"/>
          <w:bCs/>
          <w:color w:val="auto"/>
          <w:sz w:val="44"/>
          <w:szCs w:val="44"/>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pPr>
        <w:widowControl/>
        <w:snapToGrid w:val="0"/>
        <w:spacing w:before="100" w:beforeAutospacing="1" w:after="100" w:afterAutospacing="1" w:line="360" w:lineRule="auto"/>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附件1</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jc w:val="center"/>
        <w:textAlignment w:val="auto"/>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磋商响应担保函</w:t>
      </w:r>
    </w:p>
    <w:p>
      <w:pPr>
        <w:keepNext w:val="0"/>
        <w:keepLines w:val="0"/>
        <w:pageBreakBefore w:val="0"/>
        <w:kinsoku/>
        <w:wordWrap/>
        <w:overflowPunct/>
        <w:topLinePunct w:val="0"/>
        <w:autoSpaceDE/>
        <w:autoSpaceDN/>
        <w:bidi w:val="0"/>
        <w:adjustRightInd/>
        <w:snapToGrid w:val="0"/>
        <w:spacing w:line="360" w:lineRule="exact"/>
        <w:ind w:firstLine="3360" w:firstLineChars="14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（适用于保证金保函）</w:t>
      </w:r>
    </w:p>
    <w:p>
      <w:pPr>
        <w:keepNext w:val="0"/>
        <w:keepLines w:val="0"/>
        <w:pageBreakBefore w:val="0"/>
        <w:kinsoku/>
        <w:wordWrap/>
        <w:overflowPunct/>
        <w:topLinePunct w:val="0"/>
        <w:autoSpaceDE/>
        <w:autoSpaceDN/>
        <w:bidi w:val="0"/>
        <w:adjustRightInd/>
        <w:snapToGrid w:val="0"/>
        <w:spacing w:line="360" w:lineRule="exact"/>
        <w:ind w:right="480"/>
        <w:jc w:val="center"/>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保函编号:</w:t>
      </w:r>
    </w:p>
    <w:p>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kern w:val="0"/>
          <w:sz w:val="24"/>
          <w:highlight w:val="none"/>
          <w:u w:val="single"/>
        </w:rPr>
        <w:t>陕西星火工程管理有限公司</w:t>
      </w:r>
      <w:r>
        <w:rPr>
          <w:rFonts w:hint="eastAsia" w:ascii="仿宋_GB2312" w:hAnsi="仿宋_GB2312" w:eastAsia="仿宋_GB2312" w:cs="仿宋_GB2312"/>
          <w:color w:val="auto"/>
          <w:sz w:val="24"/>
          <w:highlight w:val="none"/>
        </w:rPr>
        <w:t>(下称受益人)</w:t>
      </w:r>
    </w:p>
    <w:p>
      <w:pPr>
        <w:keepNext w:val="0"/>
        <w:keepLines w:val="0"/>
        <w:pageBreakBefore w:val="0"/>
        <w:kinsoku/>
        <w:wordWrap/>
        <w:overflowPunct/>
        <w:topLinePunct w:val="0"/>
        <w:autoSpaceDE/>
        <w:autoSpaceDN/>
        <w:bidi w:val="0"/>
        <w:adjustRightInd/>
        <w:snapToGrid w:val="0"/>
        <w:spacing w:line="360" w:lineRule="exact"/>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鉴于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(下称被保证人)将于</w:t>
      </w:r>
      <w:r>
        <w:rPr>
          <w:rFonts w:hint="eastAsia" w:ascii="仿宋_GB2312" w:hAnsi="仿宋_GB2312" w:eastAsia="仿宋_GB2312" w:cs="仿宋_GB2312"/>
          <w:color w:val="auto"/>
          <w:sz w:val="24"/>
          <w:highlight w:val="none"/>
          <w:u w:val="single"/>
        </w:rPr>
        <w:t>    年 月 日</w:t>
      </w:r>
      <w:r>
        <w:rPr>
          <w:rFonts w:hint="eastAsia" w:ascii="仿宋_GB2312" w:hAnsi="仿宋_GB2312" w:eastAsia="仿宋_GB2312" w:cs="仿宋_GB2312"/>
          <w:color w:val="auto"/>
          <w:sz w:val="24"/>
          <w:highlight w:val="none"/>
        </w:rPr>
        <w:t>参加贵方竞争性磋商文件编号为</w:t>
      </w:r>
      <w:r>
        <w:rPr>
          <w:rFonts w:hint="eastAsia" w:ascii="仿宋_GB2312" w:hAnsi="仿宋_GB2312" w:eastAsia="仿宋_GB2312" w:cs="仿宋_GB2312"/>
          <w:color w:val="auto"/>
          <w:sz w:val="24"/>
          <w:highlight w:val="none"/>
          <w:u w:val="single"/>
        </w:rPr>
        <w:t> （采购项目编号）</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（项目名称） </w:t>
      </w:r>
      <w:r>
        <w:rPr>
          <w:rFonts w:hint="eastAsia" w:ascii="仿宋_GB2312" w:hAnsi="仿宋_GB2312" w:eastAsia="仿宋_GB2312" w:cs="仿宋_GB2312"/>
          <w:color w:val="auto"/>
          <w:sz w:val="24"/>
          <w:highlight w:val="none"/>
        </w:rPr>
        <w:t>的竞争性磋商,我方接受被保证人的委托,在此向受益人提供不可撤销的磋商保证：</w:t>
      </w:r>
    </w:p>
    <w:p>
      <w:pPr>
        <w:keepNext w:val="0"/>
        <w:keepLines w:val="0"/>
        <w:pageBreakBefore w:val="0"/>
        <w:numPr>
          <w:ilvl w:val="0"/>
          <w:numId w:val="22"/>
        </w:numPr>
        <w:kinsoku/>
        <w:wordWrap/>
        <w:overflowPunct/>
        <w:topLinePunct w:val="0"/>
        <w:autoSpaceDE/>
        <w:autoSpaceDN/>
        <w:bidi w:val="0"/>
        <w:adjustRightInd/>
        <w:snapToGrid w:val="0"/>
        <w:spacing w:line="360" w:lineRule="exact"/>
        <w:ind w:firstLine="480" w:firstLineChars="200"/>
        <w:textAlignment w:val="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本保证担保的担保金额为</w:t>
      </w:r>
      <w:r>
        <w:rPr>
          <w:rFonts w:hint="eastAsia" w:ascii="仿宋_GB2312" w:hAnsi="仿宋_GB2312" w:eastAsia="仿宋_GB2312" w:cs="仿宋_GB2312"/>
          <w:color w:val="auto"/>
          <w:sz w:val="24"/>
          <w:highlight w:val="none"/>
          <w:u w:val="single"/>
        </w:rPr>
        <w:t>人民币</w:t>
      </w:r>
      <w:r>
        <w:rPr>
          <w:rFonts w:hint="eastAsia" w:ascii="仿宋_GB2312" w:hAnsi="仿宋_GB2312" w:eastAsia="仿宋_GB2312" w:cs="仿宋_GB2312"/>
          <w:color w:val="auto"/>
          <w:sz w:val="24"/>
          <w:highlight w:val="none"/>
        </w:rPr>
        <w:t>(币种</w:t>
      </w:r>
      <w:r>
        <w:rPr>
          <w:rFonts w:hint="eastAsia" w:ascii="仿宋_GB2312" w:hAnsi="仿宋_GB2312" w:eastAsia="仿宋_GB2312" w:cs="仿宋_GB2312"/>
          <w:color w:val="auto"/>
          <w:sz w:val="24"/>
          <w:highlight w:val="none"/>
          <w:u w:val="single"/>
        </w:rPr>
        <w:t>)     </w:t>
      </w:r>
      <w:r>
        <w:rPr>
          <w:rFonts w:hint="eastAsia" w:ascii="仿宋_GB2312" w:hAnsi="仿宋_GB2312" w:eastAsia="仿宋_GB2312" w:cs="仿宋_GB2312"/>
          <w:color w:val="auto"/>
          <w:sz w:val="24"/>
          <w:highlight w:val="none"/>
        </w:rPr>
        <w:t>元(小写)</w:t>
      </w:r>
      <w:r>
        <w:rPr>
          <w:rFonts w:hint="eastAsia" w:ascii="仿宋_GB2312" w:hAnsi="仿宋_GB2312" w:eastAsia="仿宋_GB2312" w:cs="仿宋_GB2312"/>
          <w:color w:val="auto"/>
          <w:sz w:val="24"/>
          <w:highlight w:val="none"/>
          <w:u w:val="single"/>
        </w:rPr>
        <w:t xml:space="preserve">     元整</w:t>
      </w:r>
      <w:r>
        <w:rPr>
          <w:rFonts w:hint="eastAsia" w:ascii="仿宋_GB2312" w:hAnsi="仿宋_GB2312" w:eastAsia="仿宋_GB2312" w:cs="仿宋_GB2312"/>
          <w:color w:val="auto"/>
          <w:sz w:val="24"/>
          <w:highlight w:val="none"/>
        </w:rPr>
        <w:t>(大写）。</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二、本保证担保的保证期间为响应文件的有效期(或延长的有效期),延长有效期无须通知我方。</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三、在本保证担保的保证期间内,如果被保证人出现下列情形之一,受益人可以向我方提起索赔：</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1.被保证人在响应文件有效期内撤回其响应文件；</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2.被保证人在响应文件有效期内收到受益人发出的成交通知书后,不能或拒绝按竞争性磋商文件的要求签署合同；</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3.被保证人在有效期内收到受益人发出的成交通知书后,不能或拒绝按竞争性磋商文件的规定提交履约担保；</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4.被保证人成交后未按照竞争性磋商文件规定交纳代理服务费。</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五、受益人的索赔通知应当说明索赔理由,并必须在本保证担保的保证期间内送达我方。</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六、本保证担保项下的权利不得转让。</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七、本保证担保的保证期间届满,或我方已向受益人支付本保证担保的担保金额,我方的保证责任免除。</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八、本保证担保适用中华人民共和国法律。</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 xml:space="preserve">   九、本保证担保以中文文本为准,涂改无效。</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保证人(盖章):</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br w:type="textWrapping"/>
      </w:r>
      <w:r>
        <w:rPr>
          <w:rFonts w:hint="eastAsia" w:ascii="仿宋_GB2312" w:hAnsi="仿宋_GB2312" w:eastAsia="仿宋_GB2312" w:cs="仿宋_GB2312"/>
          <w:color w:val="auto"/>
          <w:sz w:val="24"/>
          <w:highlight w:val="none"/>
        </w:rPr>
        <w:t xml:space="preserve">法定代表人或其授权委托代理人(签字或盖章）：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br w:type="textWrapping"/>
      </w:r>
      <w:r>
        <w:rPr>
          <w:rFonts w:hint="eastAsia" w:ascii="仿宋_GB2312" w:hAnsi="仿宋_GB2312" w:eastAsia="仿宋_GB2312" w:cs="仿宋_GB2312"/>
          <w:color w:val="auto"/>
          <w:sz w:val="24"/>
          <w:highlight w:val="none"/>
        </w:rPr>
        <w:t>单位地址:</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br w:type="textWrapping"/>
      </w: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 xml:space="preserve">              </w:t>
      </w:r>
      <w:r>
        <w:rPr>
          <w:rFonts w:hint="eastAsia" w:ascii="仿宋_GB2312" w:hAnsi="仿宋_GB2312" w:eastAsia="仿宋_GB2312" w:cs="仿宋_GB2312"/>
          <w:color w:val="auto"/>
          <w:kern w:val="0"/>
          <w:sz w:val="24"/>
          <w:highlight w:val="none"/>
        </w:rPr>
        <w:t>日期:</w:t>
      </w:r>
      <w:r>
        <w:rPr>
          <w:rFonts w:hint="eastAsia" w:ascii="仿宋_GB2312" w:hAnsi="仿宋_GB2312" w:eastAsia="仿宋_GB2312" w:cs="仿宋_GB2312"/>
          <w:color w:val="auto"/>
          <w:kern w:val="0"/>
          <w:sz w:val="24"/>
          <w:highlight w:val="none"/>
          <w:u w:val="single"/>
        </w:rPr>
        <w:t xml:space="preserve">     年    月    日</w:t>
      </w:r>
    </w:p>
    <w:p>
      <w:pPr>
        <w:widowControl/>
        <w:snapToGrid w:val="0"/>
        <w:spacing w:before="100" w:beforeAutospacing="1" w:after="100" w:afterAutospacing="1" w:line="360" w:lineRule="auto"/>
        <w:rPr>
          <w:rFonts w:ascii="仿宋_GB2312" w:hAnsi="仿宋_GB2312" w:eastAsia="仿宋_GB2312" w:cs="仿宋_GB2312"/>
          <w:b/>
          <w:bCs/>
          <w:color w:val="auto"/>
          <w:kern w:val="0"/>
          <w:sz w:val="32"/>
          <w:szCs w:val="32"/>
          <w:highlight w:val="none"/>
        </w:rPr>
      </w:pPr>
      <w:bookmarkStart w:id="506" w:name="_Toc515647799"/>
      <w:bookmarkStart w:id="507" w:name="_Toc16186"/>
      <w:bookmarkStart w:id="508" w:name="_Toc21748"/>
      <w:bookmarkStart w:id="509" w:name="_Toc532473491"/>
      <w:r>
        <w:rPr>
          <w:rFonts w:hint="eastAsia" w:ascii="仿宋_GB2312" w:hAnsi="仿宋_GB2312" w:eastAsia="仿宋_GB2312" w:cs="仿宋_GB2312"/>
          <w:color w:val="auto"/>
          <w:kern w:val="0"/>
          <w:sz w:val="24"/>
          <w:highlight w:val="none"/>
        </w:rPr>
        <w:br w:type="page"/>
      </w:r>
      <w:bookmarkEnd w:id="506"/>
      <w:bookmarkEnd w:id="507"/>
      <w:bookmarkEnd w:id="508"/>
      <w:bookmarkEnd w:id="509"/>
      <w:bookmarkStart w:id="510" w:name="_Toc10951"/>
      <w:bookmarkStart w:id="511" w:name="_Toc515647800"/>
      <w:bookmarkStart w:id="512" w:name="_Toc532473492"/>
      <w:bookmarkStart w:id="513" w:name="_Toc20660404"/>
      <w:bookmarkStart w:id="514" w:name="_Toc6548"/>
      <w:r>
        <w:rPr>
          <w:rFonts w:hint="eastAsia" w:ascii="仿宋_GB2312" w:hAnsi="仿宋_GB2312" w:eastAsia="仿宋_GB2312" w:cs="仿宋_GB2312"/>
          <w:b/>
          <w:bCs/>
          <w:color w:val="auto"/>
          <w:kern w:val="0"/>
          <w:sz w:val="28"/>
          <w:szCs w:val="28"/>
          <w:highlight w:val="none"/>
        </w:rPr>
        <w:t>附件2</w:t>
      </w:r>
    </w:p>
    <w:p>
      <w:pPr>
        <w:widowControl/>
        <w:snapToGrid w:val="0"/>
        <w:spacing w:before="100" w:beforeAutospacing="1" w:after="100" w:afterAutospacing="1" w:line="360" w:lineRule="auto"/>
        <w:jc w:val="center"/>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履约担保函格式</w:t>
      </w:r>
      <w:bookmarkEnd w:id="510"/>
      <w:bookmarkEnd w:id="511"/>
      <w:bookmarkEnd w:id="512"/>
      <w:bookmarkEnd w:id="513"/>
      <w:bookmarkEnd w:id="514"/>
    </w:p>
    <w:p>
      <w:pPr>
        <w:snapToGrid w:val="0"/>
        <w:spacing w:line="33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编号：</w:t>
      </w:r>
    </w:p>
    <w:p>
      <w:pPr>
        <w:snapToGrid w:val="0"/>
        <w:spacing w:line="336" w:lineRule="auto"/>
        <w:rPr>
          <w:rFonts w:ascii="仿宋_GB2312" w:hAnsi="仿宋_GB2312" w:eastAsia="仿宋_GB2312" w:cs="仿宋_GB2312"/>
          <w:color w:val="auto"/>
          <w:sz w:val="28"/>
          <w:szCs w:val="28"/>
          <w:highlight w:val="none"/>
        </w:rPr>
      </w:pP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（采购人名称）：</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鉴于你方与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（以下简称供应商）于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日签定编号为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政府采购合同》（以下简称主合同），且依据该合同的约定，供应商应在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一、保证责任的情形及保证金额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（一）在供应商出现下列情形之一时，我方承担保证责任：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1．将成交项目转让给他人，或者在磋商响应文件中未说明，且未经采购人同意，将成交项目分包给他人的；</w:t>
      </w: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（二）我方的保证范围是主合同约定的合同价款总额的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%数额为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），币种为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。（即主合同履约保证金金额）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二、保证的方式及保证期间</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我方保证的方式为：连带责任保证。</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我方保证的期间为：自本合同生效之日起至供应商按照主合同约定的供货/完工期限届满后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日内。</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三、承担保证责任的程序</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如果你方与供应商因货物质量问题产生争议，你方还需同时提供</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我方收到你方的书面索赔通知及相应证明材料，在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工作日内进行核定后按照本保函的承诺承担保证责任。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四、保证责任的终止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五、免责条款</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六、争议的解决</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因本保函发生的纠纷，由你我双方协商解决，协商不成的，通过诉讼程序解决，诉讼管辖地法院为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法院。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七、保函的生效</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本保函自我方加盖公章之日起生效。</w:t>
      </w: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出具保函单位名称（盖公章）：</w:t>
      </w:r>
      <w:r>
        <w:rPr>
          <w:rFonts w:hint="eastAsia" w:ascii="仿宋_GB2312" w:hAnsi="仿宋_GB2312" w:eastAsia="仿宋_GB2312" w:cs="仿宋_GB2312"/>
          <w:color w:val="auto"/>
          <w:sz w:val="24"/>
          <w:highlight w:val="none"/>
          <w:u w:val="single"/>
        </w:rPr>
        <w:t xml:space="preserve">                   </w:t>
      </w:r>
    </w:p>
    <w:p>
      <w:pPr>
        <w:spacing w:line="360" w:lineRule="auto"/>
        <w:ind w:left="1080" w:leftChars="257" w:hanging="54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签字人姓名和职务：</w:t>
      </w:r>
      <w:r>
        <w:rPr>
          <w:rFonts w:hint="eastAsia" w:ascii="仿宋_GB2312" w:hAnsi="仿宋_GB2312" w:eastAsia="仿宋_GB2312" w:cs="仿宋_GB2312"/>
          <w:color w:val="auto"/>
          <w:sz w:val="24"/>
          <w:highlight w:val="none"/>
          <w:u w:val="single"/>
        </w:rPr>
        <w:t xml:space="preserve">                             </w:t>
      </w: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签字人签名：</w:t>
      </w:r>
      <w:r>
        <w:rPr>
          <w:rFonts w:hint="eastAsia" w:ascii="仿宋_GB2312" w:hAnsi="仿宋_GB2312" w:eastAsia="仿宋_GB2312" w:cs="仿宋_GB2312"/>
          <w:color w:val="auto"/>
          <w:sz w:val="24"/>
          <w:highlight w:val="none"/>
          <w:u w:val="single"/>
        </w:rPr>
        <w:t xml:space="preserve">                                   </w:t>
      </w:r>
    </w:p>
    <w:p>
      <w:pPr>
        <w:spacing w:line="360" w:lineRule="auto"/>
        <w:ind w:left="1080" w:leftChars="257" w:hanging="54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u w:val="single"/>
        </w:rPr>
        <w:t xml:space="preserve">         年      月      日    </w:t>
      </w:r>
      <w:r>
        <w:rPr>
          <w:rFonts w:hint="eastAsia" w:ascii="仿宋_GB2312" w:hAnsi="仿宋_GB2312" w:eastAsia="仿宋_GB2312" w:cs="仿宋_GB2312"/>
          <w:color w:val="auto"/>
          <w:sz w:val="28"/>
          <w:szCs w:val="28"/>
          <w:highlight w:val="none"/>
          <w:u w:val="single"/>
        </w:rPr>
        <w:t xml:space="preserve">                </w:t>
      </w:r>
    </w:p>
    <w:p>
      <w:pPr>
        <w:spacing w:after="120"/>
        <w:rPr>
          <w:rFonts w:ascii="仿宋_GB2312" w:hAnsi="仿宋_GB2312" w:eastAsia="仿宋_GB2312" w:cs="仿宋_GB2312"/>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附件3</w:t>
      </w:r>
    </w:p>
    <w:p>
      <w:pPr>
        <w:autoSpaceDE w:val="0"/>
        <w:autoSpaceDN w:val="0"/>
        <w:adjustRightInd w:val="0"/>
        <w:snapToGrid w:val="0"/>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（最后）磋商响应报价表</w:t>
      </w: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zh-CN"/>
        </w:rPr>
        <w:t>（随身携带，单独提供，无需装订在响应文件中）</w:t>
      </w:r>
    </w:p>
    <w:p>
      <w:pPr>
        <w:pStyle w:val="23"/>
        <w:rPr>
          <w:color w:val="auto"/>
          <w:highlight w:val="none"/>
          <w:lang w:val="zh-CN"/>
        </w:rPr>
      </w:pPr>
    </w:p>
    <w:tbl>
      <w:tblPr>
        <w:tblStyle w:val="52"/>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598" w:type="dxa"/>
            <w:vAlign w:val="center"/>
          </w:tcPr>
          <w:p>
            <w:pPr>
              <w:ind w:left="141" w:leftChars="67" w:right="103" w:rightChars="49"/>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项目编号及项目名称</w:t>
            </w:r>
          </w:p>
        </w:tc>
        <w:tc>
          <w:tcPr>
            <w:tcW w:w="6981" w:type="dxa"/>
            <w:vAlign w:val="center"/>
          </w:tcPr>
          <w:p>
            <w:pPr>
              <w:pStyle w:val="23"/>
              <w:ind w:firstLine="720" w:firstLineChars="3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u w:val="single"/>
              </w:rPr>
              <w:t xml:space="preserve">              </w:t>
            </w:r>
          </w:p>
          <w:p>
            <w:pPr>
              <w:pStyle w:val="23"/>
              <w:ind w:firstLine="720" w:firstLineChars="3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ind w:left="-13" w:leftChars="-6"/>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981" w:type="dxa"/>
            <w:vAlign w:val="center"/>
          </w:tcPr>
          <w:p>
            <w:pPr>
              <w:pStyle w:val="23"/>
              <w:ind w:firstLine="720" w:firstLineChars="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大写：</w:t>
            </w:r>
            <w:r>
              <w:rPr>
                <w:rFonts w:hint="eastAsia" w:ascii="仿宋_GB2312" w:hAnsi="仿宋_GB2312" w:eastAsia="仿宋_GB2312" w:cs="仿宋_GB2312"/>
                <w:color w:val="auto"/>
                <w:sz w:val="24"/>
                <w:highlight w:val="none"/>
                <w:u w:val="single"/>
              </w:rPr>
              <w:t xml:space="preserve">人民币             </w:t>
            </w:r>
            <w:r>
              <w:rPr>
                <w:rFonts w:hint="eastAsia" w:ascii="仿宋_GB2312" w:hAnsi="仿宋_GB2312" w:eastAsia="仿宋_GB2312" w:cs="仿宋_GB2312"/>
                <w:color w:val="auto"/>
                <w:sz w:val="24"/>
                <w:highlight w:val="none"/>
              </w:rPr>
              <w:t xml:space="preserve"> </w:t>
            </w:r>
          </w:p>
          <w:p>
            <w:pPr>
              <w:pStyle w:val="23"/>
              <w:ind w:firstLine="720" w:firstLineChars="3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小写：</w:t>
            </w:r>
            <w:r>
              <w:rPr>
                <w:rFonts w:hint="eastAsia" w:ascii="宋体" w:hAnsi="宋体" w:eastAsia="宋体" w:cs="宋体"/>
                <w:color w:val="auto"/>
                <w:sz w:val="24"/>
                <w:highlight w:val="none"/>
                <w:u w:val="singl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eastAsia="zh-CN"/>
              </w:rPr>
              <w:t>交货</w:t>
            </w:r>
            <w:r>
              <w:rPr>
                <w:rFonts w:hint="eastAsia" w:ascii="仿宋_GB2312" w:hAnsi="仿宋_GB2312" w:eastAsia="仿宋_GB2312" w:cs="仿宋_GB2312"/>
                <w:b/>
                <w:color w:val="auto"/>
                <w:sz w:val="24"/>
                <w:highlight w:val="none"/>
                <w:lang w:val="en-US" w:eastAsia="zh-CN"/>
              </w:rPr>
              <w:t>/</w:t>
            </w:r>
            <w:r>
              <w:rPr>
                <w:rFonts w:hint="eastAsia" w:ascii="仿宋_GB2312" w:hAnsi="仿宋_GB2312" w:eastAsia="仿宋_GB2312" w:cs="仿宋_GB2312"/>
                <w:b/>
                <w:color w:val="auto"/>
                <w:sz w:val="24"/>
                <w:highlight w:val="none"/>
              </w:rPr>
              <w:t>服务期</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pStyle w:val="23"/>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eastAsia="zh-CN"/>
              </w:rPr>
              <w:t>交货</w:t>
            </w:r>
            <w:r>
              <w:rPr>
                <w:rFonts w:hint="eastAsia" w:ascii="仿宋_GB2312" w:hAnsi="仿宋_GB2312" w:eastAsia="仿宋_GB2312" w:cs="仿宋_GB2312"/>
                <w:b/>
                <w:color w:val="auto"/>
                <w:sz w:val="24"/>
                <w:highlight w:val="none"/>
                <w:lang w:val="en-US" w:eastAsia="zh-CN"/>
              </w:rPr>
              <w:t>/</w:t>
            </w:r>
            <w:r>
              <w:rPr>
                <w:rFonts w:hint="eastAsia" w:ascii="仿宋_GB2312" w:hAnsi="仿宋_GB2312" w:eastAsia="仿宋_GB2312" w:cs="仿宋_GB2312"/>
                <w:b/>
                <w:color w:val="auto"/>
                <w:sz w:val="24"/>
                <w:highlight w:val="none"/>
              </w:rPr>
              <w:t>服务地点</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981" w:type="dxa"/>
            <w:vAlign w:val="center"/>
          </w:tcPr>
          <w:p>
            <w:pPr>
              <w:spacing w:after="120"/>
              <w:rPr>
                <w:rFonts w:ascii="仿宋_GB2312" w:hAnsi="仿宋_GB2312" w:eastAsia="仿宋_GB2312" w:cs="仿宋_GB2312"/>
                <w:color w:val="auto"/>
                <w:sz w:val="24"/>
                <w:highlight w:val="none"/>
              </w:rPr>
            </w:pPr>
          </w:p>
        </w:tc>
      </w:tr>
    </w:tbl>
    <w:p>
      <w:pPr>
        <w:pStyle w:val="23"/>
        <w:rPr>
          <w:color w:val="auto"/>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24"/>
          <w:highlight w:val="none"/>
        </w:rPr>
      </w:pPr>
    </w:p>
    <w:p>
      <w:pPr>
        <w:autoSpaceDE w:val="0"/>
        <w:autoSpaceDN w:val="0"/>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 xml:space="preserve">                                                                                     </w:t>
      </w: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240" w:firstLineChars="1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 xml:space="preserve">                                              </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 xml:space="preserve">年 </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w:t>
      </w:r>
    </w:p>
    <w:p>
      <w:pPr>
        <w:spacing w:after="120"/>
        <w:rPr>
          <w:rFonts w:ascii="仿宋_GB2312" w:hAnsi="仿宋_GB2312" w:eastAsia="仿宋_GB2312" w:cs="仿宋_GB2312"/>
          <w:b/>
          <w:bCs/>
          <w:color w:val="auto"/>
          <w:sz w:val="30"/>
          <w:szCs w:val="30"/>
          <w:highlight w:val="none"/>
        </w:rPr>
        <w:sectPr>
          <w:footerReference r:id="rId10" w:type="first"/>
          <w:headerReference r:id="rId8" w:type="default"/>
          <w:footerReference r:id="rId9"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_GB2312" w:hAnsi="仿宋_GB2312" w:eastAsia="仿宋_GB2312" w:cs="仿宋_GB2312"/>
          <w:color w:val="auto"/>
          <w:highlight w:val="none"/>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（最后）分项报价表</w:t>
      </w:r>
    </w:p>
    <w:p>
      <w:pPr>
        <w:adjustRightInd w:val="0"/>
        <w:snapToGrid w:val="0"/>
        <w:spacing w:line="360" w:lineRule="auto"/>
        <w:ind w:firstLine="360" w:firstLineChars="150"/>
        <w:rPr>
          <w:rFonts w:ascii="仿宋_GB2312" w:hAnsi="仿宋" w:eastAsia="仿宋_GB2312"/>
          <w:color w:val="auto"/>
          <w:sz w:val="24"/>
          <w:highlight w:val="none"/>
        </w:rPr>
      </w:pPr>
      <w:r>
        <w:rPr>
          <w:rFonts w:hint="eastAsia" w:ascii="仿宋_GB2312" w:hAnsi="仿宋" w:eastAsia="仿宋_GB2312"/>
          <w:color w:val="auto"/>
          <w:sz w:val="24"/>
          <w:highlight w:val="none"/>
        </w:rPr>
        <w:t xml:space="preserve">             （随身携带，单独提供，无需装订在响应文件中）</w:t>
      </w:r>
    </w:p>
    <w:p>
      <w:pP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pStyle w:val="23"/>
        <w:rPr>
          <w:rFonts w:eastAsiaTheme="minorEastAsia"/>
          <w:color w:val="auto"/>
          <w:highlight w:val="none"/>
        </w:rPr>
      </w:pPr>
    </w:p>
    <w:p>
      <w:pPr>
        <w:adjustRightInd w:val="0"/>
        <w:snapToGrid w:val="0"/>
        <w:spacing w:line="360" w:lineRule="auto"/>
        <w:ind w:firstLine="360" w:firstLineChars="150"/>
        <w:rPr>
          <w:rFonts w:ascii="仿宋_GB2312" w:hAnsi="仿宋" w:eastAsia="仿宋_GB2312"/>
          <w:color w:val="auto"/>
          <w:sz w:val="24"/>
          <w:highlight w:val="none"/>
        </w:rPr>
      </w:pPr>
      <w:r>
        <w:rPr>
          <w:rFonts w:hint="eastAsia" w:ascii="仿宋_GB2312" w:hAnsi="仿宋" w:eastAsia="仿宋_GB2312"/>
          <w:color w:val="auto"/>
          <w:sz w:val="24"/>
          <w:highlight w:val="none"/>
          <w:lang w:eastAsia="zh-CN"/>
        </w:rPr>
        <w:t>供应商</w:t>
      </w:r>
      <w:r>
        <w:rPr>
          <w:rFonts w:hint="eastAsia" w:ascii="仿宋_GB2312" w:hAnsi="仿宋" w:eastAsia="仿宋_GB2312"/>
          <w:color w:val="auto"/>
          <w:sz w:val="24"/>
          <w:highlight w:val="none"/>
        </w:rPr>
        <w:t xml:space="preserve">                                  法定代表人或授权代表</w:t>
      </w:r>
    </w:p>
    <w:p>
      <w:pPr>
        <w:adjustRightInd w:val="0"/>
        <w:snapToGrid w:val="0"/>
        <w:spacing w:line="360" w:lineRule="auto"/>
        <w:ind w:left="-525" w:leftChars="-250" w:firstLine="720" w:firstLineChars="300"/>
        <w:rPr>
          <w:rFonts w:ascii="仿宋_GB2312" w:hAnsi="仿宋" w:eastAsia="仿宋_GB2312"/>
          <w:color w:val="auto"/>
          <w:sz w:val="24"/>
          <w:highlight w:val="none"/>
        </w:rPr>
      </w:pPr>
      <w:r>
        <w:rPr>
          <w:rFonts w:hint="eastAsia" w:ascii="仿宋_GB2312" w:hAnsi="仿宋" w:eastAsia="仿宋_GB2312"/>
          <w:color w:val="auto"/>
          <w:sz w:val="24"/>
          <w:highlight w:val="none"/>
        </w:rPr>
        <w:t>（公章）：                                     （签字）：</w:t>
      </w:r>
    </w:p>
    <w:p>
      <w:pPr>
        <w:widowControl/>
        <w:jc w:val="left"/>
        <w:rPr>
          <w:rFonts w:ascii="仿宋_GB2312" w:hAnsi="仿宋_GB2312" w:eastAsia="仿宋_GB2312" w:cs="仿宋_GB2312"/>
          <w:b/>
          <w:color w:val="auto"/>
          <w:sz w:val="28"/>
          <w:szCs w:val="28"/>
          <w:highlight w:val="none"/>
        </w:rPr>
      </w:pPr>
    </w:p>
    <w:sectPr>
      <w:footerReference r:id="rId12" w:type="first"/>
      <w:footerReference r:id="rId11"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widowControl w:val="0"/>
      <w:pBdr>
        <w:top w:val="single" w:color="auto" w:sz="4" w:space="1"/>
        <w:left w:val="none" w:color="auto" w:sz="0" w:space="4"/>
        <w:bottom w:val="none" w:color="auto" w:sz="0" w:space="1"/>
        <w:right w:val="none" w:color="auto" w:sz="0" w:space="4"/>
        <w:between w:val="none" w:color="auto" w:sz="0" w:space="0"/>
      </w:pBdr>
      <w:tabs>
        <w:tab w:val="left" w:pos="6015"/>
        <w:tab w:val="clear" w:pos="4153"/>
      </w:tabs>
      <w:adjustRightInd w:val="0"/>
      <w:spacing w:line="240" w:lineRule="atLeast"/>
      <w:jc w:val="left"/>
      <w:textAlignment w:val="baseline"/>
      <w:rPr>
        <w:rFonts w:hint="default"/>
        <w:b/>
        <w:bCs/>
        <w:i/>
        <w:iCs/>
        <w:lang w:val="en-US"/>
      </w:rPr>
    </w:pPr>
    <w:r>
      <w:rPr>
        <w:b/>
        <w:bCs/>
        <w:i/>
        <w:iC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B7XTPQAAAAAwEAAA8AAAAAAAAAAQAgAAAAIgAAAGRycy9kb3ducmV2Lnht&#10;bFBLAQIUABQAAAAIAIdO4kAwE5G1AQIAABIEAAAOAAAAAAAAAAEAIAAAAB8BAABkcnMvZTJvRG9j&#10;LnhtbFBLBQYAAAAABgAGAFkBAACSBQAAAAA=&#10;">
              <v:fill on="f" focussize="0,0"/>
              <v:stroke on="f"/>
              <v:imagedata o:title=""/>
              <o:lock v:ext="edit" aspectratio="f"/>
              <v:textbox inset="0mm,0mm,0mm,0mm" style="mso-fit-shape-to-text:t;">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lang w:eastAsia="zh-CN"/>
      </w:rPr>
      <w:t>陕西星火工程管理有限公司</w:t>
    </w:r>
    <w:r>
      <w:rPr>
        <w:rFonts w:hint="eastAsia" w:eastAsia="宋体"/>
        <w:b/>
        <w:bCs/>
        <w:i/>
        <w:iCs/>
        <w:lang w:val="en-US" w:eastAsia="zh-CN"/>
      </w:rPr>
      <w:t xml:space="preserve">                                        </w:t>
    </w:r>
    <w:r>
      <w:rPr>
        <w:rFonts w:hint="eastAsia" w:eastAsia="宋体"/>
        <w:b/>
        <w:bCs/>
        <w:i/>
        <w:iCs/>
        <w:lang w:eastAsia="zh-CN"/>
      </w:rPr>
      <w:t>西安市高新路尚品国际</w:t>
    </w:r>
    <w:r>
      <w:rPr>
        <w:rFonts w:hint="eastAsia" w:eastAsia="宋体"/>
        <w:b/>
        <w:bCs/>
        <w:i/>
        <w:iCs/>
        <w:lang w:val="en-US" w:eastAsia="zh-CN"/>
      </w:rPr>
      <w:t>C幢北12804室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widowControl w:val="0"/>
      <w:pBdr>
        <w:top w:val="single" w:color="auto" w:sz="4" w:space="1"/>
        <w:left w:val="none" w:color="auto" w:sz="0" w:space="4"/>
        <w:bottom w:val="none" w:color="auto" w:sz="0" w:space="1"/>
        <w:right w:val="none" w:color="auto" w:sz="0" w:space="4"/>
        <w:between w:val="none" w:color="auto" w:sz="0" w:space="0"/>
      </w:pBdr>
      <w:tabs>
        <w:tab w:val="left" w:pos="6015"/>
        <w:tab w:val="clear" w:pos="4153"/>
      </w:tabs>
      <w:adjustRightInd w:val="0"/>
      <w:spacing w:line="240" w:lineRule="atLeast"/>
      <w:jc w:val="left"/>
      <w:textAlignment w:val="baseline"/>
      <w:rPr>
        <w:rFonts w:hint="default"/>
        <w:b/>
        <w:bCs/>
        <w:i/>
        <w:iCs/>
        <w:lang w:val="en-US"/>
      </w:rPr>
    </w:pPr>
    <w:r>
      <w:rPr>
        <w:b/>
        <w:bCs/>
        <w:i/>
        <w:iC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7052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HtdM9AAAAADAQAADwAAAAAAAAABACAAAAAiAAAAZHJzL2Rvd25yZXYueG1s&#10;UEsBAhQAFAAAAAgAh07iQLWB10cAAgAAEgQAAA4AAAAAAAAAAQAgAAAAHwEAAGRycy9lMm9Eb2Mu&#10;eG1sUEsFBgAAAAAGAAYAWQEAAJEFAAAAAA==&#10;">
              <v:fill on="f" focussize="0,0"/>
              <v:stroke on="f"/>
              <v:imagedata o:title=""/>
              <o:lock v:ext="edit" aspectratio="f"/>
              <v:textbox inset="0mm,0mm,0mm,0mm" style="mso-fit-shape-to-text:t;">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lang w:eastAsia="zh-CN"/>
      </w:rPr>
      <w:t>陕西星火工程管理有限公司</w:t>
    </w:r>
    <w:r>
      <w:rPr>
        <w:rFonts w:hint="eastAsia" w:eastAsia="宋体"/>
        <w:b/>
        <w:bCs/>
        <w:i/>
        <w:iCs/>
        <w:lang w:val="en-US" w:eastAsia="zh-CN"/>
      </w:rPr>
      <w:t xml:space="preserve">                                        </w:t>
    </w:r>
    <w:r>
      <w:rPr>
        <w:rFonts w:hint="eastAsia" w:eastAsia="宋体"/>
        <w:b/>
        <w:bCs/>
        <w:i/>
        <w:iCs/>
        <w:lang w:eastAsia="zh-CN"/>
      </w:rPr>
      <w:t>西安市高新路尚品国际</w:t>
    </w:r>
    <w:r>
      <w:rPr>
        <w:rFonts w:hint="eastAsia" w:eastAsia="宋体"/>
        <w:b/>
        <w:bCs/>
        <w:i/>
        <w:iCs/>
        <w:lang w:val="en-US" w:eastAsia="zh-CN"/>
      </w:rPr>
      <w:t>C幢北12804室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widowControl w:val="0"/>
      <w:pBdr>
        <w:top w:val="single" w:color="auto" w:sz="4" w:space="1"/>
        <w:left w:val="none" w:color="auto" w:sz="0" w:space="4"/>
        <w:bottom w:val="none" w:color="auto" w:sz="0" w:space="1"/>
        <w:right w:val="none" w:color="auto" w:sz="0" w:space="4"/>
        <w:between w:val="none" w:color="auto" w:sz="0" w:space="0"/>
      </w:pBdr>
      <w:tabs>
        <w:tab w:val="left" w:pos="6015"/>
        <w:tab w:val="clear" w:pos="4153"/>
      </w:tabs>
      <w:adjustRightInd w:val="0"/>
      <w:spacing w:line="240" w:lineRule="atLeast"/>
      <w:jc w:val="left"/>
      <w:textAlignment w:val="baseline"/>
      <w:rPr>
        <w:rFonts w:hint="default"/>
        <w:b/>
        <w:bCs/>
        <w:i/>
        <w:iCs/>
        <w:lang w:val="en-US"/>
      </w:rPr>
    </w:pPr>
    <w:r>
      <w:rPr>
        <w:b/>
        <w:bCs/>
        <w:i/>
        <w:iCs/>
      </w:rPr>
      <mc:AlternateContent>
        <mc:Choice Requires="wps">
          <w:drawing>
            <wp:anchor distT="0" distB="0" distL="114300" distR="114300" simplePos="0" relativeHeight="251671552" behindDoc="0" locked="0" layoutInCell="1" allowOverlap="1">
              <wp:simplePos x="0" y="0"/>
              <wp:positionH relativeFrom="margin">
                <wp:posOffset>2414905</wp:posOffset>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90.15pt;margin-top:0pt;height:12.05pt;width:10.55pt;mso-position-horizontal-relative:margin;mso-wrap-style:none;z-index:251671552;mso-width-relative:page;mso-height-relative:page;" filled="f" stroked="f" coordsize="21600,21600" o:gfxdata="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zFehvTAAAABwEAAA8AAAAAAAAAAQAgAAAAIgAAAGRycy9kb3ducmV2&#10;LnhtbFBLAQIUABQAAAAIAIdO4kDtOcOBAQIAABIEAAAOAAAAAAAAAAEAIAAAACIBAABkcnMvZTJv&#10;RG9jLnhtbFBLBQYAAAAABgAGAFkBAACVBQAAAAA=&#10;">
              <v:fill on="f" focussize="0,0"/>
              <v:stroke on="f"/>
              <v:imagedata o:title=""/>
              <o:lock v:ext="edit" aspectratio="f"/>
              <v:textbox inset="0mm,0mm,0mm,0mm" style="mso-fit-shape-to-text:t;">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lang w:eastAsia="zh-CN"/>
      </w:rPr>
      <w:t>陕西星火工程管理有限公司</w:t>
    </w:r>
    <w:r>
      <w:rPr>
        <w:rFonts w:hint="eastAsia" w:eastAsia="宋体"/>
        <w:b/>
        <w:bCs/>
        <w:i/>
        <w:iCs/>
        <w:lang w:val="en-US" w:eastAsia="zh-CN"/>
      </w:rPr>
      <w:t xml:space="preserve">                                        </w:t>
    </w:r>
    <w:r>
      <w:rPr>
        <w:rFonts w:hint="eastAsia" w:eastAsia="宋体"/>
        <w:b/>
        <w:bCs/>
        <w:i/>
        <w:iCs/>
        <w:lang w:eastAsia="zh-CN"/>
      </w:rPr>
      <w:t>西安市高新路尚品国际</w:t>
    </w:r>
    <w:r>
      <w:rPr>
        <w:rFonts w:hint="eastAsia" w:eastAsia="宋体"/>
        <w:b/>
        <w:bCs/>
        <w:i/>
        <w:iCs/>
        <w:lang w:val="en-US" w:eastAsia="zh-CN"/>
      </w:rPr>
      <w:t>C幢北12804室</w:t>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widowControl w:val="0"/>
      <w:pBdr>
        <w:top w:val="single" w:color="auto" w:sz="4" w:space="1"/>
        <w:left w:val="none" w:color="auto" w:sz="0" w:space="4"/>
        <w:bottom w:val="none" w:color="auto" w:sz="0" w:space="1"/>
        <w:right w:val="none" w:color="auto" w:sz="0" w:space="4"/>
        <w:between w:val="none" w:color="auto" w:sz="0" w:space="0"/>
      </w:pBdr>
      <w:tabs>
        <w:tab w:val="left" w:pos="6015"/>
        <w:tab w:val="clear" w:pos="4153"/>
      </w:tabs>
      <w:adjustRightInd w:val="0"/>
      <w:spacing w:line="240" w:lineRule="atLeast"/>
      <w:jc w:val="left"/>
      <w:textAlignment w:val="baseline"/>
    </w:pPr>
    <w:r>
      <w:rPr>
        <w:b/>
        <w:bCs/>
        <w:i/>
        <w:iCs/>
      </w:rPr>
      <mc:AlternateContent>
        <mc:Choice Requires="wps">
          <w:drawing>
            <wp:anchor distT="0" distB="0" distL="114300" distR="114300" simplePos="0" relativeHeight="251664384"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4384;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jWYjGAA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LIEisM3fiTGgL7CAMr8uU6OtQ7&#10;X1Ljo6PWMNAOdSe13j2A/OmZhftW2KO6Q4S+VaImhkU8mT07OuL4CHLov0BNk8QpQAIaGjTRPjKE&#10;ETpRuVxvJ7KRceRq9eFmzZmkrWK9yleJWybK+bBDHz4pMCwWFUe6/AQuzg8+RDKinFviLAt73XUp&#10;AJ39a4EaxxWVEjSdjlIi+1FHGA7DZM0B6guJQhjTRW+LihbwF2c9Javilh4SZ91nS7bEEM4FzsVh&#10;LoSVdLDigbOxvA9jWE8O9bEl3Nn4O7Jur5OsSGzkMBlOWUlqp1zHMD7/T11/3vL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FNjQTUAAAABwEAAA8AAAAAAAAAAQAgAAAAIgAAAGRycy9kb3ducmV2&#10;LnhtbFBLAQIUABQAAAAIAIdO4kDjWYjGAAIAABMEAAAOAAAAAAAAAAEAIAAAACMBAABkcnMvZTJv&#10;RG9jLnhtbFBLBQYAAAAABgAGAFkBAACVBQAAAAA=&#10;">
              <v:fill on="f" focussize="0,0"/>
              <v:stroke on="f"/>
              <v:imagedata o:title=""/>
              <o:lock v:ext="edit" aspectratio="f"/>
              <v:textbox inset="0mm,0mm,0mm,0mm" style="mso-fit-shape-to-text:t;">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lang w:eastAsia="zh-CN"/>
      </w:rPr>
      <w:t>陕西星火工程管理有限公司</w:t>
    </w:r>
    <w:r>
      <w:rPr>
        <w:rFonts w:hint="eastAsia" w:eastAsia="宋体"/>
        <w:b/>
        <w:bCs/>
        <w:i/>
        <w:iCs/>
        <w:lang w:val="en-US" w:eastAsia="zh-CN"/>
      </w:rPr>
      <w:t xml:space="preserve">                                        </w:t>
    </w:r>
    <w:r>
      <w:rPr>
        <w:rFonts w:hint="eastAsia" w:eastAsia="宋体"/>
        <w:b/>
        <w:bCs/>
        <w:i/>
        <w:iCs/>
        <w:lang w:eastAsia="zh-CN"/>
      </w:rPr>
      <w:t>西安市高新路尚品国际</w:t>
    </w:r>
    <w:r>
      <w:rPr>
        <w:rFonts w:hint="eastAsia" w:eastAsia="宋体"/>
        <w:b/>
        <w:bCs/>
        <w:i/>
        <w:iCs/>
        <w:lang w:val="en-US" w:eastAsia="zh-CN"/>
      </w:rPr>
      <w:t>C幢北12804室</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1ubIkTcCAABh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NbmyJE3AgAAYQQAAA4AAAAAAAAAAQAgAAAAIQEAAGRycy9lMm9Eb2Mu&#10;eG1sUEsFBgAAAAAGAAYAWQEAAMoFAAAAAA==&#10;">
              <v:fill on="f" focussize="0,0"/>
              <v:stroke on="f" weight="0.5pt"/>
              <v:imagedata o:title=""/>
              <o:lock v:ext="edit" aspectratio="f"/>
              <v:textbox inset="0mm,0mm,0mm,0mm" style="mso-fit-shape-to-text:t;">
                <w:txbxContent>
                  <w:p>
                    <w:pPr>
                      <w:pStyle w:val="35"/>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widowControl w:val="0"/>
      <w:pBdr>
        <w:top w:val="single" w:color="auto" w:sz="4" w:space="1"/>
        <w:left w:val="none" w:color="auto" w:sz="0" w:space="4"/>
        <w:bottom w:val="none" w:color="auto" w:sz="0" w:space="1"/>
        <w:right w:val="none" w:color="auto" w:sz="0" w:space="4"/>
        <w:between w:val="none" w:color="auto" w:sz="0" w:space="0"/>
      </w:pBdr>
      <w:tabs>
        <w:tab w:val="left" w:pos="6015"/>
        <w:tab w:val="clear" w:pos="4153"/>
      </w:tabs>
      <w:adjustRightInd w:val="0"/>
      <w:spacing w:line="240" w:lineRule="atLeast"/>
      <w:jc w:val="left"/>
      <w:textAlignment w:val="baseline"/>
    </w:pPr>
    <w:r>
      <mc:AlternateContent>
        <mc:Choice Requires="wps">
          <w:drawing>
            <wp:anchor distT="0" distB="0" distL="114300" distR="114300" simplePos="0" relativeHeight="251659264" behindDoc="0" locked="0" layoutInCell="1" allowOverlap="1">
              <wp:simplePos x="0" y="0"/>
              <wp:positionH relativeFrom="margin">
                <wp:posOffset>2390775</wp:posOffset>
              </wp:positionH>
              <wp:positionV relativeFrom="paragraph">
                <wp:posOffset>165100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8.25pt;margin-top:13pt;height:12pt;width:9.85pt;mso-position-horizontal-relative:margin;mso-wrap-style:none;z-index:251659264;mso-width-relative:page;mso-height-relative:page;" filled="f" stroked="f" coordsize="21600,21600" o:gfxdata="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s6ID1wAAAAkBAAAPAAAAAAAAAAEAIAAAACIAAABkcnMvZG93bnJl&#10;di54bWxQSwECFAAUAAAACACHTuJAlGvKIDcCAABjBAAADgAAAAAAAAABACAAAAAmAQAAZHJzL2Uy&#10;b0RvYy54bWxQSwUGAAAAAAYABgBZAQAAzwUAAAAA&#10;">
              <v:fill on="f" focussize="0,0"/>
              <v:stroke on="f" weight="0.5pt"/>
              <v:imagedata o:title=""/>
              <o:lock v:ext="edit" aspectratio="f"/>
              <v:textbox inset="0mm,0mm,0mm,0mm" style="mso-fit-shape-to-text:t;">
                <w:txbxContent>
                  <w:p>
                    <w:pPr>
                      <w:pStyle w:val="35"/>
                    </w:pPr>
                  </w:p>
                </w:txbxContent>
              </v:textbox>
            </v:shape>
          </w:pict>
        </mc:Fallback>
      </mc:AlternateContent>
    </w:r>
    <w:r>
      <w:rPr>
        <w:b/>
        <w:bCs/>
        <w:i/>
        <w:iCs/>
      </w:rPr>
      <mc:AlternateContent>
        <mc:Choice Requires="wps">
          <w:drawing>
            <wp:anchor distT="0" distB="0" distL="114300" distR="114300" simplePos="0" relativeHeight="251666432" behindDoc="0" locked="0" layoutInCell="1" allowOverlap="1">
              <wp:simplePos x="0" y="0"/>
              <wp:positionH relativeFrom="margin">
                <wp:posOffset>2383790</wp:posOffset>
              </wp:positionH>
              <wp:positionV relativeFrom="paragraph">
                <wp:posOffset>0</wp:posOffset>
              </wp:positionV>
              <wp:extent cx="133985" cy="153035"/>
              <wp:effectExtent l="0" t="0" r="0" b="0"/>
              <wp:wrapNone/>
              <wp:docPr id="1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left:187.7pt;margin-top:0pt;height:12.05pt;width:10.55pt;mso-position-horizontal-relative:margin;mso-wrap-style:none;z-index:251666432;mso-width-relative:page;mso-height-relative:page;" filled="f" stroked="f" coordsize="21600,21600" o:gfxdata="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TY0E1AAAAAcBAAAPAAAAAAAAAAEAIAAAACIAAABkcnMvZG93bnJl&#10;di54bWxQSwECFAAUAAAACACHTuJAzwWCpQECAAATBAAADgAAAAAAAAABACAAAAAjAQAAZHJzL2Uy&#10;b0RvYy54bWxQSwUGAAAAAAYABgBZAQAAlgUAAAAA&#10;">
              <v:fill on="f" focussize="0,0"/>
              <v:stroke on="f"/>
              <v:imagedata o:title=""/>
              <o:lock v:ext="edit" aspectratio="f"/>
              <v:textbox inset="0mm,0mm,0mm,0mm" style="mso-fit-shape-to-text:t;">
                <w:txbxContent>
                  <w:p>
                    <w:pPr>
                      <w:pStyle w:val="3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eastAsia="宋体"/>
        <w:b/>
        <w:bCs/>
        <w:i/>
        <w:iCs/>
        <w:lang w:eastAsia="zh-CN"/>
      </w:rPr>
      <w:t>陕西星火工程管理有限公司</w:t>
    </w:r>
    <w:r>
      <w:rPr>
        <w:rFonts w:hint="eastAsia" w:eastAsia="宋体"/>
        <w:b/>
        <w:bCs/>
        <w:i/>
        <w:iCs/>
        <w:lang w:val="en-US" w:eastAsia="zh-CN"/>
      </w:rPr>
      <w:t xml:space="preserve">                                        </w:t>
    </w:r>
    <w:r>
      <w:rPr>
        <w:rFonts w:hint="eastAsia" w:eastAsia="宋体"/>
        <w:b/>
        <w:bCs/>
        <w:i/>
        <w:iCs/>
        <w:lang w:eastAsia="zh-CN"/>
      </w:rPr>
      <w:t>西安市高新路尚品国际</w:t>
    </w:r>
    <w:r>
      <w:rPr>
        <w:rFonts w:hint="eastAsia" w:eastAsia="宋体"/>
        <w:b/>
        <w:bCs/>
        <w:i/>
        <w:iCs/>
        <w:lang w:val="en-US" w:eastAsia="zh-CN"/>
      </w:rPr>
      <w:t>C幢北12804室</w:t>
    </w:r>
    <w:r>
      <mc:AlternateContent>
        <mc:Choice Requires="wps">
          <w:drawing>
            <wp:anchor distT="0" distB="0" distL="114300" distR="114300" simplePos="0" relativeHeight="251665408" behindDoc="0" locked="0" layoutInCell="1" allowOverlap="1">
              <wp:simplePos x="0" y="0"/>
              <wp:positionH relativeFrom="margin">
                <wp:posOffset>2818765</wp:posOffset>
              </wp:positionH>
              <wp:positionV relativeFrom="paragraph">
                <wp:posOffset>0</wp:posOffset>
              </wp:positionV>
              <wp:extent cx="125095" cy="1524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21.95pt;margin-top:0pt;height:12pt;width:9.85pt;mso-position-horizontal-relative:margin;mso-wrap-style:none;z-index:251665408;mso-width-relative:page;mso-height-relative:page;" filled="f" stroked="f" coordsize="21600,21600" o:gfxdata="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Oiwe1QAAAAcBAAAPAAAAAAAAAAEAIAAAACIAAABkcnMvZG93bnJldi54&#10;bWxQSwECFAAUAAAACACHTuJAf1R/HjYCAABiBAAADgAAAAAAAAABACAAAAAkAQAAZHJzL2Uyb0Rv&#10;Yy54bWxQSwUGAAAAAAYABgBZAQAAzAUAAAAA&#10;">
              <v:fill on="f" focussize="0,0"/>
              <v:stroke on="f" weight="0.5pt"/>
              <v:imagedata o:title=""/>
              <o:lock v:ext="edit" aspectratio="f"/>
              <v:textbox inset="0mm,0mm,0mm,0mm" style="mso-fit-shape-to-text:t;">
                <w:txbxContent>
                  <w:p>
                    <w:pPr>
                      <w:pStyle w:val="3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lear" w:pos="8306"/>
      </w:tabs>
      <w:jc w:val="right"/>
      <w:rPr>
        <w:b/>
        <w:bCs/>
        <w:i/>
        <w:iCs/>
      </w:rPr>
    </w:pPr>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5237480"/>
          <wp:effectExtent l="0" t="0" r="2540" b="1270"/>
          <wp:wrapNone/>
          <wp:docPr id="2"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b/>
        <w:bCs/>
        <w:i/>
        <w:iCs/>
        <w:lang w:eastAsia="zh-CN"/>
      </w:rPr>
      <w:t>耀州区电子商务进农村综合示范公共服务中心升级改造与运营项目</w:t>
    </w:r>
    <w:r>
      <w:rPr>
        <w:rFonts w:hint="eastAsia" w:eastAsia="宋体"/>
        <w:b/>
        <w:bCs/>
        <w:i/>
        <w:iCs/>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5237480"/>
          <wp:effectExtent l="0" t="0" r="2540" b="1270"/>
          <wp:wrapNone/>
          <wp:docPr id="7"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clear" w:pos="8306"/>
      </w:tabs>
      <w:jc w:val="right"/>
      <w:rPr>
        <w:b/>
        <w:bCs/>
        <w:i/>
        <w:iCs/>
      </w:rPr>
    </w:pPr>
    <w:r>
      <w:rPr>
        <w:rFonts w:hint="eastAsia" w:eastAsia="宋体"/>
        <w:b/>
        <w:bCs/>
        <w:i/>
        <w:iCs/>
        <w:lang w:eastAsia="zh-CN"/>
      </w:rPr>
      <w:t>耀州区电子商务进农村综合示范公共服务中心升级改造与运营项目竞争性磋商文件</w:t>
    </w:r>
  </w:p>
  <w:p/>
  <w:p>
    <w:pPr>
      <w:pStyle w:val="36"/>
      <w:pBdr>
        <w:bottom w:val="none" w:color="auto" w:sz="0" w:space="0"/>
      </w:pBdr>
      <w:jc w:val="both"/>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5237480"/>
          <wp:effectExtent l="0" t="0" r="2540" b="1270"/>
          <wp:wrapNone/>
          <wp:docPr id="8" name="WordPictureWatermark39229" descr="c790abd3f6ebb88519caf024f4db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9229" descr="c790abd3f6ebb88519caf024f4db521"/>
                  <pic:cNvPicPr>
                    <a:picLocks noChangeAspect="1"/>
                  </pic:cNvPicPr>
                </pic:nvPicPr>
                <pic:blipFill>
                  <a:blip r:embed="rId1">
                    <a:lum bright="69998" contrast="-70001"/>
                  </a:blip>
                  <a:stretch>
                    <a:fillRect/>
                  </a:stretch>
                </pic:blipFill>
                <pic:spPr>
                  <a:xfrm>
                    <a:off x="0" y="0"/>
                    <a:ext cx="5274310" cy="523748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FBA534B8"/>
    <w:multiLevelType w:val="singleLevel"/>
    <w:tmpl w:val="FBA534B8"/>
    <w:lvl w:ilvl="0" w:tentative="0">
      <w:start w:val="5"/>
      <w:numFmt w:val="chineseCounting"/>
      <w:suff w:val="space"/>
      <w:lvlText w:val="第%1章"/>
      <w:lvlJc w:val="left"/>
      <w:rPr>
        <w:rFonts w:hint="eastAsia"/>
      </w:rPr>
    </w:lvl>
  </w:abstractNum>
  <w:abstractNum w:abstractNumId="3">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7"/>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1035497F"/>
    <w:multiLevelType w:val="singleLevel"/>
    <w:tmpl w:val="1035497F"/>
    <w:lvl w:ilvl="0" w:tentative="0">
      <w:start w:val="5"/>
      <w:numFmt w:val="decimal"/>
      <w:suff w:val="space"/>
      <w:lvlText w:val="%1."/>
      <w:lvlJc w:val="left"/>
    </w:lvl>
  </w:abstractNum>
  <w:abstractNum w:abstractNumId="8">
    <w:nsid w:val="1C13737F"/>
    <w:multiLevelType w:val="singleLevel"/>
    <w:tmpl w:val="1C13737F"/>
    <w:lvl w:ilvl="0" w:tentative="0">
      <w:start w:val="1"/>
      <w:numFmt w:val="chineseCounting"/>
      <w:suff w:val="nothing"/>
      <w:lvlText w:val="%1、"/>
      <w:lvlJc w:val="left"/>
      <w:rPr>
        <w:rFonts w:hint="eastAsia"/>
      </w:rPr>
    </w:lvl>
  </w:abstractNum>
  <w:abstractNum w:abstractNumId="9">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59CB8E8"/>
    <w:multiLevelType w:val="singleLevel"/>
    <w:tmpl w:val="359CB8E8"/>
    <w:lvl w:ilvl="0" w:tentative="0">
      <w:start w:val="1"/>
      <w:numFmt w:val="chineseCounting"/>
      <w:suff w:val="nothing"/>
      <w:lvlText w:val="%1、"/>
      <w:lvlJc w:val="left"/>
      <w:rPr>
        <w:rFonts w:hint="eastAsia"/>
      </w:rPr>
    </w:lvl>
  </w:abstractNum>
  <w:abstractNum w:abstractNumId="11">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2">
    <w:nsid w:val="537AA372"/>
    <w:multiLevelType w:val="singleLevel"/>
    <w:tmpl w:val="537AA372"/>
    <w:lvl w:ilvl="0" w:tentative="0">
      <w:start w:val="21"/>
      <w:numFmt w:val="decimal"/>
      <w:suff w:val="space"/>
      <w:lvlText w:val="%1."/>
      <w:lvlJc w:val="left"/>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5AAB3475"/>
    <w:multiLevelType w:val="singleLevel"/>
    <w:tmpl w:val="5AAB3475"/>
    <w:lvl w:ilvl="0" w:tentative="0">
      <w:start w:val="1"/>
      <w:numFmt w:val="decimal"/>
      <w:lvlText w:val="%1."/>
      <w:lvlJc w:val="left"/>
      <w:pPr>
        <w:ind w:left="425" w:hanging="425"/>
      </w:pPr>
      <w:rPr>
        <w:rFonts w:hint="default"/>
      </w:rPr>
    </w:lvl>
  </w:abstractNum>
  <w:abstractNum w:abstractNumId="15">
    <w:nsid w:val="5AAB3487"/>
    <w:multiLevelType w:val="singleLevel"/>
    <w:tmpl w:val="5AAB3487"/>
    <w:lvl w:ilvl="0" w:tentative="0">
      <w:start w:val="1"/>
      <w:numFmt w:val="decimal"/>
      <w:lvlText w:val="%1)"/>
      <w:lvlJc w:val="left"/>
      <w:pPr>
        <w:ind w:left="567" w:hanging="425"/>
      </w:pPr>
      <w:rPr>
        <w:rFonts w:hint="default"/>
      </w:rPr>
    </w:lvl>
  </w:abstractNum>
  <w:abstractNum w:abstractNumId="16">
    <w:nsid w:val="5B243795"/>
    <w:multiLevelType w:val="singleLevel"/>
    <w:tmpl w:val="5B243795"/>
    <w:lvl w:ilvl="0" w:tentative="0">
      <w:start w:val="1"/>
      <w:numFmt w:val="decimal"/>
      <w:lvlText w:val="%1、"/>
      <w:lvlJc w:val="left"/>
      <w:pPr>
        <w:tabs>
          <w:tab w:val="left" w:pos="1125"/>
        </w:tabs>
        <w:ind w:left="1125" w:hanging="480"/>
      </w:pPr>
      <w:rPr>
        <w:rFonts w:hint="eastAsia"/>
      </w:rPr>
    </w:lvl>
  </w:abstractNum>
  <w:abstractNum w:abstractNumId="17">
    <w:nsid w:val="624D1350"/>
    <w:multiLevelType w:val="singleLevel"/>
    <w:tmpl w:val="624D1350"/>
    <w:lvl w:ilvl="0" w:tentative="0">
      <w:start w:val="25"/>
      <w:numFmt w:val="decimal"/>
      <w:suff w:val="space"/>
      <w:lvlText w:val="%1."/>
      <w:lvlJc w:val="left"/>
    </w:lvl>
  </w:abstractNum>
  <w:abstractNum w:abstractNumId="18">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0">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1">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8"/>
  </w:num>
  <w:num w:numId="4">
    <w:abstractNumId w:val="21"/>
  </w:num>
  <w:num w:numId="5">
    <w:abstractNumId w:val="7"/>
  </w:num>
  <w:num w:numId="6">
    <w:abstractNumId w:val="11"/>
  </w:num>
  <w:num w:numId="7">
    <w:abstractNumId w:val="0"/>
  </w:num>
  <w:num w:numId="8">
    <w:abstractNumId w:val="12"/>
  </w:num>
  <w:num w:numId="9">
    <w:abstractNumId w:val="17"/>
  </w:num>
  <w:num w:numId="10">
    <w:abstractNumId w:val="6"/>
  </w:num>
  <w:num w:numId="11">
    <w:abstractNumId w:val="1"/>
  </w:num>
  <w:num w:numId="12">
    <w:abstractNumId w:val="14"/>
  </w:num>
  <w:num w:numId="13">
    <w:abstractNumId w:val="15"/>
  </w:num>
  <w:num w:numId="14">
    <w:abstractNumId w:val="16"/>
  </w:num>
  <w:num w:numId="15">
    <w:abstractNumId w:val="2"/>
  </w:num>
  <w:num w:numId="16">
    <w:abstractNumId w:val="8"/>
  </w:num>
  <w:num w:numId="17">
    <w:abstractNumId w:val="5"/>
  </w:num>
  <w:num w:numId="18">
    <w:abstractNumId w:val="13"/>
  </w:num>
  <w:num w:numId="19">
    <w:abstractNumId w:val="9"/>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mY4YjQ3ZmY5ODE4MzVkMzg0NzY4ZmYzZTU4MGIifQ=="/>
  </w:docVars>
  <w:rsids>
    <w:rsidRoot w:val="00172A27"/>
    <w:rsid w:val="000076EB"/>
    <w:rsid w:val="00010824"/>
    <w:rsid w:val="00011C69"/>
    <w:rsid w:val="00013C37"/>
    <w:rsid w:val="00017F4A"/>
    <w:rsid w:val="00020B18"/>
    <w:rsid w:val="0003167F"/>
    <w:rsid w:val="00035C01"/>
    <w:rsid w:val="000360A4"/>
    <w:rsid w:val="000432ED"/>
    <w:rsid w:val="00043EA6"/>
    <w:rsid w:val="000449A9"/>
    <w:rsid w:val="00047D64"/>
    <w:rsid w:val="00051DDB"/>
    <w:rsid w:val="000524DF"/>
    <w:rsid w:val="00055849"/>
    <w:rsid w:val="000571A6"/>
    <w:rsid w:val="0005764F"/>
    <w:rsid w:val="00060BDF"/>
    <w:rsid w:val="00064E49"/>
    <w:rsid w:val="00065875"/>
    <w:rsid w:val="000739EC"/>
    <w:rsid w:val="000864F6"/>
    <w:rsid w:val="00090E0B"/>
    <w:rsid w:val="00091EC9"/>
    <w:rsid w:val="0009361A"/>
    <w:rsid w:val="00093935"/>
    <w:rsid w:val="0009799D"/>
    <w:rsid w:val="000A0E4D"/>
    <w:rsid w:val="000A15A6"/>
    <w:rsid w:val="000A2D28"/>
    <w:rsid w:val="000A4338"/>
    <w:rsid w:val="000A4FE6"/>
    <w:rsid w:val="000B08BC"/>
    <w:rsid w:val="000B192F"/>
    <w:rsid w:val="000B5CCC"/>
    <w:rsid w:val="000C092F"/>
    <w:rsid w:val="000C135C"/>
    <w:rsid w:val="000C1775"/>
    <w:rsid w:val="000C3906"/>
    <w:rsid w:val="000C5BB6"/>
    <w:rsid w:val="000D231B"/>
    <w:rsid w:val="000D4A95"/>
    <w:rsid w:val="000D6BDC"/>
    <w:rsid w:val="000E103E"/>
    <w:rsid w:val="000E1212"/>
    <w:rsid w:val="000E2D1B"/>
    <w:rsid w:val="000E5101"/>
    <w:rsid w:val="000E638B"/>
    <w:rsid w:val="000F2AFE"/>
    <w:rsid w:val="000F3A5B"/>
    <w:rsid w:val="000F62CA"/>
    <w:rsid w:val="001019AA"/>
    <w:rsid w:val="001027AD"/>
    <w:rsid w:val="00103D1E"/>
    <w:rsid w:val="00106BC6"/>
    <w:rsid w:val="00112F6D"/>
    <w:rsid w:val="0011313B"/>
    <w:rsid w:val="00115A53"/>
    <w:rsid w:val="00122E2E"/>
    <w:rsid w:val="0012603F"/>
    <w:rsid w:val="00130EAA"/>
    <w:rsid w:val="00134EE0"/>
    <w:rsid w:val="00136E83"/>
    <w:rsid w:val="0014401B"/>
    <w:rsid w:val="00145E81"/>
    <w:rsid w:val="00145EC3"/>
    <w:rsid w:val="001500A1"/>
    <w:rsid w:val="0015108F"/>
    <w:rsid w:val="0015361A"/>
    <w:rsid w:val="00153D2A"/>
    <w:rsid w:val="00160DB0"/>
    <w:rsid w:val="001618BA"/>
    <w:rsid w:val="00162B16"/>
    <w:rsid w:val="001633CE"/>
    <w:rsid w:val="00167244"/>
    <w:rsid w:val="00170E92"/>
    <w:rsid w:val="00172A27"/>
    <w:rsid w:val="00173C23"/>
    <w:rsid w:val="00174431"/>
    <w:rsid w:val="00175AAF"/>
    <w:rsid w:val="00183796"/>
    <w:rsid w:val="00185079"/>
    <w:rsid w:val="00187220"/>
    <w:rsid w:val="00194AEF"/>
    <w:rsid w:val="001A31AB"/>
    <w:rsid w:val="001B104E"/>
    <w:rsid w:val="001B1FDC"/>
    <w:rsid w:val="001B2823"/>
    <w:rsid w:val="001B354A"/>
    <w:rsid w:val="001B3620"/>
    <w:rsid w:val="001B388E"/>
    <w:rsid w:val="001B3B0E"/>
    <w:rsid w:val="001B7144"/>
    <w:rsid w:val="001C1032"/>
    <w:rsid w:val="001C180D"/>
    <w:rsid w:val="001C2CD0"/>
    <w:rsid w:val="001C3B26"/>
    <w:rsid w:val="001D0DA4"/>
    <w:rsid w:val="001D3446"/>
    <w:rsid w:val="001D4132"/>
    <w:rsid w:val="001D5293"/>
    <w:rsid w:val="001D5FDA"/>
    <w:rsid w:val="001E0BCB"/>
    <w:rsid w:val="001E13CC"/>
    <w:rsid w:val="001E5ACA"/>
    <w:rsid w:val="001E5C84"/>
    <w:rsid w:val="001E6E32"/>
    <w:rsid w:val="001F2DA3"/>
    <w:rsid w:val="001F642F"/>
    <w:rsid w:val="00200AA2"/>
    <w:rsid w:val="00210A41"/>
    <w:rsid w:val="0021263B"/>
    <w:rsid w:val="0021351E"/>
    <w:rsid w:val="002156D3"/>
    <w:rsid w:val="0021692D"/>
    <w:rsid w:val="00220BE5"/>
    <w:rsid w:val="00220CFA"/>
    <w:rsid w:val="00220DD5"/>
    <w:rsid w:val="00222276"/>
    <w:rsid w:val="0022779B"/>
    <w:rsid w:val="00237812"/>
    <w:rsid w:val="00240C69"/>
    <w:rsid w:val="00246479"/>
    <w:rsid w:val="00247D31"/>
    <w:rsid w:val="00250DCF"/>
    <w:rsid w:val="002527EC"/>
    <w:rsid w:val="0026051F"/>
    <w:rsid w:val="00262E9E"/>
    <w:rsid w:val="0026552B"/>
    <w:rsid w:val="002713C4"/>
    <w:rsid w:val="0027169F"/>
    <w:rsid w:val="0027314A"/>
    <w:rsid w:val="00276156"/>
    <w:rsid w:val="0028153C"/>
    <w:rsid w:val="00283254"/>
    <w:rsid w:val="0028435C"/>
    <w:rsid w:val="00286881"/>
    <w:rsid w:val="00290692"/>
    <w:rsid w:val="00290B93"/>
    <w:rsid w:val="00293DE8"/>
    <w:rsid w:val="0029438A"/>
    <w:rsid w:val="00294F2B"/>
    <w:rsid w:val="002957B2"/>
    <w:rsid w:val="002A0C69"/>
    <w:rsid w:val="002A0D21"/>
    <w:rsid w:val="002A5A2C"/>
    <w:rsid w:val="002B1655"/>
    <w:rsid w:val="002B1779"/>
    <w:rsid w:val="002B1CDB"/>
    <w:rsid w:val="002B28F2"/>
    <w:rsid w:val="002B3A00"/>
    <w:rsid w:val="002B4680"/>
    <w:rsid w:val="002B46E7"/>
    <w:rsid w:val="002B5FA1"/>
    <w:rsid w:val="002B646E"/>
    <w:rsid w:val="002B68F2"/>
    <w:rsid w:val="002B7042"/>
    <w:rsid w:val="002C20D3"/>
    <w:rsid w:val="002C2DC0"/>
    <w:rsid w:val="002C4263"/>
    <w:rsid w:val="002C5AAA"/>
    <w:rsid w:val="002D1DB2"/>
    <w:rsid w:val="002D224B"/>
    <w:rsid w:val="002D225D"/>
    <w:rsid w:val="002D4A13"/>
    <w:rsid w:val="002D6B36"/>
    <w:rsid w:val="002E321E"/>
    <w:rsid w:val="002E32E8"/>
    <w:rsid w:val="002E392A"/>
    <w:rsid w:val="002E43AF"/>
    <w:rsid w:val="002E51FD"/>
    <w:rsid w:val="002E5A17"/>
    <w:rsid w:val="002E601A"/>
    <w:rsid w:val="002E651A"/>
    <w:rsid w:val="002F1770"/>
    <w:rsid w:val="002F2F49"/>
    <w:rsid w:val="002F2FB6"/>
    <w:rsid w:val="002F32FC"/>
    <w:rsid w:val="002F582D"/>
    <w:rsid w:val="002F5F72"/>
    <w:rsid w:val="002F6981"/>
    <w:rsid w:val="003033B6"/>
    <w:rsid w:val="00304929"/>
    <w:rsid w:val="003060E8"/>
    <w:rsid w:val="00310A20"/>
    <w:rsid w:val="00313060"/>
    <w:rsid w:val="00314149"/>
    <w:rsid w:val="00316B8B"/>
    <w:rsid w:val="003204AC"/>
    <w:rsid w:val="00326D08"/>
    <w:rsid w:val="00333D4C"/>
    <w:rsid w:val="00334EF7"/>
    <w:rsid w:val="003455EC"/>
    <w:rsid w:val="00355C44"/>
    <w:rsid w:val="00367444"/>
    <w:rsid w:val="003703B4"/>
    <w:rsid w:val="00370E73"/>
    <w:rsid w:val="0037250B"/>
    <w:rsid w:val="00373E63"/>
    <w:rsid w:val="0037458F"/>
    <w:rsid w:val="003778AA"/>
    <w:rsid w:val="003803CD"/>
    <w:rsid w:val="003816EF"/>
    <w:rsid w:val="00383DEC"/>
    <w:rsid w:val="0038577F"/>
    <w:rsid w:val="00387748"/>
    <w:rsid w:val="0039011E"/>
    <w:rsid w:val="00394350"/>
    <w:rsid w:val="003964C0"/>
    <w:rsid w:val="003A02D7"/>
    <w:rsid w:val="003A0A59"/>
    <w:rsid w:val="003A20D1"/>
    <w:rsid w:val="003C1B37"/>
    <w:rsid w:val="003C5F20"/>
    <w:rsid w:val="003D08D2"/>
    <w:rsid w:val="003D1432"/>
    <w:rsid w:val="003D33D5"/>
    <w:rsid w:val="003D378B"/>
    <w:rsid w:val="003D6CC0"/>
    <w:rsid w:val="003D6F83"/>
    <w:rsid w:val="003E0455"/>
    <w:rsid w:val="003E26F5"/>
    <w:rsid w:val="003E6091"/>
    <w:rsid w:val="003E6268"/>
    <w:rsid w:val="003F1B58"/>
    <w:rsid w:val="003F1C98"/>
    <w:rsid w:val="00400609"/>
    <w:rsid w:val="00402745"/>
    <w:rsid w:val="0040289E"/>
    <w:rsid w:val="004035B3"/>
    <w:rsid w:val="00410849"/>
    <w:rsid w:val="004133E2"/>
    <w:rsid w:val="00421C0B"/>
    <w:rsid w:val="00422365"/>
    <w:rsid w:val="004247BB"/>
    <w:rsid w:val="00424FDA"/>
    <w:rsid w:val="00424FED"/>
    <w:rsid w:val="00425851"/>
    <w:rsid w:val="00425E9F"/>
    <w:rsid w:val="00427494"/>
    <w:rsid w:val="0043286E"/>
    <w:rsid w:val="004329AD"/>
    <w:rsid w:val="00432EDC"/>
    <w:rsid w:val="00433488"/>
    <w:rsid w:val="00441E37"/>
    <w:rsid w:val="00442A84"/>
    <w:rsid w:val="00443C15"/>
    <w:rsid w:val="004453D7"/>
    <w:rsid w:val="004507F1"/>
    <w:rsid w:val="004541CB"/>
    <w:rsid w:val="00463ED9"/>
    <w:rsid w:val="00465B46"/>
    <w:rsid w:val="00467B48"/>
    <w:rsid w:val="00475CD3"/>
    <w:rsid w:val="004803E2"/>
    <w:rsid w:val="0048136C"/>
    <w:rsid w:val="00494A82"/>
    <w:rsid w:val="004A0A68"/>
    <w:rsid w:val="004A4BC1"/>
    <w:rsid w:val="004A6CB2"/>
    <w:rsid w:val="004B012C"/>
    <w:rsid w:val="004B4658"/>
    <w:rsid w:val="004B498E"/>
    <w:rsid w:val="004B631E"/>
    <w:rsid w:val="004B635B"/>
    <w:rsid w:val="004C2993"/>
    <w:rsid w:val="004D1511"/>
    <w:rsid w:val="004D3A80"/>
    <w:rsid w:val="004D430A"/>
    <w:rsid w:val="004D5228"/>
    <w:rsid w:val="004E0461"/>
    <w:rsid w:val="004E069A"/>
    <w:rsid w:val="004F4B90"/>
    <w:rsid w:val="00500014"/>
    <w:rsid w:val="0050046A"/>
    <w:rsid w:val="0050087F"/>
    <w:rsid w:val="0050340C"/>
    <w:rsid w:val="00504579"/>
    <w:rsid w:val="00504DD9"/>
    <w:rsid w:val="00505D0E"/>
    <w:rsid w:val="00510173"/>
    <w:rsid w:val="005118AC"/>
    <w:rsid w:val="005120B4"/>
    <w:rsid w:val="00520A9F"/>
    <w:rsid w:val="00521994"/>
    <w:rsid w:val="00530F9A"/>
    <w:rsid w:val="00531619"/>
    <w:rsid w:val="00533DBA"/>
    <w:rsid w:val="005349DD"/>
    <w:rsid w:val="00543323"/>
    <w:rsid w:val="005449CD"/>
    <w:rsid w:val="00553423"/>
    <w:rsid w:val="00562743"/>
    <w:rsid w:val="00562C82"/>
    <w:rsid w:val="00566AC7"/>
    <w:rsid w:val="0057296E"/>
    <w:rsid w:val="00572DA7"/>
    <w:rsid w:val="00573153"/>
    <w:rsid w:val="00573C62"/>
    <w:rsid w:val="00574517"/>
    <w:rsid w:val="00591502"/>
    <w:rsid w:val="005923C5"/>
    <w:rsid w:val="00594BFB"/>
    <w:rsid w:val="005979FF"/>
    <w:rsid w:val="005A3176"/>
    <w:rsid w:val="005A3911"/>
    <w:rsid w:val="005A4131"/>
    <w:rsid w:val="005B0EE1"/>
    <w:rsid w:val="005B21FF"/>
    <w:rsid w:val="005B4961"/>
    <w:rsid w:val="005C1347"/>
    <w:rsid w:val="005C2FC9"/>
    <w:rsid w:val="005C32D0"/>
    <w:rsid w:val="005C75CD"/>
    <w:rsid w:val="005D0DAD"/>
    <w:rsid w:val="005D3236"/>
    <w:rsid w:val="005D391F"/>
    <w:rsid w:val="005D42BE"/>
    <w:rsid w:val="005D4608"/>
    <w:rsid w:val="005D5632"/>
    <w:rsid w:val="005D5C6A"/>
    <w:rsid w:val="005D626C"/>
    <w:rsid w:val="005E226F"/>
    <w:rsid w:val="005E4289"/>
    <w:rsid w:val="005E62A2"/>
    <w:rsid w:val="005E725B"/>
    <w:rsid w:val="005F2153"/>
    <w:rsid w:val="005F3A97"/>
    <w:rsid w:val="005F5F4A"/>
    <w:rsid w:val="005F65DF"/>
    <w:rsid w:val="005F7683"/>
    <w:rsid w:val="00610176"/>
    <w:rsid w:val="0061200D"/>
    <w:rsid w:val="00614987"/>
    <w:rsid w:val="00621B74"/>
    <w:rsid w:val="00626052"/>
    <w:rsid w:val="0062765A"/>
    <w:rsid w:val="0063060A"/>
    <w:rsid w:val="00630C07"/>
    <w:rsid w:val="00630C0C"/>
    <w:rsid w:val="00632305"/>
    <w:rsid w:val="0064266B"/>
    <w:rsid w:val="00643C14"/>
    <w:rsid w:val="00651B51"/>
    <w:rsid w:val="0065448D"/>
    <w:rsid w:val="006561CA"/>
    <w:rsid w:val="0065724B"/>
    <w:rsid w:val="00660AD9"/>
    <w:rsid w:val="00661C43"/>
    <w:rsid w:val="0066575C"/>
    <w:rsid w:val="00670409"/>
    <w:rsid w:val="0067503A"/>
    <w:rsid w:val="00675BB2"/>
    <w:rsid w:val="006760B5"/>
    <w:rsid w:val="00681DCA"/>
    <w:rsid w:val="00682569"/>
    <w:rsid w:val="00684CC0"/>
    <w:rsid w:val="00685847"/>
    <w:rsid w:val="006859E8"/>
    <w:rsid w:val="0068654C"/>
    <w:rsid w:val="00691990"/>
    <w:rsid w:val="00694AD5"/>
    <w:rsid w:val="006A30E7"/>
    <w:rsid w:val="006A352F"/>
    <w:rsid w:val="006A414E"/>
    <w:rsid w:val="006A5F7C"/>
    <w:rsid w:val="006A6858"/>
    <w:rsid w:val="006A7003"/>
    <w:rsid w:val="006B00F6"/>
    <w:rsid w:val="006C0DD3"/>
    <w:rsid w:val="006C20DF"/>
    <w:rsid w:val="006C27D4"/>
    <w:rsid w:val="006C3F78"/>
    <w:rsid w:val="006C44FE"/>
    <w:rsid w:val="006C6120"/>
    <w:rsid w:val="006C7DB2"/>
    <w:rsid w:val="006D02B6"/>
    <w:rsid w:val="006D063F"/>
    <w:rsid w:val="006D2517"/>
    <w:rsid w:val="006D48E1"/>
    <w:rsid w:val="006D5FD5"/>
    <w:rsid w:val="006D6999"/>
    <w:rsid w:val="006D6FA9"/>
    <w:rsid w:val="006E165D"/>
    <w:rsid w:val="006E4B98"/>
    <w:rsid w:val="006E4E35"/>
    <w:rsid w:val="006E6E80"/>
    <w:rsid w:val="006E7CAF"/>
    <w:rsid w:val="006F1B11"/>
    <w:rsid w:val="006F1E2E"/>
    <w:rsid w:val="006F70E2"/>
    <w:rsid w:val="006F72F9"/>
    <w:rsid w:val="006F7DCD"/>
    <w:rsid w:val="0070043D"/>
    <w:rsid w:val="00705212"/>
    <w:rsid w:val="007079A5"/>
    <w:rsid w:val="007108A1"/>
    <w:rsid w:val="00711EA4"/>
    <w:rsid w:val="00715177"/>
    <w:rsid w:val="00716957"/>
    <w:rsid w:val="00720269"/>
    <w:rsid w:val="007219AF"/>
    <w:rsid w:val="007247E7"/>
    <w:rsid w:val="00724892"/>
    <w:rsid w:val="007249D9"/>
    <w:rsid w:val="00724A04"/>
    <w:rsid w:val="00724FFF"/>
    <w:rsid w:val="0073224F"/>
    <w:rsid w:val="007335C1"/>
    <w:rsid w:val="00735AA2"/>
    <w:rsid w:val="00735EA4"/>
    <w:rsid w:val="00736001"/>
    <w:rsid w:val="00740059"/>
    <w:rsid w:val="00740FB3"/>
    <w:rsid w:val="00741351"/>
    <w:rsid w:val="00741789"/>
    <w:rsid w:val="00743DDF"/>
    <w:rsid w:val="00744A89"/>
    <w:rsid w:val="00745687"/>
    <w:rsid w:val="00747962"/>
    <w:rsid w:val="0075070D"/>
    <w:rsid w:val="00751324"/>
    <w:rsid w:val="00752C78"/>
    <w:rsid w:val="007603C6"/>
    <w:rsid w:val="00762641"/>
    <w:rsid w:val="007657DA"/>
    <w:rsid w:val="00767EB5"/>
    <w:rsid w:val="0077123A"/>
    <w:rsid w:val="00772B56"/>
    <w:rsid w:val="0077391F"/>
    <w:rsid w:val="00777AD6"/>
    <w:rsid w:val="00781479"/>
    <w:rsid w:val="007820A4"/>
    <w:rsid w:val="00783303"/>
    <w:rsid w:val="007847E9"/>
    <w:rsid w:val="00787F49"/>
    <w:rsid w:val="00790A08"/>
    <w:rsid w:val="007925D2"/>
    <w:rsid w:val="007971F8"/>
    <w:rsid w:val="00797C0F"/>
    <w:rsid w:val="007A5B87"/>
    <w:rsid w:val="007A6464"/>
    <w:rsid w:val="007B3285"/>
    <w:rsid w:val="007B5519"/>
    <w:rsid w:val="007C4C08"/>
    <w:rsid w:val="007C6A3F"/>
    <w:rsid w:val="007C6E10"/>
    <w:rsid w:val="007D2F26"/>
    <w:rsid w:val="007D47D5"/>
    <w:rsid w:val="007D6387"/>
    <w:rsid w:val="007E0CEB"/>
    <w:rsid w:val="007E1E5B"/>
    <w:rsid w:val="007E5F14"/>
    <w:rsid w:val="007E5F62"/>
    <w:rsid w:val="007E71F5"/>
    <w:rsid w:val="007E73B0"/>
    <w:rsid w:val="007F4D32"/>
    <w:rsid w:val="007F7ABB"/>
    <w:rsid w:val="008000B0"/>
    <w:rsid w:val="00801DEF"/>
    <w:rsid w:val="0080217E"/>
    <w:rsid w:val="008031F1"/>
    <w:rsid w:val="00804A4E"/>
    <w:rsid w:val="0080614C"/>
    <w:rsid w:val="00807872"/>
    <w:rsid w:val="0081281C"/>
    <w:rsid w:val="00817CCC"/>
    <w:rsid w:val="00826B74"/>
    <w:rsid w:val="00831006"/>
    <w:rsid w:val="008357E9"/>
    <w:rsid w:val="00845769"/>
    <w:rsid w:val="0084595F"/>
    <w:rsid w:val="00855B04"/>
    <w:rsid w:val="00856F9A"/>
    <w:rsid w:val="00865539"/>
    <w:rsid w:val="00867C65"/>
    <w:rsid w:val="00867F3C"/>
    <w:rsid w:val="00870955"/>
    <w:rsid w:val="00872B82"/>
    <w:rsid w:val="00874426"/>
    <w:rsid w:val="00875640"/>
    <w:rsid w:val="008761AB"/>
    <w:rsid w:val="00876312"/>
    <w:rsid w:val="00881621"/>
    <w:rsid w:val="008830AC"/>
    <w:rsid w:val="008855E4"/>
    <w:rsid w:val="008861AE"/>
    <w:rsid w:val="0089328E"/>
    <w:rsid w:val="00897C23"/>
    <w:rsid w:val="008A594E"/>
    <w:rsid w:val="008B3660"/>
    <w:rsid w:val="008B4671"/>
    <w:rsid w:val="008B5C32"/>
    <w:rsid w:val="008B6E33"/>
    <w:rsid w:val="008B7216"/>
    <w:rsid w:val="008C000B"/>
    <w:rsid w:val="008C3554"/>
    <w:rsid w:val="008C4E5C"/>
    <w:rsid w:val="008C633E"/>
    <w:rsid w:val="008D2BB6"/>
    <w:rsid w:val="008D47E6"/>
    <w:rsid w:val="008E1587"/>
    <w:rsid w:val="008E64B8"/>
    <w:rsid w:val="008F2A45"/>
    <w:rsid w:val="008F42F1"/>
    <w:rsid w:val="008F5042"/>
    <w:rsid w:val="008F5272"/>
    <w:rsid w:val="00900464"/>
    <w:rsid w:val="00902DE7"/>
    <w:rsid w:val="00904AE8"/>
    <w:rsid w:val="0091049B"/>
    <w:rsid w:val="00912229"/>
    <w:rsid w:val="00915E8C"/>
    <w:rsid w:val="00921008"/>
    <w:rsid w:val="00921EB2"/>
    <w:rsid w:val="009224A5"/>
    <w:rsid w:val="009238F5"/>
    <w:rsid w:val="009312FA"/>
    <w:rsid w:val="00935CDF"/>
    <w:rsid w:val="0093690A"/>
    <w:rsid w:val="00936A59"/>
    <w:rsid w:val="0094157C"/>
    <w:rsid w:val="00941691"/>
    <w:rsid w:val="00945555"/>
    <w:rsid w:val="009523E8"/>
    <w:rsid w:val="0095414E"/>
    <w:rsid w:val="00954420"/>
    <w:rsid w:val="0095654C"/>
    <w:rsid w:val="00957118"/>
    <w:rsid w:val="00961697"/>
    <w:rsid w:val="009633A0"/>
    <w:rsid w:val="00972AD9"/>
    <w:rsid w:val="00972D74"/>
    <w:rsid w:val="0097394C"/>
    <w:rsid w:val="009741CE"/>
    <w:rsid w:val="00976333"/>
    <w:rsid w:val="00976425"/>
    <w:rsid w:val="009808B4"/>
    <w:rsid w:val="009864F9"/>
    <w:rsid w:val="0099054D"/>
    <w:rsid w:val="00991C2E"/>
    <w:rsid w:val="00992349"/>
    <w:rsid w:val="00992AA1"/>
    <w:rsid w:val="00993CCF"/>
    <w:rsid w:val="00994A20"/>
    <w:rsid w:val="009954FA"/>
    <w:rsid w:val="009A00B0"/>
    <w:rsid w:val="009A10A6"/>
    <w:rsid w:val="009A6024"/>
    <w:rsid w:val="009B42B8"/>
    <w:rsid w:val="009B5A9E"/>
    <w:rsid w:val="009B5AAB"/>
    <w:rsid w:val="009B5D0A"/>
    <w:rsid w:val="009B5E2B"/>
    <w:rsid w:val="009C08A6"/>
    <w:rsid w:val="009C0994"/>
    <w:rsid w:val="009C339F"/>
    <w:rsid w:val="009C401D"/>
    <w:rsid w:val="009C49D8"/>
    <w:rsid w:val="009C7C3E"/>
    <w:rsid w:val="009D1A82"/>
    <w:rsid w:val="009D1BC2"/>
    <w:rsid w:val="009D4E57"/>
    <w:rsid w:val="009E531A"/>
    <w:rsid w:val="009E6071"/>
    <w:rsid w:val="009E695E"/>
    <w:rsid w:val="009E70C8"/>
    <w:rsid w:val="009E7612"/>
    <w:rsid w:val="009F19A2"/>
    <w:rsid w:val="009F56F2"/>
    <w:rsid w:val="009F61CC"/>
    <w:rsid w:val="009F76D9"/>
    <w:rsid w:val="00A10700"/>
    <w:rsid w:val="00A120E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5AF"/>
    <w:rsid w:val="00A52C70"/>
    <w:rsid w:val="00A556AC"/>
    <w:rsid w:val="00A60B1F"/>
    <w:rsid w:val="00A62048"/>
    <w:rsid w:val="00A627F3"/>
    <w:rsid w:val="00A673E1"/>
    <w:rsid w:val="00A75608"/>
    <w:rsid w:val="00A77387"/>
    <w:rsid w:val="00A80309"/>
    <w:rsid w:val="00A805A4"/>
    <w:rsid w:val="00A80EE8"/>
    <w:rsid w:val="00A85050"/>
    <w:rsid w:val="00A85AED"/>
    <w:rsid w:val="00A9033A"/>
    <w:rsid w:val="00A91861"/>
    <w:rsid w:val="00AA24F4"/>
    <w:rsid w:val="00AB0C96"/>
    <w:rsid w:val="00AB3A97"/>
    <w:rsid w:val="00AB4466"/>
    <w:rsid w:val="00AB5D9E"/>
    <w:rsid w:val="00AB762D"/>
    <w:rsid w:val="00AB7CB0"/>
    <w:rsid w:val="00AC3C7D"/>
    <w:rsid w:val="00AC5E2A"/>
    <w:rsid w:val="00AD2213"/>
    <w:rsid w:val="00AE504D"/>
    <w:rsid w:val="00AF0FAA"/>
    <w:rsid w:val="00AF1C97"/>
    <w:rsid w:val="00AF28CD"/>
    <w:rsid w:val="00AF7370"/>
    <w:rsid w:val="00B0185A"/>
    <w:rsid w:val="00B02899"/>
    <w:rsid w:val="00B02F52"/>
    <w:rsid w:val="00B05E3A"/>
    <w:rsid w:val="00B15DFE"/>
    <w:rsid w:val="00B168B4"/>
    <w:rsid w:val="00B20110"/>
    <w:rsid w:val="00B21407"/>
    <w:rsid w:val="00B310FE"/>
    <w:rsid w:val="00B31F50"/>
    <w:rsid w:val="00B32028"/>
    <w:rsid w:val="00B335B1"/>
    <w:rsid w:val="00B35514"/>
    <w:rsid w:val="00B36EA2"/>
    <w:rsid w:val="00B3701C"/>
    <w:rsid w:val="00B3729D"/>
    <w:rsid w:val="00B43BF5"/>
    <w:rsid w:val="00B46D0B"/>
    <w:rsid w:val="00B4746D"/>
    <w:rsid w:val="00B50AA3"/>
    <w:rsid w:val="00B51A48"/>
    <w:rsid w:val="00B5212F"/>
    <w:rsid w:val="00B52AF4"/>
    <w:rsid w:val="00B537AA"/>
    <w:rsid w:val="00B56FF2"/>
    <w:rsid w:val="00B73F29"/>
    <w:rsid w:val="00B73F43"/>
    <w:rsid w:val="00B76FB5"/>
    <w:rsid w:val="00B8179D"/>
    <w:rsid w:val="00B84903"/>
    <w:rsid w:val="00B92025"/>
    <w:rsid w:val="00B92CAF"/>
    <w:rsid w:val="00B94BAC"/>
    <w:rsid w:val="00B967ED"/>
    <w:rsid w:val="00BA17CC"/>
    <w:rsid w:val="00BA6742"/>
    <w:rsid w:val="00BA72A5"/>
    <w:rsid w:val="00BA7DCB"/>
    <w:rsid w:val="00BC231E"/>
    <w:rsid w:val="00BC4FE1"/>
    <w:rsid w:val="00BC5F50"/>
    <w:rsid w:val="00BC6972"/>
    <w:rsid w:val="00BD2C47"/>
    <w:rsid w:val="00BD3EA2"/>
    <w:rsid w:val="00BD4D76"/>
    <w:rsid w:val="00BD4E36"/>
    <w:rsid w:val="00BD65F8"/>
    <w:rsid w:val="00BD763B"/>
    <w:rsid w:val="00BD79DA"/>
    <w:rsid w:val="00BE0BD0"/>
    <w:rsid w:val="00BE0C40"/>
    <w:rsid w:val="00BE20C3"/>
    <w:rsid w:val="00BE4C8A"/>
    <w:rsid w:val="00BE7176"/>
    <w:rsid w:val="00BF03E2"/>
    <w:rsid w:val="00BF19D3"/>
    <w:rsid w:val="00BF233E"/>
    <w:rsid w:val="00BF3315"/>
    <w:rsid w:val="00BF63A3"/>
    <w:rsid w:val="00BF6944"/>
    <w:rsid w:val="00BF6BEA"/>
    <w:rsid w:val="00C00D16"/>
    <w:rsid w:val="00C0192D"/>
    <w:rsid w:val="00C053B5"/>
    <w:rsid w:val="00C05BD3"/>
    <w:rsid w:val="00C06780"/>
    <w:rsid w:val="00C06B71"/>
    <w:rsid w:val="00C13BB9"/>
    <w:rsid w:val="00C17134"/>
    <w:rsid w:val="00C20ACB"/>
    <w:rsid w:val="00C22317"/>
    <w:rsid w:val="00C224CF"/>
    <w:rsid w:val="00C34B36"/>
    <w:rsid w:val="00C362FD"/>
    <w:rsid w:val="00C36656"/>
    <w:rsid w:val="00C37AD7"/>
    <w:rsid w:val="00C424B3"/>
    <w:rsid w:val="00C5104C"/>
    <w:rsid w:val="00C52136"/>
    <w:rsid w:val="00C53775"/>
    <w:rsid w:val="00C57033"/>
    <w:rsid w:val="00C6149A"/>
    <w:rsid w:val="00C61A4D"/>
    <w:rsid w:val="00C63FF4"/>
    <w:rsid w:val="00C650C0"/>
    <w:rsid w:val="00C67192"/>
    <w:rsid w:val="00C72612"/>
    <w:rsid w:val="00C77BFA"/>
    <w:rsid w:val="00C94EED"/>
    <w:rsid w:val="00C9738A"/>
    <w:rsid w:val="00CA5206"/>
    <w:rsid w:val="00CA6B7F"/>
    <w:rsid w:val="00CB450A"/>
    <w:rsid w:val="00CB5439"/>
    <w:rsid w:val="00CB689E"/>
    <w:rsid w:val="00CB694A"/>
    <w:rsid w:val="00CC0844"/>
    <w:rsid w:val="00CC0E95"/>
    <w:rsid w:val="00CC2D24"/>
    <w:rsid w:val="00CC3041"/>
    <w:rsid w:val="00CD1978"/>
    <w:rsid w:val="00CD26A8"/>
    <w:rsid w:val="00CD3EB4"/>
    <w:rsid w:val="00CD68B8"/>
    <w:rsid w:val="00CE1EC9"/>
    <w:rsid w:val="00CE68B4"/>
    <w:rsid w:val="00CE768C"/>
    <w:rsid w:val="00CF003B"/>
    <w:rsid w:val="00D01379"/>
    <w:rsid w:val="00D0569E"/>
    <w:rsid w:val="00D168F3"/>
    <w:rsid w:val="00D23560"/>
    <w:rsid w:val="00D25854"/>
    <w:rsid w:val="00D27402"/>
    <w:rsid w:val="00D30536"/>
    <w:rsid w:val="00D306E0"/>
    <w:rsid w:val="00D31E4B"/>
    <w:rsid w:val="00D325EA"/>
    <w:rsid w:val="00D32FD8"/>
    <w:rsid w:val="00D33906"/>
    <w:rsid w:val="00D3565A"/>
    <w:rsid w:val="00D411BC"/>
    <w:rsid w:val="00D41306"/>
    <w:rsid w:val="00D41637"/>
    <w:rsid w:val="00D45F64"/>
    <w:rsid w:val="00D506F5"/>
    <w:rsid w:val="00D51A3F"/>
    <w:rsid w:val="00D536F9"/>
    <w:rsid w:val="00D54273"/>
    <w:rsid w:val="00D55ADC"/>
    <w:rsid w:val="00D56B5D"/>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B2AED"/>
    <w:rsid w:val="00DC0934"/>
    <w:rsid w:val="00DC31B2"/>
    <w:rsid w:val="00DD10CD"/>
    <w:rsid w:val="00DD656B"/>
    <w:rsid w:val="00DE4818"/>
    <w:rsid w:val="00DF2F86"/>
    <w:rsid w:val="00DF4D97"/>
    <w:rsid w:val="00DF780E"/>
    <w:rsid w:val="00E04115"/>
    <w:rsid w:val="00E047D0"/>
    <w:rsid w:val="00E05A25"/>
    <w:rsid w:val="00E06BE5"/>
    <w:rsid w:val="00E114E0"/>
    <w:rsid w:val="00E11E65"/>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1029"/>
    <w:rsid w:val="00E66313"/>
    <w:rsid w:val="00E71EEB"/>
    <w:rsid w:val="00E774AB"/>
    <w:rsid w:val="00E80D1E"/>
    <w:rsid w:val="00E81B72"/>
    <w:rsid w:val="00E8331E"/>
    <w:rsid w:val="00E9002F"/>
    <w:rsid w:val="00E90FA3"/>
    <w:rsid w:val="00E950EE"/>
    <w:rsid w:val="00E972E9"/>
    <w:rsid w:val="00E977CD"/>
    <w:rsid w:val="00EA13AB"/>
    <w:rsid w:val="00EA4AF9"/>
    <w:rsid w:val="00EB1478"/>
    <w:rsid w:val="00EB17A4"/>
    <w:rsid w:val="00EB3115"/>
    <w:rsid w:val="00EB330A"/>
    <w:rsid w:val="00EB556C"/>
    <w:rsid w:val="00EB5B56"/>
    <w:rsid w:val="00EB75AB"/>
    <w:rsid w:val="00EC0D7D"/>
    <w:rsid w:val="00EC4AB3"/>
    <w:rsid w:val="00EC603D"/>
    <w:rsid w:val="00EC618E"/>
    <w:rsid w:val="00ED12D4"/>
    <w:rsid w:val="00ED4E89"/>
    <w:rsid w:val="00EE20B7"/>
    <w:rsid w:val="00EF36D1"/>
    <w:rsid w:val="00F00998"/>
    <w:rsid w:val="00F04BDB"/>
    <w:rsid w:val="00F06D26"/>
    <w:rsid w:val="00F0784F"/>
    <w:rsid w:val="00F150BD"/>
    <w:rsid w:val="00F204B5"/>
    <w:rsid w:val="00F2464A"/>
    <w:rsid w:val="00F25E73"/>
    <w:rsid w:val="00F26088"/>
    <w:rsid w:val="00F30245"/>
    <w:rsid w:val="00F342F0"/>
    <w:rsid w:val="00F41DAF"/>
    <w:rsid w:val="00F4619F"/>
    <w:rsid w:val="00F50398"/>
    <w:rsid w:val="00F52936"/>
    <w:rsid w:val="00F52B8C"/>
    <w:rsid w:val="00F602DF"/>
    <w:rsid w:val="00F67C33"/>
    <w:rsid w:val="00F7008C"/>
    <w:rsid w:val="00F74506"/>
    <w:rsid w:val="00F77351"/>
    <w:rsid w:val="00F81A9D"/>
    <w:rsid w:val="00F83C5D"/>
    <w:rsid w:val="00F83DAA"/>
    <w:rsid w:val="00F85027"/>
    <w:rsid w:val="00F854CB"/>
    <w:rsid w:val="00F90A09"/>
    <w:rsid w:val="00F91DAA"/>
    <w:rsid w:val="00F92E18"/>
    <w:rsid w:val="00F95CCB"/>
    <w:rsid w:val="00F97559"/>
    <w:rsid w:val="00F977A0"/>
    <w:rsid w:val="00FA1D2C"/>
    <w:rsid w:val="00FA1F1A"/>
    <w:rsid w:val="00FA2237"/>
    <w:rsid w:val="00FA2C5D"/>
    <w:rsid w:val="00FA5FF9"/>
    <w:rsid w:val="00FA6595"/>
    <w:rsid w:val="00FB49E3"/>
    <w:rsid w:val="00FB64AE"/>
    <w:rsid w:val="00FB79F6"/>
    <w:rsid w:val="00FB7DA7"/>
    <w:rsid w:val="00FC2897"/>
    <w:rsid w:val="00FD2F77"/>
    <w:rsid w:val="00FD2F93"/>
    <w:rsid w:val="00FD71F3"/>
    <w:rsid w:val="00FE1AC4"/>
    <w:rsid w:val="00FE5D68"/>
    <w:rsid w:val="00FE7373"/>
    <w:rsid w:val="00FF1ECD"/>
    <w:rsid w:val="00FF6AE6"/>
    <w:rsid w:val="01276CE6"/>
    <w:rsid w:val="01391AF7"/>
    <w:rsid w:val="01A56820"/>
    <w:rsid w:val="01B73196"/>
    <w:rsid w:val="01DB0F21"/>
    <w:rsid w:val="01F85948"/>
    <w:rsid w:val="027D1EDC"/>
    <w:rsid w:val="02AA6F17"/>
    <w:rsid w:val="02E6429D"/>
    <w:rsid w:val="032E5AB3"/>
    <w:rsid w:val="0380752A"/>
    <w:rsid w:val="04874841"/>
    <w:rsid w:val="04AF0DC0"/>
    <w:rsid w:val="04E35F2C"/>
    <w:rsid w:val="051A29E5"/>
    <w:rsid w:val="05CA3B1B"/>
    <w:rsid w:val="05D40F8A"/>
    <w:rsid w:val="05E97CB2"/>
    <w:rsid w:val="060D6A3B"/>
    <w:rsid w:val="06193B1E"/>
    <w:rsid w:val="06383C8B"/>
    <w:rsid w:val="06C6067E"/>
    <w:rsid w:val="06DF18E2"/>
    <w:rsid w:val="0707497A"/>
    <w:rsid w:val="07394A3D"/>
    <w:rsid w:val="07416329"/>
    <w:rsid w:val="07501B9E"/>
    <w:rsid w:val="0838785B"/>
    <w:rsid w:val="087D0B78"/>
    <w:rsid w:val="0920129B"/>
    <w:rsid w:val="09823E4D"/>
    <w:rsid w:val="098852A8"/>
    <w:rsid w:val="0A4B18CE"/>
    <w:rsid w:val="0A8A4B12"/>
    <w:rsid w:val="0AC800D5"/>
    <w:rsid w:val="0AFA19A7"/>
    <w:rsid w:val="0B181252"/>
    <w:rsid w:val="0B2543AA"/>
    <w:rsid w:val="0B651CEF"/>
    <w:rsid w:val="0C275A89"/>
    <w:rsid w:val="0CBB5882"/>
    <w:rsid w:val="0D531CDF"/>
    <w:rsid w:val="0D544B00"/>
    <w:rsid w:val="0DCA3125"/>
    <w:rsid w:val="0E416A77"/>
    <w:rsid w:val="0E5C2657"/>
    <w:rsid w:val="0EA34036"/>
    <w:rsid w:val="0EB049DF"/>
    <w:rsid w:val="0EB63F9D"/>
    <w:rsid w:val="0F245037"/>
    <w:rsid w:val="0F54794B"/>
    <w:rsid w:val="0F6A354E"/>
    <w:rsid w:val="0F88478D"/>
    <w:rsid w:val="0FB73DA5"/>
    <w:rsid w:val="0FDE2587"/>
    <w:rsid w:val="10142A07"/>
    <w:rsid w:val="103649EC"/>
    <w:rsid w:val="10480E2B"/>
    <w:rsid w:val="10507757"/>
    <w:rsid w:val="107A1082"/>
    <w:rsid w:val="109E7189"/>
    <w:rsid w:val="10C72BB3"/>
    <w:rsid w:val="115206FB"/>
    <w:rsid w:val="11531DCE"/>
    <w:rsid w:val="11B40613"/>
    <w:rsid w:val="11BE2022"/>
    <w:rsid w:val="11D83EA2"/>
    <w:rsid w:val="122510EE"/>
    <w:rsid w:val="12405481"/>
    <w:rsid w:val="125631F0"/>
    <w:rsid w:val="12853CE2"/>
    <w:rsid w:val="128D1331"/>
    <w:rsid w:val="12C1355D"/>
    <w:rsid w:val="12CF59C6"/>
    <w:rsid w:val="12EA1EE6"/>
    <w:rsid w:val="12EF7289"/>
    <w:rsid w:val="133D7CD4"/>
    <w:rsid w:val="134D5A81"/>
    <w:rsid w:val="13BF6991"/>
    <w:rsid w:val="13F03DED"/>
    <w:rsid w:val="13F95DC4"/>
    <w:rsid w:val="142A3E2D"/>
    <w:rsid w:val="144A7973"/>
    <w:rsid w:val="14DE5371"/>
    <w:rsid w:val="14E5758A"/>
    <w:rsid w:val="14FB7DA2"/>
    <w:rsid w:val="158710F3"/>
    <w:rsid w:val="15C772F3"/>
    <w:rsid w:val="15CE4C34"/>
    <w:rsid w:val="15F0775C"/>
    <w:rsid w:val="160A0AD0"/>
    <w:rsid w:val="16401732"/>
    <w:rsid w:val="165B6F79"/>
    <w:rsid w:val="166E5EB0"/>
    <w:rsid w:val="16AE3AE2"/>
    <w:rsid w:val="16F50974"/>
    <w:rsid w:val="177A195D"/>
    <w:rsid w:val="177E328B"/>
    <w:rsid w:val="1820060E"/>
    <w:rsid w:val="18205BA9"/>
    <w:rsid w:val="18370FAA"/>
    <w:rsid w:val="188D7D42"/>
    <w:rsid w:val="18C45643"/>
    <w:rsid w:val="19575882"/>
    <w:rsid w:val="195E155B"/>
    <w:rsid w:val="19AD08FD"/>
    <w:rsid w:val="19B31ECF"/>
    <w:rsid w:val="1A0C41D1"/>
    <w:rsid w:val="1A161388"/>
    <w:rsid w:val="1A336BE7"/>
    <w:rsid w:val="1A612D7C"/>
    <w:rsid w:val="1A807E72"/>
    <w:rsid w:val="1A8A2A47"/>
    <w:rsid w:val="1B16166A"/>
    <w:rsid w:val="1BB93E83"/>
    <w:rsid w:val="1BC644B6"/>
    <w:rsid w:val="1C613AB1"/>
    <w:rsid w:val="1C8C0466"/>
    <w:rsid w:val="1CC854C2"/>
    <w:rsid w:val="1D0121D0"/>
    <w:rsid w:val="1D5B524F"/>
    <w:rsid w:val="1D6D3522"/>
    <w:rsid w:val="1DAB5588"/>
    <w:rsid w:val="1DD72694"/>
    <w:rsid w:val="1DDE1DE9"/>
    <w:rsid w:val="1DFA7416"/>
    <w:rsid w:val="1F44012B"/>
    <w:rsid w:val="1F474868"/>
    <w:rsid w:val="1F883C9F"/>
    <w:rsid w:val="1F971592"/>
    <w:rsid w:val="1FB94E27"/>
    <w:rsid w:val="1FF41576"/>
    <w:rsid w:val="20AF20C5"/>
    <w:rsid w:val="20ED7306"/>
    <w:rsid w:val="20F96916"/>
    <w:rsid w:val="211106C5"/>
    <w:rsid w:val="21431785"/>
    <w:rsid w:val="219E251A"/>
    <w:rsid w:val="21C24F4B"/>
    <w:rsid w:val="21D3334D"/>
    <w:rsid w:val="22071464"/>
    <w:rsid w:val="2232235C"/>
    <w:rsid w:val="23291785"/>
    <w:rsid w:val="23710488"/>
    <w:rsid w:val="2381304A"/>
    <w:rsid w:val="23BB002C"/>
    <w:rsid w:val="23C33515"/>
    <w:rsid w:val="23F1680C"/>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4D71B2"/>
    <w:rsid w:val="2751147F"/>
    <w:rsid w:val="27724E6B"/>
    <w:rsid w:val="279C6957"/>
    <w:rsid w:val="27D32B77"/>
    <w:rsid w:val="27DE5929"/>
    <w:rsid w:val="27E14C4C"/>
    <w:rsid w:val="286C62A1"/>
    <w:rsid w:val="28A069B8"/>
    <w:rsid w:val="28F72971"/>
    <w:rsid w:val="2A3073E0"/>
    <w:rsid w:val="2AE35535"/>
    <w:rsid w:val="2B496FA3"/>
    <w:rsid w:val="2B532BFE"/>
    <w:rsid w:val="2BB024B4"/>
    <w:rsid w:val="2BC60F98"/>
    <w:rsid w:val="2BCB45F0"/>
    <w:rsid w:val="2C066A1A"/>
    <w:rsid w:val="2C0B4AE6"/>
    <w:rsid w:val="2C8165FA"/>
    <w:rsid w:val="2CAC7CBD"/>
    <w:rsid w:val="2CCC08A3"/>
    <w:rsid w:val="2D0A514C"/>
    <w:rsid w:val="2DB235BF"/>
    <w:rsid w:val="2E577392"/>
    <w:rsid w:val="2E6E3B00"/>
    <w:rsid w:val="2E8B1B62"/>
    <w:rsid w:val="2E970AE4"/>
    <w:rsid w:val="2EB227A5"/>
    <w:rsid w:val="2EE85916"/>
    <w:rsid w:val="2F822BAC"/>
    <w:rsid w:val="2F96630B"/>
    <w:rsid w:val="301F6139"/>
    <w:rsid w:val="30641E74"/>
    <w:rsid w:val="30810E1D"/>
    <w:rsid w:val="30F97581"/>
    <w:rsid w:val="314256C4"/>
    <w:rsid w:val="31947CF5"/>
    <w:rsid w:val="329F04E5"/>
    <w:rsid w:val="32F9755F"/>
    <w:rsid w:val="331B2806"/>
    <w:rsid w:val="333214D1"/>
    <w:rsid w:val="3370495E"/>
    <w:rsid w:val="33CC0FC6"/>
    <w:rsid w:val="33DD0EAC"/>
    <w:rsid w:val="34143D51"/>
    <w:rsid w:val="34302898"/>
    <w:rsid w:val="345B460B"/>
    <w:rsid w:val="348E2B4F"/>
    <w:rsid w:val="34BB4966"/>
    <w:rsid w:val="34BF0228"/>
    <w:rsid w:val="35C97D56"/>
    <w:rsid w:val="35EE5D6B"/>
    <w:rsid w:val="36292A82"/>
    <w:rsid w:val="3637765B"/>
    <w:rsid w:val="363A3F05"/>
    <w:rsid w:val="365311E6"/>
    <w:rsid w:val="367112A8"/>
    <w:rsid w:val="375445E4"/>
    <w:rsid w:val="376964D6"/>
    <w:rsid w:val="379C3619"/>
    <w:rsid w:val="37EC06FA"/>
    <w:rsid w:val="384A2F51"/>
    <w:rsid w:val="38CC73F3"/>
    <w:rsid w:val="395B66C1"/>
    <w:rsid w:val="395E3B0F"/>
    <w:rsid w:val="39930022"/>
    <w:rsid w:val="39AE15AC"/>
    <w:rsid w:val="39E83FB4"/>
    <w:rsid w:val="3A153790"/>
    <w:rsid w:val="3A1F11A7"/>
    <w:rsid w:val="3A86575A"/>
    <w:rsid w:val="3B115AB0"/>
    <w:rsid w:val="3B341FC1"/>
    <w:rsid w:val="3B6F11E8"/>
    <w:rsid w:val="3B732683"/>
    <w:rsid w:val="3B851216"/>
    <w:rsid w:val="3D0B4A9A"/>
    <w:rsid w:val="3D517AA3"/>
    <w:rsid w:val="3DA349DC"/>
    <w:rsid w:val="3DFB61B2"/>
    <w:rsid w:val="3E2D22B3"/>
    <w:rsid w:val="3E3457B0"/>
    <w:rsid w:val="3E76679B"/>
    <w:rsid w:val="3E9753EA"/>
    <w:rsid w:val="3E9948D1"/>
    <w:rsid w:val="3ED67F0A"/>
    <w:rsid w:val="3EE41CB3"/>
    <w:rsid w:val="3F43088C"/>
    <w:rsid w:val="3F5E71A0"/>
    <w:rsid w:val="3F7F3F6B"/>
    <w:rsid w:val="3FAA346A"/>
    <w:rsid w:val="3FAB317E"/>
    <w:rsid w:val="40444749"/>
    <w:rsid w:val="40602185"/>
    <w:rsid w:val="406D3C7A"/>
    <w:rsid w:val="408D0A8F"/>
    <w:rsid w:val="40DD4529"/>
    <w:rsid w:val="414920DE"/>
    <w:rsid w:val="41550B18"/>
    <w:rsid w:val="41E371A6"/>
    <w:rsid w:val="4206324A"/>
    <w:rsid w:val="421F1FE8"/>
    <w:rsid w:val="42251528"/>
    <w:rsid w:val="42B01A80"/>
    <w:rsid w:val="42B540C6"/>
    <w:rsid w:val="42C9215A"/>
    <w:rsid w:val="43124DBF"/>
    <w:rsid w:val="43267EE9"/>
    <w:rsid w:val="43411BCB"/>
    <w:rsid w:val="435C4BA0"/>
    <w:rsid w:val="4373005F"/>
    <w:rsid w:val="442418FE"/>
    <w:rsid w:val="44781DAA"/>
    <w:rsid w:val="44CA357E"/>
    <w:rsid w:val="45CF460B"/>
    <w:rsid w:val="45E27E1E"/>
    <w:rsid w:val="465A1068"/>
    <w:rsid w:val="46A20BD3"/>
    <w:rsid w:val="46B03985"/>
    <w:rsid w:val="470316C4"/>
    <w:rsid w:val="470E368E"/>
    <w:rsid w:val="47411909"/>
    <w:rsid w:val="47AC7367"/>
    <w:rsid w:val="47BA5BC1"/>
    <w:rsid w:val="47C7285C"/>
    <w:rsid w:val="480C69CA"/>
    <w:rsid w:val="487519F9"/>
    <w:rsid w:val="492B18CC"/>
    <w:rsid w:val="497F756E"/>
    <w:rsid w:val="4A0A5885"/>
    <w:rsid w:val="4A9B5A20"/>
    <w:rsid w:val="4B073A5C"/>
    <w:rsid w:val="4B44760D"/>
    <w:rsid w:val="4B5C5D27"/>
    <w:rsid w:val="4B5E326D"/>
    <w:rsid w:val="4B840ACD"/>
    <w:rsid w:val="4B8C42AD"/>
    <w:rsid w:val="4BD6391C"/>
    <w:rsid w:val="4BF72474"/>
    <w:rsid w:val="4C2E5AE5"/>
    <w:rsid w:val="4C4F0B45"/>
    <w:rsid w:val="4DA969FC"/>
    <w:rsid w:val="4DB73FDD"/>
    <w:rsid w:val="4F066320"/>
    <w:rsid w:val="4F0C4606"/>
    <w:rsid w:val="4F4E6EBF"/>
    <w:rsid w:val="4F7D4C71"/>
    <w:rsid w:val="4FCA7073"/>
    <w:rsid w:val="4FE259E9"/>
    <w:rsid w:val="501D7C2E"/>
    <w:rsid w:val="50963550"/>
    <w:rsid w:val="512C7508"/>
    <w:rsid w:val="518175D9"/>
    <w:rsid w:val="52321D93"/>
    <w:rsid w:val="52420452"/>
    <w:rsid w:val="52533FC1"/>
    <w:rsid w:val="53AE541F"/>
    <w:rsid w:val="53BB70AD"/>
    <w:rsid w:val="53DA43C4"/>
    <w:rsid w:val="53E267AB"/>
    <w:rsid w:val="544D0128"/>
    <w:rsid w:val="54D02C4B"/>
    <w:rsid w:val="55112B45"/>
    <w:rsid w:val="55351206"/>
    <w:rsid w:val="553E2C5C"/>
    <w:rsid w:val="55653C63"/>
    <w:rsid w:val="558F79BB"/>
    <w:rsid w:val="55A649AE"/>
    <w:rsid w:val="55D93627"/>
    <w:rsid w:val="56602AF8"/>
    <w:rsid w:val="569D1848"/>
    <w:rsid w:val="56B13A64"/>
    <w:rsid w:val="56BA3AA0"/>
    <w:rsid w:val="56CF6D97"/>
    <w:rsid w:val="56D66689"/>
    <w:rsid w:val="570E46A2"/>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BE477F5"/>
    <w:rsid w:val="5C4A2BD7"/>
    <w:rsid w:val="5CAF68F6"/>
    <w:rsid w:val="5CF84E92"/>
    <w:rsid w:val="5D213D72"/>
    <w:rsid w:val="5D584C6D"/>
    <w:rsid w:val="5D63632E"/>
    <w:rsid w:val="5E2775BD"/>
    <w:rsid w:val="5E326512"/>
    <w:rsid w:val="5E504C73"/>
    <w:rsid w:val="5E985E8A"/>
    <w:rsid w:val="5EA92630"/>
    <w:rsid w:val="5EE54D87"/>
    <w:rsid w:val="5FB455AB"/>
    <w:rsid w:val="5FD8479E"/>
    <w:rsid w:val="5FEF4FD0"/>
    <w:rsid w:val="5FF11588"/>
    <w:rsid w:val="5FF7262C"/>
    <w:rsid w:val="60585DBB"/>
    <w:rsid w:val="609F50E9"/>
    <w:rsid w:val="61394E2C"/>
    <w:rsid w:val="61FE7898"/>
    <w:rsid w:val="621C7A8F"/>
    <w:rsid w:val="62F475B6"/>
    <w:rsid w:val="630C6A64"/>
    <w:rsid w:val="631F7E44"/>
    <w:rsid w:val="63376FCF"/>
    <w:rsid w:val="637C04DD"/>
    <w:rsid w:val="63964CCA"/>
    <w:rsid w:val="63B3451B"/>
    <w:rsid w:val="64486C1E"/>
    <w:rsid w:val="652A2E44"/>
    <w:rsid w:val="654E4849"/>
    <w:rsid w:val="65686657"/>
    <w:rsid w:val="65BD69EB"/>
    <w:rsid w:val="664977CF"/>
    <w:rsid w:val="66CA0AD7"/>
    <w:rsid w:val="66EC4975"/>
    <w:rsid w:val="67016B09"/>
    <w:rsid w:val="67EF63AA"/>
    <w:rsid w:val="681B27B3"/>
    <w:rsid w:val="683116BC"/>
    <w:rsid w:val="688F3871"/>
    <w:rsid w:val="68DC76F5"/>
    <w:rsid w:val="68E74072"/>
    <w:rsid w:val="69173BDC"/>
    <w:rsid w:val="69BD4674"/>
    <w:rsid w:val="6A036769"/>
    <w:rsid w:val="6A325674"/>
    <w:rsid w:val="6A52291B"/>
    <w:rsid w:val="6A7B10E5"/>
    <w:rsid w:val="6A817F02"/>
    <w:rsid w:val="6B351E6F"/>
    <w:rsid w:val="6B7A4051"/>
    <w:rsid w:val="6BA26EA6"/>
    <w:rsid w:val="6BE14999"/>
    <w:rsid w:val="6BFB5FD1"/>
    <w:rsid w:val="6C8829C3"/>
    <w:rsid w:val="6D12175F"/>
    <w:rsid w:val="6D1F5AF0"/>
    <w:rsid w:val="6E1D76E4"/>
    <w:rsid w:val="6E67178A"/>
    <w:rsid w:val="6ED54165"/>
    <w:rsid w:val="6F3657AD"/>
    <w:rsid w:val="6F974373"/>
    <w:rsid w:val="6FC74058"/>
    <w:rsid w:val="6FCA3615"/>
    <w:rsid w:val="70040E87"/>
    <w:rsid w:val="704871A4"/>
    <w:rsid w:val="704D79FB"/>
    <w:rsid w:val="70592DFA"/>
    <w:rsid w:val="70694F36"/>
    <w:rsid w:val="70880C5C"/>
    <w:rsid w:val="70B523D0"/>
    <w:rsid w:val="70C927BC"/>
    <w:rsid w:val="70DD3906"/>
    <w:rsid w:val="7109479F"/>
    <w:rsid w:val="719B076B"/>
    <w:rsid w:val="71DC2403"/>
    <w:rsid w:val="73393BC2"/>
    <w:rsid w:val="737B44DB"/>
    <w:rsid w:val="73CF483E"/>
    <w:rsid w:val="74262B1B"/>
    <w:rsid w:val="74A6094A"/>
    <w:rsid w:val="74CC21DF"/>
    <w:rsid w:val="74E16F35"/>
    <w:rsid w:val="75532D3D"/>
    <w:rsid w:val="758805C2"/>
    <w:rsid w:val="761F2330"/>
    <w:rsid w:val="763F26D5"/>
    <w:rsid w:val="764D0528"/>
    <w:rsid w:val="76C82F19"/>
    <w:rsid w:val="77045A49"/>
    <w:rsid w:val="77266E5A"/>
    <w:rsid w:val="77291B31"/>
    <w:rsid w:val="77467B77"/>
    <w:rsid w:val="775C7088"/>
    <w:rsid w:val="77701354"/>
    <w:rsid w:val="77750DFA"/>
    <w:rsid w:val="77902D8C"/>
    <w:rsid w:val="779A189F"/>
    <w:rsid w:val="781F51BA"/>
    <w:rsid w:val="78494544"/>
    <w:rsid w:val="78E431C4"/>
    <w:rsid w:val="78EB4A40"/>
    <w:rsid w:val="79F944AF"/>
    <w:rsid w:val="7A2F69EB"/>
    <w:rsid w:val="7A4413F9"/>
    <w:rsid w:val="7A5711E4"/>
    <w:rsid w:val="7AA40F95"/>
    <w:rsid w:val="7AAE01C5"/>
    <w:rsid w:val="7AEA0E27"/>
    <w:rsid w:val="7BAF6112"/>
    <w:rsid w:val="7C735E4E"/>
    <w:rsid w:val="7D071AF5"/>
    <w:rsid w:val="7D7E7646"/>
    <w:rsid w:val="7DC26738"/>
    <w:rsid w:val="7E972C19"/>
    <w:rsid w:val="7EBB2BFC"/>
    <w:rsid w:val="7F6E4E40"/>
    <w:rsid w:val="7F7E2419"/>
    <w:rsid w:val="7F856BE9"/>
    <w:rsid w:val="7FFF16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qFormat="1" w:uiPriority="99"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2"/>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4"/>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4"/>
    <w:qFormat/>
    <w:uiPriority w:val="99"/>
    <w:pPr>
      <w:tabs>
        <w:tab w:val="left" w:pos="588"/>
      </w:tabs>
      <w:spacing w:line="360" w:lineRule="auto"/>
      <w:outlineLvl w:val="2"/>
    </w:pPr>
    <w:rPr>
      <w:rFonts w:ascii="Tahoma" w:hAnsi="Tahoma"/>
    </w:rPr>
  </w:style>
  <w:style w:type="paragraph" w:styleId="6">
    <w:name w:val="heading 4"/>
    <w:basedOn w:val="1"/>
    <w:next w:val="1"/>
    <w:link w:val="14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3"/>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TOC 标题"/>
    <w:basedOn w:val="3"/>
    <w:next w:val="1"/>
    <w:qFormat/>
    <w:uiPriority w:val="39"/>
    <w:pPr>
      <w:widowControl/>
      <w:numPr>
        <w:ilvl w:val="0"/>
        <w:numId w:val="0"/>
      </w:numPr>
      <w:snapToGrid/>
      <w:spacing w:before="240" w:line="259" w:lineRule="auto"/>
      <w:jc w:val="left"/>
      <w:outlineLvl w:val="9"/>
    </w:pPr>
    <w:rPr>
      <w:rFonts w:ascii="Calibri Light" w:hAnsi="Calibri Light" w:eastAsia="宋体" w:cs="Times New Roman"/>
      <w:color w:val="2E74B5"/>
      <w:kern w:val="0"/>
      <w:sz w:val="32"/>
      <w:szCs w:val="32"/>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1"/>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7"/>
    <w:qFormat/>
    <w:uiPriority w:val="0"/>
    <w:pPr>
      <w:spacing w:line="360" w:lineRule="auto"/>
      <w:ind w:firstLine="200" w:firstLineChars="200"/>
    </w:pPr>
    <w:rPr>
      <w:sz w:val="24"/>
      <w:szCs w:val="20"/>
    </w:rPr>
  </w:style>
  <w:style w:type="paragraph" w:styleId="16">
    <w:name w:val="caption"/>
    <w:basedOn w:val="1"/>
    <w:next w:val="1"/>
    <w:link w:val="95"/>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1"/>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1"/>
    <w:qFormat/>
    <w:uiPriority w:val="0"/>
    <w:pPr>
      <w:jc w:val="left"/>
    </w:pPr>
    <w:rPr>
      <w:rFonts w:ascii="Tahoma" w:hAnsi="Tahoma"/>
    </w:rPr>
  </w:style>
  <w:style w:type="paragraph" w:styleId="21">
    <w:name w:val="Salutation"/>
    <w:basedOn w:val="14"/>
    <w:next w:val="14"/>
    <w:link w:val="200"/>
    <w:qFormat/>
    <w:uiPriority w:val="0"/>
    <w:rPr>
      <w:rFonts w:ascii="..ì." w:eastAsia="..ì." w:cs="Times New Roman"/>
      <w:color w:val="auto"/>
      <w:szCs w:val="20"/>
    </w:rPr>
  </w:style>
  <w:style w:type="paragraph" w:styleId="22">
    <w:name w:val="Body Text 3"/>
    <w:basedOn w:val="1"/>
    <w:link w:val="208"/>
    <w:qFormat/>
    <w:uiPriority w:val="99"/>
    <w:pPr>
      <w:spacing w:after="120"/>
    </w:pPr>
    <w:rPr>
      <w:rFonts w:eastAsia="宋体"/>
      <w:sz w:val="16"/>
      <w:szCs w:val="16"/>
    </w:rPr>
  </w:style>
  <w:style w:type="paragraph" w:styleId="23">
    <w:name w:val="Body Text"/>
    <w:basedOn w:val="1"/>
    <w:next w:val="1"/>
    <w:link w:val="135"/>
    <w:qFormat/>
    <w:uiPriority w:val="99"/>
    <w:pPr>
      <w:spacing w:line="360" w:lineRule="auto"/>
    </w:pPr>
    <w:rPr>
      <w:rFonts w:ascii="Tahoma" w:hAnsi="Tahoma"/>
    </w:rPr>
  </w:style>
  <w:style w:type="paragraph" w:styleId="24">
    <w:name w:val="Body Text Indent"/>
    <w:basedOn w:val="1"/>
    <w:link w:val="167"/>
    <w:qFormat/>
    <w:uiPriority w:val="99"/>
    <w:pPr>
      <w:widowControl/>
      <w:spacing w:line="360" w:lineRule="auto"/>
      <w:ind w:firstLine="709"/>
      <w:jc w:val="left"/>
    </w:pPr>
    <w:rPr>
      <w:rFonts w:ascii="Tahoma" w:hAnsi="Tahoma"/>
    </w:rPr>
  </w:style>
  <w:style w:type="paragraph" w:styleId="25">
    <w:name w:val="List 2"/>
    <w:basedOn w:val="1"/>
    <w:unhideWhenUsed/>
    <w:qFormat/>
    <w:uiPriority w:val="99"/>
    <w:pPr>
      <w:ind w:left="100" w:leftChars="200" w:hanging="200" w:hangingChars="200"/>
      <w:contextualSpacing/>
    </w:pPr>
  </w:style>
  <w:style w:type="paragraph" w:styleId="26">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7">
    <w:name w:val="List Bullet 2"/>
    <w:basedOn w:val="1"/>
    <w:qFormat/>
    <w:uiPriority w:val="0"/>
    <w:pPr>
      <w:numPr>
        <w:ilvl w:val="1"/>
        <w:numId w:val="1"/>
      </w:numPr>
      <w:spacing w:line="360" w:lineRule="auto"/>
    </w:pPr>
    <w:rPr>
      <w:sz w:val="24"/>
      <w:szCs w:val="28"/>
    </w:rPr>
  </w:style>
  <w:style w:type="paragraph" w:styleId="28">
    <w:name w:val="toc 5"/>
    <w:basedOn w:val="1"/>
    <w:next w:val="1"/>
    <w:qFormat/>
    <w:uiPriority w:val="39"/>
    <w:pPr>
      <w:spacing w:line="440" w:lineRule="exact"/>
      <w:ind w:left="1120"/>
      <w:jc w:val="left"/>
    </w:pPr>
    <w:rPr>
      <w:rFonts w:ascii="Calibri" w:hAnsi="Calibri"/>
      <w:sz w:val="18"/>
      <w:szCs w:val="18"/>
    </w:rPr>
  </w:style>
  <w:style w:type="paragraph" w:styleId="29">
    <w:name w:val="toc 3"/>
    <w:basedOn w:val="1"/>
    <w:next w:val="1"/>
    <w:qFormat/>
    <w:uiPriority w:val="39"/>
    <w:pPr>
      <w:tabs>
        <w:tab w:val="right" w:leader="dot" w:pos="8302"/>
      </w:tabs>
      <w:ind w:left="561"/>
      <w:jc w:val="left"/>
    </w:pPr>
    <w:rPr>
      <w:rFonts w:ascii="Calibri" w:hAnsi="Calibri"/>
      <w:iCs/>
      <w:sz w:val="20"/>
      <w:szCs w:val="20"/>
    </w:rPr>
  </w:style>
  <w:style w:type="paragraph" w:styleId="30">
    <w:name w:val="Plain Text"/>
    <w:basedOn w:val="1"/>
    <w:link w:val="222"/>
    <w:qFormat/>
    <w:uiPriority w:val="0"/>
    <w:pPr>
      <w:spacing w:line="360" w:lineRule="auto"/>
    </w:pPr>
    <w:rPr>
      <w:rFonts w:ascii="宋体" w:hAnsi="Courier New"/>
      <w:szCs w:val="21"/>
    </w:rPr>
  </w:style>
  <w:style w:type="paragraph" w:styleId="31">
    <w:name w:val="toc 8"/>
    <w:basedOn w:val="1"/>
    <w:next w:val="1"/>
    <w:qFormat/>
    <w:uiPriority w:val="39"/>
    <w:pPr>
      <w:spacing w:line="440" w:lineRule="exact"/>
      <w:ind w:left="1960"/>
      <w:jc w:val="left"/>
    </w:pPr>
    <w:rPr>
      <w:rFonts w:ascii="Calibri" w:hAnsi="Calibri"/>
      <w:sz w:val="18"/>
      <w:szCs w:val="18"/>
    </w:rPr>
  </w:style>
  <w:style w:type="paragraph" w:styleId="32">
    <w:name w:val="Date"/>
    <w:basedOn w:val="1"/>
    <w:next w:val="1"/>
    <w:link w:val="198"/>
    <w:qFormat/>
    <w:uiPriority w:val="99"/>
    <w:pPr>
      <w:spacing w:line="360" w:lineRule="auto"/>
      <w:ind w:left="2500" w:leftChars="2500"/>
    </w:pPr>
    <w:rPr>
      <w:rFonts w:ascii="Tahoma" w:hAnsi="Tahoma"/>
    </w:rPr>
  </w:style>
  <w:style w:type="paragraph" w:styleId="33">
    <w:name w:val="Body Text Indent 2"/>
    <w:basedOn w:val="1"/>
    <w:link w:val="163"/>
    <w:qFormat/>
    <w:uiPriority w:val="99"/>
    <w:pPr>
      <w:adjustRightInd w:val="0"/>
      <w:snapToGrid w:val="0"/>
      <w:spacing w:afterLines="25" w:line="420" w:lineRule="exact"/>
      <w:ind w:left="778" w:leftChars="378"/>
    </w:pPr>
    <w:rPr>
      <w:rFonts w:eastAsia="宋体"/>
      <w:sz w:val="24"/>
      <w:szCs w:val="30"/>
    </w:rPr>
  </w:style>
  <w:style w:type="paragraph" w:styleId="34">
    <w:name w:val="Balloon Text"/>
    <w:basedOn w:val="1"/>
    <w:link w:val="97"/>
    <w:qFormat/>
    <w:uiPriority w:val="0"/>
    <w:rPr>
      <w:sz w:val="18"/>
      <w:szCs w:val="18"/>
    </w:rPr>
  </w:style>
  <w:style w:type="paragraph" w:styleId="35">
    <w:name w:val="footer"/>
    <w:basedOn w:val="1"/>
    <w:link w:val="138"/>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6">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7">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8">
    <w:name w:val="toc 4"/>
    <w:basedOn w:val="1"/>
    <w:next w:val="1"/>
    <w:qFormat/>
    <w:uiPriority w:val="39"/>
    <w:pPr>
      <w:spacing w:line="440" w:lineRule="exact"/>
      <w:ind w:left="840"/>
      <w:jc w:val="left"/>
    </w:pPr>
    <w:rPr>
      <w:rFonts w:ascii="Calibri" w:hAnsi="Calibri"/>
      <w:sz w:val="18"/>
      <w:szCs w:val="18"/>
    </w:rPr>
  </w:style>
  <w:style w:type="paragraph" w:styleId="39">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40">
    <w:name w:val="toc 6"/>
    <w:basedOn w:val="1"/>
    <w:next w:val="1"/>
    <w:qFormat/>
    <w:uiPriority w:val="39"/>
    <w:pPr>
      <w:spacing w:line="440" w:lineRule="exact"/>
      <w:ind w:left="1400"/>
      <w:jc w:val="left"/>
    </w:pPr>
    <w:rPr>
      <w:rFonts w:ascii="Calibri" w:hAnsi="Calibri"/>
      <w:sz w:val="18"/>
      <w:szCs w:val="18"/>
    </w:rPr>
  </w:style>
  <w:style w:type="paragraph" w:styleId="41">
    <w:name w:val="Body Text Indent 3"/>
    <w:basedOn w:val="1"/>
    <w:link w:val="211"/>
    <w:qFormat/>
    <w:uiPriority w:val="99"/>
    <w:pPr>
      <w:spacing w:after="120"/>
      <w:ind w:left="420" w:leftChars="200"/>
    </w:pPr>
    <w:rPr>
      <w:sz w:val="16"/>
      <w:szCs w:val="16"/>
    </w:rPr>
  </w:style>
  <w:style w:type="paragraph" w:styleId="42">
    <w:name w:val="toc 2"/>
    <w:basedOn w:val="1"/>
    <w:next w:val="1"/>
    <w:qFormat/>
    <w:uiPriority w:val="39"/>
    <w:pPr>
      <w:widowControl/>
      <w:adjustRightInd w:val="0"/>
      <w:spacing w:line="300" w:lineRule="auto"/>
      <w:jc w:val="center"/>
    </w:pPr>
    <w:rPr>
      <w:rFonts w:eastAsia="黑体"/>
      <w:smallCaps/>
      <w:kern w:val="0"/>
      <w:sz w:val="24"/>
    </w:rPr>
  </w:style>
  <w:style w:type="paragraph" w:styleId="43">
    <w:name w:val="toc 9"/>
    <w:basedOn w:val="1"/>
    <w:next w:val="1"/>
    <w:qFormat/>
    <w:uiPriority w:val="39"/>
    <w:pPr>
      <w:spacing w:line="440" w:lineRule="exact"/>
      <w:ind w:left="2240"/>
      <w:jc w:val="left"/>
    </w:pPr>
    <w:rPr>
      <w:rFonts w:ascii="Calibri" w:hAnsi="Calibri"/>
      <w:sz w:val="18"/>
      <w:szCs w:val="18"/>
    </w:rPr>
  </w:style>
  <w:style w:type="paragraph" w:styleId="44">
    <w:name w:val="Body Text 2"/>
    <w:basedOn w:val="1"/>
    <w:link w:val="169"/>
    <w:qFormat/>
    <w:uiPriority w:val="99"/>
    <w:pPr>
      <w:spacing w:line="360" w:lineRule="auto"/>
      <w:ind w:right="26"/>
    </w:pPr>
    <w:rPr>
      <w:rFonts w:ascii="宋体" w:eastAsia="宋体"/>
      <w:szCs w:val="20"/>
    </w:rPr>
  </w:style>
  <w:style w:type="paragraph" w:styleId="45">
    <w:name w:val="HTML Preformatted"/>
    <w:basedOn w:val="1"/>
    <w:link w:val="2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99"/>
    <w:pPr>
      <w:spacing w:line="220" w:lineRule="exact"/>
      <w:jc w:val="center"/>
    </w:pPr>
    <w:rPr>
      <w:rFonts w:ascii="仿宋_GB2312" w:eastAsia="仿宋_GB2312"/>
      <w:szCs w:val="21"/>
    </w:rPr>
  </w:style>
  <w:style w:type="paragraph" w:styleId="48">
    <w:name w:val="Title"/>
    <w:basedOn w:val="1"/>
    <w:next w:val="1"/>
    <w:link w:val="125"/>
    <w:qFormat/>
    <w:uiPriority w:val="0"/>
    <w:pPr>
      <w:spacing w:before="240" w:after="60" w:line="440" w:lineRule="exact"/>
      <w:jc w:val="center"/>
      <w:outlineLvl w:val="0"/>
    </w:pPr>
    <w:rPr>
      <w:rFonts w:ascii="Cambria" w:hAnsi="Cambria"/>
      <w:b/>
      <w:bCs/>
      <w:sz w:val="32"/>
      <w:szCs w:val="32"/>
    </w:rPr>
  </w:style>
  <w:style w:type="paragraph" w:styleId="49">
    <w:name w:val="annotation subject"/>
    <w:basedOn w:val="20"/>
    <w:next w:val="20"/>
    <w:link w:val="129"/>
    <w:unhideWhenUsed/>
    <w:qFormat/>
    <w:uiPriority w:val="99"/>
    <w:pPr>
      <w:spacing w:line="440" w:lineRule="exact"/>
    </w:pPr>
    <w:rPr>
      <w:b/>
      <w:bCs/>
      <w:sz w:val="24"/>
      <w:szCs w:val="28"/>
    </w:rPr>
  </w:style>
  <w:style w:type="paragraph" w:styleId="50">
    <w:name w:val="Body Text First Indent"/>
    <w:basedOn w:val="23"/>
    <w:link w:val="132"/>
    <w:qFormat/>
    <w:uiPriority w:val="0"/>
    <w:pPr>
      <w:spacing w:after="120" w:line="240" w:lineRule="auto"/>
      <w:ind w:firstLine="100" w:firstLineChars="100"/>
    </w:pPr>
  </w:style>
  <w:style w:type="paragraph" w:styleId="51">
    <w:name w:val="Body Text First Indent 2"/>
    <w:basedOn w:val="24"/>
    <w:link w:val="168"/>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3">
    <w:name w:val="Table Grid"/>
    <w:basedOn w:val="5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style>
  <w:style w:type="character" w:styleId="56">
    <w:name w:val="page number"/>
    <w:basedOn w:val="54"/>
    <w:qFormat/>
    <w:uiPriority w:val="99"/>
  </w:style>
  <w:style w:type="character" w:styleId="57">
    <w:name w:val="FollowedHyperlink"/>
    <w:unhideWhenUsed/>
    <w:qFormat/>
    <w:uiPriority w:val="99"/>
    <w:rPr>
      <w:color w:val="954F72"/>
      <w:u w:val="single"/>
    </w:rPr>
  </w:style>
  <w:style w:type="character" w:styleId="58">
    <w:name w:val="Emphasis"/>
    <w:qFormat/>
    <w:uiPriority w:val="0"/>
    <w:rPr>
      <w:i/>
      <w:iCs/>
    </w:rPr>
  </w:style>
  <w:style w:type="character" w:styleId="59">
    <w:name w:val="HTML Definition"/>
    <w:unhideWhenUsed/>
    <w:qFormat/>
    <w:uiPriority w:val="0"/>
  </w:style>
  <w:style w:type="character" w:styleId="60">
    <w:name w:val="HTML Variable"/>
    <w:unhideWhenUsed/>
    <w:qFormat/>
    <w:uiPriority w:val="0"/>
  </w:style>
  <w:style w:type="character" w:styleId="61">
    <w:name w:val="Hyperlink"/>
    <w:basedOn w:val="54"/>
    <w:qFormat/>
    <w:uiPriority w:val="99"/>
    <w:rPr>
      <w:rFonts w:hint="eastAsia" w:ascii="宋体" w:hAnsi="宋体" w:eastAsia="宋体" w:cs="宋体"/>
      <w:color w:val="004A85"/>
      <w:sz w:val="12"/>
      <w:szCs w:val="12"/>
      <w:u w:val="single"/>
    </w:rPr>
  </w:style>
  <w:style w:type="character" w:styleId="62">
    <w:name w:val="HTML Code"/>
    <w:unhideWhenUsed/>
    <w:qFormat/>
    <w:uiPriority w:val="0"/>
    <w:rPr>
      <w:rFonts w:ascii="Courier New" w:hAnsi="Courier New"/>
      <w:sz w:val="20"/>
    </w:rPr>
  </w:style>
  <w:style w:type="character" w:styleId="63">
    <w:name w:val="annotation reference"/>
    <w:qFormat/>
    <w:uiPriority w:val="99"/>
    <w:rPr>
      <w:sz w:val="21"/>
      <w:szCs w:val="21"/>
    </w:rPr>
  </w:style>
  <w:style w:type="character" w:styleId="64">
    <w:name w:val="HTML Cite"/>
    <w:unhideWhenUsed/>
    <w:qFormat/>
    <w:uiPriority w:val="0"/>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qFormat/>
    <w:uiPriority w:val="0"/>
    <w:pPr>
      <w:spacing w:line="360" w:lineRule="auto"/>
      <w:jc w:val="center"/>
    </w:pPr>
    <w:rPr>
      <w:rFonts w:ascii="Arial" w:hAnsi="Arial" w:eastAsia="黑体"/>
      <w:sz w:val="32"/>
      <w:szCs w:val="28"/>
    </w:rPr>
  </w:style>
  <w:style w:type="paragraph" w:customStyle="1" w:styleId="74">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7"/>
    <w:qFormat/>
    <w:uiPriority w:val="0"/>
    <w:pPr>
      <w:tabs>
        <w:tab w:val="left" w:pos="567"/>
      </w:tabs>
      <w:wordWrap w:val="0"/>
      <w:spacing w:line="377" w:lineRule="auto"/>
      <w:ind w:left="567" w:hanging="567"/>
      <w:jc w:val="left"/>
    </w:pPr>
  </w:style>
  <w:style w:type="paragraph" w:customStyle="1" w:styleId="77">
    <w:name w:val="表格格式"/>
    <w:basedOn w:val="1"/>
    <w:qFormat/>
    <w:uiPriority w:val="0"/>
    <w:pPr>
      <w:adjustRightInd w:val="0"/>
      <w:snapToGrid w:val="0"/>
      <w:jc w:val="left"/>
      <w:textAlignment w:val="baseline"/>
    </w:pPr>
    <w:rPr>
      <w:rFonts w:ascii="宋体"/>
      <w:kern w:val="0"/>
      <w:szCs w:val="20"/>
    </w:rPr>
  </w:style>
  <w:style w:type="paragraph" w:customStyle="1" w:styleId="78">
    <w:name w:val="样式5"/>
    <w:basedOn w:val="15"/>
    <w:qFormat/>
    <w:uiPriority w:val="0"/>
    <w:pPr>
      <w:ind w:firstLine="420"/>
    </w:pPr>
    <w:rPr>
      <w:sz w:val="21"/>
      <w:szCs w:val="21"/>
    </w:rPr>
  </w:style>
  <w:style w:type="paragraph" w:customStyle="1" w:styleId="79">
    <w:name w:val="标题2"/>
    <w:basedOn w:val="4"/>
    <w:next w:val="1"/>
    <w:link w:val="96"/>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4"/>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qFormat/>
    <w:uiPriority w:val="0"/>
    <w:pPr>
      <w:spacing w:line="300" w:lineRule="auto"/>
      <w:jc w:val="center"/>
      <w:outlineLvl w:val="0"/>
    </w:pPr>
    <w:rPr>
      <w:b/>
      <w:sz w:val="24"/>
    </w:rPr>
  </w:style>
  <w:style w:type="paragraph" w:customStyle="1" w:styleId="82">
    <w:name w:val="Char1"/>
    <w:basedOn w:val="1"/>
    <w:qFormat/>
    <w:uiPriority w:val="0"/>
    <w:pPr>
      <w:adjustRightInd w:val="0"/>
      <w:spacing w:line="360" w:lineRule="auto"/>
    </w:pPr>
    <w:rPr>
      <w:kern w:val="0"/>
      <w:sz w:val="24"/>
      <w:szCs w:val="20"/>
    </w:rPr>
  </w:style>
  <w:style w:type="paragraph" w:customStyle="1" w:styleId="83">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5"/>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qFormat/>
    <w:uiPriority w:val="0"/>
    <w:pPr>
      <w:jc w:val="center"/>
    </w:pPr>
    <w:rPr>
      <w:sz w:val="28"/>
      <w:szCs w:val="28"/>
    </w:rPr>
  </w:style>
  <w:style w:type="paragraph" w:customStyle="1" w:styleId="89">
    <w:name w:val="正文首行缩进1"/>
    <w:basedOn w:val="23"/>
    <w:qFormat/>
    <w:uiPriority w:val="0"/>
    <w:pPr>
      <w:suppressAutoHyphens/>
      <w:spacing w:line="300" w:lineRule="auto"/>
      <w:ind w:left="426"/>
    </w:pPr>
    <w:rPr>
      <w:rFonts w:ascii="宋体" w:hAnsi="宋体"/>
      <w:szCs w:val="20"/>
    </w:rPr>
  </w:style>
  <w:style w:type="paragraph" w:customStyle="1" w:styleId="90">
    <w:name w:val="纯文本1"/>
    <w:basedOn w:val="1"/>
    <w:qFormat/>
    <w:uiPriority w:val="0"/>
    <w:rPr>
      <w:rFonts w:ascii="宋体" w:hAnsi="Courier New"/>
    </w:rPr>
  </w:style>
  <w:style w:type="paragraph" w:customStyle="1" w:styleId="91">
    <w:name w:val="样式 首行不缩进"/>
    <w:basedOn w:val="1"/>
    <w:qFormat/>
    <w:uiPriority w:val="0"/>
    <w:pPr>
      <w:spacing w:before="120" w:after="120" w:line="360" w:lineRule="auto"/>
      <w:jc w:val="center"/>
    </w:pPr>
    <w:rPr>
      <w:rFonts w:cs="宋体"/>
      <w:sz w:val="24"/>
      <w:szCs w:val="20"/>
    </w:rPr>
  </w:style>
  <w:style w:type="paragraph" w:customStyle="1" w:styleId="92">
    <w:name w:val="图题"/>
    <w:link w:val="115"/>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qFormat/>
    <w:uiPriority w:val="0"/>
    <w:pPr>
      <w:widowControl/>
      <w:snapToGrid w:val="0"/>
      <w:spacing w:before="60" w:after="60"/>
      <w:ind w:left="11"/>
      <w:jc w:val="center"/>
    </w:pPr>
    <w:rPr>
      <w:kern w:val="0"/>
      <w:szCs w:val="21"/>
    </w:rPr>
  </w:style>
  <w:style w:type="character" w:customStyle="1" w:styleId="95">
    <w:name w:val="题注 Char"/>
    <w:link w:val="16"/>
    <w:qFormat/>
    <w:uiPriority w:val="0"/>
    <w:rPr>
      <w:rFonts w:ascii="华文中宋" w:eastAsia="华文中宋"/>
      <w:kern w:val="2"/>
      <w:sz w:val="36"/>
    </w:rPr>
  </w:style>
  <w:style w:type="character" w:customStyle="1" w:styleId="96">
    <w:name w:val="标题2 Char Char"/>
    <w:link w:val="79"/>
    <w:qFormat/>
    <w:uiPriority w:val="0"/>
    <w:rPr>
      <w:rFonts w:eastAsia="黑体"/>
      <w:kern w:val="2"/>
      <w:sz w:val="32"/>
      <w:szCs w:val="24"/>
    </w:rPr>
  </w:style>
  <w:style w:type="character" w:customStyle="1" w:styleId="97">
    <w:name w:val="批注框文本 Char"/>
    <w:link w:val="34"/>
    <w:qFormat/>
    <w:uiPriority w:val="0"/>
    <w:rPr>
      <w:kern w:val="2"/>
      <w:sz w:val="18"/>
      <w:szCs w:val="18"/>
    </w:rPr>
  </w:style>
  <w:style w:type="character" w:customStyle="1" w:styleId="98">
    <w:name w:val="refresh"/>
    <w:basedOn w:val="54"/>
    <w:qFormat/>
    <w:uiPriority w:val="0"/>
  </w:style>
  <w:style w:type="character" w:customStyle="1" w:styleId="99">
    <w:name w:val="小列表 Char Char"/>
    <w:link w:val="93"/>
    <w:qFormat/>
    <w:uiPriority w:val="0"/>
    <w:rPr>
      <w:rFonts w:eastAsia="Arial Unicode MS"/>
      <w:kern w:val="2"/>
      <w:sz w:val="24"/>
      <w:szCs w:val="28"/>
    </w:rPr>
  </w:style>
  <w:style w:type="character" w:customStyle="1" w:styleId="100">
    <w:name w:val="del"/>
    <w:basedOn w:val="54"/>
    <w:qFormat/>
    <w:uiPriority w:val="0"/>
  </w:style>
  <w:style w:type="character" w:customStyle="1" w:styleId="101">
    <w:name w:val="批注文字 Char1"/>
    <w:link w:val="20"/>
    <w:qFormat/>
    <w:uiPriority w:val="0"/>
    <w:rPr>
      <w:rFonts w:ascii="Tahoma" w:hAnsi="Tahoma"/>
      <w:kern w:val="2"/>
      <w:sz w:val="21"/>
      <w:szCs w:val="24"/>
    </w:rPr>
  </w:style>
  <w:style w:type="character" w:customStyle="1" w:styleId="102">
    <w:name w:val="正文缩进 Char1"/>
    <w:qFormat/>
    <w:uiPriority w:val="0"/>
    <w:rPr>
      <w:rFonts w:eastAsia="宋体"/>
      <w:kern w:val="2"/>
      <w:sz w:val="21"/>
      <w:szCs w:val="24"/>
      <w:lang w:val="en-US" w:eastAsia="zh-CN" w:bidi="ar-SA"/>
    </w:rPr>
  </w:style>
  <w:style w:type="character" w:customStyle="1" w:styleId="103">
    <w:name w:val="标题 5 Char"/>
    <w:link w:val="7"/>
    <w:qFormat/>
    <w:uiPriority w:val="99"/>
    <w:rPr>
      <w:b/>
      <w:bCs/>
      <w:kern w:val="2"/>
      <w:sz w:val="24"/>
      <w:szCs w:val="28"/>
    </w:rPr>
  </w:style>
  <w:style w:type="character" w:customStyle="1" w:styleId="104">
    <w:name w:val="标题 2 Char"/>
    <w:link w:val="4"/>
    <w:qFormat/>
    <w:uiPriority w:val="99"/>
    <w:rPr>
      <w:rFonts w:ascii="Cambria" w:hAnsi="Cambria"/>
      <w:b/>
      <w:bCs/>
      <w:kern w:val="2"/>
      <w:sz w:val="32"/>
      <w:szCs w:val="32"/>
    </w:rPr>
  </w:style>
  <w:style w:type="character" w:customStyle="1" w:styleId="105">
    <w:name w:val="表格字体小四 Char Char"/>
    <w:link w:val="75"/>
    <w:qFormat/>
    <w:uiPriority w:val="0"/>
    <w:rPr>
      <w:kern w:val="2"/>
      <w:sz w:val="24"/>
      <w:szCs w:val="24"/>
      <w:lang w:val="en-US" w:eastAsia="zh-CN" w:bidi="ar-SA"/>
    </w:rPr>
  </w:style>
  <w:style w:type="character" w:customStyle="1" w:styleId="106">
    <w:name w:val="目录 Char Char"/>
    <w:link w:val="74"/>
    <w:qFormat/>
    <w:uiPriority w:val="0"/>
    <w:rPr>
      <w:rFonts w:ascii="仿宋_GB2312" w:hAnsi="宋体" w:eastAsia="仿宋_GB2312"/>
      <w:sz w:val="28"/>
      <w:szCs w:val="28"/>
      <w:lang w:val="en-US" w:eastAsia="zh-CN" w:bidi="ar-SA"/>
    </w:rPr>
  </w:style>
  <w:style w:type="character" w:customStyle="1" w:styleId="107">
    <w:name w:val="三级 Char Char"/>
    <w:link w:val="80"/>
    <w:qFormat/>
    <w:uiPriority w:val="0"/>
    <w:rPr>
      <w:rFonts w:eastAsia="黑体"/>
      <w:bCs/>
      <w:kern w:val="2"/>
      <w:sz w:val="30"/>
      <w:szCs w:val="24"/>
    </w:rPr>
  </w:style>
  <w:style w:type="character" w:customStyle="1" w:styleId="108">
    <w:name w:val="label"/>
    <w:basedOn w:val="54"/>
    <w:qFormat/>
    <w:uiPriority w:val="0"/>
  </w:style>
  <w:style w:type="character" w:customStyle="1" w:styleId="109">
    <w:name w:val="标题 8 Char"/>
    <w:link w:val="10"/>
    <w:qFormat/>
    <w:uiPriority w:val="99"/>
    <w:rPr>
      <w:rFonts w:ascii="Arial" w:hAnsi="Arial" w:eastAsia="黑体"/>
      <w:kern w:val="2"/>
      <w:sz w:val="24"/>
      <w:szCs w:val="28"/>
    </w:rPr>
  </w:style>
  <w:style w:type="character" w:customStyle="1" w:styleId="110">
    <w:name w:val="open2"/>
    <w:basedOn w:val="54"/>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4"/>
    <w:qFormat/>
    <w:uiPriority w:val="0"/>
  </w:style>
  <w:style w:type="character" w:customStyle="1" w:styleId="113">
    <w:name w:val="del2"/>
    <w:basedOn w:val="54"/>
    <w:qFormat/>
    <w:uiPriority w:val="0"/>
  </w:style>
  <w:style w:type="character" w:customStyle="1" w:styleId="114">
    <w:name w:val="标题 3 Char"/>
    <w:link w:val="5"/>
    <w:qFormat/>
    <w:uiPriority w:val="99"/>
    <w:rPr>
      <w:rFonts w:ascii="Tahoma" w:hAnsi="Tahoma"/>
      <w:b/>
      <w:bCs/>
      <w:kern w:val="2"/>
      <w:sz w:val="32"/>
      <w:szCs w:val="32"/>
    </w:rPr>
  </w:style>
  <w:style w:type="character" w:customStyle="1" w:styleId="115">
    <w:name w:val="图题 Char Char"/>
    <w:link w:val="92"/>
    <w:qFormat/>
    <w:uiPriority w:val="0"/>
    <w:rPr>
      <w:kern w:val="2"/>
      <w:sz w:val="24"/>
      <w:szCs w:val="24"/>
      <w:lang w:val="en-US" w:eastAsia="zh-CN" w:bidi="ar-SA"/>
    </w:rPr>
  </w:style>
  <w:style w:type="character" w:customStyle="1" w:styleId="116">
    <w:name w:val="pagelinks"/>
    <w:basedOn w:val="54"/>
    <w:qFormat/>
    <w:uiPriority w:val="0"/>
  </w:style>
  <w:style w:type="character" w:customStyle="1" w:styleId="117">
    <w:name w:val="morewin"/>
    <w:basedOn w:val="54"/>
    <w:qFormat/>
    <w:uiPriority w:val="0"/>
  </w:style>
  <w:style w:type="character" w:customStyle="1" w:styleId="118">
    <w:name w:val="open"/>
    <w:basedOn w:val="54"/>
    <w:qFormat/>
    <w:uiPriority w:val="0"/>
  </w:style>
  <w:style w:type="character" w:customStyle="1" w:styleId="119">
    <w:name w:val="样式2 Char Char"/>
    <w:link w:val="81"/>
    <w:qFormat/>
    <w:uiPriority w:val="0"/>
    <w:rPr>
      <w:b/>
      <w:kern w:val="2"/>
      <w:sz w:val="24"/>
      <w:szCs w:val="24"/>
    </w:rPr>
  </w:style>
  <w:style w:type="character" w:customStyle="1" w:styleId="120">
    <w:name w:val="批注文字 Char"/>
    <w:qFormat/>
    <w:uiPriority w:val="99"/>
    <w:rPr>
      <w:kern w:val="2"/>
      <w:sz w:val="24"/>
      <w:szCs w:val="28"/>
    </w:rPr>
  </w:style>
  <w:style w:type="character" w:customStyle="1" w:styleId="121">
    <w:name w:val="图片 Char Char"/>
    <w:link w:val="88"/>
    <w:qFormat/>
    <w:uiPriority w:val="0"/>
    <w:rPr>
      <w:kern w:val="2"/>
      <w:sz w:val="28"/>
      <w:szCs w:val="28"/>
    </w:rPr>
  </w:style>
  <w:style w:type="character" w:customStyle="1" w:styleId="122">
    <w:name w:val="标题 1 Char"/>
    <w:link w:val="3"/>
    <w:qFormat/>
    <w:uiPriority w:val="99"/>
    <w:rPr>
      <w:rFonts w:ascii="Tahoma" w:hAnsi="Tahoma"/>
      <w:b/>
      <w:bCs/>
      <w:kern w:val="44"/>
      <w:sz w:val="24"/>
      <w:szCs w:val="44"/>
    </w:rPr>
  </w:style>
  <w:style w:type="character" w:customStyle="1" w:styleId="123">
    <w:name w:val="页眉 Char"/>
    <w:link w:val="36"/>
    <w:qFormat/>
    <w:uiPriority w:val="99"/>
    <w:rPr>
      <w:rFonts w:ascii="Tahoma" w:hAnsi="Tahoma"/>
      <w:kern w:val="2"/>
      <w:sz w:val="18"/>
      <w:szCs w:val="18"/>
    </w:rPr>
  </w:style>
  <w:style w:type="character" w:customStyle="1" w:styleId="124">
    <w:name w:val="标题 7 Char"/>
    <w:link w:val="9"/>
    <w:qFormat/>
    <w:uiPriority w:val="99"/>
    <w:rPr>
      <w:b/>
      <w:bCs/>
      <w:kern w:val="2"/>
      <w:sz w:val="24"/>
      <w:szCs w:val="28"/>
    </w:rPr>
  </w:style>
  <w:style w:type="character" w:customStyle="1" w:styleId="125">
    <w:name w:val="标题 Char"/>
    <w:link w:val="48"/>
    <w:qFormat/>
    <w:uiPriority w:val="0"/>
    <w:rPr>
      <w:rFonts w:ascii="Cambria" w:hAnsi="Cambria"/>
      <w:b/>
      <w:bCs/>
      <w:kern w:val="2"/>
      <w:sz w:val="32"/>
      <w:szCs w:val="32"/>
    </w:rPr>
  </w:style>
  <w:style w:type="character" w:customStyle="1" w:styleId="126">
    <w:name w:val="标题 9 Char"/>
    <w:link w:val="11"/>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4"/>
    <w:qFormat/>
    <w:uiPriority w:val="0"/>
  </w:style>
  <w:style w:type="character" w:customStyle="1" w:styleId="129">
    <w:name w:val="批注主题 Char"/>
    <w:link w:val="49"/>
    <w:qFormat/>
    <w:uiPriority w:val="99"/>
    <w:rPr>
      <w:rFonts w:ascii="Tahoma" w:hAnsi="Tahoma"/>
      <w:b/>
      <w:bCs/>
      <w:kern w:val="2"/>
      <w:sz w:val="24"/>
      <w:szCs w:val="28"/>
    </w:rPr>
  </w:style>
  <w:style w:type="character" w:customStyle="1" w:styleId="130">
    <w:name w:val="pagebanner"/>
    <w:basedOn w:val="54"/>
    <w:qFormat/>
    <w:uiPriority w:val="0"/>
  </w:style>
  <w:style w:type="character" w:customStyle="1" w:styleId="131">
    <w:name w:val="文档结构图 Char"/>
    <w:link w:val="18"/>
    <w:qFormat/>
    <w:uiPriority w:val="99"/>
    <w:rPr>
      <w:rFonts w:ascii="宋体"/>
      <w:kern w:val="2"/>
      <w:sz w:val="18"/>
      <w:szCs w:val="18"/>
    </w:rPr>
  </w:style>
  <w:style w:type="character" w:customStyle="1" w:styleId="132">
    <w:name w:val="正文首行缩进 Char"/>
    <w:link w:val="50"/>
    <w:qFormat/>
    <w:uiPriority w:val="0"/>
    <w:rPr>
      <w:rFonts w:ascii="Tahoma" w:hAnsi="Tahoma"/>
      <w:kern w:val="2"/>
      <w:sz w:val="21"/>
      <w:szCs w:val="24"/>
    </w:rPr>
  </w:style>
  <w:style w:type="character" w:customStyle="1" w:styleId="133">
    <w:name w:val="表格标题 Char Char"/>
    <w:link w:val="86"/>
    <w:qFormat/>
    <w:uiPriority w:val="0"/>
    <w:rPr>
      <w:rFonts w:ascii="Arial" w:hAnsi="Arial" w:cs="Arial"/>
      <w:kern w:val="2"/>
      <w:sz w:val="24"/>
      <w:szCs w:val="24"/>
    </w:rPr>
  </w:style>
  <w:style w:type="character" w:customStyle="1" w:styleId="134">
    <w:name w:val="标题 6 Char"/>
    <w:link w:val="8"/>
    <w:qFormat/>
    <w:uiPriority w:val="99"/>
    <w:rPr>
      <w:rFonts w:ascii="Arial" w:hAnsi="Arial" w:eastAsia="黑体"/>
      <w:b/>
      <w:bCs/>
      <w:kern w:val="2"/>
      <w:sz w:val="24"/>
      <w:szCs w:val="28"/>
    </w:rPr>
  </w:style>
  <w:style w:type="character" w:customStyle="1" w:styleId="135">
    <w:name w:val="正文文本 Char"/>
    <w:link w:val="23"/>
    <w:qFormat/>
    <w:uiPriority w:val="99"/>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Char"/>
    <w:link w:val="15"/>
    <w:qFormat/>
    <w:uiPriority w:val="0"/>
    <w:rPr>
      <w:kern w:val="2"/>
      <w:sz w:val="24"/>
    </w:rPr>
  </w:style>
  <w:style w:type="character" w:customStyle="1" w:styleId="138">
    <w:name w:val="页脚 Char"/>
    <w:link w:val="35"/>
    <w:qFormat/>
    <w:uiPriority w:val="99"/>
    <w:rPr>
      <w:rFonts w:ascii="Tahoma" w:hAnsi="Tahoma"/>
      <w:kern w:val="2"/>
      <w:sz w:val="18"/>
      <w:szCs w:val="18"/>
    </w:rPr>
  </w:style>
  <w:style w:type="character" w:customStyle="1" w:styleId="139">
    <w:name w:val="mod"/>
    <w:basedOn w:val="54"/>
    <w:qFormat/>
    <w:uiPriority w:val="0"/>
  </w:style>
  <w:style w:type="character" w:customStyle="1" w:styleId="140">
    <w:name w:val="标题3 Char Char"/>
    <w:link w:val="84"/>
    <w:qFormat/>
    <w:uiPriority w:val="0"/>
    <w:rPr>
      <w:rFonts w:eastAsia="黑体"/>
      <w:kern w:val="2"/>
      <w:sz w:val="28"/>
      <w:szCs w:val="32"/>
    </w:rPr>
  </w:style>
  <w:style w:type="character" w:customStyle="1" w:styleId="141">
    <w:name w:val="标题 4 Char"/>
    <w:link w:val="6"/>
    <w:qFormat/>
    <w:uiPriority w:val="99"/>
    <w:rPr>
      <w:b/>
      <w:sz w:val="24"/>
      <w:szCs w:val="24"/>
    </w:rPr>
  </w:style>
  <w:style w:type="paragraph" w:customStyle="1" w:styleId="14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4"/>
    <w:qFormat/>
    <w:uiPriority w:val="0"/>
    <w:rPr>
      <w:color w:val="BA2636"/>
      <w:sz w:val="12"/>
      <w:szCs w:val="12"/>
    </w:rPr>
  </w:style>
  <w:style w:type="character" w:customStyle="1" w:styleId="144">
    <w:name w:val="gjfg"/>
    <w:basedOn w:val="54"/>
    <w:qFormat/>
    <w:uiPriority w:val="0"/>
  </w:style>
  <w:style w:type="character" w:customStyle="1" w:styleId="145">
    <w:name w:val="redfilenumber"/>
    <w:basedOn w:val="54"/>
    <w:qFormat/>
    <w:uiPriority w:val="0"/>
    <w:rPr>
      <w:color w:val="BA2636"/>
      <w:sz w:val="12"/>
      <w:szCs w:val="12"/>
    </w:rPr>
  </w:style>
  <w:style w:type="character" w:customStyle="1" w:styleId="146">
    <w:name w:val="qxdate"/>
    <w:basedOn w:val="54"/>
    <w:qFormat/>
    <w:uiPriority w:val="0"/>
    <w:rPr>
      <w:color w:val="333333"/>
      <w:sz w:val="12"/>
      <w:szCs w:val="12"/>
    </w:rPr>
  </w:style>
  <w:style w:type="character" w:customStyle="1" w:styleId="147">
    <w:name w:val="prev"/>
    <w:basedOn w:val="54"/>
    <w:qFormat/>
    <w:uiPriority w:val="0"/>
    <w:rPr>
      <w:rFonts w:ascii="微软雅黑" w:hAnsi="微软雅黑" w:eastAsia="微软雅黑" w:cs="微软雅黑"/>
      <w:sz w:val="14"/>
      <w:szCs w:val="14"/>
    </w:rPr>
  </w:style>
  <w:style w:type="character" w:customStyle="1" w:styleId="148">
    <w:name w:val="cfdate"/>
    <w:basedOn w:val="54"/>
    <w:qFormat/>
    <w:uiPriority w:val="0"/>
    <w:rPr>
      <w:color w:val="333333"/>
      <w:sz w:val="12"/>
      <w:szCs w:val="12"/>
    </w:rPr>
  </w:style>
  <w:style w:type="character" w:customStyle="1" w:styleId="149">
    <w:name w:val="displayarti"/>
    <w:basedOn w:val="54"/>
    <w:qFormat/>
    <w:uiPriority w:val="0"/>
    <w:rPr>
      <w:color w:val="FFFFFF"/>
      <w:shd w:val="clear" w:color="auto" w:fill="A00000"/>
    </w:rPr>
  </w:style>
  <w:style w:type="character" w:customStyle="1" w:styleId="150">
    <w:name w:val="next2"/>
    <w:basedOn w:val="54"/>
    <w:qFormat/>
    <w:uiPriority w:val="0"/>
    <w:rPr>
      <w:rFonts w:hint="eastAsia" w:ascii="微软雅黑" w:hAnsi="微软雅黑" w:eastAsia="微软雅黑" w:cs="微软雅黑"/>
      <w:sz w:val="14"/>
      <w:szCs w:val="14"/>
    </w:rPr>
  </w:style>
  <w:style w:type="character" w:customStyle="1" w:styleId="151">
    <w:name w:val="next3"/>
    <w:basedOn w:val="54"/>
    <w:qFormat/>
    <w:uiPriority w:val="0"/>
    <w:rPr>
      <w:color w:val="888888"/>
    </w:rPr>
  </w:style>
  <w:style w:type="character" w:customStyle="1" w:styleId="152">
    <w:name w:val="next"/>
    <w:basedOn w:val="54"/>
    <w:qFormat/>
    <w:uiPriority w:val="0"/>
    <w:rPr>
      <w:rFonts w:ascii="微软雅黑" w:hAnsi="微软雅黑" w:eastAsia="微软雅黑" w:cs="微软雅黑"/>
      <w:sz w:val="14"/>
      <w:szCs w:val="14"/>
    </w:rPr>
  </w:style>
  <w:style w:type="character" w:customStyle="1" w:styleId="153">
    <w:name w:val="prev1"/>
    <w:basedOn w:val="54"/>
    <w:qFormat/>
    <w:uiPriority w:val="0"/>
    <w:rPr>
      <w:color w:val="888888"/>
    </w:rPr>
  </w:style>
  <w:style w:type="paragraph" w:customStyle="1" w:styleId="154">
    <w:name w:val="Body text|21"/>
    <w:basedOn w:val="1"/>
    <w:link w:val="156"/>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4"/>
    <w:link w:val="154"/>
    <w:qFormat/>
    <w:uiPriority w:val="0"/>
    <w:rPr>
      <w:rFonts w:ascii="PMingLiU" w:hAnsi="PMingLiU" w:eastAsia="PMingLiU" w:cs="PMingLiU"/>
      <w:spacing w:val="30"/>
    </w:rPr>
  </w:style>
  <w:style w:type="character" w:customStyle="1" w:styleId="157">
    <w:name w:val="Body text|2 + Spacing 3 pt"/>
    <w:basedOn w:val="156"/>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qFormat/>
    <w:uiPriority w:val="0"/>
    <w:pPr>
      <w:adjustRightInd w:val="0"/>
      <w:snapToGrid w:val="0"/>
      <w:spacing w:after="50" w:line="360" w:lineRule="auto"/>
    </w:pPr>
    <w:rPr>
      <w:sz w:val="24"/>
    </w:rPr>
  </w:style>
  <w:style w:type="paragraph" w:customStyle="1" w:styleId="15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qFormat/>
    <w:uiPriority w:val="0"/>
    <w:rPr>
      <w:rFonts w:ascii="仿宋_GB2312" w:eastAsia="仿宋_GB2312"/>
      <w:b/>
      <w:sz w:val="32"/>
      <w:szCs w:val="32"/>
    </w:rPr>
  </w:style>
  <w:style w:type="paragraph" w:customStyle="1" w:styleId="16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Char"/>
    <w:basedOn w:val="54"/>
    <w:link w:val="33"/>
    <w:qFormat/>
    <w:uiPriority w:val="99"/>
    <w:rPr>
      <w:rFonts w:ascii="Times New Roman" w:hAnsi="Times New Roman" w:eastAsia="宋体" w:cs="Times New Roman"/>
      <w:kern w:val="2"/>
      <w:sz w:val="24"/>
      <w:szCs w:val="30"/>
    </w:rPr>
  </w:style>
  <w:style w:type="paragraph" w:customStyle="1" w:styleId="1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Char"/>
    <w:basedOn w:val="54"/>
    <w:link w:val="24"/>
    <w:qFormat/>
    <w:uiPriority w:val="99"/>
    <w:rPr>
      <w:rFonts w:ascii="Tahoma" w:hAnsi="Tahoma" w:eastAsia="Arial Unicode MS" w:cs="Times New Roman"/>
      <w:kern w:val="2"/>
      <w:sz w:val="21"/>
      <w:szCs w:val="24"/>
    </w:rPr>
  </w:style>
  <w:style w:type="character" w:customStyle="1" w:styleId="168">
    <w:name w:val="正文首行缩进 2 Char"/>
    <w:basedOn w:val="167"/>
    <w:link w:val="51"/>
    <w:qFormat/>
    <w:uiPriority w:val="0"/>
    <w:rPr>
      <w:rFonts w:ascii="Times New Roman" w:hAnsi="Times New Roman" w:eastAsia="宋体" w:cs="Times New Roman"/>
      <w:kern w:val="2"/>
      <w:sz w:val="21"/>
      <w:szCs w:val="24"/>
    </w:rPr>
  </w:style>
  <w:style w:type="character" w:customStyle="1" w:styleId="169">
    <w:name w:val="正文文本 2 Char"/>
    <w:basedOn w:val="54"/>
    <w:link w:val="44"/>
    <w:qFormat/>
    <w:uiPriority w:val="99"/>
    <w:rPr>
      <w:rFonts w:ascii="宋体" w:hAnsi="Times New Roman" w:eastAsia="宋体" w:cs="Times New Roman"/>
      <w:kern w:val="2"/>
      <w:sz w:val="21"/>
    </w:rPr>
  </w:style>
  <w:style w:type="paragraph" w:customStyle="1" w:styleId="170">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2">
    <w:name w:val="Char2"/>
    <w:qFormat/>
    <w:uiPriority w:val="0"/>
    <w:rPr>
      <w:rFonts w:ascii="Arial" w:hAnsi="Arial" w:eastAsia="黑体"/>
      <w:b/>
      <w:bCs/>
      <w:kern w:val="2"/>
      <w:sz w:val="32"/>
      <w:szCs w:val="32"/>
      <w:lang w:val="en-US" w:eastAsia="zh-CN" w:bidi="ar-SA"/>
    </w:rPr>
  </w:style>
  <w:style w:type="character" w:customStyle="1" w:styleId="173">
    <w:name w:val="样式 标题 2 + (符号) 宋体 小四 Char"/>
    <w:qFormat/>
    <w:uiPriority w:val="0"/>
    <w:rPr>
      <w:rFonts w:ascii="Arial" w:hAnsi="Arial" w:eastAsia="宋体"/>
      <w:b/>
      <w:bCs/>
      <w:kern w:val="2"/>
      <w:sz w:val="24"/>
      <w:szCs w:val="32"/>
      <w:lang w:val="en-US" w:eastAsia="zh-CN" w:bidi="ar-SA"/>
    </w:rPr>
  </w:style>
  <w:style w:type="paragraph" w:customStyle="1" w:styleId="174">
    <w:name w:val="样式1"/>
    <w:basedOn w:val="1"/>
    <w:next w:val="5"/>
    <w:qFormat/>
    <w:uiPriority w:val="99"/>
    <w:rPr>
      <w:rFonts w:eastAsia="宋体"/>
      <w:sz w:val="24"/>
      <w:szCs w:val="20"/>
    </w:rPr>
  </w:style>
  <w:style w:type="paragraph" w:customStyle="1" w:styleId="175">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Char"/>
    <w:link w:val="32"/>
    <w:qFormat/>
    <w:uiPriority w:val="99"/>
    <w:rPr>
      <w:rFonts w:ascii="Tahoma" w:hAnsi="Tahoma" w:eastAsia="Arial Unicode MS" w:cs="Times New Roman"/>
      <w:kern w:val="2"/>
      <w:sz w:val="21"/>
      <w:szCs w:val="24"/>
    </w:rPr>
  </w:style>
  <w:style w:type="character" w:customStyle="1" w:styleId="199">
    <w:name w:val="Char Char"/>
    <w:qFormat/>
    <w:uiPriority w:val="0"/>
    <w:rPr>
      <w:rFonts w:eastAsia="宋体"/>
      <w:kern w:val="2"/>
      <w:sz w:val="24"/>
      <w:lang w:val="en-US" w:eastAsia="zh-CN" w:bidi="ar-SA"/>
    </w:rPr>
  </w:style>
  <w:style w:type="character" w:customStyle="1" w:styleId="200">
    <w:name w:val="称呼 Char"/>
    <w:basedOn w:val="54"/>
    <w:link w:val="21"/>
    <w:qFormat/>
    <w:uiPriority w:val="0"/>
    <w:rPr>
      <w:rFonts w:ascii="..ì." w:hAnsi="Times New Roman" w:eastAsia="..ì." w:cs="Times New Roman"/>
      <w:sz w:val="24"/>
    </w:rPr>
  </w:style>
  <w:style w:type="character" w:customStyle="1" w:styleId="201">
    <w:name w:val="注释标题 Char"/>
    <w:basedOn w:val="54"/>
    <w:link w:val="13"/>
    <w:qFormat/>
    <w:uiPriority w:val="0"/>
    <w:rPr>
      <w:rFonts w:ascii="..ì." w:hAnsi="Times New Roman" w:eastAsia="..ì." w:cs="Times New Roman"/>
      <w:sz w:val="24"/>
    </w:rPr>
  </w:style>
  <w:style w:type="paragraph" w:customStyle="1" w:styleId="202">
    <w:name w:val="1 Char Char Char Char"/>
    <w:basedOn w:val="1"/>
    <w:qFormat/>
    <w:uiPriority w:val="0"/>
    <w:rPr>
      <w:rFonts w:ascii="Tahoma" w:hAnsi="Tahoma" w:eastAsia="宋体"/>
      <w:sz w:val="24"/>
      <w:szCs w:val="20"/>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qFormat/>
    <w:uiPriority w:val="99"/>
    <w:rPr>
      <w:rFonts w:ascii="黑体" w:eastAsia="黑体"/>
      <w:sz w:val="52"/>
      <w:lang w:bidi="ar-SA"/>
    </w:rPr>
  </w:style>
  <w:style w:type="paragraph" w:customStyle="1" w:styleId="206">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2"/>
    <w:qFormat/>
    <w:uiPriority w:val="99"/>
    <w:rPr>
      <w:rFonts w:ascii="宋体" w:eastAsia="宋体"/>
      <w:sz w:val="24"/>
      <w:szCs w:val="20"/>
    </w:rPr>
  </w:style>
  <w:style w:type="character" w:customStyle="1" w:styleId="208">
    <w:name w:val="正文文本 3 Char"/>
    <w:basedOn w:val="54"/>
    <w:link w:val="22"/>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24"/>
    <w:qFormat/>
    <w:uiPriority w:val="99"/>
    <w:pPr>
      <w:ind w:left="432"/>
    </w:pPr>
    <w:rPr>
      <w:rFonts w:eastAsia="宋体"/>
      <w:szCs w:val="20"/>
    </w:rPr>
  </w:style>
  <w:style w:type="character" w:customStyle="1" w:styleId="211">
    <w:name w:val="正文文本缩进 3 Char"/>
    <w:link w:val="41"/>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qFormat/>
    <w:uiPriority w:val="0"/>
    <w:rPr>
      <w:rFonts w:ascii="Tahoma" w:hAnsi="Tahoma" w:eastAsia="宋体"/>
      <w:sz w:val="24"/>
      <w:szCs w:val="20"/>
    </w:rPr>
  </w:style>
  <w:style w:type="character" w:customStyle="1" w:styleId="214">
    <w:name w:val="font161"/>
    <w:qFormat/>
    <w:uiPriority w:val="99"/>
    <w:rPr>
      <w:b/>
      <w:bCs/>
      <w:sz w:val="32"/>
      <w:szCs w:val="32"/>
    </w:rPr>
  </w:style>
  <w:style w:type="paragraph" w:customStyle="1" w:styleId="215">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qFormat/>
    <w:uiPriority w:val="99"/>
    <w:pPr>
      <w:jc w:val="center"/>
      <w:textAlignment w:val="center"/>
    </w:pPr>
    <w:rPr>
      <w:rFonts w:ascii="华文细黑" w:hAnsi="华文细黑" w:eastAsia="宋体"/>
      <w:kern w:val="0"/>
      <w:szCs w:val="20"/>
    </w:rPr>
  </w:style>
  <w:style w:type="paragraph" w:customStyle="1" w:styleId="217">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qFormat/>
    <w:uiPriority w:val="99"/>
    <w:rPr>
      <w:color w:val="auto"/>
      <w:u w:val="none"/>
    </w:rPr>
  </w:style>
  <w:style w:type="character" w:customStyle="1" w:styleId="221">
    <w:name w:val="Char Char1"/>
    <w:qFormat/>
    <w:uiPriority w:val="0"/>
    <w:rPr>
      <w:rFonts w:eastAsia="宋体"/>
      <w:kern w:val="2"/>
      <w:sz w:val="24"/>
      <w:lang w:val="en-US" w:eastAsia="zh-CN" w:bidi="ar-SA"/>
    </w:rPr>
  </w:style>
  <w:style w:type="character" w:customStyle="1" w:styleId="222">
    <w:name w:val="纯文本 Char"/>
    <w:link w:val="30"/>
    <w:qFormat/>
    <w:uiPriority w:val="0"/>
    <w:rPr>
      <w:rFonts w:ascii="宋体" w:hAnsi="Courier New" w:eastAsia="Arial Unicode MS" w:cs="Times New Roman"/>
      <w:kern w:val="2"/>
      <w:sz w:val="21"/>
      <w:szCs w:val="21"/>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qFormat/>
    <w:uiPriority w:val="0"/>
    <w:pPr>
      <w:numPr>
        <w:ilvl w:val="3"/>
      </w:numPr>
      <w:ind w:left="315"/>
      <w:outlineLvl w:val="3"/>
    </w:pPr>
  </w:style>
  <w:style w:type="paragraph" w:customStyle="1" w:styleId="245">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qFormat/>
    <w:uiPriority w:val="0"/>
    <w:pPr>
      <w:numPr>
        <w:ilvl w:val="4"/>
      </w:numPr>
      <w:tabs>
        <w:tab w:val="left" w:pos="1680"/>
        <w:tab w:val="left" w:pos="2100"/>
      </w:tabs>
      <w:ind w:left="2100" w:hanging="420"/>
      <w:outlineLvl w:val="4"/>
    </w:pPr>
  </w:style>
  <w:style w:type="paragraph" w:customStyle="1" w:styleId="247">
    <w:name w:val="四级条标题"/>
    <w:basedOn w:val="246"/>
    <w:next w:val="1"/>
    <w:qFormat/>
    <w:uiPriority w:val="0"/>
    <w:pPr>
      <w:numPr>
        <w:ilvl w:val="5"/>
      </w:numPr>
      <w:tabs>
        <w:tab w:val="left" w:pos="2520"/>
      </w:tabs>
      <w:ind w:left="2520" w:hanging="420"/>
      <w:outlineLvl w:val="5"/>
    </w:pPr>
  </w:style>
  <w:style w:type="paragraph" w:customStyle="1" w:styleId="248">
    <w:name w:val="五级条标题"/>
    <w:basedOn w:val="247"/>
    <w:next w:val="1"/>
    <w:qFormat/>
    <w:uiPriority w:val="0"/>
    <w:pPr>
      <w:numPr>
        <w:ilvl w:val="6"/>
      </w:numPr>
      <w:tabs>
        <w:tab w:val="left" w:pos="2940"/>
      </w:tabs>
      <w:ind w:left="2940" w:hanging="420"/>
      <w:outlineLvl w:val="6"/>
    </w:pPr>
  </w:style>
  <w:style w:type="character" w:customStyle="1" w:styleId="249">
    <w:name w:val="章标题 Char"/>
    <w:link w:val="242"/>
    <w:qFormat/>
    <w:uiPriority w:val="0"/>
    <w:rPr>
      <w:rFonts w:ascii="黑体" w:eastAsia="黑体"/>
      <w:sz w:val="21"/>
    </w:rPr>
  </w:style>
  <w:style w:type="character" w:customStyle="1" w:styleId="250">
    <w:name w:val="一级条标题 Char"/>
    <w:link w:val="243"/>
    <w:qFormat/>
    <w:uiPriority w:val="0"/>
    <w:rPr>
      <w:rFonts w:ascii="黑体" w:eastAsia="黑体"/>
      <w:sz w:val="21"/>
    </w:rPr>
  </w:style>
  <w:style w:type="character" w:customStyle="1" w:styleId="251">
    <w:name w:val="二级条标题 Char"/>
    <w:link w:val="244"/>
    <w:qFormat/>
    <w:uiPriority w:val="0"/>
    <w:rPr>
      <w:rFonts w:ascii="黑体" w:eastAsia="黑体"/>
      <w:sz w:val="21"/>
    </w:r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7">
    <w:name w:val="HTML 预设格式 Char"/>
    <w:basedOn w:val="54"/>
    <w:link w:val="45"/>
    <w:qFormat/>
    <w:uiPriority w:val="0"/>
    <w:rPr>
      <w:rFonts w:ascii="黑体" w:hAnsi="Courier New" w:eastAsia="黑体"/>
    </w:rPr>
  </w:style>
  <w:style w:type="character" w:customStyle="1" w:styleId="298">
    <w:name w:val="active6"/>
    <w:basedOn w:val="54"/>
    <w:qFormat/>
    <w:uiPriority w:val="0"/>
    <w:rPr>
      <w:color w:val="00FF00"/>
      <w:shd w:val="clear" w:fill="000000"/>
    </w:rPr>
  </w:style>
  <w:style w:type="character" w:customStyle="1" w:styleId="299">
    <w:name w:val="hilite6"/>
    <w:basedOn w:val="54"/>
    <w:qFormat/>
    <w:uiPriority w:val="0"/>
    <w:rPr>
      <w:color w:val="FFFFFF"/>
      <w:shd w:val="clear" w:fill="666677"/>
    </w:rPr>
  </w:style>
  <w:style w:type="character" w:customStyle="1" w:styleId="300">
    <w:name w:val="input-direction"/>
    <w:basedOn w:val="54"/>
    <w:qFormat/>
    <w:uiPriority w:val="0"/>
    <w:rPr>
      <w:color w:val="FF6600"/>
    </w:rPr>
  </w:style>
  <w:style w:type="character" w:customStyle="1" w:styleId="301">
    <w:name w:val="span-long"/>
    <w:basedOn w:val="54"/>
    <w:qFormat/>
    <w:uiPriority w:val="0"/>
  </w:style>
  <w:style w:type="character" w:customStyle="1" w:styleId="302">
    <w:name w:val="proollist"/>
    <w:basedOn w:val="54"/>
    <w:qFormat/>
    <w:uiPriority w:val="0"/>
  </w:style>
  <w:style w:type="character" w:customStyle="1" w:styleId="303">
    <w:name w:val="beforeinfotext"/>
    <w:basedOn w:val="54"/>
    <w:qFormat/>
    <w:uiPriority w:val="0"/>
    <w:rPr>
      <w:color w:val="666666"/>
    </w:rPr>
  </w:style>
  <w:style w:type="character" w:customStyle="1" w:styleId="304">
    <w:name w:val="stclosebtn"/>
    <w:basedOn w:val="54"/>
    <w:qFormat/>
    <w:uiPriority w:val="0"/>
  </w:style>
  <w:style w:type="character" w:customStyle="1" w:styleId="305">
    <w:name w:val="tmpztreemove_arrow"/>
    <w:basedOn w:val="54"/>
    <w:qFormat/>
    <w:uiPriority w:val="0"/>
  </w:style>
  <w:style w:type="character" w:customStyle="1" w:styleId="306">
    <w:name w:val="number"/>
    <w:basedOn w:val="54"/>
    <w:qFormat/>
    <w:uiPriority w:val="0"/>
    <w:rPr>
      <w:color w:val="FF8833"/>
      <w:sz w:val="18"/>
      <w:szCs w:val="18"/>
    </w:rPr>
  </w:style>
  <w:style w:type="character" w:customStyle="1" w:styleId="307">
    <w:name w:val="phone"/>
    <w:basedOn w:val="54"/>
    <w:qFormat/>
    <w:uiPriority w:val="0"/>
    <w:rPr>
      <w:color w:val="FF8833"/>
      <w:sz w:val="18"/>
      <w:szCs w:val="18"/>
    </w:rPr>
  </w:style>
  <w:style w:type="character" w:customStyle="1" w:styleId="308">
    <w:name w:val="button2"/>
    <w:basedOn w:val="54"/>
    <w:qFormat/>
    <w:uiPriority w:val="0"/>
  </w:style>
  <w:style w:type="character" w:customStyle="1" w:styleId="309">
    <w:name w:val="underline1"/>
    <w:basedOn w:val="54"/>
    <w:qFormat/>
    <w:uiPriority w:val="0"/>
    <w:rPr>
      <w:u w:val="single"/>
    </w:rPr>
  </w:style>
  <w:style w:type="character" w:customStyle="1" w:styleId="310">
    <w:name w:val="font21"/>
    <w:basedOn w:val="54"/>
    <w:qFormat/>
    <w:uiPriority w:val="0"/>
    <w:rPr>
      <w:rFonts w:hint="default" w:ascii="Times New Roman" w:hAnsi="Times New Roman" w:cs="Times New Roman"/>
      <w:color w:val="000000"/>
      <w:sz w:val="22"/>
      <w:szCs w:val="22"/>
      <w:u w:val="none"/>
    </w:rPr>
  </w:style>
  <w:style w:type="character" w:customStyle="1" w:styleId="311">
    <w:name w:val="font11"/>
    <w:basedOn w:val="54"/>
    <w:qFormat/>
    <w:uiPriority w:val="0"/>
    <w:rPr>
      <w:rFonts w:hint="eastAsia" w:ascii="宋体" w:hAnsi="宋体" w:eastAsia="宋体" w:cs="宋体"/>
      <w:color w:val="000000"/>
      <w:sz w:val="22"/>
      <w:szCs w:val="22"/>
      <w:u w:val="none"/>
    </w:rPr>
  </w:style>
  <w:style w:type="character" w:customStyle="1" w:styleId="312">
    <w:name w:val="font01"/>
    <w:basedOn w:val="54"/>
    <w:qFormat/>
    <w:uiPriority w:val="0"/>
    <w:rPr>
      <w:rFonts w:hint="eastAsia" w:ascii="宋体" w:hAnsi="宋体" w:eastAsia="宋体" w:cs="宋体"/>
      <w:color w:val="000000"/>
      <w:sz w:val="22"/>
      <w:szCs w:val="22"/>
      <w:u w:val="none"/>
    </w:rPr>
  </w:style>
  <w:style w:type="paragraph" w:customStyle="1" w:styleId="313">
    <w:name w:val="_Style 3"/>
    <w:basedOn w:val="3"/>
    <w:next w:val="1"/>
    <w:qFormat/>
    <w:uiPriority w:val="0"/>
    <w:pPr>
      <w:keepNext/>
      <w:keepLines w:val="0"/>
      <w:widowControl/>
      <w:suppressLineNumbers w:val="0"/>
      <w:spacing w:before="240" w:beforeAutospacing="0" w:after="0" w:afterAutospacing="0" w:line="256" w:lineRule="auto"/>
      <w:ind w:left="0" w:right="0"/>
      <w:jc w:val="left"/>
    </w:pPr>
    <w:rPr>
      <w:rFonts w:hint="default" w:ascii="Calibri Light" w:hAnsi="Calibri Light" w:eastAsia="宋体" w:cs="Times New Roman"/>
      <w:color w:val="2E74B5"/>
      <w:kern w:val="0"/>
      <w:sz w:val="32"/>
      <w:szCs w:val="32"/>
      <w:lang w:val="en-US" w:eastAsia="zh-CN" w:bidi="ar"/>
    </w:rPr>
  </w:style>
  <w:style w:type="paragraph" w:customStyle="1" w:styleId="314">
    <w:name w:val="正文 New"/>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黑体"/>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62A62-5657-4AC1-A070-486D417ADE52}">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63</Pages>
  <Words>26713</Words>
  <Characters>28837</Characters>
  <Lines>213</Lines>
  <Paragraphs>60</Paragraphs>
  <TotalTime>6</TotalTime>
  <ScaleCrop>false</ScaleCrop>
  <LinksUpToDate>false</LinksUpToDate>
  <CharactersWithSpaces>32593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登高望远方</cp:lastModifiedBy>
  <cp:lastPrinted>2022-06-17T01:43:00Z</cp:lastPrinted>
  <dcterms:modified xsi:type="dcterms:W3CDTF">2022-06-22T03:05:20Z</dcterms:modified>
  <dc:title>_x0001_</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A05D2A024A6D4C66944CBD69FDD3B29C</vt:lpwstr>
  </property>
</Properties>
</file>