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岐山县凤鸣工业园区一期控制性详细规划采购计划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eastAsia="zh-CN"/>
        </w:rPr>
        <w:t>主要规划内容包括：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评估现状情况（主要包括已批已建开发强度评估、公共服务设施情况评估、市政设施评估、交通情况评估等）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空间布局优化（主要对公共服务设施、市政设施、交通设施等建设现状评价）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明确控制要求（对规划区内未开发建设的区域，确定土地使用性质、兼容性等用地功能控制要求；明确容积率、建设高度、建筑密度、绿地率等用地指标；确定基础设施、公共服务设施、公共安全设施的用地规模、范围及具体控制要求，地下管线控制要求；划定城市黄线、绿线、紫线、蓝线）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助力数字管理（构建岐山凤鸣工业园控规管理的基础数据库，整合图形信息、控制指标和地理空间信息，明确管理要素与管理权责）。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岐山县凤鸣工业园区一期控制性详细规划的建设用地总面积3342亩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控规编制费用计算小计78.0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</w:rPr>
        <w:t>万元。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</w:p>
    <w:p>
      <w:pPr>
        <w:jc w:val="both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岐山县凤鸣工业园区管理委员会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2022年11月8日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spacing w:val="-20"/>
          <w:sz w:val="28"/>
          <w:szCs w:val="28"/>
          <w:u w:val="none"/>
        </w:rPr>
      </w:pPr>
    </w:p>
    <w:p>
      <w:pPr>
        <w:rPr>
          <w:rFonts w:hint="eastAsia" w:ascii="宋体" w:hAnsi="宋体" w:eastAsia="宋体" w:cs="宋体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GMwOTUyYWRlYzBlMmNmZTdmNjQwYmI0MDEyNTQifQ=="/>
  </w:docVars>
  <w:rsids>
    <w:rsidRoot w:val="51837C64"/>
    <w:rsid w:val="51837C64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427</Characters>
  <Lines>0</Lines>
  <Paragraphs>0</Paragraphs>
  <TotalTime>13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2022-11-08T01:08:00Z</dcterms:created>
  <dc:creator>x</dc:creator>
  <cp:lastModifiedBy>x</cp:lastModifiedBy>
  <dcterms:modified xsi:type="dcterms:W3CDTF">2022-11-08T01:31:45Z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4C1F96FCB6EB4488A8644E594737E96B</vt:lpwstr>
  </property>
</Properties>
</file>