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napToGrid w:val="0"/>
        <w:spacing w:line="360" w:lineRule="auto"/>
        <w:rPr>
          <w:rFonts w:hint="default" w:ascii="仿宋" w:hAnsi="仿宋" w:eastAsia="仿宋" w:cs="仿宋"/>
          <w:b/>
          <w:bCs/>
          <w:color w:val="auto"/>
          <w:sz w:val="22"/>
          <w:szCs w:val="22"/>
          <w:highlight w:val="none"/>
          <w:u w:val="single"/>
          <w:lang w:val="en-US" w:eastAsia="zh-CN"/>
        </w:rPr>
      </w:pPr>
      <w:r>
        <w:rPr>
          <w:rFonts w:hint="eastAsia" w:ascii="仿宋" w:hAnsi="仿宋" w:eastAsia="仿宋" w:cs="仿宋"/>
          <w:b/>
          <w:bCs/>
          <w:color w:val="auto"/>
          <w:sz w:val="30"/>
          <w:szCs w:val="30"/>
          <w:highlight w:val="none"/>
          <w:lang w:val="zh-CN"/>
        </w:rPr>
        <w:t>项目编号：JQJW-2022-0330.1B1</w:t>
      </w:r>
    </w:p>
    <w:p>
      <w:pPr>
        <w:pStyle w:val="13"/>
        <w:jc w:val="both"/>
        <w:rPr>
          <w:rFonts w:hint="eastAsia" w:ascii="仿宋" w:hAnsi="仿宋" w:eastAsia="仿宋" w:cs="仿宋"/>
          <w:b/>
          <w:bCs/>
          <w:color w:val="auto"/>
          <w:sz w:val="72"/>
          <w:szCs w:val="72"/>
          <w:highlight w:val="none"/>
          <w:lang w:val="zh-CN"/>
        </w:rPr>
      </w:pPr>
    </w:p>
    <w:p>
      <w:pPr>
        <w:pStyle w:val="13"/>
        <w:spacing w:line="360" w:lineRule="auto"/>
        <w:jc w:val="center"/>
        <w:rPr>
          <w:rFonts w:hint="eastAsia" w:ascii="仿宋" w:hAnsi="仿宋" w:eastAsia="仿宋" w:cs="仿宋"/>
          <w:b/>
          <w:bCs/>
          <w:color w:val="auto"/>
          <w:sz w:val="40"/>
          <w:szCs w:val="40"/>
          <w:highlight w:val="none"/>
          <w:lang w:val="zh-CN"/>
        </w:rPr>
      </w:pPr>
      <w:r>
        <w:rPr>
          <w:rFonts w:hint="eastAsia" w:ascii="仿宋" w:hAnsi="仿宋" w:eastAsia="仿宋" w:cs="仿宋"/>
          <w:b/>
          <w:bCs/>
          <w:color w:val="auto"/>
          <w:kern w:val="2"/>
          <w:sz w:val="52"/>
          <w:szCs w:val="52"/>
          <w:highlight w:val="none"/>
          <w:lang w:val="zh-CN" w:eastAsia="zh-CN" w:bidi="ar-SA"/>
        </w:rPr>
        <w:t>1.5T核磁共振维修保养采购项目（二次）</w:t>
      </w:r>
    </w:p>
    <w:p>
      <w:pPr>
        <w:pStyle w:val="13"/>
        <w:rPr>
          <w:rFonts w:hint="eastAsia" w:ascii="仿宋" w:hAnsi="仿宋" w:eastAsia="仿宋" w:cs="仿宋"/>
          <w:b/>
          <w:bCs/>
          <w:color w:val="auto"/>
          <w:sz w:val="11"/>
          <w:szCs w:val="11"/>
          <w:highlight w:val="none"/>
          <w:lang w:val="zh-CN"/>
        </w:rPr>
      </w:pPr>
    </w:p>
    <w:p>
      <w:pPr>
        <w:pStyle w:val="13"/>
        <w:rPr>
          <w:rFonts w:hint="eastAsia" w:ascii="仿宋" w:hAnsi="仿宋" w:eastAsia="仿宋" w:cs="仿宋"/>
          <w:b/>
          <w:bCs/>
          <w:color w:val="auto"/>
          <w:sz w:val="11"/>
          <w:szCs w:val="11"/>
          <w:highlight w:val="none"/>
          <w:lang w:val="zh-CN"/>
        </w:rPr>
      </w:pPr>
    </w:p>
    <w:p>
      <w:pPr>
        <w:pStyle w:val="13"/>
        <w:rPr>
          <w:rFonts w:hint="eastAsia" w:ascii="仿宋" w:hAnsi="仿宋" w:eastAsia="仿宋" w:cs="仿宋"/>
          <w:b/>
          <w:bCs/>
          <w:color w:val="auto"/>
          <w:sz w:val="11"/>
          <w:szCs w:val="11"/>
          <w:highlight w:val="none"/>
          <w:lang w:val="zh-CN"/>
        </w:rPr>
      </w:pPr>
    </w:p>
    <w:p>
      <w:pPr>
        <w:pStyle w:val="13"/>
        <w:rPr>
          <w:rFonts w:hint="eastAsia" w:ascii="仿宋" w:hAnsi="仿宋" w:eastAsia="仿宋" w:cs="仿宋"/>
          <w:b/>
          <w:bCs/>
          <w:color w:val="auto"/>
          <w:sz w:val="4"/>
          <w:szCs w:val="4"/>
          <w:highlight w:val="none"/>
          <w:lang w:val="zh-CN"/>
        </w:rPr>
      </w:pPr>
    </w:p>
    <w:p>
      <w:pPr>
        <w:pStyle w:val="13"/>
        <w:rPr>
          <w:rFonts w:hint="eastAsia" w:ascii="仿宋" w:hAnsi="仿宋" w:eastAsia="仿宋" w:cs="仿宋"/>
          <w:b/>
          <w:bCs/>
          <w:color w:val="auto"/>
          <w:sz w:val="11"/>
          <w:szCs w:val="11"/>
          <w:highlight w:val="none"/>
          <w:lang w:val="zh-CN"/>
        </w:rPr>
      </w:pPr>
    </w:p>
    <w:p>
      <w:pPr>
        <w:pStyle w:val="13"/>
        <w:rPr>
          <w:rFonts w:hint="eastAsia" w:ascii="仿宋" w:hAnsi="仿宋" w:eastAsia="仿宋" w:cs="仿宋"/>
          <w:b/>
          <w:bCs/>
          <w:color w:val="auto"/>
          <w:sz w:val="4"/>
          <w:szCs w:val="4"/>
          <w:highlight w:val="none"/>
          <w:lang w:val="zh-CN"/>
        </w:rPr>
      </w:pPr>
    </w:p>
    <w:p>
      <w:pPr>
        <w:pStyle w:val="13"/>
        <w:rPr>
          <w:rFonts w:hint="eastAsia" w:ascii="仿宋" w:hAnsi="仿宋" w:eastAsia="仿宋" w:cs="仿宋"/>
          <w:b/>
          <w:bCs/>
          <w:color w:val="auto"/>
          <w:sz w:val="6"/>
          <w:szCs w:val="6"/>
          <w:highlight w:val="none"/>
          <w:lang w:val="zh-CN"/>
        </w:rPr>
      </w:pPr>
    </w:p>
    <w:p>
      <w:pPr>
        <w:tabs>
          <w:tab w:val="left" w:pos="5670"/>
        </w:tabs>
        <w:autoSpaceDE w:val="0"/>
        <w:autoSpaceDN w:val="0"/>
        <w:adjustRightInd w:val="0"/>
        <w:snapToGrid w:val="0"/>
        <w:jc w:val="center"/>
        <w:rPr>
          <w:rFonts w:hint="eastAsia" w:ascii="仿宋" w:hAnsi="仿宋" w:eastAsia="仿宋" w:cs="仿宋"/>
          <w:b/>
          <w:bCs/>
          <w:color w:val="auto"/>
          <w:sz w:val="72"/>
          <w:szCs w:val="72"/>
          <w:highlight w:val="none"/>
          <w:lang w:val="zh-CN"/>
        </w:rPr>
      </w:pPr>
      <w:r>
        <w:rPr>
          <w:rFonts w:hint="eastAsia" w:ascii="仿宋" w:hAnsi="仿宋" w:eastAsia="仿宋" w:cs="仿宋"/>
          <w:b/>
          <w:bCs/>
          <w:color w:val="auto"/>
          <w:sz w:val="72"/>
          <w:szCs w:val="72"/>
          <w:highlight w:val="none"/>
          <w:lang w:val="zh-CN"/>
        </w:rPr>
        <w:t>竞争性磋商文件</w:t>
      </w:r>
    </w:p>
    <w:p>
      <w:pPr>
        <w:pStyle w:val="2"/>
        <w:rPr>
          <w:rFonts w:hint="eastAsia"/>
          <w:lang w:val="zh-CN"/>
        </w:rPr>
      </w:pPr>
    </w:p>
    <w:p>
      <w:pPr>
        <w:rPr>
          <w:rFonts w:hint="eastAsia"/>
          <w:lang w:val="zh-CN"/>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32"/>
          <w:lang w:eastAsia="zh-CN"/>
        </w:rPr>
      </w:pPr>
      <w:r>
        <w:rPr>
          <w:rFonts w:hint="eastAsia" w:ascii="宋体" w:hAnsi="宋体" w:eastAsia="宋体" w:cs="宋体"/>
          <w:color w:val="auto"/>
          <w:sz w:val="32"/>
          <w:lang w:eastAsia="zh-CN"/>
        </w:rPr>
        <w:drawing>
          <wp:inline distT="0" distB="0" distL="114300" distR="114300">
            <wp:extent cx="1678305" cy="1723390"/>
            <wp:effectExtent l="0" t="0" r="17145" b="10160"/>
            <wp:docPr id="4" name="图片 4" descr="泾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泾清logo"/>
                    <pic:cNvPicPr>
                      <a:picLocks noChangeAspect="1"/>
                    </pic:cNvPicPr>
                  </pic:nvPicPr>
                  <pic:blipFill>
                    <a:blip r:embed="rId12"/>
                    <a:stretch>
                      <a:fillRect/>
                    </a:stretch>
                  </pic:blipFill>
                  <pic:spPr>
                    <a:xfrm>
                      <a:off x="0" y="0"/>
                      <a:ext cx="1678305" cy="1723390"/>
                    </a:xfrm>
                    <a:prstGeom prst="rect">
                      <a:avLst/>
                    </a:prstGeom>
                  </pic:spPr>
                </pic:pic>
              </a:graphicData>
            </a:graphic>
          </wp:inline>
        </w:drawing>
      </w:r>
    </w:p>
    <w:p>
      <w:pPr>
        <w:pStyle w:val="2"/>
        <w:rPr>
          <w:rFonts w:hint="eastAsia" w:ascii="宋体" w:hAnsi="宋体" w:eastAsia="宋体" w:cs="宋体"/>
          <w:color w:val="auto"/>
          <w:sz w:val="32"/>
          <w:lang w:eastAsia="zh-CN"/>
        </w:rPr>
      </w:pPr>
    </w:p>
    <w:p>
      <w:pPr>
        <w:rPr>
          <w:rFonts w:hint="eastAsia" w:ascii="宋体" w:hAnsi="宋体" w:eastAsia="宋体" w:cs="宋体"/>
          <w:color w:val="auto"/>
          <w:sz w:val="32"/>
          <w:lang w:eastAsia="zh-CN"/>
        </w:rPr>
      </w:pPr>
    </w:p>
    <w:p>
      <w:pPr>
        <w:pStyle w:val="2"/>
        <w:rPr>
          <w:rFonts w:hint="eastAsia"/>
        </w:rPr>
      </w:pPr>
    </w:p>
    <w:p>
      <w:pPr>
        <w:pStyle w:val="13"/>
        <w:rPr>
          <w:rFonts w:hint="eastAsia" w:ascii="仿宋" w:hAnsi="仿宋" w:eastAsia="仿宋" w:cs="仿宋"/>
          <w:b/>
          <w:bCs/>
          <w:color w:val="auto"/>
          <w:highlight w:val="none"/>
        </w:rPr>
      </w:pPr>
    </w:p>
    <w:p>
      <w:pPr>
        <w:tabs>
          <w:tab w:val="left" w:pos="5670"/>
          <w:tab w:val="left" w:pos="6432"/>
        </w:tabs>
        <w:autoSpaceDE w:val="0"/>
        <w:autoSpaceDN w:val="0"/>
        <w:adjustRightInd w:val="0"/>
        <w:snapToGrid w:val="0"/>
        <w:spacing w:line="360" w:lineRule="auto"/>
        <w:jc w:val="left"/>
        <w:rPr>
          <w:rFonts w:hint="eastAsia" w:ascii="仿宋" w:hAnsi="仿宋" w:eastAsia="仿宋" w:cs="仿宋"/>
          <w:b/>
          <w:bCs/>
          <w:color w:val="auto"/>
          <w:sz w:val="2"/>
          <w:szCs w:val="2"/>
          <w:highlight w:val="none"/>
        </w:rPr>
      </w:pPr>
      <w:r>
        <w:rPr>
          <w:rFonts w:hint="eastAsia" w:ascii="仿宋" w:hAnsi="仿宋" w:eastAsia="仿宋" w:cs="仿宋"/>
          <w:b/>
          <w:bCs/>
          <w:color w:val="auto"/>
          <w:sz w:val="32"/>
          <w:szCs w:val="32"/>
          <w:highlight w:val="none"/>
        </w:rPr>
        <w:tab/>
      </w: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16"/>
          <w:szCs w:val="16"/>
          <w:highlight w:val="none"/>
        </w:rPr>
      </w:pPr>
    </w:p>
    <w:p>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采</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购</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eastAsia="zh-CN"/>
        </w:rPr>
        <w:t>扶风县中医医院</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（盖章）</w:t>
      </w:r>
    </w:p>
    <w:p>
      <w:pPr>
        <w:rPr>
          <w:rFonts w:hint="eastAsia"/>
        </w:rPr>
      </w:pPr>
    </w:p>
    <w:p>
      <w:pPr>
        <w:pStyle w:val="2"/>
        <w:rPr>
          <w:rFonts w:hint="eastAsia" w:ascii="仿宋" w:hAnsi="仿宋" w:eastAsia="仿宋" w:cs="仿宋"/>
          <w:b/>
          <w:bCs/>
          <w:color w:val="auto"/>
          <w:szCs w:val="28"/>
          <w:highlight w:val="none"/>
        </w:rPr>
      </w:pPr>
    </w:p>
    <w:p>
      <w:pPr>
        <w:rPr>
          <w:rFonts w:hint="eastAsia" w:ascii="仿宋" w:hAnsi="仿宋" w:eastAsia="仿宋" w:cs="仿宋"/>
          <w:color w:val="auto"/>
          <w:highlight w:val="none"/>
          <w:lang w:val="zh-CN"/>
        </w:rPr>
      </w:pPr>
    </w:p>
    <w:p>
      <w:pPr>
        <w:rPr>
          <w:rFonts w:hint="eastAsia" w:ascii="仿宋" w:hAnsi="仿宋" w:eastAsia="仿宋" w:cs="仿宋"/>
          <w:color w:val="auto"/>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采购代理机构：</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zh-CN"/>
        </w:rPr>
        <w:t>泾清项目管理有限公司</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zh-CN"/>
        </w:rPr>
        <w:t>（盖章）</w:t>
      </w:r>
    </w:p>
    <w:p>
      <w:pPr>
        <w:tabs>
          <w:tab w:val="left" w:pos="5460"/>
        </w:tabs>
        <w:autoSpaceDE w:val="0"/>
        <w:autoSpaceDN w:val="0"/>
        <w:adjustRightInd w:val="0"/>
        <w:snapToGrid w:val="0"/>
        <w:spacing w:line="360" w:lineRule="auto"/>
        <w:jc w:val="center"/>
        <w:rPr>
          <w:rFonts w:hint="eastAsia" w:ascii="仿宋" w:hAnsi="仿宋" w:eastAsia="仿宋" w:cs="仿宋"/>
          <w:b/>
          <w:bCs/>
          <w:color w:val="auto"/>
          <w:sz w:val="22"/>
          <w:szCs w:val="22"/>
          <w:highlight w:val="none"/>
          <w:lang w:val="zh-CN"/>
        </w:rPr>
      </w:pPr>
    </w:p>
    <w:p>
      <w:pPr>
        <w:tabs>
          <w:tab w:val="left" w:pos="5460"/>
        </w:tabs>
        <w:autoSpaceDE w:val="0"/>
        <w:autoSpaceDN w:val="0"/>
        <w:adjustRightInd w:val="0"/>
        <w:snapToGrid w:val="0"/>
        <w:spacing w:line="360" w:lineRule="auto"/>
        <w:ind w:firstLine="3654" w:firstLineChars="1300"/>
        <w:rPr>
          <w:rFonts w:hint="eastAsia" w:ascii="仿宋" w:hAnsi="仿宋" w:eastAsia="仿宋" w:cs="仿宋"/>
          <w:b/>
          <w:bCs/>
          <w:color w:val="auto"/>
          <w:sz w:val="28"/>
          <w:szCs w:val="28"/>
          <w:highlight w:val="none"/>
          <w:lang w:val="zh-CN"/>
        </w:rPr>
      </w:pPr>
    </w:p>
    <w:p>
      <w:pPr>
        <w:tabs>
          <w:tab w:val="left" w:pos="5460"/>
        </w:tabs>
        <w:autoSpaceDE w:val="0"/>
        <w:autoSpaceDN w:val="0"/>
        <w:adjustRightInd w:val="0"/>
        <w:snapToGrid w:val="0"/>
        <w:spacing w:line="360" w:lineRule="auto"/>
        <w:ind w:firstLine="3654" w:firstLineChars="13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二〇二二年</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lang w:val="zh-CN"/>
        </w:rPr>
        <w:t>月</w:t>
      </w:r>
    </w:p>
    <w:p>
      <w:pPr>
        <w:spacing w:after="156" w:afterLines="50"/>
        <w:jc w:val="center"/>
        <w:rPr>
          <w:rFonts w:hint="eastAsia" w:ascii="仿宋" w:hAnsi="仿宋" w:eastAsia="仿宋" w:cs="仿宋"/>
          <w:b/>
          <w:bCs/>
          <w:color w:val="auto"/>
          <w:sz w:val="36"/>
          <w:szCs w:val="36"/>
          <w:highlight w:val="none"/>
        </w:rPr>
        <w:sectPr>
          <w:headerReference r:id="rId4" w:type="first"/>
          <w:headerReference r:id="rId3" w:type="default"/>
          <w:footerReference r:id="rId5" w:type="default"/>
          <w:pgSz w:w="11906" w:h="16838"/>
          <w:pgMar w:top="1417" w:right="1365" w:bottom="1417" w:left="1501" w:header="964" w:footer="964" w:gutter="0"/>
          <w:pgNumType w:fmt="decimal"/>
          <w:cols w:space="0" w:num="1"/>
          <w:titlePg/>
          <w:docGrid w:type="lines" w:linePitch="312" w:charSpace="0"/>
        </w:sectPr>
      </w:pPr>
    </w:p>
    <w:p>
      <w:pPr>
        <w:spacing w:after="156" w:afterLines="5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特别提示</w:t>
      </w:r>
    </w:p>
    <w:p>
      <w:pPr>
        <w:spacing w:line="360" w:lineRule="auto"/>
        <w:ind w:left="204" w:hanging="204" w:hanging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供应商，在此我们特别提醒您注意以下事项：</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一、有关磋商响应文件：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1、请您仔细阅读磋商文件并正确理解磋商文件中各项具体要求。如您对磋商文件有疑问，请在磋商文件规定的时间内以书面形式提出，逾期将被拒绝受理。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2、请您严格按照磋商文件载明的磋商响应文件的格式要求编制磋商响应文件，磋商响应文件须胶装成册。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3、请您仔细核对您的磋商响应文件是否已按照磋商文件的要求签字、加盖单位公章，您的实质性条款是否满足磋商文件要求，您的磋商响应文件中所附资格证明等资料是否齐全、有效且是否满足磋商文件要求。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4、请于规定时间内按磋商文件要求递交保证金（保证金必须足额、必须在磋商响应文件递交截止时间前从您基本账户转出且到账，保证金缴纳凭证须附在磋商响应文件中）。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5、请您按照磋商文件要求密封磋商响应文件，并正确标记。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提示：您的磋商响应文件若不满足以上条件将有被否决的风险。</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二、有关磋商：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1、除磋商文件要求递交的文件和资料外，请您随身携带磋商文件要求提供的其他备查文件原件（如有）。</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三、关于弃标的说明：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若您因为一些特殊原因不能参加本次磋商活动，请您务必以书面形式告知我们，以便我们正常开展后期工作，同时也避免再次打扰您，感谢您的配合。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请各供应商仔细阅读上述提示。如需帮助，请您与我们的工作人员联系（杨工：17629000608），我们将非常高兴地为您服务。</w:t>
      </w:r>
    </w:p>
    <w:p>
      <w:pPr>
        <w:spacing w:line="360" w:lineRule="auto"/>
        <w:jc w:val="center"/>
        <w:rPr>
          <w:rFonts w:hint="eastAsia" w:ascii="仿宋" w:hAnsi="仿宋" w:eastAsia="仿宋" w:cs="仿宋"/>
          <w:b/>
          <w:bCs/>
          <w:color w:val="auto"/>
          <w:sz w:val="28"/>
          <w:szCs w:val="28"/>
          <w:highlight w:val="none"/>
        </w:rPr>
        <w:sectPr>
          <w:headerReference r:id="rId7" w:type="first"/>
          <w:footerReference r:id="rId9" w:type="first"/>
          <w:headerReference r:id="rId6" w:type="default"/>
          <w:footerReference r:id="rId8" w:type="default"/>
          <w:pgSz w:w="11906" w:h="16838"/>
          <w:pgMar w:top="1417" w:right="1383" w:bottom="1417" w:left="1383" w:header="907" w:footer="907" w:gutter="0"/>
          <w:pgNumType w:fmt="decimal" w:start="1"/>
          <w:cols w:space="0" w:num="1"/>
          <w:titlePg/>
          <w:docGrid w:type="lines" w:linePitch="312" w:charSpace="0"/>
        </w:sectPr>
      </w:pPr>
    </w:p>
    <w:sdt>
      <w:sdtPr>
        <w:rPr>
          <w:rFonts w:ascii="宋体" w:hAnsi="宋体" w:eastAsia="宋体" w:cs="Times New Roman"/>
          <w:color w:val="auto"/>
          <w:kern w:val="2"/>
          <w:sz w:val="21"/>
          <w:szCs w:val="21"/>
          <w:highlight w:val="none"/>
          <w:lang w:val="en-US" w:eastAsia="zh-CN" w:bidi="ar-SA"/>
        </w:rPr>
        <w:id w:val="147453872"/>
        <w15:color w:val="DBDBDB"/>
      </w:sdtPr>
      <w:sdtEndPr>
        <w:rPr>
          <w:rFonts w:ascii="宋体" w:hAnsi="宋体" w:eastAsia="宋体" w:cs="Times New Roman"/>
          <w:color w:val="auto"/>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录</w:t>
          </w:r>
        </w:p>
        <w:p>
          <w:pPr>
            <w:pStyle w:val="32"/>
            <w:tabs>
              <w:tab w:val="right" w:leader="underscore" w:pos="9138"/>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_Toc17864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竞争性磋商公告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_Toc17864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_Toc11544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_Toc11544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_Toc28926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第三章</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评审方法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_Toc28926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_Toc4027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_Toc4027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_Toc830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第五章 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_Toc830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spacing w:line="72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_Toc29157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竞争性磋商响应文件构成及格式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_Toc29157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32"/>
            <w:tabs>
              <w:tab w:val="right" w:leader="underscore" w:pos="9138"/>
            </w:tabs>
            <w:rPr>
              <w:rFonts w:hint="eastAsia" w:ascii="仿宋" w:hAnsi="仿宋" w:eastAsia="仿宋" w:cs="仿宋"/>
              <w:color w:val="auto"/>
              <w:highlight w:val="none"/>
            </w:rPr>
          </w:pPr>
        </w:p>
        <w:p>
          <w:pPr>
            <w:rPr>
              <w:color w:val="auto"/>
              <w:highlight w:val="none"/>
            </w:rPr>
          </w:pPr>
          <w:r>
            <w:rPr>
              <w:rFonts w:hint="eastAsia" w:ascii="仿宋" w:hAnsi="仿宋" w:eastAsia="仿宋" w:cs="仿宋"/>
              <w:color w:val="auto"/>
              <w:highlight w:val="none"/>
            </w:rPr>
            <w:fldChar w:fldCharType="end"/>
          </w:r>
        </w:p>
      </w:sdtContent>
    </w:sdt>
    <w:p>
      <w:pPr>
        <w:tabs>
          <w:tab w:val="left" w:pos="2199"/>
        </w:tabs>
        <w:rPr>
          <w:rFonts w:hint="eastAsia" w:ascii="仿宋" w:hAnsi="仿宋" w:eastAsia="仿宋" w:cs="仿宋"/>
          <w:color w:val="auto"/>
          <w:highlight w:val="none"/>
        </w:rPr>
      </w:pPr>
      <w:r>
        <w:rPr>
          <w:rFonts w:hint="eastAsia" w:ascii="仿宋" w:hAnsi="仿宋" w:eastAsia="仿宋" w:cs="仿宋"/>
          <w:color w:val="auto"/>
          <w:highlight w:val="none"/>
        </w:rPr>
        <w:tab/>
      </w:r>
    </w:p>
    <w:p>
      <w:pPr>
        <w:rPr>
          <w:rFonts w:hint="eastAsia" w:ascii="仿宋" w:hAnsi="仿宋" w:eastAsia="仿宋" w:cs="仿宋"/>
          <w:color w:val="auto"/>
          <w:sz w:val="36"/>
          <w:szCs w:val="36"/>
          <w:highlight w:val="none"/>
        </w:rPr>
      </w:pPr>
      <w:bookmarkStart w:id="159" w:name="_GoBack"/>
      <w:bookmarkEnd w:id="159"/>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ind w:firstLine="482" w:firstLineChars="150"/>
        <w:jc w:val="center"/>
        <w:outlineLvl w:val="9"/>
        <w:rPr>
          <w:rFonts w:hint="eastAsia" w:ascii="仿宋" w:hAnsi="仿宋" w:eastAsia="仿宋" w:cs="仿宋"/>
          <w:b/>
          <w:bCs/>
          <w:color w:val="auto"/>
          <w:sz w:val="32"/>
          <w:szCs w:val="32"/>
          <w:highlight w:val="none"/>
        </w:rPr>
        <w:sectPr>
          <w:footerReference r:id="rId10" w:type="first"/>
          <w:pgSz w:w="11906" w:h="16838"/>
          <w:pgMar w:top="1417" w:right="1385" w:bottom="1417" w:left="1383" w:header="907" w:footer="907" w:gutter="0"/>
          <w:pgNumType w:fmt="decimal"/>
          <w:cols w:space="0" w:num="1"/>
          <w:docGrid w:type="lines" w:linePitch="312" w:charSpace="0"/>
        </w:sectPr>
      </w:pPr>
      <w:bookmarkStart w:id="0" w:name="_Toc452384741"/>
    </w:p>
    <w:bookmarkEnd w:id="0"/>
    <w:p>
      <w:pPr>
        <w:pStyle w:val="6"/>
        <w:keepNext w:val="0"/>
        <w:pageBreakBefore/>
        <w:numPr>
          <w:ilvl w:val="0"/>
          <w:numId w:val="1"/>
        </w:numPr>
        <w:spacing w:before="156" w:beforeLines="50" w:after="156" w:afterLines="50"/>
        <w:jc w:val="center"/>
        <w:outlineLvl w:val="0"/>
        <w:rPr>
          <w:rFonts w:hint="eastAsia" w:ascii="仿宋" w:hAnsi="仿宋" w:eastAsia="仿宋" w:cs="仿宋"/>
          <w:color w:val="auto"/>
          <w:highlight w:val="none"/>
        </w:rPr>
      </w:pPr>
      <w:bookmarkStart w:id="1" w:name="_Toc30112"/>
      <w:r>
        <w:rPr>
          <w:rFonts w:hint="eastAsia" w:ascii="仿宋" w:hAnsi="仿宋" w:eastAsia="仿宋" w:cs="仿宋"/>
          <w:color w:val="auto"/>
          <w:highlight w:val="none"/>
        </w:rPr>
        <w:t xml:space="preserve"> </w:t>
      </w:r>
      <w:bookmarkStart w:id="2" w:name="_Toc31492"/>
      <w:bookmarkStart w:id="3" w:name="_Toc17864"/>
      <w:r>
        <w:rPr>
          <w:rFonts w:hint="eastAsia" w:ascii="仿宋" w:hAnsi="仿宋" w:eastAsia="仿宋" w:cs="仿宋"/>
          <w:color w:val="auto"/>
          <w:highlight w:val="none"/>
        </w:rPr>
        <w:t>竞争性磋商公告</w:t>
      </w:r>
      <w:bookmarkEnd w:id="1"/>
      <w:bookmarkEnd w:id="2"/>
      <w:bookmarkEnd w:id="3"/>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项目概况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1.5T核磁共振维修保养采购项目（二次）</w:t>
      </w:r>
      <w:r>
        <w:rPr>
          <w:rFonts w:hint="eastAsia" w:ascii="仿宋" w:hAnsi="仿宋" w:eastAsia="仿宋" w:cs="仿宋"/>
          <w:i w:val="0"/>
          <w:iCs w:val="0"/>
          <w:caps w:val="0"/>
          <w:color w:val="auto"/>
          <w:spacing w:val="0"/>
          <w:sz w:val="24"/>
          <w:szCs w:val="24"/>
        </w:rPr>
        <w:t>采购项目的潜在供应商应在宝鸡市金台大道华煤小区1幢1单元3005室获取采购文件，并</w:t>
      </w:r>
      <w:r>
        <w:rPr>
          <w:rFonts w:hint="eastAsia" w:ascii="仿宋" w:hAnsi="仿宋" w:eastAsia="仿宋" w:cs="仿宋"/>
          <w:i w:val="0"/>
          <w:iCs w:val="0"/>
          <w:caps w:val="0"/>
          <w:color w:val="auto"/>
          <w:spacing w:val="0"/>
          <w:sz w:val="24"/>
          <w:szCs w:val="24"/>
          <w:highlight w:val="none"/>
        </w:rPr>
        <w:t>于2022年</w:t>
      </w:r>
      <w:r>
        <w:rPr>
          <w:rFonts w:hint="eastAsia" w:ascii="仿宋" w:hAnsi="仿宋" w:eastAsia="仿宋" w:cs="仿宋"/>
          <w:i w:val="0"/>
          <w:iCs w:val="0"/>
          <w:caps w:val="0"/>
          <w:color w:val="auto"/>
          <w:spacing w:val="0"/>
          <w:sz w:val="24"/>
          <w:szCs w:val="24"/>
          <w:highlight w:val="none"/>
          <w:lang w:val="en-US" w:eastAsia="zh-CN"/>
        </w:rPr>
        <w:t>04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 09</w:t>
      </w:r>
      <w:r>
        <w:rPr>
          <w:rFonts w:hint="eastAsia" w:ascii="仿宋" w:hAnsi="仿宋" w:eastAsia="仿宋" w:cs="仿宋"/>
          <w:i w:val="0"/>
          <w:iCs w:val="0"/>
          <w:caps w:val="0"/>
          <w:color w:val="auto"/>
          <w:spacing w:val="0"/>
          <w:sz w:val="24"/>
          <w:szCs w:val="24"/>
        </w:rPr>
        <w:t>时00分（北京时间）前提交响应文件。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项目编号：</w:t>
      </w:r>
      <w:r>
        <w:rPr>
          <w:rFonts w:hint="eastAsia" w:ascii="仿宋" w:hAnsi="仿宋" w:eastAsia="仿宋" w:cs="仿宋"/>
          <w:i w:val="0"/>
          <w:iCs w:val="0"/>
          <w:caps w:val="0"/>
          <w:color w:val="auto"/>
          <w:spacing w:val="0"/>
          <w:sz w:val="24"/>
          <w:szCs w:val="24"/>
          <w:lang w:eastAsia="zh-CN"/>
        </w:rPr>
        <w:t>JQJW-2022-0330.1B1</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项目名称：</w:t>
      </w:r>
      <w:r>
        <w:rPr>
          <w:rFonts w:hint="eastAsia" w:ascii="仿宋" w:hAnsi="仿宋" w:eastAsia="仿宋" w:cs="仿宋"/>
          <w:i w:val="0"/>
          <w:iCs w:val="0"/>
          <w:caps w:val="0"/>
          <w:color w:val="auto"/>
          <w:spacing w:val="0"/>
          <w:sz w:val="24"/>
          <w:szCs w:val="24"/>
          <w:lang w:eastAsia="zh-CN"/>
        </w:rPr>
        <w:t>1.5T核磁共振维修保养采购项目（二次）</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预算金额：1,050,000.00元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left"/>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 xml:space="preserve">  </w:t>
      </w:r>
      <w:r>
        <w:rPr>
          <w:rFonts w:hint="eastAsia" w:ascii="仿宋" w:hAnsi="仿宋" w:eastAsia="仿宋" w:cs="仿宋"/>
          <w:i w:val="0"/>
          <w:iCs w:val="0"/>
          <w:caps w:val="0"/>
          <w:color w:val="auto"/>
          <w:spacing w:val="0"/>
          <w:sz w:val="24"/>
          <w:szCs w:val="24"/>
          <w:shd w:val="clear" w:fill="FFFFFF"/>
          <w:lang w:eastAsia="zh-CN"/>
        </w:rPr>
        <w:t>1.5T核磁共振维修保养采购项目（二次）</w:t>
      </w:r>
      <w:r>
        <w:rPr>
          <w:rFonts w:hint="eastAsia" w:ascii="仿宋" w:hAnsi="仿宋" w:eastAsia="仿宋" w:cs="仿宋"/>
          <w:i w:val="0"/>
          <w:iCs w:val="0"/>
          <w:caps w:val="0"/>
          <w:color w:val="auto"/>
          <w:spacing w:val="0"/>
          <w:sz w:val="24"/>
          <w:szCs w:val="24"/>
          <w:shd w:val="clear" w:fill="FFFFFF"/>
        </w:rPr>
        <w:t>，1项，采购预算：1,050,000.00元，项目概况：核磁共振设备全套及相关辅助设备维修保养，简要技术要求、用途：用于已购设备的维修保养等。</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left"/>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  本项目是否接受联合体投标：否</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rPr>
        <w:t>1.满足《中华人民共和国政府釆购法》第二十二条规定</w:t>
      </w:r>
      <w:r>
        <w:rPr>
          <w:rFonts w:hint="eastAsia" w:ascii="仿宋" w:hAnsi="仿宋" w:eastAsia="仿宋" w:cs="仿宋"/>
          <w:i w:val="0"/>
          <w:iCs w:val="0"/>
          <w:caps w:val="0"/>
          <w:color w:val="auto"/>
          <w:spacing w:val="0"/>
          <w:sz w:val="24"/>
          <w:szCs w:val="24"/>
          <w:lang w:eastAsia="zh-CN"/>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合同包1(</w:t>
      </w:r>
      <w:r>
        <w:rPr>
          <w:rFonts w:hint="eastAsia" w:ascii="仿宋" w:hAnsi="仿宋" w:eastAsia="仿宋" w:cs="仿宋"/>
          <w:i w:val="0"/>
          <w:iCs w:val="0"/>
          <w:caps w:val="0"/>
          <w:color w:val="auto"/>
          <w:spacing w:val="0"/>
          <w:sz w:val="24"/>
          <w:szCs w:val="24"/>
          <w:lang w:eastAsia="zh-CN"/>
        </w:rPr>
        <w:t>1.5T核磁共振维修保养采购项目（二次）</w:t>
      </w:r>
      <w:r>
        <w:rPr>
          <w:rFonts w:hint="eastAsia" w:ascii="仿宋" w:hAnsi="仿宋" w:eastAsia="仿宋" w:cs="仿宋"/>
          <w:i w:val="0"/>
          <w:iCs w:val="0"/>
          <w:caps w:val="0"/>
          <w:color w:val="auto"/>
          <w:spacing w:val="0"/>
          <w:sz w:val="24"/>
          <w:szCs w:val="24"/>
        </w:rPr>
        <w:t>)落实政府采购政策需满足的资格要求如下: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依据《中华人民共和国政府采购法》和《中华人民共和国政府采购法实施条例》的有关规定，落实政府采购政策，详见磋商文件。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合同包1(</w:t>
      </w:r>
      <w:r>
        <w:rPr>
          <w:rFonts w:hint="eastAsia" w:ascii="仿宋" w:hAnsi="仿宋" w:eastAsia="仿宋" w:cs="仿宋"/>
          <w:i w:val="0"/>
          <w:iCs w:val="0"/>
          <w:caps w:val="0"/>
          <w:color w:val="auto"/>
          <w:spacing w:val="0"/>
          <w:sz w:val="24"/>
          <w:szCs w:val="24"/>
          <w:lang w:eastAsia="zh-CN"/>
        </w:rPr>
        <w:t>1.5T核磁共振维修保养采购项目（二次）</w:t>
      </w:r>
      <w:r>
        <w:rPr>
          <w:rFonts w:hint="eastAsia" w:ascii="仿宋" w:hAnsi="仿宋" w:eastAsia="仿宋" w:cs="仿宋"/>
          <w:i w:val="0"/>
          <w:iCs w:val="0"/>
          <w:caps w:val="0"/>
          <w:color w:val="auto"/>
          <w:spacing w:val="0"/>
          <w:sz w:val="24"/>
          <w:szCs w:val="24"/>
        </w:rPr>
        <w:t>)特定资格要求如下: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1）、供应商须具有合法注册的法人或其他组织，有效的统一社会信用代码的营业执照；</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2）、供应商须提供具有履行本合同所必需的设备和专业技术能力的声明；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3）、拟派项目负责人须具备相关专业执业证书或中级及以上技术职称，有本单位在职证明（提供近6个月的养老保险）；</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4）、供应商应授权合法的人员参加磋商全过程，其中法定代表人直接参加磋商的，须出具法人身份证，并与营业执照上信息一致（提供近6个月的养老保险）；法定代表人授权代表参加磋商的，须出具法定代表人授权书及授权代表身份证；授权代表必须为本单位在职人员（提供近6个月的养老保险）；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rPr>
        <w:t>5)、供应商须提</w:t>
      </w:r>
      <w:r>
        <w:rPr>
          <w:rFonts w:hint="eastAsia" w:ascii="仿宋" w:hAnsi="仿宋" w:eastAsia="仿宋" w:cs="仿宋"/>
          <w:i w:val="0"/>
          <w:iCs w:val="0"/>
          <w:caps w:val="0"/>
          <w:color w:val="auto"/>
          <w:spacing w:val="0"/>
          <w:sz w:val="24"/>
          <w:szCs w:val="24"/>
          <w:highlight w:val="none"/>
        </w:rPr>
        <w:t>供2021年0</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月至今已缴存的至少任意连续6个月的社会保险参保缴费情况证明，依法不需要缴纳社会保障资金的单位应提供相关证明材料；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6)、供应商须提供2020年财务审计报告(至少包括资产负债表和利润表，成立时间至提交磋商响应文件截止时间不足一年的可提供成立后任意时段的资产负债表)或者银行资信证明；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highlight w:val="none"/>
        </w:rPr>
        <w:t>7)、供应商须提供2021年0</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月至今</w:t>
      </w:r>
      <w:r>
        <w:rPr>
          <w:rFonts w:hint="eastAsia" w:ascii="仿宋" w:hAnsi="仿宋" w:eastAsia="仿宋" w:cs="仿宋"/>
          <w:i w:val="0"/>
          <w:iCs w:val="0"/>
          <w:caps w:val="0"/>
          <w:color w:val="auto"/>
          <w:spacing w:val="0"/>
          <w:sz w:val="24"/>
          <w:szCs w:val="24"/>
        </w:rPr>
        <w:t>已缴纳的至少任意连续6个月的纳税证明或完税证明，依法免税的单位应提供相关证明材料；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8)、供应商不得为“信用中国”网站中列入失信被执行人和重大税收违法案件当事人名单的供应商；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9)、供应商不得为“中国政府采购网(www.ccgp.gov.cn）”政府采购严重违法失信行为记录名单中被财政部门禁止参加政府采购活动的供应商；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10)、供应商及法定代表人近三年不得有行贿犯罪记录(通过“中国裁判文书网”查询)否则将被取消投标资格；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11)、单位负责人为同一人或者存在直接控股、管理关系的不同供应商，不得参加同一合同项下的招标活动(通过“国家企业信用信息公示平台”查询)；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12)、参加政府采购活动前三年内，在经营活动中没有重大违法记录的书面声明。</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三、获取采购文件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时间：</w:t>
      </w:r>
      <w:r>
        <w:rPr>
          <w:rFonts w:hint="eastAsia" w:ascii="仿宋" w:hAnsi="仿宋" w:eastAsia="仿宋" w:cs="仿宋"/>
          <w:i w:val="0"/>
          <w:iCs w:val="0"/>
          <w:caps w:val="0"/>
          <w:color w:val="auto"/>
          <w:spacing w:val="0"/>
          <w:sz w:val="24"/>
          <w:szCs w:val="24"/>
          <w:highlight w:val="none"/>
        </w:rPr>
        <w:t>2022年</w:t>
      </w:r>
      <w:r>
        <w:rPr>
          <w:rFonts w:hint="eastAsia" w:ascii="仿宋" w:hAnsi="仿宋" w:eastAsia="仿宋" w:cs="仿宋"/>
          <w:i w:val="0"/>
          <w:iCs w:val="0"/>
          <w:caps w:val="0"/>
          <w:color w:val="auto"/>
          <w:spacing w:val="0"/>
          <w:sz w:val="24"/>
          <w:szCs w:val="24"/>
          <w:highlight w:val="none"/>
          <w:lang w:val="en-US" w:eastAsia="zh-CN"/>
        </w:rPr>
        <w:t>04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日至2022年</w:t>
      </w:r>
      <w:r>
        <w:rPr>
          <w:rFonts w:hint="eastAsia" w:ascii="仿宋" w:hAnsi="仿宋" w:eastAsia="仿宋" w:cs="仿宋"/>
          <w:i w:val="0"/>
          <w:iCs w:val="0"/>
          <w:caps w:val="0"/>
          <w:color w:val="auto"/>
          <w:spacing w:val="0"/>
          <w:sz w:val="24"/>
          <w:szCs w:val="24"/>
          <w:highlight w:val="none"/>
          <w:lang w:val="en-US" w:eastAsia="zh-CN"/>
        </w:rPr>
        <w:t>04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20</w:t>
      </w:r>
      <w:r>
        <w:rPr>
          <w:rFonts w:hint="eastAsia" w:ascii="仿宋" w:hAnsi="仿宋" w:eastAsia="仿宋" w:cs="仿宋"/>
          <w:i w:val="0"/>
          <w:iCs w:val="0"/>
          <w:caps w:val="0"/>
          <w:color w:val="auto"/>
          <w:spacing w:val="0"/>
          <w:sz w:val="24"/>
          <w:szCs w:val="24"/>
          <w:highlight w:val="none"/>
        </w:rPr>
        <w:t>日，每</w:t>
      </w:r>
      <w:r>
        <w:rPr>
          <w:rFonts w:hint="eastAsia" w:ascii="仿宋" w:hAnsi="仿宋" w:eastAsia="仿宋" w:cs="仿宋"/>
          <w:i w:val="0"/>
          <w:iCs w:val="0"/>
          <w:caps w:val="0"/>
          <w:color w:val="auto"/>
          <w:spacing w:val="0"/>
          <w:sz w:val="24"/>
          <w:szCs w:val="24"/>
        </w:rPr>
        <w:t>天上午09:00:00至12:00:00，下午14:00:00至17:00:00（北京时间,法定节假日除外）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地点：宝鸡市金台大道华煤小区1幢1单元3005室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方式：现场获取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售价：500元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四、响应文件提交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rPr>
        <w:t>截止时</w:t>
      </w:r>
      <w:r>
        <w:rPr>
          <w:rFonts w:hint="eastAsia" w:ascii="仿宋" w:hAnsi="仿宋" w:eastAsia="仿宋" w:cs="仿宋"/>
          <w:i w:val="0"/>
          <w:iCs w:val="0"/>
          <w:caps w:val="0"/>
          <w:color w:val="auto"/>
          <w:spacing w:val="0"/>
          <w:sz w:val="24"/>
          <w:szCs w:val="24"/>
          <w:highlight w:val="none"/>
        </w:rPr>
        <w:t>间：2022年</w:t>
      </w:r>
      <w:r>
        <w:rPr>
          <w:rFonts w:hint="eastAsia" w:ascii="仿宋" w:hAnsi="仿宋" w:eastAsia="仿宋" w:cs="仿宋"/>
          <w:i w:val="0"/>
          <w:iCs w:val="0"/>
          <w:caps w:val="0"/>
          <w:color w:val="auto"/>
          <w:spacing w:val="0"/>
          <w:sz w:val="24"/>
          <w:szCs w:val="24"/>
          <w:highlight w:val="none"/>
          <w:lang w:val="en-US" w:eastAsia="zh-CN"/>
        </w:rPr>
        <w:t>04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日09时00分00秒（北京时间）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地点：宝鸡市公共资源交易中心五楼第</w:t>
      </w:r>
      <w:r>
        <w:rPr>
          <w:rFonts w:hint="eastAsia" w:ascii="仿宋" w:hAnsi="仿宋" w:eastAsia="仿宋" w:cs="仿宋"/>
          <w:i w:val="0"/>
          <w:iCs w:val="0"/>
          <w:caps w:val="0"/>
          <w:color w:val="auto"/>
          <w:spacing w:val="0"/>
          <w:sz w:val="24"/>
          <w:szCs w:val="24"/>
          <w:highlight w:val="none"/>
          <w:lang w:val="en-US" w:eastAsia="zh-CN"/>
        </w:rPr>
        <w:t>7</w:t>
      </w:r>
      <w:r>
        <w:rPr>
          <w:rFonts w:hint="eastAsia" w:ascii="仿宋" w:hAnsi="仿宋" w:eastAsia="仿宋" w:cs="仿宋"/>
          <w:i w:val="0"/>
          <w:iCs w:val="0"/>
          <w:caps w:val="0"/>
          <w:color w:val="auto"/>
          <w:spacing w:val="0"/>
          <w:sz w:val="24"/>
          <w:szCs w:val="24"/>
          <w:highlight w:val="none"/>
        </w:rPr>
        <w:t>开标室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22"/>
          <w:rFonts w:hint="eastAsia" w:ascii="仿宋" w:hAnsi="仿宋" w:eastAsia="仿宋" w:cs="仿宋"/>
          <w:b/>
          <w:bCs/>
          <w:i w:val="0"/>
          <w:iCs w:val="0"/>
          <w:caps w:val="0"/>
          <w:color w:val="auto"/>
          <w:spacing w:val="0"/>
          <w:sz w:val="24"/>
          <w:szCs w:val="24"/>
          <w:highlight w:val="none"/>
        </w:rPr>
        <w:t>五、开启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时间：2022年</w:t>
      </w:r>
      <w:r>
        <w:rPr>
          <w:rFonts w:hint="eastAsia" w:ascii="仿宋" w:hAnsi="仿宋" w:eastAsia="仿宋" w:cs="仿宋"/>
          <w:i w:val="0"/>
          <w:iCs w:val="0"/>
          <w:caps w:val="0"/>
          <w:color w:val="auto"/>
          <w:spacing w:val="0"/>
          <w:sz w:val="24"/>
          <w:szCs w:val="24"/>
          <w:highlight w:val="none"/>
          <w:lang w:val="en-US" w:eastAsia="zh-CN"/>
        </w:rPr>
        <w:t>04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日09时00分00秒（北京时间）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地点：宝鸡市公共资源交易中心五楼第</w:t>
      </w:r>
      <w:r>
        <w:rPr>
          <w:rFonts w:hint="eastAsia" w:ascii="仿宋" w:hAnsi="仿宋" w:eastAsia="仿宋" w:cs="仿宋"/>
          <w:i w:val="0"/>
          <w:iCs w:val="0"/>
          <w:caps w:val="0"/>
          <w:color w:val="auto"/>
          <w:spacing w:val="0"/>
          <w:sz w:val="24"/>
          <w:szCs w:val="24"/>
          <w:highlight w:val="none"/>
          <w:lang w:val="en-US" w:eastAsia="zh-CN"/>
        </w:rPr>
        <w:t>7</w:t>
      </w:r>
      <w:r>
        <w:rPr>
          <w:rFonts w:hint="eastAsia" w:ascii="仿宋" w:hAnsi="仿宋" w:eastAsia="仿宋" w:cs="仿宋"/>
          <w:i w:val="0"/>
          <w:iCs w:val="0"/>
          <w:caps w:val="0"/>
          <w:color w:val="auto"/>
          <w:spacing w:val="0"/>
          <w:sz w:val="24"/>
          <w:szCs w:val="24"/>
          <w:highlight w:val="none"/>
        </w:rPr>
        <w:t>开标室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六、公告期限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自本公告发布之日起3个工作日。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七、其他补充事宜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Style w:val="22"/>
          <w:rFonts w:hint="eastAsia" w:ascii="仿宋" w:hAnsi="仿宋" w:eastAsia="仿宋" w:cs="仿宋"/>
          <w:b/>
          <w:bCs/>
          <w:i w:val="0"/>
          <w:iCs w:val="0"/>
          <w:caps w:val="0"/>
          <w:color w:val="auto"/>
          <w:spacing w:val="0"/>
          <w:sz w:val="24"/>
          <w:szCs w:val="24"/>
          <w:shd w:val="clear" w:fill="FFFFFF"/>
        </w:rPr>
        <w:t>1.领取文件时须提供单位介绍信原件、本人身份证原件及加盖公章的复印件。2.领取时间：每日9:00～12:00，14:00～17:00（北京时间，法定节假日、周末除外）。3.提示：请供应商按照陕西省财政厅关于政府采购供应商注册登记有关事项的通知中的要求，通过陕西省政府采购网（http://www.ccgp-shaanxi.gov.cn/）注册登记加入陕西省政府采购供应商库。4、到场人员需提供48小时内核酸检验报告，并配戴口罩，做好防护措施，未佩戴口罩者恕不接待。</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rPr>
        <w:t>八、凡对本次采购提出询问，请按以下方式联系。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1.釆购人信息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名称：扶风县中医医院</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地址：宝鸡市扶风县城老区美阳路1号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联系方式：13892466065</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2.釆购代理机构信息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名称：泾清项目管理有限公司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地址：宝鸡市金台大道华煤小区1幢1单元3005室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联系方式：17629000608</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项目联系人：杨工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电话：17629000608</w:t>
      </w:r>
    </w:p>
    <w:p>
      <w:pPr>
        <w:pStyle w:val="50"/>
        <w:keepNext w:val="0"/>
        <w:keepLines w:val="0"/>
        <w:widowControl/>
        <w:suppressLineNumbers w:val="0"/>
        <w:spacing w:before="0" w:beforeAutospacing="0" w:after="0" w:afterAutospacing="0" w:line="360" w:lineRule="auto"/>
        <w:ind w:left="0" w:right="0"/>
        <w:rPr>
          <w:rFonts w:hint="eastAsia" w:ascii="仿宋" w:hAnsi="仿宋" w:eastAsia="仿宋" w:cs="仿宋"/>
          <w:color w:val="auto"/>
          <w:sz w:val="24"/>
          <w:szCs w:val="24"/>
        </w:rPr>
      </w:pPr>
    </w:p>
    <w:p>
      <w:pPr>
        <w:pStyle w:val="6"/>
        <w:keepNext w:val="0"/>
        <w:pageBreakBefore/>
        <w:spacing w:line="240" w:lineRule="auto"/>
        <w:jc w:val="center"/>
        <w:outlineLvl w:val="0"/>
        <w:rPr>
          <w:rFonts w:hint="eastAsia" w:ascii="仿宋" w:hAnsi="仿宋" w:eastAsia="仿宋" w:cs="仿宋"/>
          <w:color w:val="auto"/>
          <w:highlight w:val="none"/>
        </w:rPr>
      </w:pPr>
      <w:bookmarkStart w:id="4" w:name="_Toc421778363"/>
      <w:bookmarkStart w:id="5" w:name="_Toc15168"/>
      <w:bookmarkStart w:id="6" w:name="_Toc28170"/>
      <w:bookmarkStart w:id="7" w:name="_Toc11544"/>
      <w:r>
        <w:rPr>
          <w:rFonts w:hint="eastAsia" w:ascii="仿宋" w:hAnsi="仿宋" w:eastAsia="仿宋" w:cs="仿宋"/>
          <w:color w:val="auto"/>
          <w:highlight w:val="none"/>
        </w:rPr>
        <w:t>第二章</w:t>
      </w:r>
      <w:bookmarkEnd w:id="4"/>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供应商须知</w:t>
      </w:r>
      <w:bookmarkEnd w:id="5"/>
      <w:bookmarkEnd w:id="6"/>
      <w:bookmarkEnd w:id="7"/>
    </w:p>
    <w:p>
      <w:pPr>
        <w:jc w:val="center"/>
        <w:outlineLvl w:val="1"/>
        <w:rPr>
          <w:rFonts w:hint="eastAsia" w:ascii="仿宋" w:hAnsi="仿宋" w:eastAsia="仿宋" w:cs="仿宋"/>
          <w:b/>
          <w:bCs/>
          <w:color w:val="auto"/>
          <w:sz w:val="28"/>
          <w:szCs w:val="28"/>
          <w:highlight w:val="none"/>
        </w:rPr>
      </w:pPr>
      <w:bookmarkStart w:id="8" w:name="_Toc25670"/>
      <w:bookmarkStart w:id="9" w:name="_Toc421778364"/>
      <w:bookmarkStart w:id="10" w:name="_Toc420591642"/>
      <w:r>
        <w:rPr>
          <w:rFonts w:hint="eastAsia" w:ascii="仿宋" w:hAnsi="仿宋" w:eastAsia="仿宋" w:cs="仿宋"/>
          <w:b/>
          <w:bCs/>
          <w:color w:val="auto"/>
          <w:sz w:val="28"/>
          <w:szCs w:val="28"/>
          <w:highlight w:val="none"/>
        </w:rPr>
        <w:t>供应商须知前附表</w:t>
      </w:r>
      <w:bookmarkEnd w:id="8"/>
      <w:bookmarkEnd w:id="9"/>
      <w:bookmarkEnd w:id="10"/>
    </w:p>
    <w:tbl>
      <w:tblPr>
        <w:tblStyle w:val="1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055"/>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vAlign w:val="center"/>
          </w:tcPr>
          <w:p>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2055" w:type="dxa"/>
            <w:vAlign w:val="center"/>
          </w:tcPr>
          <w:p>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5958" w:type="dxa"/>
            <w:vAlign w:val="center"/>
          </w:tcPr>
          <w:p>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5958" w:type="dxa"/>
            <w:vAlign w:val="center"/>
          </w:tcPr>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采购人：扶风县中医医院</w:t>
            </w:r>
          </w:p>
          <w:p>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lang w:val="en-US" w:eastAsia="zh-CN"/>
              </w:rPr>
              <w:t>宝鸡市扶风县城老区美阳路1号</w:t>
            </w:r>
          </w:p>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联系人：王先生</w:t>
            </w:r>
          </w:p>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  话：13892466065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5958" w:type="dxa"/>
            <w:vAlign w:val="center"/>
          </w:tcPr>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称：泾清项目管理有限公司</w:t>
            </w:r>
          </w:p>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址：宝鸡市金台大道华煤小区1幢1单元3005室</w:t>
            </w:r>
          </w:p>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杨</w:t>
            </w:r>
            <w:r>
              <w:rPr>
                <w:rFonts w:hint="eastAsia" w:ascii="仿宋" w:hAnsi="仿宋" w:eastAsia="仿宋" w:cs="仿宋"/>
                <w:color w:val="auto"/>
                <w:sz w:val="24"/>
                <w:szCs w:val="24"/>
                <w:highlight w:val="none"/>
                <w:lang w:eastAsia="zh-CN"/>
              </w:rPr>
              <w:t xml:space="preserve"> 工</w:t>
            </w:r>
          </w:p>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  话：17629000608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Style w:val="33"/>
                <w:rFonts w:hint="eastAsia" w:ascii="仿宋" w:hAnsi="仿宋" w:eastAsia="仿宋" w:cs="仿宋"/>
                <w:b w:val="0"/>
                <w:bCs w:val="0"/>
                <w:i w:val="0"/>
                <w:caps w:val="0"/>
                <w:color w:val="auto"/>
                <w:spacing w:val="0"/>
                <w:w w:val="100"/>
                <w:kern w:val="2"/>
                <w:sz w:val="24"/>
                <w:szCs w:val="24"/>
                <w:highlight w:val="none"/>
                <w:lang w:val="en-US" w:eastAsia="zh-CN" w:bidi="ar-SA"/>
              </w:rPr>
              <w:t>项目所在地区</w:t>
            </w:r>
          </w:p>
        </w:tc>
        <w:tc>
          <w:tcPr>
            <w:tcW w:w="5958" w:type="dxa"/>
            <w:vAlign w:val="center"/>
          </w:tcPr>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陕西省,宝鸡市,扶风县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2055" w:type="dxa"/>
            <w:vAlign w:val="center"/>
          </w:tcPr>
          <w:p>
            <w:pPr>
              <w:spacing w:line="24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磋商范围</w:t>
            </w:r>
          </w:p>
        </w:tc>
        <w:tc>
          <w:tcPr>
            <w:tcW w:w="5958" w:type="dxa"/>
            <w:vAlign w:val="center"/>
          </w:tcPr>
          <w:p>
            <w:pPr>
              <w:spacing w:line="240" w:lineRule="auto"/>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rPr>
              <w:t>核磁共振设备全套及相关辅助设备维修保养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2055" w:type="dxa"/>
            <w:vAlign w:val="center"/>
          </w:tcPr>
          <w:p>
            <w:pPr>
              <w:spacing w:line="240" w:lineRule="auto"/>
              <w:jc w:val="center"/>
              <w:rPr>
                <w:rFonts w:hint="eastAsia" w:ascii="仿宋" w:hAnsi="仿宋" w:eastAsia="仿宋" w:cs="仿宋"/>
                <w:color w:val="auto"/>
                <w:sz w:val="24"/>
                <w:szCs w:val="24"/>
                <w:highlight w:val="yellow"/>
                <w:lang w:eastAsia="zh-CN"/>
              </w:rPr>
            </w:pPr>
            <w:r>
              <w:rPr>
                <w:rFonts w:hint="eastAsia" w:ascii="仿宋" w:hAnsi="仿宋" w:eastAsia="仿宋" w:cs="仿宋"/>
                <w:color w:val="auto"/>
                <w:kern w:val="0"/>
                <w:sz w:val="24"/>
                <w:szCs w:val="24"/>
                <w:highlight w:val="none"/>
                <w:lang w:val="en-US" w:eastAsia="zh-CN"/>
              </w:rPr>
              <w:t>服务期</w:t>
            </w:r>
          </w:p>
        </w:tc>
        <w:tc>
          <w:tcPr>
            <w:tcW w:w="5958" w:type="dxa"/>
            <w:vAlign w:val="center"/>
          </w:tcPr>
          <w:p>
            <w:pPr>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5958" w:type="dxa"/>
            <w:vAlign w:val="center"/>
          </w:tcPr>
          <w:p>
            <w:pPr>
              <w:spacing w:line="240" w:lineRule="auto"/>
              <w:rPr>
                <w:rFonts w:hint="eastAsia" w:ascii="仿宋" w:hAnsi="仿宋" w:eastAsia="仿宋" w:cs="仿宋"/>
                <w:color w:val="auto"/>
                <w:sz w:val="24"/>
                <w:szCs w:val="24"/>
                <w:highlight w:val="none"/>
              </w:rPr>
            </w:pPr>
            <w:bookmarkStart w:id="11" w:name="OLE_LINK34"/>
            <w:bookmarkStart w:id="12" w:name="OLE_LINK18"/>
            <w:r>
              <w:rPr>
                <w:rFonts w:hint="eastAsia" w:ascii="仿宋" w:hAnsi="仿宋" w:eastAsia="仿宋" w:cs="仿宋"/>
                <w:color w:val="auto"/>
                <w:kern w:val="0"/>
                <w:sz w:val="24"/>
                <w:szCs w:val="24"/>
                <w:highlight w:val="none"/>
              </w:rPr>
              <w:t>符合国家现行质量验收规范“合格”要求。</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资格要求</w:t>
            </w:r>
          </w:p>
        </w:tc>
        <w:tc>
          <w:tcPr>
            <w:tcW w:w="5958" w:type="dxa"/>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1）、供应商须具有合法注册的法人或其他组织，有效的统一社会信用代码的营业执照；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2）、供应商须提供具有履行本合同所必需的设备和专业技术能力的声明；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3）、拟派项目负责人须具备相关专业执业证书或中级及以上技术职称，有本单位在职证明（提供近6个月的养老保险）；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供应商应授权合法的人员参加磋商全过程，其中法定代表人直接参加磋商的，须出具法人身份证，并与营业执照上信息一致（提供近6个月的养老保险）；法定代表人授权代表参加磋商的，须出具法定代表人授权书及授权代表身份证；授权代表必须为本单位在职人员（提供近6个月的养老保险）；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5)、供应商须提供2021年03月至今已缴存的至少任意连续6个月的社会保险参保缴费情况证明，依法不需要缴纳社会保障资金的单位应提供相关证明材料；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6)、供应商须提供2020年财务审计报告(至少包括资产负债表和利润表，成立时间至提交磋商响应文件截止时间不足一年的可提供成立后任意时段的资产负债表)或者银行资信证明；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7)、供应商须提供2021年03月至今已缴纳的至少任意连续6个月的纳税证明或完税证明，依法免税的单位应提供相关证明材料；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8)、供应商不得为“信用中国”网站中列入失信被执行人和重大税收违法案件当事人名单的供应商；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9)、供应商不得为“中国政府采购网(www.ccgp.gov.cn）”政府采购严重违法失信行为记录名单中被财政部门禁止参加政府采购活动的供应商；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10)、供应商及法定代表人近三年不得有行贿犯罪记录(通过“中国裁判文书网”查询)否则将被取消投标资格；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11)、单位负责人为同一人或者存在直接控股、管理关系的不同供应商，不得参加同一合同项下的招标活动(通过“国家企业信用信息公示平台”查询)；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13）、磋商保证金缴纳凭证或担保机构出具的保函复印件。</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以上为必备要求，缺一项或某项达不到要求，按无效磋商处理。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文件发售时间</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2022年04月14日至2022年04月20日，每天上午09:00:00至12:00:00，下午14:00:00至17:00:00（北京时间,法定节假日、周末除外）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采购代理机构不组织统一踏勘，各供应商自行踏勘，相关费用及安全由供应商自行承担，踏勘时不得扰民，如有疑问请以书面的形式提交给采购代理机构。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磋商答疑会</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不召开；若有疑问，均应在磋商响应文件递交截止时间3日前以书面形式向采购代理机构提出。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构成竞争性磋商文件的其他材料</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澄清、修改、答疑文件等相关材料。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供应商对竞争性磋商文件的疑问</w:t>
            </w:r>
          </w:p>
        </w:tc>
        <w:tc>
          <w:tcPr>
            <w:tcW w:w="5958" w:type="dxa"/>
            <w:vAlign w:val="center"/>
          </w:tcPr>
          <w:p>
            <w:pPr>
              <w:pStyle w:val="12"/>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采购人澄清</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竞争性磋商文件的截止时间</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构成竞争性磋商响应文件的其他材料</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供应商按照竞争性磋商文件的要求认为有利于磋商的材料。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项目预算</w:t>
            </w:r>
          </w:p>
        </w:tc>
        <w:tc>
          <w:tcPr>
            <w:tcW w:w="5958" w:type="dxa"/>
            <w:vAlign w:val="center"/>
          </w:tcPr>
          <w:p>
            <w:pPr>
              <w:pStyle w:val="13"/>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1,050,000.00元</w:t>
            </w:r>
            <w:r>
              <w:rPr>
                <w:rFonts w:hint="eastAsia" w:ascii="仿宋" w:hAnsi="仿宋" w:eastAsia="仿宋" w:cs="仿宋"/>
                <w:color w:val="auto"/>
                <w:sz w:val="24"/>
                <w:szCs w:val="24"/>
                <w:highlight w:val="none"/>
                <w:lang w:eastAsia="zh-CN"/>
              </w:rPr>
              <w:t>（超过此预算按无效标处理）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tc>
        <w:tc>
          <w:tcPr>
            <w:tcW w:w="5958"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0"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5958" w:type="dxa"/>
            <w:vAlign w:val="center"/>
          </w:tcPr>
          <w:p>
            <w:pPr>
              <w:spacing w:line="24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本次磋商活动供应商需交纳的磋商保证金为:</w:t>
            </w:r>
            <w:r>
              <w:rPr>
                <w:rFonts w:hint="eastAsia" w:ascii="仿宋" w:hAnsi="仿宋" w:eastAsia="仿宋" w:cs="仿宋"/>
                <w:b/>
                <w:bCs/>
                <w:color w:val="auto"/>
                <w:sz w:val="24"/>
                <w:szCs w:val="24"/>
                <w:highlight w:val="none"/>
                <w:lang w:val="en-US" w:eastAsia="zh-CN"/>
              </w:rPr>
              <w:t>贰万元整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20000.00</w:t>
            </w:r>
            <w:r>
              <w:rPr>
                <w:rFonts w:hint="eastAsia" w:ascii="仿宋" w:hAnsi="仿宋" w:eastAsia="仿宋" w:cs="仿宋"/>
                <w:b/>
                <w:bCs/>
                <w:color w:val="auto"/>
                <w:sz w:val="24"/>
                <w:szCs w:val="24"/>
                <w:highlight w:val="none"/>
              </w:rPr>
              <w:t>元）</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磋商保证金的有效期与磋商有效期一致。担保机构出具的保函的有效期为磋商有效期延长一个月。</w:t>
            </w:r>
          </w:p>
          <w:p>
            <w:pPr>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磋商保证金的交纳形式：转账、电汇、担保机构保函。</w:t>
            </w:r>
          </w:p>
          <w:p>
            <w:pPr>
              <w:spacing w:line="24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供应商以银行转账、电汇形式交纳磋商保证金的，须从基本账户转出，并且在磋商响应文件递交截止前</w:t>
            </w:r>
            <w:r>
              <w:rPr>
                <w:rFonts w:hint="eastAsia" w:ascii="仿宋" w:hAnsi="仿宋" w:eastAsia="仿宋" w:cs="仿宋"/>
                <w:b/>
                <w:bCs/>
                <w:color w:val="auto"/>
                <w:sz w:val="24"/>
                <w:szCs w:val="24"/>
                <w:highlight w:val="none"/>
              </w:rPr>
              <w:t>交至宝鸡市公共资源交易中心</w:t>
            </w:r>
            <w:r>
              <w:rPr>
                <w:rFonts w:hint="eastAsia" w:ascii="仿宋" w:hAnsi="仿宋" w:eastAsia="仿宋" w:cs="仿宋"/>
                <w:color w:val="auto"/>
                <w:sz w:val="24"/>
                <w:szCs w:val="24"/>
                <w:highlight w:val="none"/>
              </w:rPr>
              <w:t>指定账户，账户如下：</w:t>
            </w:r>
          </w:p>
          <w:p>
            <w:pPr>
              <w:tabs>
                <w:tab w:val="left" w:pos="630"/>
              </w:tabs>
              <w:spacing w:line="24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开户名称：</w:t>
            </w:r>
            <w:r>
              <w:rPr>
                <w:rFonts w:hint="eastAsia" w:ascii="仿宋" w:hAnsi="仿宋" w:eastAsia="仿宋" w:cs="仿宋"/>
                <w:b/>
                <w:bCs/>
                <w:color w:val="auto"/>
                <w:sz w:val="24"/>
                <w:szCs w:val="24"/>
                <w:highlight w:val="none"/>
                <w:lang w:eastAsia="zh-CN"/>
              </w:rPr>
              <w:t>宝鸡市公共资源交易中心保证金专户</w:t>
            </w:r>
          </w:p>
          <w:p>
            <w:pPr>
              <w:tabs>
                <w:tab w:val="left" w:pos="630"/>
              </w:tabs>
              <w:spacing w:line="24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长安银行股份有限公司宝鸡分行营业部</w:t>
            </w:r>
          </w:p>
          <w:p>
            <w:pPr>
              <w:tabs>
                <w:tab w:val="left" w:pos="630"/>
              </w:tabs>
              <w:spacing w:line="24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账    号：80602000142101980601088</w:t>
            </w:r>
          </w:p>
          <w:p>
            <w:pPr>
              <w:tabs>
                <w:tab w:val="left" w:pos="630"/>
              </w:tabs>
              <w:spacing w:line="240" w:lineRule="auto"/>
              <w:ind w:firstLine="482" w:firstLineChars="2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sz w:val="24"/>
                <w:szCs w:val="24"/>
                <w:highlight w:val="none"/>
              </w:rPr>
              <w:t>转账事由：</w:t>
            </w:r>
            <w:r>
              <w:rPr>
                <w:rFonts w:hint="eastAsia" w:ascii="仿宋" w:hAnsi="仿宋" w:eastAsia="仿宋" w:cs="仿宋"/>
                <w:b/>
                <w:bCs/>
                <w:color w:val="auto"/>
                <w:kern w:val="0"/>
                <w:sz w:val="24"/>
                <w:szCs w:val="24"/>
                <w:highlight w:val="none"/>
                <w:u w:val="single"/>
              </w:rPr>
              <w:t>“</w:t>
            </w:r>
            <w:r>
              <w:rPr>
                <w:rFonts w:hint="eastAsia" w:ascii="仿宋" w:hAnsi="仿宋" w:eastAsia="仿宋" w:cs="仿宋"/>
                <w:b/>
                <w:bCs/>
                <w:color w:val="auto"/>
                <w:kern w:val="0"/>
                <w:sz w:val="24"/>
                <w:szCs w:val="24"/>
                <w:highlight w:val="none"/>
                <w:u w:val="single"/>
                <w:lang w:eastAsia="zh-CN"/>
              </w:rPr>
              <w:t>1.5T核磁共振维修保养采购项目（二次）</w:t>
            </w:r>
            <w:r>
              <w:rPr>
                <w:rFonts w:hint="eastAsia" w:ascii="仿宋" w:hAnsi="仿宋" w:eastAsia="仿宋" w:cs="仿宋"/>
                <w:b/>
                <w:bCs/>
                <w:color w:val="auto"/>
                <w:kern w:val="0"/>
                <w:sz w:val="24"/>
                <w:szCs w:val="24"/>
                <w:highlight w:val="none"/>
                <w:u w:val="single"/>
              </w:rPr>
              <w:t>磋商保证金”。</w:t>
            </w:r>
          </w:p>
          <w:p>
            <w:pPr>
              <w:pStyle w:val="2"/>
              <w:spacing w:line="240" w:lineRule="auto"/>
              <w:ind w:firstLine="480" w:firstLineChars="200"/>
              <w:jc w:val="both"/>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保证金交至</w:t>
            </w:r>
            <w:r>
              <w:rPr>
                <w:rFonts w:hint="eastAsia" w:ascii="仿宋" w:hAnsi="仿宋" w:eastAsia="仿宋" w:cs="仿宋"/>
                <w:b/>
                <w:bCs/>
                <w:color w:val="auto"/>
                <w:sz w:val="24"/>
                <w:szCs w:val="24"/>
                <w:highlight w:val="none"/>
                <w:lang w:eastAsia="zh-CN"/>
              </w:rPr>
              <w:t>宝鸡市公共资源交易中心</w:t>
            </w:r>
            <w:r>
              <w:rPr>
                <w:rFonts w:hint="eastAsia" w:ascii="仿宋" w:hAnsi="仿宋" w:eastAsia="仿宋" w:cs="仿宋"/>
                <w:color w:val="auto"/>
                <w:kern w:val="0"/>
                <w:sz w:val="24"/>
                <w:szCs w:val="24"/>
                <w:highlight w:val="none"/>
              </w:rPr>
              <w:t>指定账户，将磋商保证金缴纳凭证粘贴于磋商响应文件规定处。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供应商以保函形式缴纳磋商保证金的，</w:t>
            </w:r>
            <w:r>
              <w:rPr>
                <w:rFonts w:hint="eastAsia" w:ascii="仿宋" w:hAnsi="仿宋" w:eastAsia="仿宋" w:cs="仿宋"/>
                <w:color w:val="auto"/>
                <w:sz w:val="24"/>
                <w:szCs w:val="24"/>
                <w:highlight w:val="none"/>
                <w:lang w:eastAsia="zh-CN"/>
              </w:rPr>
              <w:t>须从本单位基本账户的银行开具保函，</w:t>
            </w:r>
            <w:r>
              <w:rPr>
                <w:rFonts w:hint="eastAsia" w:ascii="仿宋" w:hAnsi="仿宋" w:eastAsia="仿宋" w:cs="仿宋"/>
                <w:color w:val="auto"/>
                <w:sz w:val="24"/>
                <w:szCs w:val="24"/>
                <w:highlight w:val="none"/>
              </w:rPr>
              <w:t>在磋商响应文件递交截止时间前</w:t>
            </w:r>
            <w:r>
              <w:rPr>
                <w:rFonts w:hint="eastAsia" w:ascii="仿宋" w:hAnsi="仿宋" w:eastAsia="仿宋" w:cs="仿宋"/>
                <w:color w:val="auto"/>
                <w:sz w:val="24"/>
                <w:szCs w:val="24"/>
                <w:highlight w:val="none"/>
                <w:lang w:val="en-US" w:eastAsia="zh-CN"/>
              </w:rPr>
              <w:t>3日</w:t>
            </w:r>
            <w:r>
              <w:rPr>
                <w:rFonts w:hint="eastAsia" w:ascii="仿宋" w:hAnsi="仿宋" w:eastAsia="仿宋" w:cs="仿宋"/>
                <w:color w:val="auto"/>
                <w:sz w:val="24"/>
                <w:szCs w:val="24"/>
                <w:highlight w:val="none"/>
              </w:rPr>
              <w:t>将担保机构保函</w:t>
            </w:r>
            <w:r>
              <w:rPr>
                <w:rFonts w:hint="eastAsia" w:ascii="仿宋" w:hAnsi="仿宋" w:eastAsia="仿宋" w:cs="仿宋"/>
                <w:b/>
                <w:bCs/>
                <w:color w:val="auto"/>
                <w:sz w:val="24"/>
                <w:szCs w:val="24"/>
                <w:highlight w:val="none"/>
              </w:rPr>
              <w:t>正本原件</w:t>
            </w:r>
            <w:r>
              <w:rPr>
                <w:rFonts w:hint="eastAsia" w:ascii="仿宋" w:hAnsi="仿宋" w:eastAsia="仿宋" w:cs="仿宋"/>
                <w:color w:val="auto"/>
                <w:sz w:val="24"/>
                <w:szCs w:val="24"/>
                <w:highlight w:val="none"/>
              </w:rPr>
              <w:t>提交至</w:t>
            </w:r>
            <w:r>
              <w:rPr>
                <w:rFonts w:hint="eastAsia" w:ascii="仿宋" w:hAnsi="仿宋" w:eastAsia="仿宋" w:cs="仿宋"/>
                <w:color w:val="auto"/>
                <w:sz w:val="24"/>
                <w:szCs w:val="24"/>
                <w:highlight w:val="none"/>
                <w:u w:val="single"/>
                <w:lang w:eastAsia="zh-CN"/>
              </w:rPr>
              <w:t>宝鸡市公共资源交易中心财务科</w:t>
            </w:r>
            <w:r>
              <w:rPr>
                <w:rFonts w:hint="eastAsia" w:ascii="仿宋" w:hAnsi="仿宋" w:eastAsia="仿宋" w:cs="仿宋"/>
                <w:color w:val="auto"/>
                <w:sz w:val="24"/>
                <w:szCs w:val="24"/>
                <w:highlight w:val="none"/>
              </w:rPr>
              <w:t>备案，并将保函正本复印件附在磋商响应文件规定处。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是否允许递交</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备选磋商方案</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5958" w:type="dxa"/>
            <w:vAlign w:val="center"/>
          </w:tcPr>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竞争性磋商响应文件封面、磋商响应函及其它有要求处必须加盖供应商公章并经法定代表人或其委托代理人签字或盖章。</w:t>
            </w:r>
            <w:bookmarkStart w:id="13" w:name="_Toc343511347"/>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竞争性磋商响应文件应无涂改或行间插字和增删。如确需修改，修改处必须由供应商加盖供应商公章并经法定代表人或其委托代理人签字或盖章。</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2055" w:type="dxa"/>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竞争性磋商响应文件份数</w:t>
            </w:r>
          </w:p>
        </w:tc>
        <w:tc>
          <w:tcPr>
            <w:tcW w:w="5958" w:type="dxa"/>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正本的份数：</w:t>
            </w:r>
            <w:r>
              <w:rPr>
                <w:rFonts w:hint="eastAsia" w:ascii="仿宋" w:hAnsi="仿宋" w:eastAsia="仿宋" w:cs="仿宋"/>
                <w:b/>
                <w:bCs/>
                <w:color w:val="auto"/>
                <w:sz w:val="24"/>
                <w:szCs w:val="24"/>
                <w:highlight w:val="none"/>
              </w:rPr>
              <w:t>壹份</w:t>
            </w:r>
            <w:r>
              <w:rPr>
                <w:rFonts w:hint="eastAsia" w:ascii="仿宋" w:hAnsi="仿宋" w:eastAsia="仿宋" w:cs="仿宋"/>
                <w:color w:val="auto"/>
                <w:sz w:val="24"/>
                <w:szCs w:val="24"/>
                <w:highlight w:val="none"/>
              </w:rPr>
              <w:t>；副本的份数：</w:t>
            </w:r>
            <w:r>
              <w:rPr>
                <w:rFonts w:hint="eastAsia" w:ascii="仿宋" w:hAnsi="仿宋" w:eastAsia="仿宋" w:cs="仿宋"/>
                <w:b/>
                <w:bCs/>
                <w:color w:val="auto"/>
                <w:sz w:val="24"/>
                <w:szCs w:val="24"/>
                <w:highlight w:val="none"/>
              </w:rPr>
              <w:t>贰份</w:t>
            </w:r>
            <w:r>
              <w:rPr>
                <w:rFonts w:hint="eastAsia" w:ascii="仿宋" w:hAnsi="仿宋" w:eastAsia="仿宋" w:cs="仿宋"/>
                <w:color w:val="auto"/>
                <w:sz w:val="24"/>
                <w:szCs w:val="24"/>
                <w:highlight w:val="none"/>
              </w:rPr>
              <w:t>；电子版（U盘）：</w:t>
            </w:r>
            <w:r>
              <w:rPr>
                <w:rFonts w:hint="eastAsia" w:ascii="仿宋" w:hAnsi="仿宋" w:eastAsia="仿宋" w:cs="仿宋"/>
                <w:b/>
                <w:bCs/>
                <w:color w:val="auto"/>
                <w:sz w:val="24"/>
                <w:szCs w:val="24"/>
                <w:highlight w:val="none"/>
              </w:rPr>
              <w:t>壹份</w:t>
            </w:r>
            <w:r>
              <w:rPr>
                <w:rFonts w:hint="eastAsia" w:ascii="仿宋" w:hAnsi="仿宋" w:eastAsia="仿宋" w:cs="仿宋"/>
                <w:color w:val="auto"/>
                <w:sz w:val="24"/>
                <w:szCs w:val="24"/>
                <w:highlight w:val="none"/>
              </w:rPr>
              <w:t>，需在盘面上标注供应商全称、项目名称、编号。</w:t>
            </w:r>
          </w:p>
          <w:p>
            <w:pPr>
              <w:pStyle w:val="2"/>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电子版</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word版磋商响应文件</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封套上写明</w:t>
            </w:r>
          </w:p>
        </w:tc>
        <w:tc>
          <w:tcPr>
            <w:tcW w:w="5958" w:type="dxa"/>
            <w:shd w:val="clear" w:color="auto" w:fill="auto"/>
            <w:vAlign w:val="center"/>
          </w:tcPr>
          <w:p>
            <w:pPr>
              <w:numPr>
                <w:ilvl w:val="0"/>
                <w:numId w:val="2"/>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扶风县中医医院</w:t>
            </w:r>
          </w:p>
          <w:p>
            <w:pPr>
              <w:numPr>
                <w:ilvl w:val="0"/>
                <w:numId w:val="2"/>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供应商名称以及标注“正本”、“副本”、“电子版”字样，密封处应加盖供应商公章。</w:t>
            </w:r>
          </w:p>
          <w:p>
            <w:pPr>
              <w:spacing w:line="240" w:lineRule="auto"/>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3、（项目名称）竞争性磋商响应文件在</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年 月 日 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递交竞争性磋商响应文件截止时间、地点</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时间：2022年04月28日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pPr>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地点：</w:t>
            </w:r>
            <w:r>
              <w:rPr>
                <w:rStyle w:val="33"/>
                <w:rFonts w:hint="eastAsia" w:ascii="仿宋" w:hAnsi="仿宋" w:eastAsia="仿宋" w:cs="仿宋"/>
                <w:b w:val="0"/>
                <w:bCs w:val="0"/>
                <w:i w:val="0"/>
                <w:caps w:val="0"/>
                <w:color w:val="auto"/>
                <w:spacing w:val="0"/>
                <w:w w:val="100"/>
                <w:kern w:val="2"/>
                <w:sz w:val="24"/>
                <w:szCs w:val="24"/>
                <w:highlight w:val="none"/>
                <w:lang w:val="en-US" w:eastAsia="zh-CN" w:bidi="ar-SA"/>
              </w:rPr>
              <w:t>宝鸡市公共资源交易中心五楼第7开标室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是否退还竞争性磋商响应文件</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磋商时间和地点</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磋商时间：2022年04月28日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pPr>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磋商地点：</w:t>
            </w:r>
            <w:r>
              <w:rPr>
                <w:rStyle w:val="33"/>
                <w:rFonts w:hint="eastAsia" w:ascii="仿宋" w:hAnsi="仿宋" w:eastAsia="仿宋" w:cs="仿宋"/>
                <w:b w:val="0"/>
                <w:bCs w:val="0"/>
                <w:i w:val="0"/>
                <w:caps w:val="0"/>
                <w:color w:val="auto"/>
                <w:spacing w:val="0"/>
                <w:w w:val="100"/>
                <w:kern w:val="2"/>
                <w:sz w:val="24"/>
                <w:szCs w:val="24"/>
                <w:highlight w:val="none"/>
                <w:lang w:val="en-US" w:eastAsia="zh-CN" w:bidi="ar-SA"/>
              </w:rPr>
              <w:t>宝鸡市公共资源交易中心五楼第7开标室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是否授权磋商</w:t>
            </w:r>
          </w:p>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小组确定成交人</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bookmarkStart w:id="14" w:name="OLE_LINK6"/>
            <w:r>
              <w:rPr>
                <w:rFonts w:hint="eastAsia" w:ascii="仿宋" w:hAnsi="仿宋" w:eastAsia="仿宋" w:cs="仿宋"/>
                <w:color w:val="auto"/>
                <w:sz w:val="24"/>
                <w:szCs w:val="24"/>
                <w:highlight w:val="none"/>
              </w:rPr>
              <w:t>推荐3名成交候选人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公示期</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3" w:type="dxa"/>
            <w:vAlign w:val="center"/>
          </w:tcPr>
          <w:p>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55" w:type="dxa"/>
            <w:shd w:val="clear" w:color="auto" w:fill="auto"/>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开标携带原件</w:t>
            </w:r>
          </w:p>
        </w:tc>
        <w:tc>
          <w:tcPr>
            <w:tcW w:w="5958" w:type="dxa"/>
            <w:shd w:val="clear" w:color="auto" w:fill="auto"/>
            <w:vAlign w:val="center"/>
          </w:tcPr>
          <w:p>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开标现场由采购人查验：法人授权委托书、授权委托人身份证复印件及原件（法人出场的只需出具身份证明、本人身份证原件及复印件）</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86" w:type="dxa"/>
            <w:gridSpan w:val="3"/>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986" w:type="dxa"/>
            <w:gridSpan w:val="3"/>
            <w:vAlign w:val="center"/>
          </w:tcPr>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本竞争性磋商文件各个组成部分的文件，未经采购人书面同意，供应商不得擅自复印和用于非本招标项目所需的其他目的。采购人全部或者部分使用未成交人竞争性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986" w:type="dxa"/>
            <w:gridSpan w:val="3"/>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986" w:type="dxa"/>
            <w:gridSpan w:val="3"/>
            <w:vAlign w:val="center"/>
          </w:tcPr>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构成竞争性磋商文件组成部分的“通用合同条款”、“专用合同条款”和“采购内容”等章节中如出现的措辞“发包人”和“承包人”，在磋商阶段应当分别按“采购人”和“供应商”进行理解。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8986" w:type="dxa"/>
            <w:gridSpan w:val="3"/>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8986" w:type="dxa"/>
            <w:gridSpan w:val="3"/>
            <w:vAlign w:val="center"/>
          </w:tcPr>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本竞争性磋商文件由采购人和采购代理机构负责解释。</w:t>
            </w:r>
          </w:p>
        </w:tc>
      </w:tr>
    </w:tbl>
    <w:p>
      <w:pPr>
        <w:spacing w:line="360" w:lineRule="auto"/>
        <w:jc w:val="left"/>
        <w:rPr>
          <w:rFonts w:hint="eastAsia" w:ascii="仿宋" w:hAnsi="仿宋" w:eastAsia="仿宋" w:cs="仿宋"/>
          <w:color w:val="auto"/>
          <w:highlight w:val="none"/>
        </w:rPr>
        <w:sectPr>
          <w:pgSz w:w="11906" w:h="16838"/>
          <w:pgMar w:top="1417" w:right="1383" w:bottom="1417" w:left="1383" w:header="907" w:footer="907" w:gutter="0"/>
          <w:pgNumType w:fmt="decimal"/>
          <w:cols w:space="0" w:num="1"/>
          <w:docGrid w:type="lines" w:linePitch="312" w:charSpace="0"/>
        </w:sectPr>
      </w:pPr>
    </w:p>
    <w:p>
      <w:pPr>
        <w:spacing w:before="156" w:beforeLines="50" w:after="156" w:afterLines="50" w:line="360" w:lineRule="auto"/>
        <w:jc w:val="center"/>
        <w:rPr>
          <w:rFonts w:hint="eastAsia" w:ascii="仿宋" w:hAnsi="仿宋" w:eastAsia="仿宋" w:cs="仿宋"/>
          <w:b/>
          <w:color w:val="auto"/>
          <w:kern w:val="0"/>
          <w:sz w:val="32"/>
          <w:szCs w:val="32"/>
          <w:highlight w:val="none"/>
        </w:rPr>
      </w:pPr>
      <w:bookmarkStart w:id="15" w:name="_Toc421778365"/>
      <w:bookmarkStart w:id="16" w:name="_Toc420591643"/>
      <w:bookmarkStart w:id="17" w:name="_Toc425240464"/>
      <w:r>
        <w:rPr>
          <w:rFonts w:hint="eastAsia" w:ascii="仿宋" w:hAnsi="仿宋" w:eastAsia="仿宋" w:cs="仿宋"/>
          <w:b/>
          <w:color w:val="auto"/>
          <w:sz w:val="32"/>
          <w:szCs w:val="32"/>
          <w:highlight w:val="none"/>
        </w:rPr>
        <w:t>1</w:t>
      </w:r>
      <w:r>
        <w:rPr>
          <w:rFonts w:hint="eastAsia" w:ascii="仿宋" w:hAnsi="仿宋" w:eastAsia="仿宋" w:cs="仿宋"/>
          <w:b/>
          <w:color w:val="auto"/>
          <w:kern w:val="0"/>
          <w:sz w:val="32"/>
          <w:szCs w:val="32"/>
          <w:highlight w:val="none"/>
        </w:rPr>
        <w:t>．总则</w:t>
      </w:r>
      <w:bookmarkEnd w:id="15"/>
      <w:bookmarkEnd w:id="16"/>
      <w:bookmarkEnd w:id="17"/>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项目概况</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根据《中华人民共和国政府采购法》及实施条例和关于印发《政府采购竞争性磋商采购方式管理暂行办法》的通知（财库【2014】214号）的规定，本项目已具备磋商条件，现对本项目进行竞争性磋商采购。</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本项目采购人：见供应商须知前附表。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本项目采购代理机构：见供应商须知前附表。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1.1.4本项目</w:t>
      </w:r>
      <w:r>
        <w:rPr>
          <w:rFonts w:hint="eastAsia" w:ascii="仿宋" w:hAnsi="仿宋" w:eastAsia="仿宋" w:cs="仿宋"/>
          <w:color w:val="auto"/>
          <w:sz w:val="24"/>
          <w:szCs w:val="24"/>
          <w:highlight w:val="none"/>
          <w:lang w:val="en-US" w:eastAsia="zh-CN"/>
        </w:rPr>
        <w:t>所在地点</w:t>
      </w:r>
      <w:r>
        <w:rPr>
          <w:rFonts w:hint="eastAsia" w:ascii="仿宋" w:hAnsi="仿宋" w:eastAsia="仿宋" w:cs="仿宋"/>
          <w:color w:val="auto"/>
          <w:sz w:val="24"/>
          <w:szCs w:val="24"/>
          <w:highlight w:val="none"/>
        </w:rPr>
        <w:t>：见供应商须知前附表。</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资金来源和落实情况</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本项目的资金来源：见供应商须知前附表。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本项目的资金落实情况：见供应商须知前附表。</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 招标范围、</w:t>
      </w:r>
      <w:r>
        <w:rPr>
          <w:rFonts w:hint="eastAsia" w:ascii="仿宋" w:hAnsi="仿宋" w:eastAsia="仿宋" w:cs="仿宋"/>
          <w:b/>
          <w:bCs/>
          <w:color w:val="auto"/>
          <w:sz w:val="24"/>
          <w:szCs w:val="24"/>
          <w:highlight w:val="none"/>
          <w:lang w:eastAsia="zh-CN"/>
        </w:rPr>
        <w:t>服务期</w:t>
      </w:r>
      <w:r>
        <w:rPr>
          <w:rFonts w:hint="eastAsia" w:ascii="仿宋" w:hAnsi="仿宋" w:eastAsia="仿宋" w:cs="仿宋"/>
          <w:b/>
          <w:bCs/>
          <w:color w:val="auto"/>
          <w:sz w:val="24"/>
          <w:szCs w:val="24"/>
          <w:highlight w:val="none"/>
        </w:rPr>
        <w:t>及质量要求</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本次磋商范围：见供应商须知前附表。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本项目的</w:t>
      </w:r>
      <w:r>
        <w:rPr>
          <w:rFonts w:hint="eastAsia" w:ascii="仿宋" w:hAnsi="仿宋" w:eastAsia="仿宋" w:cs="仿宋"/>
          <w:color w:val="auto"/>
          <w:kern w:val="0"/>
          <w:sz w:val="24"/>
          <w:szCs w:val="24"/>
          <w:highlight w:val="none"/>
          <w:lang w:eastAsia="zh-CN"/>
        </w:rPr>
        <w:t>服务期</w:t>
      </w:r>
      <w:r>
        <w:rPr>
          <w:rFonts w:hint="eastAsia" w:ascii="仿宋" w:hAnsi="仿宋" w:eastAsia="仿宋" w:cs="仿宋"/>
          <w:color w:val="auto"/>
          <w:sz w:val="24"/>
          <w:szCs w:val="24"/>
          <w:highlight w:val="none"/>
        </w:rPr>
        <w:t>：</w:t>
      </w:r>
      <w:bookmarkStart w:id="18" w:name="OLE_LINK8"/>
      <w:r>
        <w:rPr>
          <w:rFonts w:hint="eastAsia" w:ascii="仿宋" w:hAnsi="仿宋" w:eastAsia="仿宋" w:cs="仿宋"/>
          <w:color w:val="auto"/>
          <w:sz w:val="24"/>
          <w:szCs w:val="24"/>
          <w:highlight w:val="none"/>
        </w:rPr>
        <w:t>见供应商须知前附表。</w:t>
      </w:r>
      <w:bookmarkEnd w:id="18"/>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本项目的质量要求：见供应商须知前附表。</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 供应商资格要求及竞争性磋商文件发售时间</w:t>
      </w:r>
    </w:p>
    <w:p>
      <w:pPr>
        <w:pStyle w:val="12"/>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1.4.1资格审查条件：见供应商须知前附表。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1.4.2竞争性磋商文件发售时间：见供应商须知前附表。</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费用承担</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供应商准备和参加磋商活动所发生的一切费用自理。</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 保密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参与磋商活动的各方应对竞争性磋商文件和竞争性磋商响应文件中的商业和技术等秘密保密，违者应对由此造成的后果承担法律责任。</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语言文字</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除专用术语外，与磋商有关的语言均使用中文。必要时专用术语应附有中文注释。</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计量单位</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踏勘现场</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1.9.1采购代理机构不组织统一踏勘现场，由供应商自行安排。</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供应商踏勘现场发生的一切费用自理，并自行负责在踏勘现场中所发生的人员伤亡和财产损失。</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供应商应对工程现场及周围环境进行踏勘，充分了解现场环境、总体布置情况等限制条件及其它任何足以影响磋商报价的情况，以便各供应商获取须自主考虑的有关竞争性磋商响应文件编制和合同签署所需的相关资料和数据，任何因忽视或误解工地情况而导致的索赔或</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延长申请将不获批准。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采购人在踏勘现场中介绍的工程场地和相关的周边环境情况，供供应商在编制竞争性磋商响应文件时参考，采购人不对供应商据此作出的判断和决策负责。</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1.10 竞争性磋商答疑会</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召开答疑会，供应商对竞争性磋商文件、采购内容等的疑问和要求澄清的内容，均应在磋商响应文件递交截止时间3日前以书面形式向采购代理机构提出，采购人和采购代理机构做出统一解答和必要澄清后在磋商前2天以书面的《答疑纪要》发送所有供应商。答疑纪要为竞争性磋商文件的组成部分，与竞争性磋商文件具有同等法律效力。</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1.11 分包</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1.12 偏离</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19" w:name="_Toc421778366"/>
      <w:bookmarkStart w:id="20" w:name="_Toc425240465"/>
      <w:bookmarkStart w:id="21" w:name="_Toc420591644"/>
      <w:r>
        <w:rPr>
          <w:rFonts w:hint="eastAsia" w:ascii="仿宋" w:hAnsi="仿宋" w:eastAsia="仿宋" w:cs="仿宋"/>
          <w:color w:val="auto"/>
          <w:sz w:val="24"/>
          <w:szCs w:val="24"/>
          <w:highlight w:val="none"/>
        </w:rPr>
        <w:t>不满足评审方法中初步评审标准的，视为发生重大偏离，其磋商被否决。其余偏离视为细微偏离，磋商小组将通过澄清方式对细微偏离进行澄清或修改。</w:t>
      </w:r>
    </w:p>
    <w:p>
      <w:pPr>
        <w:keepNext w:val="0"/>
        <w:keepLines w:val="0"/>
        <w:pageBreakBefore w:val="0"/>
        <w:kinsoku/>
        <w:wordWrap/>
        <w:overflowPunct/>
        <w:topLinePunct w:val="0"/>
        <w:bidi w:val="0"/>
        <w:snapToGrid/>
        <w:spacing w:before="156" w:beforeLines="50" w:after="156" w:after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bookmarkEnd w:id="19"/>
      <w:bookmarkEnd w:id="20"/>
      <w:bookmarkEnd w:id="21"/>
      <w:r>
        <w:rPr>
          <w:rFonts w:hint="eastAsia" w:ascii="仿宋" w:hAnsi="仿宋" w:eastAsia="仿宋" w:cs="仿宋"/>
          <w:b/>
          <w:bCs/>
          <w:color w:val="auto"/>
          <w:sz w:val="24"/>
          <w:szCs w:val="24"/>
          <w:highlight w:val="none"/>
        </w:rPr>
        <w:t>竞争性磋商文件</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 竞争性磋商文件的组成</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本竞争性磋商文件包括：</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(1）竞争性磋商公告</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(2）供应商须知前附表及供应商须知</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(3）评审方法</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(4）采购合同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(5）采购内容及要求</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(6）竞争性磋商响应文件格式</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根据本章第1.10 款和第2.2 款对竞争性磋商文件所作的澄清、修改，构成竞争性磋商文件的组成部分。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竞争性磋商文件的澄清及修改</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22" w:name="_Toc420591645"/>
      <w:bookmarkStart w:id="23" w:name="_Toc421778367"/>
      <w:bookmarkStart w:id="24" w:name="_Toc425240466"/>
      <w:r>
        <w:rPr>
          <w:rFonts w:hint="eastAsia" w:ascii="仿宋" w:hAnsi="仿宋" w:eastAsia="仿宋" w:cs="仿宋"/>
          <w:color w:val="auto"/>
          <w:sz w:val="24"/>
          <w:szCs w:val="24"/>
          <w:highlight w:val="none"/>
        </w:rPr>
        <w:t>2.2.1在磋商响应文件截止时间前，采购代理机构可以视采购具体情况，延长竞争性磋商响应文件递交截止时间和磋商时间并在指定的媒体上发布变更公告，同时将变更时间书面通知所有获取竞争性磋商文件的供应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采购代理机构如果对已发出的竞争性磋商文件进行必要的澄清或者修改，将在竞争性磋商文件要求提交竞争性磋商响应文件截止时间5日前，以书面形式通知所有获取竞争性磋商文件的供应商。不足5日的，应当顺延提交响应文件截止时间。该澄清或者修改的内容为竞争性磋商文件的组成部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2.2.4供应商在收到上述通知后，应立即向采购代理机构回函确认。</w:t>
      </w:r>
    </w:p>
    <w:bookmarkEnd w:id="22"/>
    <w:bookmarkEnd w:id="23"/>
    <w:bookmarkEnd w:id="24"/>
    <w:p>
      <w:pPr>
        <w:keepNext w:val="0"/>
        <w:keepLines w:val="0"/>
        <w:pageBreakBefore w:val="0"/>
        <w:numPr>
          <w:ilvl w:val="0"/>
          <w:numId w:val="3"/>
        </w:numPr>
        <w:kinsoku/>
        <w:wordWrap/>
        <w:overflowPunct/>
        <w:topLinePunct w:val="0"/>
        <w:bidi w:val="0"/>
        <w:snapToGrid/>
        <w:spacing w:before="156" w:beforeLines="50" w:after="156" w:after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竞争性磋商响应文件</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3.1 磋商响应文件的组成</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3.1.1 </w:t>
      </w:r>
      <w:r>
        <w:rPr>
          <w:rFonts w:hint="eastAsia" w:ascii="仿宋" w:hAnsi="仿宋" w:eastAsia="仿宋" w:cs="仿宋"/>
          <w:b/>
          <w:color w:val="auto"/>
          <w:sz w:val="24"/>
          <w:highlight w:val="none"/>
        </w:rPr>
        <w:t>磋商响应文件</w:t>
      </w:r>
      <w:r>
        <w:rPr>
          <w:rFonts w:hint="eastAsia" w:ascii="仿宋" w:hAnsi="仿宋" w:eastAsia="仿宋" w:cs="仿宋"/>
          <w:color w:val="auto"/>
          <w:sz w:val="24"/>
          <w:highlight w:val="none"/>
        </w:rPr>
        <w:t>应包括下列内容：</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1）磋商响应函</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2）磋商首次报价表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3）响应/偏离表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4）磋商最终报价表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方案</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6）类似业绩</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7）陕西省政府采购供应商拒绝政府采购领域商业贿赂承诺书</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8）供应商资格证明文件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9）其他可以证明供应商实力的文件</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 磋商报价</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3.2.1供应商应按照竞争性磋商文件中规定的服务要求、责任范围和合同条件进行报价，在磋商响应文件中的磋商报价表上按要求标明总价、其他相关要求等项，任何有选择的报价采购代理机构不予接受。</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3.2.2 供应商依据竞争性磋商文件提供的服务要求等资料并自行考虑风险因素计算磋商报价，一旦成交，磋商报价将不会因国家政策调整及市场变化因素而得到调整。磋商报价是完成磋商文件要求的所有磋商内容</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凡因供应商对竞争性磋商文件阅读不深、理解不透、误解、疏漏、或因市场行情了解不清造成的后果和风险均由供应商自行负责。</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 磋商过程中所产生的一切费用由供应商自行承担。</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 最低报价不作为中标的唯一条件。</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3.2.7凡供应商的磋商总报价高于项目预算</w:t>
      </w:r>
      <w:r>
        <w:rPr>
          <w:rFonts w:hint="eastAsia" w:ascii="仿宋" w:hAnsi="仿宋" w:eastAsia="仿宋" w:cs="仿宋"/>
          <w:b/>
          <w:bCs/>
          <w:color w:val="auto"/>
          <w:sz w:val="24"/>
          <w:szCs w:val="24"/>
          <w:highlight w:val="none"/>
          <w:lang w:eastAsia="zh-CN"/>
        </w:rPr>
        <w:t>金额</w:t>
      </w:r>
      <w:r>
        <w:rPr>
          <w:rFonts w:hint="eastAsia" w:ascii="仿宋" w:hAnsi="仿宋" w:eastAsia="仿宋" w:cs="仿宋"/>
          <w:b/>
          <w:bCs/>
          <w:color w:val="auto"/>
          <w:sz w:val="24"/>
          <w:szCs w:val="24"/>
          <w:highlight w:val="none"/>
        </w:rPr>
        <w:t>的将被视为无效磋商处理，不再参与后续评审。</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磋商有效期</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25" w:name="OLE_LINK4"/>
      <w:r>
        <w:rPr>
          <w:rFonts w:hint="eastAsia" w:ascii="仿宋" w:hAnsi="仿宋" w:eastAsia="仿宋" w:cs="仿宋"/>
          <w:color w:val="auto"/>
          <w:sz w:val="24"/>
          <w:szCs w:val="24"/>
          <w:highlight w:val="none"/>
        </w:rPr>
        <w:t>3.3.1磋商响应文件应在“供应商须知前附表”中规定的期限内保持有效。磋商有效期不满足规定有效期的磋商响应文件将被视为非响应性磋商而予以拒绝。</w:t>
      </w:r>
      <w:bookmarkEnd w:id="25"/>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3.4 条有关磋商保证金的退还和没收的规定将在延长了的有效期内继续有效。</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 磋商保证金</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3.4.1供应商在磋商时应向</w:t>
      </w:r>
      <w:r>
        <w:rPr>
          <w:rFonts w:hint="eastAsia" w:ascii="仿宋" w:hAnsi="仿宋" w:eastAsia="仿宋" w:cs="仿宋"/>
          <w:color w:val="auto"/>
          <w:sz w:val="24"/>
          <w:szCs w:val="24"/>
          <w:highlight w:val="none"/>
          <w:lang w:eastAsia="zh-CN"/>
        </w:rPr>
        <w:t>宝鸡市公共资源交易中心指定账户</w:t>
      </w:r>
      <w:r>
        <w:rPr>
          <w:rFonts w:hint="eastAsia" w:ascii="仿宋" w:hAnsi="仿宋" w:eastAsia="仿宋" w:cs="仿宋"/>
          <w:color w:val="auto"/>
          <w:sz w:val="24"/>
          <w:szCs w:val="24"/>
          <w:highlight w:val="none"/>
        </w:rPr>
        <w:t>提交“供应商须知前附表”规定数额的磋商保证金,并作为其磋商的一部分。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3.4.2磋商保证金是为了保护采购人和采购代理机构免遭因供应商的行为而蒙受损失。采购人和采购代理机构在因供应商的行为受到损害时可根据本须知的规定第3.4.7条没收供应商的磋商保证金。</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3.4.3磋商保证金的缴纳形式：转账、电汇、担保机构保函。</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3.4.4磋商保证金必须按照竞争性磋商文件“供应商须知前附表”中规定的缴纳金额及方式办理。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3.4.5磋商后经审查，未提交磋商保证金、未按时间提交磋商保证金、磋商保证金金额不足或磋商保证金</w:t>
      </w:r>
      <w:r>
        <w:rPr>
          <w:rFonts w:hint="eastAsia" w:ascii="仿宋" w:hAnsi="仿宋" w:eastAsia="仿宋" w:cs="仿宋"/>
          <w:color w:val="auto"/>
          <w:sz w:val="24"/>
          <w:szCs w:val="24"/>
          <w:highlight w:val="none"/>
          <w:lang w:val="en-US" w:eastAsia="zh-CN"/>
        </w:rPr>
        <w:t>缴纳凭证</w:t>
      </w:r>
      <w:r>
        <w:rPr>
          <w:rFonts w:hint="eastAsia" w:ascii="仿宋" w:hAnsi="仿宋" w:eastAsia="仿宋" w:cs="仿宋"/>
          <w:color w:val="auto"/>
          <w:sz w:val="24"/>
          <w:szCs w:val="24"/>
          <w:highlight w:val="none"/>
          <w:lang w:eastAsia="zh-CN"/>
        </w:rPr>
        <w:t>或保函复印件</w:t>
      </w:r>
      <w:r>
        <w:rPr>
          <w:rFonts w:hint="eastAsia" w:ascii="仿宋" w:hAnsi="仿宋" w:eastAsia="仿宋" w:cs="仿宋"/>
          <w:color w:val="auto"/>
          <w:sz w:val="24"/>
          <w:szCs w:val="24"/>
          <w:highlight w:val="none"/>
        </w:rPr>
        <w:t>未附在竞争性磋商响应文件内的磋商将按无效磋商处理。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3.4.6未成交单位的磋商保证金，将在成交通知书发出后五个工作日内退还；成交单位的磋商保证金，在采购合同签订后五个工作日内退还。</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3.4.7供应商以担保机构保函形式缴纳磋商保证金的，磋商结束之后将担保机构保函原件退回（退换时间参照3.4.6条款）；</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3.4.8下列任何情况发生时，视为供应商违约，其磋商保证金将被没收：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供应商在磋商有效期内撤回其磋商；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供应商成交后放弃成交、未能按规定签订合同；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3）供应商成交后将成交项目转让给他人，或者在竞争性磋商响应文件中未说明，且未经采购人同意，将成交项目分包给他人的；</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4）供应商事先未通告无故不参加磋商活动的；</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5）供应商在竞争性磋商响应文件中提供伪造、套改、虚假资料参加磋商的；</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6）供应商不按法定程序进行质疑和投诉,捏造事实，查无实据，造成恶劣影响导致采购活动无法正常进行的；</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3.4.9磋商保证金的有</w:t>
      </w:r>
      <w:bookmarkStart w:id="26" w:name="OLE_LINK47"/>
      <w:r>
        <w:rPr>
          <w:rFonts w:hint="eastAsia" w:ascii="仿宋" w:hAnsi="仿宋" w:eastAsia="仿宋" w:cs="仿宋"/>
          <w:color w:val="auto"/>
          <w:sz w:val="24"/>
          <w:szCs w:val="24"/>
          <w:highlight w:val="none"/>
        </w:rPr>
        <w:t>效</w:t>
      </w:r>
      <w:bookmarkEnd w:id="26"/>
      <w:r>
        <w:rPr>
          <w:rFonts w:hint="eastAsia" w:ascii="仿宋" w:hAnsi="仿宋" w:eastAsia="仿宋" w:cs="仿宋"/>
          <w:color w:val="auto"/>
          <w:sz w:val="24"/>
          <w:szCs w:val="24"/>
          <w:highlight w:val="none"/>
        </w:rPr>
        <w:t>期与磋商有效期一致，担保机构出具的保函有效期为磋商有效期延长一个月。</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3.5备选磋商方案</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除供应商须知前附表另有规定外，供应商不得递交备选磋商方案。</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3.6竞争性磋商响应文件的编制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竞争性磋商响应文件应按“竞争性磋商响应文件格式”进行编写，如有必要，可以增加附页，作为竞争性磋商响应文件的组成部分。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竞争性磋商响应文件应当对竞争性磋商文件有关</w:t>
      </w:r>
      <w:r>
        <w:rPr>
          <w:rFonts w:hint="eastAsia" w:ascii="仿宋" w:hAnsi="仿宋" w:eastAsia="仿宋" w:cs="仿宋"/>
          <w:color w:val="auto"/>
          <w:sz w:val="24"/>
          <w:szCs w:val="24"/>
          <w:highlight w:val="none"/>
          <w:lang w:eastAsia="zh-CN"/>
        </w:rPr>
        <w:t>服务期</w:t>
      </w:r>
      <w:r>
        <w:rPr>
          <w:rFonts w:hint="eastAsia" w:ascii="仿宋" w:hAnsi="仿宋" w:eastAsia="仿宋" w:cs="仿宋"/>
          <w:color w:val="auto"/>
          <w:sz w:val="24"/>
          <w:szCs w:val="24"/>
          <w:highlight w:val="none"/>
        </w:rPr>
        <w:t>、磋商有效期、质量要求、技术标准和要求、</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范围等实质性内容作出响应。</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竞争性磋商响应文件应用不褪色的材料书写或打印，并由供应商的法定代表人或其委托代理人签字或盖章。委托代理人签字的，竞争性磋商响应文件应附法定代表人签署的授权委托书。竞争性磋商响应文件应尽量避免涂改、行间插字或删除。如果出现上述情况，改动之处应加盖供应商公章或由供应商的法定代表人或其授权的代理人签字确认。所有要求签字（名）处，均须由签字（名）者本人用不褪色的蓝(黑)色墨水(汁)书写，不得用任何形式的图章代替。</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3.6.4 竞争性磋商响应文件正本、副本份数见供应商须知前附表。正本和副本的封面上应清楚地标记“正本”或“副本”的字样。当副本和正本不一致时，以正本为准。竞争性磋商响应文件电子版</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word版磋商响应文件</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3.6.5 所有竞争性磋商响应文件正本和副本须按规定的顺序编排、编制目录。竞争性磋商响应文件封面、磋商响应函及其它有要求处必须加盖供应商公章并经法定代表人或其委托代理人签字或盖章，每一页的正下方清楚标明页码等字样，并分别胶装成册。</w:t>
      </w:r>
    </w:p>
    <w:p>
      <w:pPr>
        <w:keepNext w:val="0"/>
        <w:keepLines w:val="0"/>
        <w:pageBreakBefore w:val="0"/>
        <w:kinsoku/>
        <w:wordWrap/>
        <w:overflowPunct/>
        <w:topLinePunct w:val="0"/>
        <w:bidi w:val="0"/>
        <w:snapToGrid/>
        <w:spacing w:before="156" w:beforeLines="50" w:after="156" w:afterLines="50" w:line="360" w:lineRule="auto"/>
        <w:textAlignment w:val="auto"/>
        <w:rPr>
          <w:rFonts w:hint="eastAsia" w:ascii="仿宋" w:hAnsi="仿宋" w:eastAsia="仿宋" w:cs="仿宋"/>
          <w:b/>
          <w:bCs/>
          <w:color w:val="auto"/>
          <w:sz w:val="24"/>
          <w:szCs w:val="24"/>
          <w:highlight w:val="none"/>
        </w:rPr>
      </w:pPr>
      <w:bookmarkStart w:id="27" w:name="_Toc421778368"/>
      <w:bookmarkStart w:id="28" w:name="_Toc425240467"/>
      <w:bookmarkStart w:id="29" w:name="_Toc420591646"/>
      <w:r>
        <w:rPr>
          <w:rFonts w:hint="eastAsia" w:ascii="仿宋" w:hAnsi="仿宋" w:eastAsia="仿宋" w:cs="仿宋"/>
          <w:b/>
          <w:bCs/>
          <w:color w:val="auto"/>
          <w:sz w:val="24"/>
          <w:szCs w:val="24"/>
          <w:highlight w:val="none"/>
        </w:rPr>
        <w:t>4．</w:t>
      </w:r>
      <w:bookmarkEnd w:id="27"/>
      <w:bookmarkEnd w:id="28"/>
      <w:bookmarkEnd w:id="29"/>
      <w:r>
        <w:rPr>
          <w:rFonts w:hint="eastAsia" w:ascii="仿宋" w:hAnsi="仿宋" w:eastAsia="仿宋" w:cs="仿宋"/>
          <w:b/>
          <w:bCs/>
          <w:color w:val="auto"/>
          <w:sz w:val="24"/>
          <w:szCs w:val="24"/>
          <w:highlight w:val="none"/>
        </w:rPr>
        <w:t>磋商</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 竞争性磋商响应文件的密封和标记</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4.1.1竞争性磋商响应文件的密封：竞争性磋商响应文件须胶装成套且须用密封袋密封，包括竞争性磋商响应文件正本、副本、竞争性磋商响应文件电子版。</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4.1.2竞争性磋商响应文件的正本须单独包装，副本包装在一个封套内、电子版文件包装在一个封套内；所有封套均应加贴封条，并在封套的封口处加盖供应商公章及法定代表人或其委托代理人签字或盖章。</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竞争性磋商响应文件的封套上应清楚地标记“正本”、“副本”、“电子版”字样，封套上应写明的其他内容见供应商须知前附表。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4.1.4未按本章第3.6.4、第3.6.5项和第4.1.2 、第4.1.3项要求密封和加写标记的竞争性磋商响应文件，采购代理机构不予受理。</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4.2 竞争性磋商响应文件的递交</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 供应商应在供应商须知前附表第4.2.2 项规定的磋商截止时间前递交竞争性磋商响应文件。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 供应商递交竞争性磋商响应文件的地点：见供应商须知前附表。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 供应商所递交的竞争性磋商响应文件不予退还。</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4.2.4逾期送达的或者未送达指定地点的竞争性磋商响应文件，采购代理机构不予受理。</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4.3 竞争性磋商响应文件的修改与撤回</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30" w:name="_Toc425240468"/>
      <w:bookmarkStart w:id="31" w:name="_Toc420591647"/>
      <w:bookmarkStart w:id="32" w:name="_Toc421778369"/>
      <w:r>
        <w:rPr>
          <w:rFonts w:hint="eastAsia" w:ascii="仿宋" w:hAnsi="仿宋" w:eastAsia="仿宋" w:cs="仿宋"/>
          <w:color w:val="auto"/>
          <w:sz w:val="24"/>
          <w:szCs w:val="24"/>
          <w:highlight w:val="none"/>
        </w:rPr>
        <w:t>4.3.1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 供应商的修改或撤回或变动价格的通知应按本须知的规定编制、密封、标记和递交。</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4.3.3 在磋商截止时间之后，供应商不得对其竞争性磋商响应文件做任何修改或撤回。</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bookmarkEnd w:id="30"/>
      <w:bookmarkEnd w:id="31"/>
      <w:bookmarkEnd w:id="32"/>
      <w:r>
        <w:rPr>
          <w:rFonts w:hint="eastAsia" w:ascii="仿宋" w:hAnsi="仿宋" w:eastAsia="仿宋" w:cs="仿宋"/>
          <w:b/>
          <w:bCs/>
          <w:color w:val="auto"/>
          <w:sz w:val="24"/>
          <w:szCs w:val="24"/>
          <w:highlight w:val="none"/>
        </w:rPr>
        <w:t>磋商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5.1 磋商时间和地点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5.2磋商程序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主持人按下列程序进行磋商：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（1）宣布磋商项目名称及竞争性磋商响应文件接收截止时间，终止一切竞争性磋商响应文件的接收工作，并宣布磋商会议开始；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（2）介绍采购人、采购代理机构、监督管理部门和招标工作人员；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（3）宣布本项目供应商签到名单；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（4）宣布磋商会议纪律；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pPr>
      <w:bookmarkStart w:id="33" w:name="_Toc425240469"/>
      <w:bookmarkStart w:id="34" w:name="_Toc421778370"/>
      <w:bookmarkStart w:id="35" w:name="_Toc420591648"/>
      <w:r>
        <w:rPr>
          <w:rFonts w:hint="eastAsia" w:ascii="仿宋" w:hAnsi="仿宋" w:eastAsia="仿宋" w:cs="仿宋"/>
          <w:color w:val="auto"/>
          <w:sz w:val="24"/>
          <w:szCs w:val="24"/>
          <w:highlight w:val="none"/>
        </w:rPr>
        <w:t>（5）由采购人查验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出席开标资格，查验证件原件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u w:val="single"/>
          <w14:textFill>
            <w14:solidFill>
              <w14:schemeClr w14:val="tx1"/>
            </w14:solidFill>
          </w14:textFill>
        </w:rPr>
        <w:t>法人授权委托书、授权委托人身份证复印件及原件（法人出场的只需出具身份证明、本人身份证原件及复印件）</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）按照供应商须知前附表规定检查竞争性磋商响应文件的密封情况；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）在采购人（监标人）的监督下，将竞争性磋商响应文件送交磋商小组评审；评标委员会在符合性评审的基础上对各供应商的投标文件认真阅读，并对采购内容、商务报价、</w:t>
      </w:r>
      <w:r>
        <w:rPr>
          <w:rFonts w:hint="eastAsia" w:ascii="仿宋" w:hAnsi="仿宋" w:eastAsia="仿宋" w:cs="仿宋"/>
          <w:color w:val="auto"/>
          <w:sz w:val="24"/>
          <w:szCs w:val="24"/>
          <w:highlight w:val="none"/>
          <w:lang w:eastAsia="zh-CN"/>
        </w:rPr>
        <w:t>实施方案</w:t>
      </w:r>
      <w:r>
        <w:rPr>
          <w:rFonts w:hint="eastAsia" w:ascii="仿宋" w:hAnsi="仿宋" w:eastAsia="仿宋" w:cs="仿宋"/>
          <w:color w:val="auto"/>
          <w:sz w:val="24"/>
          <w:szCs w:val="24"/>
          <w:highlight w:val="none"/>
        </w:rPr>
        <w:t>等内容进行详细的评审。各供应商应评标委员会的要求对投标文件中的技术、商务价格、服务等内容按要求进行补充、完善、澄清、承诺，但补充完善的内容必须在其被授权范围内。评标委员会以补充、完善后的内容作为评审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）磋商会议结束。</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bookmarkEnd w:id="33"/>
      <w:bookmarkEnd w:id="34"/>
      <w:bookmarkEnd w:id="35"/>
      <w:r>
        <w:rPr>
          <w:rFonts w:hint="eastAsia" w:ascii="仿宋" w:hAnsi="仿宋" w:eastAsia="仿宋" w:cs="仿宋"/>
          <w:b/>
          <w:bCs/>
          <w:color w:val="auto"/>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6.1 磋商小组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由采购人依法组建的磋商小组负责。磋商小组由具备相关专业的专家</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eastAsia="zh-CN"/>
        </w:rPr>
        <w:t>及采购人代表</w:t>
      </w:r>
      <w:r>
        <w:rPr>
          <w:rFonts w:hint="eastAsia" w:ascii="仿宋" w:hAnsi="仿宋" w:eastAsia="仿宋" w:cs="仿宋"/>
          <w:color w:val="auto"/>
          <w:sz w:val="24"/>
          <w:szCs w:val="24"/>
          <w:highlight w:val="none"/>
          <w:lang w:val="en-US" w:eastAsia="zh-CN"/>
        </w:rPr>
        <w:t>1名</w:t>
      </w:r>
      <w:r>
        <w:rPr>
          <w:rFonts w:hint="eastAsia" w:ascii="仿宋" w:hAnsi="仿宋" w:eastAsia="仿宋" w:cs="仿宋"/>
          <w:color w:val="auto"/>
          <w:sz w:val="24"/>
          <w:szCs w:val="24"/>
          <w:highlight w:val="none"/>
          <w:lang w:eastAsia="zh-CN"/>
        </w:rPr>
        <w:t>组成</w:t>
      </w:r>
      <w:r>
        <w:rPr>
          <w:rFonts w:hint="eastAsia" w:ascii="仿宋" w:hAnsi="仿宋" w:eastAsia="仿宋" w:cs="仿宋"/>
          <w:color w:val="auto"/>
          <w:sz w:val="24"/>
          <w:szCs w:val="24"/>
          <w:highlight w:val="none"/>
        </w:rPr>
        <w:t>。磋商小组按照竞争性磋商文件规定的评审方法独立进行评审工作。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6.2 评审原则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评审活动遵循公平、公正、科学和择优的原则。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6.3 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6.3.1竞争性磋商文件和竞争性磋商响应文件是评审的依据。在评审中，不得改变竞争性磋商文件中规定的评审标准、方法和成交条件。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6.3.3如果供应商在澄清规定期限内，未能答复或拒绝答复磋商小组提出的澄清要求，将由磋商小组根据其竞争性磋商响应文件按最大风险进行评审。</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6.3.4磋商过程中的实质性变动：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6.3.4.1在磋商过程中，磋商小组可以根据竞争性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6.3.4.2对竞争性磋商文件做出的实质性变动是竞争性磋商文件的有效组成部分，磋商小组应当及时以书面形式通知所有参加磋商的供应商。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6.3.5竞争性磋商响应文件的初审（含资格性检查和符合性检查）。</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6.3.5.1</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将审查竞争性磋商响应文件是否完整、资格证明文件是否齐全，磋商保证金是否合格、有无计算上的错误等。</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6.3.5.2计算错误将按以下方法更正：</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（1）竞争性磋商响应文件中磋商报价表(报价表)内容与竞争性磋商响应文件中相应内容不一致的，以磋商报价表(报价表)为准；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（2）竞争性磋商响应文件的大写金额和小写金额不一致的，以大写金额为准；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（3）单价金额小数点或者百分比有明显错位的，以竞争性磋商响应的磋商报价表的总价为准，并修改单价；</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按上述修正的顺序和方法调整的报价应对供应商具有约束力。如果供应商不接受修正后的价格，其响应文件将按无效响应处理。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6.3.5.3对于竞争性磋商响应文件中明显的标点符号错误或不构成实质性偏差的不正规、不一致或不规则，采购人可以接受。</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6.3.5.4在详细评审之前，根据本须知第6.3.5.5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竞争性磋商响应文件本身的内容，而不寻求外部的证据。</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6.3.5.5实质上没有响应竞争性磋商文件要求的磋商将被拒绝。供应商不得通过修正或撤销不合要求的偏离从而使其磋商成为实质性响应的磋商。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如发现下列情况之一的，其磋商将构成非实质性响应，按无效磋商处理：</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1）没有按照竞争性磋商文件要求提供的竞争性磋商响应文件或竞争性磋商响应文件构成有重大缺项；</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2）竞争性磋商响应文件未按竞争性磋商文件要求密封</w:t>
      </w:r>
      <w:r>
        <w:rPr>
          <w:rFonts w:hint="eastAsia" w:ascii="仿宋" w:hAnsi="仿宋" w:eastAsia="仿宋" w:cs="仿宋"/>
          <w:b/>
          <w:bCs/>
          <w:color w:val="auto"/>
          <w:sz w:val="24"/>
          <w:szCs w:val="24"/>
          <w:highlight w:val="none"/>
          <w:lang w:eastAsia="zh-CN"/>
        </w:rPr>
        <w:t>且标袋密封破损</w:t>
      </w:r>
      <w:r>
        <w:rPr>
          <w:rFonts w:hint="eastAsia" w:ascii="仿宋" w:hAnsi="仿宋" w:eastAsia="仿宋" w:cs="仿宋"/>
          <w:b/>
          <w:bCs/>
          <w:color w:val="auto"/>
          <w:sz w:val="24"/>
          <w:szCs w:val="24"/>
          <w:highlight w:val="none"/>
        </w:rPr>
        <w:t>、签署、盖章的；</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3）供应商未按竞争性磋商文件要求提交磋商保证金或保函的；</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4）资格证明文件不全的或无效的，或不符合国家规定的；</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pacing w:val="-6"/>
          <w:sz w:val="24"/>
          <w:szCs w:val="24"/>
          <w:highlight w:val="none"/>
        </w:rPr>
        <w:t>无磋商有效期或有效期达不到竞争性磋商文件要求的</w:t>
      </w:r>
      <w:r>
        <w:rPr>
          <w:rFonts w:hint="eastAsia" w:ascii="仿宋" w:hAnsi="仿宋" w:eastAsia="仿宋" w:cs="仿宋"/>
          <w:b/>
          <w:bCs/>
          <w:color w:val="auto"/>
          <w:sz w:val="24"/>
          <w:szCs w:val="24"/>
          <w:highlight w:val="none"/>
        </w:rPr>
        <w:t>；</w:t>
      </w:r>
    </w:p>
    <w:p>
      <w:pPr>
        <w:keepNext w:val="0"/>
        <w:keepLines w:val="0"/>
        <w:pageBreakBefore w:val="0"/>
        <w:tabs>
          <w:tab w:val="left" w:pos="1260"/>
        </w:tabs>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6）供应商有串通磋商、以他人名义磋商、行贿、提供虚假证明（包括第三方提供的虚假证明），开具虚假资质，出现虚假应答的，除按无效文件处理外，还将按照政府采购的有关规定进行处罚；</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7）磋商总报价超过竞争性磋商文件公布的采购预算的。</w:t>
      </w:r>
    </w:p>
    <w:p>
      <w:pPr>
        <w:pStyle w:val="18"/>
        <w:keepNext w:val="0"/>
        <w:keepLines w:val="0"/>
        <w:pageBreakBefore w:val="0"/>
        <w:kinsoku/>
        <w:wordWrap/>
        <w:overflowPunct/>
        <w:topLinePunct w:val="0"/>
        <w:bidi w:val="0"/>
        <w:snapToGrid/>
        <w:spacing w:before="0" w:beforeAutospacing="0" w:after="0" w:afterAutospacing="0" w:line="360" w:lineRule="auto"/>
        <w:ind w:firstLine="482" w:firstLineChars="200"/>
        <w:jc w:val="both"/>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8）竞争性磋商响应文件含有采购人不能接受的附加条件的；</w:t>
      </w:r>
    </w:p>
    <w:p>
      <w:pPr>
        <w:pStyle w:val="18"/>
        <w:keepNext w:val="0"/>
        <w:keepLines w:val="0"/>
        <w:pageBreakBefore w:val="0"/>
        <w:kinsoku/>
        <w:wordWrap/>
        <w:overflowPunct/>
        <w:topLinePunct w:val="0"/>
        <w:bidi w:val="0"/>
        <w:snapToGrid/>
        <w:spacing w:before="0" w:beforeAutospacing="0" w:after="0" w:afterAutospacing="0" w:line="360" w:lineRule="auto"/>
        <w:ind w:firstLine="482" w:firstLineChars="200"/>
        <w:jc w:val="both"/>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9）供应商被列入失信被执行人、重大税收违法案件当事人名单、政府采购严重违法失信行为记录名单的；</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10）法律、法规规定的其他无效情形。</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6.3.6竞争性磋商响应文件的详细评审</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6.3.6.1磋商小组将按照本须知第6.3.5.5条规定，只对确定为实质性响应竞争性磋商文件要求的竞争性磋商响应文件进行详细评审。</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6.3.6.2详细评审按照“供应商须知前附表”的评审方法进行。</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6.3.7成交候选人的确定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磋商小组完成评审后，向采购人提出书面评审，并推荐1-3名成交候选人，标明排列顺序。</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6.3.8评审过程的保密</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36" w:name="_Toc420591649"/>
      <w:bookmarkStart w:id="37" w:name="_Toc425240470"/>
      <w:bookmarkStart w:id="38" w:name="_Toc421778371"/>
      <w:r>
        <w:rPr>
          <w:rFonts w:hint="eastAsia" w:ascii="仿宋" w:hAnsi="仿宋" w:eastAsia="仿宋" w:cs="仿宋"/>
          <w:color w:val="auto"/>
          <w:sz w:val="24"/>
          <w:szCs w:val="24"/>
          <w:highlight w:val="none"/>
        </w:rPr>
        <w:t>磋商小组成员和与评审活动有关的工作人员不得泄露有关竞争性磋商响应文件的评审和比较、成交候选人的推荐以及与评审有关的其他情况。</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6.3.9评审程序</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keepNext w:val="0"/>
        <w:keepLines w:val="0"/>
        <w:pageBreakBefore w:val="0"/>
        <w:kinsoku/>
        <w:wordWrap/>
        <w:overflowPunct/>
        <w:topLinePunct w:val="0"/>
        <w:bidi w:val="0"/>
        <w:snapToGrid/>
        <w:spacing w:before="156" w:beforeLines="50" w:after="156" w:after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7．合同授予</w:t>
      </w:r>
      <w:bookmarkEnd w:id="36"/>
      <w:bookmarkEnd w:id="37"/>
      <w:bookmarkEnd w:id="38"/>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7.1 定标方式</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采购代理机构应在评标结束后二个工作日内，将评标报告送采购人定标。</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采购人在收到评标报告后五个工作日内，根据评标报告对评标过程及结果进行严格审核后确定成交供应商，复函采购代理机构。</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7.2 成交通知</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7.2.1采购代理机构在接到采购人的“定标复函”后，在指定的媒体上公告成交结果，公告期限为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个工作日，并向成交供应商发“成交通知书”。</w:t>
      </w:r>
      <w:r>
        <w:rPr>
          <w:rFonts w:hint="eastAsia" w:ascii="仿宋" w:hAnsi="仿宋" w:eastAsia="仿宋" w:cs="仿宋"/>
          <w:b/>
          <w:bCs/>
          <w:color w:val="auto"/>
          <w:sz w:val="24"/>
          <w:szCs w:val="24"/>
          <w:highlight w:val="none"/>
        </w:rPr>
        <w:t>成交单位在领取成交通知书时须携带法定代表人授权书及加盖单位公章的被授权人身份证复印件。</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7.2.2成交通知书对采购人和成交单位具有同等法律效力。成交通知书发出之后，采购人改变中标结果，或者成交单位放弃中标，应当承担相应的法律责任。</w:t>
      </w:r>
    </w:p>
    <w:p>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7.3 签订合同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采购人应当自成交通知书发出之日起三十日内，按照竞争性磋商文件和成交单位竞争性磋商响应文件（包括评审中形成的澄清文件）的约定，与成交单位签订书面合同。所签订的合同不得对竞争性磋商文件和成交单位的竞争性磋商响应文件（包括评审中形成的澄清文件）作实质性修改。</w:t>
      </w:r>
    </w:p>
    <w:p>
      <w:pPr>
        <w:keepNext w:val="0"/>
        <w:keepLines w:val="0"/>
        <w:pageBreakBefore w:val="0"/>
        <w:kinsoku/>
        <w:wordWrap/>
        <w:overflowPunct/>
        <w:topLinePunct w:val="0"/>
        <w:bidi w:val="0"/>
        <w:snapToGrid/>
        <w:spacing w:before="156" w:beforeLines="50" w:after="156" w:afterLines="50" w:line="360" w:lineRule="auto"/>
        <w:textAlignment w:val="auto"/>
        <w:rPr>
          <w:rFonts w:hint="eastAsia" w:ascii="仿宋" w:hAnsi="仿宋" w:eastAsia="仿宋" w:cs="仿宋"/>
          <w:b/>
          <w:bCs/>
          <w:color w:val="auto"/>
          <w:sz w:val="24"/>
          <w:szCs w:val="24"/>
          <w:highlight w:val="none"/>
        </w:rPr>
      </w:pPr>
      <w:bookmarkStart w:id="39" w:name="_Toc420591652"/>
      <w:bookmarkStart w:id="40" w:name="_Toc421778374"/>
      <w:bookmarkStart w:id="41" w:name="_Toc425240473"/>
      <w:r>
        <w:rPr>
          <w:rFonts w:hint="eastAsia" w:ascii="仿宋" w:hAnsi="仿宋" w:eastAsia="仿宋" w:cs="仿宋"/>
          <w:b/>
          <w:bCs/>
          <w:color w:val="auto"/>
          <w:sz w:val="24"/>
          <w:szCs w:val="24"/>
          <w:highlight w:val="none"/>
        </w:rPr>
        <w:t>8、需要补充的其他内容：</w:t>
      </w:r>
      <w:bookmarkStart w:id="42" w:name="_Toc356305901"/>
      <w:r>
        <w:rPr>
          <w:rFonts w:hint="eastAsia" w:ascii="仿宋" w:hAnsi="仿宋" w:eastAsia="仿宋" w:cs="仿宋"/>
          <w:b/>
          <w:bCs/>
          <w:color w:val="auto"/>
          <w:sz w:val="24"/>
          <w:szCs w:val="24"/>
          <w:highlight w:val="none"/>
        </w:rPr>
        <w:t>详见供应商须知前附表</w:t>
      </w:r>
      <w:bookmarkEnd w:id="42"/>
      <w:r>
        <w:rPr>
          <w:rFonts w:hint="eastAsia" w:ascii="仿宋" w:hAnsi="仿宋" w:eastAsia="仿宋" w:cs="仿宋"/>
          <w:b/>
          <w:bCs/>
          <w:color w:val="auto"/>
          <w:sz w:val="24"/>
          <w:szCs w:val="24"/>
          <w:highlight w:val="none"/>
        </w:rPr>
        <w:t>。</w:t>
      </w:r>
      <w:bookmarkEnd w:id="39"/>
      <w:bookmarkEnd w:id="40"/>
      <w:bookmarkEnd w:id="41"/>
    </w:p>
    <w:p>
      <w:pPr>
        <w:keepNext w:val="0"/>
        <w:keepLines w:val="0"/>
        <w:pageBreakBefore w:val="0"/>
        <w:kinsoku/>
        <w:wordWrap/>
        <w:overflowPunct/>
        <w:topLinePunct w:val="0"/>
        <w:bidi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9、质疑</w:t>
      </w:r>
    </w:p>
    <w:p>
      <w:pPr>
        <w:keepNext w:val="0"/>
        <w:keepLines w:val="0"/>
        <w:pageBreakBefore w:val="0"/>
        <w:kinsoku/>
        <w:wordWrap/>
        <w:overflowPunct/>
        <w:topLinePunct w:val="0"/>
        <w:bidi w:val="0"/>
        <w:snapToGrid/>
        <w:spacing w:line="360" w:lineRule="auto"/>
        <w:ind w:right="12" w:firstLine="480"/>
        <w:textAlignment w:val="auto"/>
        <w:rPr>
          <w:rFonts w:hint="eastAsia" w:ascii="仿宋" w:hAnsi="仿宋" w:eastAsia="仿宋" w:cs="仿宋"/>
          <w:color w:val="auto"/>
          <w:sz w:val="24"/>
          <w:szCs w:val="24"/>
          <w:highlight w:val="none"/>
        </w:rPr>
      </w:pPr>
      <w:bookmarkStart w:id="43" w:name="_Toc421778376"/>
      <w:r>
        <w:rPr>
          <w:rFonts w:hint="eastAsia" w:ascii="仿宋" w:hAnsi="仿宋" w:eastAsia="仿宋" w:cs="仿宋"/>
          <w:color w:val="auto"/>
          <w:sz w:val="24"/>
          <w:szCs w:val="24"/>
          <w:highlight w:val="none"/>
        </w:rPr>
        <w:t>9.1供应商认为磋商文件、采购过程、成交结果使自己的权益受到损害的，可以在知道或者应知其权益受到损害之日起7个工作日内，以书面形式向采购人、采购代理机构提出质疑。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kinsoku/>
        <w:wordWrap/>
        <w:overflowPunct/>
        <w:topLinePunct w:val="0"/>
        <w:bidi w:val="0"/>
        <w:snapToGrid/>
        <w:spacing w:line="360" w:lineRule="auto"/>
        <w:ind w:right="12"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9.2供应商必须在法定质疑期内一次性提出针对同一采购程序环节的质疑。</w:t>
      </w:r>
    </w:p>
    <w:p>
      <w:pPr>
        <w:keepNext w:val="0"/>
        <w:keepLines w:val="0"/>
        <w:pageBreakBefore w:val="0"/>
        <w:kinsoku/>
        <w:wordWrap/>
        <w:overflowPunct/>
        <w:topLinePunct w:val="0"/>
        <w:bidi w:val="0"/>
        <w:snapToGrid/>
        <w:spacing w:line="360" w:lineRule="auto"/>
        <w:ind w:right="12" w:firstLine="480"/>
        <w:textAlignment w:val="auto"/>
        <w:rPr>
          <w:rStyle w:val="22"/>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9</w:t>
      </w:r>
      <w:r>
        <w:rPr>
          <w:rStyle w:val="22"/>
          <w:rFonts w:hint="eastAsia" w:ascii="仿宋" w:hAnsi="仿宋" w:eastAsia="仿宋" w:cs="仿宋"/>
          <w:b w:val="0"/>
          <w:color w:val="auto"/>
          <w:sz w:val="24"/>
          <w:szCs w:val="24"/>
          <w:highlight w:val="none"/>
          <w:shd w:val="clear" w:color="auto" w:fill="FFFFFF"/>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kinsoku/>
        <w:wordWrap/>
        <w:overflowPunct/>
        <w:topLinePunct w:val="0"/>
        <w:bidi w:val="0"/>
        <w:snapToGrid/>
        <w:spacing w:line="360" w:lineRule="auto"/>
        <w:ind w:left="3" w:firstLine="518" w:firstLineChars="216"/>
        <w:textAlignment w:val="auto"/>
        <w:rPr>
          <w:rStyle w:val="22"/>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9</w:t>
      </w:r>
      <w:r>
        <w:rPr>
          <w:rStyle w:val="22"/>
          <w:rFonts w:hint="eastAsia" w:ascii="仿宋" w:hAnsi="仿宋" w:eastAsia="仿宋" w:cs="仿宋"/>
          <w:b w:val="0"/>
          <w:color w:val="auto"/>
          <w:sz w:val="24"/>
          <w:szCs w:val="24"/>
          <w:highlight w:val="none"/>
          <w:shd w:val="clear" w:color="auto" w:fill="FFFFFF"/>
        </w:rPr>
        <w:t>.4以联合体形式参加采购活动的，其质疑应当由组成联合体的所有供应商共同提出。</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9.5供应商提出质疑应当提交质疑函和必要的证明材料。质疑函应当包括下列内容：</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9.5.1供应商的姓名或者名称、地址、邮编、联系人及联系电话；</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9.5.2质疑项目的名称、编号；</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9.5.3具体、明确的质疑事项和与质疑事项相关的请求；</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9.5.4事实依据；</w:t>
      </w:r>
    </w:p>
    <w:p>
      <w:pPr>
        <w:keepNext w:val="0"/>
        <w:keepLines w:val="0"/>
        <w:pageBreakBefore w:val="0"/>
        <w:kinsoku/>
        <w:wordWrap/>
        <w:overflowPunct/>
        <w:topLinePunct w:val="0"/>
        <w:bidi w:val="0"/>
        <w:snapToGrid/>
        <w:spacing w:line="360" w:lineRule="auto"/>
        <w:ind w:right="1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9.5.5必要的法律依据；</w:t>
      </w:r>
    </w:p>
    <w:p>
      <w:pPr>
        <w:keepNext w:val="0"/>
        <w:keepLines w:val="0"/>
        <w:pageBreakBefore w:val="0"/>
        <w:kinsoku/>
        <w:wordWrap/>
        <w:overflowPunct/>
        <w:topLinePunct w:val="0"/>
        <w:bidi w:val="0"/>
        <w:snapToGrid/>
        <w:spacing w:line="360" w:lineRule="auto"/>
        <w:ind w:right="12" w:firstLine="480" w:firstLineChars="200"/>
        <w:textAlignment w:val="auto"/>
        <w:rPr>
          <w:rStyle w:val="22"/>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9.5.6提出质疑的日期。</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9.6有下列情形之一的，属于无效质疑，采购代理机构和采购人不予受理：</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9.6.1质疑供应商不是参与本次采购项目的供应商；</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9.6.2质疑供应商与质疑事项不存在利害关系的；</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9.6.3未在法定期限内提出质疑的；</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9.6.4质疑未以书面形式提出，或质疑函主要内容构成不完整的；</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9.6.5应当提交授权书而未提交的；</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9.6.6以非法手段取得证据、材料的；</w:t>
      </w:r>
    </w:p>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9.6.7质疑答复后，同一质疑人就同一事项或同一采购程序环节再次提出质疑的；</w:t>
      </w:r>
    </w:p>
    <w:p>
      <w:pPr>
        <w:keepNext w:val="0"/>
        <w:keepLines w:val="0"/>
        <w:pageBreakBefore w:val="0"/>
        <w:widowControl/>
        <w:kinsoku/>
        <w:wordWrap/>
        <w:overflowPunct/>
        <w:topLinePunct w:val="0"/>
        <w:bidi w:val="0"/>
        <w:snapToGrid/>
        <w:spacing w:line="360" w:lineRule="auto"/>
        <w:ind w:firstLine="480" w:firstLineChars="200"/>
        <w:textAlignment w:val="auto"/>
        <w:rPr>
          <w:rStyle w:val="22"/>
          <w:rFonts w:hint="eastAsia" w:ascii="仿宋" w:hAnsi="仿宋" w:eastAsia="仿宋" w:cs="仿宋"/>
          <w:b w:val="0"/>
          <w:color w:val="auto"/>
          <w:sz w:val="24"/>
          <w:szCs w:val="24"/>
          <w:highlight w:val="none"/>
          <w:shd w:val="clear" w:color="auto" w:fill="FFFFFF"/>
        </w:rPr>
      </w:pPr>
      <w:r>
        <w:rPr>
          <w:rFonts w:hint="eastAsia" w:ascii="仿宋" w:hAnsi="仿宋" w:eastAsia="仿宋" w:cs="仿宋"/>
          <w:color w:val="auto"/>
          <w:sz w:val="24"/>
          <w:szCs w:val="24"/>
          <w:highlight w:val="none"/>
        </w:rPr>
        <w:t>9.6.8不符合法律、法规、规章和政府采购监管机构规定的其他条件的。</w:t>
      </w:r>
    </w:p>
    <w:p>
      <w:pPr>
        <w:keepNext w:val="0"/>
        <w:keepLines w:val="0"/>
        <w:pageBreakBefore w:val="0"/>
        <w:kinsoku/>
        <w:wordWrap/>
        <w:overflowPunct/>
        <w:topLinePunct w:val="0"/>
        <w:bidi w:val="0"/>
        <w:snapToGrid/>
        <w:spacing w:line="360" w:lineRule="auto"/>
        <w:ind w:right="1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9.7质疑答复</w:t>
      </w:r>
    </w:p>
    <w:p>
      <w:pPr>
        <w:pStyle w:val="37"/>
        <w:keepNext w:val="0"/>
        <w:keepLines w:val="0"/>
        <w:pageBreakBefore w:val="0"/>
        <w:kinsoku/>
        <w:wordWrap/>
        <w:overflowPunct/>
        <w:topLinePunct w:val="0"/>
        <w:bidi w:val="0"/>
        <w:snapToGrid/>
        <w:spacing w:line="360" w:lineRule="auto"/>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9.7.1采购人或采购代理机构在收到质疑函后7个工作日内作出答复，并以书面形式通知质疑供应商和其他有关供应商。</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9.7.2质疑供应商对采购人、采购代理机构的答复不满意，或者采购人、采购代理机构未在规定时间内作出答复的，可以在答复期满后15个工作日内向监督部门提起投诉。</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9.8其他需要说明的事项</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9.8.1质疑函须按财政部《质疑函范本》给定的格式进行填写，范本下载详见【财政部国库司（gks.mof.gov.cn）】网站〖首页·政府采购管理〗栏目中的《政府采购供应商质疑函范本》。《政府采购供应商质疑函范本》链接地址：  </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http://gks.mof.gov.cn/zhengfucaigouguanli/201802/t20180201_2804589.html</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9.8.2接收质疑函的方式：书面形式</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9.8.3联系部门：</w:t>
      </w:r>
      <w:r>
        <w:rPr>
          <w:rFonts w:hint="eastAsia" w:ascii="仿宋" w:hAnsi="仿宋" w:eastAsia="仿宋" w:cs="仿宋"/>
          <w:color w:val="auto"/>
          <w:sz w:val="24"/>
          <w:szCs w:val="24"/>
          <w:highlight w:val="none"/>
          <w:lang w:eastAsia="zh-CN"/>
        </w:rPr>
        <w:t>泾清项目管理有限公司</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9.8.4联系电话：17629000608</w:t>
      </w:r>
    </w:p>
    <w:p>
      <w:pPr>
        <w:pStyle w:val="37"/>
        <w:keepNext w:val="0"/>
        <w:keepLines w:val="0"/>
        <w:pageBreakBefore w:val="0"/>
        <w:kinsoku/>
        <w:wordWrap/>
        <w:overflowPunct/>
        <w:topLinePunct w:val="0"/>
        <w:bidi w:val="0"/>
        <w:snapToGrid/>
        <w:spacing w:line="360" w:lineRule="auto"/>
        <w:ind w:firstLine="48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9.8.5通讯地址：</w:t>
      </w:r>
      <w:r>
        <w:rPr>
          <w:rFonts w:hint="eastAsia" w:ascii="仿宋" w:hAnsi="仿宋" w:eastAsia="仿宋" w:cs="仿宋"/>
          <w:color w:val="auto"/>
          <w:sz w:val="24"/>
          <w:szCs w:val="24"/>
          <w:highlight w:val="none"/>
          <w:lang w:eastAsia="zh-CN"/>
        </w:rPr>
        <w:t>宝鸡市金台大道华煤小区1幢1单元3005室</w:t>
      </w:r>
    </w:p>
    <w:p>
      <w:pPr>
        <w:keepNext w:val="0"/>
        <w:keepLines w:val="0"/>
        <w:pageBreakBefore w:val="0"/>
        <w:kinsoku/>
        <w:wordWrap/>
        <w:overflowPunct/>
        <w:topLinePunct w:val="0"/>
        <w:bidi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10.其他</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磋商步骤为：第一次报价---初步评审---分别磋商---第二次报价---综合评审推荐成交候选人。（以供应商递交的磋商响应文件中的总报价为第一次报价。分别磋商后，供应商现场填报的磋商响应总报价为第二次报价）</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成交单位确定后，成交单位无正当理由拖延或拒签合同的，采购人有权取消其成交资格，并按评审顺序重新确定成交单位。同时报请监督机构予以通报，禁止其进入政府采购市场，并没收其保证金。给采购人造成损失超过磋商保证金额的，供应商还应当对超过部分予以赔偿，并依法承担相应法律责任。</w:t>
      </w:r>
      <w:bookmarkStart w:id="44" w:name="_Toc14383"/>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10.4 </w:t>
      </w:r>
      <w:r>
        <w:rPr>
          <w:rFonts w:hint="eastAsia" w:ascii="仿宋" w:hAnsi="仿宋" w:eastAsia="仿宋" w:cs="仿宋"/>
          <w:color w:val="auto"/>
          <w:sz w:val="24"/>
          <w:szCs w:val="24"/>
          <w:highlight w:val="none"/>
          <w:lang w:val="zh-CN"/>
        </w:rPr>
        <w:t>成交服务费</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1、成交单位在领取成交通知书前，须向采购代理机构支付代理服务费。</w:t>
      </w:r>
    </w:p>
    <w:p>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2、服务费参</w:t>
      </w:r>
      <w:r>
        <w:rPr>
          <w:rFonts w:hint="eastAsia" w:ascii="仿宋" w:hAnsi="仿宋" w:eastAsia="仿宋" w:cs="仿宋"/>
          <w:color w:val="auto"/>
          <w:sz w:val="24"/>
          <w:szCs w:val="24"/>
          <w:highlight w:val="none"/>
          <w:lang w:eastAsia="zh-CN"/>
        </w:rPr>
        <w:t>考</w:t>
      </w:r>
      <w:r>
        <w:rPr>
          <w:rFonts w:hint="eastAsia" w:ascii="仿宋" w:hAnsi="仿宋" w:eastAsia="仿宋" w:cs="仿宋"/>
          <w:color w:val="auto"/>
          <w:sz w:val="24"/>
          <w:szCs w:val="24"/>
          <w:highlight w:val="none"/>
        </w:rPr>
        <w:t>《国家计委关于印发&lt;招标代理服务收费管理暂行办法&gt;的通知》（计价格[2002]1980号）和国家发展改革委员会办公厅颁发的《关于招标代理服务收费有关问题的通知》（发改办价格『2003』857号）规定标准收取。</w:t>
      </w:r>
    </w:p>
    <w:p>
      <w:pPr>
        <w:pStyle w:val="2"/>
        <w:spacing w:line="360" w:lineRule="auto"/>
        <w:rPr>
          <w:rFonts w:hint="eastAsia" w:ascii="仿宋" w:hAnsi="仿宋" w:eastAsia="仿宋" w:cs="仿宋"/>
          <w:color w:val="auto"/>
          <w:highlight w:val="none"/>
        </w:rPr>
      </w:pPr>
    </w:p>
    <w:p>
      <w:pPr>
        <w:spacing w:line="360" w:lineRule="auto"/>
        <w:jc w:val="center"/>
        <w:rPr>
          <w:rFonts w:hint="eastAsia" w:ascii="仿宋" w:hAnsi="仿宋" w:eastAsia="仿宋" w:cs="仿宋"/>
          <w:b/>
          <w:bCs/>
          <w:color w:val="auto"/>
          <w:sz w:val="32"/>
          <w:szCs w:val="32"/>
          <w:highlight w:val="none"/>
        </w:rPr>
      </w:pPr>
    </w:p>
    <w:p>
      <w:pPr>
        <w:pStyle w:val="13"/>
        <w:spacing w:line="360" w:lineRule="auto"/>
        <w:rPr>
          <w:rFonts w:hint="eastAsia" w:ascii="仿宋" w:hAnsi="仿宋" w:eastAsia="仿宋" w:cs="仿宋"/>
          <w:b/>
          <w:bCs/>
          <w:color w:val="auto"/>
          <w:sz w:val="32"/>
          <w:szCs w:val="32"/>
          <w:highlight w:val="none"/>
        </w:rPr>
      </w:pPr>
    </w:p>
    <w:p>
      <w:pPr>
        <w:pStyle w:val="13"/>
        <w:spacing w:line="360" w:lineRule="auto"/>
        <w:rPr>
          <w:rFonts w:hint="eastAsia" w:ascii="仿宋" w:hAnsi="仿宋" w:eastAsia="仿宋" w:cs="仿宋"/>
          <w:b/>
          <w:bCs/>
          <w:color w:val="auto"/>
          <w:sz w:val="32"/>
          <w:szCs w:val="32"/>
          <w:highlight w:val="none"/>
        </w:rPr>
      </w:pPr>
    </w:p>
    <w:p>
      <w:pPr>
        <w:pStyle w:val="13"/>
        <w:spacing w:line="360" w:lineRule="auto"/>
        <w:rPr>
          <w:rFonts w:hint="eastAsia" w:ascii="仿宋" w:hAnsi="仿宋" w:eastAsia="仿宋" w:cs="仿宋"/>
          <w:b/>
          <w:bCs/>
          <w:color w:val="auto"/>
          <w:sz w:val="32"/>
          <w:szCs w:val="32"/>
          <w:highlight w:val="none"/>
        </w:rPr>
      </w:pPr>
    </w:p>
    <w:p>
      <w:pPr>
        <w:pStyle w:val="13"/>
        <w:spacing w:line="360" w:lineRule="auto"/>
        <w:rPr>
          <w:rFonts w:hint="eastAsia" w:ascii="仿宋" w:hAnsi="仿宋" w:eastAsia="仿宋" w:cs="仿宋"/>
          <w:b/>
          <w:bCs/>
          <w:color w:val="auto"/>
          <w:sz w:val="32"/>
          <w:szCs w:val="32"/>
          <w:highlight w:val="none"/>
        </w:rPr>
      </w:pPr>
    </w:p>
    <w:p>
      <w:pPr>
        <w:pStyle w:val="13"/>
        <w:spacing w:line="360" w:lineRule="auto"/>
        <w:rPr>
          <w:rFonts w:hint="eastAsia" w:ascii="仿宋" w:hAnsi="仿宋" w:eastAsia="仿宋" w:cs="仿宋"/>
          <w:b/>
          <w:bCs/>
          <w:color w:val="auto"/>
          <w:sz w:val="32"/>
          <w:szCs w:val="32"/>
          <w:highlight w:val="none"/>
        </w:rPr>
      </w:pPr>
    </w:p>
    <w:p>
      <w:pPr>
        <w:spacing w:line="360" w:lineRule="auto"/>
        <w:jc w:val="center"/>
        <w:outlineLvl w:val="0"/>
        <w:rPr>
          <w:rFonts w:hint="eastAsia" w:ascii="仿宋" w:hAnsi="仿宋" w:eastAsia="仿宋" w:cs="仿宋"/>
          <w:b/>
          <w:bCs/>
          <w:color w:val="auto"/>
          <w:sz w:val="32"/>
          <w:szCs w:val="32"/>
          <w:highlight w:val="none"/>
        </w:rPr>
      </w:pPr>
      <w:bookmarkStart w:id="45" w:name="_Toc2595"/>
      <w:bookmarkStart w:id="46" w:name="_Toc28926"/>
      <w:r>
        <w:rPr>
          <w:rFonts w:hint="eastAsia" w:ascii="仿宋" w:hAnsi="仿宋" w:eastAsia="仿宋" w:cs="仿宋"/>
          <w:b/>
          <w:bCs/>
          <w:color w:val="auto"/>
          <w:sz w:val="32"/>
          <w:szCs w:val="32"/>
          <w:highlight w:val="none"/>
        </w:rPr>
        <w:t>第三章</w:t>
      </w:r>
      <w:bookmarkEnd w:id="43"/>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评审方法</w:t>
      </w:r>
      <w:bookmarkEnd w:id="44"/>
      <w:bookmarkEnd w:id="45"/>
      <w:bookmarkEnd w:id="46"/>
    </w:p>
    <w:p>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一、评审方法</w:t>
      </w:r>
    </w:p>
    <w:p>
      <w:pPr>
        <w:spacing w:line="360" w:lineRule="auto"/>
        <w:ind w:right="40" w:rightChars="19" w:firstLine="480" w:firstLineChars="200"/>
        <w:rPr>
          <w:rFonts w:hint="eastAsia" w:ascii="仿宋" w:hAnsi="仿宋" w:eastAsia="仿宋" w:cs="仿宋"/>
          <w:color w:val="auto"/>
          <w:sz w:val="24"/>
          <w:szCs w:val="24"/>
          <w:highlight w:val="none"/>
        </w:rPr>
      </w:pPr>
      <w:bookmarkStart w:id="47" w:name="_Toc465432103"/>
      <w:r>
        <w:rPr>
          <w:rFonts w:hint="eastAsia" w:ascii="仿宋" w:hAnsi="仿宋" w:eastAsia="仿宋" w:cs="仿宋"/>
          <w:color w:val="auto"/>
          <w:sz w:val="24"/>
          <w:szCs w:val="24"/>
          <w:highlight w:val="none"/>
        </w:rPr>
        <w:t>本次评标采用综合评分法，即在最大限度地满足竞争性磋商文件实质性要求前提下，按照竞争性磋商文件中规定的各项因素和相应的权重分值进行综合评审后，以总得分最高的响应单位作为成交候选人并依次排序。</w:t>
      </w:r>
    </w:p>
    <w:p>
      <w:pPr>
        <w:spacing w:line="360" w:lineRule="auto"/>
        <w:ind w:right="40" w:rightChars="1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二、评审原则</w:t>
      </w:r>
      <w:bookmarkEnd w:id="47"/>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按照竞争性磋商响应文件初审、</w:t>
      </w:r>
      <w:r>
        <w:rPr>
          <w:rFonts w:hint="eastAsia" w:ascii="仿宋" w:hAnsi="仿宋" w:eastAsia="仿宋" w:cs="仿宋"/>
          <w:color w:val="auto"/>
          <w:kern w:val="0"/>
          <w:sz w:val="24"/>
          <w:highlight w:val="none"/>
          <w:lang w:eastAsia="zh-CN"/>
        </w:rPr>
        <w:t>详审、</w:t>
      </w:r>
      <w:r>
        <w:rPr>
          <w:rFonts w:hint="eastAsia" w:ascii="仿宋" w:hAnsi="仿宋" w:eastAsia="仿宋" w:cs="仿宋"/>
          <w:color w:val="auto"/>
          <w:kern w:val="0"/>
          <w:sz w:val="24"/>
          <w:highlight w:val="none"/>
        </w:rPr>
        <w:t>澄清有关问题、分别磋商、二次报价、比较与评审、推荐成交候选人名单。在上一步评审中被认定为无效磋商者，不进入下一步的评审。</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三、政策性扣减</w:t>
      </w:r>
    </w:p>
    <w:p>
      <w:pPr>
        <w:numPr>
          <w:ilvl w:val="0"/>
          <w:numId w:val="0"/>
        </w:numPr>
        <w:tabs>
          <w:tab w:val="left" w:pos="0"/>
          <w:tab w:val="left" w:pos="10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z w:val="24"/>
        </w:rPr>
        <w:t>落实促进支持中小企业、监狱企业、残疾人福利性单位发展、脱贫攻坚工作的政策(如为专门面向中小企业的采购项目（或采购包），不执行1.1、1.2、1.3条款的加分或者扣除)。</w:t>
      </w:r>
    </w:p>
    <w:p>
      <w:pPr>
        <w:numPr>
          <w:ilvl w:val="1"/>
          <w:numId w:val="4"/>
        </w:numPr>
        <w:tabs>
          <w:tab w:val="left" w:pos="0"/>
          <w:tab w:val="left" w:pos="1080"/>
        </w:tabs>
        <w:spacing w:line="360" w:lineRule="auto"/>
        <w:ind w:firstLine="480" w:firstLineChars="200"/>
        <w:rPr>
          <w:rFonts w:hint="eastAsia" w:ascii="仿宋" w:hAnsi="仿宋" w:eastAsia="仿宋" w:cs="仿宋"/>
          <w:sz w:val="24"/>
        </w:rPr>
      </w:pPr>
      <w:bookmarkStart w:id="48" w:name="_Toc363463333"/>
      <w:r>
        <w:rPr>
          <w:rFonts w:hint="eastAsia" w:ascii="仿宋" w:hAnsi="仿宋" w:eastAsia="仿宋" w:cs="仿宋"/>
          <w:sz w:val="24"/>
        </w:rPr>
        <w:t>《政府采购促进中小企业发展管理办法》（财库〔2020〕46号）</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在政府采购活动中，供应商提供的货物、工程或者服务符合下列情形的，享受《办法》规定的中小企业扶持政策:</w:t>
      </w:r>
    </w:p>
    <w:p>
      <w:pPr>
        <w:numPr>
          <w:ilvl w:val="0"/>
          <w:numId w:val="5"/>
        </w:numPr>
        <w:tabs>
          <w:tab w:val="left" w:pos="0"/>
          <w:tab w:val="left" w:pos="1080"/>
          <w:tab w:val="clear" w:pos="312"/>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在货物采购项目中，货物由中小企业制造，即货物由中小企业生产且使用该中小企业商号或者注册商标；</w:t>
      </w:r>
    </w:p>
    <w:p>
      <w:pPr>
        <w:numPr>
          <w:ilvl w:val="0"/>
          <w:numId w:val="5"/>
        </w:numPr>
        <w:tabs>
          <w:tab w:val="left" w:pos="0"/>
          <w:tab w:val="left" w:pos="1080"/>
          <w:tab w:val="clear" w:pos="312"/>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在工程采购项目中，工程由中小企业承建，即工程施工单位为中小企业；</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(三)在服务采购项目中，服务由中小企业承接，即提供服务的人员为中小企业依照《中华人民共和国劳动民法典》订立劳动合同的从业人员。</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在货物采购项目中，供应商提供的货物既有中小企业制造货物，也有大型企业制造货物的，不享受《办法》规定的中小企业扶持政策。</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以联合体形式参加政府采购活动，联合体各方均为中小企业的，联合体视同中小企业。其中，联合体各方均为小微企业的，联合体视同小微企业。</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依据《办法》规定享受扶持政策获得政府采购合同的，小微企业不得将合同分包给大中型企业，中型企业不得将合同分包给大型企业。</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根据《政府采购促进中小企业发展管理办法》的相关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《财政部司法部关于政府采购支持监狱企业发展有关问题的通知》（财库〔2014〕68号） </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1.3 《三部门联合发布关于促进残疾人就业政府采购政策的通知》（财库〔2017〕141号）；</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2、落实优先采购节能、环保产品的政策</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仿宋" w:hAnsi="仿宋" w:eastAsia="仿宋" w:cs="仿宋"/>
          <w:sz w:val="24"/>
        </w:rPr>
        <w:cr/>
      </w:r>
      <w:r>
        <w:rPr>
          <w:rFonts w:hint="eastAsia" w:ascii="仿宋" w:hAnsi="仿宋" w:eastAsia="仿宋" w:cs="仿宋"/>
          <w:sz w:val="24"/>
        </w:rPr>
        <w:t>所有投标产品进入 “节能产品政府采购品目清单”的，应提供相关证书复印件，相关证书的颁发机构应来自《参与实施政府采购节能产品认证机构名录》。</w:t>
      </w:r>
    </w:p>
    <w:p>
      <w:pPr>
        <w:tabs>
          <w:tab w:val="left" w:pos="0"/>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所有投标产品进入“环境标志产品政府采购品目清单”的，应提供相关证书复印件，相关证书的颁发机构应来自《参与实施政府采购环境标志产品认证机构名录》。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四、评审程序</w:t>
      </w:r>
      <w:bookmarkEnd w:id="48"/>
    </w:p>
    <w:p>
      <w:pPr>
        <w:pStyle w:val="16"/>
        <w:spacing w:line="360" w:lineRule="auto"/>
        <w:ind w:left="0" w:firstLine="496" w:firstLineChars="200"/>
        <w:rPr>
          <w:rFonts w:hint="eastAsia" w:ascii="仿宋" w:hAnsi="仿宋" w:eastAsia="仿宋" w:cs="仿宋"/>
          <w:bCs/>
          <w:color w:val="auto"/>
          <w:spacing w:val="4"/>
          <w:highlight w:val="none"/>
        </w:rPr>
      </w:pPr>
      <w:r>
        <w:rPr>
          <w:rFonts w:hint="eastAsia" w:ascii="仿宋" w:hAnsi="仿宋" w:eastAsia="仿宋" w:cs="仿宋"/>
          <w:bCs/>
          <w:color w:val="auto"/>
          <w:spacing w:val="4"/>
          <w:highlight w:val="none"/>
        </w:rPr>
        <w:t>按照竞争性磋商响应文件初审、</w:t>
      </w:r>
      <w:r>
        <w:rPr>
          <w:rFonts w:hint="eastAsia" w:ascii="仿宋" w:hAnsi="仿宋" w:eastAsia="仿宋" w:cs="仿宋"/>
          <w:bCs/>
          <w:color w:val="auto"/>
          <w:spacing w:val="4"/>
          <w:highlight w:val="none"/>
          <w:lang w:eastAsia="zh-CN"/>
        </w:rPr>
        <w:t>详审、</w:t>
      </w:r>
      <w:r>
        <w:rPr>
          <w:rFonts w:hint="eastAsia" w:ascii="仿宋" w:hAnsi="仿宋" w:eastAsia="仿宋" w:cs="仿宋"/>
          <w:bCs/>
          <w:color w:val="auto"/>
          <w:spacing w:val="4"/>
          <w:highlight w:val="none"/>
        </w:rPr>
        <w:t>澄清有关问题、分别磋商、二次报价、比较与评审、推荐成交候选人名单。在上一步评审中被认定为无效磋商者，不进入下一步的评审。</w:t>
      </w:r>
    </w:p>
    <w:p>
      <w:pPr>
        <w:tabs>
          <w:tab w:val="left" w:pos="0"/>
        </w:tabs>
        <w:adjustRightInd w:val="0"/>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1、对磋商响应文件的初审：</w:t>
      </w:r>
    </w:p>
    <w:p>
      <w:pPr>
        <w:tabs>
          <w:tab w:val="left" w:pos="0"/>
        </w:tabs>
        <w:adjustRightInd w:val="0"/>
        <w:snapToGrid w:val="0"/>
        <w:spacing w:line="360" w:lineRule="auto"/>
        <w:ind w:firstLine="472" w:firstLineChars="196"/>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1.1资格性审查：</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将依据本章第2.1.1项（附件）规定的评审标准对磋商响应文件进行资格性审查。有一项不符合评审标准的，</w:t>
      </w:r>
      <w:r>
        <w:rPr>
          <w:rFonts w:hint="eastAsia" w:ascii="仿宋" w:hAnsi="仿宋" w:eastAsia="仿宋" w:cs="仿宋"/>
          <w:b/>
          <w:bCs/>
          <w:color w:val="auto"/>
          <w:kern w:val="0"/>
          <w:sz w:val="24"/>
          <w:highlight w:val="none"/>
        </w:rPr>
        <w:t>将被视为未实质性响应磋商文件，其磋商响应文件将按无效文件处理。</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1.2符合性审查：磋商小组根据本章第2.1.2项（附件）规定的评审标准对磋商响应文件进行符合性评审。有一项不符合评审标准的，将被视为未实质性响应磋商文件，其磋商响应文件将按无效文件处理。</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在资格性审查阶段，不符合磋商文件要求的，不得进入符合性审查，在符合性审查时未通过的，不得进入后续评审环节。</w:t>
      </w:r>
    </w:p>
    <w:p>
      <w:pPr>
        <w:tabs>
          <w:tab w:val="left" w:pos="0"/>
        </w:tabs>
        <w:adjustRightInd w:val="0"/>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2、磋商响应文件的澄清</w:t>
      </w:r>
    </w:p>
    <w:p>
      <w:pPr>
        <w:tabs>
          <w:tab w:val="left" w:pos="0"/>
        </w:tabs>
        <w:adjustRightInd w:val="0"/>
        <w:snapToGrid w:val="0"/>
        <w:spacing w:line="360" w:lineRule="auto"/>
        <w:ind w:firstLine="486" w:firstLineChars="196"/>
        <w:rPr>
          <w:rFonts w:hint="eastAsia" w:ascii="仿宋" w:hAnsi="仿宋" w:eastAsia="仿宋" w:cs="仿宋"/>
          <w:bCs/>
          <w:color w:val="auto"/>
          <w:spacing w:val="4"/>
          <w:sz w:val="24"/>
          <w:szCs w:val="24"/>
          <w:highlight w:val="none"/>
        </w:rPr>
      </w:pPr>
      <w:r>
        <w:rPr>
          <w:rFonts w:hint="eastAsia" w:ascii="仿宋" w:hAnsi="仿宋" w:eastAsia="仿宋" w:cs="仿宋"/>
          <w:bCs/>
          <w:color w:val="auto"/>
          <w:spacing w:val="4"/>
          <w:sz w:val="24"/>
          <w:szCs w:val="24"/>
          <w:highlight w:val="none"/>
        </w:rPr>
        <w:t>2.1磋商小组发现供应商的报价明显低于其他磋商报价、或明显低于市场价格，使得其磋商报价可能低于其成本的，有可能影响工程质量或者不能诚信履约的，应当要求其在合理的时间内做出书面说明，必要时提交相关证明材料。供应商不能证明其报价合理性的，由磋商小组将其作为无效响应处理。</w:t>
      </w:r>
    </w:p>
    <w:p>
      <w:pPr>
        <w:tabs>
          <w:tab w:val="left" w:pos="0"/>
        </w:tabs>
        <w:adjustRightInd w:val="0"/>
        <w:snapToGrid w:val="0"/>
        <w:spacing w:line="360" w:lineRule="auto"/>
        <w:ind w:firstLine="486" w:firstLineChars="196"/>
        <w:rPr>
          <w:rFonts w:hint="eastAsia" w:ascii="仿宋" w:hAnsi="仿宋" w:eastAsia="仿宋" w:cs="仿宋"/>
          <w:bCs/>
          <w:color w:val="auto"/>
          <w:spacing w:val="4"/>
          <w:sz w:val="24"/>
          <w:szCs w:val="24"/>
          <w:highlight w:val="none"/>
        </w:rPr>
      </w:pPr>
      <w:r>
        <w:rPr>
          <w:rFonts w:hint="eastAsia" w:ascii="仿宋" w:hAnsi="仿宋" w:eastAsia="仿宋" w:cs="仿宋"/>
          <w:bCs/>
          <w:color w:val="auto"/>
          <w:spacing w:val="4"/>
          <w:sz w:val="24"/>
          <w:szCs w:val="24"/>
          <w:highlight w:val="none"/>
        </w:rPr>
        <w:t>2.2有效的书面澄清材料，是磋商响应文件的补充材料，成为磋商响应文件的组成部分。</w:t>
      </w: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3、磋商：</w:t>
      </w:r>
      <w:r>
        <w:rPr>
          <w:rFonts w:hint="eastAsia" w:ascii="仿宋" w:hAnsi="仿宋" w:eastAsia="仿宋" w:cs="仿宋"/>
          <w:color w:val="auto"/>
          <w:sz w:val="24"/>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4、综合评审：</w:t>
      </w:r>
      <w:r>
        <w:rPr>
          <w:rFonts w:hint="eastAsia" w:ascii="仿宋" w:hAnsi="仿宋" w:eastAsia="仿宋" w:cs="仿宋"/>
          <w:color w:val="auto"/>
          <w:sz w:val="24"/>
          <w:szCs w:val="24"/>
          <w:highlight w:val="none"/>
        </w:rPr>
        <w:t>对于经初审合格的所有供应商，由磋商小组各成员依据磋商响应文件和最终报价，按照下列评审方法规定的内容独立进行综合评价、比较打分，然后汇总每个供应商的得分，从高到低依次排序，推荐成交候选人。</w:t>
      </w:r>
    </w:p>
    <w:p>
      <w:pPr>
        <w:pStyle w:val="16"/>
        <w:spacing w:line="360" w:lineRule="auto"/>
        <w:ind w:left="0" w:firstLine="0"/>
        <w:rPr>
          <w:rFonts w:hint="eastAsia" w:ascii="仿宋" w:hAnsi="仿宋" w:eastAsia="仿宋" w:cs="仿宋"/>
          <w:b/>
          <w:color w:val="auto"/>
          <w:highlight w:val="none"/>
        </w:rPr>
      </w:pPr>
      <w:r>
        <w:rPr>
          <w:rFonts w:hint="eastAsia" w:ascii="仿宋" w:hAnsi="仿宋" w:eastAsia="仿宋" w:cs="仿宋"/>
          <w:b/>
          <w:color w:val="auto"/>
          <w:highlight w:val="none"/>
        </w:rPr>
        <w:t>五、成交：</w:t>
      </w:r>
    </w:p>
    <w:p>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1、磋商结果报告由磋商小组全体成员签字确认。</w:t>
      </w:r>
    </w:p>
    <w:p>
      <w:pPr>
        <w:spacing w:line="360" w:lineRule="auto"/>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2、采购人根据磋商结果报告中推荐的成交候选人确定中标人。</w:t>
      </w:r>
    </w:p>
    <w:p>
      <w:pPr>
        <w:autoSpaceDE w:val="0"/>
        <w:autoSpaceDN w:val="0"/>
        <w:adjustRightInd w:val="0"/>
        <w:snapToGri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六、确定成交单位</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、采购代理机构应在评审结束后两个工作日内，将评审报告送采购人确定成交单位。</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2、采购人在收到评审报告后五个工作日内，根据评审报告对评审过程及结果进行严格审核后确定成交人，复函采购代理机构。</w:t>
      </w:r>
    </w:p>
    <w:p>
      <w:pPr>
        <w:tabs>
          <w:tab w:val="left" w:pos="1050"/>
        </w:tabs>
        <w:autoSpaceDE w:val="0"/>
        <w:autoSpaceDN w:val="0"/>
        <w:adjustRightInd w:val="0"/>
        <w:snapToGrid w:val="0"/>
        <w:spacing w:line="360" w:lineRule="auto"/>
        <w:ind w:left="10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3、采购代理机构在接到采购人的成交复函后，在财政部门指定的政府采购信息发布媒体上发布成交公告，公告期限为一个工作日，并向成交供应商发出</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zh-CN"/>
        </w:rPr>
        <w:t>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360" w:lineRule="auto"/>
        <w:ind w:right="40" w:rightChars="1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附件2.1.1：</w:t>
      </w:r>
    </w:p>
    <w:tbl>
      <w:tblPr>
        <w:tblStyle w:val="1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593"/>
        <w:gridCol w:w="215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1344" w:type="dxa"/>
            <w:gridSpan w:val="2"/>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条款号</w:t>
            </w: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评审因素</w:t>
            </w:r>
          </w:p>
        </w:tc>
        <w:tc>
          <w:tcPr>
            <w:tcW w:w="5876"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1" w:type="dxa"/>
            <w:vMerge w:val="restart"/>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2.1.1</w:t>
            </w:r>
          </w:p>
        </w:tc>
        <w:tc>
          <w:tcPr>
            <w:tcW w:w="593" w:type="dxa"/>
            <w:vMerge w:val="restart"/>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资格评审</w:t>
            </w:r>
          </w:p>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标准</w:t>
            </w: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法人或者其他组织的营业执照等证明文件，自然人的身份证明</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供应商须具有合法注册的法人或其他组织，有效的统一社会信用代码的营业执照；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设备和专业技术能力的声明</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供应商须提供具有履行本合同所必需的设备和专业技术能力的声明；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项目负责人</w:t>
            </w:r>
          </w:p>
        </w:tc>
        <w:tc>
          <w:tcPr>
            <w:tcW w:w="5876" w:type="dxa"/>
            <w:vAlign w:val="center"/>
          </w:tcPr>
          <w:p>
            <w:pPr>
              <w:tabs>
                <w:tab w:val="left" w:pos="0"/>
              </w:tabs>
              <w:adjustRightInd w:val="0"/>
              <w:snapToGrid w:val="0"/>
              <w:jc w:val="left"/>
              <w:rPr>
                <w:rFonts w:hint="eastAsia" w:ascii="仿宋" w:hAnsi="仿宋" w:eastAsia="仿宋" w:cs="仿宋"/>
                <w:b/>
                <w:bCs w:val="0"/>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拟派项目负责人须具备相关专业执业证书或中级及以上技术职称，有本单位在职证明（提供近6个月的养老保险）；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法定代表人授权书</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应授权合法的人员参加磋商全过程，其中法定代表人直接参加磋商的，须出具法人身份证，并与营业执照上信息一致（提供近6个月的养老保险）；法定代表人授权代表参加磋商的，须出具法定代表人授权书及授权代表身份证；授权代表必须为本单位在职人员（提供近6个月的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社会保障资金</w:t>
            </w:r>
          </w:p>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缴纳证明</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lang w:eastAsia="zh-CN"/>
              </w:rPr>
              <w:t>供应商须提供2021年03月</w:t>
            </w:r>
            <w:r>
              <w:rPr>
                <w:rFonts w:hint="eastAsia" w:ascii="仿宋" w:hAnsi="仿宋" w:eastAsia="仿宋" w:cs="仿宋"/>
                <w:bCs/>
                <w:color w:val="auto"/>
                <w:sz w:val="20"/>
                <w:szCs w:val="20"/>
                <w:highlight w:val="none"/>
              </w:rPr>
              <w:t>至今已缴存的</w:t>
            </w:r>
            <w:r>
              <w:rPr>
                <w:rFonts w:hint="eastAsia" w:ascii="仿宋" w:hAnsi="仿宋" w:eastAsia="仿宋" w:cs="仿宋"/>
                <w:bCs/>
                <w:color w:val="auto"/>
                <w:sz w:val="20"/>
                <w:szCs w:val="20"/>
                <w:highlight w:val="none"/>
                <w:lang w:eastAsia="zh-CN"/>
              </w:rPr>
              <w:t>至少任意连续6个月</w:t>
            </w:r>
            <w:r>
              <w:rPr>
                <w:rFonts w:hint="eastAsia" w:ascii="仿宋" w:hAnsi="仿宋" w:eastAsia="仿宋" w:cs="仿宋"/>
                <w:bCs/>
                <w:color w:val="auto"/>
                <w:sz w:val="20"/>
                <w:szCs w:val="20"/>
                <w:highlight w:val="none"/>
              </w:rPr>
              <w:t xml:space="preserve">的社会保险参保缴费情况证明，依法不需要缴纳社会保障资金的单位应提供相关证明材料；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财务状况报告</w:t>
            </w:r>
          </w:p>
        </w:tc>
        <w:tc>
          <w:tcPr>
            <w:tcW w:w="5876" w:type="dxa"/>
            <w:vAlign w:val="center"/>
          </w:tcPr>
          <w:p>
            <w:pPr>
              <w:snapToGrid/>
              <w:spacing w:before="0" w:beforeAutospacing="0" w:after="0" w:afterAutospacing="0" w:line="240" w:lineRule="auto"/>
              <w:jc w:val="both"/>
              <w:textAlignment w:val="baseline"/>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供应商须提供2020年财务审计报告(至少包括资产负债表和利润表，成立时间至提交磋商响应文件截止时间不足一年的可提供成立后任意时段的资产负债表)或者银行资信证明；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税收缴纳证明</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lang w:eastAsia="zh-CN"/>
              </w:rPr>
              <w:t>供应商须提供2021年03月</w:t>
            </w:r>
            <w:r>
              <w:rPr>
                <w:rFonts w:hint="eastAsia" w:ascii="仿宋" w:hAnsi="仿宋" w:eastAsia="仿宋" w:cs="仿宋"/>
                <w:bCs/>
                <w:color w:val="auto"/>
                <w:sz w:val="20"/>
                <w:szCs w:val="20"/>
                <w:highlight w:val="none"/>
              </w:rPr>
              <w:t>至今已缴纳的至少任意连续6个月的纳税证明或完税证明，依法免税的单位应提供相关证明材料；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信用中国网站相关主体信用记录</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供应商不得为“信用中国”网站中列入失信被执行人和重大税收违法案件当事人名单的供应商；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中国政府采购网相关查询</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中国裁判文书网查询</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 xml:space="preserve">供应商及法定代表人近三年不得有行贿犯罪记录(通过“中国裁判文书网”查询)否则将被取消投标资格；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国家企业信用信息公示平台查询</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单位负责人为同一人或者存在直接控股、管理关系的不同供应商，不得参加同一合同项下的招标活动(通过“国家企业信用信息公示平台”查询)；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无重大违法记录的书面声明</w:t>
            </w:r>
          </w:p>
        </w:tc>
        <w:tc>
          <w:tcPr>
            <w:tcW w:w="5876" w:type="dxa"/>
            <w:vAlign w:val="center"/>
          </w:tcPr>
          <w:p>
            <w:pPr>
              <w:tabs>
                <w:tab w:val="left" w:pos="0"/>
              </w:tabs>
              <w:adjustRightInd w:val="0"/>
              <w:snapToGrid w:val="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51"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593" w:type="dxa"/>
            <w:vMerge w:val="continue"/>
            <w:vAlign w:val="center"/>
          </w:tcPr>
          <w:p>
            <w:pPr>
              <w:tabs>
                <w:tab w:val="left" w:pos="0"/>
              </w:tabs>
              <w:adjustRightInd w:val="0"/>
              <w:snapToGrid w:val="0"/>
              <w:jc w:val="center"/>
              <w:rPr>
                <w:rFonts w:hint="eastAsia" w:ascii="仿宋" w:hAnsi="仿宋" w:eastAsia="仿宋" w:cs="仿宋"/>
                <w:bCs/>
                <w:color w:val="auto"/>
                <w:sz w:val="20"/>
                <w:szCs w:val="20"/>
                <w:highlight w:val="none"/>
              </w:rPr>
            </w:pPr>
          </w:p>
        </w:tc>
        <w:tc>
          <w:tcPr>
            <w:tcW w:w="2159" w:type="dxa"/>
            <w:vAlign w:val="center"/>
          </w:tcPr>
          <w:p>
            <w:pPr>
              <w:tabs>
                <w:tab w:val="left" w:pos="0"/>
              </w:tabs>
              <w:adjustRightInd w:val="0"/>
              <w:snapToGrid w:val="0"/>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rPr>
              <w:t>磋商保证金</w:t>
            </w:r>
          </w:p>
        </w:tc>
        <w:tc>
          <w:tcPr>
            <w:tcW w:w="5876" w:type="dxa"/>
            <w:vAlign w:val="center"/>
          </w:tcPr>
          <w:p>
            <w:pPr>
              <w:tabs>
                <w:tab w:val="left" w:pos="0"/>
              </w:tabs>
              <w:adjustRightInd w:val="0"/>
              <w:snapToGrid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rPr>
              <w:t>磋商保证金缴纳凭证或担保机构出具的保函复印件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79" w:type="dxa"/>
            <w:gridSpan w:val="4"/>
            <w:vAlign w:val="center"/>
          </w:tcPr>
          <w:p>
            <w:pPr>
              <w:tabs>
                <w:tab w:val="left" w:pos="0"/>
              </w:tabs>
              <w:adjustRightInd w:val="0"/>
              <w:snapToGrid w:val="0"/>
              <w:jc w:val="left"/>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注：以上为必备资质，缺一项或某项达不到要求，按无效文件处理。</w:t>
            </w:r>
          </w:p>
        </w:tc>
      </w:tr>
    </w:tbl>
    <w:p>
      <w:pPr>
        <w:spacing w:line="360" w:lineRule="auto"/>
        <w:ind w:right="40" w:rightChars="19"/>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360" w:lineRule="auto"/>
        <w:ind w:right="40" w:rightChars="19"/>
        <w:rPr>
          <w:rFonts w:hint="eastAsia" w:ascii="仿宋" w:hAnsi="仿宋" w:eastAsia="仿宋" w:cs="仿宋"/>
          <w:b/>
          <w:bCs/>
          <w:color w:val="auto"/>
          <w:highlight w:val="none"/>
        </w:rPr>
      </w:pPr>
      <w:r>
        <w:rPr>
          <w:rFonts w:hint="eastAsia" w:ascii="仿宋" w:hAnsi="仿宋" w:eastAsia="仿宋" w:cs="仿宋"/>
          <w:b/>
          <w:bCs/>
          <w:color w:val="auto"/>
          <w:sz w:val="24"/>
          <w:szCs w:val="24"/>
          <w:highlight w:val="none"/>
        </w:rPr>
        <w:t>附件2.1.2：</w:t>
      </w:r>
    </w:p>
    <w:tbl>
      <w:tblPr>
        <w:tblStyle w:val="19"/>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94"/>
        <w:gridCol w:w="509"/>
        <w:gridCol w:w="2292"/>
        <w:gridCol w:w="5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48" w:type="dxa"/>
            <w:gridSpan w:val="2"/>
            <w:vAlign w:val="center"/>
          </w:tcPr>
          <w:p>
            <w:pPr>
              <w:tabs>
                <w:tab w:val="left" w:pos="0"/>
              </w:tabs>
              <w:adjustRightInd w:val="0"/>
              <w:snapToGrid w:val="0"/>
              <w:jc w:val="center"/>
              <w:rPr>
                <w:rFonts w:hint="eastAsia" w:ascii="仿宋" w:hAnsi="仿宋" w:eastAsia="仿宋" w:cs="仿宋"/>
                <w:color w:val="auto"/>
                <w:highlight w:val="none"/>
              </w:rPr>
            </w:pPr>
            <w:r>
              <w:rPr>
                <w:rFonts w:hint="eastAsia" w:ascii="仿宋" w:hAnsi="仿宋" w:eastAsia="仿宋" w:cs="仿宋"/>
                <w:bCs/>
                <w:color w:val="auto"/>
                <w:highlight w:val="none"/>
              </w:rPr>
              <w:t>条款号</w:t>
            </w:r>
          </w:p>
        </w:tc>
        <w:tc>
          <w:tcPr>
            <w:tcW w:w="2801" w:type="dxa"/>
            <w:gridSpan w:val="2"/>
            <w:vAlign w:val="center"/>
          </w:tcPr>
          <w:p>
            <w:pPr>
              <w:tabs>
                <w:tab w:val="left" w:pos="0"/>
              </w:tabs>
              <w:adjustRightInd w:val="0"/>
              <w:snapToGrid w:val="0"/>
              <w:jc w:val="center"/>
              <w:rPr>
                <w:rFonts w:hint="eastAsia" w:ascii="仿宋" w:hAnsi="仿宋" w:eastAsia="仿宋" w:cs="仿宋"/>
                <w:color w:val="auto"/>
                <w:highlight w:val="none"/>
              </w:rPr>
            </w:pPr>
            <w:r>
              <w:rPr>
                <w:rFonts w:hint="eastAsia" w:ascii="仿宋" w:hAnsi="仿宋" w:eastAsia="仿宋" w:cs="仿宋"/>
                <w:bCs/>
                <w:color w:val="auto"/>
                <w:highlight w:val="none"/>
              </w:rPr>
              <w:t>评审因素</w:t>
            </w:r>
          </w:p>
        </w:tc>
        <w:tc>
          <w:tcPr>
            <w:tcW w:w="5234" w:type="dxa"/>
            <w:vAlign w:val="center"/>
          </w:tcPr>
          <w:p>
            <w:pPr>
              <w:tabs>
                <w:tab w:val="left" w:pos="0"/>
              </w:tabs>
              <w:adjustRightInd w:val="0"/>
              <w:snapToGrid w:val="0"/>
              <w:jc w:val="center"/>
              <w:rPr>
                <w:rFonts w:hint="eastAsia" w:ascii="仿宋" w:hAnsi="仿宋" w:eastAsia="仿宋" w:cs="仿宋"/>
                <w:color w:val="auto"/>
                <w:highlight w:val="none"/>
              </w:rPr>
            </w:pPr>
            <w:r>
              <w:rPr>
                <w:rFonts w:hint="eastAsia" w:ascii="仿宋" w:hAnsi="仿宋" w:eastAsia="仿宋" w:cs="仿宋"/>
                <w:bCs/>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54" w:type="dxa"/>
            <w:vMerge w:val="restart"/>
            <w:vAlign w:val="center"/>
          </w:tcPr>
          <w:p>
            <w:pPr>
              <w:tabs>
                <w:tab w:val="left" w:pos="0"/>
              </w:tabs>
              <w:adjustRightInd w:val="0"/>
              <w:snapToGrid w:val="0"/>
              <w:spacing w:line="360" w:lineRule="auto"/>
              <w:jc w:val="center"/>
              <w:rPr>
                <w:rFonts w:hint="eastAsia" w:ascii="仿宋" w:hAnsi="仿宋" w:eastAsia="仿宋" w:cs="仿宋"/>
                <w:bCs/>
                <w:color w:val="auto"/>
                <w:highlight w:val="none"/>
              </w:rPr>
            </w:pPr>
            <w:r>
              <w:rPr>
                <w:rFonts w:hint="eastAsia" w:ascii="仿宋" w:hAnsi="仿宋" w:eastAsia="仿宋" w:cs="仿宋"/>
                <w:bCs/>
                <w:color w:val="auto"/>
                <w:highlight w:val="none"/>
              </w:rPr>
              <w:t>2.1.2</w:t>
            </w:r>
          </w:p>
        </w:tc>
        <w:tc>
          <w:tcPr>
            <w:tcW w:w="594" w:type="dxa"/>
            <w:vMerge w:val="restart"/>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符合性评审标准</w:t>
            </w:r>
          </w:p>
        </w:tc>
        <w:tc>
          <w:tcPr>
            <w:tcW w:w="509" w:type="dxa"/>
            <w:vMerge w:val="restart"/>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有效性审查</w:t>
            </w: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磋商响应文件的签署盖章</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5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9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09" w:type="dxa"/>
            <w:vMerge w:val="continue"/>
          </w:tcPr>
          <w:p>
            <w:pPr>
              <w:tabs>
                <w:tab w:val="left" w:pos="0"/>
              </w:tabs>
              <w:adjustRightInd w:val="0"/>
              <w:snapToGrid w:val="0"/>
              <w:rPr>
                <w:rFonts w:hint="eastAsia" w:ascii="仿宋" w:hAnsi="仿宋" w:eastAsia="仿宋" w:cs="仿宋"/>
                <w:bCs/>
                <w:color w:val="auto"/>
                <w:highlight w:val="none"/>
              </w:rPr>
            </w:pP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磋商响应文件格式</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应符合“磋商响应文件格式”要求。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9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09" w:type="dxa"/>
            <w:vMerge w:val="continue"/>
          </w:tcPr>
          <w:p>
            <w:pPr>
              <w:tabs>
                <w:tab w:val="left" w:pos="0"/>
              </w:tabs>
              <w:adjustRightInd w:val="0"/>
              <w:snapToGrid w:val="0"/>
              <w:rPr>
                <w:rFonts w:hint="eastAsia" w:ascii="仿宋" w:hAnsi="仿宋" w:eastAsia="仿宋" w:cs="仿宋"/>
                <w:bCs/>
                <w:color w:val="auto"/>
                <w:highlight w:val="none"/>
              </w:rPr>
            </w:pP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报价唯一</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只能有一个有效报价，不得提交选择性报价，且报价不超过</w:t>
            </w:r>
            <w:r>
              <w:rPr>
                <w:rFonts w:hint="eastAsia" w:ascii="仿宋" w:hAnsi="仿宋" w:eastAsia="仿宋" w:cs="仿宋"/>
                <w:bCs/>
                <w:color w:val="auto"/>
                <w:highlight w:val="none"/>
                <w:lang w:eastAsia="zh-CN"/>
              </w:rPr>
              <w:t>项目</w:t>
            </w:r>
            <w:r>
              <w:rPr>
                <w:rFonts w:hint="eastAsia" w:ascii="仿宋" w:hAnsi="仿宋" w:eastAsia="仿宋" w:cs="仿宋"/>
                <w:bCs/>
                <w:color w:val="auto"/>
                <w:highlight w:val="none"/>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4" w:type="dxa"/>
            <w:vMerge w:val="continue"/>
            <w:vAlign w:val="center"/>
          </w:tcPr>
          <w:p>
            <w:pPr>
              <w:tabs>
                <w:tab w:val="left" w:pos="0"/>
              </w:tabs>
              <w:adjustRightInd w:val="0"/>
              <w:snapToGrid w:val="0"/>
              <w:spacing w:line="360" w:lineRule="auto"/>
              <w:jc w:val="center"/>
              <w:rPr>
                <w:rFonts w:hint="eastAsia" w:ascii="仿宋" w:hAnsi="仿宋" w:eastAsia="仿宋" w:cs="仿宋"/>
                <w:bCs/>
                <w:color w:val="auto"/>
                <w:highlight w:val="none"/>
              </w:rPr>
            </w:pPr>
          </w:p>
        </w:tc>
        <w:tc>
          <w:tcPr>
            <w:tcW w:w="594" w:type="dxa"/>
            <w:vMerge w:val="continue"/>
            <w:vAlign w:val="center"/>
          </w:tcPr>
          <w:p>
            <w:pPr>
              <w:tabs>
                <w:tab w:val="left" w:pos="0"/>
              </w:tabs>
              <w:adjustRightInd w:val="0"/>
              <w:snapToGrid w:val="0"/>
              <w:jc w:val="center"/>
              <w:rPr>
                <w:rFonts w:hint="eastAsia" w:ascii="仿宋" w:hAnsi="仿宋" w:eastAsia="仿宋" w:cs="仿宋"/>
                <w:bCs/>
                <w:color w:val="auto"/>
                <w:highlight w:val="none"/>
              </w:rPr>
            </w:pPr>
          </w:p>
        </w:tc>
        <w:tc>
          <w:tcPr>
            <w:tcW w:w="509" w:type="dxa"/>
            <w:vMerge w:val="restart"/>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完整性审查</w:t>
            </w: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磋商响应文件份数</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9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09" w:type="dxa"/>
            <w:vMerge w:val="continue"/>
          </w:tcPr>
          <w:p>
            <w:pPr>
              <w:tabs>
                <w:tab w:val="left" w:pos="0"/>
              </w:tabs>
              <w:adjustRightInd w:val="0"/>
              <w:snapToGrid w:val="0"/>
              <w:rPr>
                <w:rFonts w:hint="eastAsia" w:ascii="仿宋" w:hAnsi="仿宋" w:eastAsia="仿宋" w:cs="仿宋"/>
                <w:bCs/>
                <w:color w:val="auto"/>
                <w:highlight w:val="none"/>
              </w:rPr>
            </w:pP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磋商响应文件内容</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4" w:type="dxa"/>
            <w:vMerge w:val="continue"/>
            <w:vAlign w:val="center"/>
          </w:tcPr>
          <w:p>
            <w:pPr>
              <w:tabs>
                <w:tab w:val="left" w:pos="0"/>
              </w:tabs>
              <w:adjustRightInd w:val="0"/>
              <w:snapToGrid w:val="0"/>
              <w:spacing w:line="360" w:lineRule="auto"/>
              <w:jc w:val="center"/>
              <w:rPr>
                <w:rFonts w:hint="eastAsia" w:ascii="仿宋" w:hAnsi="仿宋" w:eastAsia="仿宋" w:cs="仿宋"/>
                <w:bCs/>
                <w:color w:val="auto"/>
                <w:highlight w:val="none"/>
              </w:rPr>
            </w:pPr>
          </w:p>
        </w:tc>
        <w:tc>
          <w:tcPr>
            <w:tcW w:w="594" w:type="dxa"/>
            <w:vMerge w:val="continue"/>
            <w:vAlign w:val="center"/>
          </w:tcPr>
          <w:p>
            <w:pPr>
              <w:tabs>
                <w:tab w:val="left" w:pos="0"/>
              </w:tabs>
              <w:adjustRightInd w:val="0"/>
              <w:snapToGrid w:val="0"/>
              <w:jc w:val="center"/>
              <w:rPr>
                <w:rFonts w:hint="eastAsia" w:ascii="仿宋" w:hAnsi="仿宋" w:eastAsia="仿宋" w:cs="仿宋"/>
                <w:bCs/>
                <w:color w:val="auto"/>
                <w:highlight w:val="none"/>
              </w:rPr>
            </w:pPr>
          </w:p>
        </w:tc>
        <w:tc>
          <w:tcPr>
            <w:tcW w:w="509" w:type="dxa"/>
            <w:vMerge w:val="restart"/>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响应性审查</w:t>
            </w: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对磋商文件响应程度</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9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09"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服</w:t>
            </w:r>
            <w:r>
              <w:rPr>
                <w:rFonts w:hint="eastAsia" w:ascii="仿宋" w:hAnsi="仿宋" w:eastAsia="仿宋" w:cs="仿宋"/>
                <w:bCs/>
                <w:color w:val="auto"/>
                <w:highlight w:val="none"/>
                <w:lang w:val="en-US" w:eastAsia="zh-CN"/>
              </w:rPr>
              <w:t xml:space="preserve"> </w:t>
            </w:r>
            <w:r>
              <w:rPr>
                <w:rFonts w:hint="eastAsia" w:ascii="仿宋" w:hAnsi="仿宋" w:eastAsia="仿宋" w:cs="仿宋"/>
                <w:bCs/>
                <w:color w:val="auto"/>
                <w:highlight w:val="none"/>
                <w:lang w:eastAsia="zh-CN"/>
              </w:rPr>
              <w:t>务</w:t>
            </w:r>
            <w:r>
              <w:rPr>
                <w:rFonts w:hint="eastAsia" w:ascii="仿宋" w:hAnsi="仿宋" w:eastAsia="仿宋" w:cs="仿宋"/>
                <w:bCs/>
                <w:color w:val="auto"/>
                <w:highlight w:val="none"/>
                <w:lang w:val="en-US" w:eastAsia="zh-CN"/>
              </w:rPr>
              <w:t xml:space="preserve"> </w:t>
            </w:r>
            <w:r>
              <w:rPr>
                <w:rFonts w:hint="eastAsia" w:ascii="仿宋" w:hAnsi="仿宋" w:eastAsia="仿宋" w:cs="仿宋"/>
                <w:bCs/>
                <w:color w:val="auto"/>
                <w:highlight w:val="none"/>
                <w:lang w:eastAsia="zh-CN"/>
              </w:rPr>
              <w:t>期</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应满足磋商文件中</w:t>
            </w:r>
            <w:r>
              <w:rPr>
                <w:rFonts w:hint="eastAsia" w:ascii="仿宋" w:hAnsi="仿宋" w:eastAsia="仿宋" w:cs="仿宋"/>
                <w:bCs/>
                <w:color w:val="auto"/>
                <w:highlight w:val="none"/>
                <w:lang w:eastAsia="zh-CN"/>
              </w:rPr>
              <w:t>的</w:t>
            </w:r>
            <w:r>
              <w:rPr>
                <w:rFonts w:hint="eastAsia" w:ascii="仿宋" w:hAnsi="仿宋" w:eastAsia="仿宋" w:cs="仿宋"/>
                <w:bCs/>
                <w:color w:val="auto"/>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5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94"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509" w:type="dxa"/>
            <w:vMerge w:val="continue"/>
          </w:tcPr>
          <w:p>
            <w:pPr>
              <w:tabs>
                <w:tab w:val="left" w:pos="0"/>
              </w:tabs>
              <w:adjustRightInd w:val="0"/>
              <w:snapToGrid w:val="0"/>
              <w:spacing w:line="360" w:lineRule="auto"/>
              <w:rPr>
                <w:rFonts w:hint="eastAsia" w:ascii="仿宋" w:hAnsi="仿宋" w:eastAsia="仿宋" w:cs="仿宋"/>
                <w:bCs/>
                <w:color w:val="auto"/>
                <w:highlight w:val="none"/>
              </w:rPr>
            </w:pPr>
          </w:p>
        </w:tc>
        <w:tc>
          <w:tcPr>
            <w:tcW w:w="2292" w:type="dxa"/>
            <w:vAlign w:val="center"/>
          </w:tcPr>
          <w:p>
            <w:pPr>
              <w:tabs>
                <w:tab w:val="left" w:pos="0"/>
              </w:tabs>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磋商有效期</w:t>
            </w:r>
          </w:p>
        </w:tc>
        <w:tc>
          <w:tcPr>
            <w:tcW w:w="5234" w:type="dxa"/>
            <w:vAlign w:val="center"/>
          </w:tcPr>
          <w:p>
            <w:pPr>
              <w:tabs>
                <w:tab w:val="left" w:pos="0"/>
              </w:tabs>
              <w:adjustRightInd w:val="0"/>
              <w:snapToGrid w:val="0"/>
              <w:rPr>
                <w:rFonts w:hint="eastAsia" w:ascii="仿宋" w:hAnsi="仿宋" w:eastAsia="仿宋" w:cs="仿宋"/>
                <w:bCs/>
                <w:color w:val="auto"/>
                <w:highlight w:val="none"/>
              </w:rPr>
            </w:pPr>
            <w:r>
              <w:rPr>
                <w:rFonts w:hint="eastAsia" w:ascii="仿宋" w:hAnsi="仿宋" w:eastAsia="仿宋" w:cs="仿宋"/>
                <w:bCs/>
                <w:color w:val="auto"/>
                <w:highlight w:val="none"/>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383" w:type="dxa"/>
            <w:gridSpan w:val="5"/>
            <w:vAlign w:val="center"/>
          </w:tcPr>
          <w:p>
            <w:pPr>
              <w:tabs>
                <w:tab w:val="left" w:pos="0"/>
              </w:tabs>
              <w:adjustRightInd w:val="0"/>
              <w:snapToGrid w:val="0"/>
              <w:jc w:val="left"/>
              <w:rPr>
                <w:rFonts w:hint="eastAsia" w:ascii="仿宋" w:hAnsi="仿宋" w:eastAsia="仿宋" w:cs="仿宋"/>
                <w:b/>
                <w:color w:val="auto"/>
                <w:highlight w:val="none"/>
              </w:rPr>
            </w:pPr>
            <w:r>
              <w:rPr>
                <w:rFonts w:hint="eastAsia" w:ascii="仿宋" w:hAnsi="仿宋" w:eastAsia="仿宋" w:cs="仿宋"/>
                <w:b/>
                <w:color w:val="auto"/>
                <w:highlight w:val="none"/>
              </w:rPr>
              <w:t>注：以上</w:t>
            </w:r>
            <w:r>
              <w:rPr>
                <w:rFonts w:hint="eastAsia" w:ascii="仿宋" w:hAnsi="仿宋" w:eastAsia="仿宋" w:cs="仿宋"/>
                <w:b/>
                <w:color w:val="auto"/>
                <w:highlight w:val="none"/>
                <w:lang w:eastAsia="zh-CN"/>
              </w:rPr>
              <w:t>有一项</w:t>
            </w:r>
            <w:r>
              <w:rPr>
                <w:rFonts w:hint="eastAsia" w:ascii="仿宋" w:hAnsi="仿宋" w:eastAsia="仿宋" w:cs="仿宋"/>
                <w:b/>
                <w:color w:val="auto"/>
                <w:highlight w:val="none"/>
              </w:rPr>
              <w:t>达不到要求，按无效文件处理。</w:t>
            </w:r>
          </w:p>
        </w:tc>
      </w:tr>
    </w:tbl>
    <w:p>
      <w:pPr>
        <w:adjustRightInd w:val="0"/>
        <w:snapToGrid w:val="0"/>
        <w:jc w:val="left"/>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17"/>
        <w:rPr>
          <w:rFonts w:hint="eastAsia" w:ascii="仿宋" w:hAnsi="仿宋" w:eastAsia="仿宋" w:cs="仿宋"/>
          <w:color w:val="auto"/>
          <w:highlight w:val="none"/>
        </w:rPr>
      </w:pPr>
    </w:p>
    <w:p>
      <w:pPr>
        <w:rPr>
          <w:rFonts w:hint="eastAsia" w:ascii="仿宋" w:hAnsi="仿宋" w:eastAsia="仿宋" w:cs="仿宋"/>
          <w:color w:val="auto"/>
          <w:sz w:val="24"/>
          <w:szCs w:val="24"/>
          <w:highlight w:val="none"/>
        </w:rPr>
      </w:pPr>
    </w:p>
    <w:p>
      <w:pPr>
        <w:pStyle w:val="8"/>
        <w:outlineLvl w:val="9"/>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br w:type="page"/>
      </w:r>
    </w:p>
    <w:p>
      <w:pPr>
        <w:spacing w:line="360" w:lineRule="auto"/>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附件2：评标因素及权重分值表</w:t>
      </w:r>
    </w:p>
    <w:p>
      <w:pPr>
        <w:spacing w:line="360" w:lineRule="auto"/>
        <w:ind w:firstLine="498" w:firstLineChars="200"/>
        <w:jc w:val="left"/>
        <w:rPr>
          <w:rFonts w:hint="eastAsia" w:ascii="仿宋" w:hAnsi="仿宋" w:eastAsia="仿宋" w:cs="仿宋"/>
          <w:b/>
          <w:bCs w:val="0"/>
          <w:color w:val="auto"/>
          <w:spacing w:val="4"/>
          <w:sz w:val="24"/>
          <w:szCs w:val="24"/>
          <w:highlight w:val="none"/>
        </w:rPr>
      </w:pPr>
      <w:r>
        <w:rPr>
          <w:rFonts w:hint="eastAsia" w:ascii="仿宋" w:hAnsi="仿宋" w:eastAsia="仿宋" w:cs="仿宋"/>
          <w:b/>
          <w:bCs w:val="0"/>
          <w:color w:val="auto"/>
          <w:spacing w:val="4"/>
          <w:sz w:val="24"/>
          <w:szCs w:val="24"/>
          <w:highlight w:val="none"/>
        </w:rPr>
        <w:t>评价和比较以磋商响应文件为依据，从磋商价格</w:t>
      </w:r>
      <w:r>
        <w:rPr>
          <w:rFonts w:hint="eastAsia" w:ascii="仿宋" w:hAnsi="仿宋" w:eastAsia="仿宋" w:cs="仿宋"/>
          <w:b/>
          <w:bCs w:val="0"/>
          <w:color w:val="auto"/>
          <w:spacing w:val="4"/>
          <w:sz w:val="24"/>
          <w:szCs w:val="24"/>
          <w:highlight w:val="none"/>
          <w:lang w:eastAsia="zh-CN"/>
        </w:rPr>
        <w:t>，技术服务方案</w:t>
      </w:r>
      <w:r>
        <w:rPr>
          <w:rFonts w:hint="eastAsia" w:ascii="仿宋" w:hAnsi="仿宋" w:eastAsia="仿宋" w:cs="仿宋"/>
          <w:b/>
          <w:bCs w:val="0"/>
          <w:color w:val="auto"/>
          <w:spacing w:val="4"/>
          <w:sz w:val="24"/>
          <w:szCs w:val="24"/>
          <w:highlight w:val="none"/>
          <w:lang w:val="en-US" w:eastAsia="zh-CN"/>
        </w:rPr>
        <w:t>，履约能力及服务承诺</w:t>
      </w:r>
      <w:r>
        <w:rPr>
          <w:rFonts w:hint="eastAsia" w:ascii="仿宋" w:hAnsi="仿宋" w:eastAsia="仿宋" w:cs="仿宋"/>
          <w:b/>
          <w:bCs w:val="0"/>
          <w:color w:val="auto"/>
          <w:spacing w:val="4"/>
          <w:sz w:val="24"/>
          <w:szCs w:val="24"/>
          <w:highlight w:val="none"/>
          <w:lang w:val="zh-CN"/>
        </w:rPr>
        <w:t>和类似业绩</w:t>
      </w:r>
      <w:r>
        <w:rPr>
          <w:rFonts w:hint="eastAsia" w:ascii="仿宋" w:hAnsi="仿宋" w:eastAsia="仿宋" w:cs="仿宋"/>
          <w:b/>
          <w:bCs w:val="0"/>
          <w:color w:val="auto"/>
          <w:spacing w:val="4"/>
          <w:sz w:val="24"/>
          <w:szCs w:val="24"/>
          <w:highlight w:val="none"/>
        </w:rPr>
        <w:t>方面进行评审并按照百分制进行赋分。</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07"/>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68" w:type="dxa"/>
            <w:gridSpan w:val="2"/>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zh-CN"/>
              </w:rPr>
              <w:t>评标因素</w:t>
            </w:r>
          </w:p>
        </w:tc>
        <w:tc>
          <w:tcPr>
            <w:tcW w:w="6890" w:type="dxa"/>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8" w:type="dxa"/>
            <w:gridSpan w:val="2"/>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价格</w:t>
            </w:r>
          </w:p>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10分</w:t>
            </w:r>
            <w:r>
              <w:rPr>
                <w:rFonts w:hint="eastAsia" w:ascii="仿宋" w:hAnsi="仿宋" w:eastAsia="仿宋" w:cs="仿宋"/>
                <w:b/>
                <w:bCs/>
                <w:color w:val="auto"/>
                <w:sz w:val="22"/>
                <w:szCs w:val="22"/>
                <w:highlight w:val="none"/>
                <w:lang w:eastAsia="zh-CN"/>
              </w:rPr>
              <w:t>）</w:t>
            </w:r>
          </w:p>
        </w:tc>
        <w:tc>
          <w:tcPr>
            <w:tcW w:w="689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满足磋商文件要求且最终价格最低的最终报价为评审基准价，其价格分为满分。其他供应商的价格分统一按照下列公式计算：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ind w:firstLine="221" w:firstLineChars="10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最终报价得分=（评审基准价/最终报价）×价格权值</w:t>
            </w:r>
            <w:r>
              <w:rPr>
                <w:rFonts w:hint="eastAsia" w:ascii="仿宋" w:hAnsi="仿宋" w:eastAsia="仿宋" w:cs="仿宋"/>
                <w:color w:val="auto"/>
                <w:sz w:val="22"/>
                <w:szCs w:val="22"/>
                <w:highlight w:val="none"/>
              </w:rPr>
              <w:t>（磋商委员会认为供应商最终报价明显低于其他通过符合性审查供应商的报价，有可能影响工程质量或者不能诚信履约的，应当在磋商现场提供书面说明及相关证明材料。（供应商不能证明其报价合理性的，为无效磋商）</w:t>
            </w:r>
          </w:p>
          <w:p>
            <w:pPr>
              <w:keepNext w:val="0"/>
              <w:keepLines w:val="0"/>
              <w:pageBreakBefore w:val="0"/>
              <w:widowControl w:val="0"/>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符合磋商文件规定的小微企业、监狱企业、残疾人福利性单位优惠条件的供应商，价格给予6%的扣除，用扣除后的价格参与评审。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61" w:type="dxa"/>
            <w:vMerge w:val="restart"/>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技术服务方案</w:t>
            </w:r>
          </w:p>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65分</w:t>
            </w:r>
            <w:r>
              <w:rPr>
                <w:rFonts w:hint="eastAsia" w:ascii="仿宋" w:hAnsi="仿宋" w:eastAsia="仿宋" w:cs="仿宋"/>
                <w:b/>
                <w:bCs/>
                <w:color w:val="auto"/>
                <w:sz w:val="22"/>
                <w:szCs w:val="22"/>
                <w:highlight w:val="none"/>
                <w:lang w:eastAsia="zh-CN"/>
              </w:rPr>
              <w:t>）</w:t>
            </w:r>
          </w:p>
        </w:tc>
        <w:tc>
          <w:tcPr>
            <w:tcW w:w="120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保养、维护计划方案</w:t>
            </w:r>
          </w:p>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（15分）</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供应商针对本项目提供的保养、维护计划方案，根据其内容的全面性、详细程度，计0-15分。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①方案内容完整、全面、详细得7.1-15分；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②方案内容欠缺、较薄弱的经对比得1-7分；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③未提供项目方案不计分。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61" w:type="dxa"/>
            <w:vMerge w:val="continue"/>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lang w:eastAsia="zh-CN"/>
              </w:rPr>
            </w:pPr>
          </w:p>
        </w:tc>
        <w:tc>
          <w:tcPr>
            <w:tcW w:w="120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安检、性能测试等方案（15分）</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供应商针对本项目提供的安全检查、性能测试及校准运行等服务方案，根据其内容的全面性、详细程度，计0-15分。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①方案内容完整、全面、详细得7.1-15分；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②方案内容欠缺、较薄弱的经对比得1-7分；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③未提供项目方案不计分。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61" w:type="dxa"/>
            <w:vMerge w:val="continue"/>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lang w:eastAsia="zh-CN"/>
              </w:rPr>
            </w:pPr>
          </w:p>
        </w:tc>
        <w:tc>
          <w:tcPr>
            <w:tcW w:w="120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质量保证体系</w:t>
            </w:r>
          </w:p>
          <w:p>
            <w:pPr>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lang w:val="en-US" w:eastAsia="zh-CN"/>
              </w:rPr>
              <w:t>15分</w:t>
            </w:r>
            <w:r>
              <w:rPr>
                <w:rFonts w:hint="eastAsia" w:ascii="仿宋" w:hAnsi="仿宋" w:eastAsia="仿宋" w:cs="仿宋"/>
                <w:b w:val="0"/>
                <w:bCs w:val="0"/>
                <w:color w:val="auto"/>
                <w:sz w:val="22"/>
                <w:szCs w:val="22"/>
                <w:highlight w:val="none"/>
                <w:lang w:eastAsia="zh-CN"/>
              </w:rPr>
              <w:t>）</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1、供应商提供的所有的部件及备品备件均应符合行业标准且能够与原设备配套兼容，根据其提供证明材料的全面性和详细程度，计0-7分。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2、根据供应商提供切实可行的质量承诺及保证措施、计划，根据其内容的全面性和详细程度，计0-8分。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61" w:type="dxa"/>
            <w:vMerge w:val="continue"/>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lang w:eastAsia="zh-CN"/>
              </w:rPr>
            </w:pPr>
          </w:p>
        </w:tc>
        <w:tc>
          <w:tcPr>
            <w:tcW w:w="120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lang w:val="zh-CN" w:eastAsia="zh-CN"/>
              </w:rPr>
            </w:pPr>
            <w:r>
              <w:rPr>
                <w:rFonts w:hint="eastAsia" w:ascii="仿宋" w:hAnsi="仿宋" w:eastAsia="仿宋" w:cs="仿宋"/>
                <w:b w:val="0"/>
                <w:bCs w:val="0"/>
                <w:color w:val="auto"/>
                <w:sz w:val="22"/>
                <w:szCs w:val="22"/>
                <w:highlight w:val="none"/>
                <w:lang w:val="zh-CN" w:eastAsia="zh-CN"/>
              </w:rPr>
              <w:t>人员配备方案</w:t>
            </w:r>
          </w:p>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zh-CN" w:eastAsia="zh-CN"/>
              </w:rPr>
              <w:t>（</w:t>
            </w:r>
            <w:r>
              <w:rPr>
                <w:rFonts w:hint="eastAsia" w:ascii="仿宋" w:hAnsi="仿宋" w:eastAsia="仿宋" w:cs="仿宋"/>
                <w:b w:val="0"/>
                <w:bCs w:val="0"/>
                <w:color w:val="auto"/>
                <w:sz w:val="22"/>
                <w:szCs w:val="22"/>
                <w:highlight w:val="none"/>
                <w:lang w:val="en-US" w:eastAsia="zh-CN"/>
              </w:rPr>
              <w:t>15分</w:t>
            </w:r>
            <w:r>
              <w:rPr>
                <w:rFonts w:hint="eastAsia" w:ascii="仿宋" w:hAnsi="仿宋" w:eastAsia="仿宋" w:cs="仿宋"/>
                <w:b w:val="0"/>
                <w:bCs w:val="0"/>
                <w:color w:val="auto"/>
                <w:sz w:val="22"/>
                <w:szCs w:val="22"/>
                <w:highlight w:val="none"/>
                <w:lang w:val="zh-CN" w:eastAsia="zh-CN"/>
              </w:rPr>
              <w:t>）</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zh-CN" w:eastAsia="zh-CN"/>
              </w:rPr>
              <w:t>供应商有针对本项目的专业服务团队，组织结构合理，人员分工明确、经验丰富。综合打分，计</w:t>
            </w:r>
            <w:r>
              <w:rPr>
                <w:rFonts w:hint="eastAsia" w:ascii="仿宋" w:hAnsi="仿宋" w:eastAsia="仿宋" w:cs="仿宋"/>
                <w:b w:val="0"/>
                <w:bCs w:val="0"/>
                <w:color w:val="auto"/>
                <w:sz w:val="22"/>
                <w:szCs w:val="22"/>
                <w:highlight w:val="none"/>
                <w:lang w:val="en-US" w:eastAsia="zh-CN"/>
              </w:rPr>
              <w:t>0</w:t>
            </w:r>
            <w:r>
              <w:rPr>
                <w:rFonts w:hint="eastAsia" w:ascii="仿宋" w:hAnsi="仿宋" w:eastAsia="仿宋" w:cs="仿宋"/>
                <w:b w:val="0"/>
                <w:bCs w:val="0"/>
                <w:color w:val="auto"/>
                <w:sz w:val="22"/>
                <w:szCs w:val="22"/>
                <w:highlight w:val="none"/>
                <w:lang w:val="zh-CN" w:eastAsia="zh-CN"/>
              </w:rPr>
              <w:t>-</w:t>
            </w:r>
            <w:r>
              <w:rPr>
                <w:rFonts w:hint="eastAsia" w:ascii="仿宋" w:hAnsi="仿宋" w:eastAsia="仿宋" w:cs="仿宋"/>
                <w:b w:val="0"/>
                <w:bCs w:val="0"/>
                <w:color w:val="auto"/>
                <w:sz w:val="22"/>
                <w:szCs w:val="22"/>
                <w:highlight w:val="none"/>
                <w:lang w:val="en-US" w:eastAsia="zh-CN"/>
              </w:rPr>
              <w:t>15</w:t>
            </w:r>
            <w:r>
              <w:rPr>
                <w:rFonts w:hint="eastAsia" w:ascii="仿宋" w:hAnsi="仿宋" w:eastAsia="仿宋" w:cs="仿宋"/>
                <w:b w:val="0"/>
                <w:bCs w:val="0"/>
                <w:color w:val="auto"/>
                <w:sz w:val="22"/>
                <w:szCs w:val="22"/>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1" w:type="dxa"/>
            <w:vMerge w:val="continue"/>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2"/>
                <w:szCs w:val="22"/>
                <w:highlight w:val="none"/>
                <w:lang w:eastAsia="zh-CN"/>
              </w:rPr>
            </w:pPr>
          </w:p>
        </w:tc>
        <w:tc>
          <w:tcPr>
            <w:tcW w:w="1207" w:type="dxa"/>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lang w:val="zh-CN" w:eastAsia="zh-CN"/>
              </w:rPr>
            </w:pPr>
            <w:r>
              <w:rPr>
                <w:rFonts w:hint="eastAsia" w:ascii="仿宋" w:hAnsi="仿宋" w:eastAsia="仿宋" w:cs="仿宋"/>
                <w:b w:val="0"/>
                <w:bCs w:val="0"/>
                <w:color w:val="auto"/>
                <w:sz w:val="22"/>
                <w:szCs w:val="22"/>
                <w:highlight w:val="none"/>
                <w:lang w:val="zh-CN" w:eastAsia="zh-CN"/>
              </w:rPr>
              <w:t>应急预案（</w:t>
            </w:r>
            <w:r>
              <w:rPr>
                <w:rFonts w:hint="eastAsia" w:ascii="仿宋" w:hAnsi="仿宋" w:eastAsia="仿宋" w:cs="仿宋"/>
                <w:b w:val="0"/>
                <w:bCs w:val="0"/>
                <w:color w:val="auto"/>
                <w:sz w:val="22"/>
                <w:szCs w:val="22"/>
                <w:highlight w:val="none"/>
                <w:lang w:val="en-US" w:eastAsia="zh-CN"/>
              </w:rPr>
              <w:t>5分</w:t>
            </w:r>
            <w:r>
              <w:rPr>
                <w:rFonts w:hint="eastAsia" w:ascii="仿宋" w:hAnsi="仿宋" w:eastAsia="仿宋" w:cs="仿宋"/>
                <w:b w:val="0"/>
                <w:bCs w:val="0"/>
                <w:color w:val="auto"/>
                <w:sz w:val="22"/>
                <w:szCs w:val="22"/>
                <w:highlight w:val="none"/>
                <w:lang w:val="zh-CN" w:eastAsia="zh-CN"/>
              </w:rPr>
              <w:t>）</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zh-CN" w:eastAsia="zh-CN"/>
              </w:rPr>
            </w:pPr>
            <w:r>
              <w:rPr>
                <w:rFonts w:hint="eastAsia" w:ascii="仿宋" w:hAnsi="仿宋" w:eastAsia="仿宋" w:cs="仿宋"/>
                <w:b w:val="0"/>
                <w:bCs w:val="0"/>
                <w:color w:val="auto"/>
                <w:sz w:val="22"/>
                <w:szCs w:val="22"/>
                <w:highlight w:val="none"/>
                <w:lang w:val="zh-CN" w:eastAsia="zh-CN"/>
              </w:rPr>
              <w:t>针对设备可能出现的突发事件问题及重大故障，有具体可行的应急预案措施和解决方案，根据其内容的全面性、详细程度，计0-5分。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2"/>
                <w:szCs w:val="22"/>
                <w:highlight w:val="none"/>
                <w:lang w:val="zh-CN" w:eastAsia="zh-CN"/>
              </w:rPr>
            </w:pPr>
            <w:r>
              <w:rPr>
                <w:rFonts w:hint="eastAsia" w:ascii="仿宋" w:hAnsi="仿宋" w:eastAsia="仿宋" w:cs="仿宋"/>
                <w:b/>
                <w:bCs/>
                <w:color w:val="auto"/>
                <w:sz w:val="22"/>
                <w:szCs w:val="22"/>
                <w:highlight w:val="none"/>
                <w:lang w:val="en-US" w:eastAsia="zh-CN"/>
              </w:rPr>
              <w:t>履约能力及服务承诺（15分）</w:t>
            </w:r>
          </w:p>
        </w:tc>
        <w:tc>
          <w:tcPr>
            <w:tcW w:w="1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eastAsia="zh-CN"/>
              </w:rPr>
              <w:t>服务承诺（</w:t>
            </w:r>
            <w:r>
              <w:rPr>
                <w:rFonts w:hint="eastAsia" w:ascii="仿宋" w:hAnsi="仿宋" w:eastAsia="仿宋" w:cs="仿宋"/>
                <w:b w:val="0"/>
                <w:bCs w:val="0"/>
                <w:color w:val="auto"/>
                <w:sz w:val="22"/>
                <w:szCs w:val="22"/>
                <w:highlight w:val="none"/>
                <w:lang w:val="en-US" w:eastAsia="zh-CN"/>
              </w:rPr>
              <w:t>10分</w:t>
            </w:r>
            <w:r>
              <w:rPr>
                <w:rFonts w:hint="eastAsia" w:ascii="仿宋" w:hAnsi="仿宋" w:eastAsia="仿宋" w:cs="仿宋"/>
                <w:b w:val="0"/>
                <w:bCs w:val="0"/>
                <w:color w:val="auto"/>
                <w:sz w:val="22"/>
                <w:szCs w:val="22"/>
                <w:highlight w:val="none"/>
                <w:lang w:eastAsia="zh-CN"/>
              </w:rPr>
              <w:t>）</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eastAsia="zh-CN"/>
              </w:rPr>
              <w:t>根据</w:t>
            </w:r>
            <w:r>
              <w:rPr>
                <w:rFonts w:hint="eastAsia" w:ascii="仿宋" w:hAnsi="仿宋" w:eastAsia="仿宋" w:cs="仿宋"/>
                <w:b w:val="0"/>
                <w:bCs w:val="0"/>
                <w:color w:val="auto"/>
                <w:sz w:val="22"/>
                <w:szCs w:val="22"/>
                <w:highlight w:val="none"/>
              </w:rPr>
              <w:t>出现故障响应</w:t>
            </w:r>
            <w:r>
              <w:rPr>
                <w:rFonts w:hint="eastAsia" w:ascii="仿宋" w:hAnsi="仿宋" w:eastAsia="仿宋" w:cs="仿宋"/>
                <w:b w:val="0"/>
                <w:bCs w:val="0"/>
                <w:color w:val="auto"/>
                <w:sz w:val="22"/>
                <w:szCs w:val="22"/>
                <w:highlight w:val="none"/>
                <w:lang w:eastAsia="zh-CN"/>
              </w:rPr>
              <w:t>、人员到场</w:t>
            </w:r>
            <w:r>
              <w:rPr>
                <w:rFonts w:hint="eastAsia" w:ascii="仿宋" w:hAnsi="仿宋" w:eastAsia="仿宋" w:cs="仿宋"/>
                <w:b w:val="0"/>
                <w:bCs w:val="0"/>
                <w:color w:val="auto"/>
                <w:sz w:val="22"/>
                <w:szCs w:val="22"/>
                <w:highlight w:val="none"/>
              </w:rPr>
              <w:t>时间</w:t>
            </w:r>
            <w:r>
              <w:rPr>
                <w:rFonts w:hint="eastAsia" w:ascii="仿宋" w:hAnsi="仿宋" w:eastAsia="仿宋" w:cs="仿宋"/>
                <w:b w:val="0"/>
                <w:bCs w:val="0"/>
                <w:color w:val="auto"/>
                <w:sz w:val="22"/>
                <w:szCs w:val="22"/>
                <w:highlight w:val="none"/>
                <w:lang w:val="en-US" w:eastAsia="zh-CN"/>
              </w:rPr>
              <w:t>及后续服务</w:t>
            </w:r>
            <w:r>
              <w:rPr>
                <w:rFonts w:hint="eastAsia" w:ascii="仿宋" w:hAnsi="仿宋" w:eastAsia="仿宋" w:cs="仿宋"/>
                <w:b w:val="0"/>
                <w:bCs w:val="0"/>
                <w:color w:val="auto"/>
                <w:sz w:val="22"/>
                <w:szCs w:val="22"/>
                <w:highlight w:val="none"/>
              </w:rPr>
              <w:t>等</w:t>
            </w:r>
            <w:r>
              <w:rPr>
                <w:rFonts w:hint="eastAsia" w:ascii="仿宋" w:hAnsi="仿宋" w:eastAsia="仿宋" w:cs="仿宋"/>
                <w:b w:val="0"/>
                <w:bCs w:val="0"/>
                <w:color w:val="auto"/>
                <w:sz w:val="22"/>
                <w:szCs w:val="22"/>
                <w:highlight w:val="none"/>
                <w:lang w:eastAsia="zh-CN"/>
              </w:rPr>
              <w:t>内容的</w:t>
            </w:r>
            <w:r>
              <w:rPr>
                <w:rFonts w:hint="eastAsia" w:ascii="仿宋" w:hAnsi="仿宋" w:eastAsia="仿宋" w:cs="仿宋"/>
                <w:b w:val="0"/>
                <w:bCs w:val="0"/>
                <w:color w:val="auto"/>
                <w:sz w:val="22"/>
                <w:szCs w:val="22"/>
                <w:highlight w:val="none"/>
              </w:rPr>
              <w:t>全面性</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详细程度</w:t>
            </w:r>
            <w:r>
              <w:rPr>
                <w:rFonts w:hint="eastAsia" w:ascii="仿宋" w:hAnsi="仿宋" w:eastAsia="仿宋" w:cs="仿宋"/>
                <w:b w:val="0"/>
                <w:bCs w:val="0"/>
                <w:color w:val="auto"/>
                <w:sz w:val="22"/>
                <w:szCs w:val="22"/>
                <w:highlight w:val="none"/>
                <w:lang w:eastAsia="zh-CN"/>
              </w:rPr>
              <w:t>，计</w:t>
            </w:r>
            <w:r>
              <w:rPr>
                <w:rFonts w:hint="eastAsia" w:ascii="仿宋" w:hAnsi="仿宋" w:eastAsia="仿宋" w:cs="仿宋"/>
                <w:b w:val="0"/>
                <w:bCs w:val="0"/>
                <w:color w:val="auto"/>
                <w:sz w:val="22"/>
                <w:szCs w:val="22"/>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val="zh-CN"/>
              </w:rPr>
            </w:pPr>
          </w:p>
        </w:tc>
        <w:tc>
          <w:tcPr>
            <w:tcW w:w="1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eastAsia="zh-CN"/>
              </w:rPr>
              <w:t>增值服务（</w:t>
            </w:r>
            <w:r>
              <w:rPr>
                <w:rFonts w:hint="eastAsia" w:ascii="仿宋" w:hAnsi="仿宋" w:eastAsia="仿宋" w:cs="仿宋"/>
                <w:b w:val="0"/>
                <w:bCs w:val="0"/>
                <w:color w:val="auto"/>
                <w:sz w:val="22"/>
                <w:szCs w:val="22"/>
                <w:highlight w:val="none"/>
                <w:lang w:val="en-US" w:eastAsia="zh-CN"/>
              </w:rPr>
              <w:t>5分</w:t>
            </w:r>
            <w:r>
              <w:rPr>
                <w:rFonts w:hint="eastAsia" w:ascii="仿宋" w:hAnsi="仿宋" w:eastAsia="仿宋" w:cs="仿宋"/>
                <w:b w:val="0"/>
                <w:bCs w:val="0"/>
                <w:color w:val="auto"/>
                <w:sz w:val="22"/>
                <w:szCs w:val="22"/>
                <w:highlight w:val="none"/>
                <w:lang w:eastAsia="zh-CN"/>
              </w:rPr>
              <w:t>）</w:t>
            </w:r>
          </w:p>
        </w:tc>
        <w:tc>
          <w:tcPr>
            <w:tcW w:w="6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0" w:firstLineChars="100"/>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根据</w:t>
            </w:r>
            <w:r>
              <w:rPr>
                <w:rFonts w:hint="eastAsia" w:ascii="仿宋" w:hAnsi="仿宋" w:eastAsia="仿宋" w:cs="仿宋"/>
                <w:b w:val="0"/>
                <w:bCs w:val="0"/>
                <w:color w:val="auto"/>
                <w:sz w:val="22"/>
                <w:szCs w:val="22"/>
                <w:highlight w:val="none"/>
                <w:lang w:eastAsia="zh-CN"/>
              </w:rPr>
              <w:t>供应商提供的</w:t>
            </w:r>
            <w:r>
              <w:rPr>
                <w:rFonts w:hint="eastAsia" w:ascii="仿宋" w:hAnsi="仿宋" w:eastAsia="仿宋" w:cs="仿宋"/>
                <w:b w:val="0"/>
                <w:bCs w:val="0"/>
                <w:color w:val="auto"/>
                <w:sz w:val="22"/>
                <w:szCs w:val="22"/>
                <w:highlight w:val="none"/>
              </w:rPr>
              <w:t>增值服务内容及采购方的接受程度</w:t>
            </w:r>
            <w:r>
              <w:rPr>
                <w:rFonts w:hint="eastAsia" w:ascii="仿宋" w:hAnsi="仿宋" w:eastAsia="仿宋" w:cs="仿宋"/>
                <w:b w:val="0"/>
                <w:bCs w:val="0"/>
                <w:color w:val="auto"/>
                <w:sz w:val="22"/>
                <w:szCs w:val="22"/>
                <w:highlight w:val="none"/>
                <w:lang w:eastAsia="zh-CN"/>
              </w:rPr>
              <w:t>内容的</w:t>
            </w:r>
            <w:r>
              <w:rPr>
                <w:rFonts w:hint="eastAsia" w:ascii="仿宋" w:hAnsi="仿宋" w:eastAsia="仿宋" w:cs="仿宋"/>
                <w:b w:val="0"/>
                <w:bCs w:val="0"/>
                <w:color w:val="auto"/>
                <w:sz w:val="22"/>
                <w:szCs w:val="22"/>
                <w:highlight w:val="none"/>
              </w:rPr>
              <w:t>全面性</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详细程度，</w:t>
            </w:r>
            <w:r>
              <w:rPr>
                <w:rFonts w:hint="eastAsia" w:ascii="仿宋" w:hAnsi="仿宋" w:eastAsia="仿宋" w:cs="仿宋"/>
                <w:b w:val="0"/>
                <w:bCs w:val="0"/>
                <w:color w:val="auto"/>
                <w:sz w:val="22"/>
                <w:szCs w:val="22"/>
                <w:highlight w:val="none"/>
                <w:lang w:eastAsia="zh-CN"/>
              </w:rPr>
              <w:t>计</w:t>
            </w:r>
            <w:r>
              <w:rPr>
                <w:rFonts w:hint="eastAsia" w:ascii="仿宋" w:hAnsi="仿宋" w:eastAsia="仿宋" w:cs="仿宋"/>
                <w:b w:val="0"/>
                <w:bCs w:val="0"/>
                <w:color w:val="auto"/>
                <w:sz w:val="22"/>
                <w:szCs w:val="22"/>
                <w:highlight w:val="none"/>
                <w:lang w:val="en-US" w:eastAsia="zh-CN"/>
              </w:rPr>
              <w:t>0</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分</w:t>
            </w:r>
            <w:r>
              <w:rPr>
                <w:rFonts w:hint="eastAsia" w:ascii="仿宋" w:hAnsi="仿宋" w:eastAsia="仿宋" w:cs="仿宋"/>
                <w:b w:val="0"/>
                <w:bCs w:val="0"/>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268" w:type="dxa"/>
            <w:gridSpan w:val="2"/>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sz w:val="22"/>
                <w:szCs w:val="22"/>
                <w:highlight w:val="none"/>
                <w:lang w:val="zh-CN"/>
              </w:rPr>
              <w:t>类似业绩（</w:t>
            </w:r>
            <w:r>
              <w:rPr>
                <w:rFonts w:hint="eastAsia" w:ascii="仿宋" w:hAnsi="仿宋" w:eastAsia="仿宋" w:cs="仿宋"/>
                <w:b/>
                <w:bCs/>
                <w:color w:val="auto"/>
                <w:sz w:val="22"/>
                <w:szCs w:val="22"/>
                <w:highlight w:val="none"/>
                <w:lang w:val="en-US" w:eastAsia="zh-CN"/>
              </w:rPr>
              <w:t>10分</w:t>
            </w:r>
            <w:r>
              <w:rPr>
                <w:rFonts w:hint="eastAsia" w:ascii="仿宋" w:hAnsi="仿宋" w:eastAsia="仿宋" w:cs="仿宋"/>
                <w:b/>
                <w:bCs/>
                <w:color w:val="auto"/>
                <w:sz w:val="22"/>
                <w:szCs w:val="22"/>
                <w:highlight w:val="none"/>
                <w:lang w:val="zh-CN"/>
              </w:rPr>
              <w:t>）</w:t>
            </w:r>
          </w:p>
        </w:tc>
        <w:tc>
          <w:tcPr>
            <w:tcW w:w="6890" w:type="dxa"/>
            <w:vAlign w:val="center"/>
          </w:tcPr>
          <w:p>
            <w:pPr>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highlight w:val="none"/>
                <w:lang w:val="zh-CN" w:eastAsia="zh-CN" w:bidi="ar-SA"/>
              </w:rPr>
            </w:pPr>
            <w:r>
              <w:rPr>
                <w:rFonts w:hint="eastAsia" w:ascii="仿宋" w:hAnsi="仿宋" w:eastAsia="仿宋" w:cs="仿宋"/>
                <w:b/>
                <w:bCs/>
                <w:color w:val="auto"/>
                <w:sz w:val="22"/>
                <w:szCs w:val="22"/>
                <w:highlight w:val="none"/>
                <w:lang w:val="zh-CN"/>
              </w:rPr>
              <w:t>近三年（201</w:t>
            </w:r>
            <w:r>
              <w:rPr>
                <w:rFonts w:hint="eastAsia" w:ascii="仿宋" w:hAnsi="仿宋" w:eastAsia="仿宋" w:cs="仿宋"/>
                <w:b/>
                <w:bCs/>
                <w:color w:val="auto"/>
                <w:sz w:val="22"/>
                <w:szCs w:val="22"/>
                <w:highlight w:val="none"/>
                <w:lang w:val="en-US" w:eastAsia="zh-CN"/>
              </w:rPr>
              <w:t>9</w:t>
            </w:r>
            <w:r>
              <w:rPr>
                <w:rFonts w:hint="eastAsia" w:ascii="仿宋" w:hAnsi="仿宋" w:eastAsia="仿宋" w:cs="仿宋"/>
                <w:b/>
                <w:bCs/>
                <w:color w:val="auto"/>
                <w:sz w:val="22"/>
                <w:szCs w:val="22"/>
                <w:highlight w:val="none"/>
                <w:lang w:val="zh-CN"/>
              </w:rPr>
              <w:t>年</w:t>
            </w:r>
            <w:r>
              <w:rPr>
                <w:rFonts w:hint="eastAsia" w:ascii="仿宋" w:hAnsi="仿宋" w:eastAsia="仿宋" w:cs="仿宋"/>
                <w:b/>
                <w:bCs/>
                <w:color w:val="auto"/>
                <w:sz w:val="22"/>
                <w:szCs w:val="22"/>
                <w:highlight w:val="none"/>
                <w:lang w:val="en-US" w:eastAsia="zh-CN"/>
              </w:rPr>
              <w:t>01</w:t>
            </w:r>
            <w:r>
              <w:rPr>
                <w:rFonts w:hint="eastAsia" w:ascii="仿宋" w:hAnsi="仿宋" w:eastAsia="仿宋" w:cs="仿宋"/>
                <w:b/>
                <w:bCs/>
                <w:color w:val="auto"/>
                <w:sz w:val="22"/>
                <w:szCs w:val="22"/>
                <w:highlight w:val="none"/>
                <w:lang w:val="zh-CN"/>
              </w:rPr>
              <w:t>月至今）来承担过类似</w:t>
            </w:r>
            <w:r>
              <w:rPr>
                <w:rFonts w:hint="eastAsia" w:ascii="仿宋" w:hAnsi="仿宋" w:eastAsia="仿宋" w:cs="仿宋"/>
                <w:b/>
                <w:bCs/>
                <w:color w:val="auto"/>
                <w:sz w:val="22"/>
                <w:szCs w:val="22"/>
                <w:highlight w:val="none"/>
                <w:lang w:val="zh-CN" w:eastAsia="zh-CN"/>
              </w:rPr>
              <w:t>项目</w:t>
            </w:r>
            <w:r>
              <w:rPr>
                <w:rFonts w:hint="eastAsia" w:ascii="仿宋" w:hAnsi="仿宋" w:eastAsia="仿宋" w:cs="仿宋"/>
                <w:b/>
                <w:bCs/>
                <w:color w:val="auto"/>
                <w:sz w:val="22"/>
                <w:szCs w:val="22"/>
                <w:highlight w:val="none"/>
                <w:lang w:val="zh-CN"/>
              </w:rPr>
              <w:t>业绩，每提供一个得</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val="zh-CN"/>
              </w:rPr>
              <w:t>分，最高得</w:t>
            </w:r>
            <w:r>
              <w:rPr>
                <w:rFonts w:hint="eastAsia" w:ascii="仿宋" w:hAnsi="仿宋" w:eastAsia="仿宋" w:cs="仿宋"/>
                <w:b/>
                <w:bCs/>
                <w:color w:val="auto"/>
                <w:sz w:val="22"/>
                <w:szCs w:val="22"/>
                <w:highlight w:val="none"/>
                <w:lang w:val="en-US" w:eastAsia="zh-CN"/>
              </w:rPr>
              <w:t>10</w:t>
            </w:r>
            <w:r>
              <w:rPr>
                <w:rFonts w:hint="eastAsia" w:ascii="仿宋" w:hAnsi="仿宋" w:eastAsia="仿宋" w:cs="仿宋"/>
                <w:b/>
                <w:bCs/>
                <w:color w:val="auto"/>
                <w:sz w:val="22"/>
                <w:szCs w:val="22"/>
                <w:highlight w:val="none"/>
                <w:lang w:val="zh-CN"/>
              </w:rPr>
              <w:t>分。</w:t>
            </w:r>
            <w:r>
              <w:rPr>
                <w:rFonts w:hint="eastAsia" w:ascii="仿宋" w:hAnsi="仿宋" w:eastAsia="仿宋" w:cs="仿宋"/>
                <w:color w:val="auto"/>
                <w:sz w:val="22"/>
                <w:szCs w:val="22"/>
                <w:highlight w:val="none"/>
                <w:lang w:val="zh-CN"/>
              </w:rPr>
              <w:t>（应附成交通知书或合同协议书，未提供不认可）</w:t>
            </w:r>
          </w:p>
        </w:tc>
      </w:tr>
    </w:tbl>
    <w:p>
      <w:pPr>
        <w:rPr>
          <w:rFonts w:hint="eastAsia" w:ascii="仿宋" w:hAnsi="仿宋" w:eastAsia="仿宋" w:cs="仿宋"/>
          <w:b/>
          <w:bCs w:val="0"/>
          <w:color w:val="auto"/>
          <w:spacing w:val="4"/>
          <w:sz w:val="24"/>
          <w:szCs w:val="24"/>
          <w:highlight w:val="none"/>
        </w:rPr>
      </w:pPr>
      <w:r>
        <w:rPr>
          <w:rFonts w:hint="eastAsia" w:ascii="仿宋" w:hAnsi="仿宋" w:eastAsia="仿宋" w:cs="仿宋"/>
          <w:b/>
          <w:bCs w:val="0"/>
          <w:color w:val="auto"/>
          <w:spacing w:val="4"/>
          <w:sz w:val="24"/>
          <w:szCs w:val="24"/>
          <w:highlight w:val="none"/>
        </w:rPr>
        <w:br w:type="page"/>
      </w:r>
    </w:p>
    <w:p>
      <w:pPr>
        <w:pStyle w:val="6"/>
        <w:numPr>
          <w:ilvl w:val="0"/>
          <w:numId w:val="6"/>
        </w:numPr>
        <w:jc w:val="center"/>
        <w:rPr>
          <w:rFonts w:hint="eastAsia" w:ascii="仿宋" w:hAnsi="仿宋" w:eastAsia="仿宋" w:cs="仿宋"/>
          <w:color w:val="auto"/>
          <w:highlight w:val="none"/>
        </w:rPr>
      </w:pPr>
      <w:bookmarkStart w:id="49" w:name="_Toc4027"/>
      <w:bookmarkStart w:id="50" w:name="_Toc30346"/>
      <w:bookmarkStart w:id="51" w:name="_Toc16582"/>
      <w:bookmarkStart w:id="52" w:name="_Toc421778378"/>
      <w:bookmarkStart w:id="53" w:name="_Toc312874209"/>
      <w:r>
        <w:rPr>
          <w:rFonts w:hint="eastAsia" w:ascii="仿宋" w:hAnsi="仿宋" w:eastAsia="仿宋" w:cs="仿宋"/>
          <w:color w:val="auto"/>
          <w:highlight w:val="none"/>
        </w:rPr>
        <w:t>采购合同</w:t>
      </w:r>
      <w:bookmarkEnd w:id="49"/>
      <w:bookmarkEnd w:id="50"/>
    </w:p>
    <w:p>
      <w:pPr>
        <w:rPr>
          <w:rFonts w:hint="eastAsia" w:eastAsia="仿宋"/>
          <w:color w:val="auto"/>
          <w:highlight w:val="none"/>
          <w:lang w:eastAsia="zh-CN"/>
        </w:rPr>
      </w:pPr>
    </w:p>
    <w:bookmarkEnd w:id="51"/>
    <w:bookmarkEnd w:id="52"/>
    <w:bookmarkEnd w:id="53"/>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bookmarkStart w:id="54" w:name="_Toc20147"/>
      <w:r>
        <w:rPr>
          <w:rFonts w:hint="eastAsia" w:ascii="仿宋" w:hAnsi="仿宋" w:eastAsia="仿宋" w:cs="仿宋"/>
          <w:bCs/>
          <w:color w:val="auto"/>
          <w:sz w:val="24"/>
          <w:szCs w:val="24"/>
          <w:highlight w:val="none"/>
        </w:rPr>
        <w:t>根据《中华人民共和国政府采购法》等法律法规的规定，甲乙双方就以下项目签订本合同。</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第一条、合同标的</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rPr>
        <w:t>（甲方）：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pPr>
        <w:pStyle w:val="2"/>
        <w:keepNext w:val="0"/>
        <w:keepLines w:val="0"/>
        <w:pageBreakBefore w:val="0"/>
        <w:shd w:val="clear" w:color="auto" w:fill="auto"/>
        <w:kinsoku/>
        <w:wordWrap/>
        <w:overflowPunct/>
        <w:topLinePunct w:val="0"/>
        <w:bidi w:val="0"/>
        <w:adjustRightInd w:val="0"/>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（乙方）：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乙方根据甲方需求提供</w:t>
      </w:r>
      <w:r>
        <w:rPr>
          <w:rFonts w:hint="eastAsia" w:ascii="仿宋" w:hAnsi="仿宋" w:eastAsia="仿宋" w:cs="仿宋"/>
          <w:bCs/>
          <w:color w:val="auto"/>
          <w:sz w:val="24"/>
          <w:szCs w:val="24"/>
          <w:highlight w:val="none"/>
          <w:u w:val="single"/>
          <w:lang w:val="en-US" w:eastAsia="zh-CN"/>
        </w:rPr>
        <w:t xml:space="preserve">                        (项目名称）</w:t>
      </w:r>
      <w:r>
        <w:rPr>
          <w:rFonts w:hint="eastAsia" w:ascii="仿宋" w:hAnsi="仿宋" w:eastAsia="仿宋" w:cs="仿宋"/>
          <w:bCs/>
          <w:color w:val="auto"/>
          <w:sz w:val="24"/>
          <w:szCs w:val="24"/>
          <w:highlight w:val="none"/>
        </w:rPr>
        <w:t>服务</w:t>
      </w:r>
      <w:r>
        <w:rPr>
          <w:rFonts w:hint="eastAsia" w:ascii="仿宋" w:hAnsi="仿宋" w:eastAsia="仿宋" w:cs="仿宋"/>
          <w:bCs/>
          <w:color w:val="auto"/>
          <w:sz w:val="24"/>
          <w:szCs w:val="24"/>
          <w:highlight w:val="none"/>
          <w:lang w:eastAsia="zh-CN"/>
        </w:rPr>
        <w:t>。</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第二条、合同总价款</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本合同项下投标总报价为大写：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第三条、付款方式</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第四条、组成本合同的文件</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协议书；</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 </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文件、澄清、补充文件；</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相关服务建议书；</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附录，即：附表内相关服务的范围和内容；</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本合同签订后，双方依法签订的补充协议也是本合同文件的组成部分。</w:t>
      </w:r>
    </w:p>
    <w:p>
      <w:pPr>
        <w:keepNext w:val="0"/>
        <w:keepLines w:val="0"/>
        <w:pageBreakBefore w:val="0"/>
        <w:numPr>
          <w:ilvl w:val="0"/>
          <w:numId w:val="7"/>
        </w:numPr>
        <w:shd w:val="clear" w:color="auto" w:fill="auto"/>
        <w:kinsoku/>
        <w:wordWrap/>
        <w:overflowPunct/>
        <w:topLinePunct w:val="0"/>
        <w:bidi w:val="0"/>
        <w:adjustRightInd w:val="0"/>
        <w:snapToGrid/>
        <w:spacing w:line="360" w:lineRule="auto"/>
        <w:ind w:firstLine="0" w:firstLineChars="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Cs/>
          <w:color w:val="auto"/>
          <w:sz w:val="24"/>
          <w:szCs w:val="24"/>
          <w:highlight w:val="none"/>
          <w:u w:val="single"/>
        </w:rPr>
        <w:t xml:space="preserve">                                        </w:t>
      </w:r>
    </w:p>
    <w:p>
      <w:pPr>
        <w:pStyle w:val="18"/>
        <w:keepNext w:val="0"/>
        <w:keepLines w:val="0"/>
        <w:pageBreakBefore w:val="0"/>
        <w:widowControl w:val="0"/>
        <w:numPr>
          <w:ilvl w:val="0"/>
          <w:numId w:val="0"/>
        </w:numPr>
        <w:suppressLineNumbers w:val="0"/>
        <w:shd w:val="clear" w:color="auto" w:fill="auto"/>
        <w:kinsoku/>
        <w:wordWrap/>
        <w:overflowPunct/>
        <w:topLinePunct w:val="0"/>
        <w:autoSpaceDE w:val="0"/>
        <w:autoSpaceDN/>
        <w:bidi w:val="0"/>
        <w:adjustRightInd w:val="0"/>
        <w:snapToGrid/>
        <w:spacing w:before="0" w:beforeLines="0" w:beforeAutospacing="0" w:after="0" w:afterLines="0" w:afterAutospacing="0" w:line="360" w:lineRule="auto"/>
        <w:ind w:right="0" w:right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第六条、服务要求</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条、</w:t>
      </w:r>
      <w:r>
        <w:rPr>
          <w:rFonts w:hint="eastAsia" w:ascii="仿宋" w:hAnsi="仿宋" w:eastAsia="仿宋" w:cs="仿宋"/>
          <w:b/>
          <w:bCs w:val="0"/>
          <w:color w:val="auto"/>
          <w:sz w:val="24"/>
          <w:szCs w:val="24"/>
          <w:highlight w:val="none"/>
          <w:lang w:eastAsia="zh-CN"/>
        </w:rPr>
        <w:t>服务周期、地点</w:t>
      </w:r>
      <w:r>
        <w:rPr>
          <w:rFonts w:hint="eastAsia" w:ascii="仿宋" w:hAnsi="仿宋" w:eastAsia="仿宋" w:cs="仿宋"/>
          <w:b/>
          <w:bCs w:val="0"/>
          <w:color w:val="auto"/>
          <w:sz w:val="24"/>
          <w:szCs w:val="24"/>
          <w:highlight w:val="none"/>
        </w:rPr>
        <w:t xml:space="preserve">  </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服务期：</w:t>
      </w:r>
      <w:r>
        <w:rPr>
          <w:rFonts w:hint="eastAsia" w:ascii="仿宋" w:hAnsi="仿宋" w:eastAsia="仿宋" w:cs="仿宋"/>
          <w:i w:val="0"/>
          <w:iCs w:val="0"/>
          <w:caps w:val="0"/>
          <w:color w:val="333333"/>
          <w:spacing w:val="0"/>
          <w:sz w:val="24"/>
          <w:szCs w:val="24"/>
        </w:rPr>
        <w:t>3年</w:t>
      </w:r>
      <w:r>
        <w:rPr>
          <w:rFonts w:hint="eastAsia" w:ascii="仿宋" w:hAnsi="仿宋" w:eastAsia="仿宋" w:cs="仿宋"/>
          <w:i w:val="0"/>
          <w:iCs w:val="0"/>
          <w:caps w:val="0"/>
          <w:color w:val="333333"/>
          <w:spacing w:val="0"/>
          <w:sz w:val="24"/>
          <w:szCs w:val="24"/>
          <w:lang w:eastAsia="zh-CN"/>
        </w:rPr>
        <w:t>。</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kern w:val="0"/>
          <w:sz w:val="24"/>
          <w:szCs w:val="24"/>
          <w:highlight w:val="none"/>
          <w:lang w:eastAsia="zh-CN"/>
        </w:rPr>
        <w:t>地</w:t>
      </w:r>
      <w:r>
        <w:rPr>
          <w:rFonts w:hint="eastAsia" w:ascii="仿宋" w:hAnsi="仿宋" w:eastAsia="仿宋" w:cs="仿宋"/>
          <w:b w:val="0"/>
          <w:bCs/>
          <w:color w:val="auto"/>
          <w:kern w:val="0"/>
          <w:sz w:val="24"/>
          <w:szCs w:val="24"/>
          <w:highlight w:val="none"/>
          <w:lang w:val="en-US" w:eastAsia="zh-CN"/>
        </w:rPr>
        <w:t xml:space="preserve">  </w:t>
      </w:r>
      <w:r>
        <w:rPr>
          <w:rFonts w:hint="eastAsia" w:ascii="仿宋" w:hAnsi="仿宋" w:eastAsia="仿宋" w:cs="仿宋"/>
          <w:b w:val="0"/>
          <w:bCs/>
          <w:color w:val="auto"/>
          <w:kern w:val="0"/>
          <w:sz w:val="24"/>
          <w:szCs w:val="24"/>
          <w:highlight w:val="none"/>
          <w:lang w:eastAsia="zh-CN"/>
        </w:rPr>
        <w:t>点：采购人指定地点。</w:t>
      </w:r>
    </w:p>
    <w:p>
      <w:pPr>
        <w:keepNext w:val="0"/>
        <w:keepLines w:val="0"/>
        <w:pageBreakBefore w:val="0"/>
        <w:widowControl/>
        <w:suppressLineNumbers w:val="0"/>
        <w:shd w:val="clear" w:color="auto" w:fill="auto"/>
        <w:kinsoku/>
        <w:wordWrap/>
        <w:overflowPunct/>
        <w:topLinePunct w:val="0"/>
        <w:bidi w:val="0"/>
        <w:adjustRightInd w:val="0"/>
        <w:snapToGrid/>
        <w:spacing w:beforeAutospacing="0" w:afterAutospacing="0"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b/>
          <w:bCs w:val="0"/>
          <w:color w:val="auto"/>
          <w:kern w:val="0"/>
          <w:sz w:val="24"/>
          <w:szCs w:val="24"/>
          <w:highlight w:val="none"/>
        </w:rPr>
        <w:t>第</w:t>
      </w:r>
      <w:r>
        <w:rPr>
          <w:rFonts w:hint="eastAsia" w:ascii="仿宋" w:hAnsi="仿宋" w:eastAsia="仿宋" w:cs="仿宋"/>
          <w:b/>
          <w:bCs w:val="0"/>
          <w:color w:val="auto"/>
          <w:kern w:val="0"/>
          <w:sz w:val="24"/>
          <w:szCs w:val="24"/>
          <w:highlight w:val="none"/>
          <w:lang w:eastAsia="zh-CN"/>
        </w:rPr>
        <w:t>八</w:t>
      </w:r>
      <w:r>
        <w:rPr>
          <w:rFonts w:hint="eastAsia" w:ascii="仿宋" w:hAnsi="仿宋" w:eastAsia="仿宋" w:cs="仿宋"/>
          <w:b/>
          <w:bCs w:val="0"/>
          <w:color w:val="auto"/>
          <w:kern w:val="0"/>
          <w:sz w:val="24"/>
          <w:szCs w:val="24"/>
          <w:highlight w:val="none"/>
        </w:rPr>
        <w:t>条</w:t>
      </w:r>
      <w:r>
        <w:rPr>
          <w:rFonts w:hint="eastAsia" w:ascii="仿宋" w:hAnsi="仿宋" w:eastAsia="仿宋" w:cs="仿宋"/>
          <w:b/>
          <w:bCs w:val="0"/>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bidi="ar"/>
        </w:rPr>
        <w:t>双方的权利和义务</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1.甲方的义务</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（1）甲方应及时向乙方提供与履行本合同相关的所有必须的文件、资料。</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（2）甲方应为乙方履行本合同过程中与相关政府部门及其他第三方的沟通、协调提供必要的协助。</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（3）甲方应按照合同约定支付服务费用。</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2.乙方的义务</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（1）根据甲方提供的数据，明确人员和时间安排，在规定时间内完成甲方要求工作；</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（2）严格按照国家和地方相关规程、细则进行开展工作，并对成果质量负责；</w:t>
      </w:r>
    </w:p>
    <w:p>
      <w:pPr>
        <w:pStyle w:val="18"/>
        <w:keepNext w:val="0"/>
        <w:keepLines w:val="0"/>
        <w:pageBreakBefore w:val="0"/>
        <w:widowControl w:val="0"/>
        <w:suppressLineNumbers w:val="0"/>
        <w:shd w:val="clear" w:color="auto" w:fill="auto"/>
        <w:kinsoku/>
        <w:wordWrap/>
        <w:overflowPunct/>
        <w:topLinePunct w:val="0"/>
        <w:bidi w:val="0"/>
        <w:adjustRightInd w:val="0"/>
        <w:snapToGrid/>
        <w:spacing w:before="0" w:beforeLines="0" w:beforeAutospacing="0" w:after="0" w:afterLines="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（3）对项目实施中因乙方原因出现的质量问题，应按照技术规程规定无条件修改完善，产生费用由乙方承担；</w:t>
      </w:r>
    </w:p>
    <w:p>
      <w:pPr>
        <w:keepNext w:val="0"/>
        <w:keepLines w:val="0"/>
        <w:pageBreakBefore w:val="0"/>
        <w:widowControl w:val="0"/>
        <w:suppressLineNumbers w:val="0"/>
        <w:shd w:val="clear" w:color="auto" w:fill="auto"/>
        <w:kinsoku/>
        <w:wordWrap/>
        <w:overflowPunct/>
        <w:topLinePunct w:val="0"/>
        <w:bidi w:val="0"/>
        <w:adjustRightInd w:val="0"/>
        <w:snapToGrid/>
        <w:spacing w:beforeAutospacing="0" w:afterAutospacing="0" w:line="36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（4）乙方指定</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为该项目负责人，且项目负责人在项目实施期间不得更换。</w:t>
      </w:r>
    </w:p>
    <w:p>
      <w:pPr>
        <w:keepNext w:val="0"/>
        <w:keepLines w:val="0"/>
        <w:pageBreakBefore w:val="0"/>
        <w:widowControl w:val="0"/>
        <w:suppressLineNumbers w:val="0"/>
        <w:shd w:val="clear" w:color="auto" w:fill="auto"/>
        <w:kinsoku/>
        <w:wordWrap/>
        <w:overflowPunct/>
        <w:topLinePunct w:val="0"/>
        <w:bidi w:val="0"/>
        <w:adjustRightInd w:val="0"/>
        <w:snapToGrid/>
        <w:spacing w:beforeAutospacing="0" w:afterAutospacing="0" w:line="360" w:lineRule="auto"/>
        <w:ind w:right="0"/>
        <w:jc w:val="left"/>
        <w:textAlignment w:val="auto"/>
        <w:rPr>
          <w:rFonts w:hint="eastAsia" w:ascii="仿宋" w:hAnsi="仿宋" w:eastAsia="仿宋" w:cs="仿宋"/>
          <w:b/>
          <w:color w:val="auto"/>
          <w:kern w:val="2"/>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第九条、</w:t>
      </w:r>
      <w:r>
        <w:rPr>
          <w:rFonts w:hint="eastAsia" w:ascii="仿宋" w:hAnsi="仿宋" w:eastAsia="仿宋" w:cs="仿宋"/>
          <w:b/>
          <w:color w:val="auto"/>
          <w:kern w:val="2"/>
          <w:sz w:val="24"/>
          <w:szCs w:val="24"/>
          <w:highlight w:val="none"/>
          <w:lang w:val="en-US" w:eastAsia="zh-CN" w:bidi="ar"/>
        </w:rPr>
        <w:t>验收标准</w:t>
      </w:r>
    </w:p>
    <w:p>
      <w:pPr>
        <w:keepNext w:val="0"/>
        <w:keepLines w:val="0"/>
        <w:pageBreakBefore w:val="0"/>
        <w:widowControl w:val="0"/>
        <w:suppressLineNumbers w:val="0"/>
        <w:shd w:val="clear" w:color="auto" w:fill="auto"/>
        <w:kinsoku/>
        <w:wordWrap/>
        <w:overflowPunct/>
        <w:topLinePunct w:val="0"/>
        <w:bidi w:val="0"/>
        <w:adjustRightInd w:val="0"/>
        <w:snapToGrid/>
        <w:spacing w:beforeAutospacing="0" w:afterAutospacing="0" w:line="360" w:lineRule="auto"/>
        <w:ind w:left="0" w:right="0" w:firstLine="480" w:firstLineChars="20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双方应严格按照《中华人民共和国政府采购法》、《中华人民共和国政府采购法实施条例》等法律法规、磋商文件、响应文件等资料的要求共同验收，并且出具书面验收报告。</w:t>
      </w:r>
    </w:p>
    <w:p>
      <w:pPr>
        <w:keepNext w:val="0"/>
        <w:keepLines w:val="0"/>
        <w:pageBreakBefore w:val="0"/>
        <w:widowControl w:val="0"/>
        <w:suppressLineNumbers w:val="0"/>
        <w:shd w:val="clear" w:color="auto" w:fill="auto"/>
        <w:kinsoku/>
        <w:wordWrap/>
        <w:overflowPunct/>
        <w:topLinePunct w:val="0"/>
        <w:bidi w:val="0"/>
        <w:adjustRightInd w:val="0"/>
        <w:snapToGrid/>
        <w:spacing w:beforeAutospacing="0" w:afterAutospacing="0" w:line="360" w:lineRule="auto"/>
        <w:ind w:right="0"/>
        <w:jc w:val="left"/>
        <w:textAlignment w:val="auto"/>
        <w:rPr>
          <w:rFonts w:hint="eastAsia" w:ascii="仿宋" w:hAnsi="仿宋" w:eastAsia="仿宋" w:cs="仿宋"/>
          <w:b/>
          <w:color w:val="auto"/>
          <w:kern w:val="0"/>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 xml:space="preserve">第十条、违约责任 </w:t>
      </w:r>
    </w:p>
    <w:p>
      <w:pPr>
        <w:keepNext w:val="0"/>
        <w:keepLines w:val="0"/>
        <w:pageBreakBefore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依据《中华人民共和国民法典》、《中华人民共和国政府采购法》的相关条款和本合同约定，中标人未全面履行合同义务或者发生违约，采购人会同采购代理机构有权终止合同，依法向中标人要求经济索赔，并报请政府采购监督管理机关进行相应的行政处罚。采购人违约的，应当赔偿给中标人造成的经济损失。</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第十一条、知识产权 </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1.乙方保证，甲方在享受服务或者服务的任何一部分时，免受第三方提出的侵犯 </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其专利权、商标权或其他知识产权的起诉。如发生此类纠纷，由乙方承担一切责任； </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如因此给甲方造成损失的，乙方负责全额赔偿。 </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2.乙方为执行本合同而提供的技术资料或者其他相关资料、软件等由甲方永久免 </w:t>
      </w:r>
    </w:p>
    <w:p>
      <w:pPr>
        <w:keepNext w:val="0"/>
        <w:keepLines w:val="0"/>
        <w:pageBreakBefore w:val="0"/>
        <w:widowControl/>
        <w:suppressLineNumbers w:val="0"/>
        <w:shd w:val="clear" w:color="auto" w:fill="auto"/>
        <w:kinsoku/>
        <w:wordWrap/>
        <w:overflowPunct/>
        <w:topLinePunct w:val="0"/>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费使用。</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条、保密</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对工作中了解到的采购人的技术、机密等进行严格保密，不得向他人泄漏。本合同的解除或终止不免除供应商应承担的保密义务。</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bCs w:val="0"/>
          <w:color w:val="auto"/>
          <w:sz w:val="24"/>
          <w:szCs w:val="24"/>
          <w:highlight w:val="none"/>
        </w:rPr>
        <w:t>第十</w:t>
      </w:r>
      <w:r>
        <w:rPr>
          <w:rFonts w:hint="eastAsia" w:ascii="仿宋" w:hAnsi="仿宋" w:eastAsia="仿宋" w:cs="仿宋"/>
          <w:b/>
          <w:bCs w:val="0"/>
          <w:color w:val="auto"/>
          <w:sz w:val="24"/>
          <w:szCs w:val="24"/>
          <w:highlight w:val="none"/>
          <w:lang w:eastAsia="zh-CN"/>
        </w:rPr>
        <w:t>三</w:t>
      </w:r>
      <w:r>
        <w:rPr>
          <w:rFonts w:hint="eastAsia" w:ascii="仿宋" w:hAnsi="仿宋" w:eastAsia="仿宋" w:cs="仿宋"/>
          <w:b/>
          <w:bCs w:val="0"/>
          <w:color w:val="auto"/>
          <w:sz w:val="24"/>
          <w:szCs w:val="24"/>
          <w:highlight w:val="none"/>
        </w:rPr>
        <w:t>条、</w:t>
      </w:r>
      <w:r>
        <w:rPr>
          <w:rFonts w:hint="eastAsia" w:ascii="仿宋" w:hAnsi="仿宋" w:eastAsia="仿宋" w:cs="仿宋"/>
          <w:b/>
          <w:bCs w:val="0"/>
          <w:color w:val="auto"/>
          <w:sz w:val="24"/>
          <w:szCs w:val="24"/>
          <w:highlight w:val="none"/>
          <w:lang w:val="zh-CN"/>
        </w:rPr>
        <w:t>权利保证</w:t>
      </w:r>
      <w:r>
        <w:rPr>
          <w:rFonts w:hint="eastAsia" w:ascii="仿宋" w:hAnsi="仿宋" w:eastAsia="仿宋" w:cs="仿宋"/>
          <w:b/>
          <w:bCs w:val="0"/>
          <w:color w:val="auto"/>
          <w:sz w:val="24"/>
          <w:szCs w:val="24"/>
          <w:highlight w:val="none"/>
        </w:rPr>
        <w:t xml:space="preserve"> </w:t>
      </w:r>
      <w:r>
        <w:rPr>
          <w:rFonts w:hint="eastAsia" w:ascii="仿宋" w:hAnsi="仿宋" w:eastAsia="仿宋" w:cs="仿宋"/>
          <w:b w:val="0"/>
          <w:bCs/>
          <w:color w:val="auto"/>
          <w:sz w:val="24"/>
          <w:szCs w:val="24"/>
          <w:highlight w:val="none"/>
        </w:rPr>
        <w:t xml:space="preserve">  </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zh-CN"/>
        </w:rPr>
        <w:t>乙方应保证甲方在使用该服务内容、成果或其任何一部分时不受第三方提出侵犯其专利权、版权、商标权或其他权利的起诉。一旦出现侵权，乙方应承担全部责任。</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条、合同争议的解决</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合同执行中发生争议的，当事人双方应协商解决。协商达不成一致时，可向当地行政仲裁机关申请仲裁或者向人民法院提请诉讼。</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条、不可抗力情况下的免责约定</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六</w:t>
      </w:r>
      <w:r>
        <w:rPr>
          <w:rFonts w:hint="eastAsia" w:ascii="仿宋" w:hAnsi="仿宋" w:eastAsia="仿宋" w:cs="仿宋"/>
          <w:b/>
          <w:color w:val="auto"/>
          <w:sz w:val="24"/>
          <w:szCs w:val="24"/>
          <w:highlight w:val="none"/>
        </w:rPr>
        <w:t>条、合同的终止、变更</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合同一经签订，不得擅自变更、中止或者终止合同。对确需变更、调整或者中止、终止合同的，应按规定履行相应的手续。</w:t>
      </w:r>
    </w:p>
    <w:p>
      <w:pPr>
        <w:keepNext w:val="0"/>
        <w:keepLines w:val="0"/>
        <w:pageBreakBefore w:val="0"/>
        <w:widowControl/>
        <w:shd w:val="clear" w:color="auto" w:fill="auto"/>
        <w:kinsoku/>
        <w:wordWrap/>
        <w:overflowPunct/>
        <w:topLinePunct w:val="0"/>
        <w:bidi w:val="0"/>
        <w:adjustRightInd w:val="0"/>
        <w:snapToGrid/>
        <w:spacing w:line="360" w:lineRule="auto"/>
        <w:jc w:val="left"/>
        <w:textAlignment w:val="auto"/>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条、</w:t>
      </w:r>
      <w:r>
        <w:rPr>
          <w:rFonts w:hint="eastAsia" w:ascii="仿宋" w:hAnsi="仿宋" w:eastAsia="仿宋" w:cs="仿宋"/>
          <w:b/>
          <w:color w:val="auto"/>
          <w:sz w:val="24"/>
          <w:szCs w:val="24"/>
          <w:highlight w:val="none"/>
          <w:lang w:val="zh-CN"/>
        </w:rPr>
        <w:t>合同的转让</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val="zh-CN"/>
        </w:rPr>
        <w:t>乙</w:t>
      </w:r>
      <w:r>
        <w:rPr>
          <w:rFonts w:hint="eastAsia" w:ascii="仿宋" w:hAnsi="仿宋" w:eastAsia="仿宋" w:cs="仿宋"/>
          <w:color w:val="auto"/>
          <w:sz w:val="24"/>
          <w:szCs w:val="24"/>
          <w:highlight w:val="none"/>
          <w:lang w:val="zh-CN"/>
        </w:rPr>
        <w:t>方不得擅自部分或全部转让其应履行的合同义务。</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第十八条、合同生效及其他</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本合同自签订之日起生效。</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本合同一式四份，甲乙双方各执贰份。</w:t>
      </w:r>
    </w:p>
    <w:p>
      <w:pPr>
        <w:keepNext w:val="0"/>
        <w:keepLines w:val="0"/>
        <w:pageBreakBefore w:val="0"/>
        <w:shd w:val="clear" w:color="auto" w:fill="auto"/>
        <w:kinsoku/>
        <w:wordWrap/>
        <w:overflowPunct/>
        <w:topLinePunct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本合同应按照中华人民共和国的现行法律进行解释。</w:t>
      </w:r>
    </w:p>
    <w:p>
      <w:pPr>
        <w:pStyle w:val="3"/>
        <w:keepNext w:val="0"/>
        <w:keepLines w:val="0"/>
        <w:pageBreakBefore w:val="0"/>
        <w:shd w:val="clear" w:color="auto" w:fill="auto"/>
        <w:kinsoku/>
        <w:wordWrap/>
        <w:overflowPunct/>
        <w:topLinePunct w:val="0"/>
        <w:bidi w:val="0"/>
        <w:adjustRightInd w:val="0"/>
        <w:snapToGrid/>
        <w:spacing w:after="0" w:afterLines="0" w:line="360" w:lineRule="auto"/>
        <w:ind w:firstLine="0" w:firstLineChars="0"/>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（盖章）          </w:t>
      </w:r>
      <w:r>
        <w:rPr>
          <w:rFonts w:hint="eastAsia" w:ascii="仿宋" w:hAnsi="仿宋" w:eastAsia="仿宋" w:cs="仿宋"/>
          <w:color w:val="auto"/>
          <w:sz w:val="24"/>
          <w:szCs w:val="24"/>
          <w:highlight w:val="none"/>
        </w:rPr>
        <w:t xml:space="preserve">                乙方：</w:t>
      </w:r>
      <w:r>
        <w:rPr>
          <w:rFonts w:hint="eastAsia" w:ascii="仿宋" w:hAnsi="仿宋" w:eastAsia="仿宋" w:cs="仿宋"/>
          <w:color w:val="auto"/>
          <w:sz w:val="24"/>
          <w:szCs w:val="24"/>
          <w:highlight w:val="none"/>
          <w:u w:val="single"/>
        </w:rPr>
        <w:t xml:space="preserve">   （盖章）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地 址：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                         法定代表人或其授权</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的代理人：</w:t>
      </w:r>
      <w:r>
        <w:rPr>
          <w:rFonts w:hint="eastAsia" w:ascii="仿宋" w:hAnsi="仿宋" w:eastAsia="仿宋" w:cs="仿宋"/>
          <w:color w:val="auto"/>
          <w:sz w:val="24"/>
          <w:szCs w:val="24"/>
          <w:highlight w:val="none"/>
          <w:u w:val="single"/>
        </w:rPr>
        <w:t xml:space="preserve">（签字）          </w:t>
      </w:r>
      <w:r>
        <w:rPr>
          <w:rFonts w:hint="eastAsia" w:ascii="仿宋" w:hAnsi="仿宋" w:eastAsia="仿宋" w:cs="仿宋"/>
          <w:color w:val="auto"/>
          <w:sz w:val="24"/>
          <w:szCs w:val="24"/>
          <w:highlight w:val="none"/>
        </w:rPr>
        <w:t xml:space="preserve">               的代理人：</w:t>
      </w:r>
      <w:r>
        <w:rPr>
          <w:rFonts w:hint="eastAsia" w:ascii="仿宋" w:hAnsi="仿宋" w:eastAsia="仿宋" w:cs="仿宋"/>
          <w:color w:val="auto"/>
          <w:sz w:val="24"/>
          <w:szCs w:val="24"/>
          <w:highlight w:val="none"/>
          <w:u w:val="single"/>
        </w:rPr>
        <w:t xml:space="preserve">（签字）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bCs/>
          <w:color w:val="auto"/>
          <w:sz w:val="24"/>
          <w:szCs w:val="24"/>
          <w:highlight w:val="none"/>
          <w:lang w:val="zh-CN" w:eastAsia="zh-CN"/>
        </w:rPr>
      </w:pPr>
    </w:p>
    <w:p>
      <w:pPr>
        <w:keepNext w:val="0"/>
        <w:keepLines w:val="0"/>
        <w:pageBreakBefore w:val="0"/>
        <w:shd w:val="clear" w:color="auto" w:fill="auto"/>
        <w:kinsoku/>
        <w:wordWrap/>
        <w:overflowPunct/>
        <w:topLinePunct w:val="0"/>
        <w:bidi w:val="0"/>
        <w:adjustRightInd w:val="0"/>
        <w:snapToGrid/>
        <w:spacing w:line="360" w:lineRule="auto"/>
        <w:textAlignment w:val="auto"/>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注：本合同模板仅为合同的参考文本，合同签订双方可根据项目的具体要求进行修改。</w:t>
      </w:r>
    </w:p>
    <w:p>
      <w:pPr>
        <w:numPr>
          <w:ilvl w:val="0"/>
          <w:numId w:val="0"/>
        </w:numPr>
        <w:jc w:val="center"/>
        <w:rPr>
          <w:rFonts w:hint="eastAsia" w:ascii="宋体" w:hAnsi="宋体"/>
          <w:b/>
          <w:bCs/>
          <w:color w:val="auto"/>
          <w:sz w:val="30"/>
          <w:szCs w:val="30"/>
        </w:rPr>
      </w:pPr>
    </w:p>
    <w:p>
      <w:pPr>
        <w:numPr>
          <w:ilvl w:val="0"/>
          <w:numId w:val="0"/>
        </w:numPr>
        <w:jc w:val="center"/>
        <w:rPr>
          <w:rFonts w:hint="eastAsia" w:ascii="宋体" w:hAnsi="宋体"/>
          <w:b/>
          <w:bCs/>
          <w:color w:val="auto"/>
          <w:sz w:val="30"/>
          <w:szCs w:val="30"/>
        </w:rPr>
      </w:pPr>
    </w:p>
    <w:p>
      <w:pPr>
        <w:numPr>
          <w:ilvl w:val="0"/>
          <w:numId w:val="0"/>
        </w:numPr>
        <w:jc w:val="center"/>
        <w:rPr>
          <w:rFonts w:hint="eastAsia" w:ascii="宋体" w:hAnsi="宋体"/>
          <w:b/>
          <w:bCs/>
          <w:color w:val="auto"/>
          <w:sz w:val="30"/>
          <w:szCs w:val="30"/>
        </w:rPr>
      </w:pPr>
    </w:p>
    <w:p>
      <w:pPr>
        <w:numPr>
          <w:ilvl w:val="0"/>
          <w:numId w:val="0"/>
        </w:numPr>
        <w:jc w:val="center"/>
        <w:rPr>
          <w:rFonts w:hint="eastAsia" w:ascii="宋体" w:hAnsi="宋体"/>
          <w:b/>
          <w:bCs/>
          <w:color w:val="auto"/>
          <w:sz w:val="30"/>
          <w:szCs w:val="30"/>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br w:type="page"/>
      </w:r>
    </w:p>
    <w:p>
      <w:pPr>
        <w:numPr>
          <w:ilvl w:val="0"/>
          <w:numId w:val="6"/>
        </w:numPr>
        <w:wordWrap w:val="0"/>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 xml:space="preserve"> </w:t>
      </w:r>
      <w:bookmarkStart w:id="55" w:name="_Toc830"/>
      <w:r>
        <w:rPr>
          <w:rFonts w:hint="eastAsia" w:ascii="仿宋" w:hAnsi="仿宋" w:eastAsia="仿宋" w:cs="仿宋"/>
          <w:b/>
          <w:bCs/>
          <w:color w:val="auto"/>
          <w:sz w:val="36"/>
          <w:szCs w:val="36"/>
          <w:highlight w:val="none"/>
        </w:rPr>
        <w:t>采购内容及要求</w:t>
      </w:r>
      <w:bookmarkEnd w:id="54"/>
      <w:bookmarkEnd w:id="55"/>
    </w:p>
    <w:p>
      <w:pPr>
        <w:keepNext w:val="0"/>
        <w:keepLines w:val="0"/>
        <w:pageBreakBefore w:val="0"/>
        <w:widowControl w:val="0"/>
        <w:kinsoku/>
        <w:wordWrap/>
        <w:overflowPunct/>
        <w:topLinePunct w:val="0"/>
        <w:bidi w:val="0"/>
        <w:snapToGrid/>
        <w:spacing w:line="480" w:lineRule="auto"/>
        <w:ind w:right="0" w:rightChars="0"/>
        <w:jc w:val="center"/>
        <w:textAlignment w:val="auto"/>
        <w:outlineLvl w:val="9"/>
        <w:rPr>
          <w:rFonts w:hint="eastAsia" w:ascii="仿宋" w:hAnsi="仿宋" w:eastAsia="仿宋" w:cs="仿宋"/>
          <w:b/>
          <w:bCs w:val="0"/>
          <w:color w:val="auto"/>
          <w:sz w:val="28"/>
          <w:szCs w:val="28"/>
          <w:highlight w:val="none"/>
        </w:rPr>
      </w:pPr>
      <w:bookmarkStart w:id="56" w:name="_Toc421778384"/>
      <w:bookmarkStart w:id="57" w:name="_Toc14636"/>
      <w:r>
        <w:rPr>
          <w:rFonts w:hint="eastAsia" w:ascii="仿宋" w:hAnsi="仿宋" w:eastAsia="仿宋" w:cs="仿宋"/>
          <w:b/>
          <w:bCs w:val="0"/>
          <w:color w:val="auto"/>
          <w:sz w:val="28"/>
          <w:szCs w:val="28"/>
          <w:highlight w:val="none"/>
          <w:lang w:eastAsia="zh-CN"/>
        </w:rPr>
        <w:t>项目</w:t>
      </w:r>
      <w:r>
        <w:rPr>
          <w:rFonts w:hint="eastAsia" w:ascii="仿宋" w:hAnsi="仿宋" w:eastAsia="仿宋" w:cs="仿宋"/>
          <w:b/>
          <w:bCs w:val="0"/>
          <w:color w:val="auto"/>
          <w:sz w:val="28"/>
          <w:szCs w:val="28"/>
          <w:highlight w:val="none"/>
        </w:rPr>
        <w:t>概况</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lang w:eastAsia="zh-CN"/>
        </w:rPr>
        <w:t>1.5T核磁共振维修保养采购项目（二次）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地点：宝鸡市</w:t>
      </w:r>
      <w:r>
        <w:rPr>
          <w:rFonts w:hint="eastAsia" w:ascii="仿宋" w:hAnsi="仿宋" w:eastAsia="仿宋" w:cs="仿宋"/>
          <w:bCs/>
          <w:color w:val="auto"/>
          <w:sz w:val="24"/>
          <w:szCs w:val="24"/>
          <w:highlight w:val="none"/>
          <w:lang w:val="en-US" w:eastAsia="zh-CN"/>
        </w:rPr>
        <w:t>扶风县</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采购</w:t>
      </w:r>
      <w:r>
        <w:rPr>
          <w:rFonts w:hint="eastAsia" w:ascii="仿宋" w:hAnsi="仿宋" w:eastAsia="仿宋" w:cs="仿宋"/>
          <w:bCs/>
          <w:color w:val="auto"/>
          <w:sz w:val="24"/>
          <w:szCs w:val="24"/>
          <w:highlight w:val="none"/>
        </w:rPr>
        <w:t>单位：</w:t>
      </w:r>
      <w:r>
        <w:rPr>
          <w:rFonts w:hint="eastAsia" w:ascii="仿宋" w:hAnsi="仿宋" w:eastAsia="仿宋" w:cs="仿宋"/>
          <w:bCs/>
          <w:color w:val="auto"/>
          <w:sz w:val="24"/>
          <w:szCs w:val="24"/>
          <w:highlight w:val="none"/>
          <w:lang w:eastAsia="zh-CN"/>
        </w:rPr>
        <w:t>扶风县中医医院</w:t>
      </w:r>
    </w:p>
    <w:p>
      <w:pPr>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服</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务</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r>
        <w:rPr>
          <w:rFonts w:hint="eastAsia" w:ascii="仿宋" w:hAnsi="仿宋" w:eastAsia="仿宋" w:cs="仿宋"/>
          <w:bCs/>
          <w:color w:val="auto"/>
          <w:sz w:val="24"/>
          <w:szCs w:val="24"/>
          <w:highlight w:val="none"/>
          <w:lang w:val="en-US" w:eastAsia="zh-CN"/>
        </w:rPr>
        <w:t xml:space="preserve">3年     </w:t>
      </w:r>
    </w:p>
    <w:p>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5、质量保证：</w:t>
      </w:r>
      <w:r>
        <w:rPr>
          <w:rFonts w:hint="eastAsia" w:ascii="仿宋" w:hAnsi="仿宋" w:eastAsia="仿宋" w:cs="仿宋"/>
          <w:b w:val="0"/>
          <w:bCs/>
          <w:color w:val="auto"/>
          <w:sz w:val="24"/>
          <w:szCs w:val="24"/>
          <w:highlight w:val="none"/>
        </w:rPr>
        <w:t>符合国家现行质量验收规范“合格”要求</w:t>
      </w:r>
    </w:p>
    <w:p>
      <w:pPr>
        <w:keepNext w:val="0"/>
        <w:keepLines w:val="0"/>
        <w:pageBreakBefore w:val="0"/>
        <w:widowControl w:val="0"/>
        <w:kinsoku/>
        <w:wordWrap/>
        <w:overflowPunct/>
        <w:topLinePunct w:val="0"/>
        <w:bidi w:val="0"/>
        <w:snapToGrid/>
        <w:spacing w:line="480" w:lineRule="auto"/>
        <w:ind w:right="0" w:rightChars="0"/>
        <w:jc w:val="center"/>
        <w:textAlignment w:val="auto"/>
        <w:outlineLvl w:val="9"/>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采购内容及要求</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一、维保设备内容</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设备型号：GE 核磁共振1.5T        服务年限：3年 </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包括设备系统/服务：磁共振设备全套及相关辅助设备。</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1、包括核磁共振设备电子部分（含磁体、线圈、梯度柜、射频柜、系统柜、计算机、扫描床及所属辅件等）及主机图形工作站。</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2、制冷系统(含冷头、氦压缩机、吸附器、高低压氦气管、水冷机组、正常消耗性液氦)及精密空调等。</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3、服务期内所有液氦泄露。</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二、服务类别: 全保服务型</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 响应时间：全天24小时电话响应，设备故障时24小时内到达现场。</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 维修时间：周一至周日全天候24小时提供服务。</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三、维保责任及要求：</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1、服务时间：全年365*24小时无节假日服务；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2、电话响应时间：≤1小时；工程师到场时间：≤24小时；</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3、备件到达现场时间：普通零配件≤24小时，重大型配件≤72小时；</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4、开机率保证：每年≥95%。</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5、定期维护、保养、调校服务：每年提供不少于4次常规保养服务；此项定期维护服务应间隔进行。</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6、设备安全检查及质量保证服务。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7、设备故障报修：不限次数人工上门服务。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8、整机人工技术服务及免费更换备件服务。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9、远程故障预警提示服务。</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10、设备质检协助服务。</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四、服务费用范围</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包含服务费用内容：维保期间所产生的人工费用；整机所有配件更换费用、差旅费用；技术服务费、运输费用等所有费用。</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五、备件要求</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所更换的备件为原厂原装备件，安装完成后达到设备安全运行标准及临床要求。</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六、增值服务项目</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1.提供《维修报告》、《保养报告》、《设备年度保养报告》；</w:t>
      </w:r>
    </w:p>
    <w:p>
      <w:pPr>
        <w:keepNext w:val="0"/>
        <w:keepLines w:val="0"/>
        <w:pageBreakBefore w:val="0"/>
        <w:widowControl w:val="0"/>
        <w:kinsoku/>
        <w:wordWrap/>
        <w:overflowPunct/>
        <w:topLinePunct w:val="0"/>
        <w:bidi w:val="0"/>
        <w:snapToGrid/>
        <w:spacing w:line="360" w:lineRule="auto"/>
        <w:ind w:right="0" w:rightChars="0" w:firstLine="480" w:firstLineChars="200"/>
        <w:jc w:val="both"/>
        <w:textAlignment w:val="auto"/>
        <w:outlineLvl w:val="9"/>
        <w:rPr>
          <w:rFonts w:hint="eastAsia"/>
          <w:lang w:eastAsia="zh-CN"/>
        </w:rPr>
      </w:pPr>
      <w:r>
        <w:rPr>
          <w:rFonts w:hint="eastAsia" w:ascii="仿宋" w:hAnsi="仿宋" w:eastAsia="仿宋" w:cs="仿宋"/>
          <w:bCs/>
          <w:color w:val="auto"/>
          <w:sz w:val="24"/>
          <w:szCs w:val="24"/>
          <w:highlight w:val="none"/>
          <w:lang w:val="en-US" w:eastAsia="zh-CN"/>
        </w:rPr>
        <w:t>2.免费提供MR核磁设备的日常操作、维护等现场相关培训服务。</w:t>
      </w:r>
    </w:p>
    <w:p>
      <w:pPr>
        <w:pStyle w:val="6"/>
        <w:keepNext w:val="0"/>
        <w:pageBreakBefore/>
        <w:spacing w:line="350" w:lineRule="auto"/>
        <w:jc w:val="center"/>
        <w:outlineLvl w:val="0"/>
        <w:rPr>
          <w:rFonts w:hint="eastAsia" w:ascii="仿宋" w:hAnsi="仿宋" w:eastAsia="仿宋" w:cs="仿宋"/>
          <w:color w:val="auto"/>
          <w:highlight w:val="none"/>
        </w:rPr>
      </w:pPr>
      <w:bookmarkStart w:id="58" w:name="_Toc4049"/>
      <w:bookmarkStart w:id="59" w:name="_Toc29157"/>
      <w:r>
        <w:rPr>
          <w:rFonts w:hint="eastAsia" w:ascii="仿宋" w:hAnsi="仿宋" w:eastAsia="仿宋" w:cs="仿宋"/>
          <w:color w:val="auto"/>
          <w:highlight w:val="none"/>
        </w:rPr>
        <w:t>第六章</w:t>
      </w:r>
      <w:bookmarkEnd w:id="56"/>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竞争性磋商响应文件构成及格式</w:t>
      </w:r>
      <w:bookmarkEnd w:id="57"/>
      <w:bookmarkEnd w:id="58"/>
      <w:bookmarkEnd w:id="59"/>
    </w:p>
    <w:p>
      <w:pPr>
        <w:spacing w:line="5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r>
        <w:rPr>
          <w:rFonts w:hint="eastAsia" w:ascii="仿宋" w:hAnsi="仿宋" w:eastAsia="仿宋" w:cs="仿宋"/>
          <w:b/>
          <w:bCs/>
          <w:color w:val="000000" w:themeColor="text1"/>
          <w:sz w:val="24"/>
          <w:szCs w:val="24"/>
          <w:highlight w:val="none"/>
          <w14:textFill>
            <w14:solidFill>
              <w14:schemeClr w14:val="tx1"/>
            </w14:solidFill>
          </w14:textFill>
        </w:rPr>
        <w:t>编号：</w:t>
      </w:r>
      <w:r>
        <w:rPr>
          <w:rFonts w:hint="eastAsia" w:ascii="仿宋" w:hAnsi="仿宋" w:eastAsia="仿宋" w:cs="仿宋"/>
          <w:b/>
          <w:bCs/>
          <w:color w:val="000000" w:themeColor="text1"/>
          <w:sz w:val="24"/>
          <w:szCs w:val="24"/>
          <w:highlight w:val="none"/>
          <w:lang w:eastAsia="zh-CN"/>
          <w14:textFill>
            <w14:solidFill>
              <w14:schemeClr w14:val="tx1"/>
            </w14:solidFill>
          </w14:textFill>
        </w:rPr>
        <w:t>JQJW-2022-0330.1B1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（正本/副本）</w:t>
      </w:r>
    </w:p>
    <w:p>
      <w:pPr>
        <w:spacing w:line="360" w:lineRule="auto"/>
        <w:rPr>
          <w:rFonts w:hint="eastAsia" w:ascii="仿宋" w:hAnsi="仿宋" w:eastAsia="仿宋" w:cs="仿宋"/>
          <w:b/>
          <w:bCs/>
          <w:color w:val="auto"/>
          <w:sz w:val="20"/>
          <w:szCs w:val="20"/>
          <w:highlight w:val="none"/>
        </w:rPr>
      </w:pPr>
    </w:p>
    <w:p>
      <w:pPr>
        <w:spacing w:line="360" w:lineRule="auto"/>
        <w:jc w:val="center"/>
        <w:outlineLvl w:val="0"/>
        <w:rPr>
          <w:rFonts w:hint="eastAsia" w:ascii="仿宋" w:hAnsi="仿宋" w:eastAsia="仿宋" w:cs="仿宋"/>
          <w:b/>
          <w:bCs/>
          <w:color w:val="auto"/>
          <w:sz w:val="48"/>
          <w:szCs w:val="48"/>
          <w:highlight w:val="none"/>
          <w:lang w:eastAsia="zh-CN"/>
        </w:rPr>
      </w:pPr>
    </w:p>
    <w:p>
      <w:pPr>
        <w:spacing w:line="360" w:lineRule="auto"/>
        <w:jc w:val="center"/>
        <w:outlineLvl w:val="0"/>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1.5T核磁共振维修保养采购项目（二次）</w:t>
      </w:r>
    </w:p>
    <w:p>
      <w:pPr>
        <w:pStyle w:val="5"/>
        <w:rPr>
          <w:rFonts w:hint="eastAsia"/>
          <w:lang w:eastAsia="zh-CN"/>
        </w:rPr>
      </w:pPr>
    </w:p>
    <w:p>
      <w:pPr>
        <w:pStyle w:val="2"/>
        <w:outlineLvl w:val="0"/>
        <w:rPr>
          <w:rFonts w:hint="eastAsia" w:ascii="仿宋" w:hAnsi="仿宋" w:eastAsia="仿宋" w:cs="仿宋"/>
          <w:color w:val="auto"/>
          <w:highlight w:val="none"/>
        </w:rPr>
      </w:pPr>
    </w:p>
    <w:p>
      <w:pPr>
        <w:pStyle w:val="2"/>
        <w:rPr>
          <w:rFonts w:hint="eastAsia" w:ascii="仿宋" w:hAnsi="仿宋" w:eastAsia="仿宋" w:cs="仿宋"/>
          <w:color w:val="auto"/>
          <w:sz w:val="16"/>
          <w:szCs w:val="16"/>
          <w:highlight w:val="none"/>
        </w:rPr>
      </w:pPr>
    </w:p>
    <w:p>
      <w:pPr>
        <w:rPr>
          <w:rFonts w:hint="eastAsia" w:ascii="仿宋" w:hAnsi="仿宋" w:eastAsia="仿宋" w:cs="仿宋"/>
          <w:color w:val="auto"/>
          <w:highlight w:val="none"/>
        </w:rPr>
      </w:pPr>
    </w:p>
    <w:p>
      <w:pPr>
        <w:spacing w:line="360" w:lineRule="auto"/>
        <w:jc w:val="center"/>
        <w:outlineLvl w:val="0"/>
        <w:rPr>
          <w:rFonts w:hint="eastAsia" w:ascii="仿宋" w:hAnsi="仿宋" w:eastAsia="仿宋" w:cs="仿宋"/>
          <w:b/>
          <w:bCs/>
          <w:color w:val="auto"/>
          <w:sz w:val="52"/>
          <w:szCs w:val="52"/>
          <w:highlight w:val="none"/>
        </w:rPr>
      </w:pPr>
      <w:bookmarkStart w:id="60" w:name="_Toc29333"/>
      <w:bookmarkStart w:id="61" w:name="_Toc20236"/>
      <w:r>
        <w:rPr>
          <w:rFonts w:hint="eastAsia" w:ascii="仿宋" w:hAnsi="仿宋" w:eastAsia="仿宋" w:cs="仿宋"/>
          <w:b/>
          <w:bCs/>
          <w:color w:val="auto"/>
          <w:sz w:val="52"/>
          <w:szCs w:val="52"/>
          <w:highlight w:val="none"/>
        </w:rPr>
        <w:t>竞争性磋商响应文件</w:t>
      </w:r>
      <w:bookmarkEnd w:id="60"/>
      <w:bookmarkEnd w:id="61"/>
    </w:p>
    <w:p>
      <w:pPr>
        <w:spacing w:line="360" w:lineRule="auto"/>
        <w:rPr>
          <w:rFonts w:hint="eastAsia" w:ascii="仿宋" w:hAnsi="仿宋" w:eastAsia="仿宋" w:cs="仿宋"/>
          <w:color w:val="auto"/>
          <w:highlight w:val="none"/>
        </w:rPr>
      </w:pPr>
    </w:p>
    <w:p>
      <w:pPr>
        <w:spacing w:line="360" w:lineRule="auto"/>
        <w:rPr>
          <w:rFonts w:hint="eastAsia" w:ascii="仿宋" w:hAnsi="仿宋" w:eastAsia="仿宋" w:cs="仿宋"/>
          <w:color w:val="auto"/>
          <w:sz w:val="40"/>
          <w:szCs w:val="40"/>
          <w:highlight w:val="none"/>
        </w:rPr>
      </w:pPr>
    </w:p>
    <w:p>
      <w:pPr>
        <w:pStyle w:val="2"/>
        <w:rPr>
          <w:rFonts w:hint="eastAsia" w:ascii="仿宋" w:hAnsi="仿宋" w:eastAsia="仿宋" w:cs="仿宋"/>
          <w:color w:val="auto"/>
          <w:sz w:val="18"/>
          <w:szCs w:val="18"/>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spacing w:line="360" w:lineRule="auto"/>
        <w:rPr>
          <w:rFonts w:hint="eastAsia" w:ascii="仿宋" w:hAnsi="仿宋" w:eastAsia="仿宋" w:cs="仿宋"/>
          <w:color w:val="auto"/>
          <w:highlight w:val="none"/>
        </w:rPr>
      </w:pPr>
    </w:p>
    <w:p>
      <w:pPr>
        <w:spacing w:line="360" w:lineRule="auto"/>
        <w:ind w:firstLine="40" w:firstLineChars="200"/>
        <w:rPr>
          <w:rFonts w:hint="eastAsia" w:ascii="仿宋" w:hAnsi="仿宋" w:eastAsia="仿宋" w:cs="仿宋"/>
          <w:color w:val="auto"/>
          <w:sz w:val="2"/>
          <w:szCs w:val="2"/>
          <w:highlight w:val="none"/>
        </w:rPr>
      </w:pPr>
    </w:p>
    <w:p>
      <w:pPr>
        <w:spacing w:line="9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    应    商：</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（盖章）</w:t>
      </w:r>
    </w:p>
    <w:p>
      <w:pPr>
        <w:spacing w:line="960"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法定代表人或其委托代理人：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（签字或盖章）</w:t>
      </w:r>
    </w:p>
    <w:p>
      <w:pPr>
        <w:spacing w:line="720" w:lineRule="auto"/>
        <w:ind w:firstLine="3373" w:firstLineChars="1200"/>
        <w:outlineLvl w:val="0"/>
        <w:rPr>
          <w:rFonts w:hint="eastAsia" w:ascii="仿宋" w:hAnsi="仿宋" w:eastAsia="仿宋" w:cs="仿宋"/>
          <w:color w:val="auto"/>
          <w:highlight w:val="none"/>
        </w:rPr>
        <w:sectPr>
          <w:pgSz w:w="11906" w:h="16838"/>
          <w:pgMar w:top="1417" w:right="1383" w:bottom="1417" w:left="1383" w:header="907" w:footer="907" w:gutter="0"/>
          <w:pgNumType w:fmt="decimal"/>
          <w:cols w:space="0" w:num="1"/>
          <w:docGrid w:type="lines" w:linePitch="312" w:charSpace="0"/>
        </w:sectPr>
      </w:pPr>
      <w:bookmarkStart w:id="62" w:name="_Toc20713"/>
      <w:bookmarkStart w:id="63" w:name="_Toc21957"/>
      <w:r>
        <w:rPr>
          <w:rFonts w:hint="eastAsia" w:ascii="仿宋" w:hAnsi="仿宋" w:eastAsia="仿宋" w:cs="仿宋"/>
          <w:b/>
          <w:bCs/>
          <w:color w:val="auto"/>
          <w:sz w:val="28"/>
          <w:szCs w:val="28"/>
          <w:highlight w:val="none"/>
        </w:rPr>
        <w:t>年      月      日</w:t>
      </w:r>
      <w:bookmarkEnd w:id="62"/>
      <w:bookmarkEnd w:id="63"/>
    </w:p>
    <w:p>
      <w:pPr>
        <w:jc w:val="center"/>
        <w:outlineLvl w:val="0"/>
        <w:rPr>
          <w:rFonts w:hint="eastAsia" w:ascii="仿宋" w:hAnsi="仿宋" w:eastAsia="仿宋" w:cs="仿宋"/>
          <w:color w:val="auto"/>
          <w:highlight w:val="none"/>
        </w:rPr>
      </w:pPr>
      <w:bookmarkStart w:id="64" w:name="_Toc11621"/>
      <w:bookmarkStart w:id="65" w:name="_Toc420591500"/>
      <w:bookmarkStart w:id="66" w:name="_Toc420591666"/>
      <w:bookmarkStart w:id="67" w:name="_Toc372885969"/>
      <w:bookmarkStart w:id="68" w:name="_Toc11795"/>
      <w:bookmarkStart w:id="69" w:name="_Toc421778385"/>
      <w:r>
        <w:rPr>
          <w:rFonts w:hint="eastAsia" w:ascii="仿宋" w:hAnsi="仿宋" w:eastAsia="仿宋" w:cs="仿宋"/>
          <w:b/>
          <w:bCs/>
          <w:color w:val="auto"/>
          <w:sz w:val="32"/>
          <w:szCs w:val="32"/>
          <w:highlight w:val="none"/>
        </w:rPr>
        <w:t>目  录</w:t>
      </w:r>
      <w:bookmarkEnd w:id="64"/>
      <w:bookmarkEnd w:id="65"/>
      <w:bookmarkEnd w:id="66"/>
      <w:bookmarkEnd w:id="67"/>
      <w:bookmarkEnd w:id="68"/>
      <w:bookmarkEnd w:id="69"/>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70" w:name="_Toc9647"/>
      <w:bookmarkStart w:id="71" w:name="_Toc28541"/>
      <w:r>
        <w:rPr>
          <w:rFonts w:hint="eastAsia" w:ascii="仿宋" w:hAnsi="仿宋" w:eastAsia="仿宋" w:cs="仿宋"/>
          <w:color w:val="auto"/>
          <w:sz w:val="24"/>
          <w:szCs w:val="24"/>
          <w:highlight w:val="none"/>
        </w:rPr>
        <w:t>一、磋商响应函</w:t>
      </w:r>
      <w:bookmarkEnd w:id="70"/>
      <w:bookmarkEnd w:id="71"/>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72" w:name="_Toc10434"/>
      <w:bookmarkStart w:id="73" w:name="_Toc11129"/>
      <w:r>
        <w:rPr>
          <w:rFonts w:hint="eastAsia" w:ascii="仿宋" w:hAnsi="仿宋" w:eastAsia="仿宋" w:cs="仿宋"/>
          <w:color w:val="auto"/>
          <w:sz w:val="24"/>
          <w:szCs w:val="24"/>
          <w:highlight w:val="none"/>
        </w:rPr>
        <w:t>二、磋商首次报价表</w:t>
      </w:r>
      <w:bookmarkEnd w:id="72"/>
      <w:bookmarkEnd w:id="73"/>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74" w:name="_Toc11197"/>
      <w:bookmarkStart w:id="75" w:name="_Toc18861"/>
      <w:r>
        <w:rPr>
          <w:rFonts w:hint="eastAsia" w:ascii="仿宋" w:hAnsi="仿宋" w:eastAsia="仿宋" w:cs="仿宋"/>
          <w:color w:val="auto"/>
          <w:sz w:val="24"/>
          <w:szCs w:val="24"/>
          <w:highlight w:val="none"/>
        </w:rPr>
        <w:t>三、响应/偏离表</w:t>
      </w:r>
      <w:bookmarkEnd w:id="74"/>
      <w:bookmarkEnd w:id="75"/>
    </w:p>
    <w:p>
      <w:pPr>
        <w:pStyle w:val="2"/>
        <w:spacing w:line="480" w:lineRule="auto"/>
        <w:ind w:firstLine="240" w:firstLineChars="100"/>
        <w:jc w:val="both"/>
        <w:outlineLvl w:val="0"/>
        <w:rPr>
          <w:rFonts w:hint="eastAsia" w:ascii="仿宋" w:hAnsi="仿宋" w:eastAsia="仿宋" w:cs="仿宋"/>
          <w:color w:val="auto"/>
          <w:sz w:val="24"/>
          <w:szCs w:val="24"/>
          <w:highlight w:val="none"/>
        </w:rPr>
      </w:pPr>
      <w:bookmarkStart w:id="76" w:name="_Toc19996"/>
      <w:bookmarkStart w:id="77" w:name="_Toc16388"/>
      <w:r>
        <w:rPr>
          <w:rFonts w:hint="eastAsia" w:ascii="仿宋" w:hAnsi="仿宋" w:eastAsia="仿宋" w:cs="仿宋"/>
          <w:color w:val="auto"/>
          <w:sz w:val="24"/>
          <w:szCs w:val="24"/>
          <w:highlight w:val="none"/>
        </w:rPr>
        <w:t>四、磋商最终报价表</w:t>
      </w:r>
      <w:bookmarkEnd w:id="76"/>
      <w:bookmarkEnd w:id="77"/>
    </w:p>
    <w:p>
      <w:pPr>
        <w:pStyle w:val="2"/>
        <w:spacing w:line="480" w:lineRule="auto"/>
        <w:ind w:firstLine="240" w:firstLineChars="100"/>
        <w:jc w:val="both"/>
        <w:outlineLvl w:val="0"/>
        <w:rPr>
          <w:rFonts w:hint="eastAsia" w:ascii="仿宋" w:hAnsi="仿宋" w:eastAsia="仿宋" w:cs="仿宋"/>
          <w:color w:val="auto"/>
          <w:highlight w:val="none"/>
        </w:rPr>
      </w:pPr>
      <w:bookmarkStart w:id="78" w:name="_Toc32249"/>
      <w:bookmarkStart w:id="79" w:name="_Toc2838"/>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方案</w:t>
      </w:r>
      <w:bookmarkEnd w:id="78"/>
      <w:bookmarkEnd w:id="79"/>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80" w:name="_Toc7840"/>
      <w:bookmarkStart w:id="81" w:name="_Toc31952"/>
      <w:r>
        <w:rPr>
          <w:rFonts w:hint="eastAsia" w:ascii="仿宋" w:hAnsi="仿宋" w:eastAsia="仿宋" w:cs="仿宋"/>
          <w:color w:val="auto"/>
          <w:sz w:val="24"/>
          <w:szCs w:val="24"/>
          <w:highlight w:val="none"/>
        </w:rPr>
        <w:t>六、类似业绩</w:t>
      </w:r>
      <w:bookmarkEnd w:id="80"/>
      <w:bookmarkEnd w:id="81"/>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82" w:name="_Toc22340"/>
      <w:bookmarkStart w:id="83" w:name="_Toc3172"/>
      <w:r>
        <w:rPr>
          <w:rFonts w:hint="eastAsia" w:ascii="仿宋" w:hAnsi="仿宋" w:eastAsia="仿宋" w:cs="仿宋"/>
          <w:color w:val="auto"/>
          <w:sz w:val="24"/>
          <w:szCs w:val="24"/>
          <w:highlight w:val="none"/>
        </w:rPr>
        <w:t>七、陕西省政府采购供应商拒绝政府采购领域商业贿赂承诺书</w:t>
      </w:r>
      <w:bookmarkEnd w:id="82"/>
      <w:bookmarkEnd w:id="83"/>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84" w:name="_Toc32689"/>
      <w:bookmarkStart w:id="85" w:name="_Toc29345"/>
      <w:r>
        <w:rPr>
          <w:rFonts w:hint="eastAsia" w:ascii="仿宋" w:hAnsi="仿宋" w:eastAsia="仿宋" w:cs="仿宋"/>
          <w:color w:val="auto"/>
          <w:sz w:val="24"/>
          <w:szCs w:val="24"/>
          <w:highlight w:val="none"/>
        </w:rPr>
        <w:t>八、供应商资格证明文件</w:t>
      </w:r>
      <w:bookmarkEnd w:id="84"/>
      <w:bookmarkEnd w:id="85"/>
    </w:p>
    <w:p>
      <w:pPr>
        <w:spacing w:line="480" w:lineRule="auto"/>
        <w:ind w:firstLine="240" w:firstLineChars="100"/>
        <w:jc w:val="left"/>
        <w:outlineLvl w:val="0"/>
        <w:rPr>
          <w:rFonts w:hint="eastAsia" w:ascii="仿宋" w:hAnsi="仿宋" w:eastAsia="仿宋" w:cs="仿宋"/>
          <w:color w:val="auto"/>
          <w:sz w:val="24"/>
          <w:szCs w:val="24"/>
          <w:highlight w:val="none"/>
        </w:rPr>
      </w:pPr>
      <w:bookmarkStart w:id="86" w:name="_Toc19197"/>
      <w:bookmarkStart w:id="87" w:name="_Toc5439"/>
      <w:r>
        <w:rPr>
          <w:rFonts w:hint="eastAsia" w:ascii="仿宋" w:hAnsi="仿宋" w:eastAsia="仿宋" w:cs="仿宋"/>
          <w:color w:val="auto"/>
          <w:sz w:val="24"/>
          <w:szCs w:val="24"/>
          <w:highlight w:val="none"/>
        </w:rPr>
        <w:t>九、其他可以证明供应商实力的文件</w:t>
      </w:r>
      <w:bookmarkEnd w:id="86"/>
      <w:bookmarkEnd w:id="87"/>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b/>
          <w:bCs/>
          <w:color w:val="auto"/>
          <w:sz w:val="32"/>
          <w:szCs w:val="32"/>
          <w:highlight w:val="none"/>
        </w:rPr>
      </w:pPr>
      <w:bookmarkStart w:id="88" w:name="_Toc32749"/>
      <w:bookmarkStart w:id="89" w:name="_Toc387"/>
      <w:bookmarkStart w:id="90" w:name="_Toc23278"/>
      <w:bookmarkStart w:id="91" w:name="_Toc425240481"/>
      <w:bookmarkStart w:id="92" w:name="_Toc421778386"/>
      <w:bookmarkStart w:id="93" w:name="_Toc420591667"/>
      <w:bookmarkStart w:id="94" w:name="_Toc13137"/>
      <w:bookmarkStart w:id="95" w:name="_Toc6037"/>
      <w:r>
        <w:rPr>
          <w:rFonts w:hint="eastAsia" w:ascii="仿宋" w:hAnsi="仿宋" w:eastAsia="仿宋" w:cs="仿宋"/>
          <w:b/>
          <w:bCs/>
          <w:color w:val="auto"/>
          <w:sz w:val="32"/>
          <w:szCs w:val="32"/>
          <w:highlight w:val="none"/>
        </w:rPr>
        <w:br w:type="page"/>
      </w:r>
    </w:p>
    <w:p>
      <w:pPr>
        <w:spacing w:line="360" w:lineRule="auto"/>
        <w:jc w:val="center"/>
        <w:outlineLvl w:val="0"/>
        <w:rPr>
          <w:rFonts w:hint="eastAsia" w:ascii="仿宋" w:hAnsi="仿宋" w:eastAsia="仿宋" w:cs="仿宋"/>
          <w:b/>
          <w:bCs/>
          <w:color w:val="auto"/>
          <w:sz w:val="32"/>
          <w:szCs w:val="32"/>
          <w:highlight w:val="none"/>
        </w:rPr>
      </w:pPr>
      <w:bookmarkStart w:id="96" w:name="_Toc16785"/>
      <w:r>
        <w:rPr>
          <w:rFonts w:hint="eastAsia" w:ascii="仿宋" w:hAnsi="仿宋" w:eastAsia="仿宋" w:cs="仿宋"/>
          <w:b/>
          <w:bCs/>
          <w:color w:val="auto"/>
          <w:sz w:val="32"/>
          <w:szCs w:val="32"/>
          <w:highlight w:val="none"/>
        </w:rPr>
        <w:t>一、</w:t>
      </w:r>
      <w:bookmarkEnd w:id="88"/>
      <w:bookmarkEnd w:id="89"/>
      <w:bookmarkEnd w:id="90"/>
      <w:bookmarkEnd w:id="91"/>
      <w:bookmarkEnd w:id="92"/>
      <w:bookmarkEnd w:id="93"/>
      <w:r>
        <w:rPr>
          <w:rFonts w:hint="eastAsia" w:ascii="仿宋" w:hAnsi="仿宋" w:eastAsia="仿宋" w:cs="仿宋"/>
          <w:b/>
          <w:bCs/>
          <w:color w:val="auto"/>
          <w:sz w:val="32"/>
          <w:szCs w:val="32"/>
          <w:highlight w:val="none"/>
        </w:rPr>
        <w:t>磋商响应函</w:t>
      </w:r>
      <w:bookmarkEnd w:id="94"/>
      <w:bookmarkEnd w:id="95"/>
      <w:bookmarkEnd w:id="96"/>
    </w:p>
    <w:p>
      <w:pPr>
        <w:autoSpaceDE w:val="0"/>
        <w:autoSpaceDN w:val="0"/>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致：</w:t>
      </w:r>
      <w:r>
        <w:rPr>
          <w:rFonts w:hint="eastAsia" w:ascii="仿宋" w:hAnsi="仿宋" w:eastAsia="仿宋" w:cs="仿宋"/>
          <w:b/>
          <w:bCs/>
          <w:color w:val="auto"/>
          <w:sz w:val="24"/>
          <w:szCs w:val="24"/>
          <w:highlight w:val="none"/>
          <w:u w:val="single"/>
          <w:lang w:val="zh-CN"/>
        </w:rPr>
        <w:t>（采购人）</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我单位收到贵公司</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（项目名称）</w:t>
      </w:r>
      <w:r>
        <w:rPr>
          <w:rFonts w:hint="eastAsia" w:ascii="仿宋" w:hAnsi="仿宋" w:eastAsia="仿宋" w:cs="仿宋"/>
          <w:color w:val="auto"/>
          <w:sz w:val="24"/>
          <w:szCs w:val="24"/>
          <w:highlight w:val="none"/>
          <w:u w:val="none"/>
        </w:rPr>
        <w:t>（项目编号：</w:t>
      </w:r>
      <w:r>
        <w:rPr>
          <w:rFonts w:hint="eastAsia" w:ascii="仿宋" w:hAnsi="仿宋" w:eastAsia="仿宋" w:cs="仿宋"/>
          <w:color w:val="auto"/>
          <w:sz w:val="24"/>
          <w:szCs w:val="24"/>
          <w:highlight w:val="none"/>
          <w:u w:val="none"/>
          <w:lang w:eastAsia="zh-CN"/>
        </w:rPr>
        <w:t>JQJW-2022-0330.1B1</w:t>
      </w:r>
      <w:r>
        <w:rPr>
          <w:rFonts w:hint="eastAsia" w:ascii="仿宋" w:hAnsi="仿宋" w:eastAsia="仿宋" w:cs="仿宋"/>
          <w:color w:val="000000" w:themeColor="text1"/>
          <w:sz w:val="24"/>
          <w:szCs w:val="24"/>
          <w:highlight w:val="none"/>
          <w:u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竞争</w:t>
      </w: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zh-CN"/>
        </w:rPr>
        <w:t>磋商文件，经详细研究，我们决定参加本次磋商活动。为此，我方郑重声明以下诸点，并负法律责任。</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、愿意按照竞争性磋商文件中的要求，完成合同的责任和义务。</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、按磋商文件的规定，我公司的第一次磋商总报价为：人民币（大写）：</w:t>
      </w:r>
      <w:r>
        <w:rPr>
          <w:rFonts w:hint="eastAsia" w:ascii="仿宋" w:hAnsi="仿宋" w:eastAsia="仿宋" w:cs="仿宋"/>
          <w:color w:val="auto"/>
          <w:sz w:val="24"/>
          <w:szCs w:val="24"/>
          <w:highlight w:val="none"/>
        </w:rPr>
        <w:t xml:space="preserve"> </w:t>
      </w:r>
    </w:p>
    <w:p>
      <w:pPr>
        <w:autoSpaceDE w:val="0"/>
        <w:autoSpaceDN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元），并对其后的最终磋商报价负法律责任。</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、我方提交的响应文件正本</w:t>
      </w:r>
      <w:r>
        <w:rPr>
          <w:rFonts w:hint="eastAsia" w:ascii="仿宋" w:hAnsi="仿宋" w:eastAsia="仿宋" w:cs="仿宋"/>
          <w:b/>
          <w:bCs/>
          <w:color w:val="auto"/>
          <w:sz w:val="24"/>
          <w:szCs w:val="24"/>
          <w:highlight w:val="none"/>
          <w:lang w:val="zh-CN"/>
        </w:rPr>
        <w:t>壹</w:t>
      </w:r>
      <w:r>
        <w:rPr>
          <w:rFonts w:hint="eastAsia" w:ascii="仿宋" w:hAnsi="仿宋" w:eastAsia="仿宋" w:cs="仿宋"/>
          <w:color w:val="auto"/>
          <w:sz w:val="24"/>
          <w:szCs w:val="24"/>
          <w:highlight w:val="none"/>
          <w:lang w:val="zh-CN"/>
        </w:rPr>
        <w:t>份、副本</w:t>
      </w:r>
      <w:r>
        <w:rPr>
          <w:rFonts w:hint="eastAsia" w:ascii="仿宋" w:hAnsi="仿宋" w:eastAsia="仿宋" w:cs="仿宋"/>
          <w:b/>
          <w:bCs/>
          <w:color w:val="auto"/>
          <w:sz w:val="24"/>
          <w:szCs w:val="24"/>
          <w:highlight w:val="none"/>
          <w:lang w:val="zh-CN"/>
        </w:rPr>
        <w:t>贰</w:t>
      </w:r>
      <w:r>
        <w:rPr>
          <w:rFonts w:hint="eastAsia" w:ascii="仿宋" w:hAnsi="仿宋" w:eastAsia="仿宋" w:cs="仿宋"/>
          <w:color w:val="auto"/>
          <w:sz w:val="24"/>
          <w:szCs w:val="24"/>
          <w:highlight w:val="none"/>
          <w:lang w:val="zh-CN"/>
        </w:rPr>
        <w:t>份，电子投标文件</w:t>
      </w:r>
      <w:r>
        <w:rPr>
          <w:rFonts w:hint="eastAsia" w:ascii="仿宋" w:hAnsi="仿宋" w:eastAsia="仿宋" w:cs="仿宋"/>
          <w:b/>
          <w:bCs/>
          <w:color w:val="auto"/>
          <w:sz w:val="24"/>
          <w:szCs w:val="24"/>
          <w:highlight w:val="none"/>
          <w:lang w:val="zh-CN"/>
        </w:rPr>
        <w:t>壹</w:t>
      </w:r>
      <w:r>
        <w:rPr>
          <w:rFonts w:hint="eastAsia" w:ascii="仿宋" w:hAnsi="仿宋" w:eastAsia="仿宋" w:cs="仿宋"/>
          <w:color w:val="auto"/>
          <w:sz w:val="24"/>
          <w:szCs w:val="24"/>
          <w:highlight w:val="none"/>
          <w:lang w:val="zh-CN"/>
        </w:rPr>
        <w:t>份。</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、磋商后在规定的有效期内撤回磋商，我方愿接受政府采购的有关处罚决定。</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、我方的磋商响应文件有效期自磋商之日起为</w:t>
      </w: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val="zh-CN"/>
        </w:rPr>
        <w:t>个日历天，若我方成交，响应文件有效期延长至合同执行完毕。</w:t>
      </w:r>
    </w:p>
    <w:p>
      <w:pPr>
        <w:autoSpaceDE w:val="0"/>
        <w:autoSpaceDN w:val="0"/>
        <w:adjustRightInd w:val="0"/>
        <w:snapToGrid w:val="0"/>
        <w:spacing w:line="360" w:lineRule="auto"/>
        <w:ind w:firstLine="63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、有关于本磋商响应文件的函电，请按下列地址联系。</w:t>
      </w: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spacing w:line="360" w:lineRule="auto"/>
        <w:rPr>
          <w:rFonts w:hint="eastAsia" w:ascii="仿宋" w:hAnsi="仿宋" w:eastAsia="仿宋" w:cs="仿宋"/>
          <w:color w:val="auto"/>
          <w:sz w:val="24"/>
          <w:szCs w:val="24"/>
          <w:highlight w:val="none"/>
        </w:rPr>
      </w:pP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供应商全称（印章）：</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址：</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开户银行：</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号：</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电</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话：</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真：</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ind w:firstLine="2160" w:firstLineChars="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napToGrid w:val="0"/>
        <w:spacing w:line="360" w:lineRule="auto"/>
        <w:jc w:val="center"/>
        <w:rPr>
          <w:rFonts w:hint="eastAsia" w:ascii="仿宋" w:hAnsi="仿宋" w:eastAsia="仿宋" w:cs="仿宋"/>
          <w:color w:val="auto"/>
          <w:sz w:val="24"/>
          <w:szCs w:val="24"/>
          <w:highlight w:val="none"/>
        </w:rPr>
        <w:sectPr>
          <w:pgSz w:w="11906" w:h="16838"/>
          <w:pgMar w:top="1418" w:right="1383" w:bottom="1418" w:left="1383" w:header="851" w:footer="992" w:gutter="0"/>
          <w:pgNumType w:fmt="decimal"/>
          <w:cols w:space="720" w:num="1"/>
          <w:docGrid w:linePitch="312"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p>
    <w:p>
      <w:pPr>
        <w:keepLines/>
        <w:pageBreakBefore/>
        <w:jc w:val="center"/>
        <w:outlineLvl w:val="0"/>
        <w:rPr>
          <w:rFonts w:hint="eastAsia" w:ascii="仿宋" w:hAnsi="仿宋" w:eastAsia="仿宋" w:cs="仿宋"/>
          <w:b/>
          <w:bCs/>
          <w:color w:val="auto"/>
          <w:sz w:val="32"/>
          <w:szCs w:val="32"/>
          <w:highlight w:val="none"/>
        </w:rPr>
      </w:pPr>
      <w:bookmarkStart w:id="97" w:name="_Toc425240482"/>
      <w:bookmarkStart w:id="98" w:name="_Toc3994"/>
      <w:bookmarkStart w:id="99" w:name="_Toc32443"/>
      <w:bookmarkStart w:id="100" w:name="_Toc421778387"/>
      <w:bookmarkStart w:id="101" w:name="_Toc420591668"/>
      <w:bookmarkStart w:id="102" w:name="_Toc3816"/>
      <w:bookmarkStart w:id="103" w:name="_Toc29127"/>
      <w:bookmarkStart w:id="104" w:name="_Toc909"/>
      <w:bookmarkStart w:id="105" w:name="_Toc27768"/>
      <w:r>
        <w:rPr>
          <w:rFonts w:hint="eastAsia" w:ascii="仿宋" w:hAnsi="仿宋" w:eastAsia="仿宋" w:cs="仿宋"/>
          <w:b/>
          <w:bCs/>
          <w:color w:val="auto"/>
          <w:sz w:val="32"/>
          <w:szCs w:val="32"/>
          <w:highlight w:val="none"/>
        </w:rPr>
        <w:t>二、</w:t>
      </w:r>
      <w:bookmarkEnd w:id="97"/>
      <w:bookmarkEnd w:id="98"/>
      <w:bookmarkEnd w:id="99"/>
      <w:bookmarkEnd w:id="100"/>
      <w:bookmarkEnd w:id="101"/>
      <w:bookmarkEnd w:id="102"/>
      <w:r>
        <w:rPr>
          <w:rFonts w:hint="eastAsia" w:ascii="仿宋" w:hAnsi="仿宋" w:eastAsia="仿宋" w:cs="仿宋"/>
          <w:b/>
          <w:bCs/>
          <w:color w:val="auto"/>
          <w:sz w:val="32"/>
          <w:szCs w:val="32"/>
          <w:highlight w:val="none"/>
        </w:rPr>
        <w:t>磋商首次报价表</w:t>
      </w:r>
      <w:bookmarkEnd w:id="103"/>
      <w:bookmarkEnd w:id="104"/>
      <w:bookmarkEnd w:id="105"/>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p>
    <w:tbl>
      <w:tblPr>
        <w:tblStyle w:val="19"/>
        <w:tblpPr w:leftFromText="180" w:rightFromText="180" w:vertAnchor="page" w:horzAnchor="page" w:tblpXSpec="center" w:tblpY="306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69" w:type="dxa"/>
            <w:vMerge w:val="restar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lang w:eastAsia="zh-CN"/>
              </w:rPr>
              <w:t>首次</w:t>
            </w:r>
            <w:r>
              <w:rPr>
                <w:rFonts w:hint="eastAsia" w:ascii="仿宋" w:hAnsi="仿宋" w:eastAsia="仿宋" w:cs="仿宋"/>
                <w:color w:val="auto"/>
                <w:sz w:val="24"/>
                <w:highlight w:val="none"/>
              </w:rPr>
              <w:t>报价（元）</w:t>
            </w:r>
          </w:p>
        </w:tc>
        <w:tc>
          <w:tcPr>
            <w:tcW w:w="5910" w:type="dxa"/>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69" w:type="dxa"/>
            <w:vMerge w:val="continue"/>
            <w:vAlign w:val="center"/>
          </w:tcPr>
          <w:p>
            <w:pPr>
              <w:jc w:val="center"/>
              <w:rPr>
                <w:rFonts w:hint="eastAsia" w:ascii="仿宋" w:hAnsi="仿宋" w:eastAsia="仿宋" w:cs="仿宋"/>
                <w:color w:val="auto"/>
                <w:sz w:val="24"/>
                <w:highlight w:val="none"/>
              </w:rPr>
            </w:pPr>
          </w:p>
        </w:tc>
        <w:tc>
          <w:tcPr>
            <w:tcW w:w="5910" w:type="dxa"/>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69" w:type="dxa"/>
            <w:vAlign w:val="center"/>
          </w:tcPr>
          <w:p>
            <w:pPr>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负责人</w:t>
            </w:r>
          </w:p>
        </w:tc>
        <w:tc>
          <w:tcPr>
            <w:tcW w:w="5910"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69" w:type="dxa"/>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质量保证</w:t>
            </w:r>
          </w:p>
        </w:tc>
        <w:tc>
          <w:tcPr>
            <w:tcW w:w="5910"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69" w:type="dxa"/>
            <w:vAlign w:val="center"/>
          </w:tcPr>
          <w:p>
            <w:pPr>
              <w:spacing w:line="360" w:lineRule="auto"/>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lang w:eastAsia="zh-CN"/>
              </w:rPr>
              <w:t>服务期</w:t>
            </w:r>
          </w:p>
        </w:tc>
        <w:tc>
          <w:tcPr>
            <w:tcW w:w="5910"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3169" w:type="dxa"/>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备注</w:t>
            </w:r>
          </w:p>
        </w:tc>
        <w:tc>
          <w:tcPr>
            <w:tcW w:w="5910" w:type="dxa"/>
            <w:vAlign w:val="center"/>
          </w:tcPr>
          <w:p>
            <w:pPr>
              <w:rPr>
                <w:rFonts w:hint="eastAsia" w:ascii="仿宋" w:hAnsi="仿宋" w:eastAsia="仿宋" w:cs="仿宋"/>
                <w:color w:val="auto"/>
                <w:sz w:val="24"/>
                <w:highlight w:val="none"/>
              </w:rPr>
            </w:pPr>
          </w:p>
        </w:tc>
      </w:tr>
    </w:tbl>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注：1、以上表内报价内容以元为单位，保留小数点后两位。</w:t>
      </w:r>
    </w:p>
    <w:p>
      <w:pPr>
        <w:pStyle w:val="2"/>
        <w:jc w:val="both"/>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280" w:lineRule="exact"/>
        <w:ind w:right="540" w:rightChars="257" w:firstLine="4080" w:firstLineChars="17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（加盖单位公章）</w:t>
      </w:r>
    </w:p>
    <w:p>
      <w:pPr>
        <w:spacing w:line="280" w:lineRule="exact"/>
        <w:ind w:right="540" w:rightChars="257" w:firstLine="4440" w:firstLineChars="1850"/>
        <w:jc w:val="left"/>
        <w:rPr>
          <w:rFonts w:hint="eastAsia" w:ascii="仿宋" w:hAnsi="仿宋" w:eastAsia="仿宋" w:cs="仿宋"/>
          <w:color w:val="auto"/>
          <w:sz w:val="24"/>
          <w:szCs w:val="24"/>
          <w:highlight w:val="none"/>
        </w:rPr>
      </w:pPr>
    </w:p>
    <w:p>
      <w:pPr>
        <w:spacing w:line="280" w:lineRule="exact"/>
        <w:ind w:right="-50" w:rightChars="-24" w:firstLine="4080" w:firstLineChars="17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lang w:val="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280" w:lineRule="exact"/>
        <w:ind w:right="540" w:rightChars="25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280" w:lineRule="exact"/>
        <w:ind w:right="540" w:rightChars="257" w:firstLine="5160" w:firstLineChars="2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adjustRightInd w:val="0"/>
        <w:snapToGrid w:val="0"/>
        <w:spacing w:line="360" w:lineRule="auto"/>
        <w:jc w:val="center"/>
        <w:outlineLvl w:val="0"/>
        <w:rPr>
          <w:rFonts w:hint="eastAsia" w:ascii="仿宋" w:hAnsi="仿宋" w:eastAsia="仿宋" w:cs="仿宋"/>
          <w:b/>
          <w:bCs/>
          <w:color w:val="auto"/>
          <w:sz w:val="32"/>
          <w:szCs w:val="32"/>
          <w:highlight w:val="none"/>
        </w:rPr>
      </w:pPr>
      <w:bookmarkStart w:id="106" w:name="_Toc7795"/>
      <w:bookmarkStart w:id="107" w:name="_Toc238"/>
      <w:bookmarkStart w:id="108" w:name="_Toc7616"/>
      <w:bookmarkStart w:id="109" w:name="_Toc15602"/>
      <w:bookmarkStart w:id="110" w:name="_Toc21095"/>
      <w:bookmarkStart w:id="111" w:name="_Toc6747"/>
      <w:bookmarkStart w:id="112" w:name="_Toc3574"/>
      <w:bookmarkStart w:id="113" w:name="_Toc5947"/>
      <w:bookmarkStart w:id="114" w:name="_Toc425240485"/>
      <w:bookmarkStart w:id="115" w:name="_Toc421778390"/>
      <w:r>
        <w:rPr>
          <w:rFonts w:hint="eastAsia" w:ascii="仿宋" w:hAnsi="仿宋" w:eastAsia="仿宋" w:cs="仿宋"/>
          <w:b/>
          <w:bCs/>
          <w:color w:val="auto"/>
          <w:sz w:val="32"/>
          <w:szCs w:val="32"/>
          <w:highlight w:val="none"/>
        </w:rPr>
        <w:t>磋商</w:t>
      </w:r>
      <w:r>
        <w:rPr>
          <w:rFonts w:hint="eastAsia" w:ascii="仿宋" w:hAnsi="仿宋" w:eastAsia="仿宋" w:cs="仿宋"/>
          <w:b/>
          <w:bCs/>
          <w:color w:val="auto"/>
          <w:sz w:val="32"/>
          <w:szCs w:val="32"/>
          <w:highlight w:val="none"/>
          <w:lang w:val="zh-CN"/>
        </w:rPr>
        <w:t>报价</w:t>
      </w:r>
      <w:r>
        <w:rPr>
          <w:rFonts w:hint="eastAsia" w:ascii="仿宋" w:hAnsi="仿宋" w:eastAsia="仿宋" w:cs="仿宋"/>
          <w:b/>
          <w:bCs/>
          <w:color w:val="auto"/>
          <w:sz w:val="32"/>
          <w:szCs w:val="32"/>
          <w:highlight w:val="none"/>
        </w:rPr>
        <w:t>明细表</w:t>
      </w:r>
      <w:bookmarkEnd w:id="106"/>
    </w:p>
    <w:p>
      <w:pPr>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zh-CN"/>
        </w:rPr>
        <w:t>（自行编制）</w:t>
      </w:r>
    </w:p>
    <w:p>
      <w:pPr>
        <w:rPr>
          <w:rFonts w:hint="eastAsia" w:ascii="仿宋" w:hAnsi="仿宋" w:eastAsia="仿宋" w:cs="仿宋"/>
          <w:b/>
          <w:color w:val="auto"/>
          <w:sz w:val="32"/>
          <w:szCs w:val="44"/>
          <w:highlight w:val="none"/>
        </w:rPr>
      </w:pPr>
      <w:r>
        <w:rPr>
          <w:rFonts w:hint="eastAsia" w:ascii="仿宋" w:hAnsi="仿宋" w:eastAsia="仿宋" w:cs="仿宋"/>
          <w:b/>
          <w:color w:val="auto"/>
          <w:sz w:val="32"/>
          <w:szCs w:val="44"/>
          <w:highlight w:val="none"/>
        </w:rPr>
        <w:br w:type="page"/>
      </w:r>
    </w:p>
    <w:p>
      <w:pPr>
        <w:jc w:val="center"/>
        <w:outlineLvl w:val="0"/>
        <w:rPr>
          <w:rFonts w:hint="eastAsia" w:ascii="仿宋" w:hAnsi="仿宋" w:eastAsia="仿宋" w:cs="仿宋"/>
          <w:b/>
          <w:color w:val="auto"/>
          <w:sz w:val="20"/>
          <w:highlight w:val="none"/>
        </w:rPr>
      </w:pPr>
      <w:bookmarkStart w:id="116" w:name="_Toc18975"/>
      <w:r>
        <w:rPr>
          <w:rFonts w:hint="eastAsia" w:ascii="仿宋" w:hAnsi="仿宋" w:eastAsia="仿宋" w:cs="仿宋"/>
          <w:b/>
          <w:color w:val="auto"/>
          <w:sz w:val="32"/>
          <w:szCs w:val="44"/>
          <w:highlight w:val="none"/>
        </w:rPr>
        <w:t>三、响应/偏离表</w:t>
      </w:r>
      <w:bookmarkEnd w:id="107"/>
      <w:bookmarkEnd w:id="116"/>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供应商：                （盖章） </w:t>
      </w:r>
    </w:p>
    <w:tbl>
      <w:tblPr>
        <w:tblStyle w:val="19"/>
        <w:tblpPr w:leftFromText="180" w:rightFromText="180" w:vertAnchor="text" w:horzAnchor="page" w:tblpXSpec="center" w:tblpY="150"/>
        <w:tblOverlap w:val="never"/>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787"/>
        <w:gridCol w:w="2500"/>
        <w:gridCol w:w="142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1" w:type="dxa"/>
            <w:vAlign w:val="center"/>
          </w:tcPr>
          <w:p>
            <w:pPr>
              <w:ind w:right="-168" w:rightChars="-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87" w:type="dxa"/>
            <w:vAlign w:val="center"/>
          </w:tcPr>
          <w:p>
            <w:pPr>
              <w:ind w:right="-168" w:rightChars="-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竞争性磋商文件要求</w:t>
            </w:r>
          </w:p>
        </w:tc>
        <w:tc>
          <w:tcPr>
            <w:tcW w:w="2500" w:type="dxa"/>
            <w:vAlign w:val="center"/>
          </w:tcPr>
          <w:p>
            <w:pPr>
              <w:ind w:right="-168" w:rightChars="-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响应文件实际数据</w:t>
            </w:r>
          </w:p>
        </w:tc>
        <w:tc>
          <w:tcPr>
            <w:tcW w:w="1424" w:type="dxa"/>
            <w:vAlign w:val="center"/>
          </w:tcPr>
          <w:p>
            <w:pPr>
              <w:ind w:right="-168" w:rightChars="-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响应说明</w:t>
            </w:r>
          </w:p>
        </w:tc>
        <w:tc>
          <w:tcPr>
            <w:tcW w:w="1165" w:type="dxa"/>
            <w:vAlign w:val="center"/>
          </w:tcPr>
          <w:p>
            <w:pPr>
              <w:widowControl/>
              <w:topLinePun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4"/>
                <w:szCs w:val="24"/>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4"/>
                <w:szCs w:val="24"/>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4"/>
                <w:szCs w:val="24"/>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4"/>
                <w:szCs w:val="24"/>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81"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8"/>
                <w:szCs w:val="28"/>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81" w:type="dxa"/>
            <w:vAlign w:val="center"/>
          </w:tcPr>
          <w:p>
            <w:pPr>
              <w:widowControl/>
              <w:topLinePunct/>
              <w:spacing w:line="360" w:lineRule="exact"/>
              <w:jc w:val="center"/>
              <w:rPr>
                <w:rFonts w:hint="eastAsia" w:ascii="仿宋" w:hAnsi="仿宋" w:eastAsia="仿宋" w:cs="仿宋"/>
                <w:color w:val="auto"/>
                <w:sz w:val="24"/>
                <w:szCs w:val="32"/>
                <w:highlight w:val="none"/>
              </w:rPr>
            </w:pPr>
          </w:p>
        </w:tc>
        <w:tc>
          <w:tcPr>
            <w:tcW w:w="2787" w:type="dxa"/>
            <w:vAlign w:val="center"/>
          </w:tcPr>
          <w:p>
            <w:pPr>
              <w:widowControl/>
              <w:topLinePunct/>
              <w:spacing w:line="360" w:lineRule="exact"/>
              <w:jc w:val="center"/>
              <w:rPr>
                <w:rFonts w:hint="eastAsia" w:ascii="仿宋" w:hAnsi="仿宋" w:eastAsia="仿宋" w:cs="仿宋"/>
                <w:color w:val="auto"/>
                <w:sz w:val="24"/>
                <w:szCs w:val="32"/>
                <w:highlight w:val="none"/>
              </w:rPr>
            </w:pPr>
          </w:p>
        </w:tc>
        <w:tc>
          <w:tcPr>
            <w:tcW w:w="2500" w:type="dxa"/>
            <w:vAlign w:val="center"/>
          </w:tcPr>
          <w:p>
            <w:pPr>
              <w:widowControl/>
              <w:topLinePunct/>
              <w:spacing w:line="360" w:lineRule="exact"/>
              <w:jc w:val="center"/>
              <w:rPr>
                <w:rFonts w:hint="eastAsia" w:ascii="仿宋" w:hAnsi="仿宋" w:eastAsia="仿宋" w:cs="仿宋"/>
                <w:color w:val="auto"/>
                <w:sz w:val="24"/>
                <w:szCs w:val="32"/>
                <w:highlight w:val="none"/>
              </w:rPr>
            </w:pPr>
          </w:p>
        </w:tc>
        <w:tc>
          <w:tcPr>
            <w:tcW w:w="1424" w:type="dxa"/>
            <w:vAlign w:val="center"/>
          </w:tcPr>
          <w:p>
            <w:pPr>
              <w:widowControl/>
              <w:topLinePunct/>
              <w:spacing w:line="360" w:lineRule="exact"/>
              <w:jc w:val="center"/>
              <w:rPr>
                <w:rFonts w:hint="eastAsia" w:ascii="仿宋" w:hAnsi="仿宋" w:eastAsia="仿宋" w:cs="仿宋"/>
                <w:color w:val="auto"/>
                <w:sz w:val="24"/>
                <w:szCs w:val="32"/>
                <w:highlight w:val="none"/>
              </w:rPr>
            </w:pPr>
          </w:p>
        </w:tc>
        <w:tc>
          <w:tcPr>
            <w:tcW w:w="1165" w:type="dxa"/>
            <w:vAlign w:val="center"/>
          </w:tcPr>
          <w:p>
            <w:pPr>
              <w:widowControl/>
              <w:topLinePunct/>
              <w:spacing w:line="360" w:lineRule="exact"/>
              <w:jc w:val="center"/>
              <w:rPr>
                <w:rFonts w:hint="eastAsia" w:ascii="仿宋" w:hAnsi="仿宋" w:eastAsia="仿宋" w:cs="仿宋"/>
                <w:color w:val="auto"/>
                <w:sz w:val="24"/>
                <w:szCs w:val="32"/>
                <w:highlight w:val="none"/>
              </w:rPr>
            </w:pPr>
          </w:p>
        </w:tc>
      </w:tr>
    </w:tbl>
    <w:p>
      <w:pPr>
        <w:spacing w:line="360" w:lineRule="auto"/>
        <w:ind w:firstLine="480" w:firstLineChars="200"/>
        <w:outlineLvl w:val="0"/>
        <w:rPr>
          <w:rFonts w:hint="eastAsia" w:ascii="仿宋" w:hAnsi="仿宋" w:eastAsia="仿宋" w:cs="仿宋"/>
          <w:color w:val="auto"/>
          <w:sz w:val="24"/>
          <w:szCs w:val="24"/>
          <w:highlight w:val="none"/>
        </w:rPr>
      </w:pPr>
      <w:bookmarkStart w:id="117" w:name="_Toc13616"/>
      <w:bookmarkStart w:id="118" w:name="_Toc8498"/>
      <w:r>
        <w:rPr>
          <w:rFonts w:hint="eastAsia" w:ascii="仿宋" w:hAnsi="仿宋" w:eastAsia="仿宋" w:cs="仿宋"/>
          <w:color w:val="auto"/>
          <w:sz w:val="24"/>
          <w:szCs w:val="24"/>
          <w:highlight w:val="none"/>
        </w:rPr>
        <w:t>注：1、供应商必须按</w:t>
      </w:r>
      <w:r>
        <w:rPr>
          <w:rFonts w:hint="eastAsia" w:ascii="仿宋" w:hAnsi="仿宋" w:eastAsia="仿宋" w:cs="仿宋"/>
          <w:color w:val="auto"/>
          <w:sz w:val="24"/>
          <w:szCs w:val="24"/>
          <w:highlight w:val="none"/>
          <w:lang w:eastAsia="zh-CN"/>
        </w:rPr>
        <w:t>磋商文件采购内容及</w:t>
      </w:r>
      <w:r>
        <w:rPr>
          <w:rFonts w:hint="eastAsia" w:ascii="仿宋" w:hAnsi="仿宋" w:eastAsia="仿宋" w:cs="仿宋"/>
          <w:color w:val="auto"/>
          <w:sz w:val="24"/>
          <w:szCs w:val="24"/>
          <w:highlight w:val="none"/>
        </w:rPr>
        <w:t>要求描述</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主要内容，并在偏离情况栏标明“无偏离”、“正偏离”或“负偏离”。</w:t>
      </w:r>
      <w:bookmarkEnd w:id="117"/>
      <w:bookmarkEnd w:id="118"/>
    </w:p>
    <w:p>
      <w:pPr>
        <w:keepLines/>
        <w:pageBreakBefore/>
        <w:jc w:val="center"/>
        <w:outlineLvl w:val="0"/>
        <w:rPr>
          <w:rFonts w:hint="eastAsia" w:ascii="仿宋" w:hAnsi="仿宋" w:eastAsia="仿宋" w:cs="仿宋"/>
          <w:b/>
          <w:bCs/>
          <w:color w:val="auto"/>
          <w:sz w:val="32"/>
          <w:szCs w:val="32"/>
          <w:highlight w:val="none"/>
        </w:rPr>
      </w:pPr>
      <w:bookmarkStart w:id="119" w:name="_Toc16436"/>
      <w:bookmarkStart w:id="120" w:name="_Toc8812"/>
      <w:r>
        <w:rPr>
          <w:rFonts w:hint="eastAsia" w:ascii="仿宋" w:hAnsi="仿宋" w:eastAsia="仿宋" w:cs="仿宋"/>
          <w:b/>
          <w:bCs/>
          <w:color w:val="auto"/>
          <w:sz w:val="32"/>
          <w:szCs w:val="32"/>
          <w:highlight w:val="none"/>
        </w:rPr>
        <w:t>四、磋商最终报价表</w:t>
      </w:r>
      <w:bookmarkEnd w:id="119"/>
      <w:bookmarkEnd w:id="120"/>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p>
    <w:p>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rPr>
        <w:t>项目编号：</w:t>
      </w:r>
    </w:p>
    <w:tbl>
      <w:tblPr>
        <w:tblStyle w:val="19"/>
        <w:tblpPr w:leftFromText="180" w:rightFromText="180" w:vertAnchor="page" w:horzAnchor="page" w:tblpXSpec="center" w:tblpY="306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5"/>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3275" w:type="dxa"/>
            <w:vMerge w:val="restar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磋商最终报价（元）</w:t>
            </w:r>
          </w:p>
        </w:tc>
        <w:tc>
          <w:tcPr>
            <w:tcW w:w="5944" w:type="dxa"/>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3275" w:type="dxa"/>
            <w:vMerge w:val="continue"/>
            <w:vAlign w:val="center"/>
          </w:tcPr>
          <w:p>
            <w:pPr>
              <w:jc w:val="center"/>
              <w:rPr>
                <w:rFonts w:hint="eastAsia" w:ascii="仿宋" w:hAnsi="仿宋" w:eastAsia="仿宋" w:cs="仿宋"/>
                <w:color w:val="auto"/>
                <w:sz w:val="24"/>
                <w:highlight w:val="none"/>
              </w:rPr>
            </w:pPr>
          </w:p>
        </w:tc>
        <w:tc>
          <w:tcPr>
            <w:tcW w:w="5944" w:type="dxa"/>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3275" w:type="dxa"/>
            <w:vAlign w:val="center"/>
          </w:tcPr>
          <w:p>
            <w:pPr>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负责人</w:t>
            </w:r>
          </w:p>
        </w:tc>
        <w:tc>
          <w:tcPr>
            <w:tcW w:w="5944"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3275" w:type="dxa"/>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质量保证</w:t>
            </w:r>
          </w:p>
        </w:tc>
        <w:tc>
          <w:tcPr>
            <w:tcW w:w="5944" w:type="dxa"/>
            <w:vAlign w:val="center"/>
          </w:tcPr>
          <w:p>
            <w:pPr>
              <w:rPr>
                <w:rFonts w:hint="eastAsia" w:ascii="仿宋" w:hAnsi="仿宋" w:eastAsia="仿宋" w:cs="仿宋"/>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3275" w:type="dxa"/>
            <w:vAlign w:val="center"/>
          </w:tcPr>
          <w:p>
            <w:pPr>
              <w:spacing w:line="360" w:lineRule="auto"/>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lang w:eastAsia="zh-CN"/>
              </w:rPr>
              <w:t>服务期</w:t>
            </w:r>
          </w:p>
        </w:tc>
        <w:tc>
          <w:tcPr>
            <w:tcW w:w="5944" w:type="dxa"/>
            <w:vAlign w:val="center"/>
          </w:tcPr>
          <w:p>
            <w:pPr>
              <w:rPr>
                <w:rFonts w:hint="eastAsia" w:ascii="仿宋" w:hAnsi="仿宋" w:eastAsia="仿宋" w:cs="仿宋"/>
                <w:color w:val="auto"/>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3275"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备</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注</w:t>
            </w:r>
          </w:p>
        </w:tc>
        <w:tc>
          <w:tcPr>
            <w:tcW w:w="5944" w:type="dxa"/>
            <w:vAlign w:val="center"/>
          </w:tcPr>
          <w:p>
            <w:pPr>
              <w:rPr>
                <w:rFonts w:hint="eastAsia" w:ascii="仿宋" w:hAnsi="仿宋" w:eastAsia="仿宋" w:cs="仿宋"/>
                <w:color w:val="auto"/>
                <w:sz w:val="24"/>
                <w:highlight w:val="none"/>
              </w:rPr>
            </w:pPr>
          </w:p>
        </w:tc>
      </w:tr>
    </w:tbl>
    <w:p>
      <w:pPr>
        <w:spacing w:line="120" w:lineRule="exact"/>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注：1、以上表内报价内容以元为单位，保留小数点后两位。</w:t>
      </w:r>
    </w:p>
    <w:p>
      <w:pPr>
        <w:pStyle w:val="2"/>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（此最终磋商报价表请各单位提前盖好章手持，磋商过程中要求提交最终磋商报价时</w:t>
      </w:r>
    </w:p>
    <w:p>
      <w:pPr>
        <w:pStyle w:val="2"/>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再填写提交）</w:t>
      </w:r>
    </w:p>
    <w:p>
      <w:pPr>
        <w:rPr>
          <w:rFonts w:hint="eastAsia" w:ascii="仿宋" w:hAnsi="仿宋" w:eastAsia="仿宋" w:cs="仿宋"/>
          <w:b/>
          <w:bCs/>
          <w:color w:val="auto"/>
          <w:sz w:val="28"/>
          <w:szCs w:val="28"/>
          <w:highlight w:val="none"/>
        </w:rPr>
      </w:pPr>
    </w:p>
    <w:p>
      <w:pPr>
        <w:pStyle w:val="13"/>
        <w:rPr>
          <w:rFonts w:hint="eastAsia" w:ascii="仿宋" w:hAnsi="仿宋" w:eastAsia="仿宋" w:cs="仿宋"/>
          <w:color w:val="auto"/>
          <w:highlight w:val="none"/>
        </w:rPr>
      </w:pPr>
    </w:p>
    <w:p>
      <w:pPr>
        <w:spacing w:line="280" w:lineRule="exact"/>
        <w:ind w:right="540" w:rightChars="257"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（加盖单位公章）</w:t>
      </w:r>
    </w:p>
    <w:p>
      <w:pPr>
        <w:spacing w:line="280" w:lineRule="exact"/>
        <w:ind w:right="540" w:rightChars="257" w:firstLine="360" w:firstLineChars="150"/>
        <w:jc w:val="left"/>
        <w:rPr>
          <w:rFonts w:hint="eastAsia" w:ascii="仿宋" w:hAnsi="仿宋" w:eastAsia="仿宋" w:cs="仿宋"/>
          <w:color w:val="auto"/>
          <w:sz w:val="24"/>
          <w:szCs w:val="24"/>
          <w:highlight w:val="none"/>
        </w:rPr>
      </w:pPr>
    </w:p>
    <w:p>
      <w:pPr>
        <w:spacing w:line="280" w:lineRule="exact"/>
        <w:ind w:right="540" w:rightChars="257" w:firstLine="4440" w:firstLineChars="18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280" w:lineRule="exact"/>
        <w:ind w:right="540" w:rightChars="257" w:firstLine="3360" w:firstLineChars="1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lang w:val="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280" w:lineRule="exact"/>
        <w:ind w:right="540" w:rightChars="257" w:firstLine="4440" w:firstLineChars="1850"/>
        <w:jc w:val="left"/>
        <w:rPr>
          <w:rFonts w:hint="eastAsia" w:ascii="仿宋" w:hAnsi="仿宋" w:eastAsia="仿宋" w:cs="仿宋"/>
          <w:color w:val="auto"/>
          <w:sz w:val="24"/>
          <w:szCs w:val="24"/>
          <w:highlight w:val="none"/>
        </w:rPr>
      </w:pPr>
    </w:p>
    <w:p>
      <w:pPr>
        <w:spacing w:line="280" w:lineRule="exact"/>
        <w:ind w:right="540" w:rightChars="257"/>
        <w:jc w:val="left"/>
        <w:rPr>
          <w:rFonts w:hint="eastAsia" w:ascii="仿宋" w:hAnsi="仿宋" w:eastAsia="仿宋" w:cs="仿宋"/>
          <w:color w:val="auto"/>
          <w:sz w:val="24"/>
          <w:szCs w:val="24"/>
          <w:highlight w:val="none"/>
        </w:rPr>
      </w:pPr>
    </w:p>
    <w:p>
      <w:pPr>
        <w:spacing w:line="280" w:lineRule="exact"/>
        <w:ind w:right="540" w:rightChars="257"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
        <w:rPr>
          <w:rFonts w:hint="eastAsia" w:ascii="仿宋" w:hAnsi="仿宋" w:eastAsia="仿宋" w:cs="仿宋"/>
          <w:color w:val="auto"/>
          <w:sz w:val="24"/>
          <w:szCs w:val="24"/>
          <w:highlight w:val="none"/>
        </w:rPr>
      </w:pPr>
    </w:p>
    <w:p>
      <w:pPr>
        <w:pStyle w:val="17"/>
        <w:rPr>
          <w:rFonts w:hint="eastAsia" w:ascii="仿宋" w:hAnsi="仿宋" w:eastAsia="仿宋" w:cs="仿宋"/>
          <w:color w:val="auto"/>
          <w:sz w:val="24"/>
          <w:szCs w:val="24"/>
          <w:highlight w:val="none"/>
        </w:rPr>
      </w:pPr>
    </w:p>
    <w:p>
      <w:pPr>
        <w:rPr>
          <w:rFonts w:hint="eastAsia"/>
        </w:rPr>
      </w:pPr>
    </w:p>
    <w:p>
      <w:pPr>
        <w:pStyle w:val="13"/>
        <w:rPr>
          <w:rFonts w:hint="eastAsia" w:ascii="仿宋" w:hAnsi="仿宋" w:eastAsia="仿宋" w:cs="仿宋"/>
          <w:color w:val="auto"/>
          <w:sz w:val="24"/>
          <w:szCs w:val="24"/>
          <w:highlight w:val="none"/>
        </w:rPr>
      </w:pPr>
    </w:p>
    <w:p>
      <w:pPr>
        <w:autoSpaceDE w:val="0"/>
        <w:autoSpaceDN w:val="0"/>
        <w:adjustRightInd w:val="0"/>
        <w:snapToGrid w:val="0"/>
        <w:spacing w:line="360" w:lineRule="auto"/>
        <w:jc w:val="center"/>
        <w:outlineLvl w:val="0"/>
        <w:rPr>
          <w:rFonts w:hint="eastAsia" w:ascii="仿宋" w:hAnsi="仿宋" w:eastAsia="仿宋" w:cs="仿宋"/>
          <w:b/>
          <w:color w:val="auto"/>
          <w:sz w:val="36"/>
          <w:szCs w:val="36"/>
          <w:highlight w:val="none"/>
        </w:rPr>
      </w:pPr>
      <w:bookmarkStart w:id="121" w:name="_Toc22303"/>
      <w:bookmarkStart w:id="122" w:name="_Toc14128"/>
      <w:r>
        <w:rPr>
          <w:rFonts w:hint="eastAsia" w:ascii="仿宋" w:hAnsi="仿宋" w:eastAsia="仿宋" w:cs="仿宋"/>
          <w:b/>
          <w:color w:val="auto"/>
          <w:sz w:val="36"/>
          <w:szCs w:val="36"/>
          <w:highlight w:val="none"/>
        </w:rPr>
        <w:t>五、</w:t>
      </w:r>
      <w:r>
        <w:rPr>
          <w:rFonts w:hint="eastAsia" w:ascii="仿宋" w:hAnsi="仿宋" w:eastAsia="仿宋" w:cs="仿宋"/>
          <w:b/>
          <w:color w:val="auto"/>
          <w:sz w:val="36"/>
          <w:szCs w:val="36"/>
          <w:highlight w:val="none"/>
          <w:lang w:eastAsia="zh-CN"/>
        </w:rPr>
        <w:t>技术</w:t>
      </w:r>
      <w:r>
        <w:rPr>
          <w:rFonts w:hint="eastAsia" w:ascii="仿宋" w:hAnsi="仿宋" w:eastAsia="仿宋" w:cs="仿宋"/>
          <w:b/>
          <w:color w:val="auto"/>
          <w:sz w:val="36"/>
          <w:szCs w:val="36"/>
          <w:highlight w:val="none"/>
        </w:rPr>
        <w:t>方案</w:t>
      </w:r>
      <w:bookmarkEnd w:id="121"/>
      <w:bookmarkEnd w:id="122"/>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（各供应商根据采购内容及评审办法，可自主编写磋商方案说明）</w:t>
      </w:r>
    </w:p>
    <w:p>
      <w:pPr>
        <w:pStyle w:val="13"/>
        <w:rPr>
          <w:rFonts w:hint="eastAsia" w:ascii="仿宋" w:hAnsi="仿宋" w:eastAsia="仿宋" w:cs="仿宋"/>
          <w:color w:val="auto"/>
          <w:highlight w:val="none"/>
        </w:rPr>
      </w:pPr>
    </w:p>
    <w:bookmarkEnd w:id="108"/>
    <w:bookmarkEnd w:id="109"/>
    <w:bookmarkEnd w:id="110"/>
    <w:bookmarkEnd w:id="111"/>
    <w:p>
      <w:pPr>
        <w:keepLines/>
        <w:pageBreakBefore/>
        <w:jc w:val="center"/>
        <w:outlineLvl w:val="0"/>
        <w:rPr>
          <w:rFonts w:hint="eastAsia" w:ascii="仿宋" w:hAnsi="仿宋" w:eastAsia="仿宋" w:cs="仿宋"/>
          <w:b/>
          <w:bCs/>
          <w:color w:val="auto"/>
          <w:sz w:val="32"/>
          <w:szCs w:val="32"/>
          <w:highlight w:val="none"/>
        </w:rPr>
      </w:pPr>
      <w:bookmarkStart w:id="123" w:name="_Toc13456"/>
      <w:bookmarkStart w:id="124" w:name="_Toc21519"/>
      <w:bookmarkStart w:id="125" w:name="_Toc24985"/>
      <w:r>
        <w:rPr>
          <w:rFonts w:hint="eastAsia" w:ascii="仿宋" w:hAnsi="仿宋" w:eastAsia="仿宋" w:cs="仿宋"/>
          <w:b/>
          <w:bCs/>
          <w:color w:val="auto"/>
          <w:sz w:val="32"/>
          <w:szCs w:val="32"/>
          <w:highlight w:val="none"/>
        </w:rPr>
        <w:t>六、类似业绩</w:t>
      </w:r>
      <w:bookmarkEnd w:id="123"/>
      <w:bookmarkEnd w:id="124"/>
    </w:p>
    <w:p>
      <w:pPr>
        <w:keepLines/>
        <w:pageBreakBefore/>
        <w:jc w:val="center"/>
        <w:outlineLvl w:val="0"/>
        <w:rPr>
          <w:rFonts w:hint="eastAsia" w:ascii="仿宋" w:hAnsi="仿宋" w:eastAsia="仿宋" w:cs="仿宋"/>
          <w:b/>
          <w:bCs/>
          <w:color w:val="auto"/>
          <w:sz w:val="32"/>
          <w:szCs w:val="32"/>
          <w:highlight w:val="none"/>
        </w:rPr>
      </w:pPr>
      <w:bookmarkStart w:id="126" w:name="_Toc23081"/>
      <w:bookmarkStart w:id="127" w:name="_Toc31626"/>
      <w:r>
        <w:rPr>
          <w:rFonts w:hint="eastAsia" w:ascii="仿宋" w:hAnsi="仿宋" w:eastAsia="仿宋" w:cs="仿宋"/>
          <w:b/>
          <w:bCs/>
          <w:color w:val="auto"/>
          <w:sz w:val="32"/>
          <w:szCs w:val="32"/>
          <w:highlight w:val="none"/>
        </w:rPr>
        <w:t>七、陕西省政府采购供应商拒绝政府采购领域商业贿赂承诺书</w:t>
      </w:r>
      <w:bookmarkEnd w:id="125"/>
      <w:bookmarkEnd w:id="126"/>
      <w:bookmarkEnd w:id="127"/>
    </w:p>
    <w:p>
      <w:pPr>
        <w:widowControl/>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为响应党中央、国务院关于治理政府采购领域商业贿赂行为的号召，我公司在此庄严承诺：</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在参与政府采购活动中遵纪守法、诚信经营、公平竞标。</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不向政府采购人、采购代理机构和政府采购评审专家进行任何形式的商业贿赂以谋取交易机会。</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不向政府采购代理机构和采购人提供虚假资质文件或采用虚假应标方式参与政府采购市场竞争并谋取中标、成交。</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不采取“围标、陪标”等商业欺诈手段获得政府采购定单。</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不采取不正当手段诋毁、排挤其他供应商。</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不在提供商品和服务时“偷梁换柱、以次充好”损害采购人的合法权益。</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不与采购人、采购代理机构政府采购评审专家或其它供应商恶意串通，进行质疑和投诉，维护政府采购市场秩序。</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尊重和接受政府采购监督管理部门的监督和政府采购代理机构招标采购要求，承担因违约行为给采购人造成的损失。</w:t>
      </w:r>
    </w:p>
    <w:p>
      <w:pPr>
        <w:widowControl/>
        <w:numPr>
          <w:ilvl w:val="0"/>
          <w:numId w:val="8"/>
        </w:numPr>
        <w:spacing w:line="408"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不发生其他有悖于政府采购公开、公平、公正和诚信原则的行为。</w:t>
      </w:r>
    </w:p>
    <w:p>
      <w:pPr>
        <w:pStyle w:val="5"/>
        <w:rPr>
          <w:rFonts w:hint="eastAsia"/>
        </w:rPr>
      </w:pPr>
    </w:p>
    <w:p>
      <w:pPr>
        <w:widowControl/>
        <w:spacing w:line="408" w:lineRule="auto"/>
        <w:ind w:left="2873" w:leftChars="1368"/>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承诺单位：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pPr>
        <w:widowControl/>
        <w:spacing w:line="408" w:lineRule="auto"/>
        <w:ind w:left="2873" w:leftChars="1368"/>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kern w:val="0"/>
          <w:sz w:val="24"/>
          <w:szCs w:val="24"/>
          <w:highlight w:val="none"/>
        </w:rPr>
        <w:t>全权代表：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lang w:val="zh-CN"/>
        </w:rPr>
        <w:t>（签字或盖章）</w:t>
      </w:r>
    </w:p>
    <w:p>
      <w:pPr>
        <w:widowControl/>
        <w:spacing w:line="408" w:lineRule="auto"/>
        <w:ind w:left="2873" w:leftChars="136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p>
    <w:p>
      <w:pPr>
        <w:widowControl/>
        <w:spacing w:line="408" w:lineRule="auto"/>
        <w:ind w:left="2873" w:leftChars="1368"/>
        <w:jc w:val="left"/>
        <w:rPr>
          <w:rFonts w:hint="eastAsia" w:ascii="仿宋" w:hAnsi="仿宋" w:eastAsia="仿宋" w:cs="仿宋"/>
          <w:color w:val="auto"/>
          <w:kern w:val="0"/>
          <w:sz w:val="24"/>
          <w:szCs w:val="24"/>
          <w:highlight w:val="none"/>
          <w:u w:val="single"/>
          <w:lang w:eastAsia="zh-CN"/>
        </w:rPr>
      </w:pPr>
      <w:r>
        <w:rPr>
          <w:rFonts w:hint="eastAsia" w:ascii="仿宋" w:hAnsi="仿宋" w:eastAsia="仿宋" w:cs="仿宋"/>
          <w:color w:val="auto"/>
          <w:kern w:val="0"/>
          <w:sz w:val="24"/>
          <w:szCs w:val="24"/>
          <w:highlight w:val="none"/>
        </w:rPr>
        <w:t>邮编：</w:t>
      </w:r>
      <w:r>
        <w:rPr>
          <w:rFonts w:hint="eastAsia" w:ascii="仿宋" w:hAnsi="仿宋" w:eastAsia="仿宋" w:cs="仿宋"/>
          <w:color w:val="auto"/>
          <w:kern w:val="0"/>
          <w:sz w:val="24"/>
          <w:szCs w:val="24"/>
          <w:highlight w:val="none"/>
          <w:u w:val="single"/>
        </w:rPr>
        <w:t xml:space="preserve">                                      </w:t>
      </w:r>
    </w:p>
    <w:p>
      <w:pPr>
        <w:widowControl/>
        <w:spacing w:line="408" w:lineRule="auto"/>
        <w:ind w:left="2873" w:leftChars="136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电话：</w:t>
      </w:r>
      <w:r>
        <w:rPr>
          <w:rFonts w:hint="eastAsia" w:ascii="仿宋" w:hAnsi="仿宋" w:eastAsia="仿宋" w:cs="仿宋"/>
          <w:color w:val="auto"/>
          <w:kern w:val="0"/>
          <w:sz w:val="24"/>
          <w:szCs w:val="24"/>
          <w:highlight w:val="none"/>
          <w:u w:val="single"/>
        </w:rPr>
        <w:t xml:space="preserve">                                      </w:t>
      </w:r>
    </w:p>
    <w:p>
      <w:pPr>
        <w:widowControl/>
        <w:spacing w:line="408" w:lineRule="auto"/>
        <w:ind w:left="239" w:leftChars="114" w:firstLine="4080" w:firstLineChars="17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pPr>
        <w:spacing w:line="408" w:lineRule="auto"/>
        <w:ind w:left="525" w:leftChars="250"/>
        <w:rPr>
          <w:rFonts w:hint="eastAsia" w:ascii="仿宋" w:hAnsi="仿宋" w:eastAsia="仿宋" w:cs="仿宋"/>
          <w:color w:val="auto"/>
          <w:sz w:val="24"/>
          <w:szCs w:val="24"/>
          <w:highlight w:val="none"/>
        </w:rPr>
      </w:pPr>
    </w:p>
    <w:p>
      <w:pPr>
        <w:spacing w:line="408" w:lineRule="auto"/>
        <w:rPr>
          <w:rFonts w:hint="eastAsia" w:ascii="仿宋" w:hAnsi="仿宋" w:eastAsia="仿宋" w:cs="仿宋"/>
          <w:color w:val="auto"/>
          <w:sz w:val="24"/>
          <w:szCs w:val="24"/>
          <w:highlight w:val="none"/>
        </w:rPr>
      </w:pPr>
    </w:p>
    <w:p>
      <w:pPr>
        <w:pStyle w:val="2"/>
        <w:rPr>
          <w:rFonts w:hint="eastAsia" w:ascii="仿宋" w:hAnsi="仿宋" w:eastAsia="仿宋" w:cs="仿宋"/>
          <w:color w:val="auto"/>
          <w:highlight w:val="none"/>
        </w:rPr>
      </w:pPr>
    </w:p>
    <w:p>
      <w:pPr>
        <w:widowControl/>
        <w:jc w:val="center"/>
        <w:outlineLvl w:val="0"/>
        <w:rPr>
          <w:rFonts w:hint="eastAsia" w:ascii="仿宋" w:hAnsi="仿宋" w:eastAsia="仿宋" w:cs="仿宋"/>
          <w:b/>
          <w:bCs/>
          <w:color w:val="auto"/>
          <w:sz w:val="32"/>
          <w:szCs w:val="32"/>
          <w:highlight w:val="none"/>
        </w:rPr>
      </w:pPr>
      <w:bookmarkStart w:id="128" w:name="_Toc5235"/>
      <w:bookmarkStart w:id="129" w:name="_Toc21222"/>
      <w:bookmarkStart w:id="130" w:name="_Toc19236"/>
      <w:r>
        <w:rPr>
          <w:rFonts w:hint="eastAsia" w:ascii="仿宋" w:hAnsi="仿宋" w:eastAsia="仿宋" w:cs="仿宋"/>
          <w:b/>
          <w:bCs/>
          <w:color w:val="auto"/>
          <w:sz w:val="32"/>
          <w:szCs w:val="32"/>
          <w:highlight w:val="none"/>
        </w:rPr>
        <w:t>八、供应商资格证明文件</w:t>
      </w:r>
      <w:bookmarkEnd w:id="128"/>
      <w:bookmarkEnd w:id="129"/>
      <w:bookmarkEnd w:id="130"/>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1）、供应商须具有合法注册的法人或其他组织，有效的统一社会信用代码的营业执照；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2）、供应商须提供具有履行本合同所必需的设备和专业技术能力的声明；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3）、拟派项目负责人须具备相关专业执业证书或中级及以上技术职称，有本单位在职证明（提供近6个月的养老保险）；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4）、供应商应授权合法的人员参加磋商全过程，其中法定代表人直接参加磋商的，须出具法人身份证，并与营业执照上信息一致（提供近6个月的养老保险）；法定代表人授权代表参加磋商的，须出具法定代表人授权书及授权代表身份证；授权代表必须为本单位在职人员（提供近6个月的养老保险）；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5)、</w:t>
      </w:r>
      <w:r>
        <w:rPr>
          <w:rFonts w:hint="eastAsia" w:ascii="仿宋" w:hAnsi="仿宋" w:eastAsia="仿宋" w:cs="仿宋"/>
          <w:i w:val="0"/>
          <w:iCs w:val="0"/>
          <w:caps w:val="0"/>
          <w:color w:val="000000" w:themeColor="text1"/>
          <w:spacing w:val="0"/>
          <w:sz w:val="24"/>
          <w:szCs w:val="24"/>
          <w:highlight w:val="none"/>
          <w:shd w:val="clear" w:fill="FFFFFF"/>
          <w:lang w:eastAsia="zh-CN"/>
          <w14:textFill>
            <w14:solidFill>
              <w14:schemeClr w14:val="tx1"/>
            </w14:solidFill>
          </w14:textFill>
        </w:rPr>
        <w:t>供应商须提供2021年03月</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至今已缴存的至少任意连续6个月的社会保险参保缴费情况证明，依法不需要缴纳社会保障资金的单位应提供相关证明材料；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6)、供应商须提供2020年财务审计报告(至少包括资产负债表和利润表，成立时间至提交磋商响应文件截止时间不足一年的可提供成立后任意时段的资产负债表)或者银行资信证明；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7)、</w:t>
      </w:r>
      <w:r>
        <w:rPr>
          <w:rFonts w:hint="eastAsia" w:ascii="仿宋" w:hAnsi="仿宋" w:eastAsia="仿宋" w:cs="仿宋"/>
          <w:i w:val="0"/>
          <w:iCs w:val="0"/>
          <w:caps w:val="0"/>
          <w:color w:val="000000" w:themeColor="text1"/>
          <w:spacing w:val="0"/>
          <w:sz w:val="24"/>
          <w:szCs w:val="24"/>
          <w:highlight w:val="none"/>
          <w:shd w:val="clear" w:fill="FFFFFF"/>
          <w:lang w:eastAsia="zh-CN"/>
          <w14:textFill>
            <w14:solidFill>
              <w14:schemeClr w14:val="tx1"/>
            </w14:solidFill>
          </w14:textFill>
        </w:rPr>
        <w:t>供应商须提供2021年03月</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至今已缴纳的至少任意连续6个月的纳税证明或完税证明，依法免税的单位应提供相关证明材料；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8)、供应商不得为“信用中国”网站中列入失信被执行人和重大税收违法案件当事人名单的供应商；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9)、供应商不得为“中国政府采购网(www.ccgp.gov.cn）”政府采购严重违法失信行为记录名单中被财政部门禁止参加政府采购活动的供应商；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10)、供应商及法定代表人近三年不得有行贿犯罪记录(通过“中国裁判文书网”查询)否则将被取消投标资格；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11)、单位负责人为同一人或者存在直接控股、管理关系的不同供应商，不得参加同一合同项下的招标活动(通过“国家企业信用信息公示平台”查询)；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12)、参加政府采购活动前三年内，在经营活动中没有重大违法记录的书面声明。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13）、磋商保证金缴纳凭证或担保机构出具的保函复印件。</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以上为必备要求，缺一项或某项达不到要求，按无效磋商处理。</w:t>
      </w:r>
    </w:p>
    <w:p>
      <w:pPr>
        <w:pStyle w:val="2"/>
        <w:outlineLvl w:val="0"/>
        <w:rPr>
          <w:rFonts w:hint="eastAsia" w:ascii="仿宋" w:hAnsi="仿宋" w:eastAsia="仿宋" w:cs="仿宋"/>
          <w:b/>
          <w:bCs/>
          <w:color w:val="auto"/>
          <w:sz w:val="32"/>
          <w:szCs w:val="32"/>
          <w:highlight w:val="none"/>
        </w:rPr>
      </w:pPr>
      <w:bookmarkStart w:id="131" w:name="_Toc25096"/>
      <w:bookmarkStart w:id="132" w:name="_Toc10598"/>
      <w:r>
        <w:rPr>
          <w:rFonts w:hint="eastAsia" w:ascii="仿宋" w:hAnsi="仿宋" w:eastAsia="仿宋" w:cs="仿宋"/>
          <w:b/>
          <w:bCs/>
          <w:color w:val="auto"/>
          <w:sz w:val="32"/>
          <w:szCs w:val="32"/>
          <w:highlight w:val="none"/>
        </w:rPr>
        <w:t>法定代表人身份证明</w:t>
      </w:r>
      <w:bookmarkEnd w:id="131"/>
      <w:bookmarkEnd w:id="132"/>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rPr>
        <w:t xml:space="preserve">                       </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注册地址：</w:t>
      </w:r>
      <w:r>
        <w:rPr>
          <w:rFonts w:hint="eastAsia" w:ascii="仿宋" w:hAnsi="仿宋" w:eastAsia="仿宋" w:cs="仿宋"/>
          <w:color w:val="auto"/>
          <w:kern w:val="0"/>
          <w:sz w:val="24"/>
          <w:highlight w:val="none"/>
          <w:u w:val="single"/>
        </w:rPr>
        <w:t xml:space="preserve">                               </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   年    月    日</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napToGrid w:val="0"/>
        <w:spacing w:before="156" w:beforeLines="50"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（供应商名称）      </w:t>
      </w:r>
      <w:r>
        <w:rPr>
          <w:rFonts w:hint="eastAsia" w:ascii="仿宋" w:hAnsi="仿宋" w:eastAsia="仿宋" w:cs="仿宋"/>
          <w:color w:val="auto"/>
          <w:kern w:val="0"/>
          <w:sz w:val="24"/>
          <w:highlight w:val="none"/>
        </w:rPr>
        <w:t>的法定代表人。</w:t>
      </w:r>
    </w:p>
    <w:p>
      <w:pPr>
        <w:autoSpaceDE w:val="0"/>
        <w:autoSpaceDN w:val="0"/>
        <w:adjustRightInd w:val="0"/>
        <w:snapToGrid w:val="0"/>
        <w:spacing w:before="156" w:beforeLines="50" w:line="44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autoSpaceDE w:val="0"/>
        <w:autoSpaceDN w:val="0"/>
        <w:adjustRightInd w:val="0"/>
        <w:snapToGrid w:val="0"/>
        <w:spacing w:before="156" w:beforeLines="50" w:line="440" w:lineRule="exact"/>
        <w:jc w:val="left"/>
        <w:rPr>
          <w:rFonts w:hint="eastAsia" w:ascii="仿宋" w:hAnsi="仿宋" w:eastAsia="仿宋" w:cs="仿宋"/>
          <w:color w:val="auto"/>
          <w:kern w:val="0"/>
          <w:highlight w:val="none"/>
        </w:rPr>
      </w:pPr>
      <w:r>
        <w:rPr>
          <w:rFonts w:hint="eastAsia" w:ascii="仿宋" w:hAnsi="仿宋" w:eastAsia="仿宋" w:cs="仿宋"/>
          <w:color w:val="auto"/>
          <w:highlight w:val="none"/>
        </w:rPr>
        <w:t>附：法定代表人身份证复印件</w:t>
      </w:r>
    </w:p>
    <w:tbl>
      <w:tblPr>
        <w:tblStyle w:val="20"/>
        <w:tblpPr w:leftFromText="180" w:rightFromText="180" w:vertAnchor="text" w:horzAnchor="margin" w:tblpXSpec="center" w:tblpY="104"/>
        <w:tblW w:w="9077"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9077" w:type="dxa"/>
            <w:vAlign w:val="center"/>
          </w:tcPr>
          <w:p>
            <w:pPr>
              <w:snapToGrid w:val="0"/>
              <w:spacing w:line="480" w:lineRule="auto"/>
              <w:jc w:val="center"/>
              <w:rPr>
                <w:rFonts w:hint="eastAsia" w:ascii="仿宋" w:hAnsi="仿宋" w:eastAsia="仿宋" w:cs="仿宋"/>
                <w:color w:val="auto"/>
                <w:highlight w:val="none"/>
              </w:rPr>
            </w:pPr>
          </w:p>
          <w:p>
            <w:pPr>
              <w:snapToGrid w:val="0"/>
              <w:spacing w:line="480" w:lineRule="auto"/>
              <w:jc w:val="center"/>
              <w:rPr>
                <w:rFonts w:hint="eastAsia" w:ascii="仿宋" w:hAnsi="仿宋" w:eastAsia="仿宋" w:cs="仿宋"/>
                <w:color w:val="auto"/>
                <w:highlight w:val="none"/>
              </w:rPr>
            </w:pPr>
          </w:p>
          <w:p>
            <w:pPr>
              <w:autoSpaceDE w:val="0"/>
              <w:autoSpaceDN w:val="0"/>
              <w:adjustRightInd w:val="0"/>
              <w:snapToGrid w:val="0"/>
              <w:spacing w:before="156"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法定代表人身份证复印件粘贴处</w:t>
            </w:r>
          </w:p>
          <w:p>
            <w:pPr>
              <w:pStyle w:val="2"/>
              <w:rPr>
                <w:rFonts w:hint="eastAsia" w:ascii="仿宋" w:hAnsi="仿宋" w:eastAsia="仿宋" w:cs="仿宋"/>
                <w:color w:val="auto"/>
                <w:highlight w:val="none"/>
              </w:rPr>
            </w:pPr>
            <w:r>
              <w:rPr>
                <w:rFonts w:hint="eastAsia" w:ascii="仿宋" w:hAnsi="仿宋" w:eastAsia="仿宋" w:cs="仿宋"/>
                <w:color w:val="auto"/>
                <w:highlight w:val="none"/>
              </w:rPr>
              <w:t>（正反面）</w:t>
            </w:r>
          </w:p>
          <w:p>
            <w:pPr>
              <w:snapToGrid w:val="0"/>
              <w:spacing w:line="480" w:lineRule="auto"/>
              <w:jc w:val="center"/>
              <w:rPr>
                <w:rFonts w:hint="eastAsia" w:ascii="仿宋" w:hAnsi="仿宋" w:eastAsia="仿宋" w:cs="仿宋"/>
                <w:color w:val="auto"/>
                <w:highlight w:val="none"/>
              </w:rPr>
            </w:pPr>
          </w:p>
          <w:p>
            <w:pPr>
              <w:snapToGrid w:val="0"/>
              <w:spacing w:line="480" w:lineRule="auto"/>
              <w:jc w:val="center"/>
              <w:rPr>
                <w:rFonts w:hint="eastAsia" w:ascii="仿宋" w:hAnsi="仿宋" w:eastAsia="仿宋" w:cs="仿宋"/>
                <w:color w:val="auto"/>
                <w:highlight w:val="none"/>
              </w:rPr>
            </w:pPr>
          </w:p>
        </w:tc>
      </w:tr>
    </w:tbl>
    <w:p>
      <w:pPr>
        <w:pStyle w:val="2"/>
        <w:jc w:val="both"/>
        <w:rPr>
          <w:rFonts w:hint="eastAsia" w:ascii="仿宋" w:hAnsi="仿宋" w:eastAsia="仿宋" w:cs="仿宋"/>
          <w:color w:val="auto"/>
          <w:highlight w:val="none"/>
        </w:rPr>
      </w:pPr>
    </w:p>
    <w:p>
      <w:pPr>
        <w:snapToGrid w:val="0"/>
        <w:rPr>
          <w:rFonts w:hint="eastAsia" w:ascii="仿宋" w:hAnsi="仿宋" w:eastAsia="仿宋" w:cs="仿宋"/>
          <w:color w:val="auto"/>
          <w:highlight w:val="none"/>
        </w:rPr>
      </w:pPr>
    </w:p>
    <w:p>
      <w:pPr>
        <w:snapToGrid w:val="0"/>
        <w:rPr>
          <w:rFonts w:hint="eastAsia" w:ascii="仿宋" w:hAnsi="仿宋" w:eastAsia="仿宋" w:cs="仿宋"/>
          <w:color w:val="auto"/>
          <w:highlight w:val="none"/>
        </w:rPr>
      </w:pPr>
    </w:p>
    <w:p>
      <w:pPr>
        <w:snapToGrid w:val="0"/>
        <w:rPr>
          <w:rFonts w:hint="eastAsia" w:ascii="仿宋" w:hAnsi="仿宋" w:eastAsia="仿宋" w:cs="仿宋"/>
          <w:color w:val="auto"/>
          <w:highlight w:val="none"/>
        </w:rPr>
      </w:pPr>
    </w:p>
    <w:p>
      <w:pPr>
        <w:adjustRightInd w:val="0"/>
        <w:snapToGrid w:val="0"/>
        <w:spacing w:line="48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供应商名称（公章）：</w:t>
      </w:r>
    </w:p>
    <w:p>
      <w:pPr>
        <w:adjustRightInd w:val="0"/>
        <w:snapToGrid w:val="0"/>
        <w:spacing w:line="480" w:lineRule="auto"/>
        <w:ind w:right="420"/>
        <w:rPr>
          <w:rFonts w:hint="eastAsia" w:ascii="仿宋" w:hAnsi="仿宋" w:eastAsia="仿宋" w:cs="仿宋"/>
          <w:color w:val="auto"/>
          <w:highlight w:val="none"/>
        </w:rPr>
      </w:pPr>
      <w:r>
        <w:rPr>
          <w:rFonts w:hint="eastAsia" w:ascii="仿宋" w:hAnsi="仿宋" w:eastAsia="仿宋" w:cs="仿宋"/>
          <w:color w:val="auto"/>
          <w:sz w:val="24"/>
          <w:highlight w:val="none"/>
        </w:rPr>
        <w:t>日期：    年   月   日</w:t>
      </w:r>
    </w:p>
    <w:p>
      <w:pPr>
        <w:keepNext/>
        <w:spacing w:line="360" w:lineRule="auto"/>
        <w:rPr>
          <w:rFonts w:hint="eastAsia" w:ascii="仿宋" w:hAnsi="仿宋" w:eastAsia="仿宋" w:cs="仿宋"/>
          <w:b/>
          <w:bCs/>
          <w:color w:val="auto"/>
          <w:sz w:val="2"/>
          <w:szCs w:val="2"/>
          <w:highlight w:val="none"/>
        </w:rPr>
      </w:pPr>
    </w:p>
    <w:p>
      <w:pPr>
        <w:pStyle w:val="8"/>
        <w:outlineLvl w:val="9"/>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b/>
          <w:bCs/>
          <w:color w:val="auto"/>
          <w:sz w:val="32"/>
          <w:szCs w:val="32"/>
          <w:highlight w:val="none"/>
        </w:rPr>
      </w:pPr>
      <w:bookmarkStart w:id="133" w:name="_Toc17617"/>
      <w:bookmarkStart w:id="134" w:name="_Toc11229"/>
      <w:r>
        <w:rPr>
          <w:rFonts w:hint="eastAsia" w:ascii="仿宋" w:hAnsi="仿宋" w:eastAsia="仿宋" w:cs="仿宋"/>
          <w:b/>
          <w:bCs/>
          <w:color w:val="auto"/>
          <w:sz w:val="32"/>
          <w:szCs w:val="32"/>
          <w:highlight w:val="none"/>
        </w:rPr>
        <w:br w:type="page"/>
      </w:r>
    </w:p>
    <w:p>
      <w:pPr>
        <w:keepNext/>
        <w:spacing w:line="360" w:lineRule="auto"/>
        <w:jc w:val="center"/>
        <w:outlineLvl w:val="0"/>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rPr>
        <w:t>法定代表人授权书</w:t>
      </w:r>
      <w:bookmarkEnd w:id="133"/>
      <w:bookmarkEnd w:id="134"/>
    </w:p>
    <w:p>
      <w:pPr>
        <w:spacing w:line="360" w:lineRule="auto"/>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致：</w:t>
      </w:r>
      <w:r>
        <w:rPr>
          <w:rFonts w:hint="eastAsia" w:ascii="仿宋" w:hAnsi="仿宋" w:eastAsia="仿宋" w:cs="仿宋"/>
          <w:color w:val="auto"/>
          <w:spacing w:val="4"/>
          <w:sz w:val="24"/>
          <w:szCs w:val="24"/>
          <w:highlight w:val="none"/>
          <w:u w:val="single"/>
        </w:rPr>
        <w:t xml:space="preserve"> （采购人） </w:t>
      </w:r>
    </w:p>
    <w:p>
      <w:pPr>
        <w:spacing w:line="360" w:lineRule="auto"/>
        <w:ind w:firstLine="496"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按中华人民共和国法律于</w:t>
      </w:r>
      <w:r>
        <w:rPr>
          <w:rFonts w:hint="eastAsia" w:ascii="仿宋" w:hAnsi="仿宋" w:eastAsia="仿宋" w:cs="仿宋"/>
          <w:color w:val="auto"/>
          <w:spacing w:val="4"/>
          <w:sz w:val="24"/>
          <w:szCs w:val="24"/>
          <w:highlight w:val="none"/>
          <w:u w:val="single"/>
        </w:rPr>
        <w:t xml:space="preserve">  （  年  月  日 ）   </w:t>
      </w:r>
      <w:r>
        <w:rPr>
          <w:rFonts w:hint="eastAsia" w:ascii="仿宋" w:hAnsi="仿宋" w:eastAsia="仿宋" w:cs="仿宋"/>
          <w:color w:val="auto"/>
          <w:spacing w:val="4"/>
          <w:sz w:val="24"/>
          <w:szCs w:val="24"/>
          <w:highlight w:val="none"/>
        </w:rPr>
        <w:t xml:space="preserve">成立。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4"/>
          <w:sz w:val="24"/>
          <w:szCs w:val="24"/>
          <w:highlight w:val="none"/>
          <w:u w:val="single"/>
        </w:rPr>
        <w:t xml:space="preserve">姓名  </w:t>
      </w:r>
      <w:r>
        <w:rPr>
          <w:rFonts w:hint="eastAsia" w:ascii="仿宋" w:hAnsi="仿宋" w:eastAsia="仿宋" w:cs="仿宋"/>
          <w:color w:val="auto"/>
          <w:spacing w:val="4"/>
          <w:sz w:val="24"/>
          <w:szCs w:val="24"/>
          <w:highlight w:val="none"/>
        </w:rPr>
        <w:t>特授权</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z w:val="24"/>
          <w:szCs w:val="24"/>
          <w:highlight w:val="none"/>
          <w:u w:val="single"/>
        </w:rPr>
        <w:t>被授权人</w:t>
      </w:r>
      <w:r>
        <w:rPr>
          <w:rFonts w:hint="eastAsia" w:ascii="仿宋" w:hAnsi="仿宋" w:eastAsia="仿宋" w:cs="仿宋"/>
          <w:color w:val="auto"/>
          <w:spacing w:val="4"/>
          <w:sz w:val="24"/>
          <w:szCs w:val="24"/>
          <w:highlight w:val="none"/>
          <w:u w:val="single"/>
        </w:rPr>
        <w:t xml:space="preserve">姓名   </w:t>
      </w:r>
      <w:r>
        <w:rPr>
          <w:rFonts w:hint="eastAsia" w:ascii="仿宋" w:hAnsi="仿宋" w:eastAsia="仿宋" w:cs="仿宋"/>
          <w:color w:val="auto"/>
          <w:spacing w:val="4"/>
          <w:sz w:val="24"/>
          <w:szCs w:val="24"/>
          <w:highlight w:val="none"/>
        </w:rPr>
        <w:t>代表我公司全权办理针对本次</w:t>
      </w:r>
      <w:r>
        <w:rPr>
          <w:rFonts w:hint="eastAsia" w:ascii="仿宋" w:hAnsi="仿宋" w:eastAsia="仿宋" w:cs="仿宋"/>
          <w:color w:val="auto"/>
          <w:spacing w:val="4"/>
          <w:sz w:val="24"/>
          <w:szCs w:val="24"/>
          <w:highlight w:val="none"/>
          <w:u w:val="single"/>
        </w:rPr>
        <w:t xml:space="preserve">  项目名称、项目编号  </w:t>
      </w:r>
      <w:r>
        <w:rPr>
          <w:rFonts w:hint="eastAsia" w:ascii="仿宋" w:hAnsi="仿宋" w:eastAsia="仿宋" w:cs="仿宋"/>
          <w:color w:val="auto"/>
          <w:spacing w:val="4"/>
          <w:sz w:val="24"/>
          <w:szCs w:val="24"/>
          <w:highlight w:val="none"/>
        </w:rPr>
        <w:t>的磋商、签约等具体工作，并签署全部有关的文件、协议及合同。</w:t>
      </w:r>
    </w:p>
    <w:p>
      <w:pPr>
        <w:spacing w:line="360" w:lineRule="auto"/>
        <w:ind w:firstLine="496"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我公司对被授权人的签名负全部责任。</w:t>
      </w:r>
    </w:p>
    <w:p>
      <w:pPr>
        <w:spacing w:line="360" w:lineRule="auto"/>
        <w:ind w:firstLine="496"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本授权有效期：自磋商之日起90天。</w:t>
      </w:r>
    </w:p>
    <w:p>
      <w:pPr>
        <w:pStyle w:val="13"/>
        <w:rPr>
          <w:rFonts w:hint="eastAsia" w:ascii="仿宋" w:hAnsi="仿宋" w:eastAsia="仿宋" w:cs="仿宋"/>
          <w:color w:val="auto"/>
          <w:spacing w:val="4"/>
          <w:sz w:val="24"/>
          <w:szCs w:val="24"/>
          <w:highlight w:val="none"/>
        </w:rPr>
      </w:pPr>
    </w:p>
    <w:tbl>
      <w:tblPr>
        <w:tblStyle w:val="19"/>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被授权人签字或盖章：</w:t>
            </w:r>
          </w:p>
        </w:tc>
        <w:tc>
          <w:tcPr>
            <w:tcW w:w="399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职务：</w:t>
            </w:r>
          </w:p>
        </w:tc>
        <w:tc>
          <w:tcPr>
            <w:tcW w:w="399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身份证号：</w:t>
            </w:r>
          </w:p>
        </w:tc>
        <w:tc>
          <w:tcPr>
            <w:tcW w:w="399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身份证号：</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所在部门：</w:t>
            </w:r>
          </w:p>
        </w:tc>
        <w:tc>
          <w:tcPr>
            <w:tcW w:w="3990" w:type="dxa"/>
            <w:vAlign w:val="center"/>
          </w:tcPr>
          <w:p>
            <w:pPr>
              <w:spacing w:line="360" w:lineRule="auto"/>
              <w:rPr>
                <w:rFonts w:hint="eastAsia" w:ascii="仿宋" w:hAnsi="仿宋" w:eastAsia="仿宋" w:cs="仿宋"/>
                <w:color w:val="auto"/>
                <w:spacing w:val="4"/>
                <w:sz w:val="24"/>
                <w:szCs w:val="24"/>
                <w:highlight w:val="none"/>
              </w:rPr>
            </w:pPr>
          </w:p>
        </w:tc>
      </w:tr>
    </w:tbl>
    <w:p>
      <w:pPr>
        <w:spacing w:line="360" w:lineRule="auto"/>
        <w:ind w:firstLine="505" w:firstLineChars="204"/>
        <w:rPr>
          <w:rFonts w:hint="eastAsia" w:ascii="仿宋" w:hAnsi="仿宋" w:eastAsia="仿宋" w:cs="仿宋"/>
          <w:color w:val="auto"/>
          <w:spacing w:val="4"/>
          <w:sz w:val="24"/>
          <w:szCs w:val="24"/>
          <w:highlight w:val="none"/>
        </w:rPr>
      </w:pPr>
    </w:p>
    <w:p>
      <w:pPr>
        <w:spacing w:line="360" w:lineRule="auto"/>
        <w:ind w:firstLine="505" w:firstLineChars="204"/>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附：法定代表人、被授权人身份证复印件</w:t>
      </w:r>
      <w:r>
        <w:rPr>
          <w:rFonts w:hint="eastAsia" w:ascii="仿宋" w:hAnsi="仿宋" w:eastAsia="仿宋" w:cs="仿宋"/>
          <w:color w:val="auto"/>
          <w:sz w:val="24"/>
          <w:szCs w:val="24"/>
          <w:highlight w:val="none"/>
          <w:lang w:val="zh-CN"/>
        </w:rPr>
        <w:t>（正反面）</w:t>
      </w:r>
    </w:p>
    <w:p>
      <w:pPr>
        <w:spacing w:line="360" w:lineRule="auto"/>
        <w:rPr>
          <w:rFonts w:hint="eastAsia" w:ascii="仿宋" w:hAnsi="仿宋" w:eastAsia="仿宋" w:cs="仿宋"/>
          <w:color w:val="auto"/>
          <w:spacing w:val="4"/>
          <w:sz w:val="24"/>
          <w:szCs w:val="24"/>
          <w:highlight w:val="none"/>
        </w:rPr>
      </w:pPr>
    </w:p>
    <w:p>
      <w:pPr>
        <w:spacing w:line="360" w:lineRule="auto"/>
        <w:ind w:firstLine="510"/>
        <w:rPr>
          <w:rFonts w:hint="eastAsia" w:ascii="仿宋" w:hAnsi="仿宋" w:eastAsia="仿宋" w:cs="仿宋"/>
          <w:color w:val="auto"/>
          <w:spacing w:val="4"/>
          <w:sz w:val="24"/>
          <w:szCs w:val="24"/>
          <w:highlight w:val="none"/>
        </w:rPr>
      </w:pPr>
    </w:p>
    <w:p>
      <w:pPr>
        <w:pStyle w:val="2"/>
        <w:rPr>
          <w:rFonts w:hint="eastAsia" w:ascii="仿宋" w:hAnsi="仿宋" w:eastAsia="仿宋" w:cs="仿宋"/>
          <w:color w:val="auto"/>
          <w:spacing w:val="4"/>
          <w:sz w:val="24"/>
          <w:szCs w:val="24"/>
          <w:highlight w:val="none"/>
        </w:rPr>
      </w:pPr>
    </w:p>
    <w:p>
      <w:pPr>
        <w:pStyle w:val="2"/>
        <w:rPr>
          <w:rFonts w:hint="eastAsia" w:ascii="仿宋" w:hAnsi="仿宋" w:eastAsia="仿宋" w:cs="仿宋"/>
          <w:color w:val="auto"/>
          <w:spacing w:val="4"/>
          <w:sz w:val="24"/>
          <w:szCs w:val="24"/>
          <w:highlight w:val="none"/>
        </w:rPr>
      </w:pPr>
    </w:p>
    <w:p>
      <w:pPr>
        <w:pStyle w:val="2"/>
        <w:rPr>
          <w:rFonts w:hint="eastAsia" w:ascii="仿宋" w:hAnsi="仿宋" w:eastAsia="仿宋" w:cs="仿宋"/>
          <w:color w:val="auto"/>
          <w:spacing w:val="4"/>
          <w:sz w:val="24"/>
          <w:szCs w:val="24"/>
          <w:highlight w:val="none"/>
        </w:rPr>
      </w:pPr>
    </w:p>
    <w:p>
      <w:pPr>
        <w:pStyle w:val="2"/>
        <w:rPr>
          <w:rFonts w:hint="eastAsia" w:ascii="仿宋" w:hAnsi="仿宋" w:eastAsia="仿宋" w:cs="仿宋"/>
          <w:color w:val="auto"/>
          <w:sz w:val="24"/>
          <w:szCs w:val="24"/>
          <w:highlight w:val="none"/>
        </w:rPr>
      </w:pPr>
    </w:p>
    <w:p>
      <w:pPr>
        <w:spacing w:line="360" w:lineRule="auto"/>
        <w:ind w:firstLine="248" w:firstLineChars="1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供应商名称（公章）</w:t>
      </w:r>
    </w:p>
    <w:p>
      <w:pPr>
        <w:spacing w:line="360" w:lineRule="auto"/>
        <w:rPr>
          <w:rFonts w:hint="eastAsia" w:ascii="仿宋" w:hAnsi="仿宋" w:eastAsia="仿宋" w:cs="仿宋"/>
          <w:color w:val="auto"/>
          <w:spacing w:val="4"/>
          <w:sz w:val="24"/>
          <w:szCs w:val="24"/>
          <w:highlight w:val="none"/>
        </w:rPr>
      </w:pPr>
    </w:p>
    <w:p>
      <w:pPr>
        <w:spacing w:line="360" w:lineRule="auto"/>
        <w:ind w:firstLine="248" w:firstLineChars="1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日  期：</w:t>
      </w:r>
    </w:p>
    <w:p>
      <w:pPr>
        <w:pStyle w:val="2"/>
        <w:rPr>
          <w:rFonts w:hint="eastAsia" w:ascii="仿宋" w:hAnsi="仿宋" w:eastAsia="仿宋" w:cs="仿宋"/>
          <w:color w:val="auto"/>
          <w:highlight w:val="none"/>
        </w:rPr>
      </w:pPr>
    </w:p>
    <w:p>
      <w:pPr>
        <w:pStyle w:val="2"/>
        <w:jc w:val="left"/>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说明：本授权书有效期自磋商之日起不得少于</w:t>
      </w:r>
      <w:r>
        <w:rPr>
          <w:rFonts w:hint="eastAsia" w:ascii="仿宋" w:hAnsi="仿宋" w:eastAsia="仿宋" w:cs="仿宋"/>
          <w:b/>
          <w:bCs/>
          <w:color w:val="auto"/>
          <w:highlight w:val="none"/>
        </w:rPr>
        <w:t>90</w:t>
      </w:r>
      <w:r>
        <w:rPr>
          <w:rFonts w:hint="eastAsia" w:ascii="仿宋" w:hAnsi="仿宋" w:eastAsia="仿宋" w:cs="仿宋"/>
          <w:b/>
          <w:bCs/>
          <w:color w:val="auto"/>
          <w:highlight w:val="none"/>
          <w:lang w:val="zh-CN"/>
        </w:rPr>
        <w:t>天。</w:t>
      </w:r>
    </w:p>
    <w:p>
      <w:pPr>
        <w:pStyle w:val="2"/>
        <w:rPr>
          <w:rFonts w:hint="eastAsia" w:ascii="仿宋" w:hAnsi="仿宋" w:eastAsia="仿宋" w:cs="仿宋"/>
          <w:b/>
          <w:bCs/>
          <w:color w:val="auto"/>
          <w:highlight w:val="none"/>
          <w:lang w:val="zh-CN"/>
        </w:rPr>
      </w:pPr>
    </w:p>
    <w:p>
      <w:pPr>
        <w:pStyle w:val="2"/>
        <w:rPr>
          <w:rFonts w:hint="eastAsia" w:ascii="仿宋" w:hAnsi="仿宋" w:eastAsia="仿宋" w:cs="仿宋"/>
          <w:b/>
          <w:bCs/>
          <w:color w:val="auto"/>
          <w:highlight w:val="none"/>
          <w:lang w:val="zh-CN"/>
        </w:rPr>
      </w:pPr>
    </w:p>
    <w:p>
      <w:pPr>
        <w:rPr>
          <w:rFonts w:hint="eastAsia" w:ascii="仿宋" w:hAnsi="仿宋" w:eastAsia="仿宋" w:cs="仿宋"/>
          <w:b/>
          <w:bCs/>
          <w:color w:val="auto"/>
          <w:highlight w:val="none"/>
          <w:lang w:val="zh-CN"/>
        </w:rPr>
      </w:pPr>
    </w:p>
    <w:p>
      <w:pPr>
        <w:pStyle w:val="13"/>
        <w:rPr>
          <w:rFonts w:hint="eastAsia" w:ascii="仿宋" w:hAnsi="仿宋" w:eastAsia="仿宋" w:cs="仿宋"/>
          <w:b/>
          <w:bCs/>
          <w:color w:val="auto"/>
          <w:highlight w:val="none"/>
          <w:lang w:val="zh-CN"/>
        </w:rPr>
      </w:pPr>
    </w:p>
    <w:p>
      <w:pPr>
        <w:pStyle w:val="13"/>
        <w:rPr>
          <w:rFonts w:hint="eastAsia" w:ascii="仿宋" w:hAnsi="仿宋" w:eastAsia="仿宋" w:cs="仿宋"/>
          <w:b/>
          <w:bCs/>
          <w:color w:val="auto"/>
          <w:highlight w:val="none"/>
          <w:lang w:val="zh-CN"/>
        </w:rPr>
      </w:pPr>
    </w:p>
    <w:p>
      <w:pPr>
        <w:pStyle w:val="13"/>
        <w:rPr>
          <w:rFonts w:hint="eastAsia" w:ascii="仿宋" w:hAnsi="仿宋" w:eastAsia="仿宋" w:cs="仿宋"/>
          <w:b/>
          <w:bCs/>
          <w:color w:val="auto"/>
          <w:highlight w:val="none"/>
          <w:lang w:val="zh-CN"/>
        </w:rPr>
      </w:pPr>
    </w:p>
    <w:p>
      <w:pPr>
        <w:pStyle w:val="13"/>
        <w:rPr>
          <w:rFonts w:hint="eastAsia" w:ascii="仿宋" w:hAnsi="仿宋" w:eastAsia="仿宋" w:cs="仿宋"/>
          <w:b/>
          <w:bCs/>
          <w:color w:val="auto"/>
          <w:highlight w:val="none"/>
          <w:lang w:val="zh-CN"/>
        </w:rPr>
      </w:pPr>
    </w:p>
    <w:p>
      <w:pPr>
        <w:pStyle w:val="13"/>
        <w:rPr>
          <w:rFonts w:hint="eastAsia" w:ascii="仿宋" w:hAnsi="仿宋" w:eastAsia="仿宋" w:cs="仿宋"/>
          <w:b/>
          <w:bCs/>
          <w:color w:val="auto"/>
          <w:highlight w:val="none"/>
          <w:lang w:val="zh-CN"/>
        </w:rPr>
      </w:pPr>
    </w:p>
    <w:p>
      <w:pPr>
        <w:pStyle w:val="2"/>
        <w:rPr>
          <w:rFonts w:hint="eastAsia" w:ascii="仿宋" w:hAnsi="仿宋" w:eastAsia="仿宋" w:cs="仿宋"/>
          <w:b/>
          <w:bCs/>
          <w:color w:val="auto"/>
          <w:highlight w:val="none"/>
          <w:lang w:val="zh-CN"/>
        </w:rPr>
      </w:pPr>
    </w:p>
    <w:p>
      <w:pPr>
        <w:keepLines/>
        <w:pageBreakBefore/>
        <w:jc w:val="center"/>
        <w:outlineLvl w:val="0"/>
        <w:rPr>
          <w:rFonts w:hint="eastAsia" w:ascii="仿宋" w:hAnsi="仿宋" w:eastAsia="仿宋" w:cs="仿宋"/>
          <w:b/>
          <w:bCs/>
          <w:color w:val="auto"/>
          <w:sz w:val="32"/>
          <w:szCs w:val="32"/>
          <w:highlight w:val="none"/>
        </w:rPr>
      </w:pPr>
      <w:bookmarkStart w:id="135" w:name="_Toc32644"/>
      <w:bookmarkStart w:id="136" w:name="_Toc14159"/>
      <w:bookmarkStart w:id="137" w:name="_Toc16355"/>
      <w:r>
        <w:rPr>
          <w:rFonts w:hint="eastAsia" w:ascii="仿宋" w:hAnsi="仿宋" w:eastAsia="仿宋" w:cs="仿宋"/>
          <w:b/>
          <w:bCs/>
          <w:color w:val="auto"/>
          <w:sz w:val="32"/>
          <w:szCs w:val="32"/>
          <w:highlight w:val="none"/>
        </w:rPr>
        <w:t>九、其他可以证明供应商实力的文件</w:t>
      </w:r>
      <w:bookmarkEnd w:id="135"/>
      <w:bookmarkEnd w:id="136"/>
      <w:bookmarkEnd w:id="137"/>
    </w:p>
    <w:p>
      <w:pPr>
        <w:spacing w:line="408" w:lineRule="auto"/>
        <w:ind w:left="525" w:leftChars="250"/>
        <w:rPr>
          <w:rFonts w:hint="eastAsia" w:ascii="仿宋" w:hAnsi="仿宋" w:eastAsia="仿宋" w:cs="仿宋"/>
          <w:color w:val="auto"/>
          <w:sz w:val="32"/>
          <w:szCs w:val="32"/>
          <w:highlight w:val="none"/>
        </w:rPr>
      </w:pPr>
    </w:p>
    <w:bookmarkEnd w:id="112"/>
    <w:bookmarkEnd w:id="113"/>
    <w:bookmarkEnd w:id="114"/>
    <w:bookmarkEnd w:id="115"/>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outlineLvl w:val="0"/>
        <w:rPr>
          <w:rFonts w:hint="eastAsia" w:ascii="仿宋" w:hAnsi="仿宋" w:eastAsia="仿宋" w:cs="仿宋"/>
          <w:b/>
          <w:bCs/>
          <w:color w:val="auto"/>
          <w:sz w:val="32"/>
          <w:szCs w:val="32"/>
          <w:highlight w:val="none"/>
        </w:rPr>
      </w:pPr>
      <w:bookmarkStart w:id="138" w:name="_Toc27803"/>
      <w:bookmarkStart w:id="139" w:name="_Toc7099"/>
      <w:r>
        <w:rPr>
          <w:rFonts w:hint="eastAsia" w:ascii="仿宋" w:hAnsi="仿宋" w:eastAsia="仿宋" w:cs="仿宋"/>
          <w:b/>
          <w:bCs/>
          <w:color w:val="auto"/>
          <w:sz w:val="32"/>
          <w:szCs w:val="32"/>
          <w:highlight w:val="none"/>
        </w:rPr>
        <w:t>附件一：</w:t>
      </w:r>
      <w:bookmarkEnd w:id="138"/>
      <w:bookmarkEnd w:id="139"/>
    </w:p>
    <w:p>
      <w:pPr>
        <w:pStyle w:val="18"/>
        <w:snapToGrid w:val="0"/>
        <w:spacing w:before="0" w:beforeAutospacing="0" w:after="0" w:afterAutospacing="0" w:line="324"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关于信用担保的说明</w:t>
      </w:r>
    </w:p>
    <w:p>
      <w:pPr>
        <w:snapToGrid w:val="0"/>
        <w:spacing w:before="24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1、供应商在投标、履约、融资等环节可自愿选择采取信用担保的形式。</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2、供应商可以自愿选择是否采取投标担保函（格式见附件二）的形式交纳投标保证金，也可以自愿选择是否采取履约担保函（格式见附件三）的形式交纳履约保证金。</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3、我省确定中国投资担保有限公司、陕西省信用再担保有限责任公司、西安市经济技术投资担保有限公司等三家试点专业担保机构为担保机构。</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联系方式如下：</w:t>
      </w:r>
    </w:p>
    <w:tbl>
      <w:tblPr>
        <w:tblStyle w:val="19"/>
        <w:tblW w:w="894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1"/>
        <w:gridCol w:w="1798"/>
        <w:gridCol w:w="1629"/>
        <w:gridCol w:w="1409"/>
        <w:gridCol w:w="1115"/>
        <w:gridCol w:w="1397"/>
        <w:gridCol w:w="9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661"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序号</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合作单位名称</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主办单位名称</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联系部门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联系人员</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联系电话</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jc w:val="center"/>
        </w:trPr>
        <w:tc>
          <w:tcPr>
            <w:tcW w:w="661" w:type="dxa"/>
            <w:tcBorders>
              <w:tl2br w:val="nil"/>
              <w:tr2bl w:val="nil"/>
            </w:tcBorders>
            <w:vAlign w:val="center"/>
          </w:tcPr>
          <w:p>
            <w:pPr>
              <w:pStyle w:val="39"/>
              <w:ind w:left="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陕西省信用再</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担保有限责任公司</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陕西省信用再担保有限责任公司</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业务三部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夏靖颜</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朱筠响</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88606038-6320</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18591406320</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18629282228</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信用担保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0" w:hRule="atLeast"/>
          <w:jc w:val="center"/>
        </w:trPr>
        <w:tc>
          <w:tcPr>
            <w:tcW w:w="661" w:type="dxa"/>
            <w:tcBorders>
              <w:tl2br w:val="nil"/>
              <w:tr2bl w:val="nil"/>
            </w:tcBorders>
            <w:vAlign w:val="center"/>
          </w:tcPr>
          <w:p>
            <w:pPr>
              <w:pStyle w:val="39"/>
              <w:spacing w:before="1"/>
              <w:ind w:left="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西安投融资担</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保有限公司</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西安投融资担保</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有限公司</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业务四部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王蓉</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汪晓宇</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88480371</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13110423743</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88489590</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13629260305</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信用担保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39" w:hRule="atLeast"/>
          <w:jc w:val="center"/>
        </w:trPr>
        <w:tc>
          <w:tcPr>
            <w:tcW w:w="661" w:type="dxa"/>
            <w:tcBorders>
              <w:tl2br w:val="nil"/>
              <w:tr2bl w:val="nil"/>
            </w:tcBorders>
            <w:vAlign w:val="center"/>
          </w:tcPr>
          <w:p>
            <w:pPr>
              <w:pStyle w:val="39"/>
              <w:ind w:left="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中国银行股份有限公司陕西省分行</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中国银行西安二环世纪星支行</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公司业务部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胡涛</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叶楚莎</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88360743</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18629048822</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88360749</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13772153612</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 w:hRule="atLeast"/>
          <w:jc w:val="center"/>
        </w:trPr>
        <w:tc>
          <w:tcPr>
            <w:tcW w:w="661" w:type="dxa"/>
            <w:tcBorders>
              <w:tl2br w:val="nil"/>
              <w:tr2bl w:val="nil"/>
            </w:tcBorders>
            <w:vAlign w:val="center"/>
          </w:tcPr>
          <w:p>
            <w:pPr>
              <w:pStyle w:val="39"/>
              <w:jc w:val="center"/>
              <w:rPr>
                <w:rFonts w:hint="eastAsia" w:ascii="仿宋" w:hAnsi="仿宋" w:eastAsia="仿宋" w:cs="仿宋"/>
                <w:bCs/>
                <w:color w:val="auto"/>
                <w:sz w:val="18"/>
                <w:szCs w:val="18"/>
                <w:highlight w:val="none"/>
              </w:rPr>
            </w:pPr>
          </w:p>
          <w:p>
            <w:pPr>
              <w:pStyle w:val="39"/>
              <w:spacing w:before="1"/>
              <w:jc w:val="center"/>
              <w:rPr>
                <w:rFonts w:hint="eastAsia" w:ascii="仿宋" w:hAnsi="仿宋" w:eastAsia="仿宋" w:cs="仿宋"/>
                <w:bCs/>
                <w:color w:val="auto"/>
                <w:sz w:val="18"/>
                <w:szCs w:val="18"/>
                <w:highlight w:val="none"/>
              </w:rPr>
            </w:pPr>
          </w:p>
          <w:p>
            <w:pPr>
              <w:pStyle w:val="39"/>
              <w:ind w:left="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4</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中国建设银行股份有限公司陕西省分行</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建设银行西安市南大街支行</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公司部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杨向晖</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87281468</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13379229383</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5" w:hRule="atLeast"/>
          <w:jc w:val="center"/>
        </w:trPr>
        <w:tc>
          <w:tcPr>
            <w:tcW w:w="661" w:type="dxa"/>
            <w:tcBorders>
              <w:tl2br w:val="nil"/>
              <w:tr2bl w:val="nil"/>
            </w:tcBorders>
            <w:vAlign w:val="center"/>
          </w:tcPr>
          <w:p>
            <w:pPr>
              <w:pStyle w:val="39"/>
              <w:ind w:left="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5</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中国工商银行</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股份有限公司</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陕西省分行营</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业部</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工商银行陕西分</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行营业部</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小企业金</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融业务部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牛国群</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张航</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87609569</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18992851811</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87609761</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13891883334</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1" w:hRule="atLeast"/>
          <w:jc w:val="center"/>
        </w:trPr>
        <w:tc>
          <w:tcPr>
            <w:tcW w:w="661"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6</w:t>
            </w:r>
          </w:p>
        </w:tc>
        <w:tc>
          <w:tcPr>
            <w:tcW w:w="1798"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中国农业银行股份有限公司陕西省分行营业部</w:t>
            </w:r>
          </w:p>
        </w:tc>
        <w:tc>
          <w:tcPr>
            <w:tcW w:w="162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农业银行西安西大街支行</w:t>
            </w:r>
          </w:p>
        </w:tc>
        <w:tc>
          <w:tcPr>
            <w:tcW w:w="1409"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公司业务部</w:t>
            </w:r>
          </w:p>
        </w:tc>
        <w:tc>
          <w:tcPr>
            <w:tcW w:w="111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贾珊高雅</w:t>
            </w:r>
          </w:p>
        </w:tc>
        <w:tc>
          <w:tcPr>
            <w:tcW w:w="1397"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87617245</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13891957123</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87613444</w:t>
            </w:r>
          </w:p>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13659192425</w:t>
            </w:r>
          </w:p>
        </w:tc>
        <w:tc>
          <w:tcPr>
            <w:tcW w:w="935" w:type="dxa"/>
            <w:tcBorders>
              <w:tl2br w:val="nil"/>
              <w:tr2bl w:val="nil"/>
            </w:tcBorders>
            <w:vAlign w:val="center"/>
          </w:tcPr>
          <w:p>
            <w:pPr>
              <w:pStyle w:val="39"/>
              <w:ind w:right="119"/>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9"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7</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交通银行股份有限公司陕西省分行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交通银行西安西五路支行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个人贷款中心</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李卫公</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雷强</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87297632</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13991290525</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87272444</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18629362690</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9"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招商银行股份有限公司西安分行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招商银行西安未央路支行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公司银行部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杨皓</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马秦香</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62811553</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15002905553</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62811553</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13609183259</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9</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中国民生银行股份有限公司西安分行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民生银行西安分行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城建金融部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李楠</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88266088-8450</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13572058213</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中国光大银行股份有限公司西安分行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光大银行经济技术开发区支行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对公客户经理部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高艺瑄</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15619006186</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5"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11</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昆仑银行股份有限公司西安分行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昆仑银行西安分行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机构投行部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韩天清</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86978975</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15609108028</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12</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平安银行股份有限公司西安分行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平安银行西安分行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业务发展七部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祝捷王尧</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18629505188</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18591767577</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6"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北京银行股份有限公司西安分行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北京银行西安分行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营业部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范诗阳</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曹英</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13991945764</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18691892195</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3" w:hRule="atLeast"/>
          <w:jc w:val="center"/>
        </w:trPr>
        <w:tc>
          <w:tcPr>
            <w:tcW w:w="661"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14</w:t>
            </w:r>
          </w:p>
        </w:tc>
        <w:tc>
          <w:tcPr>
            <w:tcW w:w="1798"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兴业银行股份有限公司西安分行</w:t>
            </w:r>
          </w:p>
        </w:tc>
        <w:tc>
          <w:tcPr>
            <w:tcW w:w="162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兴业银行西安分行</w:t>
            </w:r>
          </w:p>
        </w:tc>
        <w:tc>
          <w:tcPr>
            <w:tcW w:w="1409"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新城业务总部</w:t>
            </w:r>
          </w:p>
        </w:tc>
        <w:tc>
          <w:tcPr>
            <w:tcW w:w="111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徐常磊</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鲁旸</w:t>
            </w:r>
          </w:p>
        </w:tc>
        <w:tc>
          <w:tcPr>
            <w:tcW w:w="1397"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15991623666</w:t>
            </w:r>
          </w:p>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15389081886</w:t>
            </w:r>
          </w:p>
        </w:tc>
        <w:tc>
          <w:tcPr>
            <w:tcW w:w="935" w:type="dxa"/>
            <w:tcBorders>
              <w:tl2br w:val="nil"/>
              <w:tr2bl w:val="nil"/>
            </w:tcBorders>
            <w:vAlign w:val="center"/>
          </w:tcPr>
          <w:p>
            <w:pPr>
              <w:pStyle w:val="39"/>
              <w:ind w:right="101"/>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信用融资</w:t>
            </w:r>
          </w:p>
        </w:tc>
      </w:tr>
    </w:tbl>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rPr>
          <w:rFonts w:hint="eastAsia" w:ascii="仿宋" w:hAnsi="仿宋" w:eastAsia="仿宋" w:cs="仿宋"/>
          <w:color w:val="auto"/>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rPr>
          <w:rFonts w:hint="eastAsia" w:ascii="仿宋" w:hAnsi="仿宋" w:eastAsia="仿宋" w:cs="仿宋"/>
          <w:b/>
          <w:bCs/>
          <w:color w:val="auto"/>
          <w:sz w:val="32"/>
          <w:szCs w:val="32"/>
          <w:highlight w:val="none"/>
        </w:rPr>
      </w:pPr>
    </w:p>
    <w:p>
      <w:pPr>
        <w:pStyle w:val="18"/>
        <w:snapToGrid w:val="0"/>
        <w:jc w:val="both"/>
        <w:outlineLvl w:val="0"/>
        <w:rPr>
          <w:rFonts w:hint="eastAsia" w:ascii="仿宋" w:hAnsi="仿宋" w:eastAsia="仿宋" w:cs="仿宋"/>
          <w:b/>
          <w:bCs/>
          <w:color w:val="auto"/>
          <w:sz w:val="32"/>
          <w:szCs w:val="32"/>
          <w:highlight w:val="none"/>
        </w:rPr>
      </w:pPr>
      <w:bookmarkStart w:id="140" w:name="_Toc16806"/>
      <w:bookmarkStart w:id="141" w:name="_Toc21872"/>
      <w:r>
        <w:rPr>
          <w:rFonts w:hint="eastAsia" w:ascii="仿宋" w:hAnsi="仿宋" w:eastAsia="仿宋" w:cs="仿宋"/>
          <w:b/>
          <w:bCs/>
          <w:color w:val="auto"/>
          <w:sz w:val="32"/>
          <w:szCs w:val="32"/>
          <w:highlight w:val="none"/>
        </w:rPr>
        <w:t>附件二：</w:t>
      </w:r>
      <w:bookmarkEnd w:id="140"/>
      <w:bookmarkEnd w:id="141"/>
    </w:p>
    <w:p>
      <w:pPr>
        <w:pStyle w:val="18"/>
        <w:snapToGrid w:val="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rPr>
        <w:t xml:space="preserve">            政府采购投标担保函 （项目用）</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28"/>
          <w:szCs w:val="28"/>
          <w:highlight w:val="none"/>
        </w:rPr>
        <w:t>编号：</w:t>
      </w:r>
    </w:p>
    <w:p>
      <w:pPr>
        <w:pStyle w:val="18"/>
        <w:snapToGrid w:val="0"/>
        <w:spacing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（采购人或采购代理机构）：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项目（以下简称“本项目”）投标，根据本项目磋商文件，供应商参加投标时应向你方交纳投标保证金，且可以投标担保函的形式交纳投标保证金。应供应商的申请，我方以保证的方式向你方提供如下投标保证金担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一、保证责任的情形及保证金额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（一）在供应商出现下列情形之一时，我方承担保证责任：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1．中标后供应商无正当理由不与采购人或者采购代理机构签订《政府采购合同》；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2．磋商文件规定的供应商应当缴纳保证金的其他情形。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），即本项目的投标保证金金额。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二、保证的方式及保证期间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我方保证的方式为：连带责任保证。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个月止。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三、承担保证责任的程序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个工作日内进行审查，符合应承担保证责任情形的，我方应按照你方的要求代供应商向你方支付投标保证金。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四、保证责任的终止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1．保证期间届满你方未向我方书面主张保证责任的，自保证期间届满次日起，我方保证责任自动终止。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2．我方按照本保函向你方履行了保证责任后，自我方向你方支付款项（支付款项从我方账户划出）之日起，保证责任终止。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3．按照法律法规的规定或出现我方保证责任终止的其它情形的，我方在本保函项下的保证责任亦终止。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五、免责条款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1．依照法律规定或你方与供应商的另行约定，全部或者部分免除供应商投标保证金义务时，我方亦免除相应的保证责任。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2．因你方原因致使供应商发生本保函第一条第（一）款约定情形的，我方不承担保证责任。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3．因不可抗力造成供应商发生本保函第一条约定情形的，我方不承担保证责任。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4．你方或其他有权机关对磋商文件进行任何澄清或修改，加重我方保证责任的，我方对加重部分不承担保证责任，但该澄清或修改经我方事先书面同意的除外。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六、争议的解决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法院。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七、保函的生效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本保函自我方加盖公章之日起生效。 </w:t>
      </w:r>
    </w:p>
    <w:p>
      <w:pPr>
        <w:pStyle w:val="18"/>
        <w:snapToGrid w:val="0"/>
        <w:spacing w:line="360" w:lineRule="auto"/>
        <w:ind w:firstLine="5565"/>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保证人：（公章） </w:t>
      </w:r>
    </w:p>
    <w:p>
      <w:pPr>
        <w:pStyle w:val="18"/>
        <w:snapToGrid w:val="0"/>
        <w:spacing w:line="360" w:lineRule="auto"/>
        <w:jc w:val="both"/>
        <w:rPr>
          <w:rFonts w:hint="eastAsia" w:ascii="仿宋" w:hAnsi="仿宋" w:eastAsia="仿宋" w:cs="仿宋"/>
          <w:b/>
          <w:bCs/>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年     月      日</w:t>
      </w:r>
      <w:r>
        <w:rPr>
          <w:rFonts w:hint="eastAsia" w:ascii="仿宋" w:hAnsi="仿宋" w:eastAsia="仿宋" w:cs="仿宋"/>
          <w:color w:val="auto"/>
          <w:sz w:val="28"/>
          <w:szCs w:val="28"/>
          <w:highlight w:val="none"/>
        </w:rPr>
        <w:t xml:space="preserve"> </w:t>
      </w:r>
    </w:p>
    <w:p>
      <w:pPr>
        <w:tabs>
          <w:tab w:val="left" w:pos="1620"/>
          <w:tab w:val="left" w:pos="1800"/>
        </w:tabs>
        <w:spacing w:line="500" w:lineRule="exact"/>
        <w:ind w:firstLine="480" w:firstLineChars="200"/>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8"/>
        <w:snapToGrid w:val="0"/>
        <w:spacing w:line="288" w:lineRule="auto"/>
        <w:jc w:val="both"/>
        <w:outlineLvl w:val="0"/>
        <w:rPr>
          <w:rFonts w:hint="eastAsia" w:ascii="仿宋" w:hAnsi="仿宋" w:eastAsia="仿宋" w:cs="仿宋"/>
          <w:b/>
          <w:color w:val="auto"/>
          <w:sz w:val="32"/>
          <w:szCs w:val="32"/>
          <w:highlight w:val="none"/>
        </w:rPr>
      </w:pPr>
      <w:bookmarkStart w:id="142" w:name="_Toc25423"/>
      <w:bookmarkStart w:id="143" w:name="_Toc12353"/>
      <w:r>
        <w:rPr>
          <w:rFonts w:hint="eastAsia" w:ascii="仿宋" w:hAnsi="仿宋" w:eastAsia="仿宋" w:cs="仿宋"/>
          <w:b/>
          <w:color w:val="auto"/>
          <w:sz w:val="32"/>
          <w:szCs w:val="32"/>
          <w:highlight w:val="none"/>
        </w:rPr>
        <w:t>附件三：</w:t>
      </w:r>
      <w:bookmarkEnd w:id="142"/>
      <w:bookmarkEnd w:id="143"/>
      <w:r>
        <w:rPr>
          <w:rFonts w:hint="eastAsia" w:ascii="仿宋" w:hAnsi="仿宋" w:eastAsia="仿宋" w:cs="仿宋"/>
          <w:b/>
          <w:color w:val="auto"/>
          <w:sz w:val="32"/>
          <w:szCs w:val="32"/>
          <w:highlight w:val="none"/>
        </w:rPr>
        <w:t xml:space="preserve"> </w:t>
      </w:r>
    </w:p>
    <w:p>
      <w:pPr>
        <w:pStyle w:val="18"/>
        <w:snapToGrid w:val="0"/>
        <w:spacing w:line="288"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政府采购履约担保函（项目用）</w:t>
      </w:r>
      <w:r>
        <w:rPr>
          <w:rFonts w:hint="eastAsia" w:ascii="仿宋" w:hAnsi="仿宋" w:eastAsia="仿宋" w:cs="仿宋"/>
          <w:b/>
          <w:color w:val="auto"/>
          <w:sz w:val="32"/>
          <w:szCs w:val="32"/>
          <w:highlight w:val="none"/>
        </w:rPr>
        <w:t xml:space="preserve"> </w:t>
      </w:r>
      <w:r>
        <w:rPr>
          <w:rFonts w:hint="eastAsia" w:ascii="仿宋" w:hAnsi="仿宋" w:eastAsia="仿宋" w:cs="仿宋"/>
          <w:color w:val="auto"/>
          <w:sz w:val="32"/>
          <w:szCs w:val="32"/>
          <w:highlight w:val="none"/>
        </w:rPr>
        <w:t>         编号：</w:t>
      </w:r>
    </w:p>
    <w:p>
      <w:pPr>
        <w:pStyle w:val="18"/>
        <w:snapToGrid w:val="0"/>
        <w:spacing w:before="0" w:beforeAutospacing="0" w:after="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（采购人）：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鉴于你方与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日签定编号为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采购合同》（以下简称主合同），且依据该合同的约定，供应商应在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日前向你方交纳履约保证金，且可以履约担保函的形式交纳履约保证金。应供应商的申请，我方以保证的方式向你方提供如下履约保证金担保：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一、保证责任的情形及保证金额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1．将中标项目转让给他人，或者在投标文件中未说明，且未经采购招标机构人同意，将中标项目分包给他人的；</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2．主合同约定的应当缴纳履约保证金的情形：</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（1）未按主合同约定的质量、数量和期限供应货物/提供服务/完成工程的；</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（二）我方的保证范围是主合同约定的合同价款总额的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%数额为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），币种为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。（即主合同履约保证金金额）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二、保证的方式及保证期间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我方保证的方式为：连带责任保证。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我方保证的期间为：自本合同生效之日起至供应商按照主合同约定的</w:t>
      </w:r>
      <w:r>
        <w:rPr>
          <w:rFonts w:hint="eastAsia" w:ascii="仿宋" w:hAnsi="仿宋" w:eastAsia="仿宋" w:cs="仿宋"/>
          <w:color w:val="auto"/>
          <w:highlight w:val="none"/>
          <w:lang w:eastAsia="zh-CN"/>
        </w:rPr>
        <w:t>服务期</w:t>
      </w:r>
      <w:r>
        <w:rPr>
          <w:rFonts w:hint="eastAsia" w:ascii="仿宋" w:hAnsi="仿宋" w:eastAsia="仿宋" w:cs="仿宋"/>
          <w:color w:val="auto"/>
          <w:highlight w:val="none"/>
        </w:rPr>
        <w:t>限届满后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如果供应商未按主合同约定向贵方供应货物/提供服务/完成工程的，由我方在保证金额内向你方支付上述款项。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如果你方与供应商因货物质量问题产生争议，你方还需同时提供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部门出具的质量检测报告，或经诉讼（仲裁）程序裁决后的裁决书、调解书，本保证人即按照检测结果或裁决书、调解书决定是否承担保证责任。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 我方收到你方的书面索赔通知及相应证明材料，在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工作日内进行核定后按照本保函的承诺承担保证责任。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四、保证责任的终止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2．我方按照本保函向你方履行了保证责任后，自我方向你方支付款项（支付款项从我方账户划出）之日起，保证责任即终止。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3．按照法律法规的规定或出现应终止我方保证责任的其它情形的，我方在本保函项下的保证责任亦终止。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五、免责条款 </w:t>
      </w:r>
    </w:p>
    <w:p>
      <w:pPr>
        <w:tabs>
          <w:tab w:val="left" w:pos="1620"/>
          <w:tab w:val="left" w:pos="1800"/>
        </w:tabs>
        <w:spacing w:line="360" w:lineRule="auto"/>
        <w:ind w:right="540" w:righ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1．因你方违反主合同约定致使供应商不能履行义务的，我方不承担保证责任。</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2．依照法律法规的规定或你方与供应商的另行约定，全部或者部分免除供应商应缴纳的保证金义务的，我方亦免除相应的保证责任。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3. 因不可抗力造成供应商不能履行供货义务的，我方不承担保证责任。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六、争议的解决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法院。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七、保函的生效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本保函自我方加盖公章之日起生效。 </w:t>
      </w: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p>
    <w:p>
      <w:pPr>
        <w:pStyle w:val="18"/>
        <w:snapToGrid w:val="0"/>
        <w:spacing w:before="0" w:beforeAutospacing="0" w:after="0" w:afterAutospacing="0"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保证人：（公章）                         年     月      日</w:t>
      </w:r>
    </w:p>
    <w:p>
      <w:pPr>
        <w:pStyle w:val="13"/>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autoSpaceDE w:val="0"/>
        <w:autoSpaceDN w:val="0"/>
        <w:adjustRightInd w:val="0"/>
        <w:spacing w:before="100" w:after="100" w:line="360" w:lineRule="auto"/>
        <w:outlineLvl w:val="0"/>
        <w:rPr>
          <w:rFonts w:hint="eastAsia" w:ascii="仿宋" w:hAnsi="仿宋" w:eastAsia="仿宋" w:cs="仿宋"/>
          <w:b/>
          <w:bCs/>
          <w:color w:val="auto"/>
          <w:kern w:val="0"/>
          <w:sz w:val="32"/>
          <w:szCs w:val="32"/>
          <w:highlight w:val="none"/>
          <w:lang w:val="zh-CN"/>
        </w:rPr>
      </w:pPr>
      <w:bookmarkStart w:id="144" w:name="_Toc4905"/>
      <w:bookmarkStart w:id="145" w:name="_Toc30952"/>
      <w:r>
        <w:rPr>
          <w:rFonts w:hint="eastAsia" w:ascii="仿宋" w:hAnsi="仿宋" w:eastAsia="仿宋" w:cs="仿宋"/>
          <w:b/>
          <w:bCs/>
          <w:color w:val="auto"/>
          <w:kern w:val="0"/>
          <w:sz w:val="32"/>
          <w:szCs w:val="32"/>
          <w:highlight w:val="none"/>
          <w:lang w:val="zh-CN"/>
        </w:rPr>
        <w:t>附件四：</w:t>
      </w:r>
      <w:bookmarkEnd w:id="144"/>
      <w:bookmarkEnd w:id="145"/>
    </w:p>
    <w:p>
      <w:pPr>
        <w:autoSpaceDE w:val="0"/>
        <w:autoSpaceDN w:val="0"/>
        <w:adjustRightInd w:val="0"/>
        <w:spacing w:before="100" w:after="100"/>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声明书</w:t>
      </w:r>
    </w:p>
    <w:p>
      <w:pPr>
        <w:autoSpaceDE w:val="0"/>
        <w:autoSpaceDN w:val="0"/>
        <w:adjustRightInd w:val="0"/>
        <w:spacing w:line="5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致：采购人</w:t>
      </w:r>
    </w:p>
    <w:p>
      <w:pPr>
        <w:autoSpaceDE w:val="0"/>
        <w:autoSpaceDN w:val="0"/>
        <w:adjustRightInd w:val="0"/>
        <w:spacing w:line="5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我公司</w:t>
      </w:r>
      <w:r>
        <w:rPr>
          <w:rFonts w:hint="eastAsia" w:ascii="仿宋" w:hAnsi="仿宋" w:eastAsia="仿宋" w:cs="仿宋"/>
          <w:color w:val="auto"/>
          <w:sz w:val="24"/>
          <w:szCs w:val="24"/>
          <w:highlight w:val="none"/>
          <w:u w:val="single"/>
          <w:lang w:val="zh-CN"/>
        </w:rPr>
        <w:t xml:space="preserve">  （供应商名称） </w:t>
      </w:r>
      <w:r>
        <w:rPr>
          <w:rFonts w:hint="eastAsia" w:ascii="仿宋" w:hAnsi="仿宋" w:eastAsia="仿宋" w:cs="仿宋"/>
          <w:color w:val="auto"/>
          <w:sz w:val="24"/>
          <w:szCs w:val="24"/>
          <w:highlight w:val="none"/>
          <w:lang w:val="zh-CN"/>
        </w:rPr>
        <w:t>，就参加</w:t>
      </w:r>
      <w:r>
        <w:rPr>
          <w:rFonts w:hint="eastAsia" w:ascii="仿宋" w:hAnsi="仿宋" w:eastAsia="仿宋" w:cs="仿宋"/>
          <w:color w:val="auto"/>
          <w:sz w:val="24"/>
          <w:szCs w:val="24"/>
          <w:highlight w:val="none"/>
          <w:u w:val="single"/>
          <w:lang w:val="zh-CN"/>
        </w:rPr>
        <w:t xml:space="preserve">  （采购项目名称）  </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）投标事宜，在此郑重声明：</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1、我公司所提交的投标文件全部真实有效；</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2、我公司近3年来无因安全事故、质量事故、投标违规等不良记录被政府有关部门处罚期内的情形存在；</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3、我公司近3年来无违规违法经营受到责令停产（或停止经营）、吊销生产许可证（或经营许可证）、较大数额罚款等行政处罚的情形存在；</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4、我公司无企业财产被查封、冻结或处于破产状态或严重亏损状态等情形存在；</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5、我公司承诺在投标过程中，保证不与其他单位围标、串标，不出让投标资格，不采取不正当手段诋毁、排挤其他供应商，不向采购代理机构、评审委员会成员行贿。</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以上声明若违反，一经查实，本公司愿意接受政府有关部门的相应处罚，并愿意承担由此带来的法律后果。</w:t>
      </w:r>
    </w:p>
    <w:p>
      <w:pPr>
        <w:autoSpaceDE w:val="0"/>
        <w:autoSpaceDN w:val="0"/>
        <w:adjustRightInd w:val="0"/>
        <w:spacing w:line="500" w:lineRule="exact"/>
        <w:ind w:firstLine="486"/>
        <w:rPr>
          <w:rFonts w:hint="eastAsia" w:ascii="仿宋" w:hAnsi="仿宋" w:eastAsia="仿宋" w:cs="仿宋"/>
          <w:color w:val="auto"/>
          <w:sz w:val="24"/>
          <w:szCs w:val="24"/>
          <w:highlight w:val="none"/>
          <w:lang w:val="zh-CN"/>
        </w:rPr>
      </w:pPr>
    </w:p>
    <w:p>
      <w:pPr>
        <w:autoSpaceDE w:val="0"/>
        <w:autoSpaceDN w:val="0"/>
        <w:adjustRightInd w:val="0"/>
        <w:spacing w:line="500" w:lineRule="exact"/>
        <w:ind w:firstLine="37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特此声明！</w:t>
      </w:r>
    </w:p>
    <w:p>
      <w:pPr>
        <w:pStyle w:val="2"/>
        <w:rPr>
          <w:rFonts w:hint="eastAsia" w:ascii="仿宋" w:hAnsi="仿宋" w:eastAsia="仿宋" w:cs="仿宋"/>
          <w:color w:val="auto"/>
          <w:sz w:val="24"/>
          <w:szCs w:val="24"/>
          <w:highlight w:val="none"/>
          <w:lang w:val="zh-CN"/>
        </w:rPr>
      </w:pPr>
    </w:p>
    <w:p>
      <w:pPr>
        <w:rPr>
          <w:rFonts w:hint="eastAsia" w:ascii="仿宋" w:hAnsi="仿宋" w:eastAsia="仿宋" w:cs="仿宋"/>
          <w:color w:val="auto"/>
          <w:highlight w:val="none"/>
          <w:lang w:val="zh-CN"/>
        </w:rPr>
      </w:pPr>
    </w:p>
    <w:p>
      <w:pPr>
        <w:rPr>
          <w:rFonts w:hint="eastAsia" w:ascii="仿宋" w:hAnsi="仿宋" w:eastAsia="仿宋" w:cs="仿宋"/>
          <w:color w:val="auto"/>
          <w:sz w:val="24"/>
          <w:szCs w:val="24"/>
          <w:highlight w:val="none"/>
          <w:lang w:val="zh-CN"/>
        </w:rPr>
      </w:pPr>
    </w:p>
    <w:p>
      <w:pPr>
        <w:autoSpaceDE w:val="0"/>
        <w:autoSpaceDN w:val="0"/>
        <w:adjustRightInd w:val="0"/>
        <w:spacing w:line="360" w:lineRule="auto"/>
        <w:ind w:firstLine="2582" w:firstLineChars="1076"/>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声  明  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（供应商名称、公章）</w:t>
      </w:r>
    </w:p>
    <w:p>
      <w:pPr>
        <w:autoSpaceDE w:val="0"/>
        <w:autoSpaceDN w:val="0"/>
        <w:adjustRightInd w:val="0"/>
        <w:spacing w:line="360" w:lineRule="auto"/>
        <w:ind w:firstLine="2582" w:firstLineChars="107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w:t>
      </w:r>
      <w:r>
        <w:rPr>
          <w:rFonts w:hint="eastAsia" w:ascii="仿宋" w:hAnsi="仿宋" w:eastAsia="仿宋" w:cs="仿宋"/>
          <w:color w:val="auto"/>
          <w:sz w:val="24"/>
          <w:szCs w:val="24"/>
          <w:highlight w:val="none"/>
          <w:u w:val="single"/>
          <w:lang w:val="zh-CN"/>
        </w:rPr>
        <w:t xml:space="preserve">           （签字或盖章）</w:t>
      </w:r>
    </w:p>
    <w:p>
      <w:pPr>
        <w:autoSpaceDE w:val="0"/>
        <w:autoSpaceDN w:val="0"/>
        <w:adjustRightInd w:val="0"/>
        <w:spacing w:line="360" w:lineRule="auto"/>
        <w:ind w:firstLine="2582" w:firstLineChars="1076"/>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sz w:val="24"/>
          <w:szCs w:val="24"/>
          <w:highlight w:val="none"/>
          <w:lang w:val="zh-CN"/>
        </w:rPr>
        <w:t>日      期</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p>
    <w:p>
      <w:pPr>
        <w:autoSpaceDE w:val="0"/>
        <w:autoSpaceDN w:val="0"/>
        <w:adjustRightInd w:val="0"/>
        <w:spacing w:line="500" w:lineRule="exact"/>
        <w:ind w:firstLine="479"/>
        <w:rPr>
          <w:rFonts w:hint="eastAsia" w:ascii="仿宋" w:hAnsi="仿宋" w:eastAsia="仿宋" w:cs="仿宋"/>
          <w:color w:val="auto"/>
          <w:kern w:val="0"/>
          <w:sz w:val="24"/>
          <w:szCs w:val="24"/>
          <w:highlight w:val="none"/>
          <w:u w:val="singl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autoSpaceDE w:val="0"/>
        <w:autoSpaceDN w:val="0"/>
        <w:adjustRightInd w:val="0"/>
        <w:spacing w:before="100" w:after="100"/>
        <w:outlineLvl w:val="0"/>
        <w:rPr>
          <w:rFonts w:hint="eastAsia" w:ascii="仿宋" w:hAnsi="仿宋" w:eastAsia="仿宋" w:cs="仿宋"/>
          <w:b/>
          <w:bCs/>
          <w:color w:val="auto"/>
          <w:kern w:val="0"/>
          <w:sz w:val="32"/>
          <w:szCs w:val="32"/>
          <w:highlight w:val="none"/>
          <w:lang w:val="zh-CN"/>
        </w:rPr>
      </w:pPr>
      <w:bookmarkStart w:id="146" w:name="_Toc13945"/>
      <w:bookmarkStart w:id="147" w:name="_Toc27118"/>
      <w:r>
        <w:rPr>
          <w:rFonts w:hint="eastAsia" w:ascii="仿宋" w:hAnsi="仿宋" w:eastAsia="仿宋" w:cs="仿宋"/>
          <w:b/>
          <w:bCs/>
          <w:color w:val="auto"/>
          <w:kern w:val="0"/>
          <w:sz w:val="32"/>
          <w:szCs w:val="32"/>
          <w:highlight w:val="none"/>
          <w:lang w:val="zh-CN"/>
        </w:rPr>
        <w:t>附件五、《拒绝政府采购领域商业贿赂承诺书》（格式）</w:t>
      </w:r>
      <w:bookmarkEnd w:id="146"/>
      <w:bookmarkEnd w:id="147"/>
    </w:p>
    <w:p>
      <w:pPr>
        <w:autoSpaceDE w:val="0"/>
        <w:autoSpaceDN w:val="0"/>
        <w:adjustRightInd w:val="0"/>
        <w:spacing w:before="100" w:after="100"/>
        <w:ind w:firstLine="2891"/>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陕西省政府采购供应商</w:t>
      </w:r>
    </w:p>
    <w:p>
      <w:pPr>
        <w:autoSpaceDE w:val="0"/>
        <w:autoSpaceDN w:val="0"/>
        <w:adjustRightInd w:val="0"/>
        <w:spacing w:before="100" w:after="100"/>
        <w:jc w:val="center"/>
        <w:rPr>
          <w:rFonts w:hint="eastAsia" w:ascii="仿宋" w:hAnsi="仿宋" w:eastAsia="仿宋" w:cs="仿宋"/>
          <w:color w:val="auto"/>
          <w:kern w:val="0"/>
          <w:sz w:val="2"/>
          <w:szCs w:val="2"/>
          <w:highlight w:val="none"/>
          <w:lang w:val="zh-CN"/>
        </w:rPr>
      </w:pPr>
      <w:r>
        <w:rPr>
          <w:rFonts w:hint="eastAsia" w:ascii="仿宋" w:hAnsi="仿宋" w:eastAsia="仿宋" w:cs="仿宋"/>
          <w:b/>
          <w:bCs/>
          <w:color w:val="auto"/>
          <w:kern w:val="0"/>
          <w:sz w:val="32"/>
          <w:szCs w:val="32"/>
          <w:highlight w:val="none"/>
          <w:lang w:val="zh-CN"/>
        </w:rPr>
        <w:t>拒绝政府采购领域商业贿赂承诺书</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为响应党中央、国务院关于治理政府采购领域商业贿赂行为的号召，我单位在此庄严承诺：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1、在参与政府采购活动中遵纪守法、诚信经营、公平竞标。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2、不向采购人、采购代理机构和政府采购评审专家进行任何形式的商业贿赂以谋取交易机会。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3、不向政府采购代理机构和采购人提供虚假资质文件或采用虚假应标方式参与政府采购市场竞争并谋取中标、成交。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4、不采取“围标、陪标”等商业欺诈手段获得政府采购定单。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5、不采取不正当手段低毁、排挤其他供应商。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6、不在提供商品和服务时“偷梁换柱、以次充好”损害采购人的合法权益。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 xml:space="preserve">不与采购人、采购代理机构、政府采购评审专家或其它供应商恶意串通，进行质疑和投诉，维护政府采购市场秩序。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8、尊重和接受政府采购监督管理部门的监督和政府采购代理机构采购要求，承担因违约行为给采购人造成的损失。 </w:t>
      </w:r>
    </w:p>
    <w:p>
      <w:pPr>
        <w:numPr>
          <w:ilvl w:val="0"/>
          <w:numId w:val="0"/>
        </w:numPr>
        <w:autoSpaceDE w:val="0"/>
        <w:autoSpaceDN w:val="0"/>
        <w:adjustRightInd w:val="0"/>
        <w:spacing w:line="360" w:lineRule="auto"/>
        <w:ind w:left="420" w:left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9、不发生其他有悖于政府采购公开、公平、公正和诚信原则的行为。 </w:t>
      </w:r>
    </w:p>
    <w:p>
      <w:pPr>
        <w:numPr>
          <w:ilvl w:val="0"/>
          <w:numId w:val="0"/>
        </w:numPr>
        <w:autoSpaceDE w:val="0"/>
        <w:autoSpaceDN w:val="0"/>
        <w:adjustRightInd w:val="0"/>
        <w:spacing w:line="360" w:lineRule="auto"/>
        <w:ind w:left="420" w:left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p>
    <w:p>
      <w:pPr>
        <w:pStyle w:val="13"/>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sz w:val="24"/>
          <w:szCs w:val="24"/>
          <w:highlight w:val="none"/>
          <w:lang w:val="zh-CN"/>
        </w:rPr>
      </w:pPr>
    </w:p>
    <w:p>
      <w:pPr>
        <w:autoSpaceDE w:val="0"/>
        <w:autoSpaceDN w:val="0"/>
        <w:adjustRightInd w:val="0"/>
        <w:spacing w:line="360" w:lineRule="auto"/>
        <w:ind w:left="3152" w:leftChars="1501"/>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承诺单位：</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（盖章）</w:t>
      </w:r>
    </w:p>
    <w:p>
      <w:pPr>
        <w:autoSpaceDE w:val="0"/>
        <w:autoSpaceDN w:val="0"/>
        <w:adjustRightInd w:val="0"/>
        <w:spacing w:line="360" w:lineRule="auto"/>
        <w:ind w:left="3152" w:leftChars="1501"/>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全权代表：</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（签字或盖章）</w:t>
      </w:r>
    </w:p>
    <w:p>
      <w:pPr>
        <w:autoSpaceDE w:val="0"/>
        <w:autoSpaceDN w:val="0"/>
        <w:adjustRightInd w:val="0"/>
        <w:spacing w:line="360" w:lineRule="auto"/>
        <w:ind w:firstLine="3120" w:firstLineChars="130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地　　址：</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p>
    <w:p>
      <w:pPr>
        <w:autoSpaceDE w:val="0"/>
        <w:autoSpaceDN w:val="0"/>
        <w:adjustRightInd w:val="0"/>
        <w:spacing w:line="360" w:lineRule="auto"/>
        <w:ind w:left="3152" w:leftChars="1501"/>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邮    编：</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p>
    <w:p>
      <w:pPr>
        <w:autoSpaceDE w:val="0"/>
        <w:autoSpaceDN w:val="0"/>
        <w:adjustRightInd w:val="0"/>
        <w:spacing w:line="360" w:lineRule="auto"/>
        <w:ind w:left="3152" w:leftChars="1501"/>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电　　话：</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p>
    <w:p>
      <w:pPr>
        <w:tabs>
          <w:tab w:val="left" w:pos="7839"/>
        </w:tabs>
        <w:spacing w:line="360" w:lineRule="auto"/>
        <w:ind w:firstLine="3120" w:firstLine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u w:val="single"/>
        </w:rPr>
        <w:t xml:space="preserve">                                 </w:t>
      </w:r>
    </w:p>
    <w:p>
      <w:pPr>
        <w:autoSpaceDE w:val="0"/>
        <w:autoSpaceDN w:val="0"/>
        <w:adjustRightInd w:val="0"/>
        <w:spacing w:before="100" w:after="100"/>
        <w:rPr>
          <w:rFonts w:hint="eastAsia" w:ascii="仿宋" w:hAnsi="仿宋" w:eastAsia="仿宋" w:cs="仿宋"/>
          <w:b/>
          <w:bCs/>
          <w:color w:val="auto"/>
          <w:kern w:val="0"/>
          <w:sz w:val="32"/>
          <w:szCs w:val="22"/>
          <w:highlight w:val="none"/>
          <w:lang w:val="zh-CN"/>
        </w:rPr>
      </w:pPr>
    </w:p>
    <w:p>
      <w:pPr>
        <w:autoSpaceDE w:val="0"/>
        <w:autoSpaceDN w:val="0"/>
        <w:adjustRightInd w:val="0"/>
        <w:spacing w:before="100" w:after="100"/>
        <w:outlineLvl w:val="0"/>
        <w:rPr>
          <w:rFonts w:hint="eastAsia" w:ascii="仿宋" w:hAnsi="仿宋" w:eastAsia="仿宋" w:cs="仿宋"/>
          <w:b/>
          <w:bCs/>
          <w:color w:val="auto"/>
          <w:kern w:val="0"/>
          <w:sz w:val="32"/>
          <w:szCs w:val="22"/>
          <w:highlight w:val="none"/>
          <w:lang w:val="zh-CN"/>
        </w:rPr>
      </w:pPr>
      <w:bookmarkStart w:id="148" w:name="_Toc29467"/>
      <w:bookmarkStart w:id="149" w:name="_Toc8164"/>
      <w:r>
        <w:rPr>
          <w:rFonts w:hint="eastAsia" w:ascii="仿宋" w:hAnsi="仿宋" w:eastAsia="仿宋" w:cs="仿宋"/>
          <w:b/>
          <w:bCs/>
          <w:color w:val="auto"/>
          <w:kern w:val="0"/>
          <w:sz w:val="32"/>
          <w:szCs w:val="22"/>
          <w:highlight w:val="none"/>
          <w:lang w:val="zh-CN"/>
        </w:rPr>
        <w:t>附件六、《中小企业声明函》</w:t>
      </w:r>
      <w:bookmarkEnd w:id="148"/>
      <w:bookmarkEnd w:id="149"/>
    </w:p>
    <w:p>
      <w:pPr>
        <w:autoSpaceDE w:val="0"/>
        <w:autoSpaceDN w:val="0"/>
        <w:adjustRightInd w:val="0"/>
        <w:spacing w:before="100" w:after="100"/>
        <w:jc w:val="center"/>
        <w:outlineLvl w:val="0"/>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中小企业声明函（工程、服务）</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本公司郑重声明，根据《政府采购促进中小企业发展管理办法》（财库﹝2020﹞46 号）的规定，本公司参加</w:t>
      </w:r>
      <w:r>
        <w:rPr>
          <w:rFonts w:hint="eastAsia" w:ascii="仿宋" w:hAnsi="仿宋" w:eastAsia="仿宋" w:cs="仿宋"/>
          <w:color w:val="auto"/>
          <w:sz w:val="24"/>
          <w:szCs w:val="24"/>
          <w:highlight w:val="none"/>
          <w:u w:val="single"/>
          <w:lang w:val="zh-CN"/>
        </w:rPr>
        <w:t>（单位名称）</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u w:val="single"/>
          <w:lang w:val="zh-CN"/>
        </w:rPr>
        <w:t>（项目名称）</w:t>
      </w:r>
      <w:r>
        <w:rPr>
          <w:rFonts w:hint="eastAsia" w:ascii="仿宋" w:hAnsi="仿宋" w:eastAsia="仿宋" w:cs="仿宋"/>
          <w:color w:val="auto"/>
          <w:sz w:val="24"/>
          <w:szCs w:val="24"/>
          <w:highlight w:val="none"/>
          <w:lang w:val="zh-CN"/>
        </w:rPr>
        <w:t>采购活动，工程的施工单位全部为符合政策要求的中小企业（或者：服务全部由符合政策要求的中小企业承接）。相关企业的具体情况如下：</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；承建（承接）企业为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；承建（承接）企业为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以上企业，不属于大企业的分支机构，不存在控股股东为大企业的情形，也不存在与大企业的负责人为同一人的情形。</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本企业对上述声明内容的真实性负责。如有虚假，将依法承担相应责任。</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p>
    <w:p>
      <w:pPr>
        <w:autoSpaceDE w:val="0"/>
        <w:autoSpaceDN w:val="0"/>
        <w:adjustRightInd w:val="0"/>
        <w:spacing w:line="360" w:lineRule="auto"/>
        <w:ind w:firstLine="3861" w:firstLineChars="160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企业名称（盖章）：</w:t>
      </w:r>
    </w:p>
    <w:p>
      <w:pPr>
        <w:autoSpaceDE w:val="0"/>
        <w:autoSpaceDN w:val="0"/>
        <w:adjustRightInd w:val="0"/>
        <w:spacing w:line="360" w:lineRule="auto"/>
        <w:ind w:firstLine="3861" w:firstLineChars="160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 期：</w:t>
      </w:r>
    </w:p>
    <w:p>
      <w:pPr>
        <w:numPr>
          <w:ilvl w:val="0"/>
          <w:numId w:val="0"/>
        </w:numPr>
        <w:autoSpaceDE w:val="0"/>
        <w:autoSpaceDN w:val="0"/>
        <w:adjustRightInd w:val="0"/>
        <w:spacing w:line="500" w:lineRule="exact"/>
        <w:rPr>
          <w:rFonts w:hint="eastAsia" w:ascii="仿宋" w:hAnsi="仿宋" w:eastAsia="仿宋" w:cs="仿宋"/>
          <w:color w:val="auto"/>
          <w:sz w:val="22"/>
          <w:szCs w:val="22"/>
          <w:highlight w:val="none"/>
          <w:lang w:val="zh-CN"/>
        </w:rPr>
      </w:pP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注：从业人员、营业收入、资产总额填报上一年度数据，无上一年度数据的新成立企业可不填报。</w:t>
      </w:r>
    </w:p>
    <w:p>
      <w:pPr>
        <w:numPr>
          <w:ilvl w:val="0"/>
          <w:numId w:val="0"/>
        </w:numPr>
        <w:autoSpaceDE w:val="0"/>
        <w:autoSpaceDN w:val="0"/>
        <w:adjustRightInd w:val="0"/>
        <w:spacing w:line="500" w:lineRule="exact"/>
        <w:rPr>
          <w:rFonts w:hint="eastAsia" w:ascii="仿宋" w:hAnsi="仿宋" w:eastAsia="仿宋" w:cs="仿宋"/>
          <w:color w:val="auto"/>
          <w:sz w:val="22"/>
          <w:szCs w:val="22"/>
          <w:highlight w:val="none"/>
          <w:lang w:val="zh-CN"/>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rPr>
          <w:rFonts w:hint="eastAsia" w:ascii="仿宋" w:hAnsi="仿宋" w:eastAsia="仿宋" w:cs="仿宋"/>
          <w:b/>
          <w:bCs/>
          <w:color w:val="auto"/>
          <w:kern w:val="0"/>
          <w:sz w:val="32"/>
          <w:szCs w:val="22"/>
          <w:highlight w:val="none"/>
          <w:lang w:val="zh-CN"/>
        </w:rPr>
      </w:pPr>
      <w:bookmarkStart w:id="150" w:name="_Toc835"/>
      <w:r>
        <w:rPr>
          <w:rFonts w:hint="eastAsia" w:ascii="仿宋" w:hAnsi="仿宋" w:eastAsia="仿宋" w:cs="仿宋"/>
          <w:b/>
          <w:bCs/>
          <w:color w:val="auto"/>
          <w:kern w:val="0"/>
          <w:sz w:val="32"/>
          <w:szCs w:val="22"/>
          <w:highlight w:val="none"/>
          <w:lang w:val="zh-CN"/>
        </w:rPr>
        <w:br w:type="page"/>
      </w:r>
    </w:p>
    <w:p>
      <w:pPr>
        <w:autoSpaceDE w:val="0"/>
        <w:autoSpaceDN w:val="0"/>
        <w:adjustRightInd w:val="0"/>
        <w:spacing w:before="100" w:after="100"/>
        <w:outlineLvl w:val="0"/>
        <w:rPr>
          <w:rFonts w:hint="eastAsia" w:ascii="仿宋" w:hAnsi="仿宋" w:eastAsia="仿宋" w:cs="仿宋"/>
          <w:b/>
          <w:bCs/>
          <w:color w:val="auto"/>
          <w:kern w:val="0"/>
          <w:sz w:val="32"/>
          <w:szCs w:val="22"/>
          <w:highlight w:val="none"/>
          <w:lang w:val="zh-CN"/>
        </w:rPr>
      </w:pPr>
      <w:bookmarkStart w:id="151" w:name="_Toc11722"/>
      <w:r>
        <w:rPr>
          <w:rFonts w:hint="eastAsia" w:ascii="仿宋" w:hAnsi="仿宋" w:eastAsia="仿宋" w:cs="仿宋"/>
          <w:b/>
          <w:bCs/>
          <w:color w:val="auto"/>
          <w:kern w:val="0"/>
          <w:sz w:val="32"/>
          <w:szCs w:val="22"/>
          <w:highlight w:val="none"/>
          <w:lang w:val="zh-CN"/>
        </w:rPr>
        <w:t>附件七、《残疾人福利性单位声明函》</w:t>
      </w:r>
      <w:bookmarkEnd w:id="150"/>
      <w:bookmarkEnd w:id="151"/>
    </w:p>
    <w:p>
      <w:pPr>
        <w:autoSpaceDE w:val="0"/>
        <w:autoSpaceDN w:val="0"/>
        <w:adjustRightInd w:val="0"/>
        <w:spacing w:line="480" w:lineRule="exact"/>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残疾人福利性单位声明函</w:t>
      </w:r>
    </w:p>
    <w:p>
      <w:pPr>
        <w:autoSpaceDE w:val="0"/>
        <w:autoSpaceDN w:val="0"/>
        <w:adjustRightInd w:val="0"/>
        <w:rPr>
          <w:rFonts w:hint="eastAsia" w:ascii="仿宋" w:hAnsi="仿宋" w:eastAsia="仿宋" w:cs="仿宋"/>
          <w:color w:val="auto"/>
          <w:sz w:val="6"/>
          <w:szCs w:val="6"/>
          <w:highlight w:val="none"/>
          <w:lang w:val="zh-CN"/>
        </w:rPr>
      </w:pP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单位的</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本单位对上述声明的真实性负责。如有虚假，将依法承担相应责任。</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p>
    <w:p>
      <w:pPr>
        <w:autoSpaceDE w:val="0"/>
        <w:autoSpaceDN w:val="0"/>
        <w:adjustRightInd w:val="0"/>
        <w:spacing w:line="440" w:lineRule="exact"/>
        <w:ind w:firstLine="440"/>
        <w:rPr>
          <w:rFonts w:hint="eastAsia" w:ascii="仿宋" w:hAnsi="仿宋" w:eastAsia="仿宋" w:cs="仿宋"/>
          <w:color w:val="auto"/>
          <w:sz w:val="24"/>
          <w:szCs w:val="24"/>
          <w:highlight w:val="none"/>
          <w:lang w:val="zh-CN"/>
        </w:rPr>
      </w:pPr>
    </w:p>
    <w:p>
      <w:pPr>
        <w:autoSpaceDE w:val="0"/>
        <w:autoSpaceDN w:val="0"/>
        <w:adjustRightInd w:val="0"/>
        <w:spacing w:line="440" w:lineRule="exact"/>
        <w:ind w:firstLine="440"/>
        <w:rPr>
          <w:rFonts w:hint="eastAsia" w:ascii="仿宋" w:hAnsi="仿宋" w:eastAsia="仿宋" w:cs="仿宋"/>
          <w:color w:val="auto"/>
          <w:sz w:val="24"/>
          <w:szCs w:val="24"/>
          <w:highlight w:val="none"/>
          <w:lang w:val="zh-CN"/>
        </w:rPr>
      </w:pPr>
    </w:p>
    <w:p>
      <w:pPr>
        <w:autoSpaceDE w:val="0"/>
        <w:autoSpaceDN w:val="0"/>
        <w:adjustRightInd w:val="0"/>
        <w:spacing w:line="440" w:lineRule="exact"/>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sz w:val="24"/>
          <w:szCs w:val="24"/>
          <w:highlight w:val="none"/>
          <w:lang w:val="zh-CN"/>
        </w:rPr>
      </w:pPr>
    </w:p>
    <w:p>
      <w:pPr>
        <w:autoSpaceDE w:val="0"/>
        <w:autoSpaceDN w:val="0"/>
        <w:adjustRightInd w:val="0"/>
        <w:spacing w:line="440" w:lineRule="exact"/>
        <w:ind w:firstLine="440"/>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autoSpaceDE w:val="0"/>
        <w:autoSpaceDN w:val="0"/>
        <w:adjustRightInd w:val="0"/>
        <w:spacing w:line="480" w:lineRule="exact"/>
        <w:ind w:firstLine="56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p>
    <w:p>
      <w:pPr>
        <w:autoSpaceDE w:val="0"/>
        <w:autoSpaceDN w:val="0"/>
        <w:adjustRightInd w:val="0"/>
        <w:spacing w:line="360" w:lineRule="auto"/>
        <w:ind w:firstLine="3600" w:firstLineChars="15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供应商名称（公章）：</w:t>
      </w:r>
      <w:r>
        <w:rPr>
          <w:rFonts w:hint="eastAsia" w:ascii="仿宋" w:hAnsi="仿宋" w:eastAsia="仿宋" w:cs="仿宋"/>
          <w:color w:val="auto"/>
          <w:sz w:val="24"/>
          <w:szCs w:val="24"/>
          <w:highlight w:val="none"/>
          <w:u w:val="single"/>
        </w:rPr>
        <w:t xml:space="preserve">                      </w:t>
      </w:r>
    </w:p>
    <w:p>
      <w:pPr>
        <w:pStyle w:val="13"/>
        <w:spacing w:line="360" w:lineRule="auto"/>
        <w:ind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u w:val="single"/>
        </w:rPr>
        <w:t xml:space="preserve">                                 </w:t>
      </w:r>
    </w:p>
    <w:p>
      <w:pPr>
        <w:pStyle w:val="13"/>
        <w:spacing w:line="360" w:lineRule="auto"/>
        <w:rPr>
          <w:rFonts w:hint="eastAsia" w:ascii="仿宋" w:hAnsi="仿宋" w:eastAsia="仿宋" w:cs="仿宋"/>
          <w:color w:val="auto"/>
          <w:sz w:val="24"/>
          <w:szCs w:val="24"/>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13"/>
        <w:rPr>
          <w:rFonts w:hint="eastAsia" w:ascii="仿宋" w:hAnsi="仿宋" w:eastAsia="仿宋" w:cs="仿宋"/>
          <w:color w:val="auto"/>
          <w:sz w:val="28"/>
          <w:szCs w:val="28"/>
          <w:highlight w:val="none"/>
          <w:u w:val="single"/>
        </w:rPr>
      </w:pPr>
    </w:p>
    <w:p>
      <w:pPr>
        <w:pStyle w:val="7"/>
        <w:spacing w:line="240" w:lineRule="auto"/>
        <w:outlineLvl w:val="0"/>
        <w:rPr>
          <w:rFonts w:hint="eastAsia" w:ascii="仿宋" w:hAnsi="仿宋" w:eastAsia="仿宋" w:cs="仿宋"/>
          <w:color w:val="auto"/>
          <w:kern w:val="0"/>
          <w:sz w:val="20"/>
          <w:szCs w:val="15"/>
          <w:highlight w:val="none"/>
          <w:lang w:val="zh-CN"/>
        </w:rPr>
      </w:pPr>
      <w:bookmarkStart w:id="152" w:name="_Toc27958"/>
      <w:bookmarkStart w:id="153" w:name="_Toc31307"/>
      <w:r>
        <w:rPr>
          <w:rFonts w:hint="eastAsia" w:ascii="仿宋" w:hAnsi="仿宋" w:eastAsia="仿宋" w:cs="仿宋"/>
          <w:color w:val="auto"/>
          <w:kern w:val="0"/>
          <w:szCs w:val="22"/>
          <w:highlight w:val="none"/>
          <w:lang w:val="zh-CN"/>
        </w:rPr>
        <w:t>附件八、《供应商企业关系关联承诺书》</w:t>
      </w:r>
      <w:bookmarkEnd w:id="152"/>
      <w:bookmarkEnd w:id="153"/>
    </w:p>
    <w:p>
      <w:pPr>
        <w:jc w:val="center"/>
        <w:outlineLvl w:val="0"/>
        <w:rPr>
          <w:rFonts w:hint="eastAsia" w:ascii="仿宋" w:hAnsi="仿宋" w:eastAsia="仿宋" w:cs="仿宋"/>
          <w:color w:val="auto"/>
          <w:sz w:val="11"/>
          <w:szCs w:val="10"/>
          <w:highlight w:val="none"/>
        </w:rPr>
      </w:pPr>
      <w:bookmarkStart w:id="154" w:name="_Toc23131"/>
      <w:bookmarkStart w:id="155" w:name="_Toc24972"/>
      <w:r>
        <w:rPr>
          <w:rFonts w:hint="eastAsia" w:ascii="仿宋" w:hAnsi="仿宋" w:eastAsia="仿宋" w:cs="仿宋"/>
          <w:b/>
          <w:bCs/>
          <w:color w:val="auto"/>
          <w:kern w:val="0"/>
          <w:sz w:val="32"/>
          <w:szCs w:val="22"/>
          <w:highlight w:val="none"/>
          <w:lang w:val="zh-CN"/>
        </w:rPr>
        <w:t>供应商企业关系关联承诺书</w:t>
      </w:r>
      <w:bookmarkEnd w:id="154"/>
      <w:bookmarkEnd w:id="155"/>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供应商股东及股权证明。</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供应商在本项目投标中，不存在与其它供应商负责人为同一人，有控股、管理等关联关系承诺。</w:t>
      </w:r>
    </w:p>
    <w:p>
      <w:pPr>
        <w:autoSpaceDE w:val="0"/>
        <w:autoSpaceDN w:val="0"/>
        <w:adjustRightInd w:val="0"/>
        <w:spacing w:line="360" w:lineRule="auto"/>
        <w:ind w:firstLine="440"/>
        <w:outlineLvl w:val="0"/>
        <w:rPr>
          <w:rFonts w:hint="eastAsia" w:ascii="仿宋" w:hAnsi="仿宋" w:eastAsia="仿宋" w:cs="仿宋"/>
          <w:color w:val="auto"/>
          <w:sz w:val="24"/>
          <w:szCs w:val="24"/>
          <w:highlight w:val="none"/>
          <w:lang w:val="zh-CN"/>
        </w:rPr>
      </w:pPr>
      <w:bookmarkStart w:id="156" w:name="_Toc15910"/>
      <w:r>
        <w:rPr>
          <w:rFonts w:hint="eastAsia" w:ascii="仿宋" w:hAnsi="仿宋" w:eastAsia="仿宋" w:cs="仿宋"/>
          <w:color w:val="auto"/>
          <w:sz w:val="24"/>
          <w:szCs w:val="24"/>
          <w:highlight w:val="none"/>
          <w:lang w:val="zh-CN"/>
        </w:rPr>
        <w:t>2-1、管理关系说明：</w:t>
      </w:r>
      <w:bookmarkEnd w:id="156"/>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我单位管理的具有独立法人的下属单位有：</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我单位的上级管理单位有</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outlineLvl w:val="0"/>
        <w:rPr>
          <w:rFonts w:hint="eastAsia" w:ascii="仿宋" w:hAnsi="仿宋" w:eastAsia="仿宋" w:cs="仿宋"/>
          <w:color w:val="auto"/>
          <w:sz w:val="24"/>
          <w:szCs w:val="24"/>
          <w:highlight w:val="none"/>
          <w:lang w:val="zh-CN"/>
        </w:rPr>
      </w:pPr>
      <w:bookmarkStart w:id="157" w:name="_Toc18227"/>
      <w:r>
        <w:rPr>
          <w:rFonts w:hint="eastAsia" w:ascii="仿宋" w:hAnsi="仿宋" w:eastAsia="仿宋" w:cs="仿宋"/>
          <w:color w:val="auto"/>
          <w:sz w:val="24"/>
          <w:szCs w:val="24"/>
          <w:highlight w:val="none"/>
          <w:lang w:val="zh-CN"/>
        </w:rPr>
        <w:t>2-2、股权关系说明：</w:t>
      </w:r>
      <w:bookmarkEnd w:id="157"/>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我单位控股的单位有</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我单位被</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单位控股。</w:t>
      </w:r>
    </w:p>
    <w:p>
      <w:pPr>
        <w:autoSpaceDE w:val="0"/>
        <w:autoSpaceDN w:val="0"/>
        <w:adjustRightInd w:val="0"/>
        <w:spacing w:line="360" w:lineRule="auto"/>
        <w:ind w:firstLine="440"/>
        <w:outlineLvl w:val="0"/>
        <w:rPr>
          <w:rFonts w:hint="eastAsia" w:ascii="仿宋" w:hAnsi="仿宋" w:eastAsia="仿宋" w:cs="仿宋"/>
          <w:color w:val="auto"/>
          <w:sz w:val="24"/>
          <w:szCs w:val="24"/>
          <w:highlight w:val="none"/>
          <w:u w:val="single"/>
          <w:lang w:val="zh-CN"/>
        </w:rPr>
      </w:pPr>
      <w:bookmarkStart w:id="158" w:name="_Toc3502"/>
      <w:r>
        <w:rPr>
          <w:rFonts w:hint="eastAsia" w:ascii="仿宋" w:hAnsi="仿宋" w:eastAsia="仿宋" w:cs="仿宋"/>
          <w:color w:val="auto"/>
          <w:sz w:val="24"/>
          <w:szCs w:val="24"/>
          <w:highlight w:val="none"/>
          <w:lang w:val="zh-CN"/>
        </w:rPr>
        <w:t>2-3、单位负责人：</w:t>
      </w:r>
      <w:bookmarkEnd w:id="158"/>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u w:val="single"/>
          <w:lang w:val="zh-CN"/>
        </w:rPr>
        <w:t xml:space="preserve">         （是或否）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为采购项目提供整体设计、规范编制或者项目管理、监理、检测等服务的供应商。</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4、其他与本项目有关的利害关系说明：</w:t>
      </w:r>
    </w:p>
    <w:p>
      <w:pPr>
        <w:autoSpaceDE w:val="0"/>
        <w:autoSpaceDN w:val="0"/>
        <w:adjustRightInd w:val="0"/>
        <w:spacing w:line="360" w:lineRule="auto"/>
        <w:ind w:firstLine="44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我单位承诺以上说明真实有效，无虚假内容或隐瞒。</w:t>
      </w: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pStyle w:val="13"/>
        <w:rPr>
          <w:rFonts w:hint="eastAsia" w:ascii="仿宋" w:hAnsi="仿宋" w:eastAsia="仿宋" w:cs="仿宋"/>
          <w:color w:val="auto"/>
          <w:highlight w:val="none"/>
          <w:lang w:val="zh-CN"/>
        </w:rPr>
      </w:pPr>
    </w:p>
    <w:p>
      <w:pPr>
        <w:autoSpaceDE w:val="0"/>
        <w:autoSpaceDN w:val="0"/>
        <w:adjustRightInd w:val="0"/>
        <w:spacing w:line="360" w:lineRule="auto"/>
        <w:ind w:firstLine="3120" w:firstLineChars="13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供应商名称（公章）：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3120" w:firstLineChars="1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u w:val="single"/>
        </w:rPr>
        <w:t xml:space="preserve">                                 </w:t>
      </w:r>
    </w:p>
    <w:p>
      <w:pPr>
        <w:pStyle w:val="13"/>
        <w:rPr>
          <w:rFonts w:hint="eastAsia" w:ascii="仿宋" w:hAnsi="仿宋" w:eastAsia="仿宋" w:cs="仿宋"/>
          <w:color w:val="auto"/>
          <w:sz w:val="28"/>
          <w:szCs w:val="28"/>
          <w:highlight w:val="none"/>
          <w:u w:val="single"/>
        </w:rPr>
      </w:pPr>
    </w:p>
    <w:p>
      <w:pPr>
        <w:rPr>
          <w:rFonts w:hint="eastAsia" w:ascii="仿宋" w:hAnsi="仿宋" w:eastAsia="仿宋" w:cs="仿宋"/>
          <w:color w:val="auto"/>
          <w:highlight w:val="none"/>
        </w:rPr>
      </w:pPr>
    </w:p>
    <w:sectPr>
      <w:pgSz w:w="11906" w:h="16838"/>
      <w:pgMar w:top="1417" w:right="1417" w:bottom="1417" w:left="1301" w:header="907" w:footer="90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eastAsia="zh-CN"/>
      </w:rPr>
    </w:pPr>
    <w:r>
      <w:rPr>
        <w:rFonts w:hint="eastAsia"/>
        <w:lang w:eastAsia="zh-CN"/>
      </w:rPr>
      <w:t>泾清项目管理有限公司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306"/>
      </w:tabs>
      <w:rPr>
        <w:b/>
        <w:bCs/>
        <w:i/>
        <w:i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b/>
                              <w:bCs/>
                              <w:i/>
                              <w:iCs/>
                            </w:rPr>
                          </w:pPr>
                          <w:r>
                            <w:rPr>
                              <w:b/>
                              <w:bCs/>
                              <w:i/>
                              <w:iCs/>
                            </w:rPr>
                            <w:t xml:space="preserve">第 </w:t>
                          </w:r>
                          <w:r>
                            <w:rPr>
                              <w:b/>
                              <w:bCs/>
                              <w:i/>
                              <w:iCs/>
                            </w:rPr>
                            <w:fldChar w:fldCharType="begin"/>
                          </w:r>
                          <w:r>
                            <w:rPr>
                              <w:b/>
                              <w:bCs/>
                              <w:i/>
                              <w:iCs/>
                            </w:rPr>
                            <w:instrText xml:space="preserve"> PAGE  \* MERGEFORMAT </w:instrText>
                          </w:r>
                          <w:r>
                            <w:rPr>
                              <w:b/>
                              <w:bCs/>
                              <w:i/>
                              <w:iCs/>
                            </w:rPr>
                            <w:fldChar w:fldCharType="separate"/>
                          </w:r>
                          <w:r>
                            <w:rPr>
                              <w:b/>
                              <w:bCs/>
                              <w:i/>
                              <w:iCs/>
                            </w:rPr>
                            <w:t>2</w:t>
                          </w:r>
                          <w:r>
                            <w:rPr>
                              <w:b/>
                              <w:bCs/>
                              <w:i/>
                              <w:iCs/>
                            </w:rPr>
                            <w:fldChar w:fldCharType="end"/>
                          </w:r>
                          <w:r>
                            <w:rPr>
                              <w:b/>
                              <w:bCs/>
                              <w:i/>
                              <w:iCs/>
                            </w:rPr>
                            <w:t xml:space="preserve"> 页 共 </w:t>
                          </w:r>
                          <w:r>
                            <w:rPr>
                              <w:rFonts w:hint="eastAsia"/>
                              <w:b/>
                              <w:bCs/>
                              <w:i/>
                              <w:iCs/>
                              <w:lang w:val="en-US" w:eastAsia="zh-CN"/>
                            </w:rPr>
                            <w:t>59</w:t>
                          </w:r>
                          <w:r>
                            <w:rPr>
                              <w:b/>
                              <w:bCs/>
                              <w:i/>
                              <w:i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b/>
                        <w:bCs/>
                        <w:i/>
                        <w:iCs/>
                      </w:rPr>
                    </w:pPr>
                    <w:r>
                      <w:rPr>
                        <w:b/>
                        <w:bCs/>
                        <w:i/>
                        <w:iCs/>
                      </w:rPr>
                      <w:t xml:space="preserve">第 </w:t>
                    </w:r>
                    <w:r>
                      <w:rPr>
                        <w:b/>
                        <w:bCs/>
                        <w:i/>
                        <w:iCs/>
                      </w:rPr>
                      <w:fldChar w:fldCharType="begin"/>
                    </w:r>
                    <w:r>
                      <w:rPr>
                        <w:b/>
                        <w:bCs/>
                        <w:i/>
                        <w:iCs/>
                      </w:rPr>
                      <w:instrText xml:space="preserve"> PAGE  \* MERGEFORMAT </w:instrText>
                    </w:r>
                    <w:r>
                      <w:rPr>
                        <w:b/>
                        <w:bCs/>
                        <w:i/>
                        <w:iCs/>
                      </w:rPr>
                      <w:fldChar w:fldCharType="separate"/>
                    </w:r>
                    <w:r>
                      <w:rPr>
                        <w:b/>
                        <w:bCs/>
                        <w:i/>
                        <w:iCs/>
                      </w:rPr>
                      <w:t>2</w:t>
                    </w:r>
                    <w:r>
                      <w:rPr>
                        <w:b/>
                        <w:bCs/>
                        <w:i/>
                        <w:iCs/>
                      </w:rPr>
                      <w:fldChar w:fldCharType="end"/>
                    </w:r>
                    <w:r>
                      <w:rPr>
                        <w:b/>
                        <w:bCs/>
                        <w:i/>
                        <w:iCs/>
                      </w:rPr>
                      <w:t xml:space="preserve"> 页 共 </w:t>
                    </w:r>
                    <w:r>
                      <w:rPr>
                        <w:rFonts w:hint="eastAsia"/>
                        <w:b/>
                        <w:bCs/>
                        <w:i/>
                        <w:iCs/>
                        <w:lang w:val="en-US" w:eastAsia="zh-CN"/>
                      </w:rPr>
                      <w:t>59</w:t>
                    </w:r>
                    <w:r>
                      <w:rPr>
                        <w:b/>
                        <w:bCs/>
                        <w:i/>
                        <w:iCs/>
                      </w:rPr>
                      <w:t xml:space="preserve"> 页</w:t>
                    </w:r>
                  </w:p>
                </w:txbxContent>
              </v:textbox>
            </v:shape>
          </w:pict>
        </mc:Fallback>
      </mc:AlternateContent>
    </w:r>
    <w:r>
      <w:rPr>
        <w:rFonts w:hint="eastAsia"/>
        <w:b/>
        <w:bCs/>
        <w:i/>
        <w:iCs/>
        <w:u w:val="single"/>
        <w:lang w:eastAsia="zh-CN"/>
      </w:rPr>
      <w:t>泾清项目管理有限公司</w:t>
    </w:r>
    <w:r>
      <w:rPr>
        <w:rFonts w:hint="eastAsia"/>
        <w:b/>
        <w:bCs/>
        <w:i/>
        <w:iCs/>
        <w:u w:val="single"/>
      </w:rPr>
      <w:t xml:space="preserve">                                                          </w:t>
    </w:r>
    <w:r>
      <w:rPr>
        <w:rFonts w:hint="eastAsia"/>
        <w:b/>
        <w:bCs/>
        <w:i/>
        <w:iCs/>
        <w:u w:val="single"/>
        <w:lang w:val="en-US" w:eastAsia="zh-CN"/>
      </w:rPr>
      <w:t xml:space="preserve">                            </w:t>
    </w:r>
    <w:r>
      <w:rPr>
        <w:rFonts w:hint="eastAsia"/>
        <w:b/>
        <w:bCs/>
        <w:i/>
        <w:iCs/>
        <w:u w:val="single"/>
      </w:rPr>
      <w:t xml:space="preserve">   </w:t>
    </w:r>
    <w:r>
      <w:rPr>
        <w:rFonts w:hint="eastAsia"/>
        <w:b/>
        <w:bCs/>
        <w:i w:val="0"/>
        <w:iCs w:val="0"/>
        <w:u w:val="single"/>
      </w:rPr>
      <w:t xml:space="preserve">                </w:t>
    </w:r>
    <w:r>
      <w:rPr>
        <w:rFonts w:hint="eastAsia"/>
        <w:b/>
        <w:bCs/>
        <w:u w:val="single"/>
      </w:rPr>
      <w:t xml:space="preserve"> </w:t>
    </w:r>
    <w:r>
      <w:rPr>
        <w:rFonts w:hint="eastAsia"/>
        <w:b/>
        <w:bCs/>
        <w:i/>
        <w:iCs/>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imes New Roman" w:hAnsi="Times New Roman" w:cs="Times New Roman"/>
        <w:b/>
        <w:bCs/>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b/>
                              <w:bCs/>
                              <w:i/>
                              <w:iCs/>
                            </w:rPr>
                          </w:pPr>
                          <w:r>
                            <w:rPr>
                              <w:b/>
                              <w:bCs/>
                              <w:i/>
                              <w:iCs/>
                            </w:rPr>
                            <w:t xml:space="preserve">第 </w:t>
                          </w:r>
                          <w:r>
                            <w:rPr>
                              <w:b/>
                              <w:bCs/>
                              <w:i/>
                              <w:iCs/>
                            </w:rPr>
                            <w:fldChar w:fldCharType="begin"/>
                          </w:r>
                          <w:r>
                            <w:rPr>
                              <w:b/>
                              <w:bCs/>
                              <w:i/>
                              <w:iCs/>
                            </w:rPr>
                            <w:instrText xml:space="preserve"> PAGE  \* MERGEFORMAT </w:instrText>
                          </w:r>
                          <w:r>
                            <w:rPr>
                              <w:b/>
                              <w:bCs/>
                              <w:i/>
                              <w:iCs/>
                            </w:rPr>
                            <w:fldChar w:fldCharType="separate"/>
                          </w:r>
                          <w:r>
                            <w:rPr>
                              <w:b/>
                              <w:bCs/>
                              <w:i/>
                              <w:iCs/>
                            </w:rPr>
                            <w:t>1</w:t>
                          </w:r>
                          <w:r>
                            <w:rPr>
                              <w:b/>
                              <w:bCs/>
                              <w:i/>
                              <w:iCs/>
                            </w:rPr>
                            <w:fldChar w:fldCharType="end"/>
                          </w:r>
                          <w:r>
                            <w:rPr>
                              <w:b/>
                              <w:bCs/>
                              <w:i/>
                              <w:iCs/>
                            </w:rPr>
                            <w:t xml:space="preserve"> 页 共</w:t>
                          </w:r>
                          <w:r>
                            <w:rPr>
                              <w:rFonts w:hint="eastAsia"/>
                              <w:b/>
                              <w:bCs/>
                              <w:i/>
                              <w:iCs/>
                              <w:lang w:val="en-US" w:eastAsia="zh-CN"/>
                            </w:rPr>
                            <w:t xml:space="preserve"> 59</w:t>
                          </w:r>
                          <w:r>
                            <w:rPr>
                              <w:b/>
                              <w:bCs/>
                              <w:i/>
                              <w:i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b/>
                        <w:bCs/>
                        <w:i/>
                        <w:iCs/>
                      </w:rPr>
                    </w:pPr>
                    <w:r>
                      <w:rPr>
                        <w:b/>
                        <w:bCs/>
                        <w:i/>
                        <w:iCs/>
                      </w:rPr>
                      <w:t xml:space="preserve">第 </w:t>
                    </w:r>
                    <w:r>
                      <w:rPr>
                        <w:b/>
                        <w:bCs/>
                        <w:i/>
                        <w:iCs/>
                      </w:rPr>
                      <w:fldChar w:fldCharType="begin"/>
                    </w:r>
                    <w:r>
                      <w:rPr>
                        <w:b/>
                        <w:bCs/>
                        <w:i/>
                        <w:iCs/>
                      </w:rPr>
                      <w:instrText xml:space="preserve"> PAGE  \* MERGEFORMAT </w:instrText>
                    </w:r>
                    <w:r>
                      <w:rPr>
                        <w:b/>
                        <w:bCs/>
                        <w:i/>
                        <w:iCs/>
                      </w:rPr>
                      <w:fldChar w:fldCharType="separate"/>
                    </w:r>
                    <w:r>
                      <w:rPr>
                        <w:b/>
                        <w:bCs/>
                        <w:i/>
                        <w:iCs/>
                      </w:rPr>
                      <w:t>1</w:t>
                    </w:r>
                    <w:r>
                      <w:rPr>
                        <w:b/>
                        <w:bCs/>
                        <w:i/>
                        <w:iCs/>
                      </w:rPr>
                      <w:fldChar w:fldCharType="end"/>
                    </w:r>
                    <w:r>
                      <w:rPr>
                        <w:b/>
                        <w:bCs/>
                        <w:i/>
                        <w:iCs/>
                      </w:rPr>
                      <w:t xml:space="preserve"> 页 共</w:t>
                    </w:r>
                    <w:r>
                      <w:rPr>
                        <w:rFonts w:hint="eastAsia"/>
                        <w:b/>
                        <w:bCs/>
                        <w:i/>
                        <w:iCs/>
                        <w:lang w:val="en-US" w:eastAsia="zh-CN"/>
                      </w:rPr>
                      <w:t xml:space="preserve"> 59</w:t>
                    </w:r>
                    <w:r>
                      <w:rPr>
                        <w:b/>
                        <w:bCs/>
                        <w:i/>
                        <w:iCs/>
                      </w:rPr>
                      <w:t xml:space="preserve"> 页</w:t>
                    </w:r>
                  </w:p>
                </w:txbxContent>
              </v:textbox>
            </v:shape>
          </w:pict>
        </mc:Fallback>
      </mc:AlternateContent>
    </w:r>
    <w:r>
      <w:rPr>
        <w:rFonts w:hint="eastAsia"/>
        <w:b/>
        <w:bCs/>
        <w:i/>
        <w:iCs/>
        <w:u w:val="single"/>
        <w:lang w:eastAsia="zh-CN"/>
      </w:rPr>
      <w:t>泾清项目管理有限公司</w:t>
    </w:r>
    <w:r>
      <w:rPr>
        <w:rFonts w:hint="eastAsia" w:ascii="Times New Roman" w:hAnsi="Times New Roman" w:cs="Times New Roman"/>
        <w:b/>
        <w:bCs/>
        <w:u w:val="single"/>
        <w:lang w:val="en-US" w:eastAsia="zh-CN"/>
      </w:rPr>
      <w:t xml:space="preserve">                                 </w:t>
    </w:r>
    <w:r>
      <w:rPr>
        <w:rFonts w:hint="eastAsia" w:cs="Times New Roman"/>
        <w:b/>
        <w:bCs/>
        <w:u w:val="single"/>
        <w:lang w:val="en-US" w:eastAsia="zh-CN"/>
      </w:rPr>
      <w:t xml:space="preserve">     </w:t>
    </w:r>
    <w:r>
      <w:rPr>
        <w:rFonts w:hint="eastAsia" w:ascii="Times New Roman" w:hAnsi="Times New Roman" w:cs="Times New Roman"/>
        <w:b/>
        <w:bCs/>
        <w:u w:val="single"/>
        <w:lang w:val="en-US" w:eastAsia="zh-CN"/>
      </w:rPr>
      <w:t xml:space="preserve">                               </w:t>
    </w:r>
    <w:r>
      <w:rPr>
        <w:rFonts w:hint="eastAsia" w:cs="Times New Roman"/>
        <w:b/>
        <w:bCs/>
        <w:u w:val="single"/>
        <w:lang w:val="en-US" w:eastAsia="zh-CN"/>
      </w:rPr>
      <w:t xml:space="preserve">       </w:t>
    </w:r>
    <w:r>
      <w:rPr>
        <w:rFonts w:hint="eastAsia" w:ascii="Times New Roman" w:hAnsi="Times New Roman" w:cs="Times New Roman"/>
        <w:b/>
        <w:bCs/>
        <w:u w:val="single"/>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SFlV3gEAALsDAAAOAAAAAAAA&#10;AAEAIAAAAB4BAABkcnMvZTJvRG9jLnhtbFBLBQYAAAAABgAGAFkBAABu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5251"/>
        <w:tab w:val="clear" w:pos="4153"/>
      </w:tabs>
      <w:jc w:val="both"/>
      <w:rPr>
        <w:rFonts w:ascii="仿宋" w:hAnsi="仿宋" w:eastAsia="仿宋" w:cs="仿宋"/>
        <w:b/>
        <w:i/>
        <w:iCs/>
        <w:sz w:val="20"/>
        <w:szCs w:val="20"/>
        <w:u w:val="single"/>
      </w:rPr>
    </w:pPr>
    <w:r>
      <w:rPr>
        <w:rFonts w:hint="eastAsia" w:ascii="仿宋" w:hAnsi="仿宋" w:eastAsia="仿宋" w:cs="仿宋"/>
        <w:b/>
        <w:i/>
        <w:iCs/>
        <w:u w:val="single"/>
      </w:rPr>
      <w:t>宝鸡市陈仓区南环路绿化改造提升工程苗木移植采购项目                       01/02/03标项竞争性磋商文件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6226"/>
        <w:tab w:val="clear" w:pos="4153"/>
      </w:tabs>
      <w:jc w:val="both"/>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5251"/>
        <w:tab w:val="clear" w:pos="4153"/>
      </w:tabs>
      <w:jc w:val="left"/>
      <w:rPr>
        <w:rFonts w:ascii="仿宋" w:hAnsi="仿宋" w:eastAsia="仿宋" w:cs="仿宋"/>
        <w:b/>
        <w:i/>
        <w:iCs/>
        <w:sz w:val="20"/>
        <w:szCs w:val="20"/>
        <w:u w:val="single"/>
      </w:rPr>
    </w:pPr>
    <w:r>
      <w:rPr>
        <w:rFonts w:hint="eastAsia" w:ascii="仿宋" w:hAnsi="仿宋" w:eastAsia="仿宋" w:cs="仿宋"/>
        <w:b/>
        <w:i/>
        <w:iCs/>
        <w:u w:val="single"/>
        <w:lang w:eastAsia="zh-CN"/>
      </w:rPr>
      <w:t>1.5T核磁共振维修保养采购项目（二次）</w:t>
    </w:r>
    <w:r>
      <w:rPr>
        <w:rFonts w:hint="eastAsia" w:ascii="仿宋" w:hAnsi="仿宋" w:eastAsia="仿宋" w:cs="仿宋"/>
        <w:b/>
        <w:i/>
        <w:iCs/>
        <w:u w:val="single"/>
      </w:rPr>
      <w:t xml:space="preserve">       </w:t>
    </w:r>
    <w:r>
      <w:rPr>
        <w:rFonts w:hint="eastAsia" w:ascii="仿宋" w:hAnsi="仿宋" w:eastAsia="仿宋" w:cs="仿宋"/>
        <w:b/>
        <w:i/>
        <w:iCs/>
        <w:u w:val="single"/>
        <w:lang w:val="en-US" w:eastAsia="zh-CN"/>
      </w:rPr>
      <w:t xml:space="preserve">           </w:t>
    </w:r>
    <w:r>
      <w:rPr>
        <w:rFonts w:hint="eastAsia" w:ascii="仿宋" w:hAnsi="仿宋" w:eastAsia="仿宋" w:cs="仿宋"/>
        <w:b/>
        <w:i/>
        <w:iCs/>
        <w:u w:val="single"/>
      </w:rPr>
      <w:t xml:space="preserve">  </w:t>
    </w:r>
    <w:r>
      <w:rPr>
        <w:rFonts w:hint="eastAsia" w:ascii="仿宋" w:hAnsi="仿宋" w:eastAsia="仿宋" w:cs="仿宋"/>
        <w:b/>
        <w:i/>
        <w:iCs/>
        <w:u w:val="single"/>
        <w:lang w:val="en-US" w:eastAsia="zh-CN"/>
      </w:rPr>
      <w:t xml:space="preserve">                               </w:t>
    </w:r>
    <w:r>
      <w:rPr>
        <w:rFonts w:hint="eastAsia" w:ascii="仿宋" w:hAnsi="仿宋" w:eastAsia="仿宋" w:cs="仿宋"/>
        <w:b/>
        <w:i/>
        <w:iCs/>
        <w:u w:val="singl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5251"/>
        <w:tab w:val="clear" w:pos="4153"/>
      </w:tabs>
      <w:jc w:val="left"/>
    </w:pPr>
    <w:r>
      <w:rPr>
        <w:rFonts w:hint="eastAsia" w:ascii="仿宋" w:hAnsi="仿宋" w:eastAsia="仿宋" w:cs="仿宋"/>
        <w:b/>
        <w:i/>
        <w:iCs/>
        <w:u w:val="single"/>
        <w:lang w:eastAsia="zh-CN"/>
      </w:rPr>
      <w:t>1.5T核磁共振维修保养采购项目（二次）</w:t>
    </w:r>
    <w:r>
      <w:rPr>
        <w:rFonts w:hint="eastAsia" w:ascii="仿宋" w:hAnsi="仿宋" w:eastAsia="仿宋" w:cs="仿宋"/>
        <w:b/>
        <w:i/>
        <w:iCs/>
        <w:u w:val="single"/>
      </w:rPr>
      <w:t xml:space="preserve">      </w:t>
    </w:r>
    <w:r>
      <w:rPr>
        <w:rFonts w:hint="eastAsia" w:ascii="仿宋" w:hAnsi="仿宋" w:eastAsia="仿宋" w:cs="仿宋"/>
        <w:b/>
        <w:i/>
        <w:iCs/>
        <w:u w:val="single"/>
        <w:lang w:val="en-US" w:eastAsia="zh-CN"/>
      </w:rPr>
      <w:t xml:space="preserve">                                          </w:t>
    </w:r>
    <w:r>
      <w:rPr>
        <w:rFonts w:hint="eastAsia" w:ascii="仿宋" w:hAnsi="仿宋" w:eastAsia="仿宋" w:cs="仿宋"/>
        <w:b/>
        <w:i/>
        <w:iCs/>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BC7FA"/>
    <w:multiLevelType w:val="singleLevel"/>
    <w:tmpl w:val="993BC7FA"/>
    <w:lvl w:ilvl="0" w:tentative="0">
      <w:start w:val="3"/>
      <w:numFmt w:val="decimal"/>
      <w:suff w:val="nothing"/>
      <w:lvlText w:val="%1．"/>
      <w:lvlJc w:val="left"/>
    </w:lvl>
  </w:abstractNum>
  <w:abstractNum w:abstractNumId="1">
    <w:nsid w:val="AA22893D"/>
    <w:multiLevelType w:val="singleLevel"/>
    <w:tmpl w:val="AA22893D"/>
    <w:lvl w:ilvl="0" w:tentative="0">
      <w:start w:val="1"/>
      <w:numFmt w:val="decimal"/>
      <w:suff w:val="nothing"/>
      <w:lvlText w:val="%1、"/>
      <w:lvlJc w:val="left"/>
    </w:lvl>
  </w:abstractNum>
  <w:abstractNum w:abstractNumId="2">
    <w:nsid w:val="B6F1004F"/>
    <w:multiLevelType w:val="multilevel"/>
    <w:tmpl w:val="B6F100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BC374E90"/>
    <w:multiLevelType w:val="singleLevel"/>
    <w:tmpl w:val="BC374E90"/>
    <w:lvl w:ilvl="0" w:tentative="0">
      <w:start w:val="1"/>
      <w:numFmt w:val="chineseCounting"/>
      <w:suff w:val="space"/>
      <w:lvlText w:val="第%1章"/>
      <w:lvlJc w:val="left"/>
      <w:rPr>
        <w:rFonts w:hint="eastAsia"/>
      </w:rPr>
    </w:lvl>
  </w:abstractNum>
  <w:abstractNum w:abstractNumId="4">
    <w:nsid w:val="DF4683E8"/>
    <w:multiLevelType w:val="singleLevel"/>
    <w:tmpl w:val="DF4683E8"/>
    <w:lvl w:ilvl="0" w:tentative="0">
      <w:start w:val="4"/>
      <w:numFmt w:val="chineseCounting"/>
      <w:suff w:val="space"/>
      <w:lvlText w:val="第%1章"/>
      <w:lvlJc w:val="left"/>
      <w:rPr>
        <w:rFonts w:hint="eastAsia"/>
      </w:rPr>
    </w:lvl>
  </w:abstractNum>
  <w:abstractNum w:abstractNumId="5">
    <w:nsid w:val="0426A152"/>
    <w:multiLevelType w:val="singleLevel"/>
    <w:tmpl w:val="0426A152"/>
    <w:lvl w:ilvl="0" w:tentative="0">
      <w:start w:val="1"/>
      <w:numFmt w:val="decimal"/>
      <w:suff w:val="nothing"/>
      <w:lvlText w:val="%1、"/>
      <w:lvlJc w:val="left"/>
    </w:lvl>
  </w:abstractNum>
  <w:abstractNum w:abstractNumId="6">
    <w:nsid w:val="27A35000"/>
    <w:multiLevelType w:val="singleLevel"/>
    <w:tmpl w:val="27A35000"/>
    <w:lvl w:ilvl="0" w:tentative="0">
      <w:start w:val="5"/>
      <w:numFmt w:val="chineseCounting"/>
      <w:suff w:val="nothing"/>
      <w:lvlText w:val="第%1条、"/>
      <w:lvlJc w:val="left"/>
      <w:rPr>
        <w:rFonts w:hint="eastAsia"/>
      </w:rPr>
    </w:lvl>
  </w:abstractNum>
  <w:abstractNum w:abstractNumId="7">
    <w:nsid w:val="4390770F"/>
    <w:multiLevelType w:val="singleLevel"/>
    <w:tmpl w:val="4390770F"/>
    <w:lvl w:ilvl="0" w:tentative="0">
      <w:start w:val="1"/>
      <w:numFmt w:val="chineseCounting"/>
      <w:lvlText w:val="(%1)"/>
      <w:lvlJc w:val="left"/>
      <w:pPr>
        <w:tabs>
          <w:tab w:val="left" w:pos="312"/>
        </w:tabs>
      </w:pPr>
      <w:rPr>
        <w:rFonts w:hint="eastAsia"/>
      </w:rPr>
    </w:lvl>
  </w:abstractNum>
  <w:num w:numId="1">
    <w:abstractNumId w:val="3"/>
  </w:num>
  <w:num w:numId="2">
    <w:abstractNumId w:val="1"/>
  </w:num>
  <w:num w:numId="3">
    <w:abstractNumId w:val="0"/>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655F4"/>
    <w:rsid w:val="146558F2"/>
    <w:rsid w:val="14685D13"/>
    <w:rsid w:val="15C419C9"/>
    <w:rsid w:val="171B12C2"/>
    <w:rsid w:val="185B0DCE"/>
    <w:rsid w:val="1A4E518B"/>
    <w:rsid w:val="1AE6368B"/>
    <w:rsid w:val="202A22FB"/>
    <w:rsid w:val="30B04157"/>
    <w:rsid w:val="38FF40CB"/>
    <w:rsid w:val="3C9B38B5"/>
    <w:rsid w:val="41B31CF9"/>
    <w:rsid w:val="41EC5B67"/>
    <w:rsid w:val="45C57CA5"/>
    <w:rsid w:val="4E556430"/>
    <w:rsid w:val="5414351A"/>
    <w:rsid w:val="5DE227D8"/>
    <w:rsid w:val="60855B2E"/>
    <w:rsid w:val="70F353BF"/>
    <w:rsid w:val="74954E75"/>
    <w:rsid w:val="74D01F15"/>
    <w:rsid w:val="763371A8"/>
    <w:rsid w:val="7B334707"/>
    <w:rsid w:val="7BE442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49"/>
    <w:qFormat/>
    <w:uiPriority w:val="99"/>
    <w:pPr>
      <w:keepNext/>
      <w:keepLines/>
      <w:spacing w:line="360" w:lineRule="auto"/>
      <w:outlineLvl w:val="0"/>
    </w:pPr>
    <w:rPr>
      <w:b/>
      <w:bCs/>
      <w:kern w:val="44"/>
      <w:sz w:val="32"/>
      <w:szCs w:val="32"/>
    </w:rPr>
  </w:style>
  <w:style w:type="paragraph" w:styleId="7">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8">
    <w:name w:val="heading 3"/>
    <w:basedOn w:val="1"/>
    <w:next w:val="1"/>
    <w:qFormat/>
    <w:uiPriority w:val="99"/>
    <w:pPr>
      <w:keepNext/>
      <w:keepLines/>
      <w:spacing w:line="360" w:lineRule="auto"/>
      <w:outlineLvl w:val="2"/>
    </w:pPr>
    <w:rPr>
      <w:b/>
      <w:bCs/>
      <w:sz w:val="24"/>
      <w:szCs w:val="24"/>
    </w:rPr>
  </w:style>
  <w:style w:type="paragraph" w:styleId="9">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10">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style>
  <w:style w:type="paragraph" w:styleId="3">
    <w:name w:val="Body Text First Indent"/>
    <w:basedOn w:val="2"/>
    <w:next w:val="4"/>
    <w:unhideWhenUsed/>
    <w:qFormat/>
    <w:uiPriority w:val="0"/>
    <w:pPr>
      <w:spacing w:after="120" w:afterLines="0" w:line="240" w:lineRule="auto"/>
      <w:ind w:firstLine="420" w:firstLineChars="100"/>
    </w:pPr>
    <w:rPr>
      <w:rFonts w:ascii="Calibri" w:hAnsi="Calibri"/>
      <w:color w:val="auto"/>
      <w:sz w:val="18"/>
      <w:szCs w:val="18"/>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ind w:firstLine="552"/>
    </w:pPr>
    <w:rPr>
      <w:rFonts w:ascii="宋体"/>
      <w:sz w:val="28"/>
      <w:szCs w:val="20"/>
    </w:rPr>
  </w:style>
  <w:style w:type="paragraph" w:styleId="11">
    <w:name w:val="Normal Indent"/>
    <w:basedOn w:val="1"/>
    <w:link w:val="53"/>
    <w:qFormat/>
    <w:uiPriority w:val="99"/>
    <w:pPr>
      <w:ind w:firstLine="420"/>
    </w:pPr>
  </w:style>
  <w:style w:type="paragraph" w:styleId="12">
    <w:name w:val="annotation text"/>
    <w:basedOn w:val="1"/>
    <w:semiHidden/>
    <w:qFormat/>
    <w:uiPriority w:val="99"/>
    <w:pPr>
      <w:jc w:val="left"/>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spacing w:before="120" w:after="120"/>
      <w:jc w:val="left"/>
    </w:pPr>
    <w:rPr>
      <w:rFonts w:ascii="Calibri" w:hAnsi="Calibri" w:cs="Calibri"/>
      <w:b/>
      <w:bCs/>
      <w:caps/>
      <w:sz w:val="20"/>
      <w:szCs w:val="20"/>
    </w:rPr>
  </w:style>
  <w:style w:type="paragraph" w:styleId="16">
    <w:name w:val="Body Text Indent 3"/>
    <w:basedOn w:val="1"/>
    <w:link w:val="52"/>
    <w:qFormat/>
    <w:uiPriority w:val="99"/>
    <w:pPr>
      <w:spacing w:line="360" w:lineRule="auto"/>
      <w:ind w:left="420" w:firstLine="480"/>
    </w:pPr>
    <w:rPr>
      <w:rFonts w:ascii="宋体" w:hAnsi="宋体" w:cs="宋体"/>
      <w:sz w:val="24"/>
      <w:szCs w:val="24"/>
    </w:rPr>
  </w:style>
  <w:style w:type="paragraph" w:styleId="17">
    <w:name w:val="toc 9"/>
    <w:basedOn w:val="1"/>
    <w:next w:val="1"/>
    <w:semiHidden/>
    <w:qFormat/>
    <w:uiPriority w:val="99"/>
    <w:pPr>
      <w:ind w:left="1680"/>
      <w:jc w:val="left"/>
    </w:pPr>
    <w:rPr>
      <w:rFonts w:ascii="Calibri" w:hAnsi="Calibri" w:cs="Calibri"/>
      <w:sz w:val="18"/>
      <w:szCs w:val="18"/>
    </w:rPr>
  </w:style>
  <w:style w:type="paragraph" w:styleId="18">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b/>
      <w:bCs/>
    </w:rPr>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Emphasis"/>
    <w:basedOn w:val="21"/>
    <w:qFormat/>
    <w:uiPriority w:val="0"/>
  </w:style>
  <w:style w:type="character" w:styleId="26">
    <w:name w:val="HTML Definition"/>
    <w:basedOn w:val="21"/>
    <w:qFormat/>
    <w:uiPriority w:val="0"/>
    <w:rPr>
      <w:i/>
      <w:iCs/>
    </w:rPr>
  </w:style>
  <w:style w:type="character" w:styleId="27">
    <w:name w:val="Hyperlink"/>
    <w:basedOn w:val="21"/>
    <w:qFormat/>
    <w:uiPriority w:val="0"/>
    <w:rPr>
      <w:color w:val="333333"/>
      <w:u w:val="none"/>
    </w:rPr>
  </w:style>
  <w:style w:type="character" w:styleId="28">
    <w:name w:val="HTML Code"/>
    <w:basedOn w:val="21"/>
    <w:qFormat/>
    <w:uiPriority w:val="0"/>
    <w:rPr>
      <w:rFonts w:hint="default" w:ascii="Consolas" w:hAnsi="Consolas" w:eastAsia="Consolas" w:cs="Consolas"/>
      <w:color w:val="C7254E"/>
      <w:sz w:val="21"/>
      <w:szCs w:val="21"/>
      <w:shd w:val="clear" w:fill="F9F2F4"/>
    </w:rPr>
  </w:style>
  <w:style w:type="character" w:styleId="29">
    <w:name w:val="HTML Keyboard"/>
    <w:basedOn w:val="21"/>
    <w:qFormat/>
    <w:uiPriority w:val="0"/>
    <w:rPr>
      <w:rFonts w:ascii="Consolas" w:hAnsi="Consolas" w:eastAsia="Consolas" w:cs="Consolas"/>
      <w:color w:val="FFFFFF"/>
      <w:sz w:val="21"/>
      <w:szCs w:val="21"/>
      <w:shd w:val="clear" w:fill="333333"/>
    </w:rPr>
  </w:style>
  <w:style w:type="character" w:styleId="30">
    <w:name w:val="HTML Sample"/>
    <w:basedOn w:val="21"/>
    <w:qFormat/>
    <w:uiPriority w:val="0"/>
    <w:rPr>
      <w:rFonts w:hint="default" w:ascii="Consolas" w:hAnsi="Consolas" w:eastAsia="Consolas" w:cs="Consolas"/>
      <w:sz w:val="21"/>
      <w:szCs w:val="21"/>
    </w:rPr>
  </w:style>
  <w:style w:type="paragraph" w:customStyle="1" w:styleId="31">
    <w:name w:val="NormalIndent"/>
    <w:basedOn w:val="1"/>
    <w:qFormat/>
    <w:uiPriority w:val="0"/>
    <w:pPr>
      <w:spacing w:line="300" w:lineRule="auto"/>
      <w:ind w:firstLine="420" w:firstLineChars="200"/>
      <w:jc w:val="both"/>
      <w:textAlignment w:val="baseline"/>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NormalCharacter"/>
    <w:link w:val="1"/>
    <w:semiHidden/>
    <w:qFormat/>
    <w:uiPriority w:val="0"/>
    <w:rPr>
      <w:rFonts w:ascii="Times New Roman" w:hAnsi="Times New Roman" w:eastAsia="宋体" w:cs="Times New Roman"/>
      <w:kern w:val="2"/>
      <w:sz w:val="21"/>
      <w:szCs w:val="21"/>
      <w:lang w:val="en-US" w:eastAsia="zh-CN" w:bidi="ar-SA"/>
    </w:rPr>
  </w:style>
  <w:style w:type="paragraph" w:customStyle="1" w:styleId="34">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4"/>
      <w:lang w:val="en-US" w:eastAsia="zh-CN" w:bidi="ar-SA"/>
    </w:rPr>
  </w:style>
  <w:style w:type="paragraph" w:customStyle="1" w:styleId="35">
    <w:name w:val="BodyText"/>
    <w:basedOn w:val="1"/>
    <w:next w:val="36"/>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36">
    <w:name w:val="TOC9"/>
    <w:basedOn w:val="1"/>
    <w:next w:val="1"/>
    <w:semiHidden/>
    <w:qFormat/>
    <w:uiPriority w:val="0"/>
    <w:pPr>
      <w:ind w:left="1680"/>
      <w:jc w:val="left"/>
      <w:textAlignment w:val="baseline"/>
    </w:pPr>
    <w:rPr>
      <w:rFonts w:ascii="Calibri" w:hAnsi="Calibri" w:eastAsia="宋体"/>
      <w:kern w:val="2"/>
      <w:sz w:val="18"/>
      <w:szCs w:val="18"/>
      <w:lang w:val="en-US" w:eastAsia="zh-CN" w:bidi="ar-SA"/>
    </w:rPr>
  </w:style>
  <w:style w:type="paragraph" w:customStyle="1" w:styleId="37">
    <w:name w:val="列出段落2"/>
    <w:basedOn w:val="1"/>
    <w:qFormat/>
    <w:uiPriority w:val="34"/>
    <w:pPr>
      <w:ind w:firstLine="420" w:firstLineChars="200"/>
    </w:p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Table Paragraph"/>
    <w:basedOn w:val="1"/>
    <w:qFormat/>
    <w:uiPriority w:val="0"/>
  </w:style>
  <w:style w:type="character" w:customStyle="1" w:styleId="40">
    <w:name w:val="glyphicon"/>
    <w:basedOn w:val="21"/>
    <w:qFormat/>
    <w:uiPriority w:val="0"/>
  </w:style>
  <w:style w:type="character" w:customStyle="1" w:styleId="41">
    <w:name w:val="old"/>
    <w:basedOn w:val="21"/>
    <w:qFormat/>
    <w:uiPriority w:val="0"/>
    <w:rPr>
      <w:color w:val="999999"/>
    </w:rPr>
  </w:style>
  <w:style w:type="character" w:customStyle="1" w:styleId="42">
    <w:name w:val="indent"/>
    <w:basedOn w:val="21"/>
    <w:qFormat/>
    <w:uiPriority w:val="0"/>
  </w:style>
  <w:style w:type="character" w:customStyle="1" w:styleId="43">
    <w:name w:val="hour_pm"/>
    <w:basedOn w:val="21"/>
    <w:qFormat/>
    <w:uiPriority w:val="0"/>
  </w:style>
  <w:style w:type="character" w:customStyle="1" w:styleId="44">
    <w:name w:val="hover3"/>
    <w:basedOn w:val="21"/>
    <w:qFormat/>
    <w:uiPriority w:val="0"/>
    <w:rPr>
      <w:shd w:val="clear" w:fill="EEEEEE"/>
    </w:rPr>
  </w:style>
  <w:style w:type="character" w:customStyle="1" w:styleId="45">
    <w:name w:val="tmpztreemove_arrow"/>
    <w:basedOn w:val="21"/>
    <w:qFormat/>
    <w:uiPriority w:val="0"/>
    <w:rPr>
      <w:shd w:val="clear" w:fill="FFFFFF"/>
    </w:rPr>
  </w:style>
  <w:style w:type="character" w:customStyle="1" w:styleId="46">
    <w:name w:val="hour_am"/>
    <w:basedOn w:val="21"/>
    <w:qFormat/>
    <w:uiPriority w:val="0"/>
  </w:style>
  <w:style w:type="character" w:customStyle="1" w:styleId="47">
    <w:name w:val="button"/>
    <w:basedOn w:val="21"/>
    <w:qFormat/>
    <w:uiPriority w:val="0"/>
  </w:style>
  <w:style w:type="paragraph" w:customStyle="1" w:styleId="48">
    <w:name w:val="title12"/>
    <w:basedOn w:val="1"/>
    <w:qFormat/>
    <w:uiPriority w:val="0"/>
    <w:pPr>
      <w:spacing w:before="150" w:line="450" w:lineRule="atLeast"/>
    </w:pPr>
    <w:rPr>
      <w:b/>
      <w:lang w:eastAsia="zh-CN"/>
    </w:rPr>
  </w:style>
  <w:style w:type="character" w:customStyle="1" w:styleId="49">
    <w:name w:val="标题 1 Char"/>
    <w:link w:val="6"/>
    <w:qFormat/>
    <w:uiPriority w:val="0"/>
    <w:rPr>
      <w:b/>
      <w:bCs/>
      <w:kern w:val="44"/>
      <w:sz w:val="32"/>
      <w:szCs w:val="32"/>
    </w:rPr>
  </w:style>
  <w:style w:type="paragraph" w:customStyle="1" w:styleId="50">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52">
    <w:name w:val="正文文本缩进 3 Char"/>
    <w:link w:val="16"/>
    <w:qFormat/>
    <w:uiPriority w:val="99"/>
    <w:rPr>
      <w:rFonts w:ascii="宋体" w:hAnsi="宋体" w:cs="宋体"/>
      <w:sz w:val="24"/>
      <w:szCs w:val="24"/>
    </w:rPr>
  </w:style>
  <w:style w:type="character" w:customStyle="1" w:styleId="53">
    <w:name w:val="正文缩进 Char"/>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28392</Words>
  <Characters>30256</Characters>
  <Lines>0</Lines>
  <Paragraphs>0</Paragraphs>
  <TotalTime>1</TotalTime>
  <ScaleCrop>false</ScaleCrop>
  <LinksUpToDate>false</LinksUpToDate>
  <CharactersWithSpaces>33343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2021-11-18T11:37:00Z</dcterms:created>
  <dc:creator>Administrator</dc:creator>
  <cp:lastModifiedBy>氧气</cp:lastModifiedBy>
  <cp:lastPrinted>2021-12-07T14:19:00Z</cp:lastPrinted>
  <dcterms:modified xsi:type="dcterms:W3CDTF">2022-04-14T00:51:15Z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8842DDAE68784746BF37CB4970035FE3</vt:lpwstr>
  </property>
</Properties>
</file>