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cs="宋体"/>
          <w:b/>
          <w:sz w:val="28"/>
          <w:szCs w:val="28"/>
        </w:rPr>
      </w:pPr>
      <w:r>
        <w:rPr>
          <w:rFonts w:hint="eastAsia" w:ascii="宋体" w:hAnsi="宋体" w:cs="宋体"/>
          <w:b/>
          <w:spacing w:val="-20"/>
          <w:kern w:val="0"/>
          <w:sz w:val="44"/>
          <w:szCs w:val="44"/>
        </w:rPr>
        <w:drawing>
          <wp:anchor distT="0" distB="0" distL="114300" distR="114300" simplePos="0" relativeHeight="251662336" behindDoc="1" locked="0" layoutInCell="1" allowOverlap="1">
            <wp:simplePos x="0" y="0"/>
            <wp:positionH relativeFrom="column">
              <wp:posOffset>-259715</wp:posOffset>
            </wp:positionH>
            <wp:positionV relativeFrom="paragraph">
              <wp:posOffset>40640</wp:posOffset>
            </wp:positionV>
            <wp:extent cx="1124585" cy="1061720"/>
            <wp:effectExtent l="0" t="0" r="0" b="0"/>
            <wp:wrapTight wrapText="bothSides">
              <wp:wrapPolygon>
                <wp:start x="7318" y="0"/>
                <wp:lineTo x="5123" y="775"/>
                <wp:lineTo x="0" y="5038"/>
                <wp:lineTo x="0" y="14727"/>
                <wp:lineTo x="2561" y="18603"/>
                <wp:lineTo x="2561" y="18990"/>
                <wp:lineTo x="6586" y="21316"/>
                <wp:lineTo x="7318" y="21316"/>
                <wp:lineTo x="13904" y="21316"/>
                <wp:lineTo x="14636" y="21316"/>
                <wp:lineTo x="18661" y="18990"/>
                <wp:lineTo x="18661" y="18603"/>
                <wp:lineTo x="21222" y="14727"/>
                <wp:lineTo x="21222" y="5038"/>
                <wp:lineTo x="16099" y="775"/>
                <wp:lineTo x="13904" y="0"/>
                <wp:lineTo x="7318" y="0"/>
              </wp:wrapPolygon>
            </wp:wrapTight>
            <wp:docPr id="7" name="图片 3" descr="鼎祥越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鼎祥越logo"/>
                    <pic:cNvPicPr>
                      <a:picLocks noChangeAspect="1"/>
                    </pic:cNvPicPr>
                  </pic:nvPicPr>
                  <pic:blipFill>
                    <a:blip r:embed="rId13"/>
                    <a:stretch>
                      <a:fillRect/>
                    </a:stretch>
                  </pic:blipFill>
                  <pic:spPr>
                    <a:xfrm>
                      <a:off x="0" y="0"/>
                      <a:ext cx="1124585" cy="1061720"/>
                    </a:xfrm>
                    <a:prstGeom prst="rect">
                      <a:avLst/>
                    </a:prstGeom>
                    <a:noFill/>
                    <a:ln>
                      <a:noFill/>
                    </a:ln>
                  </pic:spPr>
                </pic:pic>
              </a:graphicData>
            </a:graphic>
          </wp:anchor>
        </w:drawing>
      </w:r>
      <w:r>
        <w:rPr>
          <w:rFonts w:hint="eastAsia" w:ascii="宋体" w:hAnsi="宋体" w:cs="宋体"/>
          <w:sz w:val="36"/>
        </w:rPr>
        <mc:AlternateContent>
          <mc:Choice Requires="wps">
            <w:drawing>
              <wp:anchor distT="0" distB="0" distL="114300" distR="114300" simplePos="0" relativeHeight="251661312" behindDoc="0" locked="0" layoutInCell="1" allowOverlap="1">
                <wp:simplePos x="0" y="0"/>
                <wp:positionH relativeFrom="column">
                  <wp:posOffset>3493770</wp:posOffset>
                </wp:positionH>
                <wp:positionV relativeFrom="paragraph">
                  <wp:posOffset>211455</wp:posOffset>
                </wp:positionV>
                <wp:extent cx="1631950" cy="456565"/>
                <wp:effectExtent l="7620" t="7620" r="17780" b="12065"/>
                <wp:wrapNone/>
                <wp:docPr id="3" name="自选图形 7"/>
                <wp:cNvGraphicFramePr/>
                <a:graphic xmlns:a="http://schemas.openxmlformats.org/drawingml/2006/main">
                  <a:graphicData uri="http://schemas.microsoft.com/office/word/2010/wordprocessingShape">
                    <wps:wsp>
                      <wps:cNvSpPr/>
                      <wps:spPr>
                        <a:xfrm>
                          <a:off x="0" y="0"/>
                          <a:ext cx="1631950" cy="456565"/>
                        </a:xfrm>
                        <a:prstGeom prst="roundRect">
                          <a:avLst>
                            <a:gd name="adj" fmla="val 16667"/>
                          </a:avLst>
                        </a:prstGeom>
                        <a:solidFill>
                          <a:srgbClr val="EEECE1"/>
                        </a:solidFill>
                        <a:ln w="15875" cap="flat" cmpd="sng">
                          <a:solidFill>
                            <a:srgbClr val="000000"/>
                          </a:solidFill>
                          <a:prstDash val="solid"/>
                          <a:headEnd type="none" w="med" len="med"/>
                          <a:tailEnd type="none" w="med" len="med"/>
                        </a:ln>
                      </wps:spPr>
                      <wps:txbx>
                        <w:txbxContent>
                          <w:p>
                            <w:pPr>
                              <w:jc w:val="center"/>
                              <w:rPr>
                                <w:rFonts w:ascii="楷体" w:hAnsi="楷体" w:eastAsia="楷体" w:cs="楷体"/>
                                <w:b/>
                                <w:bCs/>
                                <w:sz w:val="36"/>
                                <w:szCs w:val="36"/>
                              </w:rPr>
                            </w:pPr>
                            <w:r>
                              <w:rPr>
                                <w:rFonts w:hint="eastAsia" w:ascii="楷体" w:hAnsi="楷体" w:eastAsia="楷体" w:cs="楷体"/>
                                <w:b/>
                                <w:bCs/>
                                <w:sz w:val="36"/>
                                <w:szCs w:val="36"/>
                              </w:rPr>
                              <w:t>政府采购项目</w:t>
                            </w:r>
                          </w:p>
                        </w:txbxContent>
                      </wps:txbx>
                      <wps:bodyPr vert="horz" wrap="square" anchor="t" upright="1"/>
                    </wps:wsp>
                  </a:graphicData>
                </a:graphic>
              </wp:anchor>
            </w:drawing>
          </mc:Choice>
          <mc:Fallback>
            <w:pict>
              <v:roundrect id="自选图形 7" o:spid="_x0000_s1026" o:spt="2" style="position:absolute;left:0pt;margin-left:275.1pt;margin-top:16.65pt;height:35.95pt;width:128.5pt;z-index:251661312;mso-width-relative:page;mso-height-relative:page;" fillcolor="#EEECE1" filled="t" stroked="t" coordsize="21600,21600" arcsize="0.166666666666667" o:gfxdata="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NB7LJ9cAAAAKAQAADwAAAAAAAAABACAAAAAiAAAAZHJz&#10;L2Rvd25yZXYueG1sUEsBAhQAFAAAAAgAh07iQHCw7pk+AgAAfAQAAA4AAAAAAAAAAQAgAAAAJgEA&#10;AGRycy9lMm9Eb2MueG1sUEsFBgAAAAAGAAYAWQEAANYFAAAAAA==&#10;">
                <v:fill on="t" focussize="0,0"/>
                <v:stroke weight="1.25pt" color="#000000" joinstyle="round"/>
                <v:imagedata o:title=""/>
                <o:lock v:ext="edit" aspectratio="f"/>
                <v:textbox>
                  <w:txbxContent>
                    <w:p>
                      <w:pPr>
                        <w:jc w:val="center"/>
                        <w:rPr>
                          <w:rFonts w:ascii="楷体" w:hAnsi="楷体" w:eastAsia="楷体" w:cs="楷体"/>
                          <w:b/>
                          <w:bCs/>
                          <w:sz w:val="36"/>
                          <w:szCs w:val="36"/>
                        </w:rPr>
                      </w:pPr>
                      <w:r>
                        <w:rPr>
                          <w:rFonts w:hint="eastAsia" w:ascii="楷体" w:hAnsi="楷体" w:eastAsia="楷体" w:cs="楷体"/>
                          <w:b/>
                          <w:bCs/>
                          <w:sz w:val="36"/>
                          <w:szCs w:val="36"/>
                        </w:rPr>
                        <w:t>政府采购项目</w:t>
                      </w:r>
                    </w:p>
                  </w:txbxContent>
                </v:textbox>
              </v:roundrect>
            </w:pict>
          </mc:Fallback>
        </mc:AlternateContent>
      </w:r>
    </w:p>
    <w:p>
      <w:pPr>
        <w:spacing w:line="360" w:lineRule="auto"/>
        <w:jc w:val="center"/>
        <w:rPr>
          <w:rFonts w:ascii="宋体" w:hAnsi="宋体" w:cs="宋体"/>
          <w:b/>
          <w:sz w:val="44"/>
          <w:szCs w:val="44"/>
        </w:rPr>
      </w:pPr>
    </w:p>
    <w:p>
      <w:pPr>
        <w:spacing w:line="360" w:lineRule="auto"/>
        <w:jc w:val="center"/>
        <w:rPr>
          <w:rFonts w:ascii="宋体" w:hAnsi="宋体" w:cs="宋体"/>
          <w:b/>
          <w:sz w:val="44"/>
          <w:szCs w:val="44"/>
        </w:rPr>
      </w:pPr>
    </w:p>
    <w:p>
      <w:pPr>
        <w:spacing w:line="360" w:lineRule="auto"/>
        <w:jc w:val="center"/>
        <w:rPr>
          <w:rFonts w:ascii="宋体" w:hAnsi="宋体" w:cs="宋体"/>
          <w:b/>
          <w:sz w:val="44"/>
          <w:szCs w:val="44"/>
        </w:rPr>
      </w:pPr>
    </w:p>
    <w:p>
      <w:pPr>
        <w:widowControl/>
        <w:tabs>
          <w:tab w:val="left" w:pos="3828"/>
        </w:tabs>
        <w:autoSpaceDE w:val="0"/>
        <w:autoSpaceDN w:val="0"/>
        <w:jc w:val="center"/>
        <w:textAlignment w:val="bottom"/>
        <w:rPr>
          <w:rFonts w:ascii="宋体" w:hAnsi="宋体" w:cs="宋体"/>
          <w:b/>
          <w:color w:val="000000"/>
          <w:spacing w:val="66"/>
          <w:kern w:val="0"/>
          <w:sz w:val="52"/>
          <w:szCs w:val="52"/>
        </w:rPr>
      </w:pPr>
      <w:r>
        <w:rPr>
          <w:rFonts w:hint="eastAsia" w:ascii="宋体" w:hAnsi="宋体" w:cs="宋体"/>
          <w:b/>
          <w:color w:val="000000"/>
          <w:spacing w:val="66"/>
          <w:kern w:val="0"/>
          <w:sz w:val="72"/>
          <w:szCs w:val="112"/>
        </w:rPr>
        <w:t xml:space="preserve"> </w:t>
      </w:r>
      <w:r>
        <w:rPr>
          <w:rFonts w:hint="eastAsia" w:ascii="宋体" w:hAnsi="宋体" w:cs="宋体"/>
          <w:b/>
          <w:color w:val="000000"/>
          <w:spacing w:val="66"/>
          <w:kern w:val="0"/>
          <w:sz w:val="52"/>
          <w:szCs w:val="52"/>
        </w:rPr>
        <w:t>恒大小学部室配备采购项目</w:t>
      </w:r>
    </w:p>
    <w:p>
      <w:pPr>
        <w:pStyle w:val="15"/>
        <w:rPr>
          <w:rFonts w:ascii="宋体" w:hAnsi="宋体" w:cs="宋体"/>
          <w:b/>
          <w:color w:val="000000"/>
          <w:spacing w:val="66"/>
          <w:kern w:val="0"/>
          <w:sz w:val="52"/>
          <w:szCs w:val="52"/>
        </w:rPr>
      </w:pPr>
    </w:p>
    <w:p>
      <w:pPr>
        <w:rPr>
          <w:rFonts w:ascii="宋体" w:hAnsi="宋体" w:cs="宋体"/>
        </w:rPr>
      </w:pPr>
    </w:p>
    <w:p>
      <w:pPr>
        <w:pStyle w:val="15"/>
        <w:rPr>
          <w:rFonts w:ascii="宋体" w:hAnsi="宋体" w:cs="宋体"/>
          <w:b/>
          <w:color w:val="000000"/>
          <w:spacing w:val="66"/>
          <w:kern w:val="0"/>
          <w:sz w:val="52"/>
          <w:szCs w:val="52"/>
        </w:rPr>
      </w:pPr>
      <w:r>
        <w:rPr>
          <w:rFonts w:hint="eastAsia" w:ascii="宋体" w:hAnsi="宋体" w:cs="宋体"/>
          <w:b/>
          <w:color w:val="000000"/>
          <w:spacing w:val="66"/>
          <w:kern w:val="0"/>
          <w:sz w:val="52"/>
          <w:szCs w:val="52"/>
        </w:rPr>
        <w:t>（包号0</w:t>
      </w:r>
      <w:r>
        <w:rPr>
          <w:rFonts w:hint="eastAsia" w:ascii="宋体" w:hAnsi="宋体" w:cs="宋体"/>
          <w:b/>
          <w:color w:val="000000"/>
          <w:spacing w:val="66"/>
          <w:kern w:val="0"/>
          <w:sz w:val="52"/>
          <w:szCs w:val="52"/>
          <w:lang w:val="en-US" w:eastAsia="zh-CN"/>
        </w:rPr>
        <w:t>1</w:t>
      </w:r>
      <w:r>
        <w:rPr>
          <w:rFonts w:hint="eastAsia" w:ascii="宋体" w:hAnsi="宋体" w:cs="宋体"/>
          <w:b/>
          <w:color w:val="000000"/>
          <w:spacing w:val="66"/>
          <w:kern w:val="0"/>
          <w:sz w:val="52"/>
          <w:szCs w:val="52"/>
        </w:rPr>
        <w:t>）</w:t>
      </w:r>
    </w:p>
    <w:p>
      <w:pPr>
        <w:rPr>
          <w:rFonts w:ascii="宋体" w:hAnsi="宋体" w:cs="宋体"/>
        </w:rPr>
      </w:pPr>
    </w:p>
    <w:p>
      <w:pPr>
        <w:pStyle w:val="15"/>
        <w:rPr>
          <w:rFonts w:ascii="宋体" w:hAnsi="宋体" w:cs="宋体"/>
        </w:rPr>
      </w:pPr>
    </w:p>
    <w:p>
      <w:pPr>
        <w:spacing w:line="360" w:lineRule="auto"/>
        <w:ind w:right="33"/>
        <w:rPr>
          <w:rFonts w:ascii="宋体" w:hAnsi="宋体" w:cs="宋体"/>
          <w:color w:val="000000"/>
          <w:sz w:val="22"/>
        </w:rPr>
      </w:pPr>
    </w:p>
    <w:p>
      <w:pPr>
        <w:widowControl/>
        <w:tabs>
          <w:tab w:val="left" w:pos="3828"/>
        </w:tabs>
        <w:autoSpaceDE w:val="0"/>
        <w:autoSpaceDN w:val="0"/>
        <w:jc w:val="center"/>
        <w:textAlignment w:val="bottom"/>
        <w:rPr>
          <w:rFonts w:ascii="宋体" w:hAnsi="宋体" w:cs="宋体"/>
          <w:b/>
          <w:color w:val="000000"/>
          <w:spacing w:val="66"/>
          <w:kern w:val="0"/>
          <w:sz w:val="72"/>
          <w:szCs w:val="112"/>
        </w:rPr>
      </w:pPr>
      <w:r>
        <w:rPr>
          <w:rFonts w:hint="eastAsia" w:ascii="宋体" w:hAnsi="宋体" w:cs="宋体"/>
          <w:b/>
          <w:color w:val="000000"/>
          <w:spacing w:val="66"/>
          <w:kern w:val="0"/>
          <w:sz w:val="72"/>
          <w:szCs w:val="112"/>
        </w:rPr>
        <w:t>公开招标文件</w:t>
      </w:r>
    </w:p>
    <w:p>
      <w:pPr>
        <w:pStyle w:val="15"/>
        <w:rPr>
          <w:rFonts w:ascii="宋体" w:hAnsi="宋体" w:cs="宋体"/>
        </w:rPr>
      </w:pPr>
    </w:p>
    <w:p>
      <w:pPr>
        <w:autoSpaceDE w:val="0"/>
        <w:autoSpaceDN w:val="0"/>
        <w:adjustRightInd w:val="0"/>
        <w:jc w:val="center"/>
        <w:outlineLvl w:val="0"/>
        <w:rPr>
          <w:rFonts w:ascii="宋体" w:hAnsi="宋体" w:cs="宋体"/>
          <w:color w:val="000000"/>
          <w:sz w:val="40"/>
          <w:szCs w:val="40"/>
        </w:rPr>
      </w:pPr>
      <w:bookmarkStart w:id="0" w:name="_Toc28756"/>
      <w:bookmarkStart w:id="1" w:name="_Toc23193"/>
      <w:bookmarkStart w:id="2" w:name="_Toc4351"/>
      <w:r>
        <w:rPr>
          <w:rFonts w:hint="eastAsia" w:ascii="宋体" w:hAnsi="宋体" w:cs="宋体"/>
          <w:color w:val="000000"/>
          <w:sz w:val="40"/>
          <w:szCs w:val="40"/>
        </w:rPr>
        <w:t>（</w:t>
      </w:r>
      <w:r>
        <w:rPr>
          <w:rFonts w:hint="eastAsia" w:ascii="宋体" w:hAnsi="宋体" w:cs="宋体"/>
          <w:b/>
          <w:bCs/>
          <w:color w:val="000000"/>
          <w:sz w:val="40"/>
          <w:szCs w:val="40"/>
        </w:rPr>
        <w:t>项目编号：</w:t>
      </w:r>
      <w:r>
        <w:rPr>
          <w:rFonts w:hint="eastAsia" w:ascii="宋体" w:hAnsi="宋体" w:cs="宋体"/>
          <w:b/>
          <w:sz w:val="44"/>
          <w:szCs w:val="44"/>
        </w:rPr>
        <w:t>DXY2022-0010</w:t>
      </w:r>
      <w:r>
        <w:rPr>
          <w:rFonts w:hint="eastAsia" w:ascii="宋体" w:hAnsi="宋体" w:cs="宋体"/>
          <w:color w:val="000000"/>
          <w:sz w:val="40"/>
          <w:szCs w:val="40"/>
        </w:rPr>
        <w:t>）</w:t>
      </w:r>
      <w:bookmarkEnd w:id="0"/>
      <w:bookmarkEnd w:id="1"/>
      <w:bookmarkEnd w:id="2"/>
    </w:p>
    <w:p>
      <w:pPr>
        <w:spacing w:before="240" w:beforeLines="100" w:after="240" w:afterLines="100" w:line="800" w:lineRule="exact"/>
        <w:jc w:val="left"/>
        <w:rPr>
          <w:rFonts w:ascii="宋体" w:hAnsi="宋体" w:cs="宋体"/>
          <w:b/>
          <w:bCs/>
          <w:color w:val="000000"/>
          <w:sz w:val="32"/>
          <w:szCs w:val="32"/>
          <w:lang w:val="es-ES"/>
        </w:rPr>
      </w:pPr>
    </w:p>
    <w:p>
      <w:pPr>
        <w:spacing w:before="240" w:beforeLines="100" w:after="240" w:afterLines="100" w:line="800" w:lineRule="exact"/>
        <w:jc w:val="left"/>
        <w:rPr>
          <w:rFonts w:ascii="宋体" w:hAnsi="宋体" w:cs="宋体"/>
          <w:b/>
          <w:bCs/>
          <w:color w:val="000000"/>
          <w:sz w:val="32"/>
          <w:szCs w:val="32"/>
          <w:lang w:val="es-ES"/>
        </w:rPr>
      </w:pPr>
    </w:p>
    <w:p>
      <w:pPr>
        <w:rPr>
          <w:rFonts w:ascii="宋体" w:hAnsi="宋体" w:cs="宋体"/>
          <w:b/>
          <w:bCs/>
          <w:color w:val="000000"/>
          <w:sz w:val="32"/>
          <w:szCs w:val="32"/>
          <w:lang w:val="es-ES"/>
        </w:rPr>
      </w:pPr>
    </w:p>
    <w:p>
      <w:pPr>
        <w:pStyle w:val="15"/>
        <w:rPr>
          <w:rFonts w:ascii="宋体" w:hAnsi="宋体" w:cs="宋体"/>
          <w:lang w:val="es-ES"/>
        </w:rPr>
      </w:pPr>
    </w:p>
    <w:p>
      <w:pPr>
        <w:spacing w:before="120" w:beforeLines="50" w:after="120" w:afterLines="50" w:line="600" w:lineRule="exact"/>
        <w:jc w:val="center"/>
        <w:rPr>
          <w:rFonts w:ascii="宋体" w:hAnsi="宋体" w:cs="宋体"/>
          <w:b/>
          <w:bCs/>
          <w:color w:val="000000"/>
          <w:sz w:val="32"/>
          <w:szCs w:val="32"/>
          <w:lang w:val="es-ES"/>
        </w:rPr>
      </w:pPr>
      <w:r>
        <w:rPr>
          <w:rFonts w:hint="eastAsia" w:ascii="宋体" w:hAnsi="宋体" w:cs="宋体"/>
          <w:b/>
          <w:bCs/>
          <w:color w:val="000000"/>
          <w:sz w:val="32"/>
          <w:szCs w:val="32"/>
          <w:lang w:val="es-ES"/>
        </w:rPr>
        <w:t>采购代理机构：陕西鼎祥越工程造价咨询有限公司</w:t>
      </w:r>
    </w:p>
    <w:p>
      <w:pPr>
        <w:rPr>
          <w:rFonts w:ascii="宋体" w:hAnsi="宋体" w:cs="宋体"/>
          <w:lang w:val="es-ES"/>
        </w:rPr>
      </w:pPr>
    </w:p>
    <w:p>
      <w:pPr>
        <w:spacing w:before="120" w:beforeLines="50" w:after="120" w:afterLines="50" w:line="600" w:lineRule="exact"/>
        <w:jc w:val="center"/>
        <w:rPr>
          <w:rFonts w:ascii="宋体" w:hAnsi="宋体" w:cs="宋体"/>
          <w:sz w:val="30"/>
          <w:szCs w:val="30"/>
        </w:rPr>
        <w:sectPr>
          <w:headerReference r:id="rId3" w:type="default"/>
          <w:footerReference r:id="rId4" w:type="default"/>
          <w:type w:val="nextColumn"/>
          <w:pgSz w:w="11906" w:h="16838"/>
          <w:pgMar w:top="1134" w:right="1134" w:bottom="1304" w:left="1531" w:header="851" w:footer="851" w:gutter="0"/>
          <w:cols w:space="720" w:num="1"/>
          <w:docGrid w:linePitch="312" w:charSpace="0"/>
        </w:sectPr>
      </w:pPr>
      <w:r>
        <w:rPr>
          <w:rFonts w:hint="eastAsia" w:ascii="宋体" w:hAnsi="宋体" w:cs="宋体"/>
          <w:b/>
          <w:bCs/>
          <w:color w:val="000000"/>
          <w:sz w:val="32"/>
          <w:szCs w:val="32"/>
          <w:lang w:val="es-ES"/>
        </w:rPr>
        <w:t>发布日期：二〇二二年</w:t>
      </w:r>
      <w:r>
        <w:rPr>
          <w:rFonts w:hint="eastAsia" w:ascii="宋体" w:hAnsi="宋体" w:cs="宋体"/>
          <w:b/>
          <w:bCs/>
          <w:sz w:val="32"/>
          <w:szCs w:val="32"/>
          <w:lang w:val="es-ES"/>
        </w:rPr>
        <w:t>五</w:t>
      </w:r>
      <w:r>
        <w:rPr>
          <w:rFonts w:hint="eastAsia" w:ascii="宋体" w:hAnsi="宋体" w:cs="宋体"/>
          <w:b/>
          <w:bCs/>
          <w:color w:val="000000"/>
          <w:sz w:val="32"/>
          <w:szCs w:val="32"/>
          <w:lang w:val="es-ES"/>
        </w:rPr>
        <w:t>月</w:t>
      </w:r>
    </w:p>
    <w:p>
      <w:pPr>
        <w:jc w:val="center"/>
        <w:rPr>
          <w:rFonts w:ascii="宋体" w:hAnsi="宋体" w:cs="宋体"/>
          <w:b/>
          <w:bCs/>
          <w:sz w:val="36"/>
          <w:szCs w:val="36"/>
          <w:lang w:val="zh-CN"/>
        </w:rPr>
      </w:pPr>
      <w:bookmarkStart w:id="3" w:name="_Toc18166"/>
      <w:bookmarkStart w:id="4" w:name="_Toc196474972"/>
    </w:p>
    <w:p>
      <w:pPr>
        <w:spacing w:line="700" w:lineRule="exact"/>
        <w:jc w:val="center"/>
        <w:rPr>
          <w:rFonts w:ascii="宋体" w:hAnsi="宋体" w:cs="宋体"/>
          <w:b/>
          <w:bCs/>
          <w:kern w:val="0"/>
          <w:sz w:val="32"/>
          <w:szCs w:val="32"/>
        </w:rPr>
      </w:pPr>
      <w:r>
        <w:rPr>
          <w:rFonts w:hint="eastAsia" w:ascii="宋体" w:hAnsi="宋体" w:cs="宋体"/>
          <w:b/>
          <w:bCs/>
          <w:kern w:val="0"/>
          <w:sz w:val="32"/>
          <w:szCs w:val="32"/>
        </w:rPr>
        <w:t>疫情防控声明</w:t>
      </w:r>
    </w:p>
    <w:p>
      <w:pPr>
        <w:spacing w:line="700" w:lineRule="exact"/>
        <w:jc w:val="center"/>
        <w:rPr>
          <w:rFonts w:ascii="宋体" w:hAnsi="宋体" w:cs="宋体"/>
          <w:b/>
          <w:bCs/>
          <w:kern w:val="0"/>
          <w:sz w:val="44"/>
          <w:szCs w:val="44"/>
        </w:rPr>
      </w:pPr>
    </w:p>
    <w:p>
      <w:pPr>
        <w:spacing w:line="700" w:lineRule="exact"/>
        <w:ind w:firstLine="600" w:firstLineChars="200"/>
        <w:rPr>
          <w:rFonts w:ascii="宋体" w:hAnsi="宋体" w:cs="宋体"/>
          <w:kern w:val="0"/>
          <w:sz w:val="30"/>
          <w:szCs w:val="30"/>
        </w:rPr>
      </w:pPr>
      <w:r>
        <w:rPr>
          <w:rFonts w:hint="eastAsia" w:ascii="宋体" w:hAnsi="宋体" w:cs="宋体"/>
          <w:kern w:val="0"/>
          <w:sz w:val="30"/>
          <w:szCs w:val="30"/>
        </w:rPr>
        <w:t>为了做好现场人员的防疫防控工作，请相关人员遵守以下规定：</w:t>
      </w:r>
    </w:p>
    <w:p>
      <w:pPr>
        <w:numPr>
          <w:ilvl w:val="0"/>
          <w:numId w:val="7"/>
        </w:numPr>
        <w:spacing w:line="700" w:lineRule="exact"/>
        <w:ind w:firstLine="602" w:firstLineChars="200"/>
        <w:rPr>
          <w:rFonts w:ascii="宋体" w:hAnsi="宋体" w:cs="宋体"/>
          <w:b/>
          <w:kern w:val="0"/>
          <w:sz w:val="30"/>
          <w:szCs w:val="30"/>
        </w:rPr>
      </w:pPr>
      <w:r>
        <w:rPr>
          <w:rFonts w:hint="eastAsia" w:ascii="宋体" w:hAnsi="宋体" w:cs="宋体"/>
          <w:b/>
          <w:kern w:val="0"/>
          <w:sz w:val="30"/>
          <w:szCs w:val="30"/>
        </w:rPr>
        <w:t>所有参会人员必须提供48小时核酸检测证明；</w:t>
      </w:r>
    </w:p>
    <w:p>
      <w:pPr>
        <w:numPr>
          <w:ilvl w:val="0"/>
          <w:numId w:val="7"/>
        </w:numPr>
        <w:spacing w:line="700" w:lineRule="exact"/>
        <w:ind w:firstLine="600" w:firstLineChars="200"/>
        <w:rPr>
          <w:rFonts w:ascii="宋体" w:hAnsi="宋体" w:cs="宋体"/>
          <w:kern w:val="0"/>
          <w:sz w:val="30"/>
          <w:szCs w:val="30"/>
        </w:rPr>
      </w:pPr>
      <w:r>
        <w:rPr>
          <w:rFonts w:hint="eastAsia" w:ascii="宋体" w:hAnsi="宋体" w:cs="宋体"/>
          <w:kern w:val="0"/>
          <w:sz w:val="30"/>
          <w:szCs w:val="30"/>
        </w:rPr>
        <w:t>所有人员进入公司须佩戴口罩，并积极配合工作人员扫描健康码并进行体温检测；</w:t>
      </w:r>
    </w:p>
    <w:p>
      <w:pPr>
        <w:numPr>
          <w:ilvl w:val="0"/>
          <w:numId w:val="7"/>
        </w:numPr>
        <w:spacing w:line="700" w:lineRule="exact"/>
        <w:ind w:firstLine="600" w:firstLineChars="200"/>
        <w:rPr>
          <w:rFonts w:ascii="宋体" w:hAnsi="宋体" w:cs="宋体"/>
          <w:kern w:val="0"/>
          <w:sz w:val="30"/>
          <w:szCs w:val="30"/>
        </w:rPr>
      </w:pPr>
      <w:r>
        <w:rPr>
          <w:rFonts w:hint="eastAsia" w:ascii="宋体" w:hAnsi="宋体" w:cs="宋体"/>
          <w:kern w:val="0"/>
          <w:sz w:val="30"/>
          <w:szCs w:val="30"/>
        </w:rPr>
        <w:t>未按疫情防护要求佩戴口罩者、健康码及行程码为黄码\红码或体温超过37.3℃的人员禁止入内；</w:t>
      </w:r>
    </w:p>
    <w:p>
      <w:pPr>
        <w:numPr>
          <w:ilvl w:val="0"/>
          <w:numId w:val="7"/>
        </w:numPr>
        <w:spacing w:line="700" w:lineRule="exact"/>
        <w:ind w:firstLine="600" w:firstLineChars="200"/>
        <w:rPr>
          <w:rFonts w:ascii="宋体" w:hAnsi="宋体" w:cs="宋体"/>
          <w:kern w:val="0"/>
          <w:sz w:val="30"/>
          <w:szCs w:val="30"/>
        </w:rPr>
      </w:pPr>
      <w:r>
        <w:rPr>
          <w:rFonts w:hint="eastAsia" w:ascii="宋体" w:hAnsi="宋体" w:cs="宋体"/>
          <w:kern w:val="0"/>
          <w:sz w:val="30"/>
          <w:szCs w:val="30"/>
        </w:rPr>
        <w:t>来自</w:t>
      </w:r>
      <w:r>
        <w:rPr>
          <w:rFonts w:hint="eastAsia" w:ascii="宋体" w:hAnsi="宋体" w:cs="宋体"/>
          <w:sz w:val="30"/>
          <w:szCs w:val="30"/>
        </w:rPr>
        <w:t>高、中风险、</w:t>
      </w:r>
      <w:r>
        <w:rPr>
          <w:rFonts w:hint="eastAsia" w:ascii="宋体" w:hAnsi="宋体" w:cs="宋体"/>
          <w:kern w:val="0"/>
          <w:sz w:val="30"/>
          <w:szCs w:val="30"/>
        </w:rPr>
        <w:t>重点防疫地区的各类人员，及其他不符合防疫防控管理要求的人员禁止入内；</w:t>
      </w:r>
    </w:p>
    <w:p>
      <w:pPr>
        <w:numPr>
          <w:ilvl w:val="0"/>
          <w:numId w:val="7"/>
        </w:numPr>
        <w:spacing w:line="700" w:lineRule="exact"/>
        <w:ind w:firstLine="600" w:firstLineChars="200"/>
        <w:rPr>
          <w:rFonts w:ascii="宋体" w:hAnsi="宋体" w:cs="宋体"/>
          <w:kern w:val="0"/>
          <w:sz w:val="30"/>
          <w:szCs w:val="30"/>
        </w:rPr>
      </w:pPr>
      <w:r>
        <w:rPr>
          <w:rFonts w:hint="eastAsia" w:ascii="宋体" w:hAnsi="宋体" w:cs="宋体"/>
          <w:kern w:val="0"/>
          <w:sz w:val="30"/>
          <w:szCs w:val="30"/>
        </w:rPr>
        <w:t>“当日体温偏离正常范围，近期出现感冒、胸闷、咳嗽、发热等症状或来自</w:t>
      </w:r>
      <w:r>
        <w:rPr>
          <w:rFonts w:hint="eastAsia" w:ascii="宋体" w:hAnsi="宋体" w:cs="宋体"/>
          <w:sz w:val="30"/>
          <w:szCs w:val="30"/>
        </w:rPr>
        <w:t>高、中风险、</w:t>
      </w:r>
      <w:r>
        <w:rPr>
          <w:rFonts w:hint="eastAsia" w:ascii="宋体" w:hAnsi="宋体" w:cs="宋体"/>
          <w:kern w:val="0"/>
          <w:sz w:val="30"/>
          <w:szCs w:val="30"/>
        </w:rPr>
        <w:t>重点疫区且隔离期未满的以及有发热病人接触史”等情形人员禁止入内；</w:t>
      </w:r>
    </w:p>
    <w:p>
      <w:pPr>
        <w:pStyle w:val="46"/>
        <w:rPr>
          <w:rFonts w:ascii="宋体" w:hAnsi="宋体" w:cs="宋体"/>
        </w:rPr>
      </w:pPr>
    </w:p>
    <w:p>
      <w:pPr>
        <w:spacing w:line="480" w:lineRule="auto"/>
        <w:ind w:firstLine="602" w:firstLineChars="200"/>
        <w:rPr>
          <w:rFonts w:ascii="宋体" w:hAnsi="宋体" w:cs="宋体"/>
        </w:rPr>
      </w:pPr>
      <w:r>
        <w:rPr>
          <w:rFonts w:hint="eastAsia" w:ascii="宋体" w:hAnsi="宋体" w:cs="宋体"/>
          <w:b/>
          <w:bCs/>
          <w:kern w:val="0"/>
          <w:sz w:val="30"/>
          <w:szCs w:val="30"/>
        </w:rPr>
        <w:t>各供应商应及时了解当地疫情防控通知要求，因上述等原因造成无法按时参加招投标活动或办理相关业务而带来的损失自行承担。</w:t>
      </w:r>
    </w:p>
    <w:p>
      <w:pPr>
        <w:jc w:val="center"/>
        <w:rPr>
          <w:rFonts w:ascii="宋体" w:hAnsi="宋体" w:cs="宋体"/>
          <w:b/>
          <w:bCs/>
          <w:sz w:val="36"/>
          <w:szCs w:val="36"/>
          <w:lang w:val="zh-CN"/>
        </w:rPr>
        <w:sectPr>
          <w:headerReference r:id="rId5" w:type="default"/>
          <w:footerReference r:id="rId6" w:type="default"/>
          <w:footnotePr>
            <w:numFmt w:val="decimalEnclosedCircleChinese"/>
            <w:numRestart w:val="eachPage"/>
          </w:footnotePr>
          <w:pgSz w:w="11907" w:h="16840"/>
          <w:pgMar w:top="1440" w:right="1361" w:bottom="1440" w:left="1361" w:header="720" w:footer="680" w:gutter="0"/>
          <w:pgNumType w:fmt="decimal" w:start="1"/>
          <w:cols w:space="720" w:num="1"/>
        </w:sectPr>
      </w:pPr>
    </w:p>
    <w:p>
      <w:pPr>
        <w:spacing w:line="480" w:lineRule="auto"/>
        <w:jc w:val="center"/>
        <w:rPr>
          <w:sz w:val="28"/>
          <w:szCs w:val="28"/>
        </w:rPr>
      </w:pPr>
      <w:r>
        <w:rPr>
          <w:rFonts w:hint="eastAsia" w:ascii="宋体" w:hAnsi="宋体" w:cs="宋体"/>
          <w:b/>
          <w:bCs/>
          <w:sz w:val="28"/>
          <w:szCs w:val="28"/>
          <w:lang w:val="zh-CN"/>
        </w:rPr>
        <w:t>目   录</w:t>
      </w:r>
      <w:bookmarkEnd w:id="3"/>
    </w:p>
    <w:p>
      <w:pPr>
        <w:pStyle w:val="26"/>
        <w:tabs>
          <w:tab w:val="right" w:leader="dot" w:pos="9185"/>
          <w:tab w:val="clear" w:pos="8280"/>
          <w:tab w:val="clear" w:pos="9360"/>
        </w:tabs>
        <w:spacing w:line="480" w:lineRule="auto"/>
      </w:pPr>
      <w:r>
        <w:rPr>
          <w:rFonts w:hint="eastAsia" w:cs="宋体"/>
          <w:szCs w:val="28"/>
        </w:rPr>
        <w:fldChar w:fldCharType="begin"/>
      </w:r>
      <w:r>
        <w:rPr>
          <w:rFonts w:hint="eastAsia" w:cs="宋体"/>
          <w:szCs w:val="28"/>
        </w:rPr>
        <w:instrText xml:space="preserve">TOC \o "1-1" \h \u </w:instrText>
      </w:r>
      <w:r>
        <w:rPr>
          <w:rFonts w:hint="eastAsia" w:cs="宋体"/>
          <w:szCs w:val="28"/>
        </w:rPr>
        <w:fldChar w:fldCharType="separate"/>
      </w:r>
      <w:r>
        <w:rPr>
          <w:rFonts w:hint="eastAsia" w:ascii="宋体" w:hAnsi="宋体" w:cs="宋体"/>
          <w:bCs/>
          <w:szCs w:val="28"/>
        </w:rPr>
        <w:fldChar w:fldCharType="begin"/>
      </w:r>
      <w:r>
        <w:rPr>
          <w:rFonts w:hint="eastAsia" w:ascii="宋体" w:hAnsi="宋体" w:cs="宋体"/>
          <w:bCs/>
          <w:szCs w:val="28"/>
        </w:rPr>
        <w:instrText xml:space="preserve"> HYPERLINK \l _Toc32178 </w:instrText>
      </w:r>
      <w:r>
        <w:rPr>
          <w:rFonts w:hint="eastAsia" w:ascii="宋体" w:hAnsi="宋体" w:cs="宋体"/>
          <w:bCs/>
          <w:szCs w:val="28"/>
        </w:rPr>
        <w:fldChar w:fldCharType="separate"/>
      </w:r>
      <w:r>
        <w:rPr>
          <w:rFonts w:hint="eastAsia" w:ascii="宋体" w:hAnsi="宋体" w:eastAsia="宋体" w:cs="宋体"/>
          <w:bCs/>
          <w:szCs w:val="36"/>
        </w:rPr>
        <w:t>第一章  招标公告</w:t>
      </w:r>
      <w:r>
        <w:tab/>
      </w:r>
      <w:r>
        <w:fldChar w:fldCharType="begin"/>
      </w:r>
      <w:r>
        <w:instrText xml:space="preserve"> PAGEREF _Toc32178 \h </w:instrText>
      </w:r>
      <w:r>
        <w:fldChar w:fldCharType="separate"/>
      </w:r>
      <w:r>
        <w:t>3</w:t>
      </w:r>
      <w:r>
        <w:fldChar w:fldCharType="end"/>
      </w:r>
      <w:r>
        <w:rPr>
          <w:rFonts w:hint="eastAsia" w:ascii="宋体" w:hAnsi="宋体" w:cs="宋体"/>
          <w:bCs/>
          <w:szCs w:val="28"/>
        </w:rPr>
        <w:fldChar w:fldCharType="end"/>
      </w:r>
    </w:p>
    <w:p>
      <w:pPr>
        <w:pStyle w:val="26"/>
        <w:tabs>
          <w:tab w:val="right" w:leader="dot" w:pos="9185"/>
          <w:tab w:val="clear" w:pos="8280"/>
          <w:tab w:val="clear" w:pos="9360"/>
        </w:tabs>
        <w:spacing w:line="480" w:lineRule="auto"/>
      </w:pPr>
      <w:r>
        <w:rPr>
          <w:rFonts w:hint="eastAsia" w:ascii="宋体" w:hAnsi="宋体" w:cs="宋体"/>
          <w:bCs/>
          <w:szCs w:val="28"/>
        </w:rPr>
        <w:fldChar w:fldCharType="begin"/>
      </w:r>
      <w:r>
        <w:rPr>
          <w:rFonts w:hint="eastAsia" w:ascii="宋体" w:hAnsi="宋体" w:cs="宋体"/>
          <w:bCs/>
          <w:szCs w:val="28"/>
        </w:rPr>
        <w:instrText xml:space="preserve"> HYPERLINK \l _Toc30066 </w:instrText>
      </w:r>
      <w:r>
        <w:rPr>
          <w:rFonts w:hint="eastAsia" w:ascii="宋体" w:hAnsi="宋体" w:cs="宋体"/>
          <w:bCs/>
          <w:szCs w:val="28"/>
        </w:rPr>
        <w:fldChar w:fldCharType="separate"/>
      </w:r>
      <w:r>
        <w:rPr>
          <w:rFonts w:hint="eastAsia" w:ascii="宋体" w:hAnsi="宋体" w:eastAsia="宋体" w:cs="宋体"/>
          <w:bCs/>
          <w:szCs w:val="36"/>
        </w:rPr>
        <w:t>第二章  投标人须知</w:t>
      </w:r>
      <w:r>
        <w:tab/>
      </w:r>
      <w:r>
        <w:fldChar w:fldCharType="begin"/>
      </w:r>
      <w:r>
        <w:instrText xml:space="preserve"> PAGEREF _Toc30066 \h </w:instrText>
      </w:r>
      <w:r>
        <w:fldChar w:fldCharType="separate"/>
      </w:r>
      <w:r>
        <w:t>7</w:t>
      </w:r>
      <w:r>
        <w:fldChar w:fldCharType="end"/>
      </w:r>
      <w:r>
        <w:rPr>
          <w:rFonts w:hint="eastAsia" w:ascii="宋体" w:hAnsi="宋体" w:cs="宋体"/>
          <w:bCs/>
          <w:szCs w:val="28"/>
        </w:rPr>
        <w:fldChar w:fldCharType="end"/>
      </w:r>
    </w:p>
    <w:p>
      <w:pPr>
        <w:pStyle w:val="26"/>
        <w:tabs>
          <w:tab w:val="right" w:leader="dot" w:pos="9185"/>
          <w:tab w:val="clear" w:pos="8280"/>
          <w:tab w:val="clear" w:pos="9360"/>
        </w:tabs>
        <w:spacing w:line="480" w:lineRule="auto"/>
      </w:pPr>
      <w:r>
        <w:rPr>
          <w:rFonts w:hint="eastAsia" w:ascii="宋体" w:hAnsi="宋体" w:cs="宋体"/>
          <w:bCs/>
          <w:szCs w:val="28"/>
        </w:rPr>
        <w:fldChar w:fldCharType="begin"/>
      </w:r>
      <w:r>
        <w:rPr>
          <w:rFonts w:hint="eastAsia" w:ascii="宋体" w:hAnsi="宋体" w:cs="宋体"/>
          <w:bCs/>
          <w:szCs w:val="28"/>
        </w:rPr>
        <w:instrText xml:space="preserve"> HYPERLINK \l _Toc30873 </w:instrText>
      </w:r>
      <w:r>
        <w:rPr>
          <w:rFonts w:hint="eastAsia" w:ascii="宋体" w:hAnsi="宋体" w:cs="宋体"/>
          <w:bCs/>
          <w:szCs w:val="28"/>
        </w:rPr>
        <w:fldChar w:fldCharType="separate"/>
      </w:r>
      <w:r>
        <w:rPr>
          <w:rFonts w:hint="eastAsia" w:ascii="宋体" w:hAnsi="宋体" w:eastAsia="宋体" w:cs="宋体"/>
          <w:bCs/>
          <w:szCs w:val="36"/>
        </w:rPr>
        <w:t>第三章  评标办法</w:t>
      </w:r>
      <w:r>
        <w:tab/>
      </w:r>
      <w:r>
        <w:fldChar w:fldCharType="begin"/>
      </w:r>
      <w:r>
        <w:instrText xml:space="preserve"> PAGEREF _Toc30873 \h </w:instrText>
      </w:r>
      <w:r>
        <w:fldChar w:fldCharType="separate"/>
      </w:r>
      <w:r>
        <w:t>34</w:t>
      </w:r>
      <w:r>
        <w:fldChar w:fldCharType="end"/>
      </w:r>
      <w:r>
        <w:rPr>
          <w:rFonts w:hint="eastAsia" w:ascii="宋体" w:hAnsi="宋体" w:cs="宋体"/>
          <w:bCs/>
          <w:szCs w:val="28"/>
        </w:rPr>
        <w:fldChar w:fldCharType="end"/>
      </w:r>
    </w:p>
    <w:p>
      <w:pPr>
        <w:pStyle w:val="26"/>
        <w:tabs>
          <w:tab w:val="right" w:leader="dot" w:pos="9185"/>
          <w:tab w:val="clear" w:pos="8280"/>
          <w:tab w:val="clear" w:pos="9360"/>
        </w:tabs>
        <w:spacing w:line="480" w:lineRule="auto"/>
      </w:pPr>
      <w:r>
        <w:rPr>
          <w:rFonts w:hint="eastAsia" w:ascii="宋体" w:hAnsi="宋体" w:cs="宋体"/>
          <w:bCs/>
          <w:szCs w:val="28"/>
        </w:rPr>
        <w:fldChar w:fldCharType="begin"/>
      </w:r>
      <w:r>
        <w:rPr>
          <w:rFonts w:hint="eastAsia" w:ascii="宋体" w:hAnsi="宋体" w:cs="宋体"/>
          <w:bCs/>
          <w:szCs w:val="28"/>
        </w:rPr>
        <w:instrText xml:space="preserve"> HYPERLINK \l _Toc1053 </w:instrText>
      </w:r>
      <w:r>
        <w:rPr>
          <w:rFonts w:hint="eastAsia" w:ascii="宋体" w:hAnsi="宋体" w:cs="宋体"/>
          <w:bCs/>
          <w:szCs w:val="28"/>
        </w:rPr>
        <w:fldChar w:fldCharType="separate"/>
      </w:r>
      <w:r>
        <w:rPr>
          <w:rFonts w:hint="eastAsia" w:ascii="宋体" w:hAnsi="宋体" w:eastAsia="宋体" w:cs="宋体"/>
          <w:bCs/>
          <w:szCs w:val="36"/>
        </w:rPr>
        <w:t>第四章  采购内容及技术要求</w:t>
      </w:r>
      <w:r>
        <w:tab/>
      </w:r>
      <w:r>
        <w:fldChar w:fldCharType="begin"/>
      </w:r>
      <w:r>
        <w:instrText xml:space="preserve"> PAGEREF _Toc1053 \h </w:instrText>
      </w:r>
      <w:r>
        <w:fldChar w:fldCharType="separate"/>
      </w:r>
      <w:r>
        <w:t>46</w:t>
      </w:r>
      <w:r>
        <w:fldChar w:fldCharType="end"/>
      </w:r>
      <w:r>
        <w:rPr>
          <w:rFonts w:hint="eastAsia" w:ascii="宋体" w:hAnsi="宋体" w:cs="宋体"/>
          <w:bCs/>
          <w:szCs w:val="28"/>
        </w:rPr>
        <w:fldChar w:fldCharType="end"/>
      </w:r>
    </w:p>
    <w:p>
      <w:pPr>
        <w:pStyle w:val="26"/>
        <w:tabs>
          <w:tab w:val="right" w:leader="dot" w:pos="9185"/>
          <w:tab w:val="clear" w:pos="8280"/>
          <w:tab w:val="clear" w:pos="9360"/>
        </w:tabs>
        <w:spacing w:line="480" w:lineRule="auto"/>
      </w:pPr>
      <w:r>
        <w:rPr>
          <w:rFonts w:hint="eastAsia" w:ascii="宋体" w:hAnsi="宋体" w:cs="宋体"/>
          <w:bCs/>
          <w:szCs w:val="28"/>
        </w:rPr>
        <w:fldChar w:fldCharType="begin"/>
      </w:r>
      <w:r>
        <w:rPr>
          <w:rFonts w:hint="eastAsia" w:ascii="宋体" w:hAnsi="宋体" w:cs="宋体"/>
          <w:bCs/>
          <w:szCs w:val="28"/>
        </w:rPr>
        <w:instrText xml:space="preserve"> HYPERLINK \l _Toc23294 </w:instrText>
      </w:r>
      <w:r>
        <w:rPr>
          <w:rFonts w:hint="eastAsia" w:ascii="宋体" w:hAnsi="宋体" w:cs="宋体"/>
          <w:bCs/>
          <w:szCs w:val="28"/>
        </w:rPr>
        <w:fldChar w:fldCharType="separate"/>
      </w:r>
      <w:r>
        <w:rPr>
          <w:rFonts w:hint="eastAsia" w:ascii="宋体" w:hAnsi="宋体" w:eastAsia="宋体" w:cs="宋体"/>
          <w:bCs/>
          <w:szCs w:val="36"/>
        </w:rPr>
        <w:t>第五章  合同条款</w:t>
      </w:r>
      <w:r>
        <w:tab/>
      </w:r>
      <w:r>
        <w:fldChar w:fldCharType="begin"/>
      </w:r>
      <w:r>
        <w:instrText xml:space="preserve"> PAGEREF _Toc23294 \h </w:instrText>
      </w:r>
      <w:r>
        <w:fldChar w:fldCharType="separate"/>
      </w:r>
      <w:r>
        <w:t>107</w:t>
      </w:r>
      <w:r>
        <w:fldChar w:fldCharType="end"/>
      </w:r>
      <w:r>
        <w:rPr>
          <w:rFonts w:hint="eastAsia" w:ascii="宋体" w:hAnsi="宋体" w:cs="宋体"/>
          <w:bCs/>
          <w:szCs w:val="28"/>
        </w:rPr>
        <w:fldChar w:fldCharType="end"/>
      </w:r>
    </w:p>
    <w:p>
      <w:pPr>
        <w:pStyle w:val="26"/>
        <w:tabs>
          <w:tab w:val="right" w:leader="dot" w:pos="9185"/>
          <w:tab w:val="clear" w:pos="8280"/>
          <w:tab w:val="clear" w:pos="9360"/>
        </w:tabs>
        <w:spacing w:line="480" w:lineRule="auto"/>
      </w:pPr>
      <w:r>
        <w:rPr>
          <w:rFonts w:hint="eastAsia" w:ascii="宋体" w:hAnsi="宋体" w:cs="宋体"/>
          <w:bCs/>
          <w:szCs w:val="28"/>
        </w:rPr>
        <w:fldChar w:fldCharType="begin"/>
      </w:r>
      <w:r>
        <w:rPr>
          <w:rFonts w:hint="eastAsia" w:ascii="宋体" w:hAnsi="宋体" w:cs="宋体"/>
          <w:bCs/>
          <w:szCs w:val="28"/>
        </w:rPr>
        <w:instrText xml:space="preserve"> HYPERLINK \l _Toc8179 </w:instrText>
      </w:r>
      <w:r>
        <w:rPr>
          <w:rFonts w:hint="eastAsia" w:ascii="宋体" w:hAnsi="宋体" w:cs="宋体"/>
          <w:bCs/>
          <w:szCs w:val="28"/>
        </w:rPr>
        <w:fldChar w:fldCharType="separate"/>
      </w:r>
      <w:r>
        <w:rPr>
          <w:rFonts w:hint="eastAsia" w:ascii="宋体" w:hAnsi="宋体" w:eastAsia="宋体" w:cs="宋体"/>
          <w:bCs/>
          <w:szCs w:val="36"/>
        </w:rPr>
        <w:t>第六章  投标文件格式</w:t>
      </w:r>
      <w:r>
        <w:tab/>
      </w:r>
      <w:r>
        <w:fldChar w:fldCharType="begin"/>
      </w:r>
      <w:r>
        <w:instrText xml:space="preserve"> PAGEREF _Toc8179 \h </w:instrText>
      </w:r>
      <w:r>
        <w:fldChar w:fldCharType="separate"/>
      </w:r>
      <w:r>
        <w:t>115</w:t>
      </w:r>
      <w:r>
        <w:fldChar w:fldCharType="end"/>
      </w:r>
      <w:r>
        <w:rPr>
          <w:rFonts w:hint="eastAsia" w:ascii="宋体" w:hAnsi="宋体" w:cs="宋体"/>
          <w:bCs/>
          <w:szCs w:val="28"/>
        </w:rPr>
        <w:fldChar w:fldCharType="end"/>
      </w:r>
    </w:p>
    <w:p>
      <w:pPr>
        <w:pStyle w:val="29"/>
        <w:tabs>
          <w:tab w:val="right" w:leader="dot" w:pos="9458"/>
        </w:tabs>
        <w:spacing w:line="480" w:lineRule="auto"/>
        <w:ind w:left="0" w:leftChars="0"/>
        <w:rPr>
          <w:rFonts w:ascii="宋体" w:hAnsi="宋体" w:cs="宋体"/>
          <w:sz w:val="28"/>
          <w:szCs w:val="28"/>
        </w:rPr>
      </w:pPr>
      <w:r>
        <w:rPr>
          <w:rFonts w:hint="eastAsia" w:ascii="宋体" w:hAnsi="宋体" w:cs="宋体"/>
          <w:bCs/>
          <w:szCs w:val="28"/>
        </w:rPr>
        <w:fldChar w:fldCharType="end"/>
      </w:r>
    </w:p>
    <w:p>
      <w:pPr>
        <w:pStyle w:val="29"/>
        <w:tabs>
          <w:tab w:val="right" w:leader="dot" w:pos="9458"/>
        </w:tabs>
        <w:spacing w:line="480" w:lineRule="auto"/>
        <w:ind w:left="0" w:leftChars="0"/>
        <w:rPr>
          <w:rFonts w:ascii="宋体" w:hAnsi="宋体" w:cs="宋体"/>
          <w:szCs w:val="21"/>
        </w:rPr>
      </w:pPr>
    </w:p>
    <w:p>
      <w:pPr>
        <w:pStyle w:val="29"/>
        <w:tabs>
          <w:tab w:val="right" w:leader="dot" w:pos="9458"/>
        </w:tabs>
        <w:spacing w:line="600" w:lineRule="exact"/>
        <w:ind w:left="0" w:leftChars="0"/>
        <w:rPr>
          <w:rFonts w:ascii="宋体" w:hAnsi="宋体" w:cs="宋体"/>
          <w:szCs w:val="21"/>
        </w:rPr>
      </w:pPr>
    </w:p>
    <w:p>
      <w:pPr>
        <w:pStyle w:val="29"/>
        <w:tabs>
          <w:tab w:val="right" w:leader="dot" w:pos="9458"/>
        </w:tabs>
        <w:spacing w:line="600" w:lineRule="exact"/>
        <w:ind w:left="0" w:leftChars="0"/>
        <w:rPr>
          <w:rFonts w:ascii="宋体" w:hAnsi="宋体" w:cs="宋体"/>
          <w:szCs w:val="21"/>
        </w:rPr>
      </w:pPr>
    </w:p>
    <w:p>
      <w:pPr>
        <w:pStyle w:val="29"/>
        <w:tabs>
          <w:tab w:val="right" w:leader="dot" w:pos="9458"/>
        </w:tabs>
        <w:spacing w:line="600" w:lineRule="exact"/>
        <w:ind w:left="0" w:leftChars="0"/>
        <w:rPr>
          <w:rFonts w:ascii="宋体" w:hAnsi="宋体" w:cs="宋体"/>
          <w:szCs w:val="21"/>
        </w:rPr>
      </w:pPr>
    </w:p>
    <w:p>
      <w:pPr>
        <w:pStyle w:val="29"/>
        <w:tabs>
          <w:tab w:val="right" w:leader="dot" w:pos="9458"/>
        </w:tabs>
        <w:spacing w:line="600" w:lineRule="exact"/>
        <w:ind w:left="0" w:leftChars="0"/>
        <w:rPr>
          <w:rFonts w:ascii="宋体" w:hAnsi="宋体" w:cs="宋体"/>
          <w:szCs w:val="21"/>
        </w:rPr>
      </w:pPr>
    </w:p>
    <w:p>
      <w:pPr>
        <w:pStyle w:val="29"/>
        <w:tabs>
          <w:tab w:val="right" w:leader="dot" w:pos="9458"/>
        </w:tabs>
        <w:spacing w:line="600" w:lineRule="exact"/>
        <w:ind w:left="0" w:leftChars="0"/>
        <w:rPr>
          <w:rFonts w:ascii="宋体" w:hAnsi="宋体" w:cs="宋体"/>
          <w:szCs w:val="21"/>
        </w:rPr>
      </w:pPr>
    </w:p>
    <w:p>
      <w:pPr>
        <w:pStyle w:val="29"/>
        <w:tabs>
          <w:tab w:val="right" w:leader="dot" w:pos="9458"/>
        </w:tabs>
        <w:spacing w:line="600" w:lineRule="exact"/>
        <w:ind w:left="0" w:leftChars="0"/>
        <w:rPr>
          <w:rFonts w:ascii="宋体" w:hAnsi="宋体" w:cs="宋体"/>
          <w:szCs w:val="21"/>
        </w:rPr>
      </w:pPr>
    </w:p>
    <w:p>
      <w:pPr>
        <w:pStyle w:val="29"/>
        <w:tabs>
          <w:tab w:val="right" w:leader="dot" w:pos="9458"/>
        </w:tabs>
        <w:spacing w:line="600" w:lineRule="exact"/>
        <w:ind w:left="0" w:leftChars="0"/>
        <w:rPr>
          <w:rFonts w:ascii="宋体" w:hAnsi="宋体" w:cs="宋体"/>
          <w:szCs w:val="21"/>
        </w:rPr>
      </w:pPr>
    </w:p>
    <w:p>
      <w:pPr>
        <w:pStyle w:val="2"/>
        <w:numPr>
          <w:ilvl w:val="0"/>
          <w:numId w:val="0"/>
        </w:numPr>
        <w:ind w:left="636" w:leftChars="0"/>
        <w:jc w:val="both"/>
      </w:pPr>
    </w:p>
    <w:p/>
    <w:p>
      <w:pPr>
        <w:pStyle w:val="29"/>
        <w:tabs>
          <w:tab w:val="right" w:leader="dot" w:pos="9458"/>
        </w:tabs>
        <w:spacing w:line="600" w:lineRule="exact"/>
        <w:ind w:left="0" w:leftChars="0"/>
        <w:rPr>
          <w:rFonts w:ascii="宋体" w:hAnsi="宋体" w:cs="宋体"/>
          <w:sz w:val="36"/>
          <w:szCs w:val="36"/>
        </w:rPr>
      </w:pPr>
      <w:bookmarkStart w:id="5" w:name="_Toc204055778"/>
      <w:bookmarkStart w:id="6" w:name="_Toc222740105"/>
    </w:p>
    <w:p/>
    <w:p>
      <w:pPr>
        <w:pStyle w:val="2"/>
        <w:numPr>
          <w:ilvl w:val="0"/>
          <w:numId w:val="0"/>
        </w:numPr>
        <w:ind w:left="636" w:leftChars="0"/>
        <w:jc w:val="both"/>
      </w:pPr>
    </w:p>
    <w:p/>
    <w:p>
      <w:pPr>
        <w:rPr>
          <w:rFonts w:ascii="宋体" w:hAnsi="宋体" w:cs="宋体"/>
          <w:sz w:val="36"/>
          <w:szCs w:val="36"/>
        </w:rPr>
      </w:pPr>
    </w:p>
    <w:bookmarkEnd w:id="4"/>
    <w:bookmarkEnd w:id="5"/>
    <w:bookmarkEnd w:id="6"/>
    <w:p>
      <w:pPr>
        <w:pStyle w:val="15"/>
        <w:jc w:val="both"/>
        <w:rPr>
          <w:b/>
          <w:bCs/>
        </w:rPr>
      </w:pPr>
    </w:p>
    <w:p>
      <w:pPr>
        <w:pStyle w:val="3"/>
        <w:numPr>
          <w:ilvl w:val="0"/>
          <w:numId w:val="0"/>
        </w:numPr>
        <w:tabs>
          <w:tab w:val="clear" w:pos="324"/>
        </w:tabs>
        <w:rPr>
          <w:rFonts w:ascii="宋体" w:hAnsi="宋体" w:eastAsia="宋体" w:cs="宋体"/>
          <w:b/>
          <w:bCs/>
          <w:sz w:val="36"/>
          <w:szCs w:val="36"/>
        </w:rPr>
      </w:pPr>
      <w:bookmarkStart w:id="7" w:name="_Toc32178"/>
      <w:r>
        <w:rPr>
          <w:rFonts w:hint="eastAsia" w:ascii="宋体" w:hAnsi="宋体" w:eastAsia="宋体" w:cs="宋体"/>
          <w:b/>
          <w:bCs/>
          <w:sz w:val="36"/>
          <w:szCs w:val="36"/>
        </w:rPr>
        <w:t>第一章  招标公告</w:t>
      </w:r>
      <w:bookmarkEnd w:id="7"/>
    </w:p>
    <w:p>
      <w:pPr>
        <w:keepNext w:val="0"/>
        <w:keepLines w:val="0"/>
        <w:widowControl/>
        <w:suppressLineNumbers w:val="0"/>
        <w:pBdr>
          <w:top w:val="none" w:color="auto" w:sz="0" w:space="0"/>
          <w:left w:val="none" w:color="auto" w:sz="0" w:space="0"/>
          <w:bottom w:val="none" w:color="auto" w:sz="0" w:space="0"/>
          <w:right w:val="none" w:color="auto" w:sz="0" w:space="0"/>
        </w:pBdr>
        <w:spacing w:line="240" w:lineRule="auto"/>
        <w:jc w:val="center"/>
        <w:rPr>
          <w:rFonts w:hint="eastAsia" w:ascii="宋体" w:hAnsi="宋体" w:eastAsia="宋体" w:cs="宋体"/>
          <w:b/>
          <w:bCs/>
          <w:color w:val="auto"/>
          <w:kern w:val="0"/>
          <w:sz w:val="30"/>
          <w:szCs w:val="30"/>
          <w:lang w:val="en-US" w:eastAsia="zh-CN" w:bidi="ar"/>
        </w:rPr>
      </w:pPr>
      <w:bookmarkStart w:id="8" w:name="_Toc222740108"/>
      <w:bookmarkStart w:id="9" w:name="_Toc204055781"/>
      <w:bookmarkStart w:id="10" w:name="_Toc196474973"/>
      <w:bookmarkStart w:id="11" w:name="_Toc404444231"/>
      <w:r>
        <w:rPr>
          <w:rFonts w:hint="eastAsia" w:ascii="宋体" w:hAnsi="宋体" w:eastAsia="宋体" w:cs="宋体"/>
          <w:b/>
          <w:bCs/>
          <w:color w:val="auto"/>
          <w:kern w:val="0"/>
          <w:sz w:val="30"/>
          <w:szCs w:val="30"/>
          <w:lang w:val="en-US" w:eastAsia="zh-CN" w:bidi="ar"/>
        </w:rPr>
        <w:t>恒大小学部室配备采购项目招标公告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1"/>
          <w:szCs w:val="21"/>
        </w:rPr>
      </w:pPr>
      <w:r>
        <w:rPr>
          <w:rStyle w:val="39"/>
          <w:rFonts w:hint="eastAsia" w:ascii="宋体" w:hAnsi="宋体" w:eastAsia="宋体" w:cs="宋体"/>
          <w:b/>
          <w:bCs/>
          <w:i w:val="0"/>
          <w:iCs w:val="0"/>
          <w:caps w:val="0"/>
          <w:color w:val="auto"/>
          <w:spacing w:val="0"/>
          <w:sz w:val="21"/>
          <w:szCs w:val="21"/>
          <w:shd w:val="clear" w:fill="FFFFFF"/>
        </w:rPr>
        <w:t>项目概况</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恒大小学部室配备采购项目招标项目的潜在投标人应在宝鸡市行政中心海棠风尚1510室获取招标文件，并于2022年05月31日 09时30分（北京时间）前递交投标文件。</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hAnsi="宋体" w:eastAsia="宋体" w:cs="宋体"/>
          <w:b/>
          <w:bCs/>
          <w:i w:val="0"/>
          <w:iCs w:val="0"/>
          <w:caps w:val="0"/>
          <w:color w:val="auto"/>
          <w:spacing w:val="0"/>
          <w:sz w:val="21"/>
          <w:szCs w:val="21"/>
          <w:shd w:val="clear" w:fill="FFFFFF"/>
        </w:rPr>
      </w:pPr>
      <w:r>
        <w:rPr>
          <w:rFonts w:hint="eastAsia" w:ascii="宋体" w:hAnsi="宋体" w:eastAsia="宋体" w:cs="宋体"/>
          <w:b/>
          <w:bCs/>
          <w:i w:val="0"/>
          <w:iCs w:val="0"/>
          <w:caps w:val="0"/>
          <w:color w:val="auto"/>
          <w:spacing w:val="0"/>
          <w:sz w:val="21"/>
          <w:szCs w:val="21"/>
          <w:shd w:val="clear" w:fill="FFFFFF"/>
        </w:rPr>
        <w:t>一、项目基本情况</w:t>
      </w:r>
    </w:p>
    <w:p>
      <w:pPr>
        <w:pStyle w:val="3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20" w:firstLineChars="20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项目编号：DXY2022-0010</w:t>
      </w:r>
    </w:p>
    <w:p>
      <w:pPr>
        <w:pStyle w:val="3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20" w:firstLineChars="20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项目名称：恒大小学部室配备采购项目</w:t>
      </w:r>
    </w:p>
    <w:p>
      <w:pPr>
        <w:pStyle w:val="3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20" w:firstLineChars="20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采购方式：公开招标</w:t>
      </w:r>
    </w:p>
    <w:p>
      <w:pPr>
        <w:pStyle w:val="3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20" w:firstLineChars="20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预算金额：3,100,000.00元</w:t>
      </w:r>
    </w:p>
    <w:p>
      <w:pPr>
        <w:pStyle w:val="3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20" w:firstLineChars="20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采购需求：</w:t>
      </w:r>
    </w:p>
    <w:p>
      <w:pPr>
        <w:pStyle w:val="3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20" w:firstLineChars="20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合同包1(恒大小学部室配备采购项目):</w:t>
      </w:r>
    </w:p>
    <w:p>
      <w:pPr>
        <w:pStyle w:val="3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20" w:firstLineChars="20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合同包预算金额：1,575,000.00元</w:t>
      </w:r>
    </w:p>
    <w:p>
      <w:pPr>
        <w:pStyle w:val="3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20" w:firstLineChars="20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合同包最高限价：1,575,000.00元</w:t>
      </w:r>
    </w:p>
    <w:tbl>
      <w:tblPr>
        <w:tblStyle w:val="36"/>
        <w:tblW w:w="4995"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76"/>
        <w:gridCol w:w="1234"/>
        <w:gridCol w:w="1391"/>
        <w:gridCol w:w="1396"/>
        <w:gridCol w:w="1515"/>
        <w:gridCol w:w="1500"/>
        <w:gridCol w:w="150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blHeader/>
        </w:trPr>
        <w:tc>
          <w:tcPr>
            <w:tcW w:w="46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品目号</w:t>
            </w:r>
          </w:p>
        </w:tc>
        <w:tc>
          <w:tcPr>
            <w:tcW w:w="65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品目名称</w:t>
            </w:r>
          </w:p>
        </w:tc>
        <w:tc>
          <w:tcPr>
            <w:tcW w:w="73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采购标的</w:t>
            </w:r>
          </w:p>
        </w:tc>
        <w:tc>
          <w:tcPr>
            <w:tcW w:w="74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数量（单位）</w:t>
            </w:r>
          </w:p>
        </w:tc>
        <w:tc>
          <w:tcPr>
            <w:tcW w:w="80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技术规格、参数及要求</w:t>
            </w:r>
          </w:p>
        </w:tc>
        <w:tc>
          <w:tcPr>
            <w:tcW w:w="79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品目预算(元)</w:t>
            </w:r>
          </w:p>
        </w:tc>
        <w:tc>
          <w:tcPr>
            <w:tcW w:w="79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46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1-1</w:t>
            </w:r>
          </w:p>
        </w:tc>
        <w:tc>
          <w:tcPr>
            <w:tcW w:w="65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教学专用仪器</w:t>
            </w:r>
          </w:p>
        </w:tc>
        <w:tc>
          <w:tcPr>
            <w:tcW w:w="73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1575000</w:t>
            </w:r>
          </w:p>
        </w:tc>
        <w:tc>
          <w:tcPr>
            <w:tcW w:w="74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1(项)</w:t>
            </w:r>
          </w:p>
        </w:tc>
        <w:tc>
          <w:tcPr>
            <w:tcW w:w="80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详见采购文件</w:t>
            </w:r>
          </w:p>
        </w:tc>
        <w:tc>
          <w:tcPr>
            <w:tcW w:w="79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1,575,000.00</w:t>
            </w:r>
          </w:p>
        </w:tc>
        <w:tc>
          <w:tcPr>
            <w:tcW w:w="79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1,575,000.00</w:t>
            </w:r>
          </w:p>
        </w:tc>
      </w:tr>
    </w:tbl>
    <w:p>
      <w:pPr>
        <w:pStyle w:val="3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20" w:firstLineChars="20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本合同包不接受联合体投标</w:t>
      </w:r>
    </w:p>
    <w:p>
      <w:pPr>
        <w:pStyle w:val="3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20" w:firstLineChars="20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合同履行期限：2022-06-06 09:00:00 至 2022-08-04 17:00:00（具体服务起止日期可随合同签订时间相应顺延）</w:t>
      </w:r>
    </w:p>
    <w:p>
      <w:pPr>
        <w:pStyle w:val="3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20" w:firstLineChars="20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合同包2(恒大小学部室配备采购项目):</w:t>
      </w:r>
    </w:p>
    <w:p>
      <w:pPr>
        <w:pStyle w:val="3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20" w:firstLineChars="20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合同包预算金额：1,525,000.00元</w:t>
      </w:r>
    </w:p>
    <w:p>
      <w:pPr>
        <w:pStyle w:val="3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20" w:firstLineChars="20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合同包最高限价：1,525,000.00元</w:t>
      </w:r>
    </w:p>
    <w:tbl>
      <w:tblPr>
        <w:tblStyle w:val="36"/>
        <w:tblW w:w="4995"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76"/>
        <w:gridCol w:w="1253"/>
        <w:gridCol w:w="1385"/>
        <w:gridCol w:w="1394"/>
        <w:gridCol w:w="1508"/>
        <w:gridCol w:w="1500"/>
        <w:gridCol w:w="15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blHeader/>
        </w:trPr>
        <w:tc>
          <w:tcPr>
            <w:tcW w:w="46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品目号</w:t>
            </w:r>
          </w:p>
        </w:tc>
        <w:tc>
          <w:tcPr>
            <w:tcW w:w="66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品目名称</w:t>
            </w:r>
          </w:p>
        </w:tc>
        <w:tc>
          <w:tcPr>
            <w:tcW w:w="73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采购标的</w:t>
            </w:r>
          </w:p>
        </w:tc>
        <w:tc>
          <w:tcPr>
            <w:tcW w:w="74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数量（单位）</w:t>
            </w:r>
          </w:p>
        </w:tc>
        <w:tc>
          <w:tcPr>
            <w:tcW w:w="80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技术规格、参数及要求</w:t>
            </w:r>
          </w:p>
        </w:tc>
        <w:tc>
          <w:tcPr>
            <w:tcW w:w="79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品目预算(元)</w:t>
            </w:r>
          </w:p>
        </w:tc>
        <w:tc>
          <w:tcPr>
            <w:tcW w:w="79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46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w:t>
            </w:r>
          </w:p>
        </w:tc>
        <w:tc>
          <w:tcPr>
            <w:tcW w:w="66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教学专用仪器</w:t>
            </w:r>
          </w:p>
        </w:tc>
        <w:tc>
          <w:tcPr>
            <w:tcW w:w="73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1525000</w:t>
            </w:r>
          </w:p>
        </w:tc>
        <w:tc>
          <w:tcPr>
            <w:tcW w:w="74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1(项)</w:t>
            </w:r>
          </w:p>
        </w:tc>
        <w:tc>
          <w:tcPr>
            <w:tcW w:w="80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详见采购文件</w:t>
            </w:r>
          </w:p>
        </w:tc>
        <w:tc>
          <w:tcPr>
            <w:tcW w:w="79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1,525,000.00</w:t>
            </w:r>
          </w:p>
        </w:tc>
        <w:tc>
          <w:tcPr>
            <w:tcW w:w="79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1,525,000.00</w:t>
            </w:r>
          </w:p>
        </w:tc>
      </w:tr>
    </w:tbl>
    <w:p>
      <w:pPr>
        <w:pStyle w:val="3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20" w:firstLineChars="20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本合同包不接受联合体投标</w:t>
      </w:r>
    </w:p>
    <w:p>
      <w:pPr>
        <w:pStyle w:val="3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20" w:firstLineChars="20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合同履行期限：2022-06-06</w:t>
      </w:r>
      <w:r>
        <w:rPr>
          <w:rFonts w:hint="eastAsia" w:ascii="宋体" w:hAnsi="宋体" w:eastAsia="宋体" w:cs="宋体"/>
          <w:i w:val="0"/>
          <w:iCs w:val="0"/>
          <w:caps w:val="0"/>
          <w:color w:val="auto"/>
          <w:spacing w:val="0"/>
          <w:sz w:val="21"/>
          <w:szCs w:val="21"/>
          <w:shd w:val="clear" w:fill="FFFFFF"/>
          <w:lang w:val="en-US" w:eastAsia="zh-CN"/>
        </w:rPr>
        <w:t xml:space="preserve"> </w:t>
      </w:r>
      <w:r>
        <w:rPr>
          <w:rFonts w:hint="eastAsia" w:ascii="宋体" w:hAnsi="宋体" w:eastAsia="宋体" w:cs="宋体"/>
          <w:i w:val="0"/>
          <w:iCs w:val="0"/>
          <w:caps w:val="0"/>
          <w:color w:val="auto"/>
          <w:spacing w:val="0"/>
          <w:sz w:val="21"/>
          <w:szCs w:val="21"/>
          <w:shd w:val="clear" w:fill="FFFFFF"/>
        </w:rPr>
        <w:t>09:00:00 至 2022-08-04 17:00:00（具体服务起止日期可随合同签订时间相应顺延）</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hAnsi="宋体" w:eastAsia="宋体" w:cs="宋体"/>
          <w:b/>
          <w:bCs/>
          <w:i w:val="0"/>
          <w:iCs w:val="0"/>
          <w:caps w:val="0"/>
          <w:color w:val="auto"/>
          <w:spacing w:val="0"/>
          <w:sz w:val="21"/>
          <w:szCs w:val="21"/>
          <w:shd w:val="clear" w:fill="FFFFFF"/>
        </w:rPr>
      </w:pPr>
      <w:r>
        <w:rPr>
          <w:rFonts w:hint="eastAsia" w:ascii="宋体" w:hAnsi="宋体" w:eastAsia="宋体" w:cs="宋体"/>
          <w:b/>
          <w:bCs/>
          <w:i w:val="0"/>
          <w:iCs w:val="0"/>
          <w:caps w:val="0"/>
          <w:color w:val="auto"/>
          <w:spacing w:val="0"/>
          <w:sz w:val="21"/>
          <w:szCs w:val="21"/>
          <w:shd w:val="clear" w:fill="FFFFFF"/>
        </w:rPr>
        <w:t>二、申请人的资格要求：</w:t>
      </w:r>
    </w:p>
    <w:p>
      <w:pPr>
        <w:pStyle w:val="3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20" w:firstLineChars="20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1.满足《中华人民共和国政府采购法》第二十二条规定;</w:t>
      </w:r>
    </w:p>
    <w:p>
      <w:pPr>
        <w:pStyle w:val="3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20" w:firstLineChars="20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2.落实政府采购政策需满足的资格要求：</w:t>
      </w:r>
    </w:p>
    <w:p>
      <w:pPr>
        <w:pStyle w:val="3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20" w:firstLineChars="20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合同包1(恒大小学部室配备采购项目)落实政府采购政策需满足的资格要求如下:</w:t>
      </w:r>
    </w:p>
    <w:p>
      <w:pPr>
        <w:pStyle w:val="3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20" w:firstLineChars="20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依据《中华人民共和国政府采购法》和《中华人民共和国政府采购实施条例》的有关规定，落实政府采购政策，详见招标文件。</w:t>
      </w:r>
    </w:p>
    <w:p>
      <w:pPr>
        <w:pStyle w:val="31"/>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20" w:firstLineChars="20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《财政部国家发展改革委关于印发〈节能产品政府采购实施意见〉的通知》（财库〔2004〕185号）；</w:t>
      </w:r>
    </w:p>
    <w:p>
      <w:pPr>
        <w:pStyle w:val="31"/>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20" w:firstLineChars="20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《国务院办公厅关于建立政府强制采购节能产品制度的通知》（国办发〔2007〕51号）</w:t>
      </w:r>
      <w:r>
        <w:rPr>
          <w:rFonts w:hint="eastAsia" w:ascii="宋体" w:hAnsi="宋体" w:eastAsia="宋体" w:cs="宋体"/>
          <w:i w:val="0"/>
          <w:iCs w:val="0"/>
          <w:caps w:val="0"/>
          <w:color w:val="auto"/>
          <w:spacing w:val="0"/>
          <w:sz w:val="21"/>
          <w:szCs w:val="21"/>
          <w:shd w:val="clear" w:fill="FFFFFF"/>
          <w:lang w:eastAsia="zh-CN"/>
        </w:rPr>
        <w:t>；</w:t>
      </w:r>
    </w:p>
    <w:p>
      <w:pPr>
        <w:pStyle w:val="31"/>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20" w:firstLineChars="20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《财政部环保总局关于环境标志产品政府采购实施的意见》（财库〔2006〕90号）；</w:t>
      </w:r>
    </w:p>
    <w:p>
      <w:pPr>
        <w:pStyle w:val="31"/>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20" w:firstLineChars="20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《财政部司法部关于政府采购支持监狱企业发展有关问题的通知》（财库〔2014〕68号）</w:t>
      </w:r>
      <w:r>
        <w:rPr>
          <w:rFonts w:hint="eastAsia" w:ascii="宋体" w:hAnsi="宋体" w:eastAsia="宋体" w:cs="宋体"/>
          <w:i w:val="0"/>
          <w:iCs w:val="0"/>
          <w:caps w:val="0"/>
          <w:color w:val="auto"/>
          <w:spacing w:val="0"/>
          <w:sz w:val="21"/>
          <w:szCs w:val="21"/>
          <w:shd w:val="clear" w:fill="FFFFFF"/>
          <w:lang w:eastAsia="zh-CN"/>
        </w:rPr>
        <w:t>；</w:t>
      </w:r>
    </w:p>
    <w:p>
      <w:pPr>
        <w:pStyle w:val="31"/>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20" w:firstLineChars="20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《三部门联合发布关于促进残疾人就业政府采购政策的通知》（财库〔2017〕141号）；</w:t>
      </w:r>
    </w:p>
    <w:p>
      <w:pPr>
        <w:pStyle w:val="31"/>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20" w:firstLineChars="20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《财政部发展改革委生态环境部市场监管总局关于调整优化节能产品、环境标志产品政府采购执行机制的通知》（财库〔2019〕9号）；</w:t>
      </w:r>
    </w:p>
    <w:p>
      <w:pPr>
        <w:pStyle w:val="31"/>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20" w:firstLineChars="20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《财政部农业农村部国家乡村振兴局关于运用政府采购政策支持乡村产业振兴的通知》财库〔2021〕19号；</w:t>
      </w:r>
    </w:p>
    <w:p>
      <w:pPr>
        <w:pStyle w:val="31"/>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20" w:firstLineChars="20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《政府采购促进中小企业发展管理办法》（财库〔2020〕46号）；</w:t>
      </w:r>
    </w:p>
    <w:p>
      <w:pPr>
        <w:pStyle w:val="31"/>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20" w:firstLineChars="20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陕西省财政厅关于印发《陕西省中小企业政府采购信用融资办法》（陕财办采〔2018〕23号）。</w:t>
      </w:r>
    </w:p>
    <w:p>
      <w:pPr>
        <w:pStyle w:val="3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20" w:firstLineChars="20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合同包2(恒大小学部室配备采购项目)落实政府采购政策需满足的资格要求如下:</w:t>
      </w:r>
    </w:p>
    <w:p>
      <w:pPr>
        <w:pStyle w:val="3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20" w:firstLineChars="20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依据《中华人民共和国政府采购法》和《中华人民共和国政府采购实施条例》的有关规定，落实政府采购政策，详见招标文件。</w:t>
      </w:r>
    </w:p>
    <w:p>
      <w:pPr>
        <w:pStyle w:val="31"/>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20" w:firstLineChars="20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《财政部国家发展改革委关于印发〈节能产品政府采购实施意见〉的通知》（财库〔2004〕185号）；</w:t>
      </w:r>
    </w:p>
    <w:p>
      <w:pPr>
        <w:pStyle w:val="31"/>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20" w:firstLineChars="20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《国务院办公厅关于建立政府强制采购节能产品制度的通知》（国办发〔2007〕51号）</w:t>
      </w:r>
      <w:r>
        <w:rPr>
          <w:rFonts w:hint="eastAsia" w:ascii="宋体" w:hAnsi="宋体" w:eastAsia="宋体" w:cs="宋体"/>
          <w:i w:val="0"/>
          <w:iCs w:val="0"/>
          <w:caps w:val="0"/>
          <w:color w:val="auto"/>
          <w:spacing w:val="0"/>
          <w:sz w:val="21"/>
          <w:szCs w:val="21"/>
          <w:shd w:val="clear" w:fill="FFFFFF"/>
          <w:lang w:eastAsia="zh-CN"/>
        </w:rPr>
        <w:t>；</w:t>
      </w:r>
    </w:p>
    <w:p>
      <w:pPr>
        <w:pStyle w:val="31"/>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20" w:firstLineChars="20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《财政部环保总局关于环境标志产品政府采购实施的意见》（财库〔2006〕90号）；</w:t>
      </w:r>
    </w:p>
    <w:p>
      <w:pPr>
        <w:pStyle w:val="31"/>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20" w:firstLineChars="20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《财政部司法部关于政府采购支持监狱企业发展有关问题的通知》（财库〔2014〕68号）</w:t>
      </w:r>
      <w:r>
        <w:rPr>
          <w:rFonts w:hint="eastAsia" w:ascii="宋体" w:hAnsi="宋体" w:eastAsia="宋体" w:cs="宋体"/>
          <w:i w:val="0"/>
          <w:iCs w:val="0"/>
          <w:caps w:val="0"/>
          <w:color w:val="auto"/>
          <w:spacing w:val="0"/>
          <w:sz w:val="21"/>
          <w:szCs w:val="21"/>
          <w:shd w:val="clear" w:fill="FFFFFF"/>
          <w:lang w:eastAsia="zh-CN"/>
        </w:rPr>
        <w:t>；</w:t>
      </w:r>
    </w:p>
    <w:p>
      <w:pPr>
        <w:pStyle w:val="31"/>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20" w:firstLineChars="20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《三部门联合发布关于促进残疾人就业政府采购政策的通知》（财库〔2017〕141号）；</w:t>
      </w:r>
    </w:p>
    <w:p>
      <w:pPr>
        <w:pStyle w:val="31"/>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20" w:firstLineChars="20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《财政部发展改革委生态环境部市场监管总局关于调整优化节能产品、环境标志产品政府采购执行机制的通知》（财库〔2019〕9号）；</w:t>
      </w:r>
    </w:p>
    <w:p>
      <w:pPr>
        <w:pStyle w:val="31"/>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20" w:firstLineChars="20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《财政部 农业农村部 国家乡村振兴局关于运用政府采购政策支持乡村产业振兴的通知》财库〔2021〕19号；</w:t>
      </w:r>
    </w:p>
    <w:p>
      <w:pPr>
        <w:pStyle w:val="31"/>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20" w:firstLineChars="20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《政府采购促进中小企业发展管理办法》（财库〔2020〕46号）；</w:t>
      </w:r>
    </w:p>
    <w:p>
      <w:pPr>
        <w:pStyle w:val="31"/>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20" w:firstLineChars="20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陕西省财政厅关于印发《陕西省中小企业政府采购信用融资办法》（陕财办采〔2018〕23号）。</w:t>
      </w:r>
    </w:p>
    <w:p>
      <w:pPr>
        <w:pStyle w:val="31"/>
        <w:keepNext w:val="0"/>
        <w:keepLines w:val="0"/>
        <w:widowControl/>
        <w:numPr>
          <w:ilvl w:val="0"/>
          <w:numId w:val="1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20" w:firstLineChars="20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本项目的特定资格要求：</w:t>
      </w:r>
    </w:p>
    <w:p>
      <w:pPr>
        <w:pStyle w:val="3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firstLine="422" w:firstLineChars="200"/>
        <w:jc w:val="both"/>
        <w:rPr>
          <w:rFonts w:hint="eastAsia" w:ascii="宋体" w:hAnsi="宋体" w:eastAsia="宋体" w:cs="宋体"/>
          <w:b/>
          <w:bCs/>
          <w:color w:val="auto"/>
          <w:sz w:val="21"/>
          <w:szCs w:val="21"/>
        </w:rPr>
      </w:pPr>
      <w:r>
        <w:rPr>
          <w:rFonts w:hint="eastAsia" w:ascii="宋体" w:hAnsi="宋体" w:eastAsia="宋体" w:cs="宋体"/>
          <w:b/>
          <w:bCs/>
          <w:i w:val="0"/>
          <w:iCs w:val="0"/>
          <w:caps w:val="0"/>
          <w:color w:val="auto"/>
          <w:spacing w:val="0"/>
          <w:sz w:val="21"/>
          <w:szCs w:val="21"/>
          <w:shd w:val="clear" w:fill="FFFFFF"/>
        </w:rPr>
        <w:t>合同包1(恒大小学部室配备采购项目)特定资格要求如下:</w:t>
      </w:r>
    </w:p>
    <w:p>
      <w:pPr>
        <w:pStyle w:val="3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20" w:firstLineChars="20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1）财务状况报告：提供2020年度经审计的财务报告（成立时间至提交响应文件截止时间不足一年的可提供成立后任意时段的资产负债表），或其基本存款账户开户银行出具的资信证明及基本存款账户开户许可证；（2）完税证明：提供2021年度至今已缴纳的至少连续六个月的纳税证明或完税证明，依法免税的单位应提供相关证明材料；（3）社保缴纳情况：提供2021年度至今已缴存的至少连续六个月的社会保障资金缴存单据或社保机构开具的社会保险参保缴费情况证明，依法不需要缴纳社会保障资金的单位应提供相关证明材料；（4）具有独立承担民事责任能力的法人、其他组织或自然人，并出具合法有效的营业执照或事业单位法人证书等国家规定的相关证明，自然人参与的提供其身份证明；（5）投标人应授权合法的人员参加投标全过程，其中法定代表人直接参加投标的，须出具法人身份证，并与营业执照上信息一致。法定代表人授权代表参加投标的，须出具法定代表人授权书及授权代表身份证；（6）供应商须提供“中国裁判文书网”查询近三年企业、法定代表人无行贿犯罪记录截图；不得在“国家企业信用信息公示系统”列入严重违法失信企业名单（黑名单）；“信用中国查询”被列入失信被执行人名单、有重大税收违法案件的供应商不得参与，且提供信用报告（带水印）；不得为“中国政府采购网(www.ccgp.gov.cn”）政府采购严重违法失信行为记录名单中被财政部门禁止参加政府采购活动的供应商； （7）提供具有履行合同所必需的设备和专业技术能力的承诺函；（8）参加政府采购活动前3年内，在经营活动中没有重大违法记录的书面声明；（9）单位负责人为同一人或者存在直接控股、管理关系的不同单位，不得同时参加本项目投标。</w:t>
      </w:r>
    </w:p>
    <w:p>
      <w:pPr>
        <w:pStyle w:val="3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22" w:firstLineChars="200"/>
        <w:jc w:val="both"/>
        <w:rPr>
          <w:rFonts w:hint="eastAsia" w:ascii="宋体" w:hAnsi="宋体" w:eastAsia="宋体" w:cs="宋体"/>
          <w:b/>
          <w:bCs/>
          <w:color w:val="auto"/>
          <w:sz w:val="21"/>
          <w:szCs w:val="21"/>
        </w:rPr>
      </w:pPr>
      <w:r>
        <w:rPr>
          <w:rFonts w:hint="eastAsia" w:ascii="宋体" w:hAnsi="宋体" w:eastAsia="宋体" w:cs="宋体"/>
          <w:b/>
          <w:bCs/>
          <w:i w:val="0"/>
          <w:iCs w:val="0"/>
          <w:caps w:val="0"/>
          <w:color w:val="auto"/>
          <w:spacing w:val="0"/>
          <w:sz w:val="21"/>
          <w:szCs w:val="21"/>
          <w:shd w:val="clear" w:fill="FFFFFF"/>
        </w:rPr>
        <w:t>合同包2(恒大小学部室配备采购项目)特定资格要求如下:</w:t>
      </w:r>
    </w:p>
    <w:p>
      <w:pPr>
        <w:pStyle w:val="3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20" w:firstLineChars="20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1）财务状况报告：提供2020年度经审计的财务报告（成立时间至提交响应文件截止时间不足一年的可提供成立后任意时段的资产负债表），或其基本存款账户开户银行出具的资信证明及基本存款账户开户许可证；（2）完税证明：提供2021年度至今已缴纳的至少连续六个月的纳税证明或完税证明，依法免税的单位应提供相关证明材料；（3）社保缴纳情况：提供2021年度至今已缴存的至少连续六个月的社会保障资金缴存单据或社保机构开具的社会保险参保缴费情况证明，依法不需要缴纳社会保障资金的单位应提供相关证明材料；（4）具有独立承担民事责任能力的法人、其他组织或自然人，并出具合法有效的营业执照或事业单位法人证书等国家规定的相关证明，自然人参与的提供其身份证明；（5）投标人应授权合法的人员参加投标全过程，其中法定代表人直接参加投标的，须出具法人身份证，并与营业执照上信息一致。法定代表人授权代表参加投标的，须出具法定代表人授权书及授权代表身份证；（6）供应商须提供“中国裁判文书网”查询近三年企业、法定代表人无行贿犯罪记录截图；不得在“国家企业信用信息公示系统”列入严重违法失信企业名单（黑名单）；“信用中国查询”被列入失信被执行人名单、有重大税收违法案件的供应商不得参与，且提供信用报告（带水印）；不得为“中国政府采购网(www.ccgp.gov.cn”）政府采购严重违法失信行为记录名单中被财政部门禁止参加政府采购活动的供应商；（7）提供具有履行合同所必需的设备和专业技术能力的承诺函；（8）参加政府采购活动前3年内，在经营活动中没有重大违法记录的书面声明；（9）单位负责人为同一人或者存在直接控股、管理关系的不同单位，不得同时参加本项目投标。</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hAnsi="宋体" w:eastAsia="宋体" w:cs="宋体"/>
          <w:b/>
          <w:bCs/>
          <w:i w:val="0"/>
          <w:iCs w:val="0"/>
          <w:caps w:val="0"/>
          <w:color w:val="auto"/>
          <w:spacing w:val="0"/>
          <w:sz w:val="21"/>
          <w:szCs w:val="21"/>
          <w:shd w:val="clear" w:fill="FFFFFF"/>
        </w:rPr>
      </w:pPr>
      <w:r>
        <w:rPr>
          <w:rFonts w:hint="eastAsia" w:ascii="宋体" w:hAnsi="宋体" w:eastAsia="宋体" w:cs="宋体"/>
          <w:b/>
          <w:bCs/>
          <w:i w:val="0"/>
          <w:iCs w:val="0"/>
          <w:caps w:val="0"/>
          <w:color w:val="auto"/>
          <w:spacing w:val="0"/>
          <w:sz w:val="21"/>
          <w:szCs w:val="21"/>
          <w:shd w:val="clear" w:fill="FFFFFF"/>
        </w:rPr>
        <w:t>三、获取招标文件</w:t>
      </w:r>
    </w:p>
    <w:p>
      <w:pPr>
        <w:pStyle w:val="3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20" w:firstLineChars="20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时间：2022年05月09日至2022年05月13日，每天上午08:30:00至11:30:00，下午14:00:00至17:00:00（北京时间,法定节假日除外）</w:t>
      </w:r>
    </w:p>
    <w:p>
      <w:pPr>
        <w:pStyle w:val="3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20" w:firstLineChars="20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地点：宝鸡市行政中心海棠风尚1510室</w:t>
      </w:r>
    </w:p>
    <w:p>
      <w:pPr>
        <w:pStyle w:val="3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20" w:firstLineChars="20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方式：现场获取</w:t>
      </w:r>
    </w:p>
    <w:p>
      <w:pPr>
        <w:pStyle w:val="3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20" w:firstLineChars="20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售价：300元</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hAnsi="宋体" w:eastAsia="宋体" w:cs="宋体"/>
          <w:b/>
          <w:bCs/>
          <w:i w:val="0"/>
          <w:iCs w:val="0"/>
          <w:caps w:val="0"/>
          <w:color w:val="auto"/>
          <w:spacing w:val="0"/>
          <w:sz w:val="21"/>
          <w:szCs w:val="21"/>
          <w:shd w:val="clear" w:fill="FFFFFF"/>
        </w:rPr>
      </w:pPr>
      <w:r>
        <w:rPr>
          <w:rFonts w:hint="eastAsia" w:ascii="宋体" w:hAnsi="宋体" w:eastAsia="宋体" w:cs="宋体"/>
          <w:b/>
          <w:bCs/>
          <w:i w:val="0"/>
          <w:iCs w:val="0"/>
          <w:caps w:val="0"/>
          <w:color w:val="auto"/>
          <w:spacing w:val="0"/>
          <w:sz w:val="21"/>
          <w:szCs w:val="21"/>
          <w:shd w:val="clear" w:fill="FFFFFF"/>
        </w:rPr>
        <w:t>四、提交投标文件截止时间、开标时间和地点</w:t>
      </w:r>
    </w:p>
    <w:p>
      <w:pPr>
        <w:pStyle w:val="3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20" w:firstLineChars="20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2022年05月31日 09时30分00秒（北京时间）</w:t>
      </w:r>
    </w:p>
    <w:p>
      <w:pPr>
        <w:pStyle w:val="3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20" w:firstLineChars="20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地点：宝鸡市行政中心海棠风尚1406室</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hAnsi="宋体" w:eastAsia="宋体" w:cs="宋体"/>
          <w:b/>
          <w:bCs/>
          <w:i w:val="0"/>
          <w:iCs w:val="0"/>
          <w:caps w:val="0"/>
          <w:color w:val="auto"/>
          <w:spacing w:val="0"/>
          <w:sz w:val="21"/>
          <w:szCs w:val="21"/>
          <w:shd w:val="clear" w:fill="FFFFFF"/>
        </w:rPr>
      </w:pPr>
      <w:r>
        <w:rPr>
          <w:rFonts w:hint="eastAsia" w:ascii="宋体" w:hAnsi="宋体" w:eastAsia="宋体" w:cs="宋体"/>
          <w:b/>
          <w:bCs/>
          <w:i w:val="0"/>
          <w:iCs w:val="0"/>
          <w:caps w:val="0"/>
          <w:color w:val="auto"/>
          <w:spacing w:val="0"/>
          <w:sz w:val="21"/>
          <w:szCs w:val="21"/>
          <w:shd w:val="clear" w:fill="FFFFFF"/>
        </w:rPr>
        <w:t>五、公告期限</w:t>
      </w:r>
    </w:p>
    <w:p>
      <w:pPr>
        <w:pStyle w:val="3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20" w:firstLineChars="20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自本公告发布之日起5个工作日。</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hAnsi="宋体" w:eastAsia="宋体" w:cs="宋体"/>
          <w:b/>
          <w:bCs/>
          <w:i w:val="0"/>
          <w:iCs w:val="0"/>
          <w:caps w:val="0"/>
          <w:color w:val="auto"/>
          <w:spacing w:val="0"/>
          <w:sz w:val="21"/>
          <w:szCs w:val="21"/>
          <w:shd w:val="clear" w:fill="FFFFFF"/>
        </w:rPr>
      </w:pPr>
      <w:r>
        <w:rPr>
          <w:rFonts w:hint="eastAsia" w:ascii="宋体" w:hAnsi="宋体" w:eastAsia="宋体" w:cs="宋体"/>
          <w:b/>
          <w:bCs/>
          <w:i w:val="0"/>
          <w:iCs w:val="0"/>
          <w:caps w:val="0"/>
          <w:color w:val="auto"/>
          <w:spacing w:val="0"/>
          <w:sz w:val="21"/>
          <w:szCs w:val="21"/>
          <w:shd w:val="clear" w:fill="FFFFFF"/>
        </w:rPr>
        <w:t>六、其他补充事宜</w:t>
      </w:r>
    </w:p>
    <w:p>
      <w:pPr>
        <w:pStyle w:val="3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20" w:firstLineChars="20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本项目开标地点：宝鸡市行政中心海棠风尚1406室</w:t>
      </w:r>
    </w:p>
    <w:p>
      <w:pPr>
        <w:pStyle w:val="31"/>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20" w:firstLineChars="20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供应商购买招标文件时请携带单位介绍信、本人身份证原件或身份证复印件加盖单位鲜章</w:t>
      </w:r>
      <w:r>
        <w:rPr>
          <w:rFonts w:hint="eastAsia" w:ascii="宋体" w:hAnsi="宋体" w:eastAsia="宋体" w:cs="宋体"/>
          <w:i w:val="0"/>
          <w:iCs w:val="0"/>
          <w:caps w:val="0"/>
          <w:color w:val="auto"/>
          <w:spacing w:val="0"/>
          <w:sz w:val="21"/>
          <w:szCs w:val="21"/>
          <w:shd w:val="clear" w:fill="FFFFFF"/>
          <w:lang w:eastAsia="zh-CN"/>
        </w:rPr>
        <w:t>。</w:t>
      </w:r>
    </w:p>
    <w:p>
      <w:pPr>
        <w:pStyle w:val="31"/>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20" w:firstLineChars="20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提示：请供应商按照陕西省财政厅关于政府采购供应商注册登记有关事项的通知中的要求，通过陕西省政府采购网（http://www.ccgp-shaanxi.gov.cn/）注册登记加入陕西省政府采购供应商库。</w:t>
      </w:r>
    </w:p>
    <w:p>
      <w:pPr>
        <w:pStyle w:val="31"/>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20" w:firstLineChars="20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鉴于疫情防控要求，请各供应商代表必须佩戴口罩并做好个人防护措施，并对本人身份信息和14天以上非确诊或疑似患者、非确诊或疑似患者密切接触者、非疫情中、高风险地区人员或疫情中、高风险地区人员密切接触者，无咳嗽、发热症状等情况的真实性负责，陕西省以外及省内有新冠肺炎确诊病例的重点地区来宝返宝人员，须提供48小时内核酸检测阴性证明，建议抵达宝鸡后，及时到就近医疗机构进行1次核酸检测，以排除沿途疫情风险，并做好个人健康状况监测。</w:t>
      </w:r>
    </w:p>
    <w:p>
      <w:pPr>
        <w:pStyle w:val="31"/>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20" w:firstLineChars="20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每个供应商只能参与其中的一个合同包。</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hAnsi="宋体" w:eastAsia="宋体" w:cs="宋体"/>
          <w:b/>
          <w:bCs/>
          <w:i w:val="0"/>
          <w:iCs w:val="0"/>
          <w:caps w:val="0"/>
          <w:color w:val="auto"/>
          <w:spacing w:val="0"/>
          <w:sz w:val="21"/>
          <w:szCs w:val="21"/>
          <w:shd w:val="clear" w:fill="FFFFFF"/>
        </w:rPr>
      </w:pPr>
      <w:r>
        <w:rPr>
          <w:rFonts w:hint="eastAsia" w:ascii="宋体" w:hAnsi="宋体" w:eastAsia="宋体" w:cs="宋体"/>
          <w:b/>
          <w:bCs/>
          <w:i w:val="0"/>
          <w:iCs w:val="0"/>
          <w:caps w:val="0"/>
          <w:color w:val="auto"/>
          <w:spacing w:val="0"/>
          <w:sz w:val="21"/>
          <w:szCs w:val="21"/>
          <w:shd w:val="clear" w:fill="FFFFFF"/>
        </w:rPr>
        <w:t>七、对本次招标提出询问，请按以下方式联系。</w:t>
      </w:r>
    </w:p>
    <w:p>
      <w:pPr>
        <w:pStyle w:val="3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20" w:firstLineChars="20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1.采购人信息</w:t>
      </w:r>
    </w:p>
    <w:p>
      <w:pPr>
        <w:pStyle w:val="3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20" w:firstLineChars="20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名称：扶风县恒大小学</w:t>
      </w:r>
    </w:p>
    <w:p>
      <w:pPr>
        <w:pStyle w:val="3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20" w:firstLineChars="20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地址：扶风县绛帐镇西街村二组</w:t>
      </w:r>
    </w:p>
    <w:p>
      <w:pPr>
        <w:pStyle w:val="3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20" w:firstLineChars="20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联系方式：0917-5289103</w:t>
      </w:r>
    </w:p>
    <w:p>
      <w:pPr>
        <w:pStyle w:val="3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20" w:firstLineChars="20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2.采购代理机构信息</w:t>
      </w:r>
    </w:p>
    <w:p>
      <w:pPr>
        <w:pStyle w:val="3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20" w:firstLineChars="20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名称：陕西鼎祥越工程造价咨询有限公司</w:t>
      </w:r>
    </w:p>
    <w:p>
      <w:pPr>
        <w:pStyle w:val="3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20" w:firstLineChars="20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地址：宝鸡市行政中心海棠风尚1510室</w:t>
      </w:r>
    </w:p>
    <w:p>
      <w:pPr>
        <w:pStyle w:val="3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20" w:firstLineChars="20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联系方式：0917-3807560</w:t>
      </w:r>
    </w:p>
    <w:p>
      <w:pPr>
        <w:pStyle w:val="3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20" w:firstLineChars="20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3.项目联系方式</w:t>
      </w:r>
    </w:p>
    <w:p>
      <w:pPr>
        <w:pStyle w:val="3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20" w:firstLineChars="20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项目联系人：邹工</w:t>
      </w:r>
    </w:p>
    <w:p>
      <w:pPr>
        <w:pStyle w:val="3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20" w:firstLineChars="20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电话：0917-3807560</w:t>
      </w:r>
    </w:p>
    <w:p>
      <w:pPr>
        <w:pStyle w:val="3"/>
        <w:numPr>
          <w:ilvl w:val="0"/>
          <w:numId w:val="0"/>
        </w:numPr>
        <w:tabs>
          <w:tab w:val="clear" w:pos="324"/>
        </w:tabs>
        <w:rPr>
          <w:rFonts w:ascii="宋体" w:hAnsi="宋体" w:eastAsia="宋体" w:cs="宋体"/>
          <w:b/>
          <w:bCs/>
          <w:sz w:val="36"/>
          <w:szCs w:val="36"/>
        </w:rPr>
      </w:pPr>
      <w:bookmarkStart w:id="12" w:name="_Toc30066"/>
      <w:r>
        <w:rPr>
          <w:rFonts w:hint="eastAsia" w:ascii="宋体" w:hAnsi="宋体" w:eastAsia="宋体" w:cs="宋体"/>
          <w:b/>
          <w:bCs/>
          <w:sz w:val="36"/>
          <w:szCs w:val="36"/>
        </w:rPr>
        <w:t>第二章  投标人须知</w:t>
      </w:r>
      <w:bookmarkEnd w:id="8"/>
      <w:bookmarkEnd w:id="9"/>
      <w:bookmarkEnd w:id="10"/>
      <w:bookmarkEnd w:id="12"/>
      <w:bookmarkStart w:id="13" w:name="_Toc222740109"/>
    </w:p>
    <w:p>
      <w:pPr>
        <w:pStyle w:val="2"/>
        <w:numPr>
          <w:ilvl w:val="0"/>
          <w:numId w:val="0"/>
        </w:numPr>
        <w:jc w:val="both"/>
        <w:rPr>
          <w:rFonts w:ascii="宋体" w:hAnsi="宋体" w:eastAsia="宋体" w:cs="宋体"/>
          <w:szCs w:val="21"/>
        </w:rPr>
      </w:pPr>
      <w:r>
        <w:rPr>
          <w:rFonts w:hint="eastAsia" w:ascii="宋体" w:hAnsi="宋体" w:eastAsia="宋体" w:cs="宋体"/>
          <w:b/>
          <w:bCs/>
          <w:sz w:val="28"/>
          <w:szCs w:val="28"/>
        </w:rPr>
        <w:t>投标人须知前附表</w:t>
      </w:r>
    </w:p>
    <w:tbl>
      <w:tblPr>
        <w:tblStyle w:val="36"/>
        <w:tblW w:w="4997" w:type="pct"/>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691"/>
        <w:gridCol w:w="2974"/>
        <w:gridCol w:w="5730"/>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368" w:type="pct"/>
          </w:tcPr>
          <w:p>
            <w:pPr>
              <w:spacing w:line="400" w:lineRule="exact"/>
              <w:jc w:val="center"/>
              <w:rPr>
                <w:rFonts w:ascii="宋体" w:hAnsi="宋体" w:cs="宋体"/>
                <w:b/>
                <w:szCs w:val="21"/>
              </w:rPr>
            </w:pPr>
            <w:r>
              <w:rPr>
                <w:rFonts w:hint="eastAsia" w:ascii="宋体" w:hAnsi="宋体" w:cs="宋体"/>
                <w:b/>
                <w:szCs w:val="21"/>
              </w:rPr>
              <w:t>序号</w:t>
            </w:r>
          </w:p>
        </w:tc>
        <w:tc>
          <w:tcPr>
            <w:tcW w:w="1582" w:type="pct"/>
          </w:tcPr>
          <w:p>
            <w:pPr>
              <w:spacing w:line="400" w:lineRule="exact"/>
              <w:jc w:val="center"/>
              <w:rPr>
                <w:rFonts w:ascii="宋体" w:hAnsi="宋体" w:cs="宋体"/>
                <w:b/>
                <w:szCs w:val="21"/>
              </w:rPr>
            </w:pPr>
            <w:r>
              <w:rPr>
                <w:rFonts w:hint="eastAsia" w:ascii="宋体" w:hAnsi="宋体" w:cs="宋体"/>
                <w:b/>
                <w:szCs w:val="21"/>
              </w:rPr>
              <w:t>条款名称</w:t>
            </w:r>
          </w:p>
        </w:tc>
        <w:tc>
          <w:tcPr>
            <w:tcW w:w="3048" w:type="pct"/>
            <w:vAlign w:val="center"/>
          </w:tcPr>
          <w:p>
            <w:pPr>
              <w:spacing w:line="400" w:lineRule="exact"/>
              <w:jc w:val="center"/>
              <w:rPr>
                <w:rFonts w:ascii="宋体" w:hAnsi="宋体" w:cs="宋体"/>
                <w:b/>
                <w:szCs w:val="21"/>
              </w:rPr>
            </w:pPr>
            <w:r>
              <w:rPr>
                <w:rFonts w:hint="eastAsia" w:ascii="宋体" w:hAnsi="宋体" w:cs="宋体"/>
                <w:b/>
                <w:szCs w:val="21"/>
              </w:rPr>
              <w:t>具体信息</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176" w:hRule="atLeast"/>
        </w:trPr>
        <w:tc>
          <w:tcPr>
            <w:tcW w:w="368" w:type="pct"/>
            <w:vAlign w:val="center"/>
          </w:tcPr>
          <w:p>
            <w:pPr>
              <w:spacing w:line="400" w:lineRule="exact"/>
              <w:jc w:val="center"/>
              <w:rPr>
                <w:rFonts w:ascii="宋体" w:hAnsi="宋体" w:cs="宋体"/>
                <w:szCs w:val="21"/>
              </w:rPr>
            </w:pPr>
            <w:r>
              <w:rPr>
                <w:rFonts w:hint="eastAsia" w:ascii="宋体" w:hAnsi="宋体" w:cs="宋体"/>
                <w:szCs w:val="21"/>
              </w:rPr>
              <w:t>1</w:t>
            </w:r>
          </w:p>
        </w:tc>
        <w:tc>
          <w:tcPr>
            <w:tcW w:w="1582" w:type="pct"/>
            <w:vAlign w:val="center"/>
          </w:tcPr>
          <w:p>
            <w:pPr>
              <w:spacing w:line="400" w:lineRule="exact"/>
              <w:jc w:val="center"/>
              <w:rPr>
                <w:rFonts w:ascii="宋体" w:hAnsi="宋体" w:cs="宋体"/>
                <w:b/>
                <w:szCs w:val="21"/>
              </w:rPr>
            </w:pPr>
            <w:r>
              <w:rPr>
                <w:rFonts w:hint="eastAsia" w:ascii="宋体" w:hAnsi="宋体" w:cs="宋体"/>
                <w:szCs w:val="21"/>
              </w:rPr>
              <w:t>采购人</w:t>
            </w:r>
          </w:p>
        </w:tc>
        <w:tc>
          <w:tcPr>
            <w:tcW w:w="3048" w:type="pct"/>
            <w:vAlign w:val="center"/>
          </w:tcPr>
          <w:p>
            <w:pPr>
              <w:spacing w:line="400" w:lineRule="exact"/>
              <w:rPr>
                <w:rFonts w:ascii="宋体" w:hAnsi="宋体" w:cs="宋体"/>
                <w:szCs w:val="21"/>
              </w:rPr>
            </w:pPr>
            <w:r>
              <w:rPr>
                <w:rFonts w:hint="eastAsia" w:ascii="宋体" w:hAnsi="宋体" w:cs="宋体"/>
                <w:szCs w:val="21"/>
              </w:rPr>
              <w:t>名称：扶风县恒大小学</w:t>
            </w:r>
          </w:p>
          <w:p>
            <w:pPr>
              <w:spacing w:line="400" w:lineRule="exact"/>
              <w:rPr>
                <w:rFonts w:ascii="宋体" w:hAnsi="宋体" w:cs="宋体"/>
                <w:szCs w:val="21"/>
              </w:rPr>
            </w:pPr>
            <w:r>
              <w:rPr>
                <w:rFonts w:hint="eastAsia" w:ascii="宋体" w:hAnsi="宋体" w:cs="宋体"/>
                <w:szCs w:val="21"/>
              </w:rPr>
              <w:t>地  址：扶风县绛帐镇西街村二组</w:t>
            </w:r>
          </w:p>
          <w:p>
            <w:pPr>
              <w:spacing w:line="400" w:lineRule="exact"/>
              <w:rPr>
                <w:rFonts w:ascii="宋体" w:hAnsi="宋体" w:cs="宋体"/>
                <w:szCs w:val="21"/>
              </w:rPr>
            </w:pPr>
            <w:r>
              <w:rPr>
                <w:rFonts w:hint="eastAsia" w:ascii="宋体" w:hAnsi="宋体" w:cs="宋体"/>
                <w:szCs w:val="21"/>
              </w:rPr>
              <w:t>电  话：0917-5289103</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29" w:hRule="atLeast"/>
        </w:trPr>
        <w:tc>
          <w:tcPr>
            <w:tcW w:w="368" w:type="pct"/>
            <w:vAlign w:val="center"/>
          </w:tcPr>
          <w:p>
            <w:pPr>
              <w:spacing w:line="400" w:lineRule="exact"/>
              <w:jc w:val="center"/>
              <w:rPr>
                <w:rFonts w:ascii="宋体" w:hAnsi="宋体" w:cs="宋体"/>
                <w:szCs w:val="21"/>
              </w:rPr>
            </w:pPr>
            <w:r>
              <w:rPr>
                <w:rFonts w:hint="eastAsia" w:ascii="宋体" w:hAnsi="宋体" w:cs="宋体"/>
                <w:szCs w:val="21"/>
              </w:rPr>
              <w:t>2</w:t>
            </w:r>
          </w:p>
        </w:tc>
        <w:tc>
          <w:tcPr>
            <w:tcW w:w="1582" w:type="pct"/>
            <w:vAlign w:val="center"/>
          </w:tcPr>
          <w:p>
            <w:pPr>
              <w:spacing w:line="400" w:lineRule="exact"/>
              <w:jc w:val="center"/>
              <w:rPr>
                <w:rFonts w:ascii="宋体" w:hAnsi="宋体" w:cs="宋体"/>
                <w:szCs w:val="21"/>
              </w:rPr>
            </w:pPr>
            <w:r>
              <w:rPr>
                <w:rFonts w:hint="eastAsia" w:ascii="宋体" w:hAnsi="宋体" w:cs="宋体"/>
                <w:szCs w:val="21"/>
              </w:rPr>
              <w:t>采购代理机构</w:t>
            </w:r>
          </w:p>
        </w:tc>
        <w:tc>
          <w:tcPr>
            <w:tcW w:w="3048" w:type="pct"/>
            <w:vAlign w:val="center"/>
          </w:tcPr>
          <w:p>
            <w:pPr>
              <w:spacing w:line="400" w:lineRule="exact"/>
              <w:rPr>
                <w:rFonts w:ascii="宋体" w:hAnsi="宋体" w:cs="宋体"/>
                <w:szCs w:val="21"/>
              </w:rPr>
            </w:pPr>
            <w:r>
              <w:rPr>
                <w:rFonts w:hint="eastAsia" w:ascii="宋体" w:hAnsi="宋体" w:cs="宋体"/>
                <w:szCs w:val="21"/>
              </w:rPr>
              <w:t>名  称：陕西鼎祥越工程造价咨询有限公司</w:t>
            </w:r>
          </w:p>
          <w:p>
            <w:pPr>
              <w:spacing w:line="400" w:lineRule="exact"/>
              <w:rPr>
                <w:rFonts w:ascii="宋体" w:hAnsi="宋体" w:cs="宋体"/>
                <w:szCs w:val="21"/>
              </w:rPr>
            </w:pPr>
            <w:r>
              <w:rPr>
                <w:rFonts w:hint="eastAsia" w:ascii="宋体" w:hAnsi="宋体" w:cs="宋体"/>
                <w:szCs w:val="21"/>
              </w:rPr>
              <w:t>地  址：宝鸡市行政中心海棠风尚1510室</w:t>
            </w:r>
          </w:p>
          <w:p>
            <w:pPr>
              <w:spacing w:line="400" w:lineRule="exact"/>
              <w:rPr>
                <w:rFonts w:ascii="宋体" w:hAnsi="宋体" w:cs="宋体"/>
                <w:szCs w:val="21"/>
              </w:rPr>
            </w:pPr>
            <w:r>
              <w:rPr>
                <w:rFonts w:hint="eastAsia" w:ascii="宋体" w:hAnsi="宋体" w:cs="宋体"/>
                <w:szCs w:val="21"/>
              </w:rPr>
              <w:t>联系人：邹工</w:t>
            </w:r>
          </w:p>
          <w:p>
            <w:pPr>
              <w:spacing w:line="400" w:lineRule="exact"/>
              <w:rPr>
                <w:rFonts w:ascii="宋体" w:hAnsi="宋体" w:cs="宋体"/>
                <w:szCs w:val="21"/>
              </w:rPr>
            </w:pPr>
            <w:r>
              <w:rPr>
                <w:rFonts w:hint="eastAsia" w:ascii="宋体" w:hAnsi="宋体" w:cs="宋体"/>
                <w:szCs w:val="21"/>
              </w:rPr>
              <w:t>电  话：0917-3807560</w:t>
            </w:r>
          </w:p>
          <w:p>
            <w:pPr>
              <w:spacing w:line="400" w:lineRule="exact"/>
              <w:rPr>
                <w:rFonts w:ascii="宋体" w:hAnsi="宋体" w:cs="宋体"/>
                <w:szCs w:val="21"/>
              </w:rPr>
            </w:pPr>
            <w:r>
              <w:rPr>
                <w:rFonts w:hint="eastAsia" w:ascii="宋体" w:hAnsi="宋体" w:cs="宋体"/>
                <w:szCs w:val="21"/>
              </w:rPr>
              <w:t>电子邮箱：2218592475@qq.com</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71" w:hRule="atLeast"/>
        </w:trPr>
        <w:tc>
          <w:tcPr>
            <w:tcW w:w="368" w:type="pct"/>
            <w:vAlign w:val="center"/>
          </w:tcPr>
          <w:p>
            <w:pPr>
              <w:spacing w:line="400" w:lineRule="exact"/>
              <w:jc w:val="center"/>
              <w:rPr>
                <w:rFonts w:ascii="宋体" w:hAnsi="宋体" w:cs="宋体"/>
                <w:szCs w:val="21"/>
              </w:rPr>
            </w:pPr>
            <w:r>
              <w:rPr>
                <w:rFonts w:hint="eastAsia" w:ascii="宋体" w:hAnsi="宋体" w:cs="宋体"/>
                <w:szCs w:val="21"/>
              </w:rPr>
              <w:t>3</w:t>
            </w:r>
          </w:p>
        </w:tc>
        <w:tc>
          <w:tcPr>
            <w:tcW w:w="1582" w:type="pct"/>
            <w:vAlign w:val="center"/>
          </w:tcPr>
          <w:p>
            <w:pPr>
              <w:spacing w:line="400" w:lineRule="exact"/>
              <w:jc w:val="center"/>
              <w:rPr>
                <w:rFonts w:ascii="宋体" w:hAnsi="宋体" w:cs="宋体"/>
                <w:szCs w:val="21"/>
              </w:rPr>
            </w:pPr>
            <w:r>
              <w:rPr>
                <w:rFonts w:hint="eastAsia" w:ascii="宋体" w:hAnsi="宋体" w:cs="宋体"/>
                <w:szCs w:val="21"/>
              </w:rPr>
              <w:t>采购项目名称</w:t>
            </w:r>
          </w:p>
        </w:tc>
        <w:tc>
          <w:tcPr>
            <w:tcW w:w="3048" w:type="pct"/>
            <w:vAlign w:val="center"/>
          </w:tcPr>
          <w:p>
            <w:pPr>
              <w:spacing w:line="400" w:lineRule="exact"/>
              <w:rPr>
                <w:rFonts w:ascii="宋体" w:hAnsi="宋体" w:cs="宋体"/>
                <w:szCs w:val="21"/>
              </w:rPr>
            </w:pPr>
            <w:r>
              <w:rPr>
                <w:rFonts w:hint="eastAsia" w:ascii="宋体" w:hAnsi="宋体" w:cs="宋体"/>
                <w:szCs w:val="21"/>
              </w:rPr>
              <w:t>恒大小学部室配备采购项目</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368" w:type="pct"/>
            <w:vAlign w:val="center"/>
          </w:tcPr>
          <w:p>
            <w:pPr>
              <w:spacing w:line="400" w:lineRule="exact"/>
              <w:jc w:val="center"/>
              <w:rPr>
                <w:rFonts w:ascii="宋体" w:hAnsi="宋体" w:cs="宋体"/>
                <w:szCs w:val="21"/>
              </w:rPr>
            </w:pPr>
            <w:r>
              <w:rPr>
                <w:rFonts w:hint="eastAsia" w:ascii="宋体" w:hAnsi="宋体" w:cs="宋体"/>
                <w:szCs w:val="21"/>
              </w:rPr>
              <w:t>4</w:t>
            </w:r>
          </w:p>
        </w:tc>
        <w:tc>
          <w:tcPr>
            <w:tcW w:w="1582" w:type="pct"/>
            <w:vAlign w:val="center"/>
          </w:tcPr>
          <w:p>
            <w:pPr>
              <w:spacing w:line="400" w:lineRule="exact"/>
              <w:jc w:val="center"/>
              <w:rPr>
                <w:rFonts w:ascii="宋体" w:hAnsi="宋体" w:cs="宋体"/>
                <w:szCs w:val="21"/>
              </w:rPr>
            </w:pPr>
            <w:r>
              <w:rPr>
                <w:rFonts w:hint="eastAsia" w:ascii="宋体" w:hAnsi="宋体" w:cs="宋体"/>
                <w:szCs w:val="21"/>
              </w:rPr>
              <w:t>采购项目编号</w:t>
            </w:r>
          </w:p>
        </w:tc>
        <w:tc>
          <w:tcPr>
            <w:tcW w:w="3048" w:type="pct"/>
            <w:vAlign w:val="center"/>
          </w:tcPr>
          <w:p>
            <w:pPr>
              <w:spacing w:line="400" w:lineRule="exact"/>
              <w:rPr>
                <w:rFonts w:ascii="宋体" w:hAnsi="宋体" w:cs="宋体"/>
                <w:szCs w:val="21"/>
              </w:rPr>
            </w:pPr>
            <w:r>
              <w:rPr>
                <w:rFonts w:hint="eastAsia" w:ascii="宋体" w:hAnsi="宋体" w:cs="宋体"/>
                <w:szCs w:val="21"/>
              </w:rPr>
              <w:t>DXY2022-0010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24" w:hRule="atLeast"/>
        </w:trPr>
        <w:tc>
          <w:tcPr>
            <w:tcW w:w="368" w:type="pct"/>
            <w:vAlign w:val="center"/>
          </w:tcPr>
          <w:p>
            <w:pPr>
              <w:spacing w:line="400" w:lineRule="exact"/>
              <w:jc w:val="center"/>
              <w:rPr>
                <w:rFonts w:ascii="宋体" w:hAnsi="宋体" w:cs="宋体"/>
                <w:szCs w:val="21"/>
              </w:rPr>
            </w:pPr>
            <w:r>
              <w:rPr>
                <w:rFonts w:hint="eastAsia" w:ascii="宋体" w:hAnsi="宋体" w:cs="宋体"/>
                <w:szCs w:val="21"/>
              </w:rPr>
              <w:t>5</w:t>
            </w:r>
          </w:p>
        </w:tc>
        <w:tc>
          <w:tcPr>
            <w:tcW w:w="1582" w:type="pct"/>
            <w:vAlign w:val="center"/>
          </w:tcPr>
          <w:p>
            <w:pPr>
              <w:spacing w:line="400" w:lineRule="exact"/>
              <w:jc w:val="center"/>
              <w:rPr>
                <w:rFonts w:ascii="宋体" w:hAnsi="宋体" w:cs="宋体"/>
                <w:szCs w:val="21"/>
              </w:rPr>
            </w:pPr>
            <w:r>
              <w:rPr>
                <w:rFonts w:hint="eastAsia" w:ascii="宋体" w:hAnsi="宋体" w:cs="宋体"/>
                <w:szCs w:val="21"/>
              </w:rPr>
              <w:t>资金来源及采购预算</w:t>
            </w:r>
          </w:p>
        </w:tc>
        <w:tc>
          <w:tcPr>
            <w:tcW w:w="3048" w:type="pct"/>
            <w:vAlign w:val="center"/>
          </w:tcPr>
          <w:p>
            <w:pPr>
              <w:spacing w:line="400" w:lineRule="exact"/>
              <w:rPr>
                <w:rFonts w:ascii="宋体" w:hAnsi="宋体" w:cs="宋体"/>
                <w:szCs w:val="21"/>
              </w:rPr>
            </w:pPr>
            <w:r>
              <w:rPr>
                <w:rFonts w:hint="eastAsia" w:ascii="宋体" w:hAnsi="宋体" w:cs="宋体"/>
                <w:szCs w:val="21"/>
              </w:rPr>
              <w:t>财政资金   1575000</w:t>
            </w:r>
            <w:r>
              <w:rPr>
                <w:rFonts w:hint="eastAsia" w:ascii="宋体" w:hAnsi="宋体" w:cs="宋体"/>
                <w:szCs w:val="21"/>
                <w:lang w:val="en-US" w:eastAsia="zh-CN"/>
              </w:rPr>
              <w:t>.00</w:t>
            </w:r>
            <w:r>
              <w:rPr>
                <w:rFonts w:hint="eastAsia" w:ascii="宋体" w:hAnsi="宋体" w:cs="宋体"/>
                <w:szCs w:val="21"/>
              </w:rPr>
              <w:t>元</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80" w:hRule="atLeast"/>
        </w:trPr>
        <w:tc>
          <w:tcPr>
            <w:tcW w:w="368" w:type="pct"/>
            <w:vAlign w:val="center"/>
          </w:tcPr>
          <w:p>
            <w:pPr>
              <w:spacing w:line="400" w:lineRule="exact"/>
              <w:jc w:val="center"/>
              <w:rPr>
                <w:rFonts w:ascii="宋体" w:hAnsi="宋体" w:cs="宋体"/>
                <w:szCs w:val="21"/>
              </w:rPr>
            </w:pPr>
            <w:r>
              <w:rPr>
                <w:rFonts w:hint="eastAsia" w:ascii="宋体" w:hAnsi="宋体" w:cs="宋体"/>
                <w:szCs w:val="21"/>
              </w:rPr>
              <w:t>6</w:t>
            </w:r>
          </w:p>
        </w:tc>
        <w:tc>
          <w:tcPr>
            <w:tcW w:w="1582" w:type="pct"/>
            <w:vAlign w:val="center"/>
          </w:tcPr>
          <w:p>
            <w:pPr>
              <w:spacing w:line="400" w:lineRule="exact"/>
              <w:jc w:val="center"/>
              <w:rPr>
                <w:rFonts w:ascii="宋体" w:hAnsi="宋体" w:cs="宋体"/>
                <w:color w:val="0000FF"/>
                <w:szCs w:val="21"/>
              </w:rPr>
            </w:pPr>
            <w:r>
              <w:rPr>
                <w:rFonts w:hint="eastAsia" w:ascii="宋体" w:hAnsi="宋体" w:cs="宋体"/>
                <w:szCs w:val="21"/>
              </w:rPr>
              <w:t>采购项目用途</w:t>
            </w:r>
          </w:p>
        </w:tc>
        <w:tc>
          <w:tcPr>
            <w:tcW w:w="3048" w:type="pct"/>
            <w:vAlign w:val="center"/>
          </w:tcPr>
          <w:p>
            <w:pPr>
              <w:spacing w:line="400" w:lineRule="exact"/>
              <w:rPr>
                <w:rFonts w:ascii="宋体" w:hAnsi="宋体" w:cs="宋体"/>
                <w:color w:val="0000FF"/>
                <w:szCs w:val="21"/>
              </w:rPr>
            </w:pPr>
            <w:r>
              <w:rPr>
                <w:rFonts w:hint="eastAsia" w:ascii="宋体" w:hAnsi="宋体" w:cs="宋体"/>
                <w:szCs w:val="21"/>
              </w:rPr>
              <w:t>教学专用仪器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45" w:hRule="atLeast"/>
        </w:trPr>
        <w:tc>
          <w:tcPr>
            <w:tcW w:w="368" w:type="pct"/>
            <w:vAlign w:val="center"/>
          </w:tcPr>
          <w:p>
            <w:pPr>
              <w:spacing w:line="400" w:lineRule="exact"/>
              <w:jc w:val="center"/>
              <w:rPr>
                <w:rFonts w:ascii="宋体" w:hAnsi="宋体" w:cs="宋体"/>
                <w:szCs w:val="21"/>
              </w:rPr>
            </w:pPr>
            <w:r>
              <w:rPr>
                <w:rFonts w:hint="eastAsia" w:ascii="宋体" w:hAnsi="宋体" w:cs="宋体"/>
                <w:szCs w:val="21"/>
              </w:rPr>
              <w:t>7</w:t>
            </w:r>
          </w:p>
        </w:tc>
        <w:tc>
          <w:tcPr>
            <w:tcW w:w="1582" w:type="pct"/>
            <w:vAlign w:val="center"/>
          </w:tcPr>
          <w:p>
            <w:pPr>
              <w:spacing w:line="400" w:lineRule="exact"/>
              <w:jc w:val="center"/>
              <w:rPr>
                <w:rFonts w:ascii="宋体" w:hAnsi="宋体" w:cs="宋体"/>
                <w:szCs w:val="21"/>
              </w:rPr>
            </w:pPr>
            <w:r>
              <w:rPr>
                <w:rFonts w:hint="eastAsia" w:ascii="宋体" w:hAnsi="宋体" w:cs="宋体"/>
                <w:szCs w:val="21"/>
              </w:rPr>
              <w:t>采购方式</w:t>
            </w:r>
          </w:p>
        </w:tc>
        <w:tc>
          <w:tcPr>
            <w:tcW w:w="3048" w:type="pct"/>
            <w:vAlign w:val="center"/>
          </w:tcPr>
          <w:p>
            <w:pPr>
              <w:spacing w:line="400" w:lineRule="exact"/>
              <w:rPr>
                <w:rFonts w:ascii="宋体" w:hAnsi="宋体" w:cs="宋体"/>
                <w:szCs w:val="21"/>
              </w:rPr>
            </w:pPr>
            <w:r>
              <w:rPr>
                <w:rFonts w:hint="eastAsia" w:ascii="宋体" w:hAnsi="宋体" w:cs="宋体"/>
                <w:szCs w:val="21"/>
              </w:rPr>
              <w:t>公开招标</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90" w:hRule="atLeast"/>
        </w:trPr>
        <w:tc>
          <w:tcPr>
            <w:tcW w:w="368" w:type="pct"/>
            <w:vAlign w:val="center"/>
          </w:tcPr>
          <w:p>
            <w:pPr>
              <w:spacing w:line="400" w:lineRule="exact"/>
              <w:jc w:val="center"/>
              <w:rPr>
                <w:rFonts w:ascii="宋体" w:hAnsi="宋体" w:cs="宋体"/>
                <w:szCs w:val="21"/>
              </w:rPr>
            </w:pPr>
            <w:r>
              <w:rPr>
                <w:rFonts w:hint="eastAsia" w:ascii="宋体" w:hAnsi="宋体" w:cs="宋体"/>
                <w:szCs w:val="21"/>
              </w:rPr>
              <w:t>8</w:t>
            </w:r>
          </w:p>
        </w:tc>
        <w:tc>
          <w:tcPr>
            <w:tcW w:w="1582" w:type="pct"/>
            <w:vAlign w:val="center"/>
          </w:tcPr>
          <w:p>
            <w:pPr>
              <w:spacing w:line="400" w:lineRule="exact"/>
              <w:jc w:val="center"/>
              <w:rPr>
                <w:rFonts w:ascii="宋体" w:hAnsi="宋体" w:cs="宋体"/>
                <w:szCs w:val="21"/>
              </w:rPr>
            </w:pPr>
            <w:r>
              <w:rPr>
                <w:rFonts w:hint="eastAsia" w:ascii="宋体" w:hAnsi="宋体" w:cs="宋体"/>
                <w:szCs w:val="21"/>
              </w:rPr>
              <w:t>采购内容</w:t>
            </w:r>
          </w:p>
        </w:tc>
        <w:tc>
          <w:tcPr>
            <w:tcW w:w="3048" w:type="pct"/>
            <w:vAlign w:val="center"/>
          </w:tcPr>
          <w:p>
            <w:pPr>
              <w:spacing w:line="400" w:lineRule="exact"/>
              <w:rPr>
                <w:rFonts w:ascii="宋体" w:hAnsi="宋体" w:cs="宋体"/>
                <w:szCs w:val="21"/>
              </w:rPr>
            </w:pPr>
            <w:r>
              <w:rPr>
                <w:rFonts w:hint="eastAsia" w:ascii="宋体" w:hAnsi="宋体" w:cs="宋体"/>
                <w:szCs w:val="21"/>
              </w:rPr>
              <w:t>详见技术参数</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368" w:type="pct"/>
            <w:vAlign w:val="center"/>
          </w:tcPr>
          <w:p>
            <w:pPr>
              <w:spacing w:line="400" w:lineRule="exact"/>
              <w:jc w:val="center"/>
              <w:rPr>
                <w:rFonts w:ascii="宋体" w:hAnsi="宋体" w:cs="宋体"/>
                <w:szCs w:val="21"/>
              </w:rPr>
            </w:pPr>
            <w:r>
              <w:rPr>
                <w:rFonts w:hint="eastAsia" w:ascii="宋体" w:hAnsi="宋体" w:cs="宋体"/>
                <w:szCs w:val="21"/>
              </w:rPr>
              <w:t>9</w:t>
            </w:r>
          </w:p>
        </w:tc>
        <w:tc>
          <w:tcPr>
            <w:tcW w:w="1582" w:type="pct"/>
            <w:vAlign w:val="center"/>
          </w:tcPr>
          <w:p>
            <w:pPr>
              <w:spacing w:line="400" w:lineRule="exact"/>
              <w:jc w:val="center"/>
              <w:rPr>
                <w:rFonts w:ascii="宋体" w:hAnsi="宋体" w:cs="宋体"/>
                <w:szCs w:val="21"/>
              </w:rPr>
            </w:pPr>
            <w:r>
              <w:rPr>
                <w:rFonts w:hint="eastAsia" w:ascii="宋体" w:hAnsi="宋体" w:cs="宋体"/>
                <w:szCs w:val="21"/>
              </w:rPr>
              <w:t>交货时间（期限）、地点</w:t>
            </w:r>
          </w:p>
        </w:tc>
        <w:tc>
          <w:tcPr>
            <w:tcW w:w="3048" w:type="pct"/>
            <w:vAlign w:val="center"/>
          </w:tcPr>
          <w:p>
            <w:pPr>
              <w:spacing w:line="400" w:lineRule="exact"/>
              <w:rPr>
                <w:rFonts w:ascii="宋体" w:hAnsi="宋体" w:cs="宋体"/>
                <w:szCs w:val="21"/>
              </w:rPr>
            </w:pPr>
            <w:r>
              <w:rPr>
                <w:rFonts w:hint="eastAsia" w:ascii="宋体" w:hAnsi="宋体" w:cs="宋体"/>
                <w:szCs w:val="21"/>
              </w:rPr>
              <w:t>交货时间（期限）：自合同签订后60日历日内，供货安装调试完毕。</w:t>
            </w:r>
          </w:p>
          <w:p>
            <w:pPr>
              <w:spacing w:line="400" w:lineRule="exact"/>
              <w:rPr>
                <w:rFonts w:ascii="宋体" w:hAnsi="宋体" w:cs="宋体"/>
                <w:szCs w:val="21"/>
              </w:rPr>
            </w:pPr>
            <w:r>
              <w:rPr>
                <w:rFonts w:hint="eastAsia" w:ascii="宋体" w:hAnsi="宋体" w:cs="宋体"/>
                <w:szCs w:val="21"/>
              </w:rPr>
              <w:t>交货地点：采购方指定地点</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07" w:hRule="atLeast"/>
        </w:trPr>
        <w:tc>
          <w:tcPr>
            <w:tcW w:w="368" w:type="pct"/>
            <w:vAlign w:val="center"/>
          </w:tcPr>
          <w:p>
            <w:pPr>
              <w:spacing w:line="400" w:lineRule="exact"/>
              <w:jc w:val="center"/>
              <w:rPr>
                <w:rFonts w:ascii="宋体" w:hAnsi="宋体" w:cs="宋体"/>
                <w:szCs w:val="21"/>
              </w:rPr>
            </w:pPr>
            <w:r>
              <w:rPr>
                <w:rFonts w:hint="eastAsia" w:ascii="宋体" w:hAnsi="宋体" w:cs="宋体"/>
                <w:szCs w:val="21"/>
              </w:rPr>
              <w:t>10</w:t>
            </w:r>
          </w:p>
        </w:tc>
        <w:tc>
          <w:tcPr>
            <w:tcW w:w="1582" w:type="pct"/>
            <w:vAlign w:val="center"/>
          </w:tcPr>
          <w:p>
            <w:pPr>
              <w:spacing w:line="400" w:lineRule="exact"/>
              <w:jc w:val="center"/>
              <w:rPr>
                <w:rFonts w:ascii="宋体" w:hAnsi="宋体" w:cs="宋体"/>
                <w:szCs w:val="21"/>
              </w:rPr>
            </w:pPr>
            <w:r>
              <w:rPr>
                <w:rFonts w:hint="eastAsia" w:ascii="宋体" w:hAnsi="宋体" w:cs="宋体"/>
                <w:szCs w:val="21"/>
              </w:rPr>
              <w:t>质量要求及验收标准</w:t>
            </w:r>
          </w:p>
        </w:tc>
        <w:tc>
          <w:tcPr>
            <w:tcW w:w="3048" w:type="pct"/>
            <w:vAlign w:val="center"/>
          </w:tcPr>
          <w:p>
            <w:pPr>
              <w:spacing w:line="400" w:lineRule="exact"/>
              <w:rPr>
                <w:rFonts w:ascii="宋体" w:hAnsi="宋体" w:cs="宋体"/>
                <w:szCs w:val="21"/>
              </w:rPr>
            </w:pPr>
            <w:r>
              <w:rPr>
                <w:rFonts w:hint="eastAsia" w:ascii="宋体" w:hAnsi="宋体" w:cs="宋体"/>
                <w:szCs w:val="21"/>
              </w:rPr>
              <w:t>质量要求：达到国家现行技术标准。</w:t>
            </w:r>
          </w:p>
          <w:p>
            <w:pPr>
              <w:spacing w:line="400" w:lineRule="exact"/>
              <w:rPr>
                <w:rFonts w:ascii="宋体" w:hAnsi="宋体" w:cs="宋体"/>
                <w:szCs w:val="21"/>
              </w:rPr>
            </w:pPr>
            <w:r>
              <w:rPr>
                <w:rFonts w:hint="eastAsia" w:ascii="宋体" w:hAnsi="宋体" w:cs="宋体"/>
                <w:szCs w:val="21"/>
              </w:rPr>
              <w:t>验收标准：国家标准、行业标准、企业标准。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4" w:hRule="atLeast"/>
        </w:trPr>
        <w:tc>
          <w:tcPr>
            <w:tcW w:w="368" w:type="pct"/>
            <w:vAlign w:val="center"/>
          </w:tcPr>
          <w:p>
            <w:pPr>
              <w:spacing w:line="400" w:lineRule="exact"/>
              <w:jc w:val="center"/>
              <w:rPr>
                <w:rFonts w:ascii="宋体" w:hAnsi="宋体" w:cs="宋体"/>
                <w:szCs w:val="21"/>
              </w:rPr>
            </w:pPr>
            <w:r>
              <w:rPr>
                <w:rFonts w:hint="eastAsia" w:ascii="宋体" w:hAnsi="宋体" w:cs="宋体"/>
                <w:szCs w:val="21"/>
              </w:rPr>
              <w:t>11</w:t>
            </w:r>
          </w:p>
        </w:tc>
        <w:tc>
          <w:tcPr>
            <w:tcW w:w="1582" w:type="pct"/>
            <w:vAlign w:val="center"/>
          </w:tcPr>
          <w:p>
            <w:pPr>
              <w:spacing w:line="400" w:lineRule="exact"/>
              <w:jc w:val="center"/>
              <w:rPr>
                <w:rFonts w:ascii="宋体" w:hAnsi="宋体" w:cs="宋体"/>
                <w:szCs w:val="21"/>
              </w:rPr>
            </w:pPr>
            <w:r>
              <w:rPr>
                <w:rFonts w:hint="eastAsia" w:ascii="宋体" w:hAnsi="宋体" w:cs="宋体"/>
                <w:szCs w:val="21"/>
              </w:rPr>
              <w:t>资格证明文件</w:t>
            </w:r>
          </w:p>
        </w:tc>
        <w:tc>
          <w:tcPr>
            <w:tcW w:w="3048" w:type="pct"/>
            <w:vAlign w:val="center"/>
          </w:tcPr>
          <w:p>
            <w:pPr>
              <w:spacing w:line="400" w:lineRule="exact"/>
              <w:rPr>
                <w:rFonts w:ascii="宋体" w:hAnsi="宋体" w:cs="宋体"/>
                <w:szCs w:val="21"/>
              </w:rPr>
            </w:pPr>
            <w:r>
              <w:rPr>
                <w:rFonts w:hint="eastAsia" w:ascii="宋体" w:hAnsi="宋体" w:cs="宋体"/>
                <w:szCs w:val="21"/>
              </w:rPr>
              <w:t>1、投标人须符合《中华人民共和国政府采购法》第二十二条有关规定：</w:t>
            </w:r>
          </w:p>
          <w:p>
            <w:pPr>
              <w:spacing w:line="400" w:lineRule="exact"/>
              <w:rPr>
                <w:rFonts w:ascii="宋体" w:hAnsi="宋体" w:cs="宋体"/>
                <w:bCs/>
                <w:szCs w:val="21"/>
              </w:rPr>
            </w:pPr>
            <w:r>
              <w:rPr>
                <w:rFonts w:hint="eastAsia" w:ascii="宋体" w:hAnsi="宋体" w:cs="宋体"/>
                <w:szCs w:val="21"/>
              </w:rPr>
              <w:t>（1）财务状况报告：</w:t>
            </w:r>
            <w:r>
              <w:rPr>
                <w:rFonts w:hint="eastAsia" w:ascii="宋体" w:hAnsi="宋体" w:cs="宋体"/>
                <w:bCs/>
                <w:szCs w:val="21"/>
              </w:rPr>
              <w:t>提供2020年度经</w:t>
            </w:r>
            <w:r>
              <w:rPr>
                <w:rFonts w:hint="eastAsia" w:ascii="宋体" w:hAnsi="宋体" w:cs="宋体"/>
                <w:szCs w:val="21"/>
              </w:rPr>
              <w:t>审计的财务报告（成立时间至提交响应文件</w:t>
            </w:r>
            <w:r>
              <w:rPr>
                <w:rFonts w:hint="eastAsia" w:ascii="宋体" w:hAnsi="宋体" w:cs="宋体"/>
                <w:bCs/>
                <w:szCs w:val="21"/>
              </w:rPr>
              <w:t>截止时间不足一年的可提供成立后任意时段的资产负债表），或其基本存款账户开户银行出具的资信证明及基本存款账户开户许可证；</w:t>
            </w:r>
          </w:p>
          <w:p>
            <w:pPr>
              <w:spacing w:line="400" w:lineRule="exact"/>
              <w:rPr>
                <w:rFonts w:ascii="宋体" w:hAnsi="宋体" w:cs="宋体"/>
                <w:bCs/>
                <w:szCs w:val="21"/>
              </w:rPr>
            </w:pPr>
            <w:r>
              <w:rPr>
                <w:rFonts w:hint="eastAsia" w:ascii="宋体" w:hAnsi="宋体" w:cs="宋体"/>
                <w:bCs/>
                <w:szCs w:val="21"/>
              </w:rPr>
              <w:t>（2）完税证明：提供202</w:t>
            </w:r>
            <w:r>
              <w:rPr>
                <w:rFonts w:ascii="宋体" w:hAnsi="宋体" w:cs="宋体"/>
                <w:bCs/>
                <w:szCs w:val="21"/>
              </w:rPr>
              <w:t>1</w:t>
            </w:r>
            <w:r>
              <w:rPr>
                <w:rFonts w:hint="eastAsia" w:ascii="宋体" w:hAnsi="宋体" w:cs="宋体"/>
                <w:bCs/>
                <w:szCs w:val="21"/>
              </w:rPr>
              <w:t>年度至今已缴纳的至少连续六个月的纳税证明或完税证明，依法免税的单位应提供相关证明材料；</w:t>
            </w:r>
          </w:p>
          <w:p>
            <w:pPr>
              <w:spacing w:line="400" w:lineRule="exact"/>
              <w:rPr>
                <w:rFonts w:ascii="宋体" w:hAnsi="宋体" w:cs="宋体"/>
                <w:bCs/>
                <w:szCs w:val="21"/>
              </w:rPr>
            </w:pPr>
            <w:r>
              <w:rPr>
                <w:rFonts w:hint="eastAsia" w:ascii="宋体" w:hAnsi="宋体" w:cs="宋体"/>
                <w:bCs/>
                <w:szCs w:val="21"/>
              </w:rPr>
              <w:t>（3）社保缴纳情况：提供202</w:t>
            </w:r>
            <w:r>
              <w:rPr>
                <w:rFonts w:ascii="宋体" w:hAnsi="宋体" w:cs="宋体"/>
                <w:bCs/>
                <w:szCs w:val="21"/>
              </w:rPr>
              <w:t>1</w:t>
            </w:r>
            <w:r>
              <w:rPr>
                <w:rFonts w:hint="eastAsia" w:ascii="宋体" w:hAnsi="宋体" w:cs="宋体"/>
                <w:bCs/>
                <w:szCs w:val="21"/>
              </w:rPr>
              <w:t>年度至今已缴存的至少连续六个月的社会保障资金缴存单据或社保机构开具的社会保险参保缴费情况证明，依法不需要缴纳社会保障资金的单位应提供相关证明材料；</w:t>
            </w:r>
          </w:p>
          <w:p>
            <w:pPr>
              <w:spacing w:line="360" w:lineRule="auto"/>
              <w:rPr>
                <w:rFonts w:hint="eastAsia" w:ascii="宋体" w:hAnsi="宋体" w:eastAsia="宋体" w:cs="宋体"/>
                <w:szCs w:val="21"/>
              </w:rPr>
            </w:pPr>
            <w:r>
              <w:rPr>
                <w:rFonts w:hint="eastAsia" w:ascii="宋体" w:hAnsi="宋体" w:eastAsia="宋体" w:cs="宋体"/>
                <w:szCs w:val="21"/>
              </w:rPr>
              <w:t>2、具有独立承担民事责任能力的法人、其他组织或自然人，并出具合法有效的营业执照或事业单位法人证书等国家规定的相关证明，自然人参与的提供其身份证明；</w:t>
            </w:r>
          </w:p>
          <w:p>
            <w:pPr>
              <w:spacing w:line="360" w:lineRule="auto"/>
              <w:rPr>
                <w:rFonts w:hint="eastAsia" w:ascii="宋体" w:hAnsi="宋体" w:eastAsia="宋体" w:cs="宋体"/>
                <w:szCs w:val="21"/>
                <w:lang w:eastAsia="zh-CN"/>
              </w:rPr>
            </w:pPr>
            <w:r>
              <w:rPr>
                <w:rFonts w:hint="eastAsia" w:ascii="宋体" w:hAnsi="宋体" w:eastAsia="宋体" w:cs="宋体"/>
                <w:szCs w:val="21"/>
              </w:rPr>
              <w:t>3、投标人应授权合法的人员参加投标全过程，其中法定代表人直接参加投标的，须出具法人身份证，并与营业执照上信息一致。法定代表人授权代表参加投标的，须出具法定代表人授权书及授权代表身份证；</w:t>
            </w:r>
          </w:p>
          <w:p>
            <w:pPr>
              <w:spacing w:line="360" w:lineRule="auto"/>
              <w:rPr>
                <w:rFonts w:ascii="宋体" w:hAnsi="宋体" w:cs="宋体"/>
                <w:szCs w:val="21"/>
              </w:rPr>
            </w:pPr>
            <w:r>
              <w:rPr>
                <w:rFonts w:hint="eastAsia" w:ascii="宋体" w:hAnsi="宋体" w:cs="宋体"/>
                <w:szCs w:val="21"/>
              </w:rPr>
              <w:t xml:space="preserve">4、供应商须提供“中国裁判文书网”查询近三年企业、法定代表人无行贿犯罪记录截图；不得在“国家企业信用信息公示系统”列入严重违法失信企业名单（黑名单）；“信用中国查询”被列入失信被执行人名单、有重大税收违法案件的供应商不得参与，且提供信用报告（带水印）；不得为“中国政府采购网(www.ccgp.gov.cn”）政府采购严重违法失信行为记录名单中被财政部门禁止参加政府采购活动的供应商； </w:t>
            </w:r>
          </w:p>
          <w:p>
            <w:pPr>
              <w:spacing w:line="360" w:lineRule="auto"/>
              <w:rPr>
                <w:rFonts w:ascii="宋体" w:hAnsi="宋体" w:cs="宋体"/>
              </w:rPr>
            </w:pPr>
            <w:r>
              <w:rPr>
                <w:rFonts w:hint="eastAsia" w:ascii="宋体" w:hAnsi="宋体" w:cs="宋体"/>
                <w:szCs w:val="21"/>
              </w:rPr>
              <w:t>5、提供具有履行合同所必需的设备和专业技术能力的承诺函；</w:t>
            </w:r>
          </w:p>
          <w:p>
            <w:pPr>
              <w:spacing w:line="360" w:lineRule="auto"/>
              <w:rPr>
                <w:rFonts w:ascii="宋体" w:hAnsi="宋体" w:cs="宋体"/>
                <w:szCs w:val="21"/>
              </w:rPr>
            </w:pPr>
            <w:r>
              <w:rPr>
                <w:rFonts w:hint="eastAsia" w:ascii="宋体" w:hAnsi="宋体" w:cs="宋体"/>
                <w:szCs w:val="21"/>
              </w:rPr>
              <w:t>6、参加政府采购活动前3年内，在经营活动中没有重大违法记录的书面声明；</w:t>
            </w:r>
          </w:p>
          <w:p>
            <w:pPr>
              <w:spacing w:line="360" w:lineRule="auto"/>
              <w:rPr>
                <w:rFonts w:ascii="宋体" w:hAnsi="宋体" w:cs="宋体"/>
                <w:b/>
                <w:bCs/>
                <w:szCs w:val="21"/>
              </w:rPr>
            </w:pPr>
            <w:r>
              <w:rPr>
                <w:rFonts w:hint="eastAsia" w:ascii="宋体" w:hAnsi="宋体" w:cs="宋体"/>
                <w:szCs w:val="21"/>
              </w:rPr>
              <w:t>7、单位负责人为同一人或者存在直接控股、管理关系的不同单位，不得同时参加本项目投标。</w:t>
            </w:r>
            <w:r>
              <w:rPr>
                <w:rFonts w:hint="eastAsia" w:ascii="宋体" w:hAnsi="宋体" w:cs="宋体"/>
                <w:b/>
                <w:bCs/>
              </w:rPr>
              <w:t xml:space="preserve">  </w:t>
            </w:r>
            <w:r>
              <w:rPr>
                <w:rFonts w:hint="eastAsia" w:ascii="宋体" w:hAnsi="宋体" w:cs="宋体"/>
                <w:b/>
                <w:bCs/>
                <w:szCs w:val="21"/>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75" w:hRule="atLeast"/>
        </w:trPr>
        <w:tc>
          <w:tcPr>
            <w:tcW w:w="368" w:type="pct"/>
            <w:vAlign w:val="center"/>
          </w:tcPr>
          <w:p>
            <w:pPr>
              <w:spacing w:line="400" w:lineRule="exact"/>
              <w:jc w:val="center"/>
              <w:rPr>
                <w:rFonts w:ascii="宋体" w:hAnsi="宋体" w:cs="宋体"/>
                <w:szCs w:val="21"/>
              </w:rPr>
            </w:pPr>
            <w:r>
              <w:rPr>
                <w:rFonts w:hint="eastAsia" w:ascii="宋体" w:hAnsi="宋体" w:cs="宋体"/>
                <w:szCs w:val="21"/>
              </w:rPr>
              <w:t>12</w:t>
            </w:r>
          </w:p>
        </w:tc>
        <w:tc>
          <w:tcPr>
            <w:tcW w:w="1582" w:type="pct"/>
          </w:tcPr>
          <w:p>
            <w:pPr>
              <w:spacing w:line="400" w:lineRule="exact"/>
              <w:jc w:val="center"/>
              <w:rPr>
                <w:rFonts w:ascii="宋体" w:hAnsi="宋体" w:cs="宋体"/>
                <w:szCs w:val="21"/>
              </w:rPr>
            </w:pPr>
            <w:r>
              <w:rPr>
                <w:rFonts w:hint="eastAsia" w:ascii="宋体" w:hAnsi="宋体" w:cs="宋体"/>
                <w:szCs w:val="21"/>
              </w:rPr>
              <w:t>是否接受联合体投标</w:t>
            </w:r>
          </w:p>
        </w:tc>
        <w:tc>
          <w:tcPr>
            <w:tcW w:w="3048" w:type="pct"/>
            <w:vAlign w:val="center"/>
          </w:tcPr>
          <w:p>
            <w:pPr>
              <w:spacing w:line="400" w:lineRule="exact"/>
              <w:rPr>
                <w:rFonts w:ascii="宋体" w:hAnsi="宋体" w:cs="宋体"/>
                <w:szCs w:val="21"/>
              </w:rPr>
            </w:pPr>
            <w:r>
              <w:rPr>
                <w:rFonts w:hint="eastAsia" w:ascii="宋体" w:hAnsi="宋体" w:cs="宋体"/>
                <w:szCs w:val="21"/>
              </w:rPr>
              <w:t>不接受。</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3" w:hRule="atLeast"/>
        </w:trPr>
        <w:tc>
          <w:tcPr>
            <w:tcW w:w="368" w:type="pct"/>
            <w:vAlign w:val="center"/>
          </w:tcPr>
          <w:p>
            <w:pPr>
              <w:spacing w:line="400" w:lineRule="exact"/>
              <w:jc w:val="center"/>
              <w:rPr>
                <w:rFonts w:ascii="宋体" w:hAnsi="宋体" w:cs="宋体"/>
                <w:szCs w:val="21"/>
              </w:rPr>
            </w:pPr>
            <w:r>
              <w:rPr>
                <w:rFonts w:hint="eastAsia" w:ascii="宋体" w:hAnsi="宋体" w:cs="宋体"/>
                <w:szCs w:val="21"/>
              </w:rPr>
              <w:t>13</w:t>
            </w:r>
          </w:p>
        </w:tc>
        <w:tc>
          <w:tcPr>
            <w:tcW w:w="1582" w:type="pct"/>
            <w:vAlign w:val="center"/>
          </w:tcPr>
          <w:p>
            <w:pPr>
              <w:spacing w:line="400" w:lineRule="exact"/>
              <w:jc w:val="center"/>
              <w:rPr>
                <w:rFonts w:ascii="宋体" w:hAnsi="宋体" w:cs="宋体"/>
                <w:szCs w:val="21"/>
              </w:rPr>
            </w:pPr>
            <w:r>
              <w:rPr>
                <w:rFonts w:hint="eastAsia" w:ascii="宋体" w:hAnsi="宋体" w:cs="宋体"/>
                <w:szCs w:val="21"/>
              </w:rPr>
              <w:t>现场踏勘及答疑</w:t>
            </w:r>
          </w:p>
        </w:tc>
        <w:tc>
          <w:tcPr>
            <w:tcW w:w="3048" w:type="pct"/>
            <w:vAlign w:val="center"/>
          </w:tcPr>
          <w:p>
            <w:pPr>
              <w:spacing w:line="400" w:lineRule="exact"/>
              <w:rPr>
                <w:rFonts w:ascii="宋体" w:hAnsi="宋体" w:cs="宋体"/>
                <w:szCs w:val="21"/>
              </w:rPr>
            </w:pPr>
            <w:r>
              <w:rPr>
                <w:rFonts w:hint="eastAsia" w:ascii="宋体" w:hAnsi="宋体" w:cs="宋体"/>
                <w:snapToGrid w:val="0"/>
                <w:szCs w:val="21"/>
              </w:rPr>
              <w:t>不组织。招标人认为有必要，另行书面通知。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080" w:hRule="atLeast"/>
        </w:trPr>
        <w:tc>
          <w:tcPr>
            <w:tcW w:w="368" w:type="pct"/>
            <w:vAlign w:val="center"/>
          </w:tcPr>
          <w:p>
            <w:pPr>
              <w:spacing w:line="400" w:lineRule="exact"/>
              <w:jc w:val="center"/>
              <w:rPr>
                <w:rFonts w:ascii="宋体" w:hAnsi="宋体" w:cs="宋体"/>
                <w:szCs w:val="21"/>
              </w:rPr>
            </w:pPr>
            <w:r>
              <w:rPr>
                <w:rFonts w:hint="eastAsia" w:ascii="宋体" w:hAnsi="宋体" w:cs="宋体"/>
                <w:szCs w:val="21"/>
              </w:rPr>
              <w:t>14</w:t>
            </w:r>
          </w:p>
        </w:tc>
        <w:tc>
          <w:tcPr>
            <w:tcW w:w="1582" w:type="pct"/>
            <w:vAlign w:val="center"/>
          </w:tcPr>
          <w:p>
            <w:pPr>
              <w:spacing w:line="400" w:lineRule="exact"/>
              <w:jc w:val="center"/>
              <w:rPr>
                <w:rFonts w:ascii="宋体" w:hAnsi="宋体" w:cs="宋体"/>
                <w:szCs w:val="21"/>
              </w:rPr>
            </w:pPr>
            <w:r>
              <w:rPr>
                <w:rFonts w:hint="eastAsia" w:ascii="宋体" w:hAnsi="宋体" w:cs="宋体"/>
                <w:szCs w:val="21"/>
              </w:rPr>
              <w:t>投标人提出询问和质疑的时间</w:t>
            </w:r>
          </w:p>
        </w:tc>
        <w:tc>
          <w:tcPr>
            <w:tcW w:w="3048" w:type="pct"/>
            <w:vAlign w:val="center"/>
          </w:tcPr>
          <w:p>
            <w:pPr>
              <w:spacing w:line="400" w:lineRule="exact"/>
              <w:rPr>
                <w:rFonts w:ascii="宋体" w:hAnsi="宋体" w:cs="宋体"/>
                <w:snapToGrid w:val="0"/>
                <w:szCs w:val="21"/>
              </w:rPr>
            </w:pPr>
            <w:r>
              <w:rPr>
                <w:rFonts w:hint="eastAsia" w:ascii="宋体" w:hAnsi="宋体" w:cs="宋体"/>
                <w:snapToGrid w:val="0"/>
                <w:szCs w:val="21"/>
              </w:rPr>
              <w:t>已经购买招标文件的投标人对招标文件有询问或者质疑的，可以在本项目采购文件公告期限届满之日起7个工作日内，以书面形式（陕西省政府采购网上政府采购供应商质疑函范本）一次性向采购代理机构提出，在此之后提出的询问和质疑均为无效，采购代理机构不予受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3" w:hRule="atLeast"/>
        </w:trPr>
        <w:tc>
          <w:tcPr>
            <w:tcW w:w="368" w:type="pct"/>
            <w:vAlign w:val="center"/>
          </w:tcPr>
          <w:p>
            <w:pPr>
              <w:spacing w:line="400" w:lineRule="exact"/>
              <w:jc w:val="center"/>
              <w:rPr>
                <w:rFonts w:ascii="宋体" w:hAnsi="宋体" w:cs="宋体"/>
                <w:szCs w:val="21"/>
              </w:rPr>
            </w:pPr>
            <w:r>
              <w:rPr>
                <w:rFonts w:hint="eastAsia" w:ascii="宋体" w:hAnsi="宋体" w:cs="宋体"/>
                <w:szCs w:val="21"/>
              </w:rPr>
              <w:t>15</w:t>
            </w:r>
          </w:p>
        </w:tc>
        <w:tc>
          <w:tcPr>
            <w:tcW w:w="1582" w:type="pct"/>
            <w:vAlign w:val="center"/>
          </w:tcPr>
          <w:p>
            <w:pPr>
              <w:spacing w:line="400" w:lineRule="exact"/>
              <w:jc w:val="center"/>
              <w:rPr>
                <w:rFonts w:ascii="宋体" w:hAnsi="宋体" w:cs="宋体"/>
                <w:szCs w:val="21"/>
              </w:rPr>
            </w:pPr>
            <w:r>
              <w:rPr>
                <w:rFonts w:hint="eastAsia" w:ascii="宋体" w:hAnsi="宋体" w:cs="宋体"/>
                <w:szCs w:val="21"/>
              </w:rPr>
              <w:t>采购代理机构答疑的时间</w:t>
            </w:r>
          </w:p>
        </w:tc>
        <w:tc>
          <w:tcPr>
            <w:tcW w:w="3048" w:type="pct"/>
            <w:vAlign w:val="center"/>
          </w:tcPr>
          <w:p>
            <w:pPr>
              <w:spacing w:line="400" w:lineRule="exact"/>
              <w:rPr>
                <w:rFonts w:ascii="宋体" w:hAnsi="宋体" w:cs="宋体"/>
                <w:snapToGrid w:val="0"/>
                <w:szCs w:val="21"/>
              </w:rPr>
            </w:pPr>
            <w:r>
              <w:rPr>
                <w:rFonts w:hint="eastAsia" w:ascii="宋体" w:hAnsi="宋体" w:cs="宋体"/>
                <w:snapToGrid w:val="0"/>
                <w:szCs w:val="21"/>
              </w:rPr>
              <w:t>对于投标人在规定时间内依法提出的询问和质疑，采购代理机构将在三个工作日内答复询问，七个工作日内答复质疑。若对招标文件做出实质性变动，则按照相关规定延长投标截止时间。</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368" w:type="pct"/>
            <w:vAlign w:val="center"/>
          </w:tcPr>
          <w:p>
            <w:pPr>
              <w:spacing w:line="400" w:lineRule="exact"/>
              <w:jc w:val="center"/>
              <w:rPr>
                <w:rFonts w:ascii="宋体" w:hAnsi="宋体" w:cs="宋体"/>
                <w:szCs w:val="21"/>
              </w:rPr>
            </w:pPr>
            <w:r>
              <w:rPr>
                <w:rFonts w:hint="eastAsia" w:ascii="宋体" w:hAnsi="宋体" w:cs="宋体"/>
                <w:szCs w:val="21"/>
              </w:rPr>
              <w:t>16</w:t>
            </w:r>
          </w:p>
        </w:tc>
        <w:tc>
          <w:tcPr>
            <w:tcW w:w="1582" w:type="pct"/>
            <w:vAlign w:val="center"/>
          </w:tcPr>
          <w:p>
            <w:pPr>
              <w:spacing w:line="400" w:lineRule="exact"/>
              <w:jc w:val="center"/>
              <w:rPr>
                <w:rFonts w:ascii="宋体" w:hAnsi="宋体" w:cs="宋体"/>
                <w:szCs w:val="21"/>
              </w:rPr>
            </w:pPr>
            <w:r>
              <w:rPr>
                <w:rFonts w:hint="eastAsia" w:ascii="宋体" w:hAnsi="宋体" w:cs="宋体"/>
                <w:szCs w:val="21"/>
              </w:rPr>
              <w:t>投标有效期</w:t>
            </w:r>
          </w:p>
        </w:tc>
        <w:tc>
          <w:tcPr>
            <w:tcW w:w="3048" w:type="pct"/>
            <w:vAlign w:val="center"/>
          </w:tcPr>
          <w:p>
            <w:pPr>
              <w:spacing w:line="400" w:lineRule="exact"/>
              <w:rPr>
                <w:rFonts w:ascii="宋体" w:hAnsi="宋体" w:cs="宋体"/>
                <w:szCs w:val="21"/>
              </w:rPr>
            </w:pPr>
            <w:r>
              <w:rPr>
                <w:rFonts w:hint="eastAsia" w:ascii="宋体" w:hAnsi="宋体" w:cs="宋体"/>
                <w:szCs w:val="21"/>
              </w:rPr>
              <w:t>90个日历日（从提交投标文件截止之日算起）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368" w:type="pct"/>
            <w:vAlign w:val="center"/>
          </w:tcPr>
          <w:p>
            <w:pPr>
              <w:spacing w:line="400" w:lineRule="exact"/>
              <w:jc w:val="center"/>
              <w:rPr>
                <w:rFonts w:ascii="宋体" w:hAnsi="宋体" w:cs="宋体"/>
                <w:szCs w:val="21"/>
              </w:rPr>
            </w:pPr>
            <w:r>
              <w:rPr>
                <w:rFonts w:hint="eastAsia" w:ascii="宋体" w:hAnsi="宋体" w:cs="宋体"/>
                <w:szCs w:val="21"/>
              </w:rPr>
              <w:t>17</w:t>
            </w:r>
          </w:p>
        </w:tc>
        <w:tc>
          <w:tcPr>
            <w:tcW w:w="1582" w:type="pct"/>
            <w:vAlign w:val="center"/>
          </w:tcPr>
          <w:p>
            <w:pPr>
              <w:spacing w:line="400" w:lineRule="exact"/>
              <w:jc w:val="center"/>
              <w:rPr>
                <w:rFonts w:ascii="宋体" w:hAnsi="宋体" w:cs="宋体"/>
                <w:szCs w:val="21"/>
              </w:rPr>
            </w:pPr>
            <w:r>
              <w:rPr>
                <w:rFonts w:hint="eastAsia" w:ascii="宋体" w:hAnsi="宋体" w:cs="宋体"/>
                <w:szCs w:val="21"/>
              </w:rPr>
              <w:t>转包与分包履约</w:t>
            </w:r>
          </w:p>
        </w:tc>
        <w:tc>
          <w:tcPr>
            <w:tcW w:w="3048" w:type="pct"/>
            <w:vAlign w:val="center"/>
          </w:tcPr>
          <w:p>
            <w:pPr>
              <w:spacing w:line="400" w:lineRule="exact"/>
              <w:rPr>
                <w:rFonts w:ascii="宋体" w:hAnsi="宋体" w:cs="宋体"/>
                <w:szCs w:val="21"/>
              </w:rPr>
            </w:pPr>
            <w:r>
              <w:rPr>
                <w:rFonts w:hint="eastAsia" w:ascii="宋体" w:hAnsi="宋体" w:cs="宋体"/>
                <w:szCs w:val="21"/>
              </w:rPr>
              <w:t>不得转包。若分包中标人在合同签订之前必须征得采购人同意（详见投标人须知）。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368" w:type="pct"/>
            <w:vAlign w:val="center"/>
          </w:tcPr>
          <w:p>
            <w:pPr>
              <w:spacing w:line="400" w:lineRule="exact"/>
              <w:jc w:val="center"/>
              <w:rPr>
                <w:rFonts w:ascii="宋体" w:hAnsi="宋体" w:cs="宋体"/>
                <w:szCs w:val="21"/>
              </w:rPr>
            </w:pPr>
            <w:r>
              <w:rPr>
                <w:rFonts w:hint="eastAsia" w:ascii="宋体" w:hAnsi="宋体" w:cs="宋体"/>
                <w:szCs w:val="21"/>
              </w:rPr>
              <w:t>18</w:t>
            </w:r>
          </w:p>
        </w:tc>
        <w:tc>
          <w:tcPr>
            <w:tcW w:w="1582" w:type="pct"/>
            <w:vAlign w:val="center"/>
          </w:tcPr>
          <w:p>
            <w:pPr>
              <w:spacing w:line="400" w:lineRule="exact"/>
              <w:jc w:val="center"/>
              <w:rPr>
                <w:rFonts w:ascii="宋体" w:hAnsi="宋体" w:cs="宋体"/>
                <w:szCs w:val="21"/>
              </w:rPr>
            </w:pPr>
            <w:r>
              <w:rPr>
                <w:rFonts w:hint="eastAsia" w:ascii="宋体" w:hAnsi="宋体" w:cs="宋体"/>
                <w:szCs w:val="21"/>
              </w:rPr>
              <w:t>投标保证金金额及递交时间</w:t>
            </w:r>
          </w:p>
        </w:tc>
        <w:tc>
          <w:tcPr>
            <w:tcW w:w="3048" w:type="pct"/>
            <w:vAlign w:val="center"/>
          </w:tcPr>
          <w:p>
            <w:pPr>
              <w:spacing w:line="396" w:lineRule="exact"/>
              <w:rPr>
                <w:rFonts w:ascii="宋体" w:hAnsi="宋体" w:cs="宋体"/>
                <w:color w:val="FF0000"/>
                <w:szCs w:val="21"/>
              </w:rPr>
            </w:pPr>
            <w:r>
              <w:rPr>
                <w:rFonts w:hint="eastAsia" w:ascii="宋体" w:hAnsi="宋体" w:cs="宋体"/>
                <w:szCs w:val="21"/>
              </w:rPr>
              <w:t>金    额：叁万元整</w:t>
            </w:r>
          </w:p>
          <w:p>
            <w:pPr>
              <w:spacing w:line="396" w:lineRule="exact"/>
              <w:rPr>
                <w:rFonts w:ascii="宋体" w:hAnsi="宋体" w:cs="宋体"/>
                <w:szCs w:val="21"/>
              </w:rPr>
            </w:pPr>
            <w:r>
              <w:rPr>
                <w:rFonts w:hint="eastAsia" w:ascii="宋体" w:hAnsi="宋体" w:cs="宋体"/>
                <w:szCs w:val="21"/>
              </w:rPr>
              <w:t>交款方式：以非现金形式从供应商基本账户转到采购代理机构指定账户；符合陕西省财政厅陕财办采资〔2013〕5号文件规定的担保函。</w:t>
            </w:r>
          </w:p>
          <w:p>
            <w:pPr>
              <w:spacing w:line="400" w:lineRule="exact"/>
              <w:rPr>
                <w:rFonts w:ascii="宋体" w:hAnsi="宋体" w:cs="宋体"/>
                <w:szCs w:val="21"/>
              </w:rPr>
            </w:pPr>
            <w:r>
              <w:rPr>
                <w:rFonts w:hint="eastAsia" w:ascii="宋体" w:hAnsi="宋体" w:cs="宋体"/>
                <w:szCs w:val="21"/>
              </w:rPr>
              <w:t>交纳时间：</w:t>
            </w:r>
            <w:r>
              <w:rPr>
                <w:rFonts w:hint="eastAsia" w:ascii="宋体" w:hAnsi="宋体" w:cs="宋体"/>
                <w:szCs w:val="21"/>
                <w:lang w:eastAsia="zh-CN"/>
              </w:rPr>
              <w:t>投标</w:t>
            </w:r>
            <w:r>
              <w:rPr>
                <w:rFonts w:hint="eastAsia" w:ascii="宋体" w:hAnsi="宋体" w:cs="宋体"/>
                <w:szCs w:val="21"/>
              </w:rPr>
              <w:t>保证金必须在提交</w:t>
            </w:r>
            <w:r>
              <w:rPr>
                <w:rFonts w:hint="eastAsia" w:ascii="宋体" w:hAnsi="宋体" w:cs="宋体"/>
                <w:szCs w:val="21"/>
                <w:lang w:eastAsia="zh-CN"/>
              </w:rPr>
              <w:t>投标</w:t>
            </w:r>
            <w:r>
              <w:rPr>
                <w:rFonts w:hint="eastAsia" w:ascii="宋体" w:hAnsi="宋体" w:cs="宋体"/>
                <w:szCs w:val="21"/>
              </w:rPr>
              <w:t>文件截止时间之前交纳至以下账户：</w:t>
            </w:r>
          </w:p>
          <w:p>
            <w:pPr>
              <w:spacing w:line="396" w:lineRule="exact"/>
              <w:rPr>
                <w:rFonts w:ascii="宋体" w:hAnsi="宋体" w:cs="宋体"/>
                <w:szCs w:val="21"/>
              </w:rPr>
            </w:pPr>
            <w:r>
              <w:rPr>
                <w:rFonts w:hint="eastAsia" w:ascii="宋体" w:hAnsi="宋体" w:cs="宋体"/>
                <w:szCs w:val="21"/>
              </w:rPr>
              <w:t>收款单位：陕西鼎祥越工程造价咨询有限公司</w:t>
            </w:r>
          </w:p>
          <w:p>
            <w:pPr>
              <w:spacing w:line="396" w:lineRule="exact"/>
              <w:rPr>
                <w:rFonts w:ascii="宋体" w:hAnsi="宋体" w:cs="宋体"/>
                <w:szCs w:val="21"/>
              </w:rPr>
            </w:pPr>
            <w:r>
              <w:rPr>
                <w:rFonts w:hint="eastAsia" w:ascii="宋体" w:hAnsi="宋体" w:cs="宋体"/>
                <w:szCs w:val="21"/>
              </w:rPr>
              <w:t>开 户 行：中国建设银行宝鸡高新大道支行</w:t>
            </w:r>
          </w:p>
          <w:p>
            <w:pPr>
              <w:spacing w:line="396" w:lineRule="exact"/>
              <w:rPr>
                <w:rFonts w:ascii="宋体" w:hAnsi="宋体" w:cs="宋体"/>
                <w:szCs w:val="21"/>
              </w:rPr>
            </w:pPr>
            <w:r>
              <w:rPr>
                <w:rFonts w:hint="eastAsia" w:ascii="宋体" w:hAnsi="宋体" w:cs="宋体"/>
                <w:szCs w:val="21"/>
              </w:rPr>
              <w:t>银行账号：61050162930000000607</w:t>
            </w:r>
          </w:p>
          <w:p>
            <w:pPr>
              <w:spacing w:line="396" w:lineRule="exact"/>
              <w:rPr>
                <w:rFonts w:ascii="宋体" w:hAnsi="宋体" w:cs="宋体"/>
                <w:szCs w:val="21"/>
              </w:rPr>
            </w:pPr>
            <w:r>
              <w:rPr>
                <w:rFonts w:hint="eastAsia" w:ascii="宋体" w:hAnsi="宋体" w:cs="宋体"/>
                <w:szCs w:val="21"/>
              </w:rPr>
              <w:t>重要提示：</w:t>
            </w:r>
          </w:p>
          <w:p>
            <w:pPr>
              <w:spacing w:line="396" w:lineRule="exact"/>
              <w:rPr>
                <w:rFonts w:ascii="宋体" w:hAnsi="宋体" w:cs="宋体"/>
                <w:szCs w:val="21"/>
              </w:rPr>
            </w:pPr>
            <w:r>
              <w:rPr>
                <w:rFonts w:hint="eastAsia" w:ascii="宋体" w:hAnsi="宋体" w:cs="宋体"/>
                <w:szCs w:val="21"/>
              </w:rPr>
              <w:t>1、投标保证金须在规定时间之前到达采购代理机构指定账户方为有效；若提供担保函的，应在规定时间之前至采购代理机构予以登记，并将担保函复印件留存。投标保证金缴纳凭证或担保机构出具的担保函复印件装订入投标文件正、副本中，作为保证金交纳的凭证。详见附件1、附件2。</w:t>
            </w:r>
          </w:p>
          <w:p>
            <w:pPr>
              <w:spacing w:line="396" w:lineRule="exact"/>
              <w:rPr>
                <w:rFonts w:ascii="宋体" w:hAnsi="宋体" w:cs="宋体"/>
                <w:szCs w:val="21"/>
              </w:rPr>
            </w:pPr>
            <w:r>
              <w:rPr>
                <w:rFonts w:hint="eastAsia" w:ascii="宋体" w:hAnsi="宋体" w:cs="宋体"/>
                <w:szCs w:val="21"/>
              </w:rPr>
              <w:t>2、转账、汇款时必须写明项目编号、项目名称（简称也可）和投标保证金字样，便于陕西鼎祥越工程造价咨询有限公司财务部查询登记。</w:t>
            </w:r>
          </w:p>
          <w:p>
            <w:pPr>
              <w:spacing w:line="400" w:lineRule="exact"/>
              <w:rPr>
                <w:rFonts w:ascii="宋体" w:hAnsi="宋体" w:cs="宋体"/>
                <w:szCs w:val="21"/>
              </w:rPr>
            </w:pPr>
            <w:r>
              <w:rPr>
                <w:rFonts w:hint="eastAsia" w:ascii="宋体" w:hAnsi="宋体" w:cs="宋体"/>
                <w:b/>
                <w:bCs/>
                <w:szCs w:val="21"/>
              </w:rPr>
              <w:t>3、交纳投标保证金金额不足、逾期未交或逾期到账的，其</w:t>
            </w:r>
            <w:r>
              <w:rPr>
                <w:rFonts w:hint="eastAsia" w:ascii="宋体" w:hAnsi="宋体" w:cs="宋体"/>
                <w:b/>
                <w:bCs/>
                <w:szCs w:val="21"/>
                <w:lang w:eastAsia="zh-CN"/>
              </w:rPr>
              <w:t>投标</w:t>
            </w:r>
            <w:r>
              <w:rPr>
                <w:rFonts w:hint="eastAsia" w:ascii="宋体" w:hAnsi="宋体" w:cs="宋体"/>
                <w:b/>
                <w:bCs/>
                <w:szCs w:val="21"/>
              </w:rPr>
              <w:t>文件按照无效处理。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368" w:type="pct"/>
            <w:vAlign w:val="center"/>
          </w:tcPr>
          <w:p>
            <w:pPr>
              <w:spacing w:line="400" w:lineRule="exact"/>
              <w:jc w:val="center"/>
              <w:rPr>
                <w:rFonts w:ascii="宋体" w:hAnsi="宋体" w:cs="宋体"/>
                <w:szCs w:val="21"/>
              </w:rPr>
            </w:pPr>
            <w:r>
              <w:rPr>
                <w:rFonts w:hint="eastAsia" w:ascii="宋体" w:hAnsi="宋体" w:cs="宋体"/>
                <w:szCs w:val="21"/>
              </w:rPr>
              <w:t>19</w:t>
            </w:r>
          </w:p>
        </w:tc>
        <w:tc>
          <w:tcPr>
            <w:tcW w:w="1582" w:type="pct"/>
            <w:vAlign w:val="center"/>
          </w:tcPr>
          <w:p>
            <w:pPr>
              <w:spacing w:line="400" w:lineRule="exact"/>
              <w:jc w:val="center"/>
              <w:rPr>
                <w:rFonts w:ascii="宋体" w:hAnsi="宋体" w:cs="宋体"/>
                <w:szCs w:val="21"/>
              </w:rPr>
            </w:pPr>
            <w:r>
              <w:rPr>
                <w:rFonts w:hint="eastAsia" w:ascii="宋体" w:hAnsi="宋体" w:cs="宋体"/>
                <w:szCs w:val="21"/>
              </w:rPr>
              <w:t>招标文件发售</w:t>
            </w:r>
          </w:p>
        </w:tc>
        <w:tc>
          <w:tcPr>
            <w:tcW w:w="3048" w:type="pct"/>
            <w:vAlign w:val="center"/>
          </w:tcPr>
          <w:p>
            <w:pPr>
              <w:snapToGrid w:val="0"/>
              <w:spacing w:line="400" w:lineRule="exact"/>
              <w:rPr>
                <w:rFonts w:hint="eastAsia" w:ascii="宋体" w:hAnsi="宋体" w:cs="宋体"/>
                <w:szCs w:val="21"/>
              </w:rPr>
            </w:pPr>
            <w:r>
              <w:rPr>
                <w:rFonts w:hint="eastAsia" w:ascii="宋体" w:hAnsi="宋体" w:cs="宋体"/>
                <w:szCs w:val="21"/>
              </w:rPr>
              <w:t>时 间：2022年05月</w:t>
            </w:r>
            <w:r>
              <w:rPr>
                <w:rFonts w:hint="eastAsia" w:ascii="宋体" w:hAnsi="宋体" w:cs="宋体"/>
                <w:szCs w:val="21"/>
                <w:lang w:val="en-US" w:eastAsia="zh-CN"/>
              </w:rPr>
              <w:t>09</w:t>
            </w:r>
            <w:r>
              <w:rPr>
                <w:rFonts w:hint="eastAsia" w:ascii="宋体" w:hAnsi="宋体" w:cs="宋体"/>
                <w:szCs w:val="21"/>
              </w:rPr>
              <w:t>日至2022年05月</w:t>
            </w:r>
            <w:r>
              <w:rPr>
                <w:rFonts w:hint="eastAsia" w:ascii="宋体" w:hAnsi="宋体" w:cs="宋体"/>
                <w:szCs w:val="21"/>
                <w:lang w:val="en-US" w:eastAsia="zh-CN"/>
              </w:rPr>
              <w:t>13</w:t>
            </w:r>
            <w:r>
              <w:rPr>
                <w:rFonts w:hint="eastAsia" w:ascii="宋体" w:hAnsi="宋体" w:cs="宋体"/>
                <w:szCs w:val="21"/>
              </w:rPr>
              <w:t>日，</w:t>
            </w:r>
          </w:p>
          <w:p>
            <w:pPr>
              <w:snapToGrid w:val="0"/>
              <w:spacing w:line="400" w:lineRule="exact"/>
              <w:rPr>
                <w:rFonts w:hint="eastAsia" w:ascii="宋体" w:hAnsi="宋体" w:cs="宋体"/>
                <w:szCs w:val="21"/>
              </w:rPr>
            </w:pPr>
            <w:r>
              <w:rPr>
                <w:rFonts w:hint="eastAsia" w:ascii="宋体" w:hAnsi="宋体" w:cs="宋体"/>
                <w:szCs w:val="21"/>
              </w:rPr>
              <w:t>上午08:30:00至11:30:00，下午14:00:00至17:00:00</w:t>
            </w:r>
          </w:p>
          <w:p>
            <w:pPr>
              <w:snapToGrid w:val="0"/>
              <w:spacing w:line="400" w:lineRule="exact"/>
              <w:rPr>
                <w:rFonts w:hint="eastAsia" w:ascii="宋体" w:hAnsi="宋体" w:cs="宋体"/>
                <w:szCs w:val="21"/>
              </w:rPr>
            </w:pPr>
            <w:r>
              <w:rPr>
                <w:rFonts w:hint="eastAsia" w:ascii="宋体" w:hAnsi="宋体" w:cs="宋体"/>
                <w:szCs w:val="21"/>
              </w:rPr>
              <w:t>（北京时间,法定节假日除外）</w:t>
            </w:r>
          </w:p>
          <w:p>
            <w:pPr>
              <w:snapToGrid w:val="0"/>
              <w:spacing w:line="400" w:lineRule="exact"/>
              <w:rPr>
                <w:rFonts w:ascii="宋体" w:hAnsi="宋体" w:cs="宋体"/>
                <w:szCs w:val="21"/>
              </w:rPr>
            </w:pPr>
            <w:r>
              <w:rPr>
                <w:rFonts w:hint="eastAsia" w:ascii="宋体" w:hAnsi="宋体" w:cs="宋体"/>
                <w:szCs w:val="21"/>
              </w:rPr>
              <w:t>地 点：宝鸡市行政中心海棠风尚1510室</w:t>
            </w:r>
            <w:r>
              <w:rPr>
                <w:rFonts w:hint="eastAsia" w:ascii="宋体" w:hAnsi="宋体" w:cs="宋体"/>
                <w:szCs w:val="21"/>
                <w:shd w:val="clear" w:color="auto" w:fill="FFFFFF"/>
              </w:rPr>
              <w:t>。</w:t>
            </w:r>
          </w:p>
          <w:p>
            <w:pPr>
              <w:spacing w:line="400" w:lineRule="exact"/>
              <w:rPr>
                <w:rFonts w:ascii="宋体" w:hAnsi="宋体" w:cs="宋体"/>
                <w:szCs w:val="21"/>
              </w:rPr>
            </w:pPr>
            <w:r>
              <w:rPr>
                <w:rFonts w:hint="eastAsia" w:ascii="宋体" w:hAnsi="宋体" w:cs="宋体"/>
                <w:szCs w:val="21"/>
              </w:rPr>
              <w:t>招标文件售价：300</w:t>
            </w:r>
            <w:r>
              <w:rPr>
                <w:rFonts w:hint="eastAsia" w:ascii="宋体" w:hAnsi="宋体" w:cs="宋体"/>
                <w:color w:val="000000" w:themeColor="text1"/>
                <w:szCs w:val="21"/>
                <w14:textFill>
                  <w14:solidFill>
                    <w14:schemeClr w14:val="tx1"/>
                  </w14:solidFill>
                </w14:textFill>
              </w:rPr>
              <w:t>元/份，</w:t>
            </w:r>
            <w:r>
              <w:rPr>
                <w:rFonts w:hint="eastAsia" w:ascii="宋体" w:hAnsi="宋体" w:cs="宋体"/>
                <w:szCs w:val="21"/>
              </w:rPr>
              <w:t>售后不退。</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368" w:type="pct"/>
            <w:vAlign w:val="center"/>
          </w:tcPr>
          <w:p>
            <w:pPr>
              <w:spacing w:line="400" w:lineRule="exact"/>
              <w:jc w:val="center"/>
              <w:rPr>
                <w:rFonts w:ascii="宋体" w:hAnsi="宋体" w:cs="宋体"/>
                <w:szCs w:val="21"/>
              </w:rPr>
            </w:pPr>
            <w:r>
              <w:rPr>
                <w:rFonts w:hint="eastAsia" w:ascii="宋体" w:hAnsi="宋体" w:cs="宋体"/>
                <w:szCs w:val="21"/>
              </w:rPr>
              <w:t>20</w:t>
            </w:r>
          </w:p>
        </w:tc>
        <w:tc>
          <w:tcPr>
            <w:tcW w:w="1582" w:type="pct"/>
            <w:vAlign w:val="center"/>
          </w:tcPr>
          <w:p>
            <w:pPr>
              <w:spacing w:line="400" w:lineRule="exact"/>
              <w:jc w:val="center"/>
              <w:rPr>
                <w:rFonts w:ascii="宋体" w:hAnsi="宋体" w:cs="宋体"/>
                <w:szCs w:val="21"/>
              </w:rPr>
            </w:pPr>
            <w:r>
              <w:rPr>
                <w:rFonts w:hint="eastAsia" w:ascii="宋体" w:hAnsi="宋体" w:cs="宋体"/>
                <w:szCs w:val="21"/>
              </w:rPr>
              <w:t>备选投标方案和报价</w:t>
            </w:r>
          </w:p>
        </w:tc>
        <w:tc>
          <w:tcPr>
            <w:tcW w:w="3048" w:type="pct"/>
            <w:vAlign w:val="center"/>
          </w:tcPr>
          <w:p>
            <w:pPr>
              <w:spacing w:line="400" w:lineRule="exact"/>
              <w:rPr>
                <w:rFonts w:ascii="宋体" w:hAnsi="宋体" w:cs="宋体"/>
                <w:szCs w:val="21"/>
              </w:rPr>
            </w:pPr>
            <w:r>
              <w:rPr>
                <w:rFonts w:hint="eastAsia" w:ascii="宋体" w:hAnsi="宋体" w:cs="宋体"/>
                <w:szCs w:val="21"/>
              </w:rPr>
              <w:t>本项目不接受备选投标方案和多个报价。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368" w:type="pct"/>
            <w:vAlign w:val="center"/>
          </w:tcPr>
          <w:p>
            <w:pPr>
              <w:spacing w:line="400" w:lineRule="exact"/>
              <w:jc w:val="center"/>
              <w:rPr>
                <w:rFonts w:ascii="宋体" w:hAnsi="宋体" w:cs="宋体"/>
                <w:szCs w:val="21"/>
              </w:rPr>
            </w:pPr>
            <w:r>
              <w:rPr>
                <w:rFonts w:hint="eastAsia" w:ascii="宋体" w:hAnsi="宋体" w:cs="宋体"/>
                <w:szCs w:val="21"/>
              </w:rPr>
              <w:t>21</w:t>
            </w:r>
          </w:p>
        </w:tc>
        <w:tc>
          <w:tcPr>
            <w:tcW w:w="1582" w:type="pct"/>
            <w:vAlign w:val="center"/>
          </w:tcPr>
          <w:p>
            <w:pPr>
              <w:spacing w:line="400" w:lineRule="exact"/>
              <w:jc w:val="center"/>
              <w:rPr>
                <w:rFonts w:ascii="宋体" w:hAnsi="宋体" w:cs="宋体"/>
                <w:szCs w:val="21"/>
              </w:rPr>
            </w:pPr>
            <w:r>
              <w:rPr>
                <w:rFonts w:hint="eastAsia" w:ascii="宋体" w:hAnsi="宋体" w:cs="宋体"/>
                <w:szCs w:val="21"/>
              </w:rPr>
              <w:t>投标文件份数</w:t>
            </w:r>
          </w:p>
        </w:tc>
        <w:tc>
          <w:tcPr>
            <w:tcW w:w="3048" w:type="pct"/>
            <w:vAlign w:val="center"/>
          </w:tcPr>
          <w:p>
            <w:pPr>
              <w:spacing w:line="400" w:lineRule="exact"/>
              <w:rPr>
                <w:rFonts w:ascii="宋体" w:hAnsi="宋体" w:cs="宋体"/>
                <w:szCs w:val="21"/>
              </w:rPr>
            </w:pPr>
            <w:r>
              <w:rPr>
                <w:rFonts w:hint="eastAsia" w:ascii="宋体" w:hAnsi="宋体" w:cs="宋体"/>
                <w:szCs w:val="21"/>
              </w:rPr>
              <w:t>正本1份；副本3份。</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368" w:type="pct"/>
            <w:vAlign w:val="center"/>
          </w:tcPr>
          <w:p>
            <w:pPr>
              <w:spacing w:line="400" w:lineRule="exact"/>
              <w:jc w:val="center"/>
              <w:rPr>
                <w:rFonts w:ascii="宋体" w:hAnsi="宋体" w:cs="宋体"/>
                <w:szCs w:val="21"/>
              </w:rPr>
            </w:pPr>
            <w:r>
              <w:rPr>
                <w:rFonts w:hint="eastAsia" w:ascii="宋体" w:hAnsi="宋体" w:cs="宋体"/>
                <w:szCs w:val="21"/>
              </w:rPr>
              <w:t>22</w:t>
            </w:r>
          </w:p>
        </w:tc>
        <w:tc>
          <w:tcPr>
            <w:tcW w:w="1582" w:type="pct"/>
            <w:vAlign w:val="center"/>
          </w:tcPr>
          <w:p>
            <w:pPr>
              <w:spacing w:line="400" w:lineRule="exact"/>
              <w:jc w:val="center"/>
              <w:rPr>
                <w:rFonts w:ascii="宋体" w:hAnsi="宋体" w:cs="宋体"/>
                <w:szCs w:val="21"/>
              </w:rPr>
            </w:pPr>
            <w:r>
              <w:rPr>
                <w:rFonts w:hint="eastAsia" w:ascii="宋体" w:hAnsi="宋体" w:cs="宋体"/>
                <w:szCs w:val="21"/>
              </w:rPr>
              <w:t>电子版文件要求</w:t>
            </w:r>
          </w:p>
        </w:tc>
        <w:tc>
          <w:tcPr>
            <w:tcW w:w="3048" w:type="pct"/>
            <w:vAlign w:val="center"/>
          </w:tcPr>
          <w:p>
            <w:pPr>
              <w:spacing w:line="400" w:lineRule="exact"/>
              <w:rPr>
                <w:rFonts w:ascii="宋体" w:hAnsi="宋体" w:cs="宋体"/>
                <w:szCs w:val="21"/>
              </w:rPr>
            </w:pPr>
            <w:r>
              <w:rPr>
                <w:rFonts w:hint="eastAsia" w:ascii="宋体" w:hAnsi="宋体" w:cs="宋体"/>
                <w:szCs w:val="21"/>
              </w:rPr>
              <w:t>电子文件1份。</w:t>
            </w:r>
          </w:p>
          <w:p>
            <w:pPr>
              <w:spacing w:line="400" w:lineRule="exact"/>
              <w:rPr>
                <w:rFonts w:ascii="宋体" w:hAnsi="宋体" w:cs="宋体"/>
                <w:szCs w:val="21"/>
              </w:rPr>
            </w:pPr>
            <w:r>
              <w:rPr>
                <w:rFonts w:hint="eastAsia" w:ascii="宋体" w:hAnsi="宋体" w:cs="宋体"/>
                <w:szCs w:val="21"/>
              </w:rPr>
              <w:t>电子版文件包含投标文件的PDF及Word版，投标报价excel版，U盘装入正本密封袋内。</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368" w:type="pct"/>
            <w:vAlign w:val="center"/>
          </w:tcPr>
          <w:p>
            <w:pPr>
              <w:spacing w:line="400" w:lineRule="exact"/>
              <w:jc w:val="center"/>
              <w:rPr>
                <w:rFonts w:ascii="宋体" w:hAnsi="宋体" w:cs="宋体"/>
                <w:szCs w:val="21"/>
              </w:rPr>
            </w:pPr>
            <w:r>
              <w:rPr>
                <w:rFonts w:hint="eastAsia" w:ascii="宋体" w:hAnsi="宋体" w:cs="宋体"/>
                <w:szCs w:val="21"/>
              </w:rPr>
              <w:t>23</w:t>
            </w:r>
          </w:p>
        </w:tc>
        <w:tc>
          <w:tcPr>
            <w:tcW w:w="1582" w:type="pct"/>
            <w:vAlign w:val="center"/>
          </w:tcPr>
          <w:p>
            <w:pPr>
              <w:spacing w:line="400" w:lineRule="exact"/>
              <w:jc w:val="center"/>
              <w:rPr>
                <w:rFonts w:ascii="宋体" w:hAnsi="宋体" w:cs="宋体"/>
                <w:szCs w:val="21"/>
              </w:rPr>
            </w:pPr>
            <w:r>
              <w:rPr>
                <w:rFonts w:hint="eastAsia" w:ascii="宋体" w:hAnsi="宋体" w:cs="宋体"/>
                <w:szCs w:val="21"/>
              </w:rPr>
              <w:t>投标文件的装订、密封和标记</w:t>
            </w:r>
          </w:p>
        </w:tc>
        <w:tc>
          <w:tcPr>
            <w:tcW w:w="3048" w:type="pct"/>
            <w:vAlign w:val="center"/>
          </w:tcPr>
          <w:p>
            <w:pPr>
              <w:spacing w:line="400" w:lineRule="exact"/>
              <w:rPr>
                <w:rFonts w:ascii="宋体" w:hAnsi="宋体" w:cs="宋体"/>
                <w:szCs w:val="21"/>
              </w:rPr>
            </w:pPr>
            <w:r>
              <w:rPr>
                <w:rFonts w:hint="eastAsia" w:ascii="宋体" w:hAnsi="宋体" w:cs="宋体"/>
                <w:bCs/>
                <w:szCs w:val="21"/>
              </w:rPr>
              <w:t>投标文件一律采用书籍（胶装）方式装订成册，</w:t>
            </w:r>
            <w:r>
              <w:rPr>
                <w:rFonts w:hint="eastAsia" w:ascii="宋体" w:hAnsi="宋体" w:cs="宋体"/>
                <w:szCs w:val="21"/>
              </w:rPr>
              <w:t>装订应牢固、不易拆散和换页，不得采用活页装订。投标文件正本用封袋单独密封、所有副本用封袋一起密封，密封</w:t>
            </w:r>
            <w:r>
              <w:rPr>
                <w:rFonts w:hint="eastAsia" w:ascii="宋体" w:hAnsi="宋体" w:cs="宋体"/>
                <w:bCs/>
                <w:szCs w:val="21"/>
              </w:rPr>
              <w:t>且在投</w:t>
            </w:r>
            <w:r>
              <w:rPr>
                <w:rFonts w:hint="eastAsia" w:ascii="宋体" w:hAnsi="宋体" w:cs="宋体"/>
                <w:szCs w:val="21"/>
              </w:rPr>
              <w:t>标文件袋上标明“正本”、“副本”字样，封袋应加贴封条，并在封线处加盖投标人公章和法定代表人章（或委托代理人签字）。详见招标文件投标人须知。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368" w:type="pct"/>
            <w:vAlign w:val="center"/>
          </w:tcPr>
          <w:p>
            <w:pPr>
              <w:spacing w:line="400" w:lineRule="exact"/>
              <w:jc w:val="center"/>
              <w:rPr>
                <w:rFonts w:ascii="宋体" w:hAnsi="宋体" w:cs="宋体"/>
                <w:szCs w:val="21"/>
              </w:rPr>
            </w:pPr>
            <w:r>
              <w:rPr>
                <w:rFonts w:hint="eastAsia" w:ascii="宋体" w:hAnsi="宋体" w:cs="宋体"/>
                <w:szCs w:val="21"/>
              </w:rPr>
              <w:t>24</w:t>
            </w:r>
          </w:p>
        </w:tc>
        <w:tc>
          <w:tcPr>
            <w:tcW w:w="1582" w:type="pct"/>
            <w:vAlign w:val="center"/>
          </w:tcPr>
          <w:p>
            <w:pPr>
              <w:spacing w:line="400" w:lineRule="exact"/>
              <w:jc w:val="center"/>
              <w:rPr>
                <w:rFonts w:ascii="宋体" w:hAnsi="宋体" w:cs="宋体"/>
                <w:szCs w:val="21"/>
              </w:rPr>
            </w:pPr>
            <w:r>
              <w:rPr>
                <w:rFonts w:hint="eastAsia" w:ascii="宋体" w:hAnsi="宋体" w:cs="宋体"/>
                <w:szCs w:val="21"/>
              </w:rPr>
              <w:t>投标文件提交地点及截止时间</w:t>
            </w:r>
          </w:p>
        </w:tc>
        <w:tc>
          <w:tcPr>
            <w:tcW w:w="3048" w:type="pct"/>
            <w:vAlign w:val="center"/>
          </w:tcPr>
          <w:p>
            <w:pPr>
              <w:spacing w:line="400" w:lineRule="exact"/>
              <w:rPr>
                <w:rFonts w:ascii="宋体" w:hAnsi="宋体" w:cs="宋体"/>
                <w:szCs w:val="21"/>
              </w:rPr>
            </w:pPr>
            <w:r>
              <w:rPr>
                <w:rFonts w:hint="eastAsia" w:ascii="宋体" w:hAnsi="宋体" w:cs="宋体"/>
                <w:szCs w:val="21"/>
              </w:rPr>
              <w:t>收件人：陕西鼎祥越工程造价咨询有限公司</w:t>
            </w:r>
          </w:p>
          <w:p>
            <w:pPr>
              <w:spacing w:line="400" w:lineRule="exact"/>
              <w:rPr>
                <w:rFonts w:ascii="宋体" w:hAnsi="宋体" w:cs="宋体"/>
                <w:szCs w:val="21"/>
              </w:rPr>
            </w:pPr>
            <w:r>
              <w:rPr>
                <w:rFonts w:hint="eastAsia" w:ascii="宋体" w:hAnsi="宋体" w:cs="宋体"/>
                <w:szCs w:val="21"/>
              </w:rPr>
              <w:t>时  间：2022年05月</w:t>
            </w:r>
            <w:r>
              <w:rPr>
                <w:rFonts w:hint="eastAsia" w:ascii="宋体" w:hAnsi="宋体" w:cs="宋体"/>
                <w:szCs w:val="21"/>
                <w:lang w:val="en-US" w:eastAsia="zh-CN"/>
              </w:rPr>
              <w:t>31</w:t>
            </w:r>
            <w:r>
              <w:rPr>
                <w:rFonts w:hint="eastAsia" w:ascii="宋体" w:hAnsi="宋体" w:cs="宋体"/>
                <w:szCs w:val="21"/>
              </w:rPr>
              <w:t xml:space="preserve">日 </w:t>
            </w:r>
            <w:r>
              <w:rPr>
                <w:rFonts w:hint="eastAsia" w:ascii="宋体" w:hAnsi="宋体" w:cs="宋体"/>
                <w:szCs w:val="21"/>
                <w:lang w:val="en-US" w:eastAsia="zh-CN"/>
              </w:rPr>
              <w:t>09</w:t>
            </w:r>
            <w:r>
              <w:rPr>
                <w:rFonts w:hint="eastAsia" w:ascii="宋体" w:hAnsi="宋体" w:cs="宋体"/>
                <w:szCs w:val="21"/>
              </w:rPr>
              <w:t>时</w:t>
            </w:r>
            <w:r>
              <w:rPr>
                <w:rFonts w:hint="eastAsia" w:ascii="宋体" w:hAnsi="宋体" w:cs="宋体"/>
                <w:szCs w:val="21"/>
                <w:lang w:val="en-US" w:eastAsia="zh-CN"/>
              </w:rPr>
              <w:t>30</w:t>
            </w:r>
            <w:r>
              <w:rPr>
                <w:rFonts w:hint="eastAsia" w:ascii="宋体" w:hAnsi="宋体" w:cs="宋体"/>
                <w:szCs w:val="21"/>
              </w:rPr>
              <w:t>分00秒（北京时间）</w:t>
            </w:r>
          </w:p>
          <w:p>
            <w:pPr>
              <w:spacing w:line="400" w:lineRule="exact"/>
              <w:rPr>
                <w:rFonts w:ascii="宋体" w:hAnsi="宋体" w:cs="宋体"/>
                <w:color w:val="0000FF"/>
                <w:szCs w:val="21"/>
              </w:rPr>
            </w:pPr>
            <w:r>
              <w:rPr>
                <w:rFonts w:hint="eastAsia" w:ascii="宋体" w:hAnsi="宋体" w:cs="宋体"/>
                <w:szCs w:val="21"/>
              </w:rPr>
              <w:t>地  点：宝鸡市行政中心海棠风尚1406室</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368" w:type="pct"/>
            <w:vAlign w:val="center"/>
          </w:tcPr>
          <w:p>
            <w:pPr>
              <w:spacing w:line="400" w:lineRule="exact"/>
              <w:jc w:val="center"/>
              <w:rPr>
                <w:rFonts w:ascii="宋体" w:hAnsi="宋体" w:cs="宋体"/>
                <w:szCs w:val="21"/>
              </w:rPr>
            </w:pPr>
            <w:r>
              <w:rPr>
                <w:rFonts w:hint="eastAsia" w:ascii="宋体" w:hAnsi="宋体" w:cs="宋体"/>
                <w:szCs w:val="21"/>
              </w:rPr>
              <w:t>25</w:t>
            </w:r>
          </w:p>
        </w:tc>
        <w:tc>
          <w:tcPr>
            <w:tcW w:w="1582" w:type="pct"/>
            <w:vAlign w:val="center"/>
          </w:tcPr>
          <w:p>
            <w:pPr>
              <w:spacing w:line="400" w:lineRule="exact"/>
              <w:jc w:val="center"/>
              <w:rPr>
                <w:rFonts w:ascii="宋体" w:hAnsi="宋体" w:cs="宋体"/>
                <w:szCs w:val="21"/>
              </w:rPr>
            </w:pPr>
            <w:r>
              <w:rPr>
                <w:rFonts w:hint="eastAsia" w:ascii="宋体" w:hAnsi="宋体" w:cs="宋体"/>
                <w:szCs w:val="21"/>
              </w:rPr>
              <w:t>开标</w:t>
            </w:r>
          </w:p>
        </w:tc>
        <w:tc>
          <w:tcPr>
            <w:tcW w:w="3048" w:type="pct"/>
            <w:vAlign w:val="center"/>
          </w:tcPr>
          <w:p>
            <w:pPr>
              <w:spacing w:line="400" w:lineRule="exact"/>
              <w:rPr>
                <w:rFonts w:ascii="宋体" w:hAnsi="宋体" w:cs="宋体"/>
                <w:szCs w:val="21"/>
              </w:rPr>
            </w:pPr>
            <w:r>
              <w:rPr>
                <w:rFonts w:hint="eastAsia" w:ascii="宋体" w:hAnsi="宋体" w:cs="宋体"/>
                <w:szCs w:val="21"/>
              </w:rPr>
              <w:t>时 间：2022年05月</w:t>
            </w:r>
            <w:r>
              <w:rPr>
                <w:rFonts w:hint="eastAsia" w:ascii="宋体" w:hAnsi="宋体" w:cs="宋体"/>
                <w:szCs w:val="21"/>
                <w:lang w:val="en-US" w:eastAsia="zh-CN"/>
              </w:rPr>
              <w:t>31</w:t>
            </w:r>
            <w:r>
              <w:rPr>
                <w:rFonts w:hint="eastAsia" w:ascii="宋体" w:hAnsi="宋体" w:cs="宋体"/>
                <w:szCs w:val="21"/>
              </w:rPr>
              <w:t>日</w:t>
            </w:r>
            <w:r>
              <w:rPr>
                <w:rFonts w:hint="eastAsia" w:ascii="宋体" w:hAnsi="宋体" w:cs="宋体"/>
                <w:szCs w:val="21"/>
                <w:lang w:val="en-US" w:eastAsia="zh-CN"/>
              </w:rPr>
              <w:t>09</w:t>
            </w:r>
            <w:r>
              <w:rPr>
                <w:rFonts w:hint="eastAsia" w:ascii="宋体" w:hAnsi="宋体" w:cs="宋体"/>
                <w:szCs w:val="21"/>
              </w:rPr>
              <w:t>时</w:t>
            </w:r>
            <w:r>
              <w:rPr>
                <w:rFonts w:hint="eastAsia" w:ascii="宋体" w:hAnsi="宋体" w:cs="宋体"/>
                <w:szCs w:val="21"/>
                <w:lang w:val="en-US" w:eastAsia="zh-CN"/>
              </w:rPr>
              <w:t>30</w:t>
            </w:r>
            <w:r>
              <w:rPr>
                <w:rFonts w:hint="eastAsia" w:ascii="宋体" w:hAnsi="宋体" w:cs="宋体"/>
                <w:szCs w:val="21"/>
              </w:rPr>
              <w:t>分00秒 </w:t>
            </w:r>
          </w:p>
          <w:p>
            <w:pPr>
              <w:spacing w:line="400" w:lineRule="exact"/>
              <w:rPr>
                <w:rFonts w:ascii="宋体" w:hAnsi="宋体" w:cs="宋体"/>
                <w:color w:val="0000FF"/>
                <w:szCs w:val="21"/>
              </w:rPr>
            </w:pPr>
            <w:r>
              <w:rPr>
                <w:rFonts w:hint="eastAsia" w:ascii="宋体" w:hAnsi="宋体" w:cs="宋体"/>
                <w:szCs w:val="21"/>
              </w:rPr>
              <w:t>地 点：宝鸡市行政中心海棠风尚1406室</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368" w:type="pct"/>
            <w:vAlign w:val="center"/>
          </w:tcPr>
          <w:p>
            <w:pPr>
              <w:spacing w:line="400" w:lineRule="exact"/>
              <w:jc w:val="center"/>
              <w:rPr>
                <w:rFonts w:ascii="宋体" w:hAnsi="宋体" w:cs="宋体"/>
                <w:szCs w:val="21"/>
              </w:rPr>
            </w:pPr>
            <w:r>
              <w:rPr>
                <w:rFonts w:hint="eastAsia" w:ascii="宋体" w:hAnsi="宋体" w:cs="宋体"/>
                <w:szCs w:val="21"/>
              </w:rPr>
              <w:t>26</w:t>
            </w:r>
          </w:p>
        </w:tc>
        <w:tc>
          <w:tcPr>
            <w:tcW w:w="1582" w:type="pct"/>
            <w:vAlign w:val="center"/>
          </w:tcPr>
          <w:p>
            <w:pPr>
              <w:spacing w:line="400" w:lineRule="exact"/>
              <w:jc w:val="center"/>
              <w:rPr>
                <w:rFonts w:ascii="宋体" w:hAnsi="宋体" w:cs="宋体"/>
                <w:szCs w:val="21"/>
              </w:rPr>
            </w:pPr>
            <w:r>
              <w:rPr>
                <w:rFonts w:hint="eastAsia" w:ascii="宋体" w:hAnsi="宋体" w:cs="宋体"/>
                <w:szCs w:val="21"/>
              </w:rPr>
              <w:t>评标办法及标准</w:t>
            </w:r>
          </w:p>
        </w:tc>
        <w:tc>
          <w:tcPr>
            <w:tcW w:w="3048" w:type="pct"/>
            <w:vAlign w:val="center"/>
          </w:tcPr>
          <w:p>
            <w:pPr>
              <w:spacing w:line="400" w:lineRule="exact"/>
              <w:rPr>
                <w:rFonts w:ascii="宋体" w:hAnsi="宋体" w:cs="宋体"/>
                <w:szCs w:val="21"/>
              </w:rPr>
            </w:pPr>
            <w:r>
              <w:rPr>
                <w:rFonts w:hint="eastAsia" w:ascii="宋体" w:hAnsi="宋体" w:cs="宋体"/>
                <w:szCs w:val="21"/>
              </w:rPr>
              <w:t>详见招标文件评标办法。</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368" w:type="pct"/>
            <w:vAlign w:val="center"/>
          </w:tcPr>
          <w:p>
            <w:pPr>
              <w:spacing w:line="400" w:lineRule="exact"/>
              <w:jc w:val="center"/>
              <w:rPr>
                <w:rFonts w:ascii="宋体" w:hAnsi="宋体" w:cs="宋体"/>
                <w:szCs w:val="21"/>
              </w:rPr>
            </w:pPr>
            <w:r>
              <w:rPr>
                <w:rFonts w:hint="eastAsia" w:ascii="宋体" w:hAnsi="宋体" w:cs="宋体"/>
                <w:szCs w:val="21"/>
              </w:rPr>
              <w:t>27</w:t>
            </w:r>
          </w:p>
        </w:tc>
        <w:tc>
          <w:tcPr>
            <w:tcW w:w="1582" w:type="pct"/>
            <w:vAlign w:val="center"/>
          </w:tcPr>
          <w:p>
            <w:pPr>
              <w:spacing w:line="400" w:lineRule="exact"/>
              <w:jc w:val="center"/>
              <w:rPr>
                <w:rFonts w:ascii="宋体" w:hAnsi="宋体" w:cs="宋体"/>
                <w:szCs w:val="21"/>
              </w:rPr>
            </w:pPr>
            <w:r>
              <w:rPr>
                <w:rFonts w:hint="eastAsia" w:ascii="宋体" w:hAnsi="宋体" w:cs="宋体"/>
                <w:szCs w:val="21"/>
              </w:rPr>
              <w:t>采购代理服务费</w:t>
            </w:r>
          </w:p>
        </w:tc>
        <w:tc>
          <w:tcPr>
            <w:tcW w:w="3048" w:type="pct"/>
            <w:vAlign w:val="center"/>
          </w:tcPr>
          <w:p>
            <w:pPr>
              <w:spacing w:line="400" w:lineRule="exact"/>
              <w:rPr>
                <w:rFonts w:ascii="宋体" w:hAnsi="宋体" w:cs="宋体"/>
                <w:color w:val="FF0000"/>
                <w:szCs w:val="21"/>
              </w:rPr>
            </w:pPr>
            <w:r>
              <w:rPr>
                <w:rFonts w:hint="eastAsia" w:ascii="宋体" w:hAnsi="宋体" w:cs="宋体"/>
                <w:szCs w:val="21"/>
                <w:shd w:val="clear" w:color="auto" w:fill="FFFFFF"/>
              </w:rPr>
              <w:t>采购代理服务费的金额参照《国家计委关于印发&lt;招标代理服务收费管理暂行办法&gt;的通知》（计价格[2002]1980号）和国家发改委办公厅颁发的《关于招标代理服务收费有关问题的通知》（发改办价格【2003】857号）、《国家发展改革委关于降低部分建设项目收费标准规范收费行为等有关问题的通知》（发改价格[2011]534号）的有关规定收取。</w:t>
            </w:r>
          </w:p>
        </w:tc>
      </w:tr>
    </w:tbl>
    <w:p>
      <w:pPr>
        <w:pStyle w:val="46"/>
        <w:ind w:left="0" w:leftChars="0" w:firstLine="0" w:firstLineChars="0"/>
        <w:sectPr>
          <w:footerReference r:id="rId7" w:type="default"/>
          <w:footnotePr>
            <w:numFmt w:val="decimalEnclosedCircleChinese"/>
            <w:numRestart w:val="eachPage"/>
          </w:footnotePr>
          <w:pgSz w:w="11907" w:h="16840"/>
          <w:pgMar w:top="1440" w:right="1361" w:bottom="1440" w:left="1361" w:header="720" w:footer="680" w:gutter="0"/>
          <w:pgNumType w:fmt="decimal"/>
          <w:cols w:space="720" w:num="1"/>
        </w:sectPr>
      </w:pPr>
    </w:p>
    <w:bookmarkEnd w:id="11"/>
    <w:bookmarkEnd w:id="13"/>
    <w:p>
      <w:pPr>
        <w:rPr>
          <w:rFonts w:ascii="宋体" w:hAnsi="宋体" w:cs="宋体"/>
          <w:szCs w:val="21"/>
        </w:rPr>
      </w:pPr>
      <w:bookmarkStart w:id="14" w:name="_Toc222740110"/>
    </w:p>
    <w:p>
      <w:pPr>
        <w:pStyle w:val="15"/>
        <w:rPr>
          <w:rFonts w:ascii="宋体" w:hAnsi="宋体" w:cs="宋体"/>
          <w:szCs w:val="21"/>
        </w:rPr>
      </w:pPr>
    </w:p>
    <w:p>
      <w:pPr>
        <w:spacing w:line="411" w:lineRule="exact"/>
        <w:ind w:right="-19"/>
        <w:jc w:val="center"/>
        <w:rPr>
          <w:rFonts w:ascii="宋体" w:hAnsi="宋体" w:cs="宋体"/>
          <w:b/>
          <w:bCs/>
          <w:sz w:val="36"/>
          <w:szCs w:val="36"/>
        </w:rPr>
      </w:pPr>
      <w:r>
        <w:rPr>
          <w:rFonts w:hint="eastAsia" w:ascii="宋体" w:hAnsi="宋体" w:cs="宋体"/>
          <w:b/>
          <w:bCs/>
          <w:sz w:val="36"/>
          <w:szCs w:val="36"/>
        </w:rPr>
        <w:t>防疫声明承诺书</w:t>
      </w:r>
    </w:p>
    <w:p>
      <w:pPr>
        <w:pStyle w:val="46"/>
        <w:rPr>
          <w:rFonts w:ascii="宋体" w:hAnsi="宋体" w:cs="宋体"/>
        </w:rPr>
      </w:pPr>
    </w:p>
    <w:p>
      <w:pPr>
        <w:spacing w:line="360" w:lineRule="auto"/>
        <w:ind w:firstLine="480" w:firstLineChars="200"/>
        <w:rPr>
          <w:rFonts w:ascii="宋体" w:hAnsi="宋体" w:cs="宋体"/>
        </w:rPr>
      </w:pPr>
      <w:r>
        <w:rPr>
          <w:rFonts w:hint="eastAsia" w:ascii="宋体" w:hAnsi="宋体" w:cs="宋体"/>
          <w:sz w:val="24"/>
        </w:rPr>
        <w:t>因工作需要，（姓名）</w:t>
      </w:r>
      <w:r>
        <w:rPr>
          <w:rFonts w:hint="eastAsia" w:ascii="宋体" w:hAnsi="宋体" w:cs="宋体"/>
          <w:sz w:val="24"/>
          <w:u w:val="single"/>
        </w:rPr>
        <w:t xml:space="preserve">         </w:t>
      </w:r>
      <w:r>
        <w:rPr>
          <w:rFonts w:hint="eastAsia" w:ascii="宋体" w:hAnsi="宋体" w:cs="宋体"/>
          <w:sz w:val="24"/>
        </w:rPr>
        <w:t>，（性别）</w:t>
      </w:r>
      <w:r>
        <w:rPr>
          <w:rFonts w:hint="eastAsia" w:ascii="宋体" w:hAnsi="宋体" w:cs="宋体"/>
          <w:sz w:val="24"/>
          <w:u w:val="single"/>
        </w:rPr>
        <w:t xml:space="preserve">      </w:t>
      </w:r>
      <w:r>
        <w:rPr>
          <w:rFonts w:hint="eastAsia" w:ascii="宋体" w:hAnsi="宋体" w:cs="宋体"/>
          <w:sz w:val="24"/>
        </w:rPr>
        <w:t>，（身份证号）</w:t>
      </w:r>
      <w:r>
        <w:rPr>
          <w:rFonts w:hint="eastAsia" w:ascii="宋体" w:hAnsi="宋体" w:cs="宋体"/>
          <w:sz w:val="24"/>
          <w:u w:val="single"/>
        </w:rPr>
        <w:t xml:space="preserve">             </w:t>
      </w:r>
      <w:r>
        <w:rPr>
          <w:rFonts w:hint="eastAsia" w:ascii="宋体" w:hAnsi="宋体" w:cs="宋体"/>
          <w:sz w:val="24"/>
        </w:rPr>
        <w:t>，（工作单位）</w:t>
      </w:r>
      <w:r>
        <w:rPr>
          <w:rFonts w:hint="eastAsia" w:ascii="宋体" w:hAnsi="宋体" w:cs="宋体"/>
          <w:sz w:val="24"/>
          <w:u w:val="single"/>
        </w:rPr>
        <w:t xml:space="preserve">              </w:t>
      </w:r>
      <w:r>
        <w:rPr>
          <w:rFonts w:hint="eastAsia" w:ascii="宋体" w:hAnsi="宋体" w:cs="宋体"/>
          <w:sz w:val="24"/>
        </w:rPr>
        <w:t>，近14天居住地：</w:t>
      </w:r>
      <w:r>
        <w:rPr>
          <w:rFonts w:hint="eastAsia" w:ascii="宋体" w:hAnsi="宋体" w:cs="宋体"/>
          <w:sz w:val="24"/>
          <w:u w:val="single"/>
        </w:rPr>
        <w:t xml:space="preserve">                        </w:t>
      </w:r>
      <w:r>
        <w:rPr>
          <w:rFonts w:hint="eastAsia" w:ascii="宋体" w:hAnsi="宋体" w:cs="宋体"/>
          <w:i/>
          <w:iCs/>
          <w:sz w:val="24"/>
        </w:rPr>
        <w:t>，</w:t>
      </w:r>
      <w:r>
        <w:rPr>
          <w:rFonts w:hint="eastAsia" w:ascii="宋体" w:hAnsi="宋体" w:cs="宋体"/>
          <w:sz w:val="24"/>
        </w:rPr>
        <w:t>（联系电话）</w:t>
      </w:r>
      <w:r>
        <w:rPr>
          <w:rFonts w:hint="eastAsia" w:ascii="宋体" w:hAnsi="宋体" w:cs="宋体"/>
          <w:sz w:val="24"/>
          <w:u w:val="single"/>
        </w:rPr>
        <w:t xml:space="preserve">                 </w:t>
      </w:r>
      <w:r>
        <w:rPr>
          <w:rFonts w:hint="eastAsia" w:ascii="宋体" w:hAnsi="宋体" w:cs="宋体"/>
          <w:sz w:val="24"/>
        </w:rPr>
        <w:t>，前来办理</w:t>
      </w:r>
      <w:r>
        <w:rPr>
          <w:rFonts w:hint="eastAsia" w:ascii="宋体" w:hAnsi="宋体" w:cs="宋体"/>
          <w:sz w:val="24"/>
          <w:u w:val="single"/>
        </w:rPr>
        <w:t xml:space="preserve">                  </w:t>
      </w:r>
      <w:r>
        <w:rPr>
          <w:rFonts w:hint="eastAsia" w:ascii="宋体" w:hAnsi="宋体" w:cs="宋体"/>
          <w:sz w:val="24"/>
        </w:rPr>
        <w:t>（项目名称）相关招投标业务。</w:t>
      </w:r>
    </w:p>
    <w:p>
      <w:pPr>
        <w:spacing w:line="360" w:lineRule="auto"/>
        <w:ind w:left="140" w:firstLine="420"/>
        <w:rPr>
          <w:rFonts w:ascii="宋体" w:hAnsi="宋体" w:cs="宋体"/>
          <w:sz w:val="24"/>
        </w:rPr>
      </w:pPr>
      <w:r>
        <w:rPr>
          <w:rFonts w:hint="eastAsia" w:ascii="宋体" w:hAnsi="宋体" w:cs="宋体"/>
          <w:sz w:val="24"/>
        </w:rPr>
        <w:t>本人承诺近 14 天未出省、没有与新冠肺炎确诊病人、疑似病人或疫情中、高风险地区人员接触史，本人身体健康，体温正常，也没有发热、咳嗽等不适症状，无隐瞒、谎报，开标过程全程配戴口罩。</w:t>
      </w:r>
    </w:p>
    <w:p>
      <w:pPr>
        <w:spacing w:line="360" w:lineRule="auto"/>
        <w:rPr>
          <w:rFonts w:ascii="宋体" w:hAnsi="宋体" w:cs="宋体"/>
          <w:sz w:val="24"/>
        </w:rPr>
      </w:pPr>
    </w:p>
    <w:p>
      <w:pPr>
        <w:spacing w:line="360" w:lineRule="auto"/>
        <w:ind w:left="140" w:right="140" w:firstLine="420"/>
        <w:rPr>
          <w:rFonts w:ascii="宋体" w:hAnsi="宋体" w:cs="宋体"/>
        </w:rPr>
      </w:pPr>
      <w:r>
        <w:rPr>
          <w:rFonts w:hint="eastAsia" w:ascii="宋体" w:hAnsi="宋体" w:cs="宋体"/>
          <w:sz w:val="24"/>
        </w:rPr>
        <w:t>注：市外来宝返宝人员一律测温、扫码、查验 48 小时核酸检测阴性证明，抵宝后再进行一次核酸检测，并提供核酸检测阴性证明。</w:t>
      </w:r>
    </w:p>
    <w:p>
      <w:pPr>
        <w:spacing w:line="274" w:lineRule="exact"/>
        <w:ind w:left="3020"/>
        <w:rPr>
          <w:rFonts w:ascii="宋体" w:hAnsi="宋体" w:cs="宋体"/>
          <w:sz w:val="24"/>
        </w:rPr>
      </w:pPr>
    </w:p>
    <w:p>
      <w:pPr>
        <w:spacing w:line="274" w:lineRule="exact"/>
        <w:ind w:left="3020"/>
        <w:rPr>
          <w:rFonts w:ascii="宋体" w:hAnsi="宋体" w:cs="宋体"/>
          <w:sz w:val="24"/>
        </w:rPr>
      </w:pPr>
    </w:p>
    <w:p>
      <w:pPr>
        <w:spacing w:line="274" w:lineRule="exact"/>
        <w:ind w:left="3020"/>
        <w:rPr>
          <w:rFonts w:ascii="宋体" w:hAnsi="宋体" w:cs="宋体"/>
          <w:sz w:val="24"/>
        </w:rPr>
      </w:pPr>
    </w:p>
    <w:p>
      <w:pPr>
        <w:spacing w:line="274" w:lineRule="exact"/>
        <w:ind w:left="3020"/>
        <w:rPr>
          <w:rFonts w:ascii="宋体" w:hAnsi="宋体" w:cs="宋体"/>
          <w:sz w:val="24"/>
        </w:rPr>
      </w:pPr>
      <w:r>
        <w:rPr>
          <w:rFonts w:hint="eastAsia" w:ascii="宋体" w:hAnsi="宋体" w:cs="宋体"/>
          <w:sz w:val="24"/>
        </w:rPr>
        <w:t>承诺人签名：</w:t>
      </w:r>
    </w:p>
    <w:p>
      <w:pPr>
        <w:spacing w:line="200" w:lineRule="exact"/>
        <w:rPr>
          <w:rFonts w:ascii="宋体" w:hAnsi="宋体" w:cs="宋体"/>
          <w:sz w:val="24"/>
        </w:rPr>
      </w:pPr>
    </w:p>
    <w:p>
      <w:pPr>
        <w:spacing w:line="200" w:lineRule="exact"/>
        <w:rPr>
          <w:rFonts w:ascii="宋体" w:hAnsi="宋体" w:cs="宋体"/>
          <w:sz w:val="24"/>
        </w:rPr>
      </w:pPr>
    </w:p>
    <w:p>
      <w:pPr>
        <w:spacing w:line="200" w:lineRule="exact"/>
        <w:rPr>
          <w:rFonts w:ascii="宋体" w:hAnsi="宋体" w:cs="宋体"/>
          <w:sz w:val="24"/>
        </w:rPr>
      </w:pPr>
    </w:p>
    <w:p>
      <w:pPr>
        <w:spacing w:line="267" w:lineRule="exact"/>
        <w:rPr>
          <w:rFonts w:ascii="宋体" w:hAnsi="宋体" w:cs="宋体"/>
          <w:sz w:val="24"/>
        </w:rPr>
      </w:pPr>
    </w:p>
    <w:p>
      <w:pPr>
        <w:spacing w:line="274" w:lineRule="exact"/>
        <w:ind w:left="3020"/>
        <w:rPr>
          <w:rFonts w:ascii="宋体" w:hAnsi="宋体" w:cs="宋体"/>
          <w:sz w:val="24"/>
        </w:rPr>
      </w:pPr>
      <w:r>
        <w:rPr>
          <w:rFonts w:hint="eastAsia" w:ascii="宋体" w:hAnsi="宋体" w:cs="宋体"/>
          <w:sz w:val="24"/>
        </w:rPr>
        <w:t>承诺人所在单位盖章：</w:t>
      </w:r>
    </w:p>
    <w:p>
      <w:pPr>
        <w:spacing w:line="200" w:lineRule="exact"/>
        <w:rPr>
          <w:rFonts w:ascii="宋体" w:hAnsi="宋体" w:cs="宋体"/>
          <w:sz w:val="24"/>
        </w:rPr>
      </w:pPr>
    </w:p>
    <w:p>
      <w:pPr>
        <w:spacing w:line="200" w:lineRule="exact"/>
        <w:rPr>
          <w:rFonts w:ascii="宋体" w:hAnsi="宋体" w:cs="宋体"/>
          <w:sz w:val="24"/>
        </w:rPr>
      </w:pPr>
    </w:p>
    <w:p>
      <w:pPr>
        <w:spacing w:line="200" w:lineRule="exact"/>
        <w:rPr>
          <w:rFonts w:ascii="宋体" w:hAnsi="宋体" w:cs="宋体"/>
          <w:sz w:val="24"/>
        </w:rPr>
      </w:pPr>
    </w:p>
    <w:p>
      <w:pPr>
        <w:spacing w:line="266" w:lineRule="exact"/>
        <w:rPr>
          <w:rFonts w:ascii="宋体" w:hAnsi="宋体" w:cs="宋体"/>
          <w:sz w:val="24"/>
        </w:rPr>
      </w:pPr>
    </w:p>
    <w:p>
      <w:pPr>
        <w:spacing w:line="274" w:lineRule="exact"/>
        <w:ind w:left="3020"/>
        <w:rPr>
          <w:rFonts w:ascii="宋体" w:hAnsi="宋体" w:cs="宋体"/>
          <w:sz w:val="24"/>
        </w:rPr>
      </w:pPr>
      <w:r>
        <w:rPr>
          <w:rFonts w:hint="eastAsia" w:ascii="宋体" w:hAnsi="宋体" w:cs="宋体"/>
          <w:sz w:val="24"/>
        </w:rPr>
        <w:t>时间：</w:t>
      </w:r>
    </w:p>
    <w:p>
      <w:pPr>
        <w:spacing w:line="500" w:lineRule="exact"/>
        <w:rPr>
          <w:rFonts w:ascii="宋体" w:hAnsi="宋体" w:cs="宋体"/>
          <w:szCs w:val="21"/>
        </w:rPr>
      </w:pPr>
    </w:p>
    <w:p>
      <w:pPr>
        <w:spacing w:line="500" w:lineRule="exact"/>
        <w:rPr>
          <w:rFonts w:ascii="宋体" w:hAnsi="宋体" w:cs="宋体"/>
          <w:szCs w:val="21"/>
        </w:rPr>
      </w:pPr>
    </w:p>
    <w:p>
      <w:pPr>
        <w:spacing w:line="500" w:lineRule="exact"/>
        <w:rPr>
          <w:rFonts w:ascii="宋体" w:hAnsi="宋体" w:cs="宋体"/>
          <w:szCs w:val="21"/>
          <w:u w:val="single"/>
        </w:rPr>
      </w:pPr>
    </w:p>
    <w:p>
      <w:pPr>
        <w:spacing w:line="500" w:lineRule="exact"/>
        <w:rPr>
          <w:rFonts w:ascii="宋体" w:hAnsi="宋体" w:cs="宋体"/>
          <w:szCs w:val="21"/>
        </w:rPr>
      </w:pPr>
    </w:p>
    <w:p>
      <w:pPr>
        <w:spacing w:line="500" w:lineRule="exact"/>
        <w:rPr>
          <w:rFonts w:ascii="宋体" w:hAnsi="宋体" w:cs="宋体"/>
          <w:szCs w:val="21"/>
        </w:rPr>
      </w:pPr>
    </w:p>
    <w:p>
      <w:pPr>
        <w:spacing w:line="500" w:lineRule="exact"/>
        <w:rPr>
          <w:rFonts w:ascii="宋体" w:hAnsi="宋体" w:cs="宋体"/>
          <w:szCs w:val="21"/>
        </w:rPr>
      </w:pPr>
    </w:p>
    <w:p>
      <w:pPr>
        <w:spacing w:line="500" w:lineRule="exact"/>
        <w:rPr>
          <w:rFonts w:ascii="宋体" w:hAnsi="宋体" w:cs="宋体"/>
          <w:szCs w:val="21"/>
        </w:rPr>
      </w:pPr>
    </w:p>
    <w:p>
      <w:pPr>
        <w:spacing w:line="500" w:lineRule="exact"/>
        <w:rPr>
          <w:rFonts w:ascii="宋体" w:hAnsi="宋体" w:cs="宋体"/>
          <w:szCs w:val="21"/>
        </w:rPr>
      </w:pPr>
    </w:p>
    <w:p>
      <w:pPr>
        <w:spacing w:line="500" w:lineRule="exact"/>
        <w:rPr>
          <w:rFonts w:ascii="宋体" w:hAnsi="宋体" w:cs="宋体"/>
          <w:szCs w:val="21"/>
        </w:rPr>
      </w:pPr>
    </w:p>
    <w:p>
      <w:pPr>
        <w:spacing w:line="500" w:lineRule="exact"/>
        <w:rPr>
          <w:rFonts w:ascii="宋体" w:hAnsi="宋体" w:cs="宋体"/>
          <w:szCs w:val="21"/>
        </w:rPr>
      </w:pPr>
      <w:r>
        <w:rPr>
          <w:rFonts w:hint="eastAsia" w:ascii="宋体" w:hAnsi="宋体" w:cs="宋体"/>
          <w:szCs w:val="21"/>
        </w:rPr>
        <w:t>附件1：</w:t>
      </w:r>
    </w:p>
    <w:p>
      <w:pPr>
        <w:spacing w:line="500" w:lineRule="exact"/>
        <w:ind w:firstLine="562" w:firstLineChars="200"/>
        <w:jc w:val="center"/>
        <w:rPr>
          <w:rFonts w:ascii="宋体" w:hAnsi="宋体" w:cs="宋体"/>
          <w:szCs w:val="21"/>
        </w:rPr>
      </w:pPr>
      <w:r>
        <w:rPr>
          <w:rFonts w:hint="eastAsia" w:ascii="宋体" w:hAnsi="宋体" w:cs="宋体"/>
          <w:b/>
          <w:sz w:val="28"/>
          <w:szCs w:val="28"/>
        </w:rPr>
        <w:t>保证金及相关费用收取说明</w:t>
      </w:r>
    </w:p>
    <w:p>
      <w:pPr>
        <w:spacing w:line="500" w:lineRule="exact"/>
        <w:rPr>
          <w:rFonts w:ascii="宋体" w:hAnsi="宋体" w:cs="宋体"/>
          <w:szCs w:val="21"/>
        </w:rPr>
      </w:pPr>
      <w:r>
        <w:rPr>
          <w:rFonts w:hint="eastAsia" w:ascii="宋体" w:hAnsi="宋体" w:cs="宋体"/>
          <w:szCs w:val="21"/>
        </w:rPr>
        <w:t xml:space="preserve">    一、请将款项汇至以下指定的银行账户内（须从公司基本账户转出）：</w:t>
      </w:r>
    </w:p>
    <w:tbl>
      <w:tblPr>
        <w:tblStyle w:val="36"/>
        <w:tblW w:w="8128" w:type="dxa"/>
        <w:tblInd w:w="648"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
      <w:tblGrid>
        <w:gridCol w:w="8128"/>
      </w:tblGrid>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418" w:hRule="atLeast"/>
        </w:trPr>
        <w:tc>
          <w:tcPr>
            <w:tcW w:w="8128" w:type="dxa"/>
            <w:tcBorders>
              <w:tl2br w:val="nil"/>
              <w:tr2bl w:val="nil"/>
            </w:tcBorders>
            <w:vAlign w:val="center"/>
          </w:tcPr>
          <w:p>
            <w:pPr>
              <w:spacing w:line="500" w:lineRule="exact"/>
              <w:rPr>
                <w:rFonts w:ascii="宋体" w:hAnsi="宋体" w:cs="宋体"/>
                <w:szCs w:val="21"/>
              </w:rPr>
            </w:pPr>
            <w:r>
              <w:rPr>
                <w:rFonts w:hint="eastAsia" w:ascii="宋体" w:hAnsi="宋体" w:cs="宋体"/>
                <w:szCs w:val="21"/>
              </w:rPr>
              <w:t>投标保证金专用户</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1367" w:hRule="atLeast"/>
        </w:trPr>
        <w:tc>
          <w:tcPr>
            <w:tcW w:w="8128" w:type="dxa"/>
            <w:tcBorders>
              <w:tl2br w:val="nil"/>
              <w:tr2bl w:val="nil"/>
            </w:tcBorders>
            <w:vAlign w:val="center"/>
          </w:tcPr>
          <w:p>
            <w:pPr>
              <w:spacing w:line="500" w:lineRule="exact"/>
              <w:ind w:left="630" w:leftChars="300"/>
              <w:rPr>
                <w:rFonts w:ascii="宋体" w:hAnsi="宋体" w:cs="宋体"/>
                <w:szCs w:val="21"/>
              </w:rPr>
            </w:pPr>
            <w:r>
              <w:rPr>
                <w:rFonts w:hint="eastAsia" w:ascii="宋体" w:hAnsi="宋体" w:cs="宋体"/>
                <w:szCs w:val="21"/>
              </w:rPr>
              <w:t>名  称：陕西鼎祥越工程造价咨询有限公司</w:t>
            </w:r>
          </w:p>
          <w:p>
            <w:pPr>
              <w:spacing w:line="500" w:lineRule="exact"/>
              <w:ind w:left="630" w:leftChars="300"/>
              <w:rPr>
                <w:rFonts w:ascii="宋体" w:hAnsi="宋体" w:cs="宋体"/>
                <w:szCs w:val="21"/>
              </w:rPr>
            </w:pPr>
            <w:r>
              <w:rPr>
                <w:rFonts w:hint="eastAsia" w:ascii="宋体" w:hAnsi="宋体" w:cs="宋体"/>
                <w:szCs w:val="21"/>
              </w:rPr>
              <w:t>开户行：中国建设银行宝鸡高新大道支行</w:t>
            </w:r>
          </w:p>
          <w:p>
            <w:pPr>
              <w:spacing w:line="500" w:lineRule="exact"/>
              <w:ind w:left="630" w:leftChars="300"/>
              <w:rPr>
                <w:rFonts w:ascii="宋体" w:hAnsi="宋体" w:cs="宋体"/>
                <w:szCs w:val="21"/>
              </w:rPr>
            </w:pPr>
            <w:r>
              <w:rPr>
                <w:rFonts w:hint="eastAsia" w:ascii="宋体" w:hAnsi="宋体" w:cs="宋体"/>
                <w:szCs w:val="21"/>
              </w:rPr>
              <w:t>账  号：61050162930000000607</w:t>
            </w:r>
          </w:p>
          <w:p>
            <w:pPr>
              <w:spacing w:line="500" w:lineRule="exact"/>
              <w:ind w:left="630" w:leftChars="300"/>
              <w:rPr>
                <w:rFonts w:ascii="宋体" w:hAnsi="宋体" w:cs="宋体"/>
                <w:szCs w:val="21"/>
              </w:rPr>
            </w:pPr>
            <w:r>
              <w:rPr>
                <w:rFonts w:hint="eastAsia" w:ascii="宋体" w:hAnsi="宋体" w:cs="宋体"/>
                <w:szCs w:val="21"/>
              </w:rPr>
              <w:t>备  注：转账汇款时请注明项目编号信息“DXY2022-0010项目投标保证金”</w:t>
            </w:r>
          </w:p>
        </w:tc>
      </w:tr>
    </w:tbl>
    <w:p>
      <w:pPr>
        <w:spacing w:line="500" w:lineRule="exact"/>
        <w:rPr>
          <w:rFonts w:ascii="宋体" w:hAnsi="宋体" w:cs="宋体"/>
          <w:szCs w:val="21"/>
        </w:rPr>
      </w:pPr>
    </w:p>
    <w:tbl>
      <w:tblPr>
        <w:tblStyle w:val="36"/>
        <w:tblW w:w="8128" w:type="dxa"/>
        <w:tblInd w:w="64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8128" w:type="dxa"/>
            <w:tcBorders>
              <w:tl2br w:val="nil"/>
              <w:tr2bl w:val="nil"/>
            </w:tcBorders>
            <w:vAlign w:val="center"/>
          </w:tcPr>
          <w:p>
            <w:pPr>
              <w:spacing w:line="500" w:lineRule="exact"/>
              <w:rPr>
                <w:rFonts w:ascii="宋体" w:hAnsi="宋体" w:cs="宋体"/>
                <w:szCs w:val="21"/>
              </w:rPr>
            </w:pPr>
            <w:r>
              <w:rPr>
                <w:rFonts w:hint="eastAsia" w:ascii="宋体" w:hAnsi="宋体" w:cs="宋体"/>
                <w:szCs w:val="21"/>
              </w:rPr>
              <w:t>招标代理服务费专用户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67" w:hRule="atLeast"/>
        </w:trPr>
        <w:tc>
          <w:tcPr>
            <w:tcW w:w="8128" w:type="dxa"/>
            <w:tcBorders>
              <w:tl2br w:val="nil"/>
              <w:tr2bl w:val="nil"/>
            </w:tcBorders>
            <w:vAlign w:val="center"/>
          </w:tcPr>
          <w:p>
            <w:pPr>
              <w:spacing w:line="500" w:lineRule="exact"/>
              <w:ind w:left="630" w:leftChars="300"/>
              <w:rPr>
                <w:rFonts w:ascii="宋体" w:hAnsi="宋体" w:cs="宋体"/>
                <w:szCs w:val="21"/>
              </w:rPr>
            </w:pPr>
            <w:r>
              <w:rPr>
                <w:rFonts w:hint="eastAsia" w:ascii="宋体" w:hAnsi="宋体" w:cs="宋体"/>
                <w:szCs w:val="21"/>
              </w:rPr>
              <w:t>名  称：陕西鼎祥越工程造价咨询有限公司</w:t>
            </w:r>
          </w:p>
          <w:p>
            <w:pPr>
              <w:spacing w:line="500" w:lineRule="exact"/>
              <w:ind w:left="630" w:leftChars="300"/>
              <w:rPr>
                <w:rFonts w:ascii="宋体" w:hAnsi="宋体" w:cs="宋体"/>
                <w:szCs w:val="21"/>
              </w:rPr>
            </w:pPr>
            <w:r>
              <w:rPr>
                <w:rFonts w:hint="eastAsia" w:ascii="宋体" w:hAnsi="宋体" w:cs="宋体"/>
                <w:szCs w:val="21"/>
              </w:rPr>
              <w:t>开 户 行：中国建设银行宝鸡高新大道支行</w:t>
            </w:r>
          </w:p>
          <w:p>
            <w:pPr>
              <w:spacing w:line="500" w:lineRule="exact"/>
              <w:ind w:left="630" w:leftChars="300"/>
              <w:rPr>
                <w:rFonts w:ascii="宋体" w:hAnsi="宋体" w:cs="宋体"/>
                <w:szCs w:val="21"/>
              </w:rPr>
            </w:pPr>
            <w:r>
              <w:rPr>
                <w:rFonts w:hint="eastAsia" w:ascii="宋体" w:hAnsi="宋体" w:cs="宋体"/>
                <w:szCs w:val="21"/>
              </w:rPr>
              <w:t>银行账号：61050162930000000607</w:t>
            </w:r>
          </w:p>
          <w:p>
            <w:pPr>
              <w:spacing w:line="500" w:lineRule="exact"/>
              <w:ind w:left="630" w:leftChars="300"/>
              <w:rPr>
                <w:rFonts w:ascii="宋体" w:hAnsi="宋体" w:cs="宋体"/>
                <w:szCs w:val="21"/>
              </w:rPr>
            </w:pPr>
            <w:r>
              <w:rPr>
                <w:rFonts w:hint="eastAsia" w:ascii="宋体" w:hAnsi="宋体" w:cs="宋体"/>
                <w:szCs w:val="21"/>
              </w:rPr>
              <w:t>备  注：转账时请注明项目编号信息“DXY2022-0010项目招标代理服务费”</w:t>
            </w:r>
          </w:p>
        </w:tc>
      </w:tr>
    </w:tbl>
    <w:p>
      <w:pPr>
        <w:spacing w:line="500" w:lineRule="exact"/>
        <w:ind w:firstLine="420"/>
        <w:rPr>
          <w:rFonts w:ascii="宋体" w:hAnsi="宋体" w:cs="宋体"/>
          <w:szCs w:val="21"/>
        </w:rPr>
      </w:pPr>
      <w:r>
        <w:rPr>
          <w:rFonts w:hint="eastAsia" w:ascii="宋体" w:hAnsi="宋体" w:cs="宋体"/>
          <w:szCs w:val="21"/>
        </w:rPr>
        <w:t>二、投标人需要办理完税发票（招标代理服务费）的，须在陕西鼎祥越工程造价咨询有限公司财务部的收款收据或发票开具之日起90日内换领，逾期不予办理。</w:t>
      </w:r>
    </w:p>
    <w:p>
      <w:pPr>
        <w:spacing w:line="500" w:lineRule="exact"/>
        <w:ind w:firstLine="420"/>
        <w:rPr>
          <w:rFonts w:ascii="宋体" w:hAnsi="宋体" w:cs="宋体"/>
          <w:szCs w:val="21"/>
        </w:rPr>
      </w:pPr>
    </w:p>
    <w:p>
      <w:pPr>
        <w:spacing w:line="500" w:lineRule="exact"/>
        <w:ind w:firstLine="420"/>
        <w:rPr>
          <w:rFonts w:ascii="宋体" w:hAnsi="宋体" w:cs="宋体"/>
          <w:szCs w:val="21"/>
        </w:rPr>
      </w:pPr>
    </w:p>
    <w:p>
      <w:pPr>
        <w:spacing w:line="500" w:lineRule="exact"/>
        <w:ind w:firstLine="420"/>
        <w:rPr>
          <w:rFonts w:ascii="宋体" w:hAnsi="宋体" w:cs="宋体"/>
          <w:szCs w:val="21"/>
        </w:rPr>
      </w:pPr>
    </w:p>
    <w:p>
      <w:pPr>
        <w:spacing w:line="500" w:lineRule="exact"/>
        <w:ind w:firstLine="420"/>
        <w:rPr>
          <w:rFonts w:ascii="宋体" w:hAnsi="宋体" w:cs="宋体"/>
          <w:szCs w:val="21"/>
        </w:rPr>
      </w:pPr>
    </w:p>
    <w:p>
      <w:pPr>
        <w:spacing w:line="500" w:lineRule="exact"/>
        <w:ind w:firstLine="420"/>
        <w:rPr>
          <w:rFonts w:ascii="宋体" w:hAnsi="宋体" w:cs="宋体"/>
          <w:szCs w:val="21"/>
        </w:rPr>
      </w:pPr>
    </w:p>
    <w:p>
      <w:pPr>
        <w:spacing w:line="500" w:lineRule="exact"/>
        <w:ind w:firstLine="420"/>
        <w:rPr>
          <w:rFonts w:ascii="宋体" w:hAnsi="宋体" w:cs="宋体"/>
          <w:szCs w:val="21"/>
        </w:rPr>
      </w:pPr>
    </w:p>
    <w:p>
      <w:pPr>
        <w:spacing w:line="500" w:lineRule="exact"/>
        <w:rPr>
          <w:rFonts w:ascii="宋体" w:hAnsi="宋体" w:cs="宋体"/>
          <w:szCs w:val="21"/>
        </w:rPr>
      </w:pPr>
    </w:p>
    <w:p>
      <w:pPr>
        <w:spacing w:line="500" w:lineRule="exact"/>
        <w:rPr>
          <w:rFonts w:ascii="宋体" w:hAnsi="宋体" w:cs="宋体"/>
          <w:szCs w:val="21"/>
        </w:rPr>
      </w:pPr>
    </w:p>
    <w:p>
      <w:pPr>
        <w:pStyle w:val="46"/>
      </w:pPr>
    </w:p>
    <w:p>
      <w:pPr>
        <w:spacing w:line="500" w:lineRule="exact"/>
        <w:rPr>
          <w:rFonts w:ascii="宋体" w:hAnsi="宋体" w:cs="宋体"/>
          <w:szCs w:val="21"/>
        </w:rPr>
      </w:pPr>
    </w:p>
    <w:p>
      <w:pPr>
        <w:spacing w:line="500" w:lineRule="exact"/>
        <w:rPr>
          <w:rFonts w:ascii="宋体" w:hAnsi="宋体" w:cs="宋体"/>
          <w:szCs w:val="21"/>
        </w:rPr>
      </w:pPr>
    </w:p>
    <w:p>
      <w:pPr>
        <w:spacing w:line="500" w:lineRule="exact"/>
        <w:rPr>
          <w:rFonts w:ascii="宋体" w:hAnsi="宋体" w:cs="宋体"/>
          <w:szCs w:val="21"/>
        </w:rPr>
      </w:pPr>
      <w:r>
        <w:rPr>
          <w:rFonts w:hint="eastAsia" w:ascii="宋体" w:hAnsi="宋体" w:cs="宋体"/>
          <w:szCs w:val="21"/>
        </w:rPr>
        <w:t>附件2：</w:t>
      </w:r>
    </w:p>
    <w:p>
      <w:pPr>
        <w:spacing w:line="500" w:lineRule="exact"/>
        <w:jc w:val="center"/>
        <w:rPr>
          <w:rFonts w:ascii="宋体" w:hAnsi="宋体" w:cs="宋体"/>
          <w:b/>
          <w:bCs/>
          <w:sz w:val="36"/>
          <w:szCs w:val="36"/>
        </w:rPr>
      </w:pPr>
      <w:r>
        <w:rPr>
          <w:rFonts w:hint="eastAsia" w:ascii="宋体" w:hAnsi="宋体" w:cs="宋体"/>
          <w:b/>
          <w:sz w:val="28"/>
          <w:szCs w:val="28"/>
        </w:rPr>
        <w:t>陕西省政府采购信用担保实施说明</w:t>
      </w:r>
    </w:p>
    <w:p>
      <w:pPr>
        <w:spacing w:line="500" w:lineRule="exact"/>
        <w:rPr>
          <w:rFonts w:ascii="宋体" w:hAnsi="宋体" w:cs="宋体"/>
          <w:szCs w:val="21"/>
        </w:rPr>
      </w:pPr>
      <w:r>
        <w:rPr>
          <w:rFonts w:hint="eastAsia" w:ascii="宋体" w:hAnsi="宋体" w:cs="宋体"/>
          <w:szCs w:val="21"/>
        </w:rPr>
        <w:t xml:space="preserve">    为支持和促进中小企业发展，进一步发挥政府采购政策功能作用，有效缓解中小企业融资难等问题，根据《陕西省财政厅关于印发&lt;陕西省政府采购信用担保试点工作实施方案（试行）&gt;的通知》（财政部财库【2011】124号文件）及“陕财办采资〔2013〕5号”文件的有关规定，为参与陕西省政府采购项目的投标人提供政府采购信用担保，并按照程序确定了合作的担保机构。投标担保是为了确保本次采购项目顺利进行而对投标单位的约束，投标保证金与投标担保函具有同等担保效力，担保函由陕西省财政厅公布的担保机构出具，投标人在缴纳投标保证金及中标人缴纳履约保证金时可自愿选择通过担保机构保函的形式缴纳。中标人如果需要融资贷款服务的，可凭中标通知书、政府采购合同等相关资料，按照文件规定的程序申请办理，具体规定可登陆陕西省政府采购网(www.ccgp-shaanxi.gov.cn)重要通知专栏中查询了解。</w:t>
      </w:r>
    </w:p>
    <w:p>
      <w:pPr>
        <w:spacing w:line="500" w:lineRule="exact"/>
        <w:rPr>
          <w:rFonts w:ascii="宋体" w:hAnsi="宋体" w:cs="宋体"/>
          <w:szCs w:val="21"/>
        </w:rPr>
      </w:pPr>
    </w:p>
    <w:p>
      <w:pPr>
        <w:spacing w:line="500" w:lineRule="exact"/>
        <w:rPr>
          <w:rFonts w:ascii="宋体" w:hAnsi="宋体" w:cs="宋体"/>
          <w:szCs w:val="21"/>
        </w:rPr>
      </w:pPr>
    </w:p>
    <w:p>
      <w:pPr>
        <w:spacing w:line="500" w:lineRule="exact"/>
        <w:rPr>
          <w:rFonts w:ascii="宋体" w:hAnsi="宋体" w:cs="宋体"/>
          <w:szCs w:val="21"/>
        </w:rPr>
      </w:pPr>
    </w:p>
    <w:p>
      <w:pPr>
        <w:spacing w:line="500" w:lineRule="exact"/>
        <w:rPr>
          <w:rFonts w:ascii="宋体" w:hAnsi="宋体" w:cs="宋体"/>
          <w:szCs w:val="21"/>
        </w:rPr>
      </w:pPr>
    </w:p>
    <w:p>
      <w:pPr>
        <w:spacing w:line="500" w:lineRule="exact"/>
        <w:rPr>
          <w:rFonts w:ascii="宋体" w:hAnsi="宋体" w:cs="宋体"/>
          <w:szCs w:val="21"/>
        </w:rPr>
      </w:pPr>
    </w:p>
    <w:p>
      <w:pPr>
        <w:spacing w:line="500" w:lineRule="exact"/>
        <w:rPr>
          <w:rFonts w:ascii="宋体" w:hAnsi="宋体" w:cs="宋体"/>
          <w:szCs w:val="21"/>
        </w:rPr>
      </w:pPr>
    </w:p>
    <w:p>
      <w:pPr>
        <w:spacing w:line="500" w:lineRule="exact"/>
        <w:rPr>
          <w:rFonts w:ascii="宋体" w:hAnsi="宋体" w:cs="宋体"/>
          <w:szCs w:val="21"/>
        </w:rPr>
      </w:pPr>
    </w:p>
    <w:p>
      <w:pPr>
        <w:spacing w:line="500" w:lineRule="exact"/>
        <w:rPr>
          <w:rFonts w:ascii="宋体" w:hAnsi="宋体" w:cs="宋体"/>
          <w:szCs w:val="21"/>
        </w:rPr>
      </w:pPr>
    </w:p>
    <w:p>
      <w:pPr>
        <w:spacing w:line="500" w:lineRule="exact"/>
        <w:rPr>
          <w:rFonts w:ascii="宋体" w:hAnsi="宋体" w:cs="宋体"/>
          <w:szCs w:val="21"/>
        </w:rPr>
      </w:pPr>
    </w:p>
    <w:p>
      <w:pPr>
        <w:spacing w:line="500" w:lineRule="exact"/>
        <w:rPr>
          <w:rFonts w:ascii="宋体" w:hAnsi="宋体" w:cs="宋体"/>
          <w:szCs w:val="21"/>
        </w:rPr>
      </w:pPr>
    </w:p>
    <w:p>
      <w:pPr>
        <w:spacing w:line="500" w:lineRule="exact"/>
        <w:rPr>
          <w:rFonts w:ascii="宋体" w:hAnsi="宋体" w:cs="宋体"/>
          <w:szCs w:val="21"/>
        </w:rPr>
      </w:pPr>
    </w:p>
    <w:p>
      <w:pPr>
        <w:spacing w:line="500" w:lineRule="exact"/>
        <w:rPr>
          <w:rFonts w:ascii="宋体" w:hAnsi="宋体" w:cs="宋体"/>
          <w:szCs w:val="21"/>
        </w:rPr>
      </w:pPr>
    </w:p>
    <w:p>
      <w:pPr>
        <w:spacing w:line="500" w:lineRule="exact"/>
        <w:rPr>
          <w:rFonts w:ascii="宋体" w:hAnsi="宋体" w:cs="宋体"/>
          <w:szCs w:val="21"/>
        </w:rPr>
      </w:pPr>
    </w:p>
    <w:p>
      <w:pPr>
        <w:spacing w:line="500" w:lineRule="exact"/>
        <w:rPr>
          <w:rFonts w:ascii="宋体" w:hAnsi="宋体" w:cs="宋体"/>
          <w:szCs w:val="21"/>
        </w:rPr>
      </w:pPr>
    </w:p>
    <w:p>
      <w:pPr>
        <w:spacing w:line="500" w:lineRule="exact"/>
        <w:rPr>
          <w:rFonts w:ascii="宋体" w:hAnsi="宋体" w:cs="宋体"/>
          <w:szCs w:val="21"/>
        </w:rPr>
      </w:pPr>
    </w:p>
    <w:p>
      <w:pPr>
        <w:spacing w:line="500" w:lineRule="exact"/>
        <w:rPr>
          <w:rFonts w:ascii="宋体" w:hAnsi="宋体" w:cs="宋体"/>
          <w:szCs w:val="21"/>
        </w:rPr>
      </w:pPr>
    </w:p>
    <w:p>
      <w:pPr>
        <w:autoSpaceDE w:val="0"/>
        <w:autoSpaceDN w:val="0"/>
        <w:adjustRightInd w:val="0"/>
        <w:spacing w:line="500" w:lineRule="exact"/>
        <w:ind w:right="6"/>
        <w:jc w:val="center"/>
        <w:rPr>
          <w:rFonts w:ascii="宋体" w:hAnsi="宋体" w:cs="宋体"/>
          <w:b/>
          <w:bCs/>
        </w:rPr>
      </w:pPr>
      <w:r>
        <w:rPr>
          <w:rFonts w:hint="eastAsia" w:ascii="宋体" w:hAnsi="宋体" w:cs="宋体"/>
          <w:sz w:val="24"/>
        </w:rPr>
        <w:br w:type="page"/>
      </w:r>
      <w:r>
        <w:rPr>
          <w:rFonts w:hint="eastAsia" w:ascii="宋体" w:hAnsi="宋体" w:cs="宋体"/>
          <w:b/>
          <w:bCs/>
          <w:sz w:val="28"/>
          <w:szCs w:val="28"/>
        </w:rPr>
        <w:t>投标人须知</w:t>
      </w:r>
      <w:bookmarkEnd w:id="14"/>
    </w:p>
    <w:p>
      <w:pPr>
        <w:spacing w:before="240" w:after="120"/>
        <w:jc w:val="center"/>
        <w:outlineLvl w:val="2"/>
        <w:rPr>
          <w:rFonts w:ascii="宋体" w:hAnsi="宋体" w:cs="宋体"/>
          <w:b/>
          <w:bCs/>
          <w:sz w:val="28"/>
        </w:rPr>
      </w:pPr>
      <w:r>
        <w:rPr>
          <w:rFonts w:hint="eastAsia" w:ascii="宋体" w:hAnsi="宋体" w:cs="宋体"/>
          <w:b/>
          <w:bCs/>
          <w:sz w:val="28"/>
        </w:rPr>
        <w:t>一、总则</w:t>
      </w:r>
    </w:p>
    <w:p>
      <w:pPr>
        <w:spacing w:before="240" w:after="120"/>
        <w:jc w:val="left"/>
        <w:outlineLvl w:val="2"/>
        <w:rPr>
          <w:rFonts w:ascii="宋体" w:hAnsi="宋体" w:cs="宋体"/>
          <w:b/>
          <w:bCs/>
          <w:kern w:val="0"/>
          <w:sz w:val="24"/>
        </w:rPr>
      </w:pPr>
      <w:r>
        <w:rPr>
          <w:rFonts w:hint="eastAsia" w:ascii="宋体" w:hAnsi="宋体" w:cs="宋体"/>
          <w:b/>
          <w:bCs/>
          <w:kern w:val="0"/>
          <w:sz w:val="24"/>
        </w:rPr>
        <w:t>1、适用范围</w:t>
      </w:r>
    </w:p>
    <w:p>
      <w:pPr>
        <w:autoSpaceDE w:val="0"/>
        <w:autoSpaceDN w:val="0"/>
        <w:adjustRightInd w:val="0"/>
        <w:spacing w:line="500" w:lineRule="exact"/>
        <w:ind w:right="6" w:firstLine="420"/>
        <w:rPr>
          <w:rFonts w:ascii="宋体" w:hAnsi="宋体" w:cs="宋体"/>
        </w:rPr>
      </w:pPr>
      <w:r>
        <w:rPr>
          <w:rFonts w:hint="eastAsia" w:ascii="宋体" w:hAnsi="宋体" w:cs="宋体"/>
        </w:rPr>
        <w:t>本招标文件仅适用于本次公开招标所叙述的货物（产品）项目采购活动。</w:t>
      </w:r>
    </w:p>
    <w:p>
      <w:pPr>
        <w:spacing w:before="240" w:after="120"/>
        <w:jc w:val="left"/>
        <w:outlineLvl w:val="2"/>
        <w:rPr>
          <w:rFonts w:ascii="宋体" w:hAnsi="宋体" w:cs="宋体"/>
          <w:b/>
          <w:bCs/>
          <w:kern w:val="0"/>
          <w:sz w:val="24"/>
        </w:rPr>
      </w:pPr>
      <w:r>
        <w:rPr>
          <w:rFonts w:hint="eastAsia" w:ascii="宋体" w:hAnsi="宋体" w:cs="宋体"/>
          <w:b/>
          <w:bCs/>
          <w:kern w:val="0"/>
          <w:sz w:val="24"/>
        </w:rPr>
        <w:t>2、名词解释</w:t>
      </w:r>
    </w:p>
    <w:p>
      <w:pPr>
        <w:autoSpaceDE w:val="0"/>
        <w:autoSpaceDN w:val="0"/>
        <w:adjustRightInd w:val="0"/>
        <w:spacing w:line="500" w:lineRule="exact"/>
        <w:ind w:right="6"/>
        <w:rPr>
          <w:rFonts w:ascii="宋体" w:hAnsi="宋体" w:cs="宋体"/>
        </w:rPr>
      </w:pPr>
      <w:r>
        <w:rPr>
          <w:rFonts w:hint="eastAsia" w:ascii="宋体" w:hAnsi="宋体" w:cs="宋体"/>
        </w:rPr>
        <w:t xml:space="preserve">    2.1  “采购人”系指依法进行政府采购的国家机关、事业单位、团体组织。本次招标的采购人是</w:t>
      </w:r>
      <w:r>
        <w:rPr>
          <w:rFonts w:hint="eastAsia" w:ascii="宋体" w:hAnsi="宋体" w:cs="宋体"/>
          <w:b/>
          <w:bCs/>
        </w:rPr>
        <w:t>扶风县恒大小学</w:t>
      </w:r>
      <w:r>
        <w:rPr>
          <w:rFonts w:hint="eastAsia" w:ascii="宋体" w:hAnsi="宋体" w:cs="宋体"/>
        </w:rPr>
        <w:t>。</w:t>
      </w:r>
    </w:p>
    <w:p>
      <w:pPr>
        <w:autoSpaceDE w:val="0"/>
        <w:autoSpaceDN w:val="0"/>
        <w:adjustRightInd w:val="0"/>
        <w:spacing w:line="500" w:lineRule="exact"/>
        <w:ind w:right="6"/>
        <w:rPr>
          <w:rFonts w:ascii="宋体" w:hAnsi="宋体" w:cs="宋体"/>
        </w:rPr>
      </w:pPr>
      <w:r>
        <w:rPr>
          <w:rFonts w:hint="eastAsia" w:ascii="宋体" w:hAnsi="宋体" w:cs="宋体"/>
        </w:rPr>
        <w:t xml:space="preserve">    2.2  “采购代理机构”系指根据采购人的委托依法办理招标事宜的代理机构。本次招标的采购代理机构是陕西鼎祥越工程造价咨询有限公司。</w:t>
      </w:r>
    </w:p>
    <w:p>
      <w:pPr>
        <w:autoSpaceDE w:val="0"/>
        <w:autoSpaceDN w:val="0"/>
        <w:adjustRightInd w:val="0"/>
        <w:spacing w:line="500" w:lineRule="exact"/>
        <w:ind w:right="6"/>
        <w:rPr>
          <w:rFonts w:ascii="宋体" w:hAnsi="宋体" w:cs="宋体"/>
        </w:rPr>
      </w:pPr>
      <w:r>
        <w:rPr>
          <w:rFonts w:hint="eastAsia" w:ascii="宋体" w:hAnsi="宋体" w:cs="宋体"/>
        </w:rPr>
        <w:t xml:space="preserve">    2.3  “投标人”系指购买了招标文件拟参加投标和向采购人提供货物及相应服务的投标单位。</w:t>
      </w:r>
    </w:p>
    <w:p>
      <w:pPr>
        <w:autoSpaceDE w:val="0"/>
        <w:autoSpaceDN w:val="0"/>
        <w:adjustRightInd w:val="0"/>
        <w:spacing w:line="500" w:lineRule="exact"/>
        <w:ind w:right="6"/>
        <w:rPr>
          <w:rFonts w:ascii="宋体" w:hAnsi="宋体" w:cs="宋体"/>
        </w:rPr>
      </w:pPr>
      <w:r>
        <w:rPr>
          <w:rFonts w:hint="eastAsia" w:ascii="宋体" w:hAnsi="宋体" w:cs="宋体"/>
        </w:rPr>
        <w:t xml:space="preserve">    2.4  “工程”系指投标人为完成本项目所做的</w:t>
      </w:r>
      <w:r>
        <w:rPr>
          <w:rFonts w:hint="eastAsia" w:ascii="宋体" w:hAnsi="宋体" w:cs="宋体"/>
          <w:color w:val="000000"/>
        </w:rPr>
        <w:t>基础建设、辅助工程</w:t>
      </w:r>
      <w:r>
        <w:rPr>
          <w:rFonts w:hint="eastAsia" w:ascii="宋体" w:hAnsi="宋体" w:cs="宋体"/>
        </w:rPr>
        <w:t>等建设工程，包括建筑物和构筑物的新建、改建、扩建、装修、拆除、修缮等。</w:t>
      </w:r>
    </w:p>
    <w:p>
      <w:pPr>
        <w:autoSpaceDE w:val="0"/>
        <w:autoSpaceDN w:val="0"/>
        <w:adjustRightInd w:val="0"/>
        <w:spacing w:line="500" w:lineRule="exact"/>
        <w:ind w:right="6"/>
        <w:rPr>
          <w:rFonts w:ascii="宋体" w:hAnsi="宋体" w:cs="宋体"/>
        </w:rPr>
      </w:pPr>
      <w:r>
        <w:rPr>
          <w:rFonts w:hint="eastAsia" w:ascii="宋体" w:hAnsi="宋体" w:cs="宋体"/>
        </w:rPr>
        <w:t xml:space="preserve">    2.5  “货物”系指投标人按招标文件规定，须向采购人提供的满足招标文件要求的产品、设备、机械、仪器仪表、包装、备品配件、工具、使用说明以及所有有关的文件和材料。</w:t>
      </w:r>
    </w:p>
    <w:p>
      <w:pPr>
        <w:autoSpaceDE w:val="0"/>
        <w:autoSpaceDN w:val="0"/>
        <w:adjustRightInd w:val="0"/>
        <w:spacing w:line="500" w:lineRule="exact"/>
        <w:ind w:right="6"/>
        <w:rPr>
          <w:rFonts w:ascii="宋体" w:hAnsi="宋体" w:cs="宋体"/>
        </w:rPr>
      </w:pPr>
      <w:r>
        <w:rPr>
          <w:rFonts w:hint="eastAsia" w:ascii="宋体" w:hAnsi="宋体" w:cs="宋体"/>
        </w:rPr>
        <w:t xml:space="preserve">    2.6  “服务”系指招标文件规定投标人须承担的产品设计及生产、有关运输、保险、技术支持以及其他使货物正常运转所必需的义务。</w:t>
      </w:r>
    </w:p>
    <w:p>
      <w:pPr>
        <w:autoSpaceDE w:val="0"/>
        <w:autoSpaceDN w:val="0"/>
        <w:adjustRightInd w:val="0"/>
        <w:spacing w:line="500" w:lineRule="exact"/>
        <w:ind w:right="6"/>
        <w:rPr>
          <w:rFonts w:ascii="宋体" w:hAnsi="宋体" w:cs="宋体"/>
        </w:rPr>
      </w:pPr>
      <w:r>
        <w:rPr>
          <w:rFonts w:hint="eastAsia" w:ascii="宋体" w:hAnsi="宋体" w:cs="宋体"/>
        </w:rPr>
        <w:t xml:space="preserve">    2.7  节能产品或者环保产品是指财政部发布的《节能产品政府采购清单》或者《环境标志产品政府采购清单》的产品。</w:t>
      </w:r>
    </w:p>
    <w:p>
      <w:pPr>
        <w:autoSpaceDE w:val="0"/>
        <w:autoSpaceDN w:val="0"/>
        <w:adjustRightInd w:val="0"/>
        <w:spacing w:line="500" w:lineRule="exact"/>
        <w:ind w:right="6"/>
        <w:rPr>
          <w:rFonts w:ascii="宋体" w:hAnsi="宋体" w:cs="宋体"/>
        </w:rPr>
      </w:pPr>
      <w:r>
        <w:rPr>
          <w:rFonts w:hint="eastAsia" w:ascii="宋体" w:hAnsi="宋体" w:cs="宋体"/>
        </w:rPr>
        <w:t xml:space="preserve">    2.8  进口产品是指通过中国海关报关验放进入中国境内且产自关境外的产品，详见《政府采购进口产品管理办法》(财库[2007]119号)。</w:t>
      </w:r>
    </w:p>
    <w:p>
      <w:pPr>
        <w:autoSpaceDE w:val="0"/>
        <w:autoSpaceDN w:val="0"/>
        <w:adjustRightInd w:val="0"/>
        <w:spacing w:line="500" w:lineRule="exact"/>
        <w:ind w:right="6"/>
        <w:rPr>
          <w:rFonts w:ascii="宋体" w:hAnsi="宋体" w:cs="宋体"/>
        </w:rPr>
      </w:pPr>
      <w:r>
        <w:rPr>
          <w:rFonts w:hint="eastAsia" w:ascii="宋体" w:hAnsi="宋体" w:cs="宋体"/>
        </w:rPr>
        <w:t xml:space="preserve">    2.9  中小企业是指符合《工业和信息化部、国家统计局、国家发展和改革委员会、财政部关于印发中小企业划型标准规定的通知》（工信部联企业[2011]300号）规定的对中小企业的划分标准的企业。</w:t>
      </w:r>
    </w:p>
    <w:p>
      <w:pPr>
        <w:autoSpaceDE w:val="0"/>
        <w:autoSpaceDN w:val="0"/>
        <w:adjustRightInd w:val="0"/>
        <w:spacing w:line="500" w:lineRule="exact"/>
        <w:ind w:right="6" w:firstLine="420"/>
        <w:rPr>
          <w:rFonts w:ascii="宋体" w:hAnsi="宋体" w:cs="宋体"/>
        </w:rPr>
      </w:pPr>
      <w:r>
        <w:rPr>
          <w:rFonts w:hint="eastAsia" w:ascii="宋体" w:hAnsi="宋体" w:cs="宋体"/>
        </w:rPr>
        <w:t>2.10  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autoSpaceDE w:val="0"/>
        <w:autoSpaceDN w:val="0"/>
        <w:adjustRightInd w:val="0"/>
        <w:spacing w:line="500" w:lineRule="exact"/>
        <w:ind w:right="6" w:firstLine="420"/>
        <w:rPr>
          <w:rFonts w:ascii="宋体" w:hAnsi="宋体" w:cs="宋体"/>
        </w:rPr>
      </w:pPr>
      <w:r>
        <w:rPr>
          <w:rFonts w:hint="eastAsia" w:ascii="宋体" w:hAnsi="宋体" w:cs="宋体"/>
        </w:rPr>
        <w:t>2.11  残疾人福利性单位是指符合《财政部民政部中国残疾人联合会关于促进残疾人就业政府采购政策的通知》（财库{2017}141号）的企业。</w:t>
      </w:r>
    </w:p>
    <w:p>
      <w:pPr>
        <w:autoSpaceDE w:val="0"/>
        <w:autoSpaceDN w:val="0"/>
        <w:adjustRightInd w:val="0"/>
        <w:spacing w:line="500" w:lineRule="exact"/>
        <w:ind w:right="6" w:firstLine="420"/>
        <w:rPr>
          <w:rFonts w:ascii="宋体" w:hAnsi="宋体" w:cs="宋体"/>
        </w:rPr>
      </w:pPr>
      <w:r>
        <w:rPr>
          <w:rFonts w:hint="eastAsia" w:ascii="宋体" w:hAnsi="宋体" w:cs="宋体"/>
        </w:rPr>
        <w:t>2.12 《财政部 发展改革委 生态环境部 市场监管总局关于调整优化节能产品、环境标志产品政府采购执行机制的通知》（财库〔2019〕9号）。</w:t>
      </w:r>
    </w:p>
    <w:p>
      <w:pPr>
        <w:autoSpaceDE w:val="0"/>
        <w:autoSpaceDN w:val="0"/>
        <w:adjustRightInd w:val="0"/>
        <w:spacing w:line="500" w:lineRule="exact"/>
        <w:ind w:right="6" w:firstLine="420"/>
        <w:rPr>
          <w:rFonts w:ascii="宋体" w:hAnsi="宋体" w:cs="宋体"/>
        </w:rPr>
      </w:pPr>
      <w:r>
        <w:rPr>
          <w:rFonts w:hint="eastAsia" w:ascii="宋体" w:hAnsi="宋体" w:cs="宋体"/>
        </w:rPr>
        <w:t>2.1.3《财政部 农业农村部 国家乡村振兴局关于运用政府采购政策支持乡村产业振兴的通知》财库〔2021〕19号；</w:t>
      </w:r>
    </w:p>
    <w:p>
      <w:pPr>
        <w:spacing w:before="240" w:after="120"/>
        <w:jc w:val="left"/>
        <w:outlineLvl w:val="2"/>
        <w:rPr>
          <w:rFonts w:ascii="宋体" w:hAnsi="宋体" w:cs="宋体"/>
          <w:b/>
          <w:bCs/>
          <w:kern w:val="0"/>
          <w:sz w:val="24"/>
        </w:rPr>
      </w:pPr>
      <w:r>
        <w:rPr>
          <w:rFonts w:hint="eastAsia" w:ascii="宋体" w:hAnsi="宋体" w:cs="宋体"/>
          <w:b/>
          <w:bCs/>
          <w:kern w:val="0"/>
          <w:sz w:val="24"/>
        </w:rPr>
        <w:t>3、合格的投标人</w:t>
      </w:r>
    </w:p>
    <w:p>
      <w:pPr>
        <w:autoSpaceDE w:val="0"/>
        <w:autoSpaceDN w:val="0"/>
        <w:adjustRightInd w:val="0"/>
        <w:spacing w:line="500" w:lineRule="exact"/>
        <w:ind w:right="6"/>
        <w:rPr>
          <w:rFonts w:ascii="宋体" w:hAnsi="宋体" w:cs="宋体"/>
        </w:rPr>
      </w:pPr>
      <w:r>
        <w:rPr>
          <w:rFonts w:hint="eastAsia" w:ascii="宋体" w:hAnsi="宋体" w:cs="宋体"/>
        </w:rPr>
        <w:t xml:space="preserve">    3.1  合格的投标人应具备以下条件：</w:t>
      </w:r>
    </w:p>
    <w:p>
      <w:pPr>
        <w:autoSpaceDE w:val="0"/>
        <w:autoSpaceDN w:val="0"/>
        <w:adjustRightInd w:val="0"/>
        <w:spacing w:line="500" w:lineRule="exact"/>
        <w:ind w:right="6"/>
        <w:rPr>
          <w:rFonts w:ascii="宋体" w:hAnsi="宋体" w:cs="宋体"/>
        </w:rPr>
      </w:pPr>
      <w:r>
        <w:rPr>
          <w:rFonts w:hint="eastAsia" w:ascii="宋体" w:hAnsi="宋体" w:cs="宋体"/>
        </w:rPr>
        <w:t xml:space="preserve">    （1）具备且满足“招标公告”第二条要求的；</w:t>
      </w:r>
    </w:p>
    <w:p>
      <w:pPr>
        <w:autoSpaceDE w:val="0"/>
        <w:autoSpaceDN w:val="0"/>
        <w:adjustRightInd w:val="0"/>
        <w:spacing w:line="500" w:lineRule="exact"/>
        <w:ind w:right="6"/>
        <w:rPr>
          <w:rFonts w:ascii="宋体" w:hAnsi="宋体" w:cs="宋体"/>
        </w:rPr>
      </w:pPr>
      <w:r>
        <w:rPr>
          <w:rFonts w:hint="eastAsia" w:ascii="宋体" w:hAnsi="宋体" w:cs="宋体"/>
        </w:rPr>
        <w:t xml:space="preserve">    （2）向采购代理机构购买了招标文件并登记备案；</w:t>
      </w:r>
    </w:p>
    <w:p>
      <w:pPr>
        <w:autoSpaceDE w:val="0"/>
        <w:autoSpaceDN w:val="0"/>
        <w:adjustRightInd w:val="0"/>
        <w:spacing w:line="500" w:lineRule="exact"/>
        <w:ind w:right="6"/>
        <w:rPr>
          <w:rFonts w:ascii="宋体" w:hAnsi="宋体" w:cs="宋体"/>
        </w:rPr>
      </w:pPr>
      <w:r>
        <w:rPr>
          <w:rFonts w:hint="eastAsia" w:ascii="宋体" w:hAnsi="宋体" w:cs="宋体"/>
        </w:rPr>
        <w:t xml:space="preserve">    （3）向缴纳了投标保证金；</w:t>
      </w:r>
    </w:p>
    <w:p>
      <w:pPr>
        <w:autoSpaceDE w:val="0"/>
        <w:autoSpaceDN w:val="0"/>
        <w:adjustRightInd w:val="0"/>
        <w:spacing w:line="500" w:lineRule="exact"/>
        <w:ind w:right="6"/>
        <w:rPr>
          <w:rFonts w:ascii="宋体" w:hAnsi="宋体" w:cs="宋体"/>
        </w:rPr>
      </w:pPr>
      <w:r>
        <w:rPr>
          <w:rFonts w:hint="eastAsia" w:ascii="宋体" w:hAnsi="宋体" w:cs="宋体"/>
        </w:rPr>
        <w:t xml:space="preserve">    （4）一个投标人只能提交一个投标文件，法定代表人为同一人的两个及两个以上法人，不得同时参加本项目投标；</w:t>
      </w:r>
    </w:p>
    <w:p>
      <w:pPr>
        <w:autoSpaceDE w:val="0"/>
        <w:autoSpaceDN w:val="0"/>
        <w:adjustRightInd w:val="0"/>
        <w:spacing w:line="500" w:lineRule="exact"/>
        <w:ind w:right="6"/>
        <w:rPr>
          <w:rFonts w:ascii="宋体" w:hAnsi="宋体" w:cs="宋体"/>
        </w:rPr>
      </w:pPr>
      <w:r>
        <w:rPr>
          <w:rFonts w:hint="eastAsia" w:ascii="宋体" w:hAnsi="宋体" w:cs="宋体"/>
        </w:rPr>
        <w:t xml:space="preserve">    （5）有隶属关系的两个公司或有控股关系的两个公司不能同时参加同一项目的投标； </w:t>
      </w:r>
    </w:p>
    <w:p>
      <w:pPr>
        <w:tabs>
          <w:tab w:val="left" w:pos="7665"/>
        </w:tabs>
        <w:spacing w:line="500" w:lineRule="exact"/>
        <w:ind w:firstLine="420" w:firstLineChars="200"/>
        <w:rPr>
          <w:rFonts w:ascii="宋体" w:hAnsi="宋体" w:cs="宋体"/>
          <w:szCs w:val="21"/>
        </w:rPr>
      </w:pPr>
      <w:r>
        <w:rPr>
          <w:rFonts w:hint="eastAsia" w:ascii="宋体" w:hAnsi="宋体" w:cs="宋体"/>
          <w:szCs w:val="21"/>
        </w:rPr>
        <w:t>（6）参加政府采购活动前三年内，在经营活动中没有重大违法纪录；</w:t>
      </w:r>
    </w:p>
    <w:p>
      <w:pPr>
        <w:autoSpaceDE w:val="0"/>
        <w:autoSpaceDN w:val="0"/>
        <w:adjustRightInd w:val="0"/>
        <w:spacing w:line="500" w:lineRule="exact"/>
        <w:ind w:right="6" w:firstLine="420" w:firstLineChars="200"/>
        <w:rPr>
          <w:rFonts w:ascii="宋体" w:hAnsi="宋体" w:cs="宋体"/>
        </w:rPr>
      </w:pPr>
      <w:r>
        <w:rPr>
          <w:rFonts w:hint="eastAsia" w:ascii="宋体" w:hAnsi="宋体" w:cs="宋体"/>
        </w:rPr>
        <w:t>（7）中华人民共和国法律、行政法规规定的其他条件（见投标人须知前附表）；</w:t>
      </w:r>
    </w:p>
    <w:p>
      <w:pPr>
        <w:autoSpaceDE w:val="0"/>
        <w:autoSpaceDN w:val="0"/>
        <w:adjustRightInd w:val="0"/>
        <w:spacing w:line="500" w:lineRule="exact"/>
        <w:ind w:right="6"/>
        <w:rPr>
          <w:rFonts w:ascii="宋体" w:hAnsi="宋体" w:cs="宋体"/>
        </w:rPr>
      </w:pPr>
      <w:r>
        <w:rPr>
          <w:rFonts w:hint="eastAsia" w:ascii="宋体" w:hAnsi="宋体" w:cs="宋体"/>
        </w:rPr>
        <w:t xml:space="preserve">    （8）招标文件和法律、行政法规规定的其他条件。</w:t>
      </w:r>
    </w:p>
    <w:p>
      <w:pPr>
        <w:autoSpaceDE w:val="0"/>
        <w:autoSpaceDN w:val="0"/>
        <w:adjustRightInd w:val="0"/>
        <w:spacing w:line="500" w:lineRule="exact"/>
        <w:ind w:right="6"/>
        <w:rPr>
          <w:rFonts w:ascii="宋体" w:hAnsi="宋体" w:cs="宋体"/>
        </w:rPr>
      </w:pPr>
      <w:r>
        <w:rPr>
          <w:rFonts w:hint="eastAsia" w:ascii="宋体" w:hAnsi="宋体" w:cs="宋体"/>
        </w:rPr>
        <w:t xml:space="preserve">    3.2  投标人不得直接或间接地与招标采购单位（包括陕西鼎祥越工程造价咨询有限公司、采购人及用户）有任何关联，亦不得是招标采购单位的附属机构。如果投标人在投标中隐瞒了上述关系，则该投标无效。</w:t>
      </w:r>
    </w:p>
    <w:p>
      <w:pPr>
        <w:autoSpaceDE w:val="0"/>
        <w:autoSpaceDN w:val="0"/>
        <w:adjustRightInd w:val="0"/>
        <w:spacing w:line="500" w:lineRule="exact"/>
        <w:ind w:right="6"/>
        <w:rPr>
          <w:rFonts w:ascii="宋体" w:hAnsi="宋体" w:cs="宋体"/>
        </w:rPr>
      </w:pPr>
      <w:r>
        <w:rPr>
          <w:rFonts w:hint="eastAsia" w:ascii="宋体" w:hAnsi="宋体" w:cs="宋体"/>
        </w:rPr>
        <w:t xml:space="preserve">    3.3  单位负责人为同一人或者存在直接控股、管理关系的不同投标人，不得参加本项目同一合同项下的投标。如果投标人在投标中隐瞒了上述关系，则该投标无效。</w:t>
      </w:r>
    </w:p>
    <w:p>
      <w:pPr>
        <w:autoSpaceDE w:val="0"/>
        <w:autoSpaceDN w:val="0"/>
        <w:adjustRightInd w:val="0"/>
        <w:spacing w:line="500" w:lineRule="exact"/>
        <w:ind w:right="6"/>
        <w:rPr>
          <w:rFonts w:ascii="宋体" w:hAnsi="宋体" w:cs="宋体"/>
        </w:rPr>
      </w:pPr>
      <w:r>
        <w:rPr>
          <w:rFonts w:hint="eastAsia" w:ascii="宋体" w:hAnsi="宋体" w:cs="宋体"/>
        </w:rPr>
        <w:t xml:space="preserve">    3.4  为本采购项目提供整体设计、规范编制或者项目管理、监理、检测等服务的投标人，不得再参加本采购项目的投标。如果投标人在投标中隐瞒了上述事实，则该投标无效。</w:t>
      </w:r>
    </w:p>
    <w:p>
      <w:pPr>
        <w:autoSpaceDE w:val="0"/>
        <w:autoSpaceDN w:val="0"/>
        <w:adjustRightInd w:val="0"/>
        <w:spacing w:line="500" w:lineRule="exact"/>
        <w:ind w:right="6"/>
        <w:rPr>
          <w:rFonts w:ascii="宋体" w:hAnsi="宋体" w:cs="宋体"/>
        </w:rPr>
      </w:pPr>
      <w:r>
        <w:rPr>
          <w:rFonts w:hint="eastAsia" w:ascii="宋体" w:hAnsi="宋体" w:cs="宋体"/>
        </w:rPr>
        <w:t xml:space="preserve">    3.5  如果在招标文件中接受联合体投标（见投标人须知前附表），则两个以上投标人可以组成一个投标联合体，以一个投标人的身份投标。以联合体形式参加投标的，联合体各方均应当符合政府采购法第二十二条第一款规定的条件。采购人根据采购项目的特殊要求规定投标人特定条件的，联合体各方中至少应当有一方符合采购人规定的特定条件。联合体中有同类资质的投标人按照联合体分工承担相同工作的，按照资质等级较低的投标人确定资质等级。</w:t>
      </w:r>
    </w:p>
    <w:p>
      <w:pPr>
        <w:autoSpaceDE w:val="0"/>
        <w:autoSpaceDN w:val="0"/>
        <w:adjustRightInd w:val="0"/>
        <w:spacing w:line="500" w:lineRule="exact"/>
        <w:ind w:right="6" w:firstLine="420"/>
        <w:rPr>
          <w:rFonts w:ascii="宋体" w:hAnsi="宋体" w:cs="宋体"/>
        </w:rPr>
      </w:pPr>
      <w:r>
        <w:rPr>
          <w:rFonts w:hint="eastAsia" w:ascii="宋体" w:hAnsi="宋体" w:cs="宋体"/>
        </w:rPr>
        <w:t>联合体各方之间应当签订共同投标协议，明确约定联合体各方承担的工作和相应的责任，并将共同投标协议附在投标文件中一并提交。联合体各方签订共同投标协议后，不得再以自己名义单独在同一项目中投标，也不得组成新的联合体参加同一项目投标，否则，其相关投标均为无效。</w:t>
      </w:r>
    </w:p>
    <w:p>
      <w:pPr>
        <w:autoSpaceDE w:val="0"/>
        <w:autoSpaceDN w:val="0"/>
        <w:adjustRightInd w:val="0"/>
        <w:spacing w:line="500" w:lineRule="exact"/>
        <w:ind w:right="6" w:firstLine="420"/>
        <w:rPr>
          <w:rFonts w:ascii="宋体" w:hAnsi="宋体" w:cs="宋体"/>
        </w:rPr>
      </w:pPr>
      <w:r>
        <w:rPr>
          <w:rFonts w:hint="eastAsia" w:ascii="宋体" w:hAnsi="宋体" w:cs="宋体"/>
        </w:rPr>
        <w:t>3.6 供应商须提供“中国裁判文书网”查询近三年企业、法定代表人无行贿犯罪记录截图；不得在“国家企业信用信息公示系统”列入严重违法失信企业名单（黑名单）；“信用中国查询”被列入失信被执行人名单、有重大税收违法案件的供应商不得参与，且提供信用报告（带水印）；不得为“中国政府采购网(www.ccgp.gov.cn”）政府采购严重违法失信行为记录名单中被财政部门禁止参加政府采购活动的供应商；</w:t>
      </w:r>
      <w:r>
        <w:rPr>
          <w:rFonts w:hint="eastAsia" w:ascii="宋体" w:hAnsi="宋体" w:cs="宋体"/>
          <w:b/>
          <w:bCs/>
        </w:rPr>
        <w:t>否则其投标为无效。</w:t>
      </w:r>
    </w:p>
    <w:p>
      <w:pPr>
        <w:autoSpaceDE w:val="0"/>
        <w:autoSpaceDN w:val="0"/>
        <w:adjustRightInd w:val="0"/>
        <w:spacing w:line="500" w:lineRule="exact"/>
        <w:ind w:right="6"/>
        <w:rPr>
          <w:rFonts w:ascii="宋体" w:hAnsi="宋体" w:cs="宋体"/>
        </w:rPr>
      </w:pPr>
      <w:r>
        <w:rPr>
          <w:rFonts w:hint="eastAsia" w:ascii="宋体" w:hAnsi="宋体" w:cs="宋体"/>
          <w:b/>
          <w:bCs/>
          <w:kern w:val="0"/>
          <w:sz w:val="24"/>
        </w:rPr>
        <w:t>4、投标货物和服务的合格性和合法性</w:t>
      </w:r>
    </w:p>
    <w:p>
      <w:pPr>
        <w:autoSpaceDE w:val="0"/>
        <w:autoSpaceDN w:val="0"/>
        <w:adjustRightInd w:val="0"/>
        <w:spacing w:line="500" w:lineRule="exact"/>
        <w:ind w:right="6" w:firstLine="420"/>
        <w:rPr>
          <w:rFonts w:ascii="宋体" w:hAnsi="宋体" w:cs="宋体"/>
        </w:rPr>
      </w:pPr>
      <w:r>
        <w:rPr>
          <w:rFonts w:hint="eastAsia" w:ascii="宋体" w:hAnsi="宋体" w:cs="宋体"/>
        </w:rPr>
        <w:t>4.1  投标人提供所有的货物（产品）服务，必须是符合国家有关标准要求，并满足招标文件规定的采购内容、价格、质量、有效期、售后服务及投标人须承担的技术手段和招标文件规定的其它伴随服务等要求。</w:t>
      </w:r>
    </w:p>
    <w:p>
      <w:pPr>
        <w:autoSpaceDE w:val="0"/>
        <w:autoSpaceDN w:val="0"/>
        <w:adjustRightInd w:val="0"/>
        <w:spacing w:line="500" w:lineRule="exact"/>
        <w:ind w:right="6" w:firstLine="420"/>
        <w:rPr>
          <w:rFonts w:ascii="宋体" w:hAnsi="宋体" w:cs="宋体"/>
        </w:rPr>
      </w:pPr>
      <w:r>
        <w:rPr>
          <w:rFonts w:hint="eastAsia" w:ascii="宋体" w:hAnsi="宋体" w:cs="宋体"/>
        </w:rPr>
        <w:t>4.2  采购人有权拒绝接受任何不满足招标文件要求的设备和服务，由此产生的费用及相关后果均由投标人自行承担。</w:t>
      </w:r>
    </w:p>
    <w:p>
      <w:pPr>
        <w:autoSpaceDE w:val="0"/>
        <w:autoSpaceDN w:val="0"/>
        <w:adjustRightInd w:val="0"/>
        <w:spacing w:line="500" w:lineRule="exact"/>
        <w:ind w:right="6"/>
        <w:rPr>
          <w:rFonts w:ascii="宋体" w:hAnsi="宋体" w:cs="宋体"/>
          <w:b/>
          <w:bCs/>
          <w:kern w:val="0"/>
          <w:sz w:val="24"/>
        </w:rPr>
      </w:pPr>
      <w:r>
        <w:rPr>
          <w:rFonts w:hint="eastAsia" w:ascii="宋体" w:hAnsi="宋体" w:cs="宋体"/>
          <w:b/>
          <w:bCs/>
          <w:kern w:val="0"/>
          <w:sz w:val="24"/>
        </w:rPr>
        <w:t>5、投标文件内容的真实性</w:t>
      </w:r>
    </w:p>
    <w:p>
      <w:pPr>
        <w:autoSpaceDE w:val="0"/>
        <w:autoSpaceDN w:val="0"/>
        <w:adjustRightInd w:val="0"/>
        <w:spacing w:line="500" w:lineRule="exact"/>
        <w:ind w:right="6" w:firstLine="420" w:firstLineChars="200"/>
        <w:rPr>
          <w:rFonts w:ascii="宋体" w:hAnsi="宋体" w:cs="宋体"/>
        </w:rPr>
      </w:pPr>
      <w:r>
        <w:rPr>
          <w:rFonts w:hint="eastAsia" w:ascii="宋体" w:hAnsi="宋体" w:cs="宋体"/>
        </w:rPr>
        <w:t>5.1  投标人应保证其投标文件中所提供的所有投标资料、信息是真实的，并且来源于合法的渠道。因投标文件中所提供的投标资料、信息不真实或者其来源不合法而导致的所有法律责任，由投标人自行承担。</w:t>
      </w:r>
    </w:p>
    <w:p>
      <w:pPr>
        <w:autoSpaceDE w:val="0"/>
        <w:autoSpaceDN w:val="0"/>
        <w:adjustRightInd w:val="0"/>
        <w:spacing w:line="500" w:lineRule="exact"/>
        <w:ind w:right="6" w:firstLine="420" w:firstLineChars="200"/>
        <w:rPr>
          <w:rFonts w:ascii="宋体" w:hAnsi="宋体" w:cs="宋体"/>
        </w:rPr>
      </w:pPr>
      <w:r>
        <w:rPr>
          <w:rFonts w:hint="eastAsia" w:ascii="宋体" w:hAnsi="宋体" w:cs="宋体"/>
        </w:rPr>
        <w:t>5.2  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pPr>
        <w:autoSpaceDE w:val="0"/>
        <w:autoSpaceDN w:val="0"/>
        <w:adjustRightInd w:val="0"/>
        <w:spacing w:line="500" w:lineRule="exact"/>
        <w:ind w:right="6" w:firstLine="420" w:firstLineChars="200"/>
        <w:rPr>
          <w:rFonts w:ascii="宋体" w:hAnsi="宋体" w:cs="宋体"/>
        </w:rPr>
      </w:pPr>
      <w:r>
        <w:rPr>
          <w:rFonts w:hint="eastAsia" w:ascii="宋体" w:hAnsi="宋体" w:cs="宋体"/>
        </w:rPr>
        <w:t>5.3  采购人享有本项目实施过程中产生的知识成果及知识产权。</w:t>
      </w:r>
    </w:p>
    <w:p>
      <w:pPr>
        <w:autoSpaceDE w:val="0"/>
        <w:autoSpaceDN w:val="0"/>
        <w:adjustRightInd w:val="0"/>
        <w:spacing w:line="500" w:lineRule="exact"/>
        <w:ind w:right="6" w:firstLine="420" w:firstLineChars="200"/>
        <w:rPr>
          <w:rFonts w:ascii="宋体" w:hAnsi="宋体" w:cs="宋体"/>
        </w:rPr>
      </w:pPr>
      <w:r>
        <w:rPr>
          <w:rFonts w:hint="eastAsia" w:ascii="宋体" w:hAnsi="宋体" w:cs="宋体"/>
        </w:rPr>
        <w:t>5.4  投标人如欲在项目实施过程中采用自有知识成果，需在投标文件中声明，并提供相关知识产权证明文件。使用该知识成果后，投标人需提供开发接口和开发手册等技术文档，并承诺提供无限期技术支持，采购人享有永久使用权（含采购人委托第三方在该项目后续开发的使用权），否则视为投标人未在本项目实施过程中采用自有知识成果，不影响有效性。</w:t>
      </w:r>
    </w:p>
    <w:p>
      <w:pPr>
        <w:autoSpaceDE w:val="0"/>
        <w:autoSpaceDN w:val="0"/>
        <w:adjustRightInd w:val="0"/>
        <w:spacing w:line="500" w:lineRule="exact"/>
        <w:ind w:right="6" w:firstLine="420" w:firstLineChars="200"/>
        <w:rPr>
          <w:rFonts w:ascii="宋体" w:hAnsi="宋体" w:cs="宋体"/>
        </w:rPr>
      </w:pPr>
      <w:r>
        <w:rPr>
          <w:rFonts w:hint="eastAsia" w:ascii="宋体" w:hAnsi="宋体" w:cs="宋体"/>
        </w:rPr>
        <w:t>5.5  如采用投标人所不拥有的知识产权，则在投标报价中必须包括合法获取该知识产权的相关费用，采购人不再因投标人采用所不拥有的知识产权而另行支付任何费用。</w:t>
      </w:r>
    </w:p>
    <w:p>
      <w:pPr>
        <w:autoSpaceDE w:val="0"/>
        <w:autoSpaceDN w:val="0"/>
        <w:adjustRightInd w:val="0"/>
        <w:spacing w:line="500" w:lineRule="exact"/>
        <w:ind w:right="6"/>
        <w:rPr>
          <w:rFonts w:ascii="宋体" w:hAnsi="宋体" w:cs="宋体"/>
          <w:b/>
          <w:bCs/>
          <w:kern w:val="0"/>
          <w:sz w:val="24"/>
        </w:rPr>
      </w:pPr>
      <w:r>
        <w:rPr>
          <w:rFonts w:hint="eastAsia" w:ascii="宋体" w:hAnsi="宋体" w:cs="宋体"/>
          <w:b/>
          <w:bCs/>
          <w:kern w:val="0"/>
          <w:sz w:val="24"/>
        </w:rPr>
        <w:t>6、招标过程的监督和管理</w:t>
      </w:r>
    </w:p>
    <w:p>
      <w:pPr>
        <w:autoSpaceDE w:val="0"/>
        <w:autoSpaceDN w:val="0"/>
        <w:adjustRightInd w:val="0"/>
        <w:spacing w:line="500" w:lineRule="exact"/>
        <w:ind w:right="6"/>
        <w:rPr>
          <w:rFonts w:ascii="宋体" w:hAnsi="宋体" w:cs="宋体"/>
        </w:rPr>
      </w:pPr>
      <w:r>
        <w:rPr>
          <w:rFonts w:hint="eastAsia" w:ascii="宋体" w:hAnsi="宋体" w:cs="宋体"/>
        </w:rPr>
        <w:t xml:space="preserve">    同级人民政府财政部门及有关部门依法履行对招标过程的监督管理职责。</w:t>
      </w:r>
    </w:p>
    <w:p>
      <w:pPr>
        <w:autoSpaceDE w:val="0"/>
        <w:autoSpaceDN w:val="0"/>
        <w:adjustRightInd w:val="0"/>
        <w:spacing w:line="500" w:lineRule="exact"/>
        <w:ind w:right="6"/>
        <w:rPr>
          <w:rFonts w:ascii="宋体" w:hAnsi="宋体" w:cs="宋体"/>
          <w:b/>
          <w:bCs/>
          <w:kern w:val="0"/>
          <w:sz w:val="24"/>
        </w:rPr>
      </w:pPr>
      <w:r>
        <w:rPr>
          <w:rFonts w:hint="eastAsia" w:ascii="宋体" w:hAnsi="宋体" w:cs="宋体"/>
          <w:b/>
          <w:bCs/>
          <w:kern w:val="0"/>
          <w:sz w:val="24"/>
        </w:rPr>
        <w:t>7、费用</w:t>
      </w:r>
    </w:p>
    <w:p>
      <w:pPr>
        <w:autoSpaceDE w:val="0"/>
        <w:autoSpaceDN w:val="0"/>
        <w:adjustRightInd w:val="0"/>
        <w:spacing w:line="500" w:lineRule="exact"/>
        <w:ind w:right="6"/>
        <w:rPr>
          <w:rFonts w:ascii="宋体" w:hAnsi="宋体" w:cs="宋体"/>
        </w:rPr>
      </w:pPr>
      <w:r>
        <w:rPr>
          <w:rFonts w:hint="eastAsia" w:ascii="宋体" w:hAnsi="宋体" w:cs="宋体"/>
        </w:rPr>
        <w:t xml:space="preserve">    7.1  投标人应承担所有与编写和提交投标文件有关的费用，无论投标过程中的做法和结果如何，采购人和采购代理机构在任何情况下均无义务和责任承担这些费用。</w:t>
      </w:r>
    </w:p>
    <w:p>
      <w:pPr>
        <w:spacing w:before="240" w:after="120"/>
        <w:jc w:val="center"/>
        <w:outlineLvl w:val="2"/>
        <w:rPr>
          <w:rFonts w:ascii="宋体" w:hAnsi="宋体" w:cs="宋体"/>
          <w:b/>
          <w:bCs/>
          <w:sz w:val="28"/>
        </w:rPr>
      </w:pPr>
      <w:r>
        <w:rPr>
          <w:rFonts w:hint="eastAsia" w:ascii="宋体" w:hAnsi="宋体" w:cs="宋体"/>
          <w:b/>
          <w:bCs/>
          <w:sz w:val="28"/>
        </w:rPr>
        <w:t>二、招标文件</w:t>
      </w:r>
    </w:p>
    <w:p>
      <w:pPr>
        <w:autoSpaceDE w:val="0"/>
        <w:autoSpaceDN w:val="0"/>
        <w:adjustRightInd w:val="0"/>
        <w:spacing w:line="500" w:lineRule="exact"/>
        <w:ind w:right="6"/>
        <w:rPr>
          <w:rFonts w:ascii="宋体" w:hAnsi="宋体" w:cs="宋体"/>
          <w:b/>
          <w:bCs/>
          <w:kern w:val="0"/>
          <w:sz w:val="24"/>
        </w:rPr>
      </w:pPr>
      <w:r>
        <w:rPr>
          <w:rFonts w:hint="eastAsia" w:ascii="宋体" w:hAnsi="宋体" w:cs="宋体"/>
          <w:b/>
          <w:bCs/>
          <w:kern w:val="0"/>
          <w:sz w:val="24"/>
        </w:rPr>
        <w:t>8、招标文件的构成</w:t>
      </w:r>
    </w:p>
    <w:p>
      <w:pPr>
        <w:autoSpaceDE w:val="0"/>
        <w:autoSpaceDN w:val="0"/>
        <w:adjustRightInd w:val="0"/>
        <w:spacing w:line="500" w:lineRule="exact"/>
        <w:ind w:right="6" w:firstLine="420"/>
        <w:rPr>
          <w:rFonts w:ascii="宋体" w:hAnsi="宋体" w:cs="宋体"/>
        </w:rPr>
      </w:pPr>
      <w:r>
        <w:rPr>
          <w:rFonts w:hint="eastAsia" w:ascii="宋体" w:hAnsi="宋体" w:cs="宋体"/>
        </w:rPr>
        <w:t>8.1  招标文件是投标人准备投标文件和参加开标会议的依据，同时也是评标的重要依据。招标文件用以阐明采购项目所需的资质、技术、服务及报价等要求、招标投标程序、评标办法与标准、有关规定和注意事项以及合同主要条款等。本招标文件包括以下内容：</w:t>
      </w:r>
    </w:p>
    <w:p>
      <w:pPr>
        <w:autoSpaceDE w:val="0"/>
        <w:autoSpaceDN w:val="0"/>
        <w:adjustRightInd w:val="0"/>
        <w:spacing w:line="500" w:lineRule="exact"/>
        <w:ind w:right="6"/>
        <w:rPr>
          <w:rFonts w:ascii="宋体" w:hAnsi="宋体" w:cs="宋体"/>
        </w:rPr>
      </w:pPr>
      <w:r>
        <w:rPr>
          <w:rFonts w:hint="eastAsia" w:ascii="宋体" w:hAnsi="宋体" w:cs="宋体"/>
        </w:rPr>
        <w:t xml:space="preserve">    （1）招标公告；</w:t>
      </w:r>
    </w:p>
    <w:p>
      <w:pPr>
        <w:autoSpaceDE w:val="0"/>
        <w:autoSpaceDN w:val="0"/>
        <w:adjustRightInd w:val="0"/>
        <w:spacing w:line="500" w:lineRule="exact"/>
        <w:ind w:right="6"/>
        <w:rPr>
          <w:rFonts w:ascii="宋体" w:hAnsi="宋体" w:cs="宋体"/>
        </w:rPr>
      </w:pPr>
      <w:r>
        <w:rPr>
          <w:rFonts w:hint="eastAsia" w:ascii="宋体" w:hAnsi="宋体" w:cs="宋体"/>
        </w:rPr>
        <w:t xml:space="preserve">    （2）投标人须知；</w:t>
      </w:r>
    </w:p>
    <w:p>
      <w:pPr>
        <w:autoSpaceDE w:val="0"/>
        <w:autoSpaceDN w:val="0"/>
        <w:adjustRightInd w:val="0"/>
        <w:spacing w:line="500" w:lineRule="exact"/>
        <w:ind w:right="6"/>
        <w:rPr>
          <w:rFonts w:ascii="宋体" w:hAnsi="宋体" w:cs="宋体"/>
        </w:rPr>
      </w:pPr>
      <w:r>
        <w:rPr>
          <w:rFonts w:hint="eastAsia" w:ascii="宋体" w:hAnsi="宋体" w:cs="宋体"/>
        </w:rPr>
        <w:t xml:space="preserve">    （3）评标办法；</w:t>
      </w:r>
    </w:p>
    <w:p>
      <w:pPr>
        <w:autoSpaceDE w:val="0"/>
        <w:autoSpaceDN w:val="0"/>
        <w:adjustRightInd w:val="0"/>
        <w:spacing w:line="500" w:lineRule="exact"/>
        <w:ind w:right="6"/>
        <w:rPr>
          <w:rFonts w:ascii="宋体" w:hAnsi="宋体" w:cs="宋体"/>
        </w:rPr>
      </w:pPr>
      <w:r>
        <w:rPr>
          <w:rFonts w:hint="eastAsia" w:ascii="宋体" w:hAnsi="宋体" w:cs="宋体"/>
        </w:rPr>
        <w:t xml:space="preserve">    （4）采购内容及技术要求；</w:t>
      </w:r>
    </w:p>
    <w:p>
      <w:pPr>
        <w:autoSpaceDE w:val="0"/>
        <w:autoSpaceDN w:val="0"/>
        <w:adjustRightInd w:val="0"/>
        <w:spacing w:line="500" w:lineRule="exact"/>
        <w:ind w:right="6"/>
        <w:rPr>
          <w:rFonts w:ascii="宋体" w:hAnsi="宋体" w:cs="宋体"/>
        </w:rPr>
      </w:pPr>
      <w:r>
        <w:rPr>
          <w:rFonts w:hint="eastAsia" w:ascii="宋体" w:hAnsi="宋体" w:cs="宋体"/>
        </w:rPr>
        <w:t xml:space="preserve">    （5）合同条款；</w:t>
      </w:r>
    </w:p>
    <w:p>
      <w:pPr>
        <w:autoSpaceDE w:val="0"/>
        <w:autoSpaceDN w:val="0"/>
        <w:adjustRightInd w:val="0"/>
        <w:spacing w:line="500" w:lineRule="exact"/>
        <w:ind w:right="6"/>
        <w:rPr>
          <w:rFonts w:ascii="宋体" w:hAnsi="宋体" w:cs="宋体"/>
        </w:rPr>
      </w:pPr>
      <w:r>
        <w:rPr>
          <w:rFonts w:hint="eastAsia" w:ascii="宋体" w:hAnsi="宋体" w:cs="宋体"/>
        </w:rPr>
        <w:t xml:space="preserve">    （6）投标文件格式。</w:t>
      </w:r>
    </w:p>
    <w:p>
      <w:pPr>
        <w:autoSpaceDE w:val="0"/>
        <w:autoSpaceDN w:val="0"/>
        <w:adjustRightInd w:val="0"/>
        <w:spacing w:line="500" w:lineRule="exact"/>
        <w:ind w:right="6" w:firstLine="420"/>
        <w:rPr>
          <w:rFonts w:ascii="宋体" w:hAnsi="宋体" w:cs="宋体"/>
        </w:rPr>
      </w:pPr>
      <w:r>
        <w:rPr>
          <w:rFonts w:hint="eastAsia" w:ascii="宋体" w:hAnsi="宋体" w:cs="宋体"/>
        </w:rPr>
        <w:t>8.2  投标人应认真阅读和充分理解招标文件中所有的事项、格式条款和规范要求。如果投标人没有按照招标文件要求提交全部资料，或者投标文件没有对招标文件在各方面都做出实质性响应，由此带来的不利于投标人的评标结果，其风险由投标人承担。</w:t>
      </w:r>
    </w:p>
    <w:p>
      <w:pPr>
        <w:autoSpaceDE w:val="0"/>
        <w:autoSpaceDN w:val="0"/>
        <w:adjustRightInd w:val="0"/>
        <w:spacing w:line="500" w:lineRule="exact"/>
        <w:ind w:right="6" w:firstLine="420"/>
        <w:rPr>
          <w:rFonts w:ascii="宋体" w:hAnsi="宋体" w:cs="宋体"/>
        </w:rPr>
      </w:pPr>
      <w:r>
        <w:rPr>
          <w:rFonts w:hint="eastAsia" w:ascii="宋体" w:hAnsi="宋体" w:cs="宋体"/>
        </w:rPr>
        <w:t>8.3  本招标文件的解释权归陕西鼎祥越工程造价咨询有限公司。</w:t>
      </w:r>
    </w:p>
    <w:p>
      <w:pPr>
        <w:autoSpaceDE w:val="0"/>
        <w:autoSpaceDN w:val="0"/>
        <w:adjustRightInd w:val="0"/>
        <w:spacing w:line="500" w:lineRule="exact"/>
        <w:ind w:right="6"/>
        <w:rPr>
          <w:rFonts w:ascii="宋体" w:hAnsi="宋体" w:cs="宋体"/>
          <w:b/>
          <w:bCs/>
          <w:kern w:val="0"/>
          <w:sz w:val="24"/>
        </w:rPr>
      </w:pPr>
      <w:r>
        <w:rPr>
          <w:rFonts w:hint="eastAsia" w:ascii="宋体" w:hAnsi="宋体" w:cs="宋体"/>
          <w:b/>
          <w:bCs/>
          <w:kern w:val="0"/>
          <w:sz w:val="24"/>
        </w:rPr>
        <w:t>9、招标文件的澄清和修改</w:t>
      </w:r>
    </w:p>
    <w:p>
      <w:pPr>
        <w:autoSpaceDE w:val="0"/>
        <w:autoSpaceDN w:val="0"/>
        <w:adjustRightInd w:val="0"/>
        <w:spacing w:line="500" w:lineRule="exact"/>
        <w:ind w:right="6"/>
        <w:rPr>
          <w:rFonts w:ascii="宋体" w:hAnsi="宋体" w:cs="宋体"/>
        </w:rPr>
      </w:pPr>
      <w:r>
        <w:rPr>
          <w:rFonts w:hint="eastAsia" w:ascii="宋体" w:hAnsi="宋体" w:cs="宋体"/>
        </w:rPr>
        <w:t xml:space="preserve">    9.1  在投标截止时间前，采购人或者采购代理机构无论出于何种原因，可以对招标文件进行澄清或者修改。</w:t>
      </w:r>
    </w:p>
    <w:p>
      <w:pPr>
        <w:autoSpaceDE w:val="0"/>
        <w:autoSpaceDN w:val="0"/>
        <w:adjustRightInd w:val="0"/>
        <w:spacing w:line="500" w:lineRule="exact"/>
        <w:ind w:right="6" w:firstLine="420"/>
        <w:rPr>
          <w:rFonts w:ascii="宋体" w:hAnsi="宋体" w:cs="宋体"/>
        </w:rPr>
      </w:pPr>
      <w:r>
        <w:rPr>
          <w:rFonts w:hint="eastAsia" w:ascii="宋体" w:hAnsi="宋体" w:cs="宋体"/>
        </w:rPr>
        <w:t>9.2  采购人或者采购代理机构如果对已发出的招标文件进行澄清或者修改，将在招标文件要求提交投标文件截止时间15日前，以书面形式将澄清或者修改的内容通知所有购买了招标文件的投标人，同时在原信息发布媒体上发布更正公告。该澄清或者修改的内容为招标文件的组成部分。投标人在收到上述通知后，应立即以书面形式（传真或邮件）向采购代理机构确认。</w:t>
      </w:r>
    </w:p>
    <w:p>
      <w:pPr>
        <w:autoSpaceDE w:val="0"/>
        <w:autoSpaceDN w:val="0"/>
        <w:adjustRightInd w:val="0"/>
        <w:spacing w:line="500" w:lineRule="exact"/>
        <w:ind w:right="6"/>
        <w:rPr>
          <w:rFonts w:ascii="宋体" w:hAnsi="宋体" w:cs="宋体"/>
        </w:rPr>
      </w:pPr>
      <w:r>
        <w:rPr>
          <w:rFonts w:hint="eastAsia" w:ascii="宋体" w:hAnsi="宋体" w:cs="宋体"/>
        </w:rPr>
        <w:t xml:space="preserve">    9.3  招标文件的澄清或修改内容均以书面形式明确的内容为准。当招标文件的澄清、修改、补充等在同一内容的表述上不一致时，以最后发出的书面文件为准。所有补充文件将作为招标文件的组成部分，对所有投标人具有约束力。</w:t>
      </w:r>
    </w:p>
    <w:p>
      <w:pPr>
        <w:autoSpaceDE w:val="0"/>
        <w:autoSpaceDN w:val="0"/>
        <w:adjustRightInd w:val="0"/>
        <w:spacing w:line="500" w:lineRule="exact"/>
        <w:ind w:right="6" w:firstLine="420"/>
        <w:rPr>
          <w:rFonts w:ascii="宋体" w:hAnsi="宋体" w:cs="宋体"/>
        </w:rPr>
      </w:pPr>
      <w:r>
        <w:rPr>
          <w:rFonts w:hint="eastAsia" w:ascii="宋体" w:hAnsi="宋体" w:cs="宋体"/>
        </w:rPr>
        <w:t>9.4  投标截止时间和开标时间的延长：在投标截止时间3日前，采购代理机构可以视采购具体情况，延长投标截止时间和开标时间。延长投标截止时间和开标时间将在财政部门指定的媒体上发布变更公告，同时将变更时间书面通知所有购买招标文件的单位。</w:t>
      </w:r>
    </w:p>
    <w:p>
      <w:pPr>
        <w:autoSpaceDE w:val="0"/>
        <w:autoSpaceDN w:val="0"/>
        <w:adjustRightInd w:val="0"/>
        <w:spacing w:line="500" w:lineRule="exact"/>
        <w:ind w:right="6"/>
        <w:rPr>
          <w:rFonts w:ascii="宋体" w:hAnsi="宋体" w:cs="宋体"/>
          <w:b/>
          <w:bCs/>
          <w:kern w:val="0"/>
          <w:sz w:val="24"/>
        </w:rPr>
      </w:pPr>
      <w:r>
        <w:rPr>
          <w:rFonts w:hint="eastAsia" w:ascii="宋体" w:hAnsi="宋体" w:cs="宋体"/>
          <w:b/>
          <w:bCs/>
          <w:kern w:val="0"/>
          <w:sz w:val="24"/>
        </w:rPr>
        <w:t>10、答疑会和现场考察（视项目具体情况而定）</w:t>
      </w:r>
    </w:p>
    <w:p>
      <w:pPr>
        <w:autoSpaceDE w:val="0"/>
        <w:autoSpaceDN w:val="0"/>
        <w:adjustRightInd w:val="0"/>
        <w:spacing w:line="500" w:lineRule="exact"/>
        <w:ind w:right="6"/>
        <w:rPr>
          <w:rFonts w:ascii="宋体" w:hAnsi="宋体" w:cs="宋体"/>
        </w:rPr>
      </w:pPr>
      <w:r>
        <w:rPr>
          <w:rFonts w:hint="eastAsia" w:ascii="宋体" w:hAnsi="宋体" w:cs="宋体"/>
        </w:rPr>
        <w:t xml:space="preserve">    10.1  根据采购项目和具体情况，采购代理机构认为有必要，可以组织召开标前答疑会，或投标单位可根据自身情况及需要，自行组织踏勘。答疑会或进行现场踏勘的时间，采购人将以书面形式通知所有购买了招标文件的投标人。</w:t>
      </w:r>
    </w:p>
    <w:p>
      <w:pPr>
        <w:autoSpaceDE w:val="0"/>
        <w:autoSpaceDN w:val="0"/>
        <w:adjustRightInd w:val="0"/>
        <w:spacing w:line="500" w:lineRule="exact"/>
        <w:ind w:right="6"/>
        <w:rPr>
          <w:rFonts w:ascii="宋体" w:hAnsi="宋体" w:cs="宋体"/>
        </w:rPr>
      </w:pPr>
      <w:r>
        <w:rPr>
          <w:rFonts w:hint="eastAsia" w:ascii="宋体" w:hAnsi="宋体" w:cs="宋体"/>
        </w:rPr>
        <w:t xml:space="preserve">    10.2  投标人踏勘现场所发生的一切费用由投标人自己承担。</w:t>
      </w:r>
    </w:p>
    <w:p>
      <w:pPr>
        <w:autoSpaceDE w:val="0"/>
        <w:autoSpaceDN w:val="0"/>
        <w:adjustRightInd w:val="0"/>
        <w:spacing w:line="500" w:lineRule="exact"/>
        <w:ind w:right="6"/>
        <w:rPr>
          <w:rFonts w:ascii="宋体" w:hAnsi="宋体" w:cs="宋体"/>
        </w:rPr>
      </w:pPr>
      <w:r>
        <w:rPr>
          <w:rFonts w:hint="eastAsia" w:ascii="宋体" w:hAnsi="宋体" w:cs="宋体"/>
        </w:rPr>
        <w:t xml:space="preserve">    10.3  采购人向投标人提供的有关现场的数据和资料，是采购人现有的能被投标人利用的资料，采购人对投标人做出的任何推论、理解和结论均不负责任。一旦中标，中标人不得以任何借口，提出额外补偿，或延长合同期限的要求。</w:t>
      </w:r>
    </w:p>
    <w:p>
      <w:pPr>
        <w:spacing w:before="240" w:after="120"/>
        <w:jc w:val="center"/>
        <w:outlineLvl w:val="2"/>
        <w:rPr>
          <w:rFonts w:ascii="宋体" w:hAnsi="宋体" w:cs="宋体"/>
          <w:b/>
          <w:bCs/>
          <w:sz w:val="28"/>
        </w:rPr>
      </w:pPr>
      <w:r>
        <w:rPr>
          <w:rFonts w:hint="eastAsia" w:ascii="宋体" w:hAnsi="宋体" w:cs="宋体"/>
          <w:b/>
          <w:bCs/>
          <w:sz w:val="28"/>
        </w:rPr>
        <w:t>三、投标文件</w:t>
      </w:r>
    </w:p>
    <w:p>
      <w:pPr>
        <w:autoSpaceDE w:val="0"/>
        <w:autoSpaceDN w:val="0"/>
        <w:adjustRightInd w:val="0"/>
        <w:spacing w:line="500" w:lineRule="exact"/>
        <w:ind w:right="6"/>
        <w:rPr>
          <w:rFonts w:ascii="宋体" w:hAnsi="宋体" w:cs="宋体"/>
          <w:b/>
          <w:bCs/>
          <w:kern w:val="0"/>
          <w:sz w:val="24"/>
        </w:rPr>
      </w:pPr>
      <w:r>
        <w:rPr>
          <w:rFonts w:hint="eastAsia" w:ascii="宋体" w:hAnsi="宋体" w:cs="宋体"/>
          <w:b/>
          <w:bCs/>
          <w:kern w:val="0"/>
          <w:sz w:val="24"/>
        </w:rPr>
        <w:t>11、投标文件编制的原则</w:t>
      </w:r>
    </w:p>
    <w:p>
      <w:pPr>
        <w:autoSpaceDE w:val="0"/>
        <w:autoSpaceDN w:val="0"/>
        <w:adjustRightInd w:val="0"/>
        <w:spacing w:line="500" w:lineRule="exact"/>
        <w:ind w:right="6"/>
        <w:rPr>
          <w:rFonts w:ascii="宋体" w:hAnsi="宋体" w:cs="宋体"/>
        </w:rPr>
      </w:pPr>
      <w:r>
        <w:rPr>
          <w:rFonts w:hint="eastAsia" w:ascii="宋体" w:hAnsi="宋体" w:cs="宋体"/>
        </w:rPr>
        <w:t xml:space="preserve">    11.1  投标人应在认真阅读招标文件所有内容的基础上，按照招标文件的要求编制完整的投标文件。招标文件中对投标文件格式有要求的，应按格式逐项填写内容，不准有空项；无相应内容可填的项应填写“无”、“没有相应指标”等明确的回答文字。投标文件中留有空项的，将被视为不完整响应的投标文件，其投标将有可能被拒绝。</w:t>
      </w:r>
    </w:p>
    <w:p>
      <w:pPr>
        <w:autoSpaceDE w:val="0"/>
        <w:autoSpaceDN w:val="0"/>
        <w:adjustRightInd w:val="0"/>
        <w:spacing w:line="500" w:lineRule="exact"/>
        <w:ind w:right="6" w:firstLine="420"/>
        <w:rPr>
          <w:rFonts w:ascii="宋体" w:hAnsi="宋体" w:cs="宋体"/>
        </w:rPr>
      </w:pPr>
      <w:r>
        <w:rPr>
          <w:rFonts w:hint="eastAsia" w:ascii="宋体" w:hAnsi="宋体" w:cs="宋体"/>
        </w:rPr>
        <w:t>11.2  投标人必须保证投标文件所提供的全部资料真实可靠，并接受对其中任何资料进一步审查的要求。投标人在政府采购过程中提供不真实的材料，无论其材料是否重要，采购人均有权拒绝，并取消其投标资格，投标人需承担相应的后果及法律责任。</w:t>
      </w:r>
    </w:p>
    <w:p>
      <w:pPr>
        <w:autoSpaceDE w:val="0"/>
        <w:autoSpaceDN w:val="0"/>
        <w:adjustRightInd w:val="0"/>
        <w:spacing w:line="500" w:lineRule="exact"/>
        <w:ind w:right="6"/>
        <w:rPr>
          <w:rFonts w:ascii="宋体" w:hAnsi="宋体" w:cs="宋体"/>
        </w:rPr>
      </w:pPr>
      <w:r>
        <w:rPr>
          <w:rFonts w:hint="eastAsia" w:ascii="宋体" w:hAnsi="宋体" w:cs="宋体"/>
        </w:rPr>
        <w:t xml:space="preserve">    11.3  投标文件须对招标文件中的内容做出实质性和完整的响应，否则其投标将被拒绝。</w:t>
      </w:r>
    </w:p>
    <w:p>
      <w:pPr>
        <w:autoSpaceDE w:val="0"/>
        <w:autoSpaceDN w:val="0"/>
        <w:adjustRightInd w:val="0"/>
        <w:spacing w:line="500" w:lineRule="exact"/>
        <w:ind w:right="6"/>
        <w:rPr>
          <w:rFonts w:ascii="宋体" w:hAnsi="宋体" w:cs="宋体"/>
          <w:b/>
          <w:bCs/>
          <w:kern w:val="0"/>
          <w:sz w:val="24"/>
        </w:rPr>
      </w:pPr>
      <w:r>
        <w:rPr>
          <w:rFonts w:hint="eastAsia" w:ascii="宋体" w:hAnsi="宋体" w:cs="宋体"/>
          <w:b/>
          <w:bCs/>
          <w:kern w:val="0"/>
          <w:sz w:val="24"/>
        </w:rPr>
        <w:t>12、投标文件的语言</w:t>
      </w:r>
    </w:p>
    <w:p>
      <w:pPr>
        <w:autoSpaceDE w:val="0"/>
        <w:autoSpaceDN w:val="0"/>
        <w:adjustRightInd w:val="0"/>
        <w:spacing w:line="500" w:lineRule="exact"/>
        <w:ind w:right="6"/>
        <w:rPr>
          <w:rFonts w:ascii="宋体" w:hAnsi="宋体" w:cs="宋体"/>
        </w:rPr>
      </w:pPr>
      <w:r>
        <w:rPr>
          <w:rFonts w:hint="eastAsia" w:ascii="宋体" w:hAnsi="宋体" w:cs="宋体"/>
        </w:rPr>
        <w:t xml:space="preserve">    12.1  投标人提交的投标文件和往来信件均须使用中文书写。投标文件中如附有外文资料，必须逐一对应翻译成中文并加盖投标人公章后附在相关外文资料后面，否则，投标人的投标文件将作为无效投标文件处理。</w:t>
      </w:r>
    </w:p>
    <w:p>
      <w:pPr>
        <w:autoSpaceDE w:val="0"/>
        <w:autoSpaceDN w:val="0"/>
        <w:adjustRightInd w:val="0"/>
        <w:spacing w:line="500" w:lineRule="exact"/>
        <w:ind w:right="6"/>
        <w:rPr>
          <w:rFonts w:ascii="宋体" w:hAnsi="宋体" w:cs="宋体"/>
        </w:rPr>
      </w:pPr>
      <w:r>
        <w:rPr>
          <w:rFonts w:hint="eastAsia" w:ascii="宋体" w:hAnsi="宋体" w:cs="宋体"/>
        </w:rPr>
        <w:t xml:space="preserve">    12.2  翻译的中文资料与外文资料如果出现差异和矛盾时，以中文为准。但不能故意错误翻译，否则，投标人的投标文件将作为无效投标处理。必要时采购人可以要求投标人提供附有公证书的中文翻译文件或者与原版文件签章相一致的中文翻译文件。</w:t>
      </w:r>
    </w:p>
    <w:p>
      <w:pPr>
        <w:autoSpaceDE w:val="0"/>
        <w:autoSpaceDN w:val="0"/>
        <w:adjustRightInd w:val="0"/>
        <w:spacing w:line="500" w:lineRule="exact"/>
        <w:ind w:right="6"/>
        <w:rPr>
          <w:rFonts w:ascii="宋体" w:hAnsi="宋体" w:cs="宋体"/>
          <w:b/>
          <w:bCs/>
          <w:kern w:val="0"/>
          <w:sz w:val="24"/>
        </w:rPr>
      </w:pPr>
      <w:r>
        <w:rPr>
          <w:rFonts w:hint="eastAsia" w:ascii="宋体" w:hAnsi="宋体" w:cs="宋体"/>
          <w:b/>
          <w:bCs/>
          <w:kern w:val="0"/>
          <w:sz w:val="24"/>
        </w:rPr>
        <w:t>13、计量单位</w:t>
      </w:r>
    </w:p>
    <w:p>
      <w:pPr>
        <w:autoSpaceDE w:val="0"/>
        <w:autoSpaceDN w:val="0"/>
        <w:adjustRightInd w:val="0"/>
        <w:spacing w:line="500" w:lineRule="exact"/>
        <w:ind w:right="6"/>
        <w:rPr>
          <w:rFonts w:ascii="宋体" w:hAnsi="宋体" w:cs="宋体"/>
        </w:rPr>
      </w:pPr>
      <w:r>
        <w:rPr>
          <w:rFonts w:hint="eastAsia" w:ascii="宋体" w:hAnsi="宋体" w:cs="宋体"/>
        </w:rPr>
        <w:t xml:space="preserve">    除技术规格及要求中另有规定外，本次采购项目下的投标均采用国家法定的计量单位。</w:t>
      </w:r>
    </w:p>
    <w:p>
      <w:pPr>
        <w:autoSpaceDE w:val="0"/>
        <w:autoSpaceDN w:val="0"/>
        <w:adjustRightInd w:val="0"/>
        <w:spacing w:line="500" w:lineRule="exact"/>
        <w:ind w:right="6"/>
        <w:rPr>
          <w:rFonts w:ascii="宋体" w:hAnsi="宋体" w:cs="宋体"/>
          <w:b/>
          <w:bCs/>
          <w:kern w:val="0"/>
          <w:sz w:val="24"/>
        </w:rPr>
      </w:pPr>
      <w:r>
        <w:rPr>
          <w:rFonts w:hint="eastAsia" w:ascii="宋体" w:hAnsi="宋体" w:cs="宋体"/>
          <w:b/>
          <w:bCs/>
          <w:kern w:val="0"/>
          <w:sz w:val="24"/>
        </w:rPr>
        <w:t>14、投标货币</w:t>
      </w:r>
    </w:p>
    <w:p>
      <w:pPr>
        <w:autoSpaceDE w:val="0"/>
        <w:autoSpaceDN w:val="0"/>
        <w:adjustRightInd w:val="0"/>
        <w:spacing w:line="500" w:lineRule="exact"/>
        <w:ind w:right="6"/>
        <w:rPr>
          <w:rFonts w:ascii="宋体" w:hAnsi="宋体" w:cs="宋体"/>
        </w:rPr>
      </w:pPr>
      <w:r>
        <w:rPr>
          <w:rFonts w:hint="eastAsia" w:ascii="宋体" w:hAnsi="宋体" w:cs="宋体"/>
        </w:rPr>
        <w:t xml:space="preserve">    本次采购项目的投标均以人民币报价，单位：元。任何包含非人民币报价的投标文件均按无效处理。</w:t>
      </w:r>
    </w:p>
    <w:p>
      <w:pPr>
        <w:autoSpaceDE w:val="0"/>
        <w:autoSpaceDN w:val="0"/>
        <w:adjustRightInd w:val="0"/>
        <w:spacing w:line="500" w:lineRule="exact"/>
        <w:ind w:right="6"/>
        <w:rPr>
          <w:rFonts w:ascii="宋体" w:hAnsi="宋体" w:cs="宋体"/>
          <w:b/>
          <w:bCs/>
          <w:kern w:val="0"/>
          <w:sz w:val="24"/>
        </w:rPr>
      </w:pPr>
      <w:r>
        <w:rPr>
          <w:rFonts w:hint="eastAsia" w:ascii="宋体" w:hAnsi="宋体" w:cs="宋体"/>
          <w:b/>
          <w:bCs/>
          <w:kern w:val="0"/>
          <w:sz w:val="24"/>
        </w:rPr>
        <w:t>15、知识产权</w:t>
      </w:r>
    </w:p>
    <w:p>
      <w:pPr>
        <w:autoSpaceDE w:val="0"/>
        <w:autoSpaceDN w:val="0"/>
        <w:adjustRightInd w:val="0"/>
        <w:spacing w:line="500" w:lineRule="exact"/>
        <w:ind w:right="6"/>
        <w:rPr>
          <w:rFonts w:ascii="宋体" w:hAnsi="宋体" w:cs="宋体"/>
        </w:rPr>
      </w:pPr>
      <w:r>
        <w:rPr>
          <w:rFonts w:hint="eastAsia" w:ascii="宋体" w:hAnsi="宋体" w:cs="宋体"/>
        </w:rPr>
        <w:t xml:space="preserve">    15.1  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pPr>
        <w:autoSpaceDE w:val="0"/>
        <w:autoSpaceDN w:val="0"/>
        <w:adjustRightInd w:val="0"/>
        <w:spacing w:line="500" w:lineRule="exact"/>
        <w:ind w:right="6"/>
        <w:rPr>
          <w:rFonts w:ascii="宋体" w:hAnsi="宋体" w:cs="宋体"/>
        </w:rPr>
      </w:pPr>
      <w:r>
        <w:rPr>
          <w:rFonts w:hint="eastAsia" w:ascii="宋体" w:hAnsi="宋体" w:cs="宋体"/>
        </w:rPr>
        <w:t xml:space="preserve">    15.2  采购人享有本项目实施过程中产生的知识成果及知识产权。</w:t>
      </w:r>
    </w:p>
    <w:p>
      <w:pPr>
        <w:autoSpaceDE w:val="0"/>
        <w:autoSpaceDN w:val="0"/>
        <w:adjustRightInd w:val="0"/>
        <w:spacing w:line="500" w:lineRule="exact"/>
        <w:ind w:right="6"/>
        <w:rPr>
          <w:rFonts w:ascii="宋体" w:hAnsi="宋体" w:cs="宋体"/>
        </w:rPr>
      </w:pPr>
      <w:r>
        <w:rPr>
          <w:rFonts w:hint="eastAsia" w:ascii="宋体" w:hAnsi="宋体" w:cs="宋体"/>
        </w:rPr>
        <w:t xml:space="preserve">    15.3  投标人如欲在项目实施过程中采用自有知识成果，需在投标文件中声明，并提供相关知识产权证明文件。使用该知识成果后，投标人需提供开发接口和开发手册等技术文档，并承诺提供无限期技术支持，采购人享有永久使用权。</w:t>
      </w:r>
    </w:p>
    <w:p>
      <w:pPr>
        <w:autoSpaceDE w:val="0"/>
        <w:autoSpaceDN w:val="0"/>
        <w:adjustRightInd w:val="0"/>
        <w:spacing w:line="500" w:lineRule="exact"/>
        <w:ind w:right="6"/>
        <w:rPr>
          <w:rFonts w:ascii="宋体" w:hAnsi="宋体" w:cs="宋体"/>
        </w:rPr>
      </w:pPr>
      <w:r>
        <w:rPr>
          <w:rFonts w:hint="eastAsia" w:ascii="宋体" w:hAnsi="宋体" w:cs="宋体"/>
        </w:rPr>
        <w:t xml:space="preserve">    15.4  如采用投标人所不拥有的知识产权，则在投标报价中必须包括合法获取该知识产权的相关费用。</w:t>
      </w:r>
    </w:p>
    <w:p>
      <w:pPr>
        <w:autoSpaceDE w:val="0"/>
        <w:autoSpaceDN w:val="0"/>
        <w:adjustRightInd w:val="0"/>
        <w:spacing w:line="500" w:lineRule="exact"/>
        <w:ind w:right="6"/>
        <w:rPr>
          <w:rFonts w:ascii="宋体" w:hAnsi="宋体" w:cs="宋体"/>
          <w:b/>
          <w:bCs/>
          <w:kern w:val="0"/>
          <w:sz w:val="24"/>
        </w:rPr>
      </w:pPr>
      <w:r>
        <w:rPr>
          <w:rFonts w:hint="eastAsia" w:ascii="宋体" w:hAnsi="宋体" w:cs="宋体"/>
          <w:b/>
          <w:bCs/>
          <w:kern w:val="0"/>
          <w:sz w:val="24"/>
        </w:rPr>
        <w:t>16、投标文件的组成</w:t>
      </w:r>
    </w:p>
    <w:p>
      <w:pPr>
        <w:autoSpaceDE w:val="0"/>
        <w:autoSpaceDN w:val="0"/>
        <w:adjustRightInd w:val="0"/>
        <w:spacing w:line="500" w:lineRule="exact"/>
        <w:ind w:right="6"/>
        <w:rPr>
          <w:rFonts w:ascii="宋体" w:hAnsi="宋体" w:cs="宋体"/>
        </w:rPr>
      </w:pPr>
      <w:r>
        <w:rPr>
          <w:rFonts w:hint="eastAsia" w:ascii="宋体" w:hAnsi="宋体" w:cs="宋体"/>
        </w:rPr>
        <w:t xml:space="preserve">    所有采购货物只允许投标人有一个投标方案，不接受任何有选择的方案和报价（包括有条件的折扣）。投标人未按要求，提供了选择方案报价的，其投标将被拒绝。投标人编写的投标文件应包括下列内容：开标一览表、商务部分及技术部分、资格证明文件部分等。</w:t>
      </w:r>
    </w:p>
    <w:p>
      <w:pPr>
        <w:autoSpaceDE w:val="0"/>
        <w:autoSpaceDN w:val="0"/>
        <w:adjustRightInd w:val="0"/>
        <w:spacing w:line="500" w:lineRule="exact"/>
        <w:ind w:right="6"/>
        <w:rPr>
          <w:rFonts w:ascii="宋体" w:hAnsi="宋体" w:cs="宋体"/>
        </w:rPr>
      </w:pPr>
      <w:r>
        <w:rPr>
          <w:rFonts w:hint="eastAsia" w:ascii="宋体" w:hAnsi="宋体" w:cs="宋体"/>
        </w:rPr>
        <w:t xml:space="preserve">    16.1  商务部分。投标人按照招标文件要求做出完全响应，提供的有关资质证明文件。包括以下内容：</w:t>
      </w:r>
    </w:p>
    <w:p>
      <w:pPr>
        <w:autoSpaceDE w:val="0"/>
        <w:autoSpaceDN w:val="0"/>
        <w:adjustRightInd w:val="0"/>
        <w:spacing w:line="500" w:lineRule="exact"/>
        <w:ind w:right="6"/>
        <w:rPr>
          <w:rFonts w:ascii="宋体" w:hAnsi="宋体" w:cs="宋体"/>
        </w:rPr>
      </w:pPr>
      <w:r>
        <w:rPr>
          <w:rFonts w:hint="eastAsia" w:ascii="宋体" w:hAnsi="宋体" w:cs="宋体"/>
        </w:rPr>
        <w:t xml:space="preserve">    （1）投标函；</w:t>
      </w:r>
    </w:p>
    <w:p>
      <w:pPr>
        <w:autoSpaceDE w:val="0"/>
        <w:autoSpaceDN w:val="0"/>
        <w:adjustRightInd w:val="0"/>
        <w:spacing w:line="500" w:lineRule="exact"/>
        <w:ind w:right="6"/>
        <w:rPr>
          <w:rFonts w:ascii="宋体" w:hAnsi="宋体" w:cs="宋体"/>
        </w:rPr>
      </w:pPr>
      <w:r>
        <w:rPr>
          <w:rFonts w:hint="eastAsia" w:ascii="宋体" w:hAnsi="宋体" w:cs="宋体"/>
        </w:rPr>
        <w:t xml:space="preserve">    （2）投标报价；</w:t>
      </w:r>
    </w:p>
    <w:p>
      <w:pPr>
        <w:autoSpaceDE w:val="0"/>
        <w:autoSpaceDN w:val="0"/>
        <w:adjustRightInd w:val="0"/>
        <w:spacing w:line="500" w:lineRule="exact"/>
        <w:ind w:right="6"/>
        <w:rPr>
          <w:rFonts w:ascii="宋体" w:hAnsi="宋体" w:cs="宋体"/>
        </w:rPr>
      </w:pPr>
      <w:r>
        <w:rPr>
          <w:rFonts w:hint="eastAsia" w:ascii="宋体" w:hAnsi="宋体" w:cs="宋体"/>
        </w:rPr>
        <w:t xml:space="preserve">    （3）必备资格文件；</w:t>
      </w:r>
    </w:p>
    <w:p>
      <w:pPr>
        <w:autoSpaceDE w:val="0"/>
        <w:autoSpaceDN w:val="0"/>
        <w:adjustRightInd w:val="0"/>
        <w:spacing w:line="500" w:lineRule="exact"/>
        <w:ind w:right="6"/>
        <w:rPr>
          <w:rFonts w:ascii="宋体" w:hAnsi="宋体" w:cs="宋体"/>
        </w:rPr>
      </w:pPr>
      <w:r>
        <w:rPr>
          <w:rFonts w:hint="eastAsia" w:ascii="宋体" w:hAnsi="宋体" w:cs="宋体"/>
        </w:rPr>
        <w:t xml:space="preserve">    （4）投标人近三年类似项目业绩一览表；</w:t>
      </w:r>
    </w:p>
    <w:p>
      <w:pPr>
        <w:autoSpaceDE w:val="0"/>
        <w:autoSpaceDN w:val="0"/>
        <w:adjustRightInd w:val="0"/>
        <w:spacing w:line="500" w:lineRule="exact"/>
        <w:ind w:right="6"/>
        <w:rPr>
          <w:rFonts w:ascii="宋体" w:hAnsi="宋体" w:cs="宋体"/>
        </w:rPr>
      </w:pPr>
      <w:r>
        <w:rPr>
          <w:rFonts w:hint="eastAsia" w:ascii="宋体" w:hAnsi="宋体" w:cs="宋体"/>
          <w:color w:val="FF0000"/>
        </w:rPr>
        <w:t xml:space="preserve">   </w:t>
      </w:r>
      <w:r>
        <w:rPr>
          <w:rFonts w:hint="eastAsia" w:ascii="宋体" w:hAnsi="宋体" w:cs="宋体"/>
        </w:rPr>
        <w:t xml:space="preserve"> （5）证明投标货物（产品）的合格性；</w:t>
      </w:r>
    </w:p>
    <w:p>
      <w:pPr>
        <w:autoSpaceDE w:val="0"/>
        <w:autoSpaceDN w:val="0"/>
        <w:adjustRightInd w:val="0"/>
        <w:spacing w:line="500" w:lineRule="exact"/>
        <w:ind w:right="6"/>
        <w:rPr>
          <w:rFonts w:ascii="宋体" w:hAnsi="宋体" w:cs="宋体"/>
        </w:rPr>
      </w:pPr>
      <w:r>
        <w:rPr>
          <w:rFonts w:hint="eastAsia" w:ascii="宋体" w:hAnsi="宋体" w:cs="宋体"/>
        </w:rPr>
        <w:t xml:space="preserve">    （6）其他投标人认为需要提供的文件和资料。</w:t>
      </w:r>
    </w:p>
    <w:p>
      <w:pPr>
        <w:autoSpaceDE w:val="0"/>
        <w:autoSpaceDN w:val="0"/>
        <w:adjustRightInd w:val="0"/>
        <w:spacing w:line="500" w:lineRule="exact"/>
        <w:ind w:right="6"/>
        <w:rPr>
          <w:rFonts w:ascii="宋体" w:hAnsi="宋体" w:cs="宋体"/>
        </w:rPr>
      </w:pPr>
      <w:r>
        <w:rPr>
          <w:rFonts w:hint="eastAsia" w:ascii="宋体" w:hAnsi="宋体" w:cs="宋体"/>
        </w:rPr>
        <w:t xml:space="preserve">    16.2  技术部分。投标人按照招标文件要求做出的技术应答，主要是针对招标项目的技术指标、参数和技术要求做出的实质性响应。投标人的技术应答应包括并不限于下列内容：</w:t>
      </w:r>
    </w:p>
    <w:p>
      <w:pPr>
        <w:autoSpaceDE w:val="0"/>
        <w:autoSpaceDN w:val="0"/>
        <w:adjustRightInd w:val="0"/>
        <w:spacing w:line="500" w:lineRule="exact"/>
        <w:ind w:right="6"/>
        <w:rPr>
          <w:rFonts w:ascii="宋体" w:hAnsi="宋体" w:cs="宋体"/>
        </w:rPr>
      </w:pPr>
      <w:r>
        <w:rPr>
          <w:rFonts w:hint="eastAsia" w:ascii="宋体" w:hAnsi="宋体" w:cs="宋体"/>
        </w:rPr>
        <w:t xml:space="preserve">    （1）技术方案、项目实施方案；</w:t>
      </w:r>
    </w:p>
    <w:p>
      <w:pPr>
        <w:autoSpaceDE w:val="0"/>
        <w:autoSpaceDN w:val="0"/>
        <w:adjustRightInd w:val="0"/>
        <w:spacing w:line="500" w:lineRule="exact"/>
        <w:ind w:right="6"/>
        <w:rPr>
          <w:rFonts w:ascii="宋体" w:hAnsi="宋体" w:cs="宋体"/>
        </w:rPr>
      </w:pPr>
      <w:r>
        <w:rPr>
          <w:rFonts w:hint="eastAsia" w:ascii="宋体" w:hAnsi="宋体" w:cs="宋体"/>
        </w:rPr>
        <w:t xml:space="preserve">    （2）投标货物（产品）的品牌、型号、配置；</w:t>
      </w:r>
    </w:p>
    <w:p>
      <w:pPr>
        <w:autoSpaceDE w:val="0"/>
        <w:autoSpaceDN w:val="0"/>
        <w:adjustRightInd w:val="0"/>
        <w:spacing w:line="500" w:lineRule="exact"/>
        <w:ind w:right="6"/>
        <w:rPr>
          <w:rFonts w:ascii="宋体" w:hAnsi="宋体" w:cs="宋体"/>
        </w:rPr>
      </w:pPr>
      <w:r>
        <w:rPr>
          <w:rFonts w:hint="eastAsia" w:ascii="宋体" w:hAnsi="宋体" w:cs="宋体"/>
        </w:rPr>
        <w:t xml:space="preserve">    （3）详细的技术指标和参数；</w:t>
      </w:r>
    </w:p>
    <w:p>
      <w:pPr>
        <w:autoSpaceDE w:val="0"/>
        <w:autoSpaceDN w:val="0"/>
        <w:adjustRightInd w:val="0"/>
        <w:spacing w:line="500" w:lineRule="exact"/>
        <w:ind w:right="6"/>
        <w:rPr>
          <w:rFonts w:ascii="宋体" w:hAnsi="宋体" w:cs="宋体"/>
        </w:rPr>
      </w:pPr>
      <w:r>
        <w:rPr>
          <w:rFonts w:hint="eastAsia" w:ascii="宋体" w:hAnsi="宋体" w:cs="宋体"/>
        </w:rPr>
        <w:t xml:space="preserve">    （4）产品彩页资料；</w:t>
      </w:r>
    </w:p>
    <w:p>
      <w:pPr>
        <w:autoSpaceDE w:val="0"/>
        <w:autoSpaceDN w:val="0"/>
        <w:adjustRightInd w:val="0"/>
        <w:spacing w:line="500" w:lineRule="exact"/>
        <w:ind w:right="6"/>
        <w:rPr>
          <w:rFonts w:ascii="宋体" w:hAnsi="宋体" w:cs="宋体"/>
        </w:rPr>
      </w:pPr>
      <w:r>
        <w:rPr>
          <w:rFonts w:hint="eastAsia" w:ascii="宋体" w:hAnsi="宋体" w:cs="宋体"/>
        </w:rPr>
        <w:t xml:space="preserve">    （5）产品工作环境条件；</w:t>
      </w:r>
    </w:p>
    <w:p>
      <w:pPr>
        <w:autoSpaceDE w:val="0"/>
        <w:autoSpaceDN w:val="0"/>
        <w:adjustRightInd w:val="0"/>
        <w:spacing w:line="500" w:lineRule="exact"/>
        <w:ind w:right="6"/>
        <w:rPr>
          <w:rFonts w:ascii="宋体" w:hAnsi="宋体" w:cs="宋体"/>
        </w:rPr>
      </w:pPr>
      <w:r>
        <w:rPr>
          <w:rFonts w:hint="eastAsia" w:ascii="宋体" w:hAnsi="宋体" w:cs="宋体"/>
          <w:color w:val="FF0000"/>
        </w:rPr>
        <w:t xml:space="preserve">    </w:t>
      </w:r>
      <w:r>
        <w:rPr>
          <w:rFonts w:hint="eastAsia" w:ascii="宋体" w:hAnsi="宋体" w:cs="宋体"/>
        </w:rPr>
        <w:t>（6）产品验收标准和验收方法；</w:t>
      </w:r>
    </w:p>
    <w:p>
      <w:pPr>
        <w:autoSpaceDE w:val="0"/>
        <w:autoSpaceDN w:val="0"/>
        <w:adjustRightInd w:val="0"/>
        <w:spacing w:line="500" w:lineRule="exact"/>
        <w:ind w:right="6"/>
        <w:rPr>
          <w:rFonts w:ascii="宋体" w:hAnsi="宋体" w:cs="宋体"/>
        </w:rPr>
      </w:pPr>
      <w:r>
        <w:rPr>
          <w:rFonts w:hint="eastAsia" w:ascii="宋体" w:hAnsi="宋体" w:cs="宋体"/>
        </w:rPr>
        <w:t xml:space="preserve">    （7）产品验收清单（注明各部件的品名、数量、价格、规格型号和原产地或生产厂家）；</w:t>
      </w:r>
    </w:p>
    <w:p>
      <w:pPr>
        <w:autoSpaceDE w:val="0"/>
        <w:autoSpaceDN w:val="0"/>
        <w:adjustRightInd w:val="0"/>
        <w:spacing w:line="500" w:lineRule="exact"/>
        <w:ind w:right="6"/>
        <w:rPr>
          <w:rFonts w:ascii="宋体" w:hAnsi="宋体" w:cs="宋体"/>
        </w:rPr>
      </w:pPr>
      <w:r>
        <w:rPr>
          <w:rFonts w:hint="eastAsia" w:ascii="宋体" w:hAnsi="宋体" w:cs="宋体"/>
        </w:rPr>
        <w:t xml:space="preserve">    （8）投标人认为需要提供的文件和资料。</w:t>
      </w:r>
    </w:p>
    <w:p>
      <w:pPr>
        <w:autoSpaceDE w:val="0"/>
        <w:autoSpaceDN w:val="0"/>
        <w:adjustRightInd w:val="0"/>
        <w:spacing w:line="500" w:lineRule="exact"/>
        <w:ind w:right="6"/>
        <w:rPr>
          <w:rFonts w:ascii="宋体" w:hAnsi="宋体" w:cs="宋体"/>
          <w:color w:val="0000FF"/>
        </w:rPr>
      </w:pPr>
      <w:r>
        <w:rPr>
          <w:rFonts w:hint="eastAsia" w:ascii="宋体" w:hAnsi="宋体" w:cs="宋体"/>
        </w:rPr>
        <w:t xml:space="preserve">  </w:t>
      </w:r>
      <w:r>
        <w:rPr>
          <w:rFonts w:hint="eastAsia" w:ascii="宋体" w:hAnsi="宋体" w:cs="宋体"/>
          <w:color w:val="0000FF"/>
        </w:rPr>
        <w:t xml:space="preserve"> </w:t>
      </w:r>
      <w:r>
        <w:rPr>
          <w:rFonts w:hint="eastAsia" w:ascii="宋体" w:hAnsi="宋体" w:cs="宋体"/>
        </w:rPr>
        <w:t xml:space="preserve"> 注：投标人应对招标文件的技术做出响应，主要参数优于处做出注明和说明；对招标文件的商务要求完全响应。</w:t>
      </w:r>
    </w:p>
    <w:p>
      <w:pPr>
        <w:autoSpaceDE w:val="0"/>
        <w:autoSpaceDN w:val="0"/>
        <w:adjustRightInd w:val="0"/>
        <w:spacing w:line="500" w:lineRule="exact"/>
        <w:ind w:right="6"/>
        <w:rPr>
          <w:rFonts w:ascii="宋体" w:hAnsi="宋体" w:cs="宋体"/>
        </w:rPr>
      </w:pPr>
      <w:r>
        <w:rPr>
          <w:rFonts w:hint="eastAsia" w:ascii="宋体" w:hAnsi="宋体" w:cs="宋体"/>
        </w:rPr>
        <w:t xml:space="preserve">    16.3  售后服务。投标人按照招标文件中售后服务要求做出的积极响应。包括以下内容：</w:t>
      </w:r>
    </w:p>
    <w:p>
      <w:pPr>
        <w:autoSpaceDE w:val="0"/>
        <w:autoSpaceDN w:val="0"/>
        <w:adjustRightInd w:val="0"/>
        <w:spacing w:line="500" w:lineRule="exact"/>
        <w:ind w:right="6"/>
        <w:rPr>
          <w:rFonts w:ascii="宋体" w:hAnsi="宋体" w:cs="宋体"/>
        </w:rPr>
      </w:pPr>
      <w:r>
        <w:rPr>
          <w:rFonts w:hint="eastAsia" w:ascii="宋体" w:hAnsi="宋体" w:cs="宋体"/>
        </w:rPr>
        <w:t xml:space="preserve">    （1）产品制造厂家或投标人在采购人所属地区已建立直属销售和维修机构并附相关证明材料（售后服务机构网点清单、服务电话和维修人员名单），有委托销售和维修机构并附相关证明材料（委托协议、被委托单位的营业执照、税务登记证、组织机构代码证（或三证合一的营业执照）、售后服务机构网点清单、服务电话和维修人员名单）。注：所有证明材料须加盖公章；</w:t>
      </w:r>
    </w:p>
    <w:p>
      <w:pPr>
        <w:autoSpaceDE w:val="0"/>
        <w:autoSpaceDN w:val="0"/>
        <w:adjustRightInd w:val="0"/>
        <w:spacing w:line="500" w:lineRule="exact"/>
        <w:ind w:right="6"/>
        <w:rPr>
          <w:rFonts w:ascii="宋体" w:hAnsi="宋体" w:cs="宋体"/>
        </w:rPr>
      </w:pPr>
      <w:r>
        <w:rPr>
          <w:rFonts w:hint="eastAsia" w:ascii="宋体" w:hAnsi="宋体" w:cs="宋体"/>
        </w:rPr>
        <w:t xml:space="preserve">    （2）说明投标产品的保修时间、保修期内的保修内容与范围、维修响应时间等。分别提供产品制造厂家和投标人的服务承诺和保障措施；</w:t>
      </w:r>
    </w:p>
    <w:p>
      <w:pPr>
        <w:autoSpaceDE w:val="0"/>
        <w:autoSpaceDN w:val="0"/>
        <w:adjustRightInd w:val="0"/>
        <w:spacing w:line="500" w:lineRule="exact"/>
        <w:ind w:right="6"/>
        <w:rPr>
          <w:rFonts w:ascii="宋体" w:hAnsi="宋体" w:cs="宋体"/>
        </w:rPr>
      </w:pPr>
      <w:r>
        <w:rPr>
          <w:rFonts w:hint="eastAsia" w:ascii="宋体" w:hAnsi="宋体" w:cs="宋体"/>
        </w:rPr>
        <w:t xml:space="preserve">    （3）培训措施：说明培训内容及培训的时间、地点、目标、培训人数、收费标准和办法。</w:t>
      </w:r>
    </w:p>
    <w:p>
      <w:pPr>
        <w:autoSpaceDE w:val="0"/>
        <w:autoSpaceDN w:val="0"/>
        <w:adjustRightInd w:val="0"/>
        <w:spacing w:line="500" w:lineRule="exact"/>
        <w:ind w:right="6"/>
        <w:rPr>
          <w:rFonts w:ascii="宋体" w:hAnsi="宋体" w:cs="宋体"/>
        </w:rPr>
      </w:pPr>
      <w:r>
        <w:rPr>
          <w:rFonts w:hint="eastAsia" w:ascii="宋体" w:hAnsi="宋体" w:cs="宋体"/>
        </w:rPr>
        <w:t xml:space="preserve">    16.4  承诺部分。投标人应对以下（不限于）要求做出承诺：</w:t>
      </w:r>
    </w:p>
    <w:p>
      <w:pPr>
        <w:autoSpaceDE w:val="0"/>
        <w:autoSpaceDN w:val="0"/>
        <w:adjustRightInd w:val="0"/>
        <w:spacing w:line="500" w:lineRule="exact"/>
        <w:ind w:right="6"/>
        <w:rPr>
          <w:rFonts w:ascii="宋体" w:hAnsi="宋体" w:cs="宋体"/>
        </w:rPr>
      </w:pPr>
      <w:r>
        <w:rPr>
          <w:rFonts w:hint="eastAsia" w:ascii="宋体" w:hAnsi="宋体" w:cs="宋体"/>
        </w:rPr>
        <w:t xml:space="preserve">    （1）承诺给予采购人的各种优惠条件（优惠条件事项不能包括采购项目本身所包括涉及的采购事项。投标人不能以“赠送、赠予”等任何名义提供货物和服务以规避招标文件的约束。否则，投标人提供的投标文件将作为无效投标处理，投标人的投标行为将作为以不正当手段排挤其他投标人认定）；</w:t>
      </w:r>
    </w:p>
    <w:p>
      <w:pPr>
        <w:autoSpaceDE w:val="0"/>
        <w:autoSpaceDN w:val="0"/>
        <w:adjustRightInd w:val="0"/>
        <w:spacing w:line="500" w:lineRule="exact"/>
        <w:ind w:right="6"/>
        <w:rPr>
          <w:rFonts w:ascii="宋体" w:hAnsi="宋体" w:cs="宋体"/>
        </w:rPr>
      </w:pPr>
      <w:r>
        <w:rPr>
          <w:rFonts w:hint="eastAsia" w:ascii="宋体" w:hAnsi="宋体" w:cs="宋体"/>
        </w:rPr>
        <w:t xml:space="preserve">    （2）利于用户的售后服务承诺；</w:t>
      </w:r>
    </w:p>
    <w:p>
      <w:pPr>
        <w:autoSpaceDE w:val="0"/>
        <w:autoSpaceDN w:val="0"/>
        <w:adjustRightInd w:val="0"/>
        <w:spacing w:line="500" w:lineRule="exact"/>
        <w:ind w:right="6"/>
        <w:rPr>
          <w:rFonts w:ascii="宋体" w:hAnsi="宋体" w:cs="宋体"/>
        </w:rPr>
      </w:pPr>
      <w:r>
        <w:rPr>
          <w:rFonts w:hint="eastAsia" w:ascii="宋体" w:hAnsi="宋体" w:cs="宋体"/>
        </w:rPr>
        <w:t xml:space="preserve">    （3）严格按招标文件对本项目的要求，组织生产、供货运输、安装调试和服务培训；</w:t>
      </w:r>
    </w:p>
    <w:p>
      <w:pPr>
        <w:autoSpaceDE w:val="0"/>
        <w:autoSpaceDN w:val="0"/>
        <w:adjustRightInd w:val="0"/>
        <w:spacing w:line="500" w:lineRule="exact"/>
        <w:ind w:right="6"/>
        <w:rPr>
          <w:rFonts w:ascii="宋体" w:hAnsi="宋体" w:cs="宋体"/>
        </w:rPr>
      </w:pPr>
      <w:r>
        <w:rPr>
          <w:rFonts w:hint="eastAsia" w:ascii="宋体" w:hAnsi="宋体" w:cs="宋体"/>
        </w:rPr>
        <w:t xml:space="preserve">    （4）未经采购人许可，不得将本采购项目采取转包实施的办法，一经发现，立即取消其中标资格，并承担由此产生的一切经济损失；或投标人认为需要分包，须征得采购人许可后，提供承诺书原件（承诺：若中标，在合同签订前须将分包单位相关资质报买方，选择的分包单位须得到买方认可）；</w:t>
      </w:r>
    </w:p>
    <w:p>
      <w:pPr>
        <w:autoSpaceDE w:val="0"/>
        <w:autoSpaceDN w:val="0"/>
        <w:adjustRightInd w:val="0"/>
        <w:spacing w:line="500" w:lineRule="exact"/>
        <w:ind w:right="6"/>
        <w:rPr>
          <w:rFonts w:ascii="宋体" w:hAnsi="宋体" w:cs="宋体"/>
        </w:rPr>
      </w:pPr>
      <w:r>
        <w:rPr>
          <w:rFonts w:hint="eastAsia" w:ascii="宋体" w:hAnsi="宋体" w:cs="宋体"/>
        </w:rPr>
        <w:t xml:space="preserve">    （5）接受采购人或采购人委托相关单位对项目实施方案、生产进度、货物质量、售后服务、货款支付与结算审核等方面监督和管理。</w:t>
      </w:r>
    </w:p>
    <w:p>
      <w:pPr>
        <w:autoSpaceDE w:val="0"/>
        <w:autoSpaceDN w:val="0"/>
        <w:adjustRightInd w:val="0"/>
        <w:spacing w:line="500" w:lineRule="exact"/>
        <w:ind w:right="6" w:firstLine="420"/>
        <w:rPr>
          <w:rFonts w:ascii="宋体" w:hAnsi="宋体" w:cs="宋体"/>
          <w:color w:val="FF0000"/>
        </w:rPr>
      </w:pPr>
      <w:r>
        <w:rPr>
          <w:rFonts w:hint="eastAsia" w:ascii="宋体" w:hAnsi="宋体" w:cs="宋体"/>
        </w:rPr>
        <w:t>（6）其它承诺。</w:t>
      </w:r>
    </w:p>
    <w:p>
      <w:pPr>
        <w:autoSpaceDE w:val="0"/>
        <w:autoSpaceDN w:val="0"/>
        <w:adjustRightInd w:val="0"/>
        <w:spacing w:line="500" w:lineRule="exact"/>
        <w:ind w:right="6"/>
        <w:rPr>
          <w:rFonts w:ascii="宋体" w:hAnsi="宋体" w:cs="宋体"/>
        </w:rPr>
      </w:pPr>
      <w:r>
        <w:rPr>
          <w:rFonts w:hint="eastAsia" w:ascii="宋体" w:hAnsi="宋体" w:cs="宋体"/>
        </w:rPr>
        <w:t xml:space="preserve">    16.5 投标文件填写说明</w:t>
      </w:r>
    </w:p>
    <w:p>
      <w:pPr>
        <w:autoSpaceDE w:val="0"/>
        <w:autoSpaceDN w:val="0"/>
        <w:adjustRightInd w:val="0"/>
        <w:spacing w:line="500" w:lineRule="exact"/>
        <w:ind w:right="6"/>
        <w:rPr>
          <w:rFonts w:ascii="宋体" w:hAnsi="宋体" w:cs="宋体"/>
        </w:rPr>
      </w:pPr>
      <w:r>
        <w:rPr>
          <w:rFonts w:hint="eastAsia" w:ascii="宋体" w:hAnsi="宋体" w:cs="宋体"/>
        </w:rPr>
        <w:t xml:space="preserve">    （1）投标文件格式：投标人提交的投标文件应当使用招标文件规定的全部格式（表格可以按同样格式扩展）编写，装订成册。</w:t>
      </w:r>
    </w:p>
    <w:p>
      <w:pPr>
        <w:autoSpaceDE w:val="0"/>
        <w:autoSpaceDN w:val="0"/>
        <w:adjustRightInd w:val="0"/>
        <w:spacing w:line="500" w:lineRule="exact"/>
        <w:ind w:right="6" w:firstLine="420"/>
        <w:rPr>
          <w:rFonts w:ascii="宋体" w:hAnsi="宋体" w:cs="宋体"/>
        </w:rPr>
      </w:pPr>
      <w:r>
        <w:rPr>
          <w:rFonts w:hint="eastAsia" w:ascii="宋体" w:hAnsi="宋体" w:cs="宋体"/>
        </w:rPr>
        <w:t>（2）投标人应按招标文件中提供的投标文件格式填写“投标函”、“开标一览表”、“分项报价表”以及其他相关文件，注明提供的货物名称、规格型号、单位、数量、价格、技术参数、原产地、性能说明等。</w:t>
      </w:r>
    </w:p>
    <w:p>
      <w:pPr>
        <w:autoSpaceDE w:val="0"/>
        <w:autoSpaceDN w:val="0"/>
        <w:adjustRightInd w:val="0"/>
        <w:spacing w:line="500" w:lineRule="exact"/>
        <w:ind w:right="6"/>
        <w:rPr>
          <w:rFonts w:ascii="宋体" w:hAnsi="宋体" w:cs="宋体"/>
        </w:rPr>
      </w:pPr>
      <w:r>
        <w:rPr>
          <w:rFonts w:hint="eastAsia" w:ascii="宋体" w:hAnsi="宋体" w:cs="宋体"/>
          <w:b/>
          <w:bCs/>
          <w:kern w:val="0"/>
          <w:sz w:val="24"/>
        </w:rPr>
        <w:t>17、投标报价</w:t>
      </w:r>
    </w:p>
    <w:p>
      <w:pPr>
        <w:autoSpaceDE w:val="0"/>
        <w:autoSpaceDN w:val="0"/>
        <w:adjustRightInd w:val="0"/>
        <w:spacing w:line="500" w:lineRule="exact"/>
        <w:ind w:right="6" w:firstLine="420"/>
        <w:rPr>
          <w:rFonts w:ascii="宋体" w:hAnsi="宋体" w:cs="宋体"/>
        </w:rPr>
      </w:pPr>
      <w:r>
        <w:rPr>
          <w:rFonts w:hint="eastAsia" w:ascii="宋体" w:hAnsi="宋体" w:cs="宋体"/>
        </w:rPr>
        <w:t>17.1  投标人应按照“投标人须知前附表”中的规定和要求报价，投标报价超过项目预算的按</w:t>
      </w:r>
      <w:r>
        <w:rPr>
          <w:rFonts w:hint="eastAsia" w:ascii="宋体" w:hAnsi="宋体" w:cs="宋体"/>
          <w:b/>
          <w:bCs/>
        </w:rPr>
        <w:t>无效投标处理</w:t>
      </w:r>
      <w:r>
        <w:rPr>
          <w:rFonts w:hint="eastAsia" w:ascii="宋体" w:hAnsi="宋体" w:cs="宋体"/>
        </w:rPr>
        <w:t>。</w:t>
      </w:r>
    </w:p>
    <w:p>
      <w:pPr>
        <w:autoSpaceDE w:val="0"/>
        <w:autoSpaceDN w:val="0"/>
        <w:adjustRightInd w:val="0"/>
        <w:spacing w:line="500" w:lineRule="exact"/>
        <w:ind w:right="6" w:firstLine="420"/>
        <w:rPr>
          <w:rFonts w:ascii="宋体" w:hAnsi="宋体" w:cs="宋体"/>
        </w:rPr>
      </w:pPr>
      <w:r>
        <w:rPr>
          <w:rFonts w:hint="eastAsia" w:ascii="宋体" w:hAnsi="宋体" w:cs="宋体"/>
        </w:rPr>
        <w:t>17.2  投标人应按照投标报价表的内容标明投标的所有单项价格和总价。投标报价是完成招标内容所需的全部费用。投标报价表中标明的价格应为履行合同的固定价格，不得以任何理由予以变更。任何有选择的报价及以可调整价格提交的投标均按照无效投标处理。</w:t>
      </w:r>
    </w:p>
    <w:p>
      <w:pPr>
        <w:autoSpaceDE w:val="0"/>
        <w:autoSpaceDN w:val="0"/>
        <w:adjustRightInd w:val="0"/>
        <w:spacing w:line="500" w:lineRule="exact"/>
        <w:ind w:right="6" w:firstLine="420"/>
        <w:rPr>
          <w:rFonts w:ascii="宋体" w:hAnsi="宋体" w:cs="宋体"/>
        </w:rPr>
      </w:pPr>
      <w:r>
        <w:rPr>
          <w:rFonts w:hint="eastAsia" w:ascii="宋体" w:hAnsi="宋体" w:cs="宋体"/>
        </w:rPr>
        <w:t>17.3  如果在招标文件中没有允许提供备选方案，则每个投标人只允许提交一个投标方案，否则，其投标按照无效投标处理。如果允许提供备选方案，则按照评标方法中的规定对备选方案进行评审。</w:t>
      </w:r>
    </w:p>
    <w:p>
      <w:pPr>
        <w:autoSpaceDE w:val="0"/>
        <w:autoSpaceDN w:val="0"/>
        <w:adjustRightInd w:val="0"/>
        <w:spacing w:line="500" w:lineRule="exact"/>
        <w:ind w:right="6" w:firstLine="420"/>
        <w:rPr>
          <w:rFonts w:ascii="宋体" w:hAnsi="宋体" w:cs="宋体"/>
        </w:rPr>
      </w:pPr>
      <w:r>
        <w:rPr>
          <w:rFonts w:hint="eastAsia" w:ascii="宋体" w:hAnsi="宋体" w:cs="宋体"/>
        </w:rPr>
        <w:t>17.4  凡因投标人对招标文件阅读不深、理解不透、误解、疏漏、或因市场行情了解不清造成的后果和风险均由投标人自行负责。</w:t>
      </w:r>
    </w:p>
    <w:p>
      <w:pPr>
        <w:autoSpaceDE w:val="0"/>
        <w:autoSpaceDN w:val="0"/>
        <w:adjustRightInd w:val="0"/>
        <w:spacing w:line="500" w:lineRule="exact"/>
        <w:ind w:right="6" w:firstLine="420"/>
        <w:rPr>
          <w:rFonts w:ascii="宋体" w:hAnsi="宋体" w:cs="宋体"/>
        </w:rPr>
      </w:pPr>
      <w:r>
        <w:rPr>
          <w:rFonts w:hint="eastAsia" w:ascii="宋体" w:hAnsi="宋体" w:cs="宋体"/>
        </w:rPr>
        <w:t>17.5  投标过程中所产生的一切费用由投标人自行承担。</w:t>
      </w:r>
    </w:p>
    <w:p>
      <w:pPr>
        <w:autoSpaceDE w:val="0"/>
        <w:autoSpaceDN w:val="0"/>
        <w:adjustRightInd w:val="0"/>
        <w:spacing w:line="500" w:lineRule="exact"/>
        <w:ind w:right="6"/>
        <w:rPr>
          <w:rFonts w:ascii="宋体" w:hAnsi="宋体" w:cs="宋体"/>
          <w:b/>
          <w:bCs/>
          <w:kern w:val="0"/>
          <w:sz w:val="24"/>
        </w:rPr>
      </w:pPr>
      <w:r>
        <w:rPr>
          <w:rFonts w:hint="eastAsia" w:ascii="宋体" w:hAnsi="宋体" w:cs="宋体"/>
          <w:b/>
          <w:bCs/>
          <w:kern w:val="0"/>
          <w:sz w:val="24"/>
        </w:rPr>
        <w:t>18、证明投标人资格的证明文件</w:t>
      </w:r>
    </w:p>
    <w:p>
      <w:pPr>
        <w:autoSpaceDE w:val="0"/>
        <w:autoSpaceDN w:val="0"/>
        <w:adjustRightInd w:val="0"/>
        <w:spacing w:line="500" w:lineRule="exact"/>
        <w:ind w:right="6" w:firstLine="420"/>
        <w:rPr>
          <w:rFonts w:ascii="宋体" w:hAnsi="宋体" w:cs="宋体"/>
          <w:color w:val="FF0000"/>
        </w:rPr>
      </w:pPr>
      <w:r>
        <w:rPr>
          <w:rFonts w:hint="eastAsia" w:ascii="宋体" w:hAnsi="宋体" w:cs="宋体"/>
        </w:rPr>
        <w:t>18.1 投标人须按招标文件“投标人须知前附表”的要求，提交证明文件（在投标文件中提交合格的资格证明文件加盖公章的复印件），以证明其有资格参加投标和中标后有履行合同的能力，并作为其投标文件的一部分。如果资格证明文件不全或不合格的，其投标将按无效投标文件处理。</w:t>
      </w:r>
    </w:p>
    <w:p>
      <w:pPr>
        <w:autoSpaceDE w:val="0"/>
        <w:autoSpaceDN w:val="0"/>
        <w:adjustRightInd w:val="0"/>
        <w:spacing w:line="500" w:lineRule="exact"/>
        <w:ind w:right="6" w:firstLine="420"/>
        <w:rPr>
          <w:rFonts w:ascii="宋体" w:hAnsi="宋体" w:cs="宋体"/>
        </w:rPr>
      </w:pPr>
      <w:r>
        <w:rPr>
          <w:rFonts w:hint="eastAsia" w:ascii="宋体" w:hAnsi="宋体" w:cs="宋体"/>
        </w:rPr>
        <w:t>18.2 投标人还应按照招标文件的要求，提交其他的证明其实力、信誉、业绩等的证明文件。</w:t>
      </w:r>
    </w:p>
    <w:p>
      <w:pPr>
        <w:autoSpaceDE w:val="0"/>
        <w:autoSpaceDN w:val="0"/>
        <w:adjustRightInd w:val="0"/>
        <w:spacing w:line="500" w:lineRule="exact"/>
        <w:ind w:right="6" w:firstLine="420"/>
        <w:rPr>
          <w:rFonts w:ascii="宋体" w:hAnsi="宋体" w:cs="宋体"/>
        </w:rPr>
      </w:pPr>
      <w:r>
        <w:rPr>
          <w:rFonts w:hint="eastAsia" w:ascii="宋体" w:hAnsi="宋体" w:cs="宋体"/>
        </w:rPr>
        <w:t>18.3 如果“投标人须知前附表”有要求，投标人还应按照要求提交资格或其他证明文件的原件。如果未能提供原件或者提供原件不全的，其投标按照无效投标处理。</w:t>
      </w:r>
    </w:p>
    <w:p>
      <w:pPr>
        <w:autoSpaceDE w:val="0"/>
        <w:autoSpaceDN w:val="0"/>
        <w:adjustRightInd w:val="0"/>
        <w:spacing w:line="500" w:lineRule="exact"/>
        <w:ind w:right="6" w:firstLine="420"/>
        <w:rPr>
          <w:rFonts w:ascii="宋体" w:hAnsi="宋体" w:cs="宋体"/>
        </w:rPr>
      </w:pPr>
      <w:r>
        <w:rPr>
          <w:rFonts w:hint="eastAsia" w:ascii="宋体" w:hAnsi="宋体" w:cs="宋体"/>
        </w:rPr>
        <w:t>18.4 投标人认为能够证明投标人及其提供产品质量认证等证明文件或提供生产厂家确认的、相应的功能证明材料等（包括但不限于：检测/测试报告、计量证书、生产许可证、3Ｃ等强制准入及认证等）。</w:t>
      </w:r>
    </w:p>
    <w:p>
      <w:pPr>
        <w:autoSpaceDE w:val="0"/>
        <w:autoSpaceDN w:val="0"/>
        <w:adjustRightInd w:val="0"/>
        <w:spacing w:line="500" w:lineRule="exact"/>
        <w:ind w:right="6" w:firstLine="420"/>
        <w:rPr>
          <w:rFonts w:ascii="宋体" w:hAnsi="宋体" w:cs="宋体"/>
        </w:rPr>
      </w:pPr>
      <w:r>
        <w:rPr>
          <w:rFonts w:hint="eastAsia" w:ascii="宋体" w:hAnsi="宋体" w:cs="宋体"/>
        </w:rPr>
        <w:t>18.5 若投标人提供的货物及服务不是投标人生产或拥有的，提供产品来源渠道合法的证明文件（包括但不限于销售协议、代理协议、原厂授权等）；特殊商品（如需延长质保期的）只允许投标产品的生产制造商总部参加投标或者生产制造商总部全权委托一家代理商参加。</w:t>
      </w:r>
    </w:p>
    <w:p>
      <w:pPr>
        <w:autoSpaceDE w:val="0"/>
        <w:autoSpaceDN w:val="0"/>
        <w:adjustRightInd w:val="0"/>
        <w:spacing w:line="500" w:lineRule="exact"/>
        <w:ind w:right="6"/>
        <w:rPr>
          <w:rFonts w:ascii="宋体" w:hAnsi="宋体" w:cs="宋体"/>
          <w:b/>
          <w:bCs/>
          <w:kern w:val="0"/>
          <w:sz w:val="24"/>
        </w:rPr>
      </w:pPr>
      <w:r>
        <w:rPr>
          <w:rFonts w:hint="eastAsia" w:ascii="宋体" w:hAnsi="宋体" w:cs="宋体"/>
          <w:b/>
          <w:bCs/>
          <w:kern w:val="0"/>
          <w:sz w:val="24"/>
        </w:rPr>
        <w:t>19、证明货物的合格性和符合招标文件规定的文件</w:t>
      </w:r>
    </w:p>
    <w:p>
      <w:pPr>
        <w:autoSpaceDE w:val="0"/>
        <w:autoSpaceDN w:val="0"/>
        <w:adjustRightInd w:val="0"/>
        <w:spacing w:line="500" w:lineRule="exact"/>
        <w:ind w:right="6"/>
        <w:rPr>
          <w:rFonts w:ascii="宋体" w:hAnsi="宋体" w:cs="宋体"/>
        </w:rPr>
      </w:pPr>
      <w:r>
        <w:rPr>
          <w:rFonts w:hint="eastAsia" w:ascii="宋体" w:hAnsi="宋体" w:cs="宋体"/>
        </w:rPr>
        <w:t xml:space="preserve">    19.1  投标人应对招标文件中的各项条款做出清晰准确的答复，同时应在投标文件中提交货物及服务满足招标文件要求并符合国家法律法规、行业管理部门要求的其他强制性标准的证明及文件。</w:t>
      </w:r>
    </w:p>
    <w:p>
      <w:pPr>
        <w:autoSpaceDE w:val="0"/>
        <w:autoSpaceDN w:val="0"/>
        <w:adjustRightInd w:val="0"/>
        <w:spacing w:line="500" w:lineRule="exact"/>
        <w:ind w:right="6"/>
        <w:rPr>
          <w:rFonts w:ascii="宋体" w:hAnsi="宋体" w:cs="宋体"/>
        </w:rPr>
      </w:pPr>
      <w:r>
        <w:rPr>
          <w:rFonts w:hint="eastAsia" w:ascii="宋体" w:hAnsi="宋体" w:cs="宋体"/>
        </w:rPr>
        <w:t xml:space="preserve">    19.2  证明货物与招标文件的要求相一致的文件，它可以是文字资料、图表、数据、证书、业主证明等（支撑材料应能令采购人相信投标产品是全新未经使用且属于常规提供的，不是为了满足投标而临时定制的产品），所有证明文件表达意思必须统一，包括但不限于：</w:t>
      </w:r>
    </w:p>
    <w:p>
      <w:pPr>
        <w:autoSpaceDE w:val="0"/>
        <w:autoSpaceDN w:val="0"/>
        <w:adjustRightInd w:val="0"/>
        <w:spacing w:line="500" w:lineRule="exact"/>
        <w:ind w:right="6"/>
        <w:rPr>
          <w:rFonts w:ascii="宋体" w:hAnsi="宋体" w:cs="宋体"/>
          <w:color w:val="FF0000"/>
        </w:rPr>
      </w:pPr>
      <w:r>
        <w:rPr>
          <w:rFonts w:hint="eastAsia" w:ascii="宋体" w:hAnsi="宋体" w:cs="宋体"/>
        </w:rPr>
        <w:t xml:space="preserve">    （1）提供详细的响应方案。根据招标文件提供的项目需求方案提供对应的响应方案，详细的响应方案必须满足采购人项目需求。根据详细的响应方案列出涉及的货物，逐条说明所提供货物和服务对采购人的技术和商务要求是否做出了实质性响应并提供支持文件，或申明与技术和商务要求条文的偏差和例外（填写“技术规格偏离表和商务偏离表”和附加详细说明）；</w:t>
      </w:r>
    </w:p>
    <w:p>
      <w:pPr>
        <w:numPr>
          <w:ilvl w:val="0"/>
          <w:numId w:val="12"/>
        </w:numPr>
        <w:autoSpaceDE w:val="0"/>
        <w:autoSpaceDN w:val="0"/>
        <w:adjustRightInd w:val="0"/>
        <w:spacing w:line="500" w:lineRule="exact"/>
        <w:ind w:right="6" w:firstLine="420"/>
        <w:rPr>
          <w:rFonts w:ascii="宋体" w:hAnsi="宋体" w:cs="宋体"/>
        </w:rPr>
      </w:pPr>
      <w:r>
        <w:rPr>
          <w:rFonts w:hint="eastAsia" w:ascii="宋体" w:hAnsi="宋体" w:cs="宋体"/>
        </w:rPr>
        <w:t>货物的主要技术指标和性能的详细说明，至少要包括对招标文件提出的指标的响应（填写“货物（产品）说明一览表”，附加产品印刷样本、检测报告，认定证书等）；</w:t>
      </w:r>
    </w:p>
    <w:p>
      <w:pPr>
        <w:autoSpaceDE w:val="0"/>
        <w:autoSpaceDN w:val="0"/>
        <w:adjustRightInd w:val="0"/>
        <w:spacing w:line="500" w:lineRule="exact"/>
        <w:ind w:left="420" w:right="6"/>
        <w:rPr>
          <w:rFonts w:ascii="宋体" w:hAnsi="宋体" w:cs="宋体"/>
        </w:rPr>
      </w:pPr>
      <w:r>
        <w:rPr>
          <w:rFonts w:hint="eastAsia" w:ascii="宋体" w:hAnsi="宋体" w:cs="宋体"/>
        </w:rPr>
        <w:t>（3）设备配置、供货范围和服务内容的详细说明；</w:t>
      </w:r>
    </w:p>
    <w:p>
      <w:pPr>
        <w:autoSpaceDE w:val="0"/>
        <w:autoSpaceDN w:val="0"/>
        <w:adjustRightInd w:val="0"/>
        <w:spacing w:line="500" w:lineRule="exact"/>
        <w:ind w:right="6" w:firstLine="420"/>
        <w:rPr>
          <w:rFonts w:ascii="宋体" w:hAnsi="宋体" w:cs="宋体"/>
        </w:rPr>
      </w:pPr>
      <w:r>
        <w:rPr>
          <w:rFonts w:hint="eastAsia" w:ascii="宋体" w:hAnsi="宋体" w:cs="宋体"/>
        </w:rPr>
        <w:t>（4）投标人书面承诺：将承担起如招标文件要求的、对合同组成部分进行集成和协调的责任，并提供培训计划和服务承诺书。</w:t>
      </w:r>
    </w:p>
    <w:p>
      <w:pPr>
        <w:autoSpaceDE w:val="0"/>
        <w:autoSpaceDN w:val="0"/>
        <w:adjustRightInd w:val="0"/>
        <w:spacing w:line="500" w:lineRule="exact"/>
        <w:ind w:right="6" w:firstLine="420"/>
        <w:rPr>
          <w:rFonts w:ascii="宋体" w:hAnsi="宋体" w:cs="宋体"/>
        </w:rPr>
      </w:pPr>
      <w:r>
        <w:rPr>
          <w:rFonts w:hint="eastAsia" w:ascii="宋体" w:hAnsi="宋体" w:cs="宋体"/>
        </w:rPr>
        <w:t>（5）样品、真机及演示要求（如有。如需投标人提供样品，证明文件的表述与投标人所提供样品必须完全符合，且是投标文件的组成部分，否则，按未实质响应招标文件予以拒绝）。</w:t>
      </w:r>
    </w:p>
    <w:p>
      <w:pPr>
        <w:autoSpaceDE w:val="0"/>
        <w:autoSpaceDN w:val="0"/>
        <w:adjustRightInd w:val="0"/>
        <w:spacing w:line="500" w:lineRule="exact"/>
        <w:ind w:right="6" w:firstLine="420"/>
        <w:rPr>
          <w:rFonts w:ascii="宋体" w:hAnsi="宋体" w:cs="宋体"/>
        </w:rPr>
      </w:pPr>
      <w:r>
        <w:rPr>
          <w:rFonts w:hint="eastAsia" w:ascii="宋体" w:hAnsi="宋体" w:cs="宋体"/>
        </w:rPr>
        <w:t>19.3  投标人提供的货物在中华人民共和国境内拥有合法的使用权。</w:t>
      </w:r>
    </w:p>
    <w:p>
      <w:pPr>
        <w:autoSpaceDE w:val="0"/>
        <w:autoSpaceDN w:val="0"/>
        <w:adjustRightInd w:val="0"/>
        <w:spacing w:line="500" w:lineRule="exact"/>
        <w:ind w:right="6" w:firstLine="420"/>
        <w:rPr>
          <w:rFonts w:ascii="宋体" w:hAnsi="宋体" w:cs="宋体"/>
        </w:rPr>
      </w:pPr>
      <w:r>
        <w:rPr>
          <w:rFonts w:hint="eastAsia" w:ascii="宋体" w:hAnsi="宋体" w:cs="宋体"/>
        </w:rPr>
        <w:t>19.4  缺少上述证明及文件或证明及文件不合格的投标，与招标文件要求有重大偏离的投标，不符合国家法律法规、行业管理部门要求的其他强制性标准的投标将按照无效投标处理。</w:t>
      </w:r>
    </w:p>
    <w:p>
      <w:pPr>
        <w:autoSpaceDE w:val="0"/>
        <w:autoSpaceDN w:val="0"/>
        <w:adjustRightInd w:val="0"/>
        <w:spacing w:line="500" w:lineRule="exact"/>
        <w:ind w:right="6"/>
        <w:rPr>
          <w:rFonts w:ascii="宋体" w:hAnsi="宋体" w:cs="宋体"/>
          <w:b/>
          <w:bCs/>
          <w:kern w:val="0"/>
          <w:sz w:val="24"/>
        </w:rPr>
      </w:pPr>
      <w:r>
        <w:rPr>
          <w:rFonts w:hint="eastAsia" w:ascii="宋体" w:hAnsi="宋体" w:cs="宋体"/>
          <w:b/>
          <w:bCs/>
          <w:kern w:val="0"/>
          <w:sz w:val="24"/>
        </w:rPr>
        <w:t>20、享受政府采购政策</w:t>
      </w:r>
    </w:p>
    <w:p>
      <w:pPr>
        <w:autoSpaceDE w:val="0"/>
        <w:autoSpaceDN w:val="0"/>
        <w:adjustRightInd w:val="0"/>
        <w:spacing w:line="500" w:lineRule="exact"/>
        <w:ind w:right="6"/>
        <w:rPr>
          <w:rFonts w:ascii="宋体" w:hAnsi="宋体" w:cs="宋体"/>
        </w:rPr>
      </w:pPr>
      <w:r>
        <w:rPr>
          <w:rFonts w:hint="eastAsia" w:ascii="宋体" w:hAnsi="宋体" w:cs="宋体"/>
        </w:rPr>
        <w:t xml:space="preserve">    20.1  所投产品符合政府采购强制采购政策的，实行强制采购。</w:t>
      </w:r>
    </w:p>
    <w:p>
      <w:pPr>
        <w:autoSpaceDE w:val="0"/>
        <w:autoSpaceDN w:val="0"/>
        <w:adjustRightInd w:val="0"/>
        <w:spacing w:line="500" w:lineRule="exact"/>
        <w:ind w:right="6" w:firstLine="420"/>
        <w:rPr>
          <w:rFonts w:ascii="宋体" w:hAnsi="宋体" w:cs="宋体"/>
        </w:rPr>
      </w:pPr>
      <w:r>
        <w:rPr>
          <w:rFonts w:hint="eastAsia" w:ascii="宋体" w:hAnsi="宋体" w:cs="宋体"/>
        </w:rPr>
        <w:t>20.2  符合政府采购优先采购政策的，所投产品属于“节能产品、环境标志产品政府采购品目清单”中品目的产品，该清单可在中国政府采购网（http://www.ccgp.gov.cn/）上查找；采购的产品属于品目清单范围的，投标人应当依据国家确定的认证机构出具的、处于有效期之内的节能产品、环境标志产品认证证书。</w:t>
      </w:r>
    </w:p>
    <w:p>
      <w:pPr>
        <w:autoSpaceDE w:val="0"/>
        <w:autoSpaceDN w:val="0"/>
        <w:adjustRightInd w:val="0"/>
        <w:spacing w:line="500" w:lineRule="exact"/>
        <w:ind w:right="6" w:firstLine="420"/>
        <w:rPr>
          <w:rFonts w:ascii="宋体" w:hAnsi="宋体" w:cs="宋体"/>
        </w:rPr>
      </w:pPr>
      <w:r>
        <w:rPr>
          <w:rFonts w:hint="eastAsia" w:ascii="宋体" w:hAnsi="宋体" w:cs="宋体"/>
        </w:rPr>
        <w:t>20.3  投标人享受支持中小型企业发展政策优惠的，可以同时享受节能产品、环境标志产品优先采购政策。依照《财政部、司法部关于政府采购支持监狱企业发展有关问题的通知》（财库〔2014〕68号）之规定，监狱企业参加政府采购活动时，视同中小企业。同一项目中部分产品属于优先采购政策的，评审时只对该部分产品实行优先采购。</w:t>
      </w:r>
    </w:p>
    <w:p>
      <w:pPr>
        <w:autoSpaceDE w:val="0"/>
        <w:autoSpaceDN w:val="0"/>
        <w:adjustRightInd w:val="0"/>
        <w:spacing w:line="500" w:lineRule="exact"/>
        <w:ind w:right="6"/>
        <w:rPr>
          <w:rFonts w:ascii="宋体" w:hAnsi="宋体" w:cs="宋体"/>
        </w:rPr>
      </w:pPr>
      <w:r>
        <w:rPr>
          <w:rFonts w:hint="eastAsia" w:ascii="宋体" w:hAnsi="宋体" w:cs="宋体"/>
        </w:rPr>
        <w:t xml:space="preserve">    （1）参加政府采购活动的中小企业应当提供《中小企业声明函》（见投标文件格式），不提供的或提供有瑕疵的，在评审时不享受政府采购优惠政策。</w:t>
      </w:r>
    </w:p>
    <w:p>
      <w:pPr>
        <w:autoSpaceDE w:val="0"/>
        <w:autoSpaceDN w:val="0"/>
        <w:adjustRightInd w:val="0"/>
        <w:spacing w:line="500" w:lineRule="exact"/>
        <w:ind w:right="6"/>
        <w:rPr>
          <w:rFonts w:ascii="宋体" w:hAnsi="宋体" w:cs="宋体"/>
        </w:rPr>
      </w:pPr>
      <w:r>
        <w:rPr>
          <w:rFonts w:hint="eastAsia" w:ascii="宋体" w:hAnsi="宋体" w:cs="宋体"/>
        </w:rPr>
        <w:t xml:space="preserve">    （2）组成联合体的大中型企业与联合体中的中小企业之间不得存在投资关系；</w:t>
      </w:r>
    </w:p>
    <w:p>
      <w:pPr>
        <w:autoSpaceDE w:val="0"/>
        <w:autoSpaceDN w:val="0"/>
        <w:adjustRightInd w:val="0"/>
        <w:spacing w:line="500" w:lineRule="exact"/>
        <w:ind w:right="6" w:firstLine="420"/>
        <w:rPr>
          <w:rFonts w:ascii="宋体" w:hAnsi="宋体" w:cs="宋体"/>
        </w:rPr>
      </w:pPr>
      <w:r>
        <w:rPr>
          <w:rFonts w:hint="eastAsia" w:ascii="宋体" w:hAnsi="宋体" w:cs="宋体"/>
        </w:rPr>
        <w:t>（3）参加政府采购活动的监狱企业应当提供由省级以上监狱管理局、戒毒管理局出具的属于监狱企业的证明文件，不提供的不视为中小企业。</w:t>
      </w:r>
    </w:p>
    <w:p>
      <w:pPr>
        <w:autoSpaceDE w:val="0"/>
        <w:autoSpaceDN w:val="0"/>
        <w:adjustRightInd w:val="0"/>
        <w:spacing w:line="500" w:lineRule="exact"/>
        <w:ind w:right="6" w:firstLine="420"/>
        <w:rPr>
          <w:rFonts w:ascii="宋体" w:hAnsi="宋体" w:cs="宋体"/>
        </w:rPr>
      </w:pPr>
      <w:r>
        <w:rPr>
          <w:rFonts w:hint="eastAsia" w:ascii="宋体" w:hAnsi="宋体" w:cs="宋体"/>
        </w:rPr>
        <w:t>（4）参加政府采购活动的残疾人福利性单位应当提供《残疾人福利性单位声明函》（详见文件格式，）不提供的或提供有瑕疵的，在评审时不享受政府采购优惠政策。</w:t>
      </w:r>
    </w:p>
    <w:p>
      <w:pPr>
        <w:autoSpaceDE w:val="0"/>
        <w:autoSpaceDN w:val="0"/>
        <w:adjustRightInd w:val="0"/>
        <w:spacing w:line="500" w:lineRule="exact"/>
        <w:ind w:right="6"/>
        <w:rPr>
          <w:rFonts w:ascii="宋体" w:hAnsi="宋体" w:cs="宋体"/>
          <w:b/>
          <w:bCs/>
          <w:kern w:val="0"/>
          <w:sz w:val="24"/>
        </w:rPr>
      </w:pPr>
      <w:r>
        <w:rPr>
          <w:rFonts w:hint="eastAsia" w:ascii="宋体" w:hAnsi="宋体" w:cs="宋体"/>
          <w:b/>
          <w:bCs/>
          <w:kern w:val="0"/>
          <w:sz w:val="24"/>
        </w:rPr>
        <w:t>21、投标保证金</w:t>
      </w:r>
    </w:p>
    <w:p>
      <w:pPr>
        <w:autoSpaceDE w:val="0"/>
        <w:autoSpaceDN w:val="0"/>
        <w:adjustRightInd w:val="0"/>
        <w:spacing w:line="500" w:lineRule="exact"/>
        <w:ind w:right="6"/>
        <w:rPr>
          <w:rFonts w:ascii="宋体" w:hAnsi="宋体" w:cs="宋体"/>
        </w:rPr>
      </w:pPr>
      <w:r>
        <w:rPr>
          <w:rFonts w:hint="eastAsia" w:ascii="宋体" w:hAnsi="宋体" w:cs="宋体"/>
        </w:rPr>
        <w:t xml:space="preserve">    21.1 投标人投标时，须按照“投标人须知前附表”的要求，以人民币提交足额的投标保证金，其有效期与投标有效期一致，并作为其投标的一部分。联合投标的，应当以联合体各方或者联合体中牵头人的名义提交投标保证金。以联合体牵头单位提交投标保证金的，对联合体各方均具有约束力。</w:t>
      </w:r>
    </w:p>
    <w:p>
      <w:pPr>
        <w:autoSpaceDE w:val="0"/>
        <w:autoSpaceDN w:val="0"/>
        <w:adjustRightInd w:val="0"/>
        <w:spacing w:line="500" w:lineRule="exact"/>
        <w:ind w:right="6"/>
        <w:rPr>
          <w:rFonts w:ascii="宋体" w:hAnsi="宋体" w:cs="宋体"/>
        </w:rPr>
      </w:pPr>
      <w:r>
        <w:rPr>
          <w:rFonts w:hint="eastAsia" w:ascii="宋体" w:hAnsi="宋体" w:cs="宋体"/>
        </w:rPr>
        <w:t xml:space="preserve">    21.2 投标保证金的提交：</w:t>
      </w:r>
    </w:p>
    <w:p>
      <w:pPr>
        <w:autoSpaceDE w:val="0"/>
        <w:autoSpaceDN w:val="0"/>
        <w:adjustRightInd w:val="0"/>
        <w:spacing w:line="500" w:lineRule="exact"/>
        <w:ind w:right="6"/>
        <w:rPr>
          <w:rFonts w:ascii="宋体" w:hAnsi="宋体" w:cs="宋体"/>
        </w:rPr>
      </w:pPr>
      <w:r>
        <w:rPr>
          <w:rFonts w:hint="eastAsia" w:ascii="宋体" w:hAnsi="宋体" w:cs="宋体"/>
        </w:rPr>
        <w:t xml:space="preserve">    （1）开标现场不办理投标保证金事宜。未按招标文件要求在规定时间前（以银行实际到账时间为准）交纳规定数额投标保证金的投标将被视为无效。</w:t>
      </w:r>
    </w:p>
    <w:p>
      <w:pPr>
        <w:autoSpaceDE w:val="0"/>
        <w:autoSpaceDN w:val="0"/>
        <w:adjustRightInd w:val="0"/>
        <w:spacing w:line="500" w:lineRule="exact"/>
        <w:ind w:right="6"/>
        <w:rPr>
          <w:rFonts w:ascii="宋体" w:hAnsi="宋体" w:cs="宋体"/>
        </w:rPr>
      </w:pPr>
      <w:r>
        <w:rPr>
          <w:rFonts w:hint="eastAsia" w:ascii="宋体" w:hAnsi="宋体" w:cs="宋体"/>
        </w:rPr>
        <w:t xml:space="preserve">    （2）投标保证金以银行转账或者金融机构、担保机构出具的保函等非现金形式提交。</w:t>
      </w:r>
    </w:p>
    <w:p>
      <w:pPr>
        <w:autoSpaceDE w:val="0"/>
        <w:autoSpaceDN w:val="0"/>
        <w:adjustRightInd w:val="0"/>
        <w:spacing w:line="500" w:lineRule="exact"/>
        <w:ind w:right="6"/>
        <w:rPr>
          <w:rFonts w:ascii="宋体" w:hAnsi="宋体" w:cs="宋体"/>
        </w:rPr>
      </w:pPr>
      <w:r>
        <w:rPr>
          <w:rFonts w:hint="eastAsia" w:ascii="宋体" w:hAnsi="宋体" w:cs="宋体"/>
        </w:rPr>
        <w:t xml:space="preserve">    ①采用银行转账缴纳保证金的，可以采取支票、电汇、网银、汇票等方式，从其基本账户转出。</w:t>
      </w:r>
    </w:p>
    <w:p>
      <w:pPr>
        <w:autoSpaceDE w:val="0"/>
        <w:autoSpaceDN w:val="0"/>
        <w:adjustRightInd w:val="0"/>
        <w:spacing w:line="500" w:lineRule="exact"/>
        <w:ind w:right="6"/>
        <w:rPr>
          <w:rFonts w:ascii="宋体" w:hAnsi="宋体" w:cs="宋体"/>
        </w:rPr>
      </w:pPr>
      <w:r>
        <w:rPr>
          <w:rFonts w:hint="eastAsia" w:ascii="宋体" w:hAnsi="宋体" w:cs="宋体"/>
        </w:rPr>
        <w:t xml:space="preserve">    ②以信用担保函形式交纳保证金的，应按招标文件规定的格式提交，且是陕西省或西安市有关部门认定的具有开具投标保函资格的单位开具的保函。投标人违约，开具保函单位承担连带责任。</w:t>
      </w:r>
    </w:p>
    <w:p>
      <w:pPr>
        <w:autoSpaceDE w:val="0"/>
        <w:autoSpaceDN w:val="0"/>
        <w:adjustRightInd w:val="0"/>
        <w:spacing w:line="500" w:lineRule="exact"/>
        <w:ind w:right="6"/>
        <w:rPr>
          <w:rFonts w:ascii="宋体" w:hAnsi="宋体" w:cs="宋体"/>
        </w:rPr>
      </w:pPr>
      <w:r>
        <w:rPr>
          <w:rFonts w:hint="eastAsia" w:ascii="宋体" w:hAnsi="宋体" w:cs="宋体"/>
        </w:rPr>
        <w:t xml:space="preserve">    21.3  开标后经审查，未按照招标文件要求交纳投标保证金的、已交纳的投标保证金金额不足的或有效期不足的，</w:t>
      </w:r>
      <w:r>
        <w:rPr>
          <w:rFonts w:hint="eastAsia" w:ascii="宋体" w:hAnsi="宋体" w:cs="宋体"/>
          <w:b/>
          <w:szCs w:val="21"/>
        </w:rPr>
        <w:t>则该投标文件按照无效处理</w:t>
      </w:r>
      <w:r>
        <w:rPr>
          <w:rFonts w:hint="eastAsia" w:ascii="宋体" w:hAnsi="宋体" w:cs="宋体"/>
          <w:szCs w:val="21"/>
        </w:rPr>
        <w:t>。</w:t>
      </w:r>
    </w:p>
    <w:p>
      <w:pPr>
        <w:autoSpaceDE w:val="0"/>
        <w:autoSpaceDN w:val="0"/>
        <w:adjustRightInd w:val="0"/>
        <w:spacing w:line="500" w:lineRule="exact"/>
        <w:ind w:right="6" w:firstLine="420"/>
        <w:rPr>
          <w:rFonts w:ascii="宋体" w:hAnsi="宋体" w:cs="宋体"/>
        </w:rPr>
      </w:pPr>
      <w:r>
        <w:rPr>
          <w:rFonts w:hint="eastAsia" w:ascii="宋体" w:hAnsi="宋体" w:cs="宋体"/>
        </w:rPr>
        <w:t>21.4  退还投标保证金：</w:t>
      </w:r>
    </w:p>
    <w:p>
      <w:pPr>
        <w:autoSpaceDE w:val="0"/>
        <w:autoSpaceDN w:val="0"/>
        <w:adjustRightInd w:val="0"/>
        <w:spacing w:line="500" w:lineRule="exact"/>
        <w:ind w:right="6"/>
        <w:rPr>
          <w:rFonts w:ascii="宋体" w:hAnsi="宋体" w:cs="宋体"/>
        </w:rPr>
      </w:pPr>
      <w:r>
        <w:rPr>
          <w:rFonts w:hint="eastAsia" w:ascii="宋体" w:hAnsi="宋体" w:cs="宋体"/>
        </w:rPr>
        <w:t xml:space="preserve">    （1）未中标的投标人的投标保证金，将于中标通知书发出后5个工作日内予以退还。</w:t>
      </w:r>
    </w:p>
    <w:p>
      <w:pPr>
        <w:autoSpaceDE w:val="0"/>
        <w:autoSpaceDN w:val="0"/>
        <w:adjustRightInd w:val="0"/>
        <w:spacing w:line="500" w:lineRule="exact"/>
        <w:ind w:right="6" w:firstLine="420"/>
        <w:rPr>
          <w:rFonts w:ascii="宋体" w:hAnsi="宋体" w:cs="宋体"/>
          <w:color w:val="FF0000"/>
        </w:rPr>
      </w:pPr>
      <w:r>
        <w:rPr>
          <w:rFonts w:hint="eastAsia" w:ascii="宋体" w:hAnsi="宋体" w:cs="宋体"/>
        </w:rPr>
        <w:t>（2）中标人的投标保证金，在中标人与采购人签订合同后5个工作日内予以退还。</w:t>
      </w:r>
    </w:p>
    <w:p>
      <w:pPr>
        <w:autoSpaceDE w:val="0"/>
        <w:autoSpaceDN w:val="0"/>
        <w:adjustRightInd w:val="0"/>
        <w:spacing w:line="500" w:lineRule="exact"/>
        <w:ind w:right="6"/>
        <w:rPr>
          <w:rFonts w:ascii="宋体" w:hAnsi="宋体" w:cs="宋体"/>
        </w:rPr>
      </w:pPr>
      <w:r>
        <w:rPr>
          <w:rFonts w:hint="eastAsia" w:ascii="宋体" w:hAnsi="宋体" w:cs="宋体"/>
        </w:rPr>
        <w:t xml:space="preserve">    （3）下列任何情况发生时，采购代理机构将不予退还其交纳的投标保证金：</w:t>
      </w:r>
    </w:p>
    <w:p>
      <w:pPr>
        <w:autoSpaceDE w:val="0"/>
        <w:autoSpaceDN w:val="0"/>
        <w:adjustRightInd w:val="0"/>
        <w:spacing w:line="500" w:lineRule="exact"/>
        <w:ind w:right="6" w:firstLine="420" w:firstLineChars="200"/>
        <w:rPr>
          <w:rFonts w:ascii="宋体" w:hAnsi="宋体" w:cs="宋体"/>
        </w:rPr>
      </w:pPr>
      <w:r>
        <w:rPr>
          <w:rFonts w:hint="eastAsia" w:ascii="宋体" w:hAnsi="宋体" w:cs="宋体"/>
        </w:rPr>
        <w:t>①投标人在招标文件规定的投标有效期内撤回投标的；</w:t>
      </w:r>
    </w:p>
    <w:p>
      <w:pPr>
        <w:autoSpaceDE w:val="0"/>
        <w:autoSpaceDN w:val="0"/>
        <w:adjustRightInd w:val="0"/>
        <w:spacing w:line="500" w:lineRule="exact"/>
        <w:ind w:right="6" w:firstLine="420" w:firstLineChars="200"/>
        <w:rPr>
          <w:rFonts w:ascii="宋体" w:hAnsi="宋体" w:cs="宋体"/>
        </w:rPr>
      </w:pPr>
      <w:r>
        <w:rPr>
          <w:rFonts w:hint="eastAsia" w:ascii="宋体" w:hAnsi="宋体" w:cs="宋体"/>
        </w:rPr>
        <w:t>②投标人在投标文件中提供虚假材料的；</w:t>
      </w:r>
    </w:p>
    <w:p>
      <w:pPr>
        <w:autoSpaceDE w:val="0"/>
        <w:autoSpaceDN w:val="0"/>
        <w:adjustRightInd w:val="0"/>
        <w:spacing w:line="500" w:lineRule="exact"/>
        <w:ind w:right="6"/>
        <w:rPr>
          <w:rFonts w:ascii="宋体" w:hAnsi="宋体" w:cs="宋体"/>
        </w:rPr>
      </w:pPr>
      <w:r>
        <w:rPr>
          <w:rFonts w:hint="eastAsia" w:ascii="宋体" w:hAnsi="宋体" w:cs="宋体"/>
        </w:rPr>
        <w:t xml:space="preserve">    ③除因不可抗力或招标文件认可的情形以外，中标单位不与采购人签订合同的；</w:t>
      </w:r>
    </w:p>
    <w:p>
      <w:pPr>
        <w:autoSpaceDE w:val="0"/>
        <w:autoSpaceDN w:val="0"/>
        <w:adjustRightInd w:val="0"/>
        <w:spacing w:line="500" w:lineRule="exact"/>
        <w:ind w:right="6"/>
        <w:rPr>
          <w:rFonts w:ascii="宋体" w:hAnsi="宋体" w:cs="宋体"/>
        </w:rPr>
      </w:pPr>
      <w:r>
        <w:rPr>
          <w:rFonts w:hint="eastAsia" w:ascii="宋体" w:hAnsi="宋体" w:cs="宋体"/>
        </w:rPr>
        <w:t xml:space="preserve">    ④由于中单位的原因未能在规定时间内领取《中标通知书》的；</w:t>
      </w:r>
    </w:p>
    <w:p>
      <w:pPr>
        <w:autoSpaceDE w:val="0"/>
        <w:autoSpaceDN w:val="0"/>
        <w:adjustRightInd w:val="0"/>
        <w:spacing w:line="500" w:lineRule="exact"/>
        <w:ind w:right="6"/>
        <w:rPr>
          <w:rFonts w:ascii="宋体" w:hAnsi="宋体" w:cs="宋体"/>
        </w:rPr>
      </w:pPr>
      <w:r>
        <w:rPr>
          <w:rFonts w:hint="eastAsia" w:ascii="宋体" w:hAnsi="宋体" w:cs="宋体"/>
        </w:rPr>
        <w:t xml:space="preserve">    ⑤中标单位未能按规定支付采购代理服务费的；</w:t>
      </w:r>
    </w:p>
    <w:p>
      <w:pPr>
        <w:autoSpaceDE w:val="0"/>
        <w:autoSpaceDN w:val="0"/>
        <w:adjustRightInd w:val="0"/>
        <w:spacing w:line="500" w:lineRule="exact"/>
        <w:ind w:right="6"/>
        <w:rPr>
          <w:rFonts w:ascii="宋体" w:hAnsi="宋体" w:cs="宋体"/>
        </w:rPr>
      </w:pPr>
      <w:r>
        <w:rPr>
          <w:rFonts w:hint="eastAsia" w:ascii="宋体" w:hAnsi="宋体" w:cs="宋体"/>
        </w:rPr>
        <w:t xml:space="preserve">    ⑥投标有效期内，投标人在政府采购活动中有违规、违纪和违法行为的；</w:t>
      </w:r>
    </w:p>
    <w:p>
      <w:pPr>
        <w:autoSpaceDE w:val="0"/>
        <w:autoSpaceDN w:val="0"/>
        <w:adjustRightInd w:val="0"/>
        <w:spacing w:line="500" w:lineRule="exact"/>
        <w:ind w:right="6"/>
        <w:rPr>
          <w:rFonts w:ascii="宋体" w:hAnsi="宋体" w:cs="宋体"/>
        </w:rPr>
      </w:pPr>
      <w:r>
        <w:rPr>
          <w:rFonts w:hint="eastAsia" w:ascii="宋体" w:hAnsi="宋体" w:cs="宋体"/>
        </w:rPr>
        <w:t xml:space="preserve">    ⑦法律法规规定的其他情况。</w:t>
      </w:r>
    </w:p>
    <w:p>
      <w:pPr>
        <w:autoSpaceDE w:val="0"/>
        <w:autoSpaceDN w:val="0"/>
        <w:adjustRightInd w:val="0"/>
        <w:spacing w:line="500" w:lineRule="exact"/>
        <w:ind w:right="6"/>
        <w:rPr>
          <w:rFonts w:ascii="宋体" w:hAnsi="宋体" w:cs="宋体"/>
          <w:b/>
          <w:bCs/>
          <w:kern w:val="0"/>
          <w:sz w:val="24"/>
        </w:rPr>
      </w:pPr>
      <w:r>
        <w:rPr>
          <w:rFonts w:hint="eastAsia" w:ascii="宋体" w:hAnsi="宋体" w:cs="宋体"/>
          <w:b/>
          <w:bCs/>
          <w:kern w:val="0"/>
          <w:sz w:val="24"/>
        </w:rPr>
        <w:t>22、投标有效期</w:t>
      </w:r>
    </w:p>
    <w:p>
      <w:pPr>
        <w:autoSpaceDE w:val="0"/>
        <w:autoSpaceDN w:val="0"/>
        <w:adjustRightInd w:val="0"/>
        <w:spacing w:line="500" w:lineRule="exact"/>
        <w:ind w:right="6"/>
        <w:rPr>
          <w:rFonts w:ascii="宋体" w:hAnsi="宋体" w:cs="宋体"/>
        </w:rPr>
      </w:pPr>
      <w:r>
        <w:rPr>
          <w:rFonts w:hint="eastAsia" w:ascii="宋体" w:hAnsi="宋体" w:cs="宋体"/>
        </w:rPr>
        <w:t xml:space="preserve">    22.1  投标有效期见投标人须知前附表。投标有效期短于此规定期限的投标，将被拒绝。在有效期内投标文件对投标人具有法律约束力，以保证采购人完成评标、定标以及合同签订事项。中标单位的投标文件有效期自动延长至合同执行完毕。</w:t>
      </w:r>
    </w:p>
    <w:p>
      <w:pPr>
        <w:autoSpaceDE w:val="0"/>
        <w:autoSpaceDN w:val="0"/>
        <w:adjustRightInd w:val="0"/>
        <w:spacing w:line="500" w:lineRule="exact"/>
        <w:ind w:right="6" w:firstLine="420"/>
        <w:rPr>
          <w:rFonts w:ascii="宋体" w:hAnsi="宋体" w:cs="宋体"/>
        </w:rPr>
      </w:pPr>
      <w:r>
        <w:rPr>
          <w:rFonts w:hint="eastAsia" w:ascii="宋体" w:hAnsi="宋体" w:cs="宋体"/>
        </w:rPr>
        <w:t>22.2  特殊情况需延长投标有效期的，采购代理机构可于投标有效期届满之前，要求投标人同意延长有效期，采购代理机构的要求与投标人的答复均应为书面形式。投标人拒绝延长的，其投标在原投标有效期期届满后将不再有效，但有权收回其投标保证金；投标人同意延长的，应相应延长其投标保证金的有效期，但不允许修改或撤回投标文件。</w:t>
      </w:r>
    </w:p>
    <w:p>
      <w:pPr>
        <w:autoSpaceDE w:val="0"/>
        <w:autoSpaceDN w:val="0"/>
        <w:adjustRightInd w:val="0"/>
        <w:spacing w:line="500" w:lineRule="exact"/>
        <w:ind w:right="6"/>
        <w:rPr>
          <w:rFonts w:ascii="宋体" w:hAnsi="宋体" w:cs="宋体"/>
          <w:b/>
          <w:bCs/>
          <w:kern w:val="0"/>
          <w:sz w:val="24"/>
        </w:rPr>
      </w:pPr>
      <w:r>
        <w:rPr>
          <w:rFonts w:hint="eastAsia" w:ascii="宋体" w:hAnsi="宋体" w:cs="宋体"/>
          <w:b/>
          <w:bCs/>
          <w:kern w:val="0"/>
          <w:sz w:val="24"/>
        </w:rPr>
        <w:t>23、投标文件的制作和签署</w:t>
      </w:r>
    </w:p>
    <w:p>
      <w:pPr>
        <w:autoSpaceDE w:val="0"/>
        <w:autoSpaceDN w:val="0"/>
        <w:adjustRightInd w:val="0"/>
        <w:spacing w:line="500" w:lineRule="exact"/>
        <w:ind w:right="6"/>
        <w:rPr>
          <w:rFonts w:ascii="宋体" w:hAnsi="宋体" w:cs="宋体"/>
        </w:rPr>
      </w:pPr>
      <w:r>
        <w:rPr>
          <w:rFonts w:hint="eastAsia" w:ascii="宋体" w:hAnsi="宋体" w:cs="宋体"/>
        </w:rPr>
        <w:t xml:space="preserve">    23.1  投标人应按“投标人须知前附表”要求提供投标文件的份数。投标单位须依据招标文件内容和投标文件格式的要求编制投标文件。投标人应填写全称，同时按招标文件要求加盖公章，签署、盖章和内容应完整，如有遗漏，</w:t>
      </w:r>
      <w:r>
        <w:rPr>
          <w:rFonts w:hint="eastAsia" w:ascii="宋体" w:hAnsi="宋体" w:cs="宋体"/>
          <w:b/>
          <w:bCs/>
        </w:rPr>
        <w:t>将被视为无效投标。</w:t>
      </w:r>
    </w:p>
    <w:p>
      <w:pPr>
        <w:autoSpaceDE w:val="0"/>
        <w:autoSpaceDN w:val="0"/>
        <w:adjustRightInd w:val="0"/>
        <w:spacing w:line="500" w:lineRule="exact"/>
        <w:ind w:right="6"/>
        <w:rPr>
          <w:rFonts w:ascii="宋体" w:hAnsi="宋体" w:cs="宋体"/>
        </w:rPr>
      </w:pPr>
      <w:r>
        <w:rPr>
          <w:rFonts w:hint="eastAsia" w:ascii="宋体" w:hAnsi="宋体" w:cs="宋体"/>
        </w:rPr>
        <w:t xml:space="preserve">    23.2  投标人应按“投标人须知前附表”准备投标文件正本、副本及相应的电子文档。投标文件的正本和所有的副本均须用A4纸打印或用不褪色的蓝（黑）墨水填写，字迹应清晰易于辨认，并应在投标文件封面的右上角清楚地注明“正本”或“副本”。统一胶装、编码，在每一页的正下方清楚标明第几页、共几页字样；若正本和副本有不一致的内容，以正本书面投标文件为准。</w:t>
      </w:r>
    </w:p>
    <w:p>
      <w:pPr>
        <w:autoSpaceDE w:val="0"/>
        <w:autoSpaceDN w:val="0"/>
        <w:adjustRightInd w:val="0"/>
        <w:spacing w:line="500" w:lineRule="exact"/>
        <w:ind w:right="6"/>
        <w:rPr>
          <w:rFonts w:ascii="宋体" w:hAnsi="宋体" w:cs="宋体"/>
        </w:rPr>
      </w:pPr>
      <w:r>
        <w:rPr>
          <w:rFonts w:hint="eastAsia" w:ascii="宋体" w:hAnsi="宋体" w:cs="宋体"/>
        </w:rPr>
        <w:t xml:space="preserve">    23.3  除投标人对错处作必要修改外，投标文件中不许有加行、涂抹或改写。若有修改须由签署投标文件的委托代理人在旁边签字才有效。字迹潦草、表达不清或可能导致非唯一理解造成不利后果的投标文件由投标人自己负责。</w:t>
      </w:r>
    </w:p>
    <w:p>
      <w:pPr>
        <w:autoSpaceDE w:val="0"/>
        <w:autoSpaceDN w:val="0"/>
        <w:adjustRightInd w:val="0"/>
        <w:spacing w:line="500" w:lineRule="exact"/>
        <w:ind w:right="6"/>
        <w:rPr>
          <w:rFonts w:ascii="宋体" w:hAnsi="宋体" w:cs="宋体"/>
        </w:rPr>
      </w:pPr>
      <w:r>
        <w:rPr>
          <w:rFonts w:hint="eastAsia" w:ascii="宋体" w:hAnsi="宋体" w:cs="宋体"/>
        </w:rPr>
        <w:t xml:space="preserve">    23.4  采购人拒绝接受以电报、电话、传真、电子邮件形式的投标。</w:t>
      </w:r>
    </w:p>
    <w:p>
      <w:pPr>
        <w:spacing w:before="240" w:after="120"/>
        <w:jc w:val="center"/>
        <w:outlineLvl w:val="2"/>
        <w:rPr>
          <w:rFonts w:ascii="宋体" w:hAnsi="宋体" w:cs="宋体"/>
          <w:b/>
          <w:bCs/>
          <w:sz w:val="28"/>
        </w:rPr>
      </w:pPr>
      <w:r>
        <w:rPr>
          <w:rFonts w:hint="eastAsia" w:ascii="宋体" w:hAnsi="宋体" w:cs="宋体"/>
          <w:b/>
          <w:bCs/>
          <w:sz w:val="28"/>
        </w:rPr>
        <w:t>四、投标</w:t>
      </w:r>
    </w:p>
    <w:p>
      <w:pPr>
        <w:autoSpaceDE w:val="0"/>
        <w:autoSpaceDN w:val="0"/>
        <w:adjustRightInd w:val="0"/>
        <w:spacing w:line="500" w:lineRule="exact"/>
        <w:ind w:right="6"/>
        <w:rPr>
          <w:rFonts w:ascii="宋体" w:hAnsi="宋体" w:cs="宋体"/>
          <w:b/>
          <w:bCs/>
          <w:kern w:val="0"/>
          <w:sz w:val="24"/>
        </w:rPr>
      </w:pPr>
      <w:r>
        <w:rPr>
          <w:rFonts w:hint="eastAsia" w:ascii="宋体" w:hAnsi="宋体" w:cs="宋体"/>
          <w:b/>
          <w:bCs/>
          <w:kern w:val="0"/>
          <w:sz w:val="24"/>
        </w:rPr>
        <w:t>24、投标文件的密封和标注</w:t>
      </w:r>
    </w:p>
    <w:p>
      <w:pPr>
        <w:autoSpaceDE w:val="0"/>
        <w:autoSpaceDN w:val="0"/>
        <w:adjustRightInd w:val="0"/>
        <w:spacing w:line="500" w:lineRule="exact"/>
        <w:ind w:right="6"/>
        <w:rPr>
          <w:rFonts w:ascii="宋体" w:hAnsi="宋体" w:cs="宋体"/>
        </w:rPr>
      </w:pPr>
      <w:r>
        <w:rPr>
          <w:rFonts w:hint="eastAsia" w:ascii="宋体" w:hAnsi="宋体" w:cs="宋体"/>
        </w:rPr>
        <w:t xml:space="preserve">    24.1  投标文件的装订要求，按投标人须知前附表进行装订。</w:t>
      </w:r>
    </w:p>
    <w:p>
      <w:pPr>
        <w:autoSpaceDE w:val="0"/>
        <w:autoSpaceDN w:val="0"/>
        <w:adjustRightInd w:val="0"/>
        <w:spacing w:line="500" w:lineRule="exact"/>
        <w:ind w:right="6"/>
        <w:rPr>
          <w:rFonts w:ascii="宋体" w:hAnsi="宋体" w:cs="宋体"/>
        </w:rPr>
      </w:pPr>
      <w:r>
        <w:rPr>
          <w:rFonts w:hint="eastAsia" w:ascii="宋体" w:hAnsi="宋体" w:cs="宋体"/>
        </w:rPr>
        <w:t xml:space="preserve">    24.2  投标人应在投标文件正本、副本的封面上注明投标人名称、项目名称、项目编号、分包号（如有分包）。</w:t>
      </w:r>
    </w:p>
    <w:p>
      <w:pPr>
        <w:autoSpaceDE w:val="0"/>
        <w:autoSpaceDN w:val="0"/>
        <w:adjustRightInd w:val="0"/>
        <w:spacing w:line="500" w:lineRule="exact"/>
        <w:ind w:right="6" w:firstLine="420"/>
        <w:rPr>
          <w:rFonts w:ascii="宋体" w:hAnsi="宋体" w:cs="宋体"/>
        </w:rPr>
      </w:pPr>
      <w:r>
        <w:rPr>
          <w:rFonts w:hint="eastAsia" w:ascii="宋体" w:hAnsi="宋体" w:cs="宋体"/>
        </w:rPr>
        <w:t>24.3  投标文件必须密封递交。对封装材料及样式不作特别规定，但投标人应当保证其封装的可靠性，不致因搬运、堆放等原因散开。投标时，投标人应当将投标文件正本用封袋单独密封，所有副本用封袋一起密封，所有密封袋正面和投标文件封面须标明采购项目名称、采购项目编号、投标人名称及“正本”、“副本”字样。</w:t>
      </w:r>
    </w:p>
    <w:p>
      <w:pPr>
        <w:autoSpaceDE w:val="0"/>
        <w:autoSpaceDN w:val="0"/>
        <w:adjustRightInd w:val="0"/>
        <w:spacing w:line="500" w:lineRule="exact"/>
        <w:ind w:right="6" w:firstLine="420"/>
        <w:rPr>
          <w:rFonts w:ascii="宋体" w:hAnsi="宋体" w:cs="宋体"/>
        </w:rPr>
      </w:pPr>
      <w:r>
        <w:rPr>
          <w:rFonts w:hint="eastAsia" w:ascii="宋体" w:hAnsi="宋体" w:cs="宋体"/>
        </w:rPr>
        <w:t>24.4  所有投标文件的密封袋的封口处应加盖投标人公章和法定代表人章（或委托代理人签字）。</w:t>
      </w:r>
    </w:p>
    <w:p>
      <w:pPr>
        <w:autoSpaceDE w:val="0"/>
        <w:autoSpaceDN w:val="0"/>
        <w:adjustRightInd w:val="0"/>
        <w:spacing w:line="500" w:lineRule="exact"/>
        <w:ind w:right="6"/>
        <w:rPr>
          <w:rFonts w:ascii="宋体" w:hAnsi="宋体" w:cs="宋体"/>
        </w:rPr>
      </w:pPr>
      <w:r>
        <w:rPr>
          <w:rFonts w:hint="eastAsia" w:ascii="宋体" w:hAnsi="宋体" w:cs="宋体"/>
        </w:rPr>
        <w:t xml:space="preserve">    24.5  如果未按上述规定进行密封和标记，所引起的不利的后果，由投标报价人自行承担。</w:t>
      </w:r>
    </w:p>
    <w:p>
      <w:pPr>
        <w:autoSpaceDE w:val="0"/>
        <w:autoSpaceDN w:val="0"/>
        <w:adjustRightInd w:val="0"/>
        <w:spacing w:line="500" w:lineRule="exact"/>
        <w:ind w:right="6"/>
        <w:rPr>
          <w:rFonts w:ascii="宋体" w:hAnsi="宋体" w:cs="宋体"/>
          <w:b/>
          <w:bCs/>
          <w:kern w:val="0"/>
          <w:sz w:val="24"/>
        </w:rPr>
      </w:pPr>
      <w:r>
        <w:rPr>
          <w:rFonts w:hint="eastAsia" w:ascii="宋体" w:hAnsi="宋体" w:cs="宋体"/>
          <w:b/>
          <w:bCs/>
          <w:kern w:val="0"/>
          <w:sz w:val="24"/>
        </w:rPr>
        <w:t xml:space="preserve">25、投标文件的递交 </w:t>
      </w:r>
    </w:p>
    <w:p>
      <w:pPr>
        <w:autoSpaceDE w:val="0"/>
        <w:autoSpaceDN w:val="0"/>
        <w:adjustRightInd w:val="0"/>
        <w:spacing w:line="500" w:lineRule="exact"/>
        <w:ind w:right="6"/>
        <w:rPr>
          <w:rFonts w:ascii="宋体" w:hAnsi="宋体" w:cs="宋体"/>
        </w:rPr>
      </w:pPr>
      <w:r>
        <w:rPr>
          <w:rFonts w:hint="eastAsia" w:ascii="宋体" w:hAnsi="宋体" w:cs="宋体"/>
        </w:rPr>
        <w:t xml:space="preserve">    25.1  投标文件的截止时间及开标地点见本须知前附表的规定，投标人应在招标文件规定的投标截止时间前，将投标文件按投标人须知前附表的规定密封后送达开标地点。投标截止时间以后送达的投标文件将被拒绝。</w:t>
      </w:r>
    </w:p>
    <w:p>
      <w:pPr>
        <w:autoSpaceDE w:val="0"/>
        <w:autoSpaceDN w:val="0"/>
        <w:adjustRightInd w:val="0"/>
        <w:spacing w:line="500" w:lineRule="exact"/>
        <w:ind w:right="6"/>
        <w:rPr>
          <w:rFonts w:ascii="宋体" w:hAnsi="宋体" w:cs="宋体"/>
        </w:rPr>
      </w:pPr>
      <w:r>
        <w:rPr>
          <w:rFonts w:hint="eastAsia" w:ascii="宋体" w:hAnsi="宋体" w:cs="宋体"/>
        </w:rPr>
        <w:t xml:space="preserve">    25.2  采购代理机构项目接收人在招标文件规定的投标文件递交截止时间前，只负责投标文件的接收、清点、造册登记工作，并请递交人签字确认，对其有效性不负任何责任。</w:t>
      </w:r>
    </w:p>
    <w:p>
      <w:pPr>
        <w:autoSpaceDE w:val="0"/>
        <w:autoSpaceDN w:val="0"/>
        <w:adjustRightInd w:val="0"/>
        <w:spacing w:line="500" w:lineRule="exact"/>
        <w:ind w:right="6"/>
        <w:rPr>
          <w:rFonts w:ascii="宋体" w:hAnsi="宋体" w:cs="宋体"/>
        </w:rPr>
      </w:pPr>
      <w:r>
        <w:rPr>
          <w:rFonts w:hint="eastAsia" w:ascii="宋体" w:hAnsi="宋体" w:cs="宋体"/>
        </w:rPr>
        <w:t xml:space="preserve">    25.3  递交投标文件截止时间止，若收到的投标文件少于3个，采购人将报请监督管理机构批准变更采购方式或择重新组织招标；</w:t>
      </w:r>
    </w:p>
    <w:p>
      <w:pPr>
        <w:autoSpaceDE w:val="0"/>
        <w:autoSpaceDN w:val="0"/>
        <w:adjustRightInd w:val="0"/>
        <w:spacing w:line="500" w:lineRule="exact"/>
        <w:ind w:right="6"/>
        <w:rPr>
          <w:rFonts w:ascii="宋体" w:hAnsi="宋体" w:cs="宋体"/>
        </w:rPr>
      </w:pPr>
      <w:r>
        <w:rPr>
          <w:rFonts w:hint="eastAsia" w:ascii="宋体" w:hAnsi="宋体" w:cs="宋体"/>
        </w:rPr>
        <w:t xml:space="preserve">    25.4  采购人可按本须知的规定以修改补充通知的方式，酌情延长提交投标文件的截止时间。在此情况下，投标人的所有权利和义务以及投标人受制约的截止时间，均以延长后新的投标截止时间为准。</w:t>
      </w:r>
    </w:p>
    <w:p>
      <w:pPr>
        <w:autoSpaceDE w:val="0"/>
        <w:autoSpaceDN w:val="0"/>
        <w:adjustRightInd w:val="0"/>
        <w:spacing w:line="500" w:lineRule="exact"/>
        <w:ind w:right="6"/>
        <w:rPr>
          <w:rFonts w:ascii="宋体" w:hAnsi="宋体" w:cs="宋体"/>
        </w:rPr>
      </w:pPr>
      <w:r>
        <w:rPr>
          <w:rFonts w:hint="eastAsia" w:ascii="宋体" w:hAnsi="宋体" w:cs="宋体"/>
        </w:rPr>
        <w:t xml:space="preserve">    25.5  本次招标不接受邮寄的投标文件。</w:t>
      </w:r>
    </w:p>
    <w:p>
      <w:pPr>
        <w:autoSpaceDE w:val="0"/>
        <w:autoSpaceDN w:val="0"/>
        <w:adjustRightInd w:val="0"/>
        <w:spacing w:line="500" w:lineRule="exact"/>
        <w:ind w:right="6"/>
        <w:rPr>
          <w:rFonts w:ascii="宋体" w:hAnsi="宋体" w:cs="宋体"/>
          <w:b/>
          <w:bCs/>
          <w:kern w:val="0"/>
          <w:sz w:val="24"/>
        </w:rPr>
      </w:pPr>
      <w:r>
        <w:rPr>
          <w:rFonts w:hint="eastAsia" w:ascii="宋体" w:hAnsi="宋体" w:cs="宋体"/>
          <w:b/>
          <w:bCs/>
          <w:kern w:val="0"/>
          <w:sz w:val="24"/>
        </w:rPr>
        <w:t>26、投标文件的补充、修改和撤回</w:t>
      </w:r>
    </w:p>
    <w:p>
      <w:pPr>
        <w:autoSpaceDE w:val="0"/>
        <w:autoSpaceDN w:val="0"/>
        <w:adjustRightInd w:val="0"/>
        <w:spacing w:line="500" w:lineRule="exact"/>
        <w:ind w:right="6"/>
        <w:rPr>
          <w:rFonts w:ascii="宋体" w:hAnsi="宋体" w:cs="宋体"/>
        </w:rPr>
      </w:pPr>
      <w:r>
        <w:rPr>
          <w:rFonts w:hint="eastAsia" w:ascii="宋体" w:hAnsi="宋体" w:cs="宋体"/>
        </w:rPr>
        <w:t xml:space="preserve">    26.1  投标人在递交投标文件以后，可以修改或撤回其投标文件，但必须在规定的投标截止时间前，且以书面形式通知采购人。补充、修改的内容为投标文件的组成部分。</w:t>
      </w:r>
    </w:p>
    <w:p>
      <w:pPr>
        <w:autoSpaceDE w:val="0"/>
        <w:autoSpaceDN w:val="0"/>
        <w:adjustRightInd w:val="0"/>
        <w:spacing w:line="500" w:lineRule="exact"/>
        <w:ind w:right="6"/>
        <w:rPr>
          <w:rFonts w:ascii="宋体" w:hAnsi="宋体" w:cs="宋体"/>
        </w:rPr>
      </w:pPr>
      <w:r>
        <w:rPr>
          <w:rFonts w:hint="eastAsia" w:ascii="宋体" w:hAnsi="宋体" w:cs="宋体"/>
        </w:rPr>
        <w:t xml:space="preserve">    26.2  投标人对投标文件的修改、补充和撤回，应按本须知的有关规定密封、标记和提交，并在投标文件密封袋上清楚标明“补充、修改”或“撤回”字样。采购代理机构不退还投标人已撤回的投标文件（包括纸质和电子版）。</w:t>
      </w:r>
    </w:p>
    <w:p>
      <w:pPr>
        <w:autoSpaceDE w:val="0"/>
        <w:autoSpaceDN w:val="0"/>
        <w:adjustRightInd w:val="0"/>
        <w:spacing w:line="500" w:lineRule="exact"/>
        <w:ind w:right="6"/>
        <w:rPr>
          <w:rFonts w:ascii="宋体" w:hAnsi="宋体" w:cs="宋体"/>
        </w:rPr>
      </w:pPr>
      <w:r>
        <w:rPr>
          <w:rFonts w:hint="eastAsia" w:ascii="宋体" w:hAnsi="宋体" w:cs="宋体"/>
        </w:rPr>
        <w:t xml:space="preserve">    26.3  在投标截止时间之后，投标人不得对其递交的投标文件做任何补充、修改或撤回投标。</w:t>
      </w:r>
    </w:p>
    <w:p>
      <w:pPr>
        <w:autoSpaceDE w:val="0"/>
        <w:autoSpaceDN w:val="0"/>
        <w:adjustRightInd w:val="0"/>
        <w:spacing w:line="500" w:lineRule="exact"/>
        <w:ind w:right="6"/>
        <w:rPr>
          <w:rFonts w:ascii="宋体" w:hAnsi="宋体" w:cs="宋体"/>
        </w:rPr>
      </w:pPr>
      <w:r>
        <w:rPr>
          <w:rFonts w:hint="eastAsia" w:ascii="宋体" w:hAnsi="宋体" w:cs="宋体"/>
        </w:rPr>
        <w:t xml:space="preserve">    26.4  在投标截止时间至投标有效期满之前，投标人不得撤回其投标文件。</w:t>
      </w:r>
    </w:p>
    <w:p>
      <w:pPr>
        <w:autoSpaceDE w:val="0"/>
        <w:autoSpaceDN w:val="0"/>
        <w:adjustRightInd w:val="0"/>
        <w:spacing w:line="500" w:lineRule="exact"/>
        <w:ind w:right="6"/>
        <w:rPr>
          <w:rFonts w:ascii="宋体" w:hAnsi="宋体" w:cs="宋体"/>
          <w:b/>
          <w:bCs/>
          <w:kern w:val="0"/>
          <w:sz w:val="24"/>
        </w:rPr>
      </w:pPr>
      <w:r>
        <w:rPr>
          <w:rFonts w:hint="eastAsia" w:ascii="宋体" w:hAnsi="宋体" w:cs="宋体"/>
          <w:b/>
          <w:bCs/>
          <w:kern w:val="0"/>
          <w:sz w:val="24"/>
        </w:rPr>
        <w:t>27、投标纪律要求</w:t>
      </w:r>
    </w:p>
    <w:p>
      <w:pPr>
        <w:autoSpaceDE w:val="0"/>
        <w:autoSpaceDN w:val="0"/>
        <w:adjustRightInd w:val="0"/>
        <w:spacing w:line="500" w:lineRule="exact"/>
        <w:ind w:right="6"/>
        <w:rPr>
          <w:rFonts w:ascii="宋体" w:hAnsi="宋体" w:cs="宋体"/>
        </w:rPr>
      </w:pPr>
      <w:r>
        <w:rPr>
          <w:rFonts w:hint="eastAsia" w:ascii="宋体" w:hAnsi="宋体" w:cs="宋体"/>
        </w:rPr>
        <w:t xml:space="preserve">    27.1  投标人参加投标不得有下列情形：</w:t>
      </w:r>
    </w:p>
    <w:p>
      <w:pPr>
        <w:autoSpaceDE w:val="0"/>
        <w:autoSpaceDN w:val="0"/>
        <w:adjustRightInd w:val="0"/>
        <w:spacing w:line="500" w:lineRule="exact"/>
        <w:ind w:right="6"/>
        <w:rPr>
          <w:rFonts w:ascii="宋体" w:hAnsi="宋体" w:cs="宋体"/>
        </w:rPr>
      </w:pPr>
      <w:r>
        <w:rPr>
          <w:rFonts w:hint="eastAsia" w:ascii="宋体" w:hAnsi="宋体" w:cs="宋体"/>
        </w:rPr>
        <w:t xml:space="preserve">    （1）提供虚假材料谋取中标；</w:t>
      </w:r>
    </w:p>
    <w:p>
      <w:pPr>
        <w:autoSpaceDE w:val="0"/>
        <w:autoSpaceDN w:val="0"/>
        <w:adjustRightInd w:val="0"/>
        <w:spacing w:line="500" w:lineRule="exact"/>
        <w:ind w:right="6"/>
        <w:rPr>
          <w:rFonts w:ascii="宋体" w:hAnsi="宋体" w:cs="宋体"/>
        </w:rPr>
      </w:pPr>
      <w:r>
        <w:rPr>
          <w:rFonts w:hint="eastAsia" w:ascii="宋体" w:hAnsi="宋体" w:cs="宋体"/>
        </w:rPr>
        <w:t xml:space="preserve">    （2）采取不正当手段诋毁、排挤其他投标人；</w:t>
      </w:r>
    </w:p>
    <w:p>
      <w:pPr>
        <w:autoSpaceDE w:val="0"/>
        <w:autoSpaceDN w:val="0"/>
        <w:adjustRightInd w:val="0"/>
        <w:spacing w:line="500" w:lineRule="exact"/>
        <w:ind w:right="6"/>
        <w:rPr>
          <w:rFonts w:ascii="宋体" w:hAnsi="宋体" w:cs="宋体"/>
        </w:rPr>
      </w:pPr>
      <w:r>
        <w:rPr>
          <w:rFonts w:hint="eastAsia" w:ascii="宋体" w:hAnsi="宋体" w:cs="宋体"/>
        </w:rPr>
        <w:t xml:space="preserve">    （3）与采购单位、其他投标人恶意串通；</w:t>
      </w:r>
    </w:p>
    <w:p>
      <w:pPr>
        <w:autoSpaceDE w:val="0"/>
        <w:autoSpaceDN w:val="0"/>
        <w:adjustRightInd w:val="0"/>
        <w:spacing w:line="500" w:lineRule="exact"/>
        <w:ind w:right="6"/>
        <w:rPr>
          <w:rFonts w:ascii="宋体" w:hAnsi="宋体" w:cs="宋体"/>
        </w:rPr>
      </w:pPr>
      <w:r>
        <w:rPr>
          <w:rFonts w:hint="eastAsia" w:ascii="宋体" w:hAnsi="宋体" w:cs="宋体"/>
        </w:rPr>
        <w:t xml:space="preserve">    （4）向采购人、采购代理机构单位、评标委员会成员行贿或者提供其他不正当利益；</w:t>
      </w:r>
    </w:p>
    <w:p>
      <w:pPr>
        <w:autoSpaceDE w:val="0"/>
        <w:autoSpaceDN w:val="0"/>
        <w:adjustRightInd w:val="0"/>
        <w:spacing w:line="500" w:lineRule="exact"/>
        <w:ind w:right="6"/>
        <w:rPr>
          <w:rFonts w:ascii="宋体" w:hAnsi="宋体" w:cs="宋体"/>
        </w:rPr>
      </w:pPr>
      <w:r>
        <w:rPr>
          <w:rFonts w:hint="eastAsia" w:ascii="宋体" w:hAnsi="宋体" w:cs="宋体"/>
        </w:rPr>
        <w:t xml:space="preserve">    （5）在采购过程中与采购单位进行协商谈判；</w:t>
      </w:r>
    </w:p>
    <w:p>
      <w:pPr>
        <w:autoSpaceDE w:val="0"/>
        <w:autoSpaceDN w:val="0"/>
        <w:adjustRightInd w:val="0"/>
        <w:spacing w:line="500" w:lineRule="exact"/>
        <w:ind w:right="6"/>
        <w:rPr>
          <w:rFonts w:ascii="宋体" w:hAnsi="宋体" w:cs="宋体"/>
        </w:rPr>
      </w:pPr>
      <w:r>
        <w:rPr>
          <w:rFonts w:hint="eastAsia" w:ascii="宋体" w:hAnsi="宋体" w:cs="宋体"/>
        </w:rPr>
        <w:t xml:space="preserve">    （6）拒绝有关部门的监督检查或者向监督检查部门提供虚假情况。</w:t>
      </w:r>
    </w:p>
    <w:p>
      <w:pPr>
        <w:autoSpaceDE w:val="0"/>
        <w:autoSpaceDN w:val="0"/>
        <w:adjustRightInd w:val="0"/>
        <w:spacing w:line="500" w:lineRule="exact"/>
        <w:ind w:right="6"/>
        <w:rPr>
          <w:rFonts w:ascii="宋体" w:hAnsi="宋体" w:cs="宋体"/>
        </w:rPr>
      </w:pPr>
      <w:r>
        <w:rPr>
          <w:rFonts w:hint="eastAsia" w:ascii="宋体" w:hAnsi="宋体" w:cs="宋体"/>
        </w:rPr>
        <w:t xml:space="preserve">    有上述情形之一的投标人，属于不合格投标人，其投标或中标资格将被取消。</w:t>
      </w:r>
    </w:p>
    <w:p>
      <w:pPr>
        <w:spacing w:before="240" w:after="120"/>
        <w:jc w:val="center"/>
        <w:outlineLvl w:val="2"/>
        <w:rPr>
          <w:rFonts w:ascii="宋体" w:hAnsi="宋体" w:cs="宋体"/>
          <w:b/>
          <w:bCs/>
          <w:sz w:val="28"/>
        </w:rPr>
      </w:pPr>
      <w:r>
        <w:rPr>
          <w:rFonts w:hint="eastAsia" w:ascii="宋体" w:hAnsi="宋体" w:cs="宋体"/>
          <w:b/>
          <w:bCs/>
          <w:sz w:val="28"/>
        </w:rPr>
        <w:t>五、开标</w:t>
      </w:r>
    </w:p>
    <w:p>
      <w:pPr>
        <w:autoSpaceDE w:val="0"/>
        <w:autoSpaceDN w:val="0"/>
        <w:adjustRightInd w:val="0"/>
        <w:spacing w:line="500" w:lineRule="exact"/>
        <w:ind w:right="6"/>
        <w:rPr>
          <w:rFonts w:ascii="宋体" w:hAnsi="宋体" w:cs="宋体"/>
          <w:b/>
          <w:bCs/>
          <w:kern w:val="0"/>
          <w:sz w:val="24"/>
        </w:rPr>
      </w:pPr>
      <w:r>
        <w:rPr>
          <w:rFonts w:hint="eastAsia" w:ascii="宋体" w:hAnsi="宋体" w:cs="宋体"/>
          <w:b/>
          <w:bCs/>
          <w:kern w:val="0"/>
          <w:sz w:val="24"/>
        </w:rPr>
        <w:t>28、开标时间和地点</w:t>
      </w:r>
    </w:p>
    <w:p>
      <w:pPr>
        <w:autoSpaceDE w:val="0"/>
        <w:autoSpaceDN w:val="0"/>
        <w:adjustRightInd w:val="0"/>
        <w:spacing w:line="500" w:lineRule="exact"/>
        <w:ind w:right="6"/>
        <w:rPr>
          <w:rFonts w:ascii="宋体" w:hAnsi="宋体" w:cs="宋体"/>
        </w:rPr>
      </w:pPr>
      <w:r>
        <w:rPr>
          <w:rFonts w:hint="eastAsia" w:ascii="宋体" w:hAnsi="宋体" w:cs="宋体"/>
        </w:rPr>
        <w:t xml:space="preserve">    28.1  采购代理机构在投标人须知前附表中规定的投标截止时间和地点组织公开开标，采购人、投标人须派代表参加并签到以证明其出席。</w:t>
      </w:r>
    </w:p>
    <w:p>
      <w:pPr>
        <w:autoSpaceDE w:val="0"/>
        <w:autoSpaceDN w:val="0"/>
        <w:adjustRightInd w:val="0"/>
        <w:spacing w:line="500" w:lineRule="exact"/>
        <w:ind w:right="6"/>
        <w:rPr>
          <w:rFonts w:ascii="宋体" w:hAnsi="宋体" w:cs="宋体"/>
        </w:rPr>
      </w:pPr>
      <w:r>
        <w:rPr>
          <w:rFonts w:hint="eastAsia" w:ascii="宋体" w:hAnsi="宋体" w:cs="宋体"/>
        </w:rPr>
        <w:t xml:space="preserve">    28.2  按规定提交合格的撤回通知的投标文件不予开封，并退还给投标人；按本须知规定为无效的投标文件，不予送交评标委员会评审。</w:t>
      </w:r>
    </w:p>
    <w:p>
      <w:pPr>
        <w:autoSpaceDE w:val="0"/>
        <w:autoSpaceDN w:val="0"/>
        <w:adjustRightInd w:val="0"/>
        <w:spacing w:line="500" w:lineRule="exact"/>
        <w:ind w:right="6"/>
        <w:rPr>
          <w:rFonts w:ascii="宋体" w:hAnsi="宋体" w:cs="宋体"/>
          <w:b/>
          <w:bCs/>
          <w:kern w:val="0"/>
          <w:sz w:val="24"/>
        </w:rPr>
      </w:pPr>
      <w:r>
        <w:rPr>
          <w:rFonts w:hint="eastAsia" w:ascii="宋体" w:hAnsi="宋体" w:cs="宋体"/>
          <w:b/>
          <w:bCs/>
          <w:kern w:val="0"/>
          <w:sz w:val="24"/>
        </w:rPr>
        <w:t>29、开标</w:t>
      </w:r>
    </w:p>
    <w:p>
      <w:pPr>
        <w:autoSpaceDE w:val="0"/>
        <w:autoSpaceDN w:val="0"/>
        <w:adjustRightInd w:val="0"/>
        <w:spacing w:line="500" w:lineRule="exact"/>
        <w:ind w:right="6"/>
        <w:rPr>
          <w:rFonts w:ascii="宋体" w:hAnsi="宋体" w:cs="宋体"/>
        </w:rPr>
      </w:pPr>
      <w:r>
        <w:rPr>
          <w:rFonts w:hint="eastAsia" w:ascii="宋体" w:hAnsi="宋体" w:cs="宋体"/>
        </w:rPr>
        <w:t xml:space="preserve">    29.1  开标会议由采购代理机构主持；</w:t>
      </w:r>
    </w:p>
    <w:p>
      <w:pPr>
        <w:autoSpaceDE w:val="0"/>
        <w:autoSpaceDN w:val="0"/>
        <w:adjustRightInd w:val="0"/>
        <w:spacing w:line="500" w:lineRule="exact"/>
        <w:ind w:right="6" w:firstLine="420"/>
        <w:rPr>
          <w:rFonts w:ascii="宋体" w:hAnsi="宋体" w:cs="宋体"/>
        </w:rPr>
      </w:pPr>
      <w:r>
        <w:rPr>
          <w:rFonts w:hint="eastAsia" w:ascii="宋体" w:hAnsi="宋体" w:cs="宋体"/>
        </w:rPr>
        <w:t>29.2  开标时，由投标人的法人代表或授权代表与监督管理机构代表当众共同检查投标文件的密封情况，签字确认并宣读检查结果。未通过密封性审查的按无效投标文件处理，并退回投标人。</w:t>
      </w:r>
    </w:p>
    <w:p>
      <w:pPr>
        <w:autoSpaceDE w:val="0"/>
        <w:autoSpaceDN w:val="0"/>
        <w:adjustRightInd w:val="0"/>
        <w:spacing w:line="500" w:lineRule="exact"/>
        <w:ind w:right="6" w:firstLine="420" w:firstLineChars="200"/>
        <w:rPr>
          <w:rFonts w:ascii="宋体" w:hAnsi="宋体" w:cs="宋体"/>
        </w:rPr>
      </w:pPr>
      <w:r>
        <w:rPr>
          <w:rFonts w:hint="eastAsia" w:ascii="宋体" w:hAnsi="宋体" w:cs="宋体"/>
        </w:rPr>
        <w:t>29.3 由采购代理机构工作人员按照顺序，以公开唱标的形式将开标一览表的内容公布，无异议后，由投标人的法定代表人或授权代表人和监督人签字确认。开标时未宣读和记录的投标价格和折扣声明在评标时将不予考虑。</w:t>
      </w:r>
    </w:p>
    <w:p>
      <w:pPr>
        <w:autoSpaceDE w:val="0"/>
        <w:autoSpaceDN w:val="0"/>
        <w:adjustRightInd w:val="0"/>
        <w:spacing w:line="500" w:lineRule="exact"/>
        <w:ind w:right="6" w:firstLine="420"/>
        <w:rPr>
          <w:rFonts w:ascii="宋体" w:hAnsi="宋体" w:cs="宋体"/>
        </w:rPr>
      </w:pPr>
      <w:r>
        <w:rPr>
          <w:rFonts w:hint="eastAsia" w:ascii="宋体" w:hAnsi="宋体" w:cs="宋体"/>
        </w:rPr>
        <w:t xml:space="preserve">29.4 采购代理机构将做开标记录，开标记录包括规定在开标时宣读的全部内容。与会的投标人或其代表应在开标记录上签字确认。    </w:t>
      </w:r>
    </w:p>
    <w:p>
      <w:pPr>
        <w:autoSpaceDE w:val="0"/>
        <w:autoSpaceDN w:val="0"/>
        <w:adjustRightInd w:val="0"/>
        <w:spacing w:line="500" w:lineRule="exact"/>
        <w:ind w:right="6" w:firstLine="420"/>
        <w:rPr>
          <w:rFonts w:ascii="宋体" w:hAnsi="宋体" w:cs="宋体"/>
        </w:rPr>
      </w:pPr>
      <w:r>
        <w:rPr>
          <w:rFonts w:hint="eastAsia" w:ascii="宋体" w:hAnsi="宋体" w:cs="宋体"/>
        </w:rPr>
        <w:t>29.5 在开标时没有启封和读出的投标文件（包括按照投标人须知规定递交的修改书），在评标时将不予考虑。提交了可接受的“撤回”的投标文件将不予开封并退回给投标人。</w:t>
      </w:r>
    </w:p>
    <w:p>
      <w:pPr>
        <w:autoSpaceDE w:val="0"/>
        <w:autoSpaceDN w:val="0"/>
        <w:adjustRightInd w:val="0"/>
        <w:spacing w:line="500" w:lineRule="exact"/>
        <w:ind w:right="6"/>
        <w:rPr>
          <w:rFonts w:ascii="宋体" w:hAnsi="宋体" w:cs="宋体"/>
        </w:rPr>
      </w:pPr>
      <w:r>
        <w:rPr>
          <w:rFonts w:hint="eastAsia" w:ascii="宋体" w:hAnsi="宋体" w:cs="宋体"/>
        </w:rPr>
        <w:t xml:space="preserve">    29.6 开标后，直到向中标的投标人授予合同为止，凡与审查、澄清、评价和比较投标的有关资料及授标意见等内容，任何人均不得向投标人及与评标无关的其他人透露。</w:t>
      </w:r>
    </w:p>
    <w:p>
      <w:pPr>
        <w:autoSpaceDE w:val="0"/>
        <w:autoSpaceDN w:val="0"/>
        <w:adjustRightInd w:val="0"/>
        <w:spacing w:line="500" w:lineRule="exact"/>
        <w:ind w:right="6" w:firstLine="420"/>
        <w:rPr>
          <w:rFonts w:ascii="宋体" w:hAnsi="宋体" w:cs="宋体"/>
        </w:rPr>
      </w:pPr>
      <w:r>
        <w:rPr>
          <w:rFonts w:hint="eastAsia" w:ascii="宋体" w:hAnsi="宋体" w:cs="宋体"/>
        </w:rPr>
        <w:t>29.7 开标结束后，</w:t>
      </w:r>
      <w:r>
        <w:rPr>
          <w:rFonts w:hint="eastAsia" w:ascii="宋体" w:hAnsi="宋体" w:cs="宋体"/>
          <w:b/>
          <w:bCs/>
        </w:rPr>
        <w:t>采购人或采购代理机构</w:t>
      </w:r>
      <w:r>
        <w:rPr>
          <w:rFonts w:hint="eastAsia" w:ascii="宋体" w:hAnsi="宋体" w:cs="宋体"/>
        </w:rPr>
        <w:t>将依法对各投标人的资格证明文件进行审查，签字确认并宣读检查结果。未通过资格性审查的按无效投标文件处理，合格投标人不足三家的，不进行评标。</w:t>
      </w:r>
    </w:p>
    <w:p>
      <w:pPr>
        <w:spacing w:before="240" w:after="120"/>
        <w:jc w:val="center"/>
        <w:outlineLvl w:val="2"/>
        <w:rPr>
          <w:rFonts w:ascii="宋体" w:hAnsi="宋体" w:cs="宋体"/>
          <w:b/>
          <w:bCs/>
          <w:sz w:val="28"/>
        </w:rPr>
      </w:pPr>
      <w:r>
        <w:rPr>
          <w:rFonts w:hint="eastAsia" w:ascii="宋体" w:hAnsi="宋体" w:cs="宋体"/>
          <w:b/>
          <w:bCs/>
          <w:sz w:val="28"/>
        </w:rPr>
        <w:t>六、评标</w:t>
      </w:r>
    </w:p>
    <w:p>
      <w:pPr>
        <w:autoSpaceDE w:val="0"/>
        <w:autoSpaceDN w:val="0"/>
        <w:adjustRightInd w:val="0"/>
        <w:spacing w:line="500" w:lineRule="exact"/>
        <w:ind w:right="6"/>
        <w:rPr>
          <w:rFonts w:ascii="宋体" w:hAnsi="宋体" w:cs="宋体"/>
          <w:b/>
          <w:bCs/>
          <w:kern w:val="0"/>
          <w:sz w:val="24"/>
        </w:rPr>
      </w:pPr>
      <w:r>
        <w:rPr>
          <w:rFonts w:hint="eastAsia" w:ascii="宋体" w:hAnsi="宋体" w:cs="宋体"/>
          <w:b/>
          <w:bCs/>
          <w:kern w:val="0"/>
          <w:sz w:val="24"/>
        </w:rPr>
        <w:t>30、评标委员会</w:t>
      </w:r>
    </w:p>
    <w:p>
      <w:pPr>
        <w:autoSpaceDE w:val="0"/>
        <w:autoSpaceDN w:val="0"/>
        <w:adjustRightInd w:val="0"/>
        <w:spacing w:line="500" w:lineRule="exact"/>
        <w:ind w:right="6" w:firstLine="420"/>
        <w:rPr>
          <w:rFonts w:ascii="宋体" w:hAnsi="宋体" w:cs="宋体"/>
        </w:rPr>
      </w:pPr>
      <w:r>
        <w:rPr>
          <w:rFonts w:hint="eastAsia" w:ascii="宋体" w:hAnsi="宋体" w:cs="宋体"/>
        </w:rPr>
        <w:t>30.1  采购人将根据本次采购项目的特点，参照《中华人民共和国政府采购法》、中华人民共和国2015年第658号国务院令--《中华人民共和国政府采购法实施条例》和中华人民共和国财政部2017年第87号部长令--《政府采购货物和服务招标投标管理办法》等政策法规的规定，依法组建评标委员会。评标委员会按照招标文件规定的评标方法独立进行评标工作。</w:t>
      </w:r>
    </w:p>
    <w:p>
      <w:pPr>
        <w:autoSpaceDE w:val="0"/>
        <w:autoSpaceDN w:val="0"/>
        <w:adjustRightInd w:val="0"/>
        <w:spacing w:line="500" w:lineRule="exact"/>
        <w:ind w:right="6" w:firstLine="420"/>
        <w:rPr>
          <w:rFonts w:ascii="宋体" w:hAnsi="宋体" w:cs="宋体"/>
        </w:rPr>
      </w:pPr>
      <w:r>
        <w:rPr>
          <w:rFonts w:hint="eastAsia" w:ascii="宋体" w:hAnsi="宋体" w:cs="宋体"/>
        </w:rPr>
        <w:t>30.2  评委会成员到位后，推荐一名评审专家担任评审组长，并由评审组长牵头组织该项目评审工作，采购人授权的评审专家，不得担任评审组长。</w:t>
      </w:r>
    </w:p>
    <w:p>
      <w:pPr>
        <w:autoSpaceDE w:val="0"/>
        <w:autoSpaceDN w:val="0"/>
        <w:adjustRightInd w:val="0"/>
        <w:spacing w:line="500" w:lineRule="exact"/>
        <w:ind w:right="6"/>
        <w:rPr>
          <w:rFonts w:ascii="宋体" w:hAnsi="宋体" w:cs="宋体"/>
        </w:rPr>
      </w:pPr>
      <w:r>
        <w:rPr>
          <w:rFonts w:hint="eastAsia" w:ascii="宋体" w:hAnsi="宋体" w:cs="宋体"/>
        </w:rPr>
        <w:t xml:space="preserve">    30.3  评标委员会成员有下列情形之一的，应当回避：</w:t>
      </w:r>
    </w:p>
    <w:p>
      <w:pPr>
        <w:autoSpaceDE w:val="0"/>
        <w:autoSpaceDN w:val="0"/>
        <w:adjustRightInd w:val="0"/>
        <w:spacing w:line="500" w:lineRule="exact"/>
        <w:ind w:right="6"/>
        <w:rPr>
          <w:rFonts w:ascii="宋体" w:hAnsi="宋体" w:cs="宋体"/>
        </w:rPr>
      </w:pPr>
      <w:r>
        <w:rPr>
          <w:rFonts w:hint="eastAsia" w:ascii="宋体" w:hAnsi="宋体" w:cs="宋体"/>
        </w:rPr>
        <w:t xml:space="preserve">    （1）采购人或投标人的主要负责人的近亲属；</w:t>
      </w:r>
    </w:p>
    <w:p>
      <w:pPr>
        <w:autoSpaceDE w:val="0"/>
        <w:autoSpaceDN w:val="0"/>
        <w:adjustRightInd w:val="0"/>
        <w:spacing w:line="500" w:lineRule="exact"/>
        <w:ind w:right="6"/>
        <w:rPr>
          <w:rFonts w:ascii="宋体" w:hAnsi="宋体" w:cs="宋体"/>
        </w:rPr>
      </w:pPr>
      <w:r>
        <w:rPr>
          <w:rFonts w:hint="eastAsia" w:ascii="宋体" w:hAnsi="宋体" w:cs="宋体"/>
        </w:rPr>
        <w:t xml:space="preserve">    （2）项目主管部门或者行政监督部门的人员；</w:t>
      </w:r>
    </w:p>
    <w:p>
      <w:pPr>
        <w:autoSpaceDE w:val="0"/>
        <w:autoSpaceDN w:val="0"/>
        <w:adjustRightInd w:val="0"/>
        <w:spacing w:line="500" w:lineRule="exact"/>
        <w:ind w:right="6"/>
        <w:rPr>
          <w:rFonts w:ascii="宋体" w:hAnsi="宋体" w:cs="宋体"/>
        </w:rPr>
      </w:pPr>
      <w:r>
        <w:rPr>
          <w:rFonts w:hint="eastAsia" w:ascii="宋体" w:hAnsi="宋体" w:cs="宋体"/>
        </w:rPr>
        <w:t xml:space="preserve">    （3）与投标人有经济利益关系，可能影响对投标公正评审的；</w:t>
      </w:r>
    </w:p>
    <w:p>
      <w:pPr>
        <w:autoSpaceDE w:val="0"/>
        <w:autoSpaceDN w:val="0"/>
        <w:adjustRightInd w:val="0"/>
        <w:spacing w:line="500" w:lineRule="exact"/>
        <w:ind w:right="6"/>
        <w:rPr>
          <w:rFonts w:ascii="宋体" w:hAnsi="宋体" w:cs="宋体"/>
        </w:rPr>
      </w:pPr>
      <w:r>
        <w:rPr>
          <w:rFonts w:hint="eastAsia" w:ascii="宋体" w:hAnsi="宋体" w:cs="宋体"/>
        </w:rPr>
        <w:t xml:space="preserve">    （4）曾因在招标、评标以及其他与招标投标有关活动中从事违法行为而受过行政处罚或刑事处罚的。</w:t>
      </w:r>
    </w:p>
    <w:p>
      <w:pPr>
        <w:autoSpaceDE w:val="0"/>
        <w:autoSpaceDN w:val="0"/>
        <w:adjustRightInd w:val="0"/>
        <w:spacing w:line="500" w:lineRule="exact"/>
        <w:ind w:right="6"/>
        <w:rPr>
          <w:rFonts w:ascii="宋体" w:hAnsi="宋体" w:cs="宋体"/>
        </w:rPr>
      </w:pPr>
      <w:r>
        <w:rPr>
          <w:rFonts w:hint="eastAsia" w:ascii="宋体" w:hAnsi="宋体" w:cs="宋体"/>
        </w:rPr>
        <w:t xml:space="preserve">    30.4  招标文件和投标文件是评标的依据。在评标中，不得改变招标文件中规定的评标标准、方法和中标条件。投标人不得在开标后使用任何方式对投标文件的实质性内容做任何更改。</w:t>
      </w:r>
    </w:p>
    <w:p>
      <w:pPr>
        <w:autoSpaceDE w:val="0"/>
        <w:autoSpaceDN w:val="0"/>
        <w:adjustRightInd w:val="0"/>
        <w:spacing w:line="500" w:lineRule="exact"/>
        <w:ind w:right="6" w:firstLine="420"/>
        <w:rPr>
          <w:rFonts w:ascii="宋体" w:hAnsi="宋体" w:cs="宋体"/>
        </w:rPr>
      </w:pPr>
      <w:r>
        <w:rPr>
          <w:rFonts w:hint="eastAsia" w:ascii="宋体" w:hAnsi="宋体" w:cs="宋体"/>
        </w:rPr>
        <w:t>30.5  在评标期间，对投标文件中含义不明确、同类问题表述不一致或者有明显文字和计算错误的内容，评标委员会可以书面形式（由评标委员会专家签字）要求投标人作出必要的澄清、说明或者纠正。投标人的澄清、说明或者补正应当采用书面形式，由其授权的代表签字，并不得超出投标文件的范围或者改变投标文件的实质性内容。</w:t>
      </w:r>
    </w:p>
    <w:p>
      <w:pPr>
        <w:autoSpaceDE w:val="0"/>
        <w:autoSpaceDN w:val="0"/>
        <w:adjustRightInd w:val="0"/>
        <w:spacing w:line="500" w:lineRule="exact"/>
        <w:ind w:right="6"/>
        <w:rPr>
          <w:rFonts w:ascii="宋体" w:hAnsi="宋体" w:cs="宋体"/>
        </w:rPr>
      </w:pPr>
      <w:r>
        <w:rPr>
          <w:rFonts w:hint="eastAsia" w:ascii="宋体" w:hAnsi="宋体" w:cs="宋体"/>
        </w:rPr>
        <w:t xml:space="preserve">    30.6  如果投标人在澄清规定期限内，未能答复或拒绝答复评委会提出的澄清要求，将由评标委员会根据其投标文件按最大风险进行评标。</w:t>
      </w:r>
    </w:p>
    <w:p>
      <w:pPr>
        <w:autoSpaceDE w:val="0"/>
        <w:autoSpaceDN w:val="0"/>
        <w:adjustRightInd w:val="0"/>
        <w:spacing w:line="500" w:lineRule="exact"/>
        <w:ind w:right="6"/>
        <w:rPr>
          <w:rFonts w:ascii="宋体" w:hAnsi="宋体" w:cs="宋体"/>
        </w:rPr>
      </w:pPr>
      <w:r>
        <w:rPr>
          <w:rFonts w:hint="eastAsia" w:ascii="宋体" w:hAnsi="宋体" w:cs="宋体"/>
        </w:rPr>
        <w:t xml:space="preserve">    30.7  评标委员会成员对各投标人投标文件进行审查、质疑、评估和比较，并推荐出3名中标候选人。</w:t>
      </w:r>
    </w:p>
    <w:p>
      <w:pPr>
        <w:autoSpaceDE w:val="0"/>
        <w:autoSpaceDN w:val="0"/>
        <w:adjustRightInd w:val="0"/>
        <w:spacing w:line="500" w:lineRule="exact"/>
        <w:ind w:right="6"/>
        <w:rPr>
          <w:rFonts w:ascii="宋体" w:hAnsi="宋体" w:cs="宋体"/>
          <w:b/>
          <w:bCs/>
          <w:kern w:val="0"/>
          <w:sz w:val="24"/>
        </w:rPr>
      </w:pPr>
      <w:r>
        <w:rPr>
          <w:rFonts w:hint="eastAsia" w:ascii="宋体" w:hAnsi="宋体" w:cs="宋体"/>
          <w:b/>
          <w:bCs/>
          <w:kern w:val="0"/>
          <w:sz w:val="24"/>
        </w:rPr>
        <w:t>31、评标原则</w:t>
      </w:r>
    </w:p>
    <w:p>
      <w:pPr>
        <w:autoSpaceDE w:val="0"/>
        <w:autoSpaceDN w:val="0"/>
        <w:adjustRightInd w:val="0"/>
        <w:spacing w:line="500" w:lineRule="exact"/>
        <w:ind w:right="6"/>
        <w:rPr>
          <w:rFonts w:ascii="宋体" w:hAnsi="宋体" w:cs="宋体"/>
        </w:rPr>
      </w:pPr>
      <w:r>
        <w:rPr>
          <w:rFonts w:hint="eastAsia" w:ascii="宋体" w:hAnsi="宋体" w:cs="宋体"/>
        </w:rPr>
        <w:t xml:space="preserve">    评标原则应遵循公平、公正、科学和择优的原则，并以相同的评标程序和标准对待所有的投标人。</w:t>
      </w:r>
    </w:p>
    <w:p>
      <w:pPr>
        <w:autoSpaceDE w:val="0"/>
        <w:autoSpaceDN w:val="0"/>
        <w:adjustRightInd w:val="0"/>
        <w:spacing w:line="500" w:lineRule="exact"/>
        <w:ind w:right="6"/>
        <w:rPr>
          <w:rFonts w:ascii="宋体" w:hAnsi="宋体" w:cs="宋体"/>
          <w:b/>
          <w:bCs/>
          <w:kern w:val="0"/>
          <w:sz w:val="24"/>
        </w:rPr>
      </w:pPr>
      <w:r>
        <w:rPr>
          <w:rFonts w:hint="eastAsia" w:ascii="宋体" w:hAnsi="宋体" w:cs="宋体"/>
          <w:b/>
          <w:bCs/>
          <w:kern w:val="0"/>
          <w:sz w:val="24"/>
        </w:rPr>
        <w:t>32、评标</w:t>
      </w:r>
    </w:p>
    <w:p>
      <w:pPr>
        <w:autoSpaceDE w:val="0"/>
        <w:autoSpaceDN w:val="0"/>
        <w:adjustRightInd w:val="0"/>
        <w:spacing w:line="500" w:lineRule="exact"/>
        <w:ind w:right="6"/>
        <w:rPr>
          <w:rFonts w:ascii="宋体" w:hAnsi="宋体" w:cs="宋体"/>
        </w:rPr>
      </w:pPr>
      <w:r>
        <w:rPr>
          <w:rFonts w:hint="eastAsia" w:ascii="宋体" w:hAnsi="宋体" w:cs="宋体"/>
        </w:rPr>
        <w:t xml:space="preserve">    32.1  评标委员会严格按照《政府采购货物和服务招标投标管理办法》（财政部第87号令）规定的程序和招标文件规定的评标办法及标准对各投标文件进行评审。</w:t>
      </w:r>
    </w:p>
    <w:p>
      <w:pPr>
        <w:autoSpaceDE w:val="0"/>
        <w:autoSpaceDN w:val="0"/>
        <w:adjustRightInd w:val="0"/>
        <w:spacing w:line="500" w:lineRule="exact"/>
        <w:ind w:right="6"/>
        <w:rPr>
          <w:rFonts w:ascii="宋体" w:hAnsi="宋体" w:cs="宋体"/>
        </w:rPr>
      </w:pPr>
      <w:r>
        <w:rPr>
          <w:rFonts w:hint="eastAsia" w:ascii="宋体" w:hAnsi="宋体" w:cs="宋体"/>
        </w:rPr>
        <w:t xml:space="preserve">    32.2  评标委员会负责具体评标事务，并独立履行下列职责：</w:t>
      </w:r>
    </w:p>
    <w:p>
      <w:pPr>
        <w:autoSpaceDE w:val="0"/>
        <w:autoSpaceDN w:val="0"/>
        <w:adjustRightInd w:val="0"/>
        <w:spacing w:line="500" w:lineRule="exact"/>
        <w:ind w:right="6"/>
        <w:rPr>
          <w:rFonts w:ascii="宋体" w:hAnsi="宋体" w:cs="宋体"/>
        </w:rPr>
      </w:pPr>
      <w:r>
        <w:rPr>
          <w:rFonts w:hint="eastAsia" w:ascii="宋体" w:hAnsi="宋体" w:cs="宋体"/>
        </w:rPr>
        <w:t xml:space="preserve">    （1）审查投标文件是否符合招标文件要求，并做出评价；</w:t>
      </w:r>
    </w:p>
    <w:p>
      <w:pPr>
        <w:autoSpaceDE w:val="0"/>
        <w:autoSpaceDN w:val="0"/>
        <w:adjustRightInd w:val="0"/>
        <w:spacing w:line="500" w:lineRule="exact"/>
        <w:ind w:right="6"/>
        <w:rPr>
          <w:rFonts w:ascii="宋体" w:hAnsi="宋体" w:cs="宋体"/>
        </w:rPr>
      </w:pPr>
      <w:r>
        <w:rPr>
          <w:rFonts w:hint="eastAsia" w:ascii="宋体" w:hAnsi="宋体" w:cs="宋体"/>
        </w:rPr>
        <w:t xml:space="preserve">    （2）以书面形式要求投标人就投标文件中含义不明确的内容及有关事项做出解释或者澄清，并提供相关材料；</w:t>
      </w:r>
    </w:p>
    <w:p>
      <w:pPr>
        <w:autoSpaceDE w:val="0"/>
        <w:autoSpaceDN w:val="0"/>
        <w:adjustRightInd w:val="0"/>
        <w:spacing w:line="500" w:lineRule="exact"/>
        <w:ind w:right="6"/>
        <w:rPr>
          <w:rFonts w:ascii="宋体" w:hAnsi="宋体" w:cs="宋体"/>
        </w:rPr>
      </w:pPr>
      <w:r>
        <w:rPr>
          <w:rFonts w:hint="eastAsia" w:ascii="宋体" w:hAnsi="宋体" w:cs="宋体"/>
        </w:rPr>
        <w:t xml:space="preserve">    （3）推荐中标候选投标人名单，或者受采购人委托按照事先确定的办法直接确定中标人；</w:t>
      </w:r>
    </w:p>
    <w:p>
      <w:pPr>
        <w:autoSpaceDE w:val="0"/>
        <w:autoSpaceDN w:val="0"/>
        <w:adjustRightInd w:val="0"/>
        <w:spacing w:line="500" w:lineRule="exact"/>
        <w:ind w:right="6"/>
        <w:rPr>
          <w:rFonts w:ascii="宋体" w:hAnsi="宋体" w:cs="宋体"/>
        </w:rPr>
      </w:pPr>
      <w:r>
        <w:rPr>
          <w:rFonts w:hint="eastAsia" w:ascii="宋体" w:hAnsi="宋体" w:cs="宋体"/>
        </w:rPr>
        <w:t xml:space="preserve">    （4）配合采购人、采购代理机构答复各投标人提出的质疑；</w:t>
      </w:r>
    </w:p>
    <w:p>
      <w:pPr>
        <w:autoSpaceDE w:val="0"/>
        <w:autoSpaceDN w:val="0"/>
        <w:adjustRightInd w:val="0"/>
        <w:spacing w:line="500" w:lineRule="exact"/>
        <w:ind w:right="6"/>
        <w:rPr>
          <w:rFonts w:ascii="宋体" w:hAnsi="宋体" w:cs="宋体"/>
        </w:rPr>
      </w:pPr>
      <w:r>
        <w:rPr>
          <w:rFonts w:hint="eastAsia" w:ascii="宋体" w:hAnsi="宋体" w:cs="宋体"/>
        </w:rPr>
        <w:t xml:space="preserve">    （5）向采购单位或者有关部门报告非法干预评标工作的行为。</w:t>
      </w:r>
    </w:p>
    <w:p>
      <w:pPr>
        <w:autoSpaceDE w:val="0"/>
        <w:autoSpaceDN w:val="0"/>
        <w:adjustRightInd w:val="0"/>
        <w:spacing w:line="500" w:lineRule="exact"/>
        <w:ind w:right="6"/>
        <w:rPr>
          <w:rFonts w:ascii="宋体" w:hAnsi="宋体" w:cs="宋体"/>
        </w:rPr>
      </w:pPr>
      <w:r>
        <w:rPr>
          <w:rFonts w:hint="eastAsia" w:ascii="宋体" w:hAnsi="宋体" w:cs="宋体"/>
        </w:rPr>
        <w:t xml:space="preserve">    32.3  评标过程严格保密</w:t>
      </w:r>
    </w:p>
    <w:p>
      <w:pPr>
        <w:autoSpaceDE w:val="0"/>
        <w:autoSpaceDN w:val="0"/>
        <w:adjustRightInd w:val="0"/>
        <w:spacing w:line="500" w:lineRule="exact"/>
        <w:ind w:right="6"/>
        <w:rPr>
          <w:rFonts w:ascii="宋体" w:hAnsi="宋体" w:cs="宋体"/>
        </w:rPr>
      </w:pPr>
      <w:r>
        <w:rPr>
          <w:rFonts w:hint="eastAsia" w:ascii="宋体" w:hAnsi="宋体" w:cs="宋体"/>
        </w:rPr>
        <w:t xml:space="preserve">    （1）评标委员会成员和与评标活动有关的工作人员不得泄露有关投标文件的评审和比较、中标候选人的推荐以及与评标有关的其他情况。</w:t>
      </w:r>
    </w:p>
    <w:p>
      <w:pPr>
        <w:autoSpaceDE w:val="0"/>
        <w:autoSpaceDN w:val="0"/>
        <w:adjustRightInd w:val="0"/>
        <w:spacing w:line="500" w:lineRule="exact"/>
        <w:ind w:right="6"/>
        <w:rPr>
          <w:rFonts w:ascii="宋体" w:hAnsi="宋体" w:cs="宋体"/>
        </w:rPr>
      </w:pPr>
      <w:r>
        <w:rPr>
          <w:rFonts w:hint="eastAsia" w:ascii="宋体" w:hAnsi="宋体" w:cs="宋体"/>
        </w:rPr>
        <w:t xml:space="preserve">    （2）在评标过程中，如果投标人试图在投标文件的评审和比较、中标候选人的推荐以及与评标有关的其他方面，向评标人、采购人和采购代理机构施加任何影响的任何行为，都将会导致其投标被拒绝。</w:t>
      </w:r>
    </w:p>
    <w:p>
      <w:pPr>
        <w:autoSpaceDE w:val="0"/>
        <w:autoSpaceDN w:val="0"/>
        <w:adjustRightInd w:val="0"/>
        <w:spacing w:line="500" w:lineRule="exact"/>
        <w:ind w:right="6"/>
        <w:rPr>
          <w:rFonts w:ascii="宋体" w:hAnsi="宋体" w:cs="宋体"/>
        </w:rPr>
      </w:pPr>
      <w:r>
        <w:rPr>
          <w:rFonts w:hint="eastAsia" w:ascii="宋体" w:hAnsi="宋体" w:cs="宋体"/>
        </w:rPr>
        <w:t xml:space="preserve">    （3）中标人确定后，采购人和代理机构不对未中标人就评标过程以及未能中标原因作出任何解释。未中标人不得向评标委员会组成人员或其他有关人员索问评标过程的情况和材料，其投标文件不予退还（含纸质及电子版文件）。</w:t>
      </w:r>
    </w:p>
    <w:p>
      <w:pPr>
        <w:spacing w:before="240" w:after="120"/>
        <w:jc w:val="center"/>
        <w:outlineLvl w:val="2"/>
        <w:rPr>
          <w:rFonts w:ascii="宋体" w:hAnsi="宋体" w:cs="宋体"/>
          <w:b/>
          <w:bCs/>
          <w:sz w:val="28"/>
        </w:rPr>
      </w:pPr>
      <w:r>
        <w:rPr>
          <w:rFonts w:hint="eastAsia" w:ascii="宋体" w:hAnsi="宋体" w:cs="宋体"/>
          <w:b/>
          <w:bCs/>
          <w:sz w:val="28"/>
        </w:rPr>
        <w:t>七、定标</w:t>
      </w:r>
    </w:p>
    <w:p>
      <w:pPr>
        <w:autoSpaceDE w:val="0"/>
        <w:autoSpaceDN w:val="0"/>
        <w:adjustRightInd w:val="0"/>
        <w:spacing w:line="500" w:lineRule="exact"/>
        <w:ind w:right="6"/>
        <w:rPr>
          <w:rFonts w:ascii="宋体" w:hAnsi="宋体" w:cs="宋体"/>
          <w:b/>
          <w:bCs/>
          <w:kern w:val="0"/>
          <w:sz w:val="24"/>
        </w:rPr>
      </w:pPr>
      <w:r>
        <w:rPr>
          <w:rFonts w:hint="eastAsia" w:ascii="宋体" w:hAnsi="宋体" w:cs="宋体"/>
          <w:b/>
          <w:bCs/>
          <w:kern w:val="0"/>
          <w:sz w:val="24"/>
        </w:rPr>
        <w:t>33、定标原则</w:t>
      </w:r>
    </w:p>
    <w:p>
      <w:pPr>
        <w:autoSpaceDE w:val="0"/>
        <w:autoSpaceDN w:val="0"/>
        <w:adjustRightInd w:val="0"/>
        <w:spacing w:line="500" w:lineRule="exact"/>
        <w:ind w:right="6"/>
        <w:rPr>
          <w:rFonts w:ascii="宋体" w:hAnsi="宋体" w:cs="宋体"/>
        </w:rPr>
      </w:pPr>
      <w:r>
        <w:rPr>
          <w:rFonts w:hint="eastAsia" w:ascii="宋体" w:hAnsi="宋体" w:cs="宋体"/>
        </w:rPr>
        <w:t xml:space="preserve">    采购人根据评标委员会推荐的中标候选人名单，按顺序确定中标人。</w:t>
      </w:r>
    </w:p>
    <w:p>
      <w:pPr>
        <w:autoSpaceDE w:val="0"/>
        <w:autoSpaceDN w:val="0"/>
        <w:adjustRightInd w:val="0"/>
        <w:spacing w:line="500" w:lineRule="exact"/>
        <w:ind w:right="6"/>
        <w:rPr>
          <w:rFonts w:ascii="宋体" w:hAnsi="宋体" w:cs="宋体"/>
          <w:b/>
          <w:bCs/>
          <w:kern w:val="0"/>
          <w:sz w:val="24"/>
        </w:rPr>
      </w:pPr>
      <w:r>
        <w:rPr>
          <w:rFonts w:hint="eastAsia" w:ascii="宋体" w:hAnsi="宋体" w:cs="宋体"/>
          <w:b/>
          <w:bCs/>
          <w:kern w:val="0"/>
          <w:sz w:val="24"/>
        </w:rPr>
        <w:t>34、定标程序</w:t>
      </w:r>
    </w:p>
    <w:p>
      <w:pPr>
        <w:autoSpaceDE w:val="0"/>
        <w:autoSpaceDN w:val="0"/>
        <w:adjustRightInd w:val="0"/>
        <w:spacing w:line="500" w:lineRule="exact"/>
        <w:ind w:right="6"/>
        <w:rPr>
          <w:rFonts w:ascii="宋体" w:hAnsi="宋体" w:cs="宋体"/>
        </w:rPr>
      </w:pPr>
      <w:r>
        <w:rPr>
          <w:rFonts w:hint="eastAsia" w:ascii="宋体" w:hAnsi="宋体" w:cs="宋体"/>
        </w:rPr>
        <w:t xml:space="preserve">    34.1  评标委员会根据评标办法的规定对投标人进行评审排序，推荐一个以上三个以下中标候选人，形成评标报告，评审报告由评标委员会全体成员签字确认。</w:t>
      </w:r>
    </w:p>
    <w:p>
      <w:pPr>
        <w:autoSpaceDE w:val="0"/>
        <w:autoSpaceDN w:val="0"/>
        <w:adjustRightInd w:val="0"/>
        <w:spacing w:line="500" w:lineRule="exact"/>
        <w:ind w:right="6"/>
        <w:rPr>
          <w:rFonts w:ascii="宋体" w:hAnsi="宋体" w:cs="宋体"/>
        </w:rPr>
      </w:pPr>
      <w:r>
        <w:rPr>
          <w:rFonts w:hint="eastAsia" w:ascii="宋体" w:hAnsi="宋体" w:cs="宋体"/>
        </w:rPr>
        <w:t xml:space="preserve">    34.2  采购代理机构应在评标结束后2个工作日内，将评标报告送采购人定标。</w:t>
      </w:r>
    </w:p>
    <w:p>
      <w:pPr>
        <w:autoSpaceDE w:val="0"/>
        <w:autoSpaceDN w:val="0"/>
        <w:adjustRightInd w:val="0"/>
        <w:spacing w:line="500" w:lineRule="exact"/>
        <w:ind w:right="6"/>
        <w:rPr>
          <w:rFonts w:ascii="宋体" w:hAnsi="宋体" w:cs="宋体"/>
        </w:rPr>
      </w:pPr>
      <w:r>
        <w:rPr>
          <w:rFonts w:hint="eastAsia" w:ascii="宋体" w:hAnsi="宋体" w:cs="宋体"/>
        </w:rPr>
        <w:t xml:space="preserve">    34.3  采购人在收到评标报告后5个工作日内，根据评标报告中推荐的中标候选人排列顺序，确定排名第一的为中标人，也可以书面授权评标委员会评标后直接确定中标人，同时复函采购代理机构。</w:t>
      </w:r>
    </w:p>
    <w:p>
      <w:pPr>
        <w:autoSpaceDE w:val="0"/>
        <w:autoSpaceDN w:val="0"/>
        <w:adjustRightInd w:val="0"/>
        <w:spacing w:line="500" w:lineRule="exact"/>
        <w:ind w:right="6"/>
        <w:rPr>
          <w:rFonts w:ascii="宋体" w:hAnsi="宋体" w:cs="宋体"/>
        </w:rPr>
      </w:pPr>
      <w:r>
        <w:rPr>
          <w:rFonts w:hint="eastAsia" w:ascii="宋体" w:hAnsi="宋体" w:cs="宋体"/>
        </w:rPr>
        <w:t xml:space="preserve">    34.4  采购代理机构在接到采购人的定标复函之日起2个工作日内，根据采购人确定的中标人，在财政部门指定的政府采购信息发布媒体上公告。</w:t>
      </w:r>
    </w:p>
    <w:p>
      <w:pPr>
        <w:autoSpaceDE w:val="0"/>
        <w:autoSpaceDN w:val="0"/>
        <w:adjustRightInd w:val="0"/>
        <w:spacing w:line="500" w:lineRule="exact"/>
        <w:ind w:right="6"/>
        <w:rPr>
          <w:rFonts w:ascii="宋体" w:hAnsi="宋体" w:cs="宋体"/>
        </w:rPr>
      </w:pPr>
      <w:r>
        <w:rPr>
          <w:rFonts w:hint="eastAsia" w:ascii="宋体" w:hAnsi="宋体" w:cs="宋体"/>
        </w:rPr>
        <w:t xml:space="preserve">    34.5  采购单位不解释中标或落标原因，未中标人不得向评标委员会组成人员或其他有关人员索问评标过程的情况和材料。不退回投标文件和其他投标资料。</w:t>
      </w:r>
    </w:p>
    <w:p>
      <w:pPr>
        <w:autoSpaceDE w:val="0"/>
        <w:autoSpaceDN w:val="0"/>
        <w:adjustRightInd w:val="0"/>
        <w:spacing w:line="500" w:lineRule="exact"/>
        <w:ind w:right="6" w:firstLine="420"/>
        <w:rPr>
          <w:rFonts w:ascii="宋体" w:hAnsi="宋体" w:cs="宋体"/>
        </w:rPr>
      </w:pPr>
      <w:r>
        <w:rPr>
          <w:rFonts w:hint="eastAsia" w:ascii="宋体" w:hAnsi="宋体" w:cs="宋体"/>
        </w:rPr>
        <w:t>34.6  投标人对中标公告有异议的，按照《中华人民共和国政府采购法》第五十二条之规定执行。提出质疑的投标人应当有明确的请求和必要的证明材料，应保证提出的质疑内容及相应证明材料的真实性及来源的合法性，并承担相应的法律责任。</w:t>
      </w:r>
    </w:p>
    <w:p>
      <w:pPr>
        <w:autoSpaceDE w:val="0"/>
        <w:autoSpaceDN w:val="0"/>
        <w:adjustRightInd w:val="0"/>
        <w:spacing w:line="500" w:lineRule="exact"/>
        <w:ind w:right="6" w:firstLine="420"/>
        <w:rPr>
          <w:rFonts w:ascii="宋体" w:hAnsi="宋体" w:cs="宋体"/>
        </w:rPr>
      </w:pPr>
      <w:r>
        <w:rPr>
          <w:rFonts w:hint="eastAsia" w:ascii="宋体" w:hAnsi="宋体" w:cs="宋体"/>
        </w:rPr>
        <w:t>34.7  中标人拒绝与采购人签订合同的，采购人可以按照评审报告推荐的中标候选人名单排序，确定下一候选人为中标人，也可以重新开展政府采购活动。</w:t>
      </w:r>
    </w:p>
    <w:p>
      <w:pPr>
        <w:autoSpaceDE w:val="0"/>
        <w:autoSpaceDN w:val="0"/>
        <w:adjustRightInd w:val="0"/>
        <w:spacing w:line="500" w:lineRule="exact"/>
        <w:ind w:right="6"/>
        <w:rPr>
          <w:rFonts w:ascii="宋体" w:hAnsi="宋体" w:cs="宋体"/>
          <w:b/>
          <w:bCs/>
          <w:kern w:val="0"/>
          <w:sz w:val="24"/>
        </w:rPr>
      </w:pPr>
      <w:r>
        <w:rPr>
          <w:rFonts w:hint="eastAsia" w:ascii="宋体" w:hAnsi="宋体" w:cs="宋体"/>
          <w:b/>
          <w:bCs/>
          <w:kern w:val="0"/>
          <w:sz w:val="24"/>
        </w:rPr>
        <w:t>35、中标通知书</w:t>
      </w:r>
    </w:p>
    <w:p>
      <w:pPr>
        <w:autoSpaceDE w:val="0"/>
        <w:autoSpaceDN w:val="0"/>
        <w:adjustRightInd w:val="0"/>
        <w:spacing w:line="500" w:lineRule="exact"/>
        <w:ind w:right="6"/>
        <w:rPr>
          <w:rFonts w:ascii="宋体" w:hAnsi="宋体" w:cs="宋体"/>
        </w:rPr>
      </w:pPr>
      <w:r>
        <w:rPr>
          <w:rFonts w:hint="eastAsia" w:ascii="宋体" w:hAnsi="宋体" w:cs="宋体"/>
        </w:rPr>
        <w:t xml:space="preserve">    35.1  中标人确定之后，陕西鼎祥越工程造价咨询有限公司将发出《中标通知书》。</w:t>
      </w:r>
    </w:p>
    <w:p>
      <w:pPr>
        <w:autoSpaceDE w:val="0"/>
        <w:autoSpaceDN w:val="0"/>
        <w:adjustRightInd w:val="0"/>
        <w:spacing w:line="500" w:lineRule="exact"/>
        <w:ind w:right="6"/>
        <w:rPr>
          <w:rFonts w:ascii="宋体" w:hAnsi="宋体" w:cs="宋体"/>
        </w:rPr>
      </w:pPr>
      <w:r>
        <w:rPr>
          <w:rFonts w:hint="eastAsia" w:ascii="宋体" w:hAnsi="宋体" w:cs="宋体"/>
        </w:rPr>
        <w:t xml:space="preserve">    35.2  中标通知书为签订政府采购合同的依据，是合同的重要组成部分。</w:t>
      </w:r>
    </w:p>
    <w:p>
      <w:pPr>
        <w:autoSpaceDE w:val="0"/>
        <w:autoSpaceDN w:val="0"/>
        <w:adjustRightInd w:val="0"/>
        <w:spacing w:line="500" w:lineRule="exact"/>
        <w:ind w:right="6"/>
        <w:rPr>
          <w:rFonts w:ascii="宋体" w:hAnsi="宋体" w:cs="宋体"/>
        </w:rPr>
      </w:pPr>
      <w:r>
        <w:rPr>
          <w:rFonts w:hint="eastAsia" w:ascii="宋体" w:hAnsi="宋体" w:cs="宋体"/>
        </w:rPr>
        <w:t xml:space="preserve">    35.3  中标通知书对采购人和中标人均具有法律效力。中标通知书发出后，采购人改变中标结果，或者中标人无正当理由放弃中标的，应当承担相应的法律责任。</w:t>
      </w:r>
    </w:p>
    <w:p>
      <w:pPr>
        <w:autoSpaceDE w:val="0"/>
        <w:autoSpaceDN w:val="0"/>
        <w:adjustRightInd w:val="0"/>
        <w:spacing w:line="500" w:lineRule="exact"/>
        <w:ind w:right="6"/>
        <w:rPr>
          <w:rFonts w:ascii="宋体" w:hAnsi="宋体" w:cs="宋体"/>
        </w:rPr>
      </w:pPr>
      <w:r>
        <w:rPr>
          <w:rFonts w:hint="eastAsia" w:ascii="宋体" w:hAnsi="宋体" w:cs="宋体"/>
        </w:rPr>
        <w:t xml:space="preserve">    35.4  中标人在接到采购代理机构通知之日起7日内领取《中标通知书》。如果已中标的投标人不能按投标文件，包括补充文件（如澄清、承诺等）中承诺的条件履行签约行为，采购人有权取消其中标资格，并扣除其投标保证金。</w:t>
      </w:r>
    </w:p>
    <w:p>
      <w:pPr>
        <w:autoSpaceDE w:val="0"/>
        <w:autoSpaceDN w:val="0"/>
        <w:adjustRightInd w:val="0"/>
        <w:spacing w:line="500" w:lineRule="exact"/>
        <w:ind w:right="6"/>
        <w:rPr>
          <w:rFonts w:ascii="宋体" w:hAnsi="宋体" w:cs="宋体"/>
        </w:rPr>
      </w:pPr>
      <w:r>
        <w:rPr>
          <w:rFonts w:hint="eastAsia" w:ascii="宋体" w:hAnsi="宋体" w:cs="宋体"/>
        </w:rPr>
        <w:t xml:space="preserve">    35.5  在《中标通知书》发出后，发现中标人有政府采购法律法规规章制度规定的中标无效情形的，采购代理机构在取得监督管理机构的认定以后，应当宣布发出的《中标通知书》无效，并收回发出的《中标通知书》（中标人也应当缴回），依法重新确定中标人或者重新开展采购活动。</w:t>
      </w:r>
    </w:p>
    <w:p>
      <w:pPr>
        <w:autoSpaceDE w:val="0"/>
        <w:autoSpaceDN w:val="0"/>
        <w:adjustRightInd w:val="0"/>
        <w:spacing w:line="500" w:lineRule="exact"/>
        <w:ind w:right="6"/>
        <w:rPr>
          <w:rFonts w:ascii="宋体" w:hAnsi="宋体" w:cs="宋体"/>
        </w:rPr>
      </w:pPr>
      <w:r>
        <w:rPr>
          <w:rFonts w:hint="eastAsia" w:ascii="宋体" w:hAnsi="宋体" w:cs="宋体"/>
        </w:rPr>
        <w:t xml:space="preserve">    35.6  </w:t>
      </w:r>
      <w:r>
        <w:rPr>
          <w:rFonts w:hint="eastAsia" w:ascii="宋体" w:hAnsi="宋体" w:cs="宋体"/>
          <w:color w:val="000000"/>
        </w:rPr>
        <w:t>若排名第一的中标候选人放弃中标、因不可抗力不能履行合同、或者被查实存在影响中标结果的违法行为等情形，不符合中标条件的，招标人可以按照评标委员会提出的中标候选人名单排序依次确定其他中标候选人为中标人，也可以重新招标。</w:t>
      </w:r>
    </w:p>
    <w:p>
      <w:pPr>
        <w:spacing w:before="240" w:after="120"/>
        <w:jc w:val="center"/>
        <w:outlineLvl w:val="2"/>
        <w:rPr>
          <w:rFonts w:ascii="宋体" w:hAnsi="宋体" w:cs="宋体"/>
          <w:b/>
          <w:bCs/>
          <w:sz w:val="28"/>
        </w:rPr>
      </w:pPr>
      <w:r>
        <w:rPr>
          <w:rFonts w:hint="eastAsia" w:ascii="宋体" w:hAnsi="宋体" w:cs="宋体"/>
          <w:b/>
          <w:bCs/>
          <w:sz w:val="28"/>
        </w:rPr>
        <w:t>八、废标</w:t>
      </w:r>
    </w:p>
    <w:p>
      <w:pPr>
        <w:autoSpaceDE w:val="0"/>
        <w:autoSpaceDN w:val="0"/>
        <w:adjustRightInd w:val="0"/>
        <w:spacing w:line="500" w:lineRule="exact"/>
        <w:ind w:right="6"/>
        <w:rPr>
          <w:rFonts w:ascii="宋体" w:hAnsi="宋体" w:cs="宋体"/>
          <w:b/>
          <w:bCs/>
          <w:kern w:val="0"/>
          <w:sz w:val="24"/>
        </w:rPr>
      </w:pPr>
      <w:r>
        <w:rPr>
          <w:rFonts w:hint="eastAsia" w:ascii="宋体" w:hAnsi="宋体" w:cs="宋体"/>
          <w:b/>
          <w:bCs/>
          <w:kern w:val="0"/>
          <w:sz w:val="24"/>
        </w:rPr>
        <w:t xml:space="preserve">36、废标的情形 </w:t>
      </w:r>
    </w:p>
    <w:p>
      <w:pPr>
        <w:autoSpaceDE w:val="0"/>
        <w:autoSpaceDN w:val="0"/>
        <w:adjustRightInd w:val="0"/>
        <w:spacing w:line="500" w:lineRule="exact"/>
        <w:ind w:right="6"/>
        <w:rPr>
          <w:rFonts w:ascii="宋体" w:hAnsi="宋体" w:cs="宋体"/>
        </w:rPr>
      </w:pPr>
      <w:r>
        <w:rPr>
          <w:rFonts w:hint="eastAsia" w:ascii="宋体" w:hAnsi="宋体" w:cs="宋体"/>
        </w:rPr>
        <w:t xml:space="preserve">    招标采购中，出现下列情形之一的，予以废标：</w:t>
      </w:r>
    </w:p>
    <w:p>
      <w:pPr>
        <w:autoSpaceDE w:val="0"/>
        <w:autoSpaceDN w:val="0"/>
        <w:adjustRightInd w:val="0"/>
        <w:spacing w:line="500" w:lineRule="exact"/>
        <w:ind w:right="6"/>
        <w:rPr>
          <w:rFonts w:ascii="宋体" w:hAnsi="宋体" w:cs="宋体"/>
        </w:rPr>
      </w:pPr>
      <w:r>
        <w:rPr>
          <w:rFonts w:hint="eastAsia" w:ascii="宋体" w:hAnsi="宋体" w:cs="宋体"/>
        </w:rPr>
        <w:t xml:space="preserve">    （1）出现影响采购公正的违法、违规行为的；</w:t>
      </w:r>
    </w:p>
    <w:p>
      <w:pPr>
        <w:autoSpaceDE w:val="0"/>
        <w:autoSpaceDN w:val="0"/>
        <w:adjustRightInd w:val="0"/>
        <w:spacing w:line="500" w:lineRule="exact"/>
        <w:ind w:right="6"/>
        <w:rPr>
          <w:rFonts w:ascii="宋体" w:hAnsi="宋体" w:cs="宋体"/>
        </w:rPr>
      </w:pPr>
      <w:r>
        <w:rPr>
          <w:rFonts w:hint="eastAsia" w:ascii="宋体" w:hAnsi="宋体" w:cs="宋体"/>
        </w:rPr>
        <w:t xml:space="preserve">    （2）投标人的投标报价均超过了采购预算，采购人不能支付的；</w:t>
      </w:r>
    </w:p>
    <w:p>
      <w:pPr>
        <w:autoSpaceDE w:val="0"/>
        <w:autoSpaceDN w:val="0"/>
        <w:adjustRightInd w:val="0"/>
        <w:spacing w:line="500" w:lineRule="exact"/>
        <w:ind w:right="6"/>
        <w:rPr>
          <w:rFonts w:ascii="宋体" w:hAnsi="宋体" w:cs="宋体"/>
        </w:rPr>
      </w:pPr>
      <w:r>
        <w:rPr>
          <w:rFonts w:hint="eastAsia" w:ascii="宋体" w:hAnsi="宋体" w:cs="宋体"/>
        </w:rPr>
        <w:t xml:space="preserve">    （3）评标委员会三分之二以上的评委认定所有投标报价存在价格不实的现象；</w:t>
      </w:r>
    </w:p>
    <w:p>
      <w:pPr>
        <w:autoSpaceDE w:val="0"/>
        <w:autoSpaceDN w:val="0"/>
        <w:adjustRightInd w:val="0"/>
        <w:spacing w:line="500" w:lineRule="exact"/>
        <w:ind w:right="6" w:firstLine="420"/>
        <w:rPr>
          <w:rFonts w:ascii="宋体" w:hAnsi="宋体" w:cs="宋体"/>
        </w:rPr>
      </w:pPr>
      <w:r>
        <w:rPr>
          <w:rFonts w:hint="eastAsia" w:ascii="宋体" w:hAnsi="宋体" w:cs="宋体"/>
        </w:rPr>
        <w:t>（4）有证据证明有围标现象的发生；</w:t>
      </w:r>
    </w:p>
    <w:p>
      <w:pPr>
        <w:autoSpaceDE w:val="0"/>
        <w:autoSpaceDN w:val="0"/>
        <w:adjustRightInd w:val="0"/>
        <w:spacing w:line="500" w:lineRule="exact"/>
        <w:ind w:right="6" w:firstLine="420"/>
        <w:rPr>
          <w:rFonts w:ascii="宋体" w:hAnsi="宋体" w:cs="宋体"/>
        </w:rPr>
      </w:pPr>
      <w:r>
        <w:rPr>
          <w:rFonts w:hint="eastAsia" w:ascii="宋体" w:hAnsi="宋体" w:cs="宋体"/>
        </w:rPr>
        <w:t>（5）有证据证明有《中华人民共和国财政部令第87号》第37条窜标情形的；</w:t>
      </w:r>
    </w:p>
    <w:p>
      <w:pPr>
        <w:autoSpaceDE w:val="0"/>
        <w:autoSpaceDN w:val="0"/>
        <w:adjustRightInd w:val="0"/>
        <w:spacing w:line="500" w:lineRule="exact"/>
        <w:ind w:right="6"/>
        <w:rPr>
          <w:rFonts w:ascii="宋体" w:hAnsi="宋体" w:cs="宋体"/>
        </w:rPr>
      </w:pPr>
      <w:r>
        <w:rPr>
          <w:rFonts w:hint="eastAsia" w:ascii="宋体" w:hAnsi="宋体" w:cs="宋体"/>
        </w:rPr>
        <w:t xml:space="preserve">    （6）因重大变故，采购任务取消的。</w:t>
      </w:r>
    </w:p>
    <w:p>
      <w:pPr>
        <w:autoSpaceDE w:val="0"/>
        <w:autoSpaceDN w:val="0"/>
        <w:adjustRightInd w:val="0"/>
        <w:spacing w:line="500" w:lineRule="exact"/>
        <w:ind w:right="6"/>
        <w:rPr>
          <w:rFonts w:ascii="宋体" w:hAnsi="宋体" w:cs="宋体"/>
        </w:rPr>
      </w:pPr>
      <w:r>
        <w:rPr>
          <w:rFonts w:hint="eastAsia" w:ascii="宋体" w:hAnsi="宋体" w:cs="宋体"/>
        </w:rPr>
        <w:t xml:space="preserve">    废标后，采购代理机构应在财政部门指定采购网上公告，并公告废标的详细理由。</w:t>
      </w:r>
    </w:p>
    <w:p>
      <w:pPr>
        <w:spacing w:before="240" w:after="120"/>
        <w:jc w:val="center"/>
        <w:outlineLvl w:val="2"/>
        <w:rPr>
          <w:rFonts w:ascii="宋体" w:hAnsi="宋体" w:cs="宋体"/>
          <w:b/>
          <w:bCs/>
          <w:sz w:val="28"/>
        </w:rPr>
      </w:pPr>
      <w:r>
        <w:rPr>
          <w:rFonts w:hint="eastAsia" w:ascii="宋体" w:hAnsi="宋体" w:cs="宋体"/>
          <w:b/>
          <w:bCs/>
          <w:sz w:val="28"/>
        </w:rPr>
        <w:t>九、合同授予</w:t>
      </w:r>
    </w:p>
    <w:p>
      <w:pPr>
        <w:autoSpaceDE w:val="0"/>
        <w:autoSpaceDN w:val="0"/>
        <w:adjustRightInd w:val="0"/>
        <w:spacing w:line="500" w:lineRule="exact"/>
        <w:ind w:right="6"/>
        <w:rPr>
          <w:rFonts w:ascii="宋体" w:hAnsi="宋体" w:cs="宋体"/>
          <w:b/>
          <w:bCs/>
          <w:kern w:val="0"/>
          <w:sz w:val="24"/>
        </w:rPr>
      </w:pPr>
      <w:r>
        <w:rPr>
          <w:rFonts w:hint="eastAsia" w:ascii="宋体" w:hAnsi="宋体" w:cs="宋体"/>
          <w:b/>
          <w:bCs/>
          <w:kern w:val="0"/>
          <w:sz w:val="24"/>
        </w:rPr>
        <w:t>37、签订合同</w:t>
      </w:r>
    </w:p>
    <w:p>
      <w:pPr>
        <w:autoSpaceDE w:val="0"/>
        <w:autoSpaceDN w:val="0"/>
        <w:adjustRightInd w:val="0"/>
        <w:spacing w:line="500" w:lineRule="exact"/>
        <w:ind w:right="6" w:firstLine="420"/>
        <w:rPr>
          <w:rFonts w:ascii="宋体" w:hAnsi="宋体" w:cs="宋体"/>
        </w:rPr>
      </w:pPr>
      <w:r>
        <w:rPr>
          <w:rFonts w:hint="eastAsia" w:ascii="宋体" w:hAnsi="宋体" w:cs="宋体"/>
        </w:rPr>
        <w:t>37.1  采购人应当自《中标通知书》发出之日起30日内，按照招标文件和中标人投标文件（包括评标中形成的澄清文件）的约定，与中标人签订书面合同。所签订的合同不得对招标文件和中标人的投标文件（包括评标中形成的澄清文件）作实质性修改。</w:t>
      </w:r>
    </w:p>
    <w:p>
      <w:pPr>
        <w:autoSpaceDE w:val="0"/>
        <w:autoSpaceDN w:val="0"/>
        <w:adjustRightInd w:val="0"/>
        <w:spacing w:line="500" w:lineRule="exact"/>
        <w:ind w:right="6" w:firstLine="420"/>
        <w:rPr>
          <w:rFonts w:ascii="宋体" w:hAnsi="宋体" w:cs="宋体"/>
        </w:rPr>
      </w:pPr>
      <w:r>
        <w:rPr>
          <w:rFonts w:hint="eastAsia" w:ascii="宋体" w:hAnsi="宋体" w:cs="宋体"/>
        </w:rPr>
        <w:t>37.2  中标人因不可抗力或者自身原因不能履行采购合同或放弃中标的，采购人可以与排在中标人之后第一位的中标候选人签订政府采购合同，以此类推。</w:t>
      </w:r>
    </w:p>
    <w:p>
      <w:pPr>
        <w:autoSpaceDE w:val="0"/>
        <w:autoSpaceDN w:val="0"/>
        <w:adjustRightInd w:val="0"/>
        <w:spacing w:line="500" w:lineRule="exact"/>
        <w:ind w:right="6" w:firstLine="420"/>
        <w:rPr>
          <w:rFonts w:ascii="宋体" w:hAnsi="宋体" w:cs="宋体"/>
        </w:rPr>
      </w:pPr>
      <w:r>
        <w:rPr>
          <w:rFonts w:hint="eastAsia" w:ascii="宋体" w:hAnsi="宋体" w:cs="宋体"/>
        </w:rPr>
        <w:t>37.3  采购人自政府采购合同签订之日起2个工作日内，将政府采购合同在省级以上人民政府财政部门指定的媒体上公告，但政府采购合同中涉及国家秘密、商业秘密的内容除外。</w:t>
      </w:r>
    </w:p>
    <w:p>
      <w:pPr>
        <w:autoSpaceDE w:val="0"/>
        <w:autoSpaceDN w:val="0"/>
        <w:adjustRightInd w:val="0"/>
        <w:spacing w:line="500" w:lineRule="exact"/>
        <w:ind w:right="6"/>
        <w:rPr>
          <w:rFonts w:ascii="宋体" w:hAnsi="宋体" w:cs="宋体"/>
          <w:b/>
          <w:bCs/>
          <w:kern w:val="0"/>
          <w:sz w:val="24"/>
        </w:rPr>
      </w:pPr>
      <w:r>
        <w:rPr>
          <w:rFonts w:hint="eastAsia" w:ascii="宋体" w:hAnsi="宋体" w:cs="宋体"/>
          <w:b/>
          <w:bCs/>
          <w:kern w:val="0"/>
          <w:sz w:val="24"/>
        </w:rPr>
        <w:t>38、合同实施</w:t>
      </w:r>
    </w:p>
    <w:p>
      <w:pPr>
        <w:autoSpaceDE w:val="0"/>
        <w:autoSpaceDN w:val="0"/>
        <w:adjustRightInd w:val="0"/>
        <w:spacing w:line="500" w:lineRule="exact"/>
        <w:ind w:right="6"/>
        <w:rPr>
          <w:rFonts w:ascii="宋体" w:hAnsi="宋体" w:cs="宋体"/>
        </w:rPr>
      </w:pPr>
      <w:r>
        <w:rPr>
          <w:rFonts w:hint="eastAsia" w:ascii="宋体" w:hAnsi="宋体" w:cs="宋体"/>
        </w:rPr>
        <w:t xml:space="preserve">    38.1  中标人应在合同签订后7个日历日内安排人员（项目组成人员简历表所列）与使用单位就送货、安装、调试、培训等工作进行安排、部署。</w:t>
      </w:r>
    </w:p>
    <w:p>
      <w:pPr>
        <w:autoSpaceDE w:val="0"/>
        <w:autoSpaceDN w:val="0"/>
        <w:adjustRightInd w:val="0"/>
        <w:spacing w:line="500" w:lineRule="exact"/>
        <w:ind w:right="6"/>
        <w:rPr>
          <w:rFonts w:ascii="宋体" w:hAnsi="宋体" w:cs="宋体"/>
        </w:rPr>
      </w:pPr>
      <w:r>
        <w:rPr>
          <w:rFonts w:hint="eastAsia" w:ascii="宋体" w:hAnsi="宋体" w:cs="宋体"/>
        </w:rPr>
        <w:t xml:space="preserve">    38.2  若未能在交货期内完成合同规定的义务，由此对采购人造成的延误和一切损失，由中标人承担和赔偿。</w:t>
      </w:r>
    </w:p>
    <w:p>
      <w:pPr>
        <w:autoSpaceDE w:val="0"/>
        <w:autoSpaceDN w:val="0"/>
        <w:adjustRightInd w:val="0"/>
        <w:spacing w:line="500" w:lineRule="exact"/>
        <w:ind w:right="6"/>
        <w:rPr>
          <w:rFonts w:ascii="宋体" w:hAnsi="宋体" w:cs="宋体"/>
        </w:rPr>
      </w:pPr>
      <w:r>
        <w:rPr>
          <w:rFonts w:hint="eastAsia" w:ascii="宋体" w:hAnsi="宋体" w:cs="宋体"/>
        </w:rPr>
        <w:t xml:space="preserve">    38.3  政府采购合同订立后，合同各方不得擅自变更、中止或者终止合同。政府采购合同需要变更的，采购人应将有关合同变更内容，以书面形式报政府采购监督管理部门备案；因特殊情况需要中止或终止合同的，采购人应将中止或终止合同的理由以及相应措施，以书面形式报政府采购监督管理部门备案。</w:t>
      </w:r>
    </w:p>
    <w:p>
      <w:pPr>
        <w:autoSpaceDE w:val="0"/>
        <w:autoSpaceDN w:val="0"/>
        <w:adjustRightInd w:val="0"/>
        <w:spacing w:line="500" w:lineRule="exact"/>
        <w:ind w:right="6"/>
        <w:rPr>
          <w:rFonts w:ascii="宋体" w:hAnsi="宋体" w:cs="宋体"/>
        </w:rPr>
      </w:pPr>
      <w:r>
        <w:rPr>
          <w:rFonts w:hint="eastAsia" w:ascii="宋体" w:hAnsi="宋体" w:cs="宋体"/>
        </w:rPr>
        <w:t xml:space="preserve">    38.4  政府采购合同履行中，采购人需追加与合同标的相同的货物的，在不改变合同其他条款的前提下，可以与投标人签订补充合同，但所补充合同的采购金额不得超过原合同采购金额的百分之十。签订补充合同的应按规定备案。</w:t>
      </w:r>
    </w:p>
    <w:p>
      <w:pPr>
        <w:autoSpaceDE w:val="0"/>
        <w:autoSpaceDN w:val="0"/>
        <w:adjustRightInd w:val="0"/>
        <w:spacing w:line="500" w:lineRule="exact"/>
        <w:ind w:right="6"/>
        <w:rPr>
          <w:rFonts w:ascii="宋体" w:hAnsi="宋体" w:cs="宋体"/>
          <w:b/>
          <w:bCs/>
          <w:kern w:val="0"/>
          <w:sz w:val="24"/>
        </w:rPr>
      </w:pPr>
      <w:r>
        <w:rPr>
          <w:rFonts w:hint="eastAsia" w:ascii="宋体" w:hAnsi="宋体" w:cs="宋体"/>
          <w:b/>
          <w:bCs/>
          <w:kern w:val="0"/>
          <w:sz w:val="24"/>
        </w:rPr>
        <w:t>39、转包与分包</w:t>
      </w:r>
    </w:p>
    <w:p>
      <w:pPr>
        <w:autoSpaceDE w:val="0"/>
        <w:autoSpaceDN w:val="0"/>
        <w:adjustRightInd w:val="0"/>
        <w:spacing w:line="500" w:lineRule="exact"/>
        <w:ind w:right="6"/>
        <w:rPr>
          <w:rFonts w:ascii="宋体" w:hAnsi="宋体" w:cs="宋体"/>
        </w:rPr>
      </w:pPr>
      <w:r>
        <w:rPr>
          <w:rFonts w:hint="eastAsia" w:ascii="宋体" w:hAnsi="宋体" w:cs="宋体"/>
        </w:rPr>
        <w:t xml:space="preserve">    39.1  本项目不允许采取转包方式履行合同。</w:t>
      </w:r>
    </w:p>
    <w:p>
      <w:pPr>
        <w:autoSpaceDE w:val="0"/>
        <w:autoSpaceDN w:val="0"/>
        <w:adjustRightInd w:val="0"/>
        <w:spacing w:line="500" w:lineRule="exact"/>
        <w:ind w:right="6"/>
        <w:rPr>
          <w:rFonts w:ascii="宋体" w:hAnsi="宋体" w:cs="宋体"/>
        </w:rPr>
      </w:pPr>
      <w:r>
        <w:rPr>
          <w:rFonts w:hint="eastAsia" w:ascii="宋体" w:hAnsi="宋体" w:cs="宋体"/>
        </w:rPr>
        <w:t xml:space="preserve">    39.2  本项目经采购人同意，可以将中标项目的部分非主体、非关键性工作分包给他人完成，本项目“主体和关键性工作”是指：</w:t>
      </w:r>
      <w:r>
        <w:rPr>
          <w:rFonts w:hint="eastAsia" w:ascii="宋体" w:hAnsi="宋体" w:cs="宋体"/>
          <w:u w:val="single"/>
        </w:rPr>
        <w:t xml:space="preserve">           </w:t>
      </w:r>
      <w:r>
        <w:rPr>
          <w:rFonts w:hint="eastAsia" w:ascii="宋体" w:hAnsi="宋体" w:cs="宋体"/>
        </w:rPr>
        <w:t xml:space="preserve"> 【根据项目具体情况确定】。接受分包的投标人应当具备相应的资格条件，并不得再次分包。</w:t>
      </w:r>
    </w:p>
    <w:p>
      <w:pPr>
        <w:autoSpaceDE w:val="0"/>
        <w:autoSpaceDN w:val="0"/>
        <w:adjustRightInd w:val="0"/>
        <w:spacing w:line="500" w:lineRule="exact"/>
        <w:ind w:right="6"/>
        <w:rPr>
          <w:rFonts w:ascii="宋体" w:hAnsi="宋体" w:cs="宋体"/>
        </w:rPr>
      </w:pPr>
      <w:r>
        <w:rPr>
          <w:rFonts w:hint="eastAsia" w:ascii="宋体" w:hAnsi="宋体" w:cs="宋体"/>
        </w:rPr>
        <w:t xml:space="preserve">    39.3  采购合同实行分包履行的，中标人就采购项目和分包项目向采购人负责，分包投标人就分包项目承担责任。</w:t>
      </w:r>
    </w:p>
    <w:p>
      <w:pPr>
        <w:spacing w:before="240" w:after="120"/>
        <w:jc w:val="center"/>
        <w:outlineLvl w:val="2"/>
        <w:rPr>
          <w:rFonts w:ascii="宋体" w:hAnsi="宋体" w:cs="宋体"/>
          <w:b/>
          <w:bCs/>
          <w:sz w:val="28"/>
        </w:rPr>
      </w:pPr>
      <w:r>
        <w:rPr>
          <w:rFonts w:hint="eastAsia" w:ascii="宋体" w:hAnsi="宋体" w:cs="宋体"/>
          <w:b/>
          <w:bCs/>
          <w:sz w:val="28"/>
        </w:rPr>
        <w:t>十、其他</w:t>
      </w:r>
    </w:p>
    <w:p>
      <w:pPr>
        <w:autoSpaceDE w:val="0"/>
        <w:autoSpaceDN w:val="0"/>
        <w:adjustRightInd w:val="0"/>
        <w:spacing w:line="500" w:lineRule="exact"/>
        <w:ind w:right="6"/>
        <w:rPr>
          <w:rFonts w:ascii="宋体" w:hAnsi="宋体" w:cs="宋体"/>
          <w:b/>
          <w:bCs/>
          <w:kern w:val="0"/>
          <w:sz w:val="24"/>
        </w:rPr>
      </w:pPr>
      <w:r>
        <w:rPr>
          <w:rFonts w:hint="eastAsia" w:ascii="宋体" w:hAnsi="宋体" w:cs="宋体"/>
          <w:b/>
          <w:bCs/>
          <w:kern w:val="0"/>
          <w:sz w:val="24"/>
        </w:rPr>
        <w:t>40、采购代理服务费</w:t>
      </w:r>
    </w:p>
    <w:p>
      <w:pPr>
        <w:autoSpaceDE w:val="0"/>
        <w:autoSpaceDN w:val="0"/>
        <w:adjustRightInd w:val="0"/>
        <w:spacing w:line="500" w:lineRule="exact"/>
        <w:ind w:right="6"/>
        <w:rPr>
          <w:rFonts w:ascii="宋体" w:hAnsi="宋体" w:cs="宋体"/>
        </w:rPr>
      </w:pPr>
      <w:r>
        <w:rPr>
          <w:rFonts w:hint="eastAsia" w:ascii="宋体" w:hAnsi="宋体" w:cs="宋体"/>
        </w:rPr>
        <w:t xml:space="preserve">    40.1  不论投标结果如何，投标人应承担其参加本招标活动自身所发生的全部费用。</w:t>
      </w:r>
    </w:p>
    <w:p>
      <w:pPr>
        <w:autoSpaceDE w:val="0"/>
        <w:autoSpaceDN w:val="0"/>
        <w:adjustRightInd w:val="0"/>
        <w:spacing w:line="500" w:lineRule="exact"/>
        <w:ind w:right="6" w:firstLine="420"/>
        <w:rPr>
          <w:rFonts w:ascii="宋体" w:hAnsi="宋体" w:cs="宋体"/>
          <w:color w:val="FF0000"/>
        </w:rPr>
      </w:pPr>
      <w:r>
        <w:rPr>
          <w:rFonts w:hint="eastAsia" w:ascii="宋体" w:hAnsi="宋体" w:cs="宋体"/>
        </w:rPr>
        <w:t>40.2  采购代理服务费参照《国家计委关于印发&lt;招标代理服务收费管理暂行办法&gt;的通知》（计价格[2002]1980号）和国家发展改革委员会办公厅颁发的《关于招标代理服务收费有关问题的通知》（发改办价格『2003』857号）、《国家发展改革委关于降低部分建设项目收费标准规范收费行为等有关问题的通知》（发改价格[2011]534号）的有关规定收取。</w:t>
      </w:r>
    </w:p>
    <w:p>
      <w:pPr>
        <w:autoSpaceDE w:val="0"/>
        <w:autoSpaceDN w:val="0"/>
        <w:adjustRightInd w:val="0"/>
        <w:spacing w:line="500" w:lineRule="exact"/>
        <w:ind w:right="6"/>
        <w:rPr>
          <w:rFonts w:ascii="宋体" w:hAnsi="宋体" w:cs="宋体"/>
          <w:b/>
          <w:bCs/>
          <w:kern w:val="0"/>
          <w:sz w:val="24"/>
        </w:rPr>
      </w:pPr>
      <w:r>
        <w:rPr>
          <w:rFonts w:hint="eastAsia" w:ascii="宋体" w:hAnsi="宋体" w:cs="宋体"/>
          <w:b/>
          <w:bCs/>
          <w:kern w:val="0"/>
          <w:sz w:val="24"/>
        </w:rPr>
        <w:t>41、重新招标或者变更采购方式</w:t>
      </w:r>
    </w:p>
    <w:p>
      <w:pPr>
        <w:autoSpaceDE w:val="0"/>
        <w:autoSpaceDN w:val="0"/>
        <w:adjustRightInd w:val="0"/>
        <w:spacing w:line="500" w:lineRule="exact"/>
        <w:ind w:right="6"/>
        <w:rPr>
          <w:rFonts w:ascii="宋体" w:hAnsi="宋体" w:cs="宋体"/>
        </w:rPr>
      </w:pPr>
      <w:r>
        <w:rPr>
          <w:rFonts w:hint="eastAsia" w:ascii="宋体" w:hAnsi="宋体" w:cs="宋体"/>
        </w:rPr>
        <w:t xml:space="preserve">    41.1  投标截止时间结束后，参加投标的投标人不足三家或在评标期间，出现符合专业条件的投标人不足三家或对招标文件实质响应的投标人不足三家，按《政府采购货物和服务招标投标管理办法》（第87号令）第四十三条规定的相关原则处理。</w:t>
      </w:r>
    </w:p>
    <w:p>
      <w:pPr>
        <w:autoSpaceDE w:val="0"/>
        <w:autoSpaceDN w:val="0"/>
        <w:adjustRightInd w:val="0"/>
        <w:spacing w:line="500" w:lineRule="exact"/>
        <w:ind w:right="6" w:firstLine="420"/>
        <w:rPr>
          <w:rFonts w:ascii="宋体" w:hAnsi="宋体" w:cs="宋体"/>
        </w:rPr>
      </w:pPr>
      <w:r>
        <w:rPr>
          <w:rFonts w:hint="eastAsia" w:ascii="宋体" w:hAnsi="宋体" w:cs="宋体"/>
        </w:rPr>
        <w:t>41.2  投标人的投标报价超过财政限额，根据“政府采购法”的有关规定，报监督机构批准，进行重新招标。</w:t>
      </w:r>
    </w:p>
    <w:p>
      <w:pPr>
        <w:autoSpaceDE w:val="0"/>
        <w:autoSpaceDN w:val="0"/>
        <w:adjustRightInd w:val="0"/>
        <w:spacing w:line="440" w:lineRule="exact"/>
        <w:ind w:right="6"/>
        <w:rPr>
          <w:rFonts w:ascii="宋体" w:hAnsi="宋体" w:cs="宋体"/>
          <w:b/>
          <w:bCs/>
          <w:color w:val="000000"/>
          <w:kern w:val="0"/>
          <w:sz w:val="24"/>
        </w:rPr>
      </w:pPr>
      <w:r>
        <w:rPr>
          <w:rFonts w:hint="eastAsia" w:ascii="宋体" w:hAnsi="宋体" w:cs="宋体"/>
          <w:b/>
          <w:bCs/>
          <w:color w:val="000000"/>
          <w:kern w:val="0"/>
          <w:sz w:val="24"/>
        </w:rPr>
        <w:t xml:space="preserve">42、质疑和投诉 </w:t>
      </w:r>
    </w:p>
    <w:p>
      <w:pPr>
        <w:autoSpaceDE w:val="0"/>
        <w:autoSpaceDN w:val="0"/>
        <w:adjustRightInd w:val="0"/>
        <w:spacing w:line="440" w:lineRule="exact"/>
        <w:ind w:right="6" w:firstLine="420" w:firstLineChars="200"/>
        <w:rPr>
          <w:rFonts w:ascii="宋体" w:hAnsi="宋体" w:cs="宋体"/>
          <w:color w:val="000000"/>
        </w:rPr>
      </w:pPr>
      <w:r>
        <w:rPr>
          <w:rFonts w:hint="eastAsia" w:ascii="宋体" w:hAnsi="宋体" w:cs="宋体"/>
          <w:color w:val="000000"/>
        </w:rPr>
        <w:t xml:space="preserve">42.1质疑。供应商认为采购文件、采购过程和中标、成交结果使自己的权益受到损害的， 可以在知道或者应知其权益受到损害之日起七个工作日内，以书面形式一次性向采购人提出质疑。采购人委托采购代理机构采购的，供应商可以向采购代理机构提出询问或者质疑。 </w:t>
      </w:r>
    </w:p>
    <w:p>
      <w:pPr>
        <w:autoSpaceDE w:val="0"/>
        <w:autoSpaceDN w:val="0"/>
        <w:adjustRightInd w:val="0"/>
        <w:spacing w:line="440" w:lineRule="exact"/>
        <w:ind w:right="6" w:firstLine="420" w:firstLineChars="200"/>
        <w:rPr>
          <w:rFonts w:ascii="宋体" w:hAnsi="宋体" w:cs="宋体"/>
          <w:color w:val="000000"/>
        </w:rPr>
      </w:pPr>
      <w:r>
        <w:rPr>
          <w:rFonts w:hint="eastAsia" w:ascii="宋体" w:hAnsi="宋体" w:cs="宋体"/>
          <w:color w:val="000000"/>
        </w:rPr>
        <w:t xml:space="preserve">质疑函接收人：邹工 </w:t>
      </w:r>
    </w:p>
    <w:p>
      <w:pPr>
        <w:autoSpaceDE w:val="0"/>
        <w:autoSpaceDN w:val="0"/>
        <w:adjustRightInd w:val="0"/>
        <w:spacing w:line="440" w:lineRule="exact"/>
        <w:ind w:right="6" w:firstLine="420" w:firstLineChars="200"/>
        <w:rPr>
          <w:rFonts w:ascii="宋体" w:hAnsi="宋体" w:cs="宋体"/>
          <w:color w:val="000000"/>
        </w:rPr>
      </w:pPr>
      <w:r>
        <w:rPr>
          <w:rFonts w:hint="eastAsia" w:ascii="宋体" w:hAnsi="宋体" w:cs="宋体"/>
          <w:color w:val="000000"/>
        </w:rPr>
        <w:t>电话：0917-3807560</w:t>
      </w:r>
    </w:p>
    <w:p>
      <w:pPr>
        <w:autoSpaceDE w:val="0"/>
        <w:autoSpaceDN w:val="0"/>
        <w:adjustRightInd w:val="0"/>
        <w:spacing w:line="440" w:lineRule="exact"/>
        <w:ind w:right="6" w:firstLine="420" w:firstLineChars="200"/>
        <w:rPr>
          <w:rFonts w:ascii="宋体" w:hAnsi="宋体" w:cs="宋体"/>
          <w:color w:val="000000"/>
        </w:rPr>
      </w:pPr>
      <w:r>
        <w:rPr>
          <w:rFonts w:hint="eastAsia" w:ascii="宋体" w:hAnsi="宋体" w:cs="宋体"/>
          <w:color w:val="000000"/>
        </w:rPr>
        <w:t>地址：宝鸡市行政中心海棠风尚1510室</w:t>
      </w:r>
    </w:p>
    <w:p>
      <w:pPr>
        <w:autoSpaceDE w:val="0"/>
        <w:autoSpaceDN w:val="0"/>
        <w:adjustRightInd w:val="0"/>
        <w:spacing w:line="440" w:lineRule="exact"/>
        <w:ind w:right="6" w:firstLine="420" w:firstLineChars="200"/>
        <w:rPr>
          <w:rFonts w:ascii="宋体" w:hAnsi="宋体" w:cs="宋体"/>
          <w:color w:val="000000"/>
        </w:rPr>
      </w:pPr>
      <w:r>
        <w:rPr>
          <w:rFonts w:hint="eastAsia" w:ascii="宋体" w:hAnsi="宋体" w:cs="宋体"/>
          <w:color w:val="000000"/>
        </w:rPr>
        <w:t xml:space="preserve">采购人或者采购代理机构应当在3个工作日内对供应商依法提出的询问作出答复。 供应商应知其权益受到损害之日，是指： </w:t>
      </w:r>
    </w:p>
    <w:p>
      <w:pPr>
        <w:autoSpaceDE w:val="0"/>
        <w:autoSpaceDN w:val="0"/>
        <w:adjustRightInd w:val="0"/>
        <w:spacing w:line="440" w:lineRule="exact"/>
        <w:ind w:right="6" w:firstLine="420" w:firstLineChars="200"/>
        <w:rPr>
          <w:rFonts w:ascii="宋体" w:hAnsi="宋体" w:cs="宋体"/>
          <w:color w:val="000000"/>
        </w:rPr>
      </w:pPr>
      <w:r>
        <w:rPr>
          <w:rFonts w:hint="eastAsia" w:ascii="宋体" w:hAnsi="宋体" w:cs="宋体"/>
          <w:color w:val="000000"/>
        </w:rPr>
        <w:t xml:space="preserve">（1）对可以质疑的采购文件提出质疑的，为收到采购文件之日或者采购文件公告期限届满之 </w:t>
      </w:r>
    </w:p>
    <w:p>
      <w:pPr>
        <w:autoSpaceDE w:val="0"/>
        <w:autoSpaceDN w:val="0"/>
        <w:adjustRightInd w:val="0"/>
        <w:spacing w:line="440" w:lineRule="exact"/>
        <w:ind w:right="6"/>
        <w:rPr>
          <w:rFonts w:ascii="宋体" w:hAnsi="宋体" w:cs="宋体"/>
          <w:color w:val="000000"/>
        </w:rPr>
      </w:pPr>
      <w:r>
        <w:rPr>
          <w:rFonts w:hint="eastAsia" w:ascii="宋体" w:hAnsi="宋体" w:cs="宋体"/>
          <w:color w:val="000000"/>
        </w:rPr>
        <w:t>日；</w:t>
      </w:r>
    </w:p>
    <w:p>
      <w:pPr>
        <w:autoSpaceDE w:val="0"/>
        <w:autoSpaceDN w:val="0"/>
        <w:adjustRightInd w:val="0"/>
        <w:spacing w:line="440" w:lineRule="exact"/>
        <w:ind w:right="6" w:firstLine="420" w:firstLineChars="200"/>
        <w:rPr>
          <w:rFonts w:ascii="宋体" w:hAnsi="宋体" w:cs="宋体"/>
          <w:color w:val="000000"/>
        </w:rPr>
      </w:pPr>
      <w:r>
        <w:rPr>
          <w:rFonts w:hint="eastAsia" w:ascii="宋体" w:hAnsi="宋体" w:cs="宋体"/>
          <w:color w:val="000000"/>
        </w:rPr>
        <w:t xml:space="preserve">（2）对采购过程提出质疑的，为各采购程序环节结束之日； </w:t>
      </w:r>
    </w:p>
    <w:p>
      <w:pPr>
        <w:autoSpaceDE w:val="0"/>
        <w:autoSpaceDN w:val="0"/>
        <w:adjustRightInd w:val="0"/>
        <w:spacing w:line="440" w:lineRule="exact"/>
        <w:ind w:right="6" w:firstLine="420" w:firstLineChars="200"/>
        <w:rPr>
          <w:rFonts w:ascii="宋体" w:hAnsi="宋体" w:cs="宋体"/>
          <w:color w:val="000000"/>
        </w:rPr>
      </w:pPr>
      <w:r>
        <w:rPr>
          <w:rFonts w:hint="eastAsia" w:ascii="宋体" w:hAnsi="宋体" w:cs="宋体"/>
          <w:color w:val="000000"/>
        </w:rPr>
        <w:t xml:space="preserve">（3）对中标或者成交结果提出质疑的，为中标或者成交结果公告期限届满之日。 </w:t>
      </w:r>
    </w:p>
    <w:p>
      <w:pPr>
        <w:autoSpaceDE w:val="0"/>
        <w:autoSpaceDN w:val="0"/>
        <w:adjustRightInd w:val="0"/>
        <w:spacing w:line="440" w:lineRule="exact"/>
        <w:ind w:right="6" w:firstLine="420" w:firstLineChars="200"/>
        <w:rPr>
          <w:rFonts w:ascii="宋体" w:hAnsi="宋体" w:cs="宋体"/>
          <w:color w:val="000000"/>
        </w:rPr>
      </w:pPr>
      <w:r>
        <w:rPr>
          <w:rFonts w:hint="eastAsia" w:ascii="宋体" w:hAnsi="宋体" w:cs="宋体"/>
          <w:color w:val="000000"/>
        </w:rPr>
        <w:t xml:space="preserve">42.2 投诉。质疑供应商对采购人、采购代理机构的答复不满意或者采购人、采购代理机构未在规定的时间内作出答复的，可以在答复期满后十五个工作日内向同级政府采购监督管理部门投诉。政府采购监督管理部门应当在收到投诉后三十个工作日内，对投诉事项作出处理决定，并以书面形式通知投诉人和与投诉事项有关的当事人。 </w:t>
      </w:r>
    </w:p>
    <w:p>
      <w:pPr>
        <w:autoSpaceDE w:val="0"/>
        <w:autoSpaceDN w:val="0"/>
        <w:adjustRightInd w:val="0"/>
        <w:spacing w:line="440" w:lineRule="exact"/>
        <w:ind w:right="6" w:firstLine="420" w:firstLineChars="200"/>
        <w:rPr>
          <w:rFonts w:ascii="宋体" w:hAnsi="宋体" w:cs="宋体"/>
          <w:color w:val="000000"/>
        </w:rPr>
      </w:pPr>
      <w:r>
        <w:rPr>
          <w:rFonts w:hint="eastAsia" w:ascii="宋体" w:hAnsi="宋体" w:cs="宋体"/>
          <w:color w:val="000000"/>
        </w:rPr>
        <w:t>42.3 供应商质疑、投诉应当有明确的请求和必要的证明材料。供应商投诉的事项不得超出已质疑事项的范围。</w:t>
      </w:r>
    </w:p>
    <w:p>
      <w:pPr>
        <w:pStyle w:val="63"/>
        <w:ind w:firstLine="0" w:firstLineChars="0"/>
      </w:pPr>
      <w:r>
        <w:br w:type="page"/>
      </w:r>
    </w:p>
    <w:p>
      <w:pPr>
        <w:pStyle w:val="3"/>
        <w:numPr>
          <w:ilvl w:val="0"/>
          <w:numId w:val="0"/>
        </w:numPr>
        <w:tabs>
          <w:tab w:val="clear" w:pos="324"/>
        </w:tabs>
        <w:rPr>
          <w:rFonts w:ascii="宋体" w:hAnsi="宋体" w:eastAsia="宋体" w:cs="宋体"/>
          <w:b/>
          <w:bCs/>
          <w:sz w:val="36"/>
          <w:szCs w:val="36"/>
        </w:rPr>
      </w:pPr>
      <w:bookmarkStart w:id="15" w:name="_Toc30873"/>
      <w:r>
        <w:rPr>
          <w:rFonts w:hint="eastAsia" w:ascii="宋体" w:hAnsi="宋体" w:eastAsia="宋体" w:cs="宋体"/>
          <w:b/>
          <w:bCs/>
          <w:sz w:val="36"/>
          <w:szCs w:val="36"/>
        </w:rPr>
        <w:t>第三章  评标办法</w:t>
      </w:r>
      <w:bookmarkEnd w:id="15"/>
    </w:p>
    <w:p>
      <w:pPr>
        <w:spacing w:line="500" w:lineRule="exact"/>
        <w:ind w:firstLine="420"/>
        <w:rPr>
          <w:rFonts w:ascii="宋体" w:hAnsi="宋体" w:cs="宋体"/>
          <w:szCs w:val="21"/>
        </w:rPr>
      </w:pPr>
      <w:bookmarkStart w:id="16" w:name="_Toc222740127"/>
      <w:r>
        <w:rPr>
          <w:rFonts w:hint="eastAsia" w:ascii="宋体" w:hAnsi="宋体" w:cs="宋体"/>
          <w:szCs w:val="21"/>
        </w:rPr>
        <w:t>根据《中华人民共和国政府采购法》、中华人民共和国2015年第658号国务院令--《中华人民共和国政府采购法实施条例》和中华人民共和国财政部2017年第87号令--《政府采购货物和服务招标投标管理办法》的规定，结合采购项目特点制定本评标办法。</w:t>
      </w:r>
    </w:p>
    <w:p>
      <w:pPr>
        <w:spacing w:before="240" w:after="120"/>
        <w:jc w:val="left"/>
        <w:outlineLvl w:val="2"/>
        <w:rPr>
          <w:rFonts w:ascii="宋体" w:hAnsi="宋体" w:cs="宋体"/>
          <w:b/>
          <w:bCs/>
          <w:sz w:val="28"/>
        </w:rPr>
      </w:pPr>
      <w:r>
        <w:rPr>
          <w:rFonts w:hint="eastAsia" w:ascii="宋体" w:hAnsi="宋体" w:cs="宋体"/>
          <w:b/>
          <w:bCs/>
          <w:sz w:val="28"/>
        </w:rPr>
        <w:t>1、评标程序</w:t>
      </w:r>
    </w:p>
    <w:p>
      <w:pPr>
        <w:spacing w:before="240" w:after="120"/>
        <w:jc w:val="left"/>
        <w:outlineLvl w:val="2"/>
        <w:rPr>
          <w:rFonts w:ascii="宋体" w:hAnsi="宋体" w:cs="宋体"/>
          <w:b/>
          <w:bCs/>
          <w:kern w:val="0"/>
          <w:sz w:val="24"/>
        </w:rPr>
      </w:pPr>
      <w:r>
        <w:rPr>
          <w:rFonts w:hint="eastAsia" w:ascii="宋体" w:hAnsi="宋体" w:cs="宋体"/>
          <w:b/>
          <w:bCs/>
          <w:kern w:val="0"/>
          <w:sz w:val="24"/>
        </w:rPr>
        <w:t>1.1  本采购项目评标按照下列工作程序进行：</w:t>
      </w:r>
    </w:p>
    <w:p>
      <w:pPr>
        <w:spacing w:line="500" w:lineRule="exact"/>
        <w:rPr>
          <w:rFonts w:ascii="宋体" w:hAnsi="宋体" w:cs="宋体"/>
          <w:szCs w:val="21"/>
        </w:rPr>
      </w:pPr>
      <w:r>
        <w:rPr>
          <w:rFonts w:hint="eastAsia" w:ascii="宋体" w:hAnsi="宋体" w:cs="宋体"/>
          <w:szCs w:val="21"/>
        </w:rPr>
        <w:t xml:space="preserve">    1.1.1 投标文件初审；</w:t>
      </w:r>
    </w:p>
    <w:p>
      <w:pPr>
        <w:spacing w:line="500" w:lineRule="exact"/>
        <w:ind w:firstLine="420" w:firstLineChars="200"/>
        <w:rPr>
          <w:rFonts w:ascii="宋体" w:hAnsi="宋体" w:cs="宋体"/>
          <w:szCs w:val="21"/>
        </w:rPr>
      </w:pPr>
      <w:r>
        <w:rPr>
          <w:rFonts w:hint="eastAsia" w:ascii="宋体" w:hAnsi="宋体" w:cs="宋体"/>
          <w:szCs w:val="21"/>
        </w:rPr>
        <w:t>1.1.2 澄清有关问题；</w:t>
      </w:r>
    </w:p>
    <w:p>
      <w:pPr>
        <w:spacing w:line="500" w:lineRule="exact"/>
        <w:ind w:firstLine="420" w:firstLineChars="200"/>
        <w:rPr>
          <w:rFonts w:ascii="宋体" w:hAnsi="宋体" w:cs="宋体"/>
          <w:szCs w:val="21"/>
        </w:rPr>
      </w:pPr>
      <w:r>
        <w:rPr>
          <w:rFonts w:hint="eastAsia" w:ascii="宋体" w:hAnsi="宋体" w:cs="宋体"/>
          <w:szCs w:val="21"/>
        </w:rPr>
        <w:t>1.1.3 比较与评价；</w:t>
      </w:r>
    </w:p>
    <w:p>
      <w:pPr>
        <w:spacing w:line="500" w:lineRule="exact"/>
        <w:ind w:firstLine="420" w:firstLineChars="200"/>
        <w:rPr>
          <w:rFonts w:ascii="宋体" w:hAnsi="宋体" w:cs="宋体"/>
          <w:szCs w:val="21"/>
        </w:rPr>
      </w:pPr>
      <w:r>
        <w:rPr>
          <w:rFonts w:hint="eastAsia" w:ascii="宋体" w:hAnsi="宋体" w:cs="宋体"/>
          <w:szCs w:val="21"/>
        </w:rPr>
        <w:t>1.1.4 推荐中标人名单；</w:t>
      </w:r>
    </w:p>
    <w:p>
      <w:pPr>
        <w:spacing w:line="500" w:lineRule="exact"/>
        <w:ind w:firstLine="420" w:firstLineChars="200"/>
        <w:rPr>
          <w:rFonts w:ascii="宋体" w:hAnsi="宋体" w:cs="宋体"/>
          <w:szCs w:val="21"/>
        </w:rPr>
      </w:pPr>
      <w:r>
        <w:rPr>
          <w:rFonts w:hint="eastAsia" w:ascii="宋体" w:hAnsi="宋体" w:cs="宋体"/>
          <w:szCs w:val="21"/>
        </w:rPr>
        <w:t>1.1.5 编写评标报告。</w:t>
      </w:r>
    </w:p>
    <w:p>
      <w:pPr>
        <w:spacing w:before="240" w:after="120"/>
        <w:jc w:val="left"/>
        <w:outlineLvl w:val="2"/>
        <w:rPr>
          <w:rFonts w:ascii="宋体" w:hAnsi="宋体" w:cs="宋体"/>
          <w:b/>
          <w:bCs/>
          <w:kern w:val="0"/>
          <w:sz w:val="24"/>
        </w:rPr>
      </w:pPr>
      <w:r>
        <w:rPr>
          <w:rFonts w:hint="eastAsia" w:ascii="宋体" w:hAnsi="宋体" w:cs="宋体"/>
          <w:b/>
          <w:bCs/>
          <w:kern w:val="0"/>
          <w:sz w:val="24"/>
        </w:rPr>
        <w:t>1.2  投标文件的初审</w:t>
      </w:r>
    </w:p>
    <w:p>
      <w:pPr>
        <w:spacing w:line="500" w:lineRule="exact"/>
        <w:ind w:firstLine="420" w:firstLineChars="200"/>
        <w:rPr>
          <w:rFonts w:ascii="宋体" w:hAnsi="宋体" w:cs="宋体"/>
          <w:szCs w:val="21"/>
        </w:rPr>
      </w:pPr>
      <w:r>
        <w:rPr>
          <w:rFonts w:hint="eastAsia" w:ascii="宋体" w:hAnsi="宋体" w:cs="宋体"/>
          <w:szCs w:val="21"/>
        </w:rPr>
        <w:t>初审分为资格性检查和符合性检查。分别按照以下内容对投标文件进行检查，一项不合格即按照无效投标处理。</w:t>
      </w:r>
    </w:p>
    <w:p>
      <w:pPr>
        <w:spacing w:line="500" w:lineRule="exact"/>
        <w:rPr>
          <w:rFonts w:ascii="宋体" w:hAnsi="宋体" w:cs="宋体"/>
          <w:szCs w:val="21"/>
        </w:rPr>
      </w:pPr>
      <w:r>
        <w:rPr>
          <w:rFonts w:hint="eastAsia" w:ascii="宋体" w:hAnsi="宋体" w:cs="宋体"/>
          <w:szCs w:val="21"/>
        </w:rPr>
        <w:t xml:space="preserve">    1.2.1 投标文件的资格性审查：</w:t>
      </w:r>
      <w:r>
        <w:rPr>
          <w:rFonts w:hint="eastAsia" w:ascii="宋体" w:hAnsi="宋体" w:cs="宋体"/>
          <w:color w:val="000000"/>
          <w:szCs w:val="21"/>
        </w:rPr>
        <w:t>按照本章附件一资格审查内容；</w:t>
      </w:r>
    </w:p>
    <w:p>
      <w:pPr>
        <w:spacing w:line="500" w:lineRule="exact"/>
        <w:rPr>
          <w:rFonts w:ascii="宋体" w:hAnsi="宋体" w:cs="宋体"/>
          <w:szCs w:val="21"/>
        </w:rPr>
      </w:pPr>
      <w:r>
        <w:rPr>
          <w:rFonts w:hint="eastAsia" w:ascii="宋体" w:hAnsi="宋体" w:cs="宋体"/>
          <w:szCs w:val="21"/>
        </w:rPr>
        <w:t xml:space="preserve">    1.2.2 投标文件的符合性审查：按照本章附件二符合审查内容； </w:t>
      </w:r>
    </w:p>
    <w:p>
      <w:pPr>
        <w:spacing w:line="500" w:lineRule="exact"/>
        <w:ind w:firstLine="420" w:firstLineChars="200"/>
        <w:rPr>
          <w:rFonts w:ascii="宋体" w:hAnsi="宋体" w:cs="宋体"/>
          <w:szCs w:val="21"/>
        </w:rPr>
      </w:pPr>
      <w:r>
        <w:rPr>
          <w:rFonts w:hint="eastAsia" w:ascii="宋体" w:hAnsi="宋体" w:cs="宋体"/>
          <w:szCs w:val="21"/>
        </w:rPr>
        <w:t>1.2.2.1 投标文件的有效性审查。</w:t>
      </w:r>
    </w:p>
    <w:p>
      <w:pPr>
        <w:spacing w:line="500" w:lineRule="exact"/>
        <w:rPr>
          <w:rFonts w:ascii="宋体" w:hAnsi="宋体" w:cs="宋体"/>
          <w:szCs w:val="21"/>
        </w:rPr>
      </w:pPr>
      <w:r>
        <w:rPr>
          <w:rFonts w:hint="eastAsia" w:ascii="宋体" w:hAnsi="宋体" w:cs="宋体"/>
          <w:szCs w:val="21"/>
        </w:rPr>
        <w:t xml:space="preserve">    （1）投标文件的签署、加盖印章是否合格、有效；提供的各种证明文件、数据、资料是否真实、有效；</w:t>
      </w:r>
    </w:p>
    <w:p>
      <w:pPr>
        <w:spacing w:line="500" w:lineRule="exact"/>
        <w:ind w:firstLine="420" w:firstLineChars="200"/>
        <w:rPr>
          <w:rFonts w:ascii="宋体" w:hAnsi="宋体" w:cs="宋体"/>
          <w:szCs w:val="21"/>
        </w:rPr>
      </w:pPr>
      <w:r>
        <w:rPr>
          <w:rFonts w:hint="eastAsia" w:ascii="宋体" w:hAnsi="宋体" w:cs="宋体"/>
          <w:szCs w:val="21"/>
        </w:rPr>
        <w:t>（2）是否提交了合格有效的本次采购特别要求的货物合格性证明文件。</w:t>
      </w:r>
    </w:p>
    <w:p>
      <w:pPr>
        <w:spacing w:line="500" w:lineRule="exact"/>
        <w:rPr>
          <w:rFonts w:ascii="宋体" w:hAnsi="宋体" w:cs="宋体"/>
          <w:szCs w:val="21"/>
        </w:rPr>
      </w:pPr>
      <w:r>
        <w:rPr>
          <w:rFonts w:hint="eastAsia" w:ascii="宋体" w:hAnsi="宋体" w:cs="宋体"/>
          <w:szCs w:val="21"/>
        </w:rPr>
        <w:t xml:space="preserve">    1.2.2.2 投标文件的实质响应性审查。</w:t>
      </w:r>
    </w:p>
    <w:p>
      <w:pPr>
        <w:numPr>
          <w:ilvl w:val="0"/>
          <w:numId w:val="13"/>
        </w:numPr>
        <w:spacing w:line="500" w:lineRule="exact"/>
        <w:ind w:firstLine="420" w:firstLineChars="200"/>
        <w:rPr>
          <w:rFonts w:ascii="宋体" w:hAnsi="宋体" w:cs="宋体"/>
          <w:szCs w:val="21"/>
        </w:rPr>
      </w:pPr>
      <w:r>
        <w:rPr>
          <w:rFonts w:hint="eastAsia" w:ascii="宋体" w:hAnsi="宋体" w:cs="宋体"/>
          <w:szCs w:val="21"/>
        </w:rPr>
        <w:t>投标报价是否未超过采购预算；</w:t>
      </w:r>
    </w:p>
    <w:p>
      <w:pPr>
        <w:spacing w:line="500" w:lineRule="exact"/>
        <w:ind w:firstLine="420" w:firstLineChars="200"/>
        <w:rPr>
          <w:rFonts w:ascii="宋体" w:hAnsi="宋体" w:cs="宋体"/>
          <w:szCs w:val="21"/>
        </w:rPr>
      </w:pPr>
      <w:r>
        <w:rPr>
          <w:rFonts w:hint="eastAsia" w:ascii="宋体" w:hAnsi="宋体" w:cs="宋体"/>
          <w:szCs w:val="21"/>
        </w:rPr>
        <w:t>（2）投标报价是否与市场价偏离较大，低于成本，涉嫌不正当竞争；（如果评委会认为某投标报价明显不合理或者低于成本，应当要求其在规定期限内提供书面文件予以解释说明，并提交相关证明材料。）</w:t>
      </w:r>
    </w:p>
    <w:p>
      <w:pPr>
        <w:spacing w:line="500" w:lineRule="exact"/>
        <w:ind w:firstLine="420" w:firstLineChars="200"/>
        <w:rPr>
          <w:rFonts w:ascii="宋体" w:hAnsi="宋体" w:cs="宋体"/>
          <w:szCs w:val="21"/>
        </w:rPr>
      </w:pPr>
      <w:r>
        <w:rPr>
          <w:rFonts w:hint="eastAsia" w:ascii="宋体" w:hAnsi="宋体" w:cs="宋体"/>
          <w:szCs w:val="21"/>
        </w:rPr>
        <w:t>（3）投标有效期是否符合招标文件的要求；</w:t>
      </w:r>
    </w:p>
    <w:p>
      <w:pPr>
        <w:spacing w:line="500" w:lineRule="exact"/>
        <w:ind w:firstLine="420"/>
        <w:rPr>
          <w:rFonts w:ascii="宋体" w:hAnsi="宋体" w:cs="宋体"/>
          <w:szCs w:val="21"/>
        </w:rPr>
      </w:pPr>
      <w:r>
        <w:rPr>
          <w:rFonts w:hint="eastAsia" w:ascii="宋体" w:hAnsi="宋体" w:cs="宋体"/>
          <w:szCs w:val="21"/>
        </w:rPr>
        <w:t>（4）投标文件响应内容是否符合国家法律法规，是否实质性响应了招标文件要求的全部条款、条件和规格要求，并且提供了支持文件，没有重大偏离。对于重大偏离，在开标后不得澄清、纠正及补充；</w:t>
      </w:r>
    </w:p>
    <w:p>
      <w:pPr>
        <w:spacing w:line="500" w:lineRule="exact"/>
        <w:ind w:firstLine="420"/>
        <w:rPr>
          <w:rFonts w:ascii="宋体" w:hAnsi="宋体" w:cs="宋体"/>
          <w:szCs w:val="21"/>
        </w:rPr>
      </w:pPr>
      <w:r>
        <w:rPr>
          <w:rFonts w:hint="eastAsia" w:ascii="宋体" w:hAnsi="宋体" w:cs="宋体"/>
          <w:szCs w:val="21"/>
        </w:rPr>
        <w:t>（5）付款条件和交货期是否满足要求，对招标文件中规定的双方的权利和义务是否做出了实质性响应。</w:t>
      </w:r>
    </w:p>
    <w:p>
      <w:pPr>
        <w:spacing w:line="500" w:lineRule="exact"/>
        <w:ind w:firstLine="420" w:firstLineChars="200"/>
        <w:rPr>
          <w:rFonts w:ascii="宋体" w:hAnsi="宋体" w:cs="宋体"/>
          <w:szCs w:val="21"/>
        </w:rPr>
      </w:pPr>
      <w:r>
        <w:rPr>
          <w:rFonts w:hint="eastAsia" w:ascii="宋体" w:hAnsi="宋体" w:cs="宋体"/>
          <w:szCs w:val="21"/>
        </w:rPr>
        <w:t xml:space="preserve"> 1.2.2.3 提供相同品牌产品且通过资格审查、符合性审查的不同投标人参加同一合同项下投标的，按一家投标人计算，评审后得分最高的同品牌投标人获得中标人推荐资格；评审得分相同的，由报价最低的投标人获得中标人推荐资格；其它同品牌投标人不作为中标候选人。</w:t>
      </w:r>
    </w:p>
    <w:p>
      <w:pPr>
        <w:spacing w:line="500" w:lineRule="exact"/>
        <w:ind w:firstLine="420"/>
        <w:rPr>
          <w:rFonts w:ascii="宋体" w:hAnsi="宋体" w:cs="宋体"/>
          <w:szCs w:val="21"/>
        </w:rPr>
      </w:pPr>
      <w:r>
        <w:rPr>
          <w:rFonts w:hint="eastAsia" w:ascii="宋体" w:hAnsi="宋体" w:cs="宋体"/>
          <w:szCs w:val="21"/>
        </w:rPr>
        <w:t>1.2.3 经过对投标人及投标文件的资格性和符合性审查，出现下列情况者，按无效投标处理。</w:t>
      </w:r>
    </w:p>
    <w:p>
      <w:pPr>
        <w:spacing w:line="500" w:lineRule="exact"/>
        <w:ind w:firstLine="420"/>
        <w:rPr>
          <w:rFonts w:ascii="宋体" w:hAnsi="宋体" w:cs="宋体"/>
          <w:szCs w:val="21"/>
        </w:rPr>
      </w:pPr>
      <w:r>
        <w:rPr>
          <w:rFonts w:hint="eastAsia" w:ascii="宋体" w:hAnsi="宋体" w:cs="宋体"/>
          <w:szCs w:val="21"/>
        </w:rPr>
        <w:t>（1）投标人未经过正常渠道购买招标文件或投标人的名称与登记领取招标文件单位的名称不符；</w:t>
      </w:r>
    </w:p>
    <w:p>
      <w:pPr>
        <w:spacing w:line="500" w:lineRule="exact"/>
        <w:ind w:firstLine="420" w:firstLineChars="200"/>
        <w:rPr>
          <w:rFonts w:ascii="宋体" w:hAnsi="宋体" w:cs="宋体"/>
          <w:szCs w:val="21"/>
        </w:rPr>
      </w:pPr>
      <w:r>
        <w:rPr>
          <w:rFonts w:hint="eastAsia" w:ascii="宋体" w:hAnsi="宋体" w:cs="宋体"/>
          <w:szCs w:val="21"/>
        </w:rPr>
        <w:t>（2）投标文件中未提交法定代表人授权书（法定代表人直接投标未按要求提交其有效身份证）或授权书的合法性或有效性不符合招标文件规定。授权代表本单位证明的有效性或符合性不符合要求的；</w:t>
      </w:r>
    </w:p>
    <w:p>
      <w:pPr>
        <w:spacing w:line="500" w:lineRule="exact"/>
        <w:ind w:firstLine="420" w:firstLineChars="200"/>
        <w:rPr>
          <w:rFonts w:ascii="宋体" w:hAnsi="宋体" w:cs="宋体"/>
          <w:szCs w:val="21"/>
        </w:rPr>
      </w:pPr>
      <w:r>
        <w:rPr>
          <w:rFonts w:hint="eastAsia" w:ascii="宋体" w:hAnsi="宋体" w:cs="宋体"/>
          <w:szCs w:val="21"/>
        </w:rPr>
        <w:t>（3）投标人资质的有效性或符合性不符合要求的；</w:t>
      </w:r>
    </w:p>
    <w:p>
      <w:pPr>
        <w:spacing w:line="500" w:lineRule="exact"/>
        <w:ind w:firstLine="420" w:firstLineChars="200"/>
        <w:rPr>
          <w:rFonts w:ascii="宋体" w:hAnsi="宋体" w:cs="宋体"/>
          <w:color w:val="FF0000"/>
          <w:szCs w:val="21"/>
        </w:rPr>
      </w:pPr>
      <w:r>
        <w:rPr>
          <w:rFonts w:hint="eastAsia" w:ascii="宋体" w:hAnsi="宋体" w:cs="宋体"/>
          <w:szCs w:val="21"/>
        </w:rPr>
        <w:t>（4）投标人未按招标文件要求提供投标保证金的；</w:t>
      </w:r>
    </w:p>
    <w:p>
      <w:pPr>
        <w:spacing w:line="500" w:lineRule="exact"/>
        <w:ind w:firstLine="420" w:firstLineChars="200"/>
        <w:rPr>
          <w:rFonts w:ascii="宋体" w:hAnsi="宋体" w:cs="宋体"/>
          <w:szCs w:val="21"/>
        </w:rPr>
      </w:pPr>
      <w:r>
        <w:rPr>
          <w:rFonts w:hint="eastAsia" w:ascii="宋体" w:hAnsi="宋体" w:cs="宋体"/>
          <w:szCs w:val="21"/>
        </w:rPr>
        <w:t>（5）投标文件未按招标文件规定有效签字和盖章，或由投标人委托代理人签字的，但未随投标文件一起提交有效的“授权委托书”原件的；</w:t>
      </w:r>
    </w:p>
    <w:p>
      <w:pPr>
        <w:spacing w:line="500" w:lineRule="exact"/>
        <w:ind w:firstLine="420" w:firstLineChars="200"/>
        <w:rPr>
          <w:rFonts w:ascii="宋体" w:hAnsi="宋体" w:cs="宋体"/>
          <w:szCs w:val="21"/>
        </w:rPr>
      </w:pPr>
      <w:r>
        <w:rPr>
          <w:rFonts w:hint="eastAsia" w:ascii="宋体" w:hAnsi="宋体" w:cs="宋体"/>
          <w:szCs w:val="21"/>
        </w:rPr>
        <w:t>（6）无投标有效期或有效期达不到招标文件要求的；</w:t>
      </w:r>
    </w:p>
    <w:p>
      <w:pPr>
        <w:spacing w:line="500" w:lineRule="exact"/>
        <w:ind w:firstLine="420" w:firstLineChars="200"/>
        <w:rPr>
          <w:rFonts w:ascii="宋体" w:hAnsi="宋体" w:cs="宋体"/>
          <w:szCs w:val="21"/>
        </w:rPr>
      </w:pPr>
      <w:r>
        <w:rPr>
          <w:rFonts w:hint="eastAsia" w:ascii="宋体" w:hAnsi="宋体" w:cs="宋体"/>
          <w:szCs w:val="21"/>
        </w:rPr>
        <w:t>（7）投标内容出现漏项或数量与要求不符，出现重大负偏差；</w:t>
      </w:r>
    </w:p>
    <w:p>
      <w:pPr>
        <w:spacing w:line="500" w:lineRule="exact"/>
        <w:ind w:firstLine="420" w:firstLineChars="200"/>
        <w:rPr>
          <w:rFonts w:ascii="宋体" w:hAnsi="宋体" w:cs="宋体"/>
          <w:szCs w:val="21"/>
        </w:rPr>
      </w:pPr>
      <w:r>
        <w:rPr>
          <w:rFonts w:hint="eastAsia" w:ascii="宋体" w:hAnsi="宋体" w:cs="宋体"/>
          <w:szCs w:val="21"/>
        </w:rPr>
        <w:t>（8）无投标技术方案或投标技术方案不符合要求；</w:t>
      </w:r>
    </w:p>
    <w:p>
      <w:pPr>
        <w:spacing w:line="500" w:lineRule="exact"/>
        <w:ind w:firstLine="420" w:firstLineChars="200"/>
        <w:rPr>
          <w:rFonts w:ascii="宋体" w:hAnsi="宋体" w:cs="宋体"/>
          <w:szCs w:val="21"/>
        </w:rPr>
      </w:pPr>
      <w:r>
        <w:rPr>
          <w:rFonts w:hint="eastAsia" w:ascii="宋体" w:hAnsi="宋体" w:cs="宋体"/>
          <w:szCs w:val="21"/>
        </w:rPr>
        <w:t>（9）设备技术指标达不到招标文件要求，降低了产品档次或影响产品性能、功能；</w:t>
      </w:r>
    </w:p>
    <w:p>
      <w:pPr>
        <w:spacing w:line="500" w:lineRule="exact"/>
        <w:ind w:firstLine="420" w:firstLineChars="200"/>
        <w:rPr>
          <w:rFonts w:ascii="宋体" w:hAnsi="宋体" w:cs="宋体"/>
          <w:szCs w:val="21"/>
        </w:rPr>
      </w:pPr>
      <w:r>
        <w:rPr>
          <w:rFonts w:hint="eastAsia" w:ascii="宋体" w:hAnsi="宋体" w:cs="宋体"/>
          <w:szCs w:val="21"/>
        </w:rPr>
        <w:t>（10）投标文件的合同主要条款响应与招标文件要求不一致（交货、付款、验收、售后服务等项），附加了采购人难以接受的条件；</w:t>
      </w:r>
    </w:p>
    <w:p>
      <w:pPr>
        <w:spacing w:line="500" w:lineRule="exact"/>
        <w:ind w:firstLine="420" w:firstLineChars="200"/>
        <w:rPr>
          <w:rFonts w:ascii="宋体" w:hAnsi="宋体" w:cs="宋体"/>
          <w:szCs w:val="21"/>
        </w:rPr>
      </w:pPr>
      <w:r>
        <w:rPr>
          <w:rFonts w:hint="eastAsia" w:ascii="宋体" w:hAnsi="宋体" w:cs="宋体"/>
          <w:szCs w:val="21"/>
        </w:rPr>
        <w:t>（11）规定不接受选择方案和选择报价（包括交叉折扣）的，投标人提供了选择方案和/或选择报价（包括交叉折扣）；</w:t>
      </w:r>
    </w:p>
    <w:p>
      <w:pPr>
        <w:spacing w:line="500" w:lineRule="exact"/>
        <w:rPr>
          <w:rFonts w:ascii="宋体" w:hAnsi="宋体" w:cs="宋体"/>
          <w:szCs w:val="21"/>
        </w:rPr>
      </w:pPr>
      <w:r>
        <w:rPr>
          <w:rFonts w:hint="eastAsia" w:ascii="宋体" w:hAnsi="宋体" w:cs="宋体"/>
          <w:szCs w:val="21"/>
        </w:rPr>
        <w:t xml:space="preserve">    （12）投标报价与市场价偏离较大，低于成本，形成不正当竞争；</w:t>
      </w:r>
    </w:p>
    <w:p>
      <w:pPr>
        <w:spacing w:line="500" w:lineRule="exact"/>
        <w:ind w:firstLine="420" w:firstLineChars="200"/>
        <w:rPr>
          <w:rFonts w:ascii="宋体" w:hAnsi="宋体" w:cs="宋体"/>
          <w:szCs w:val="21"/>
        </w:rPr>
      </w:pPr>
      <w:r>
        <w:rPr>
          <w:rFonts w:hint="eastAsia" w:ascii="宋体" w:hAnsi="宋体" w:cs="宋体"/>
          <w:szCs w:val="21"/>
        </w:rPr>
        <w:t>（13）提供虚假证明，开具虚假资质，出现虚假应答，除按无效标处理外，还进行相应的处罚；</w:t>
      </w:r>
    </w:p>
    <w:p>
      <w:pPr>
        <w:spacing w:line="500" w:lineRule="exact"/>
        <w:ind w:firstLine="420" w:firstLineChars="200"/>
        <w:rPr>
          <w:rFonts w:ascii="宋体" w:hAnsi="宋体" w:cs="宋体"/>
          <w:szCs w:val="21"/>
        </w:rPr>
      </w:pPr>
      <w:r>
        <w:rPr>
          <w:rFonts w:hint="eastAsia" w:ascii="宋体" w:hAnsi="宋体" w:cs="宋体"/>
          <w:szCs w:val="21"/>
        </w:rPr>
        <w:t>（14）投标人在境内参与政府采购活动中有违法违规行为的；</w:t>
      </w:r>
    </w:p>
    <w:p>
      <w:pPr>
        <w:spacing w:line="500" w:lineRule="exact"/>
        <w:ind w:firstLine="420" w:firstLineChars="200"/>
        <w:rPr>
          <w:rFonts w:ascii="宋体" w:hAnsi="宋体" w:cs="宋体"/>
          <w:szCs w:val="21"/>
        </w:rPr>
      </w:pPr>
      <w:r>
        <w:rPr>
          <w:rFonts w:hint="eastAsia" w:ascii="宋体" w:hAnsi="宋体" w:cs="宋体"/>
          <w:szCs w:val="21"/>
        </w:rPr>
        <w:t>（15）投标报价超出采购预算的；</w:t>
      </w:r>
    </w:p>
    <w:p>
      <w:pPr>
        <w:spacing w:line="500" w:lineRule="exact"/>
        <w:ind w:firstLine="420" w:firstLineChars="200"/>
        <w:rPr>
          <w:rFonts w:ascii="宋体" w:hAnsi="宋体" w:cs="宋体"/>
          <w:szCs w:val="21"/>
        </w:rPr>
      </w:pPr>
      <w:r>
        <w:rPr>
          <w:rFonts w:hint="eastAsia" w:ascii="宋体" w:hAnsi="宋体" w:cs="宋体"/>
          <w:szCs w:val="21"/>
        </w:rPr>
        <w:t>（16）其他法律法规规定的情况。</w:t>
      </w:r>
    </w:p>
    <w:p>
      <w:pPr>
        <w:spacing w:line="500" w:lineRule="exact"/>
        <w:ind w:firstLine="420"/>
        <w:rPr>
          <w:rFonts w:ascii="宋体" w:hAnsi="宋体" w:cs="宋体"/>
          <w:szCs w:val="21"/>
        </w:rPr>
      </w:pPr>
      <w:r>
        <w:rPr>
          <w:rFonts w:hint="eastAsia" w:ascii="宋体" w:hAnsi="宋体" w:cs="宋体"/>
          <w:szCs w:val="21"/>
        </w:rPr>
        <w:t>1.2.4 在投标文件初审过程中，如果出现评标委员会成员意见不一致的情况，按照少数服从多数的原则确定。</w:t>
      </w:r>
    </w:p>
    <w:p>
      <w:pPr>
        <w:spacing w:before="240" w:after="120"/>
        <w:jc w:val="left"/>
        <w:outlineLvl w:val="2"/>
        <w:rPr>
          <w:rFonts w:ascii="宋体" w:hAnsi="宋体" w:cs="宋体"/>
          <w:szCs w:val="21"/>
        </w:rPr>
      </w:pPr>
      <w:r>
        <w:rPr>
          <w:rFonts w:hint="eastAsia" w:ascii="宋体" w:hAnsi="宋体" w:cs="宋体"/>
          <w:b/>
          <w:bCs/>
          <w:kern w:val="0"/>
          <w:sz w:val="24"/>
        </w:rPr>
        <w:t>1.3  投标文件的澄清</w:t>
      </w:r>
    </w:p>
    <w:p>
      <w:pPr>
        <w:spacing w:line="500" w:lineRule="exact"/>
        <w:rPr>
          <w:rFonts w:ascii="宋体" w:hAnsi="宋体" w:cs="宋体"/>
          <w:szCs w:val="21"/>
        </w:rPr>
      </w:pPr>
      <w:r>
        <w:rPr>
          <w:rFonts w:hint="eastAsia" w:ascii="宋体" w:hAnsi="宋体" w:cs="宋体"/>
          <w:szCs w:val="21"/>
        </w:rPr>
        <w:t xml:space="preserve">    对于投标文件中的非重大偏离，如果出现含义不明确、同类问题表述不一致或者有明显文字和计算错误的内容，评标委员会可以书面形式（由评标委员会专家签字）要求投标人作出必要的澄清、说明或者纠正。投标人的澄清、说明或者补正应当采用书面形式，由其授权的投标代表签字，并不得超出投标文件的范围或者改变投标文件的实质性内容。</w:t>
      </w:r>
    </w:p>
    <w:p>
      <w:pPr>
        <w:spacing w:before="240" w:after="120"/>
        <w:jc w:val="left"/>
        <w:outlineLvl w:val="2"/>
        <w:rPr>
          <w:rFonts w:ascii="宋体" w:hAnsi="宋体" w:cs="宋体"/>
          <w:b/>
          <w:bCs/>
          <w:kern w:val="0"/>
          <w:sz w:val="24"/>
        </w:rPr>
      </w:pPr>
      <w:r>
        <w:rPr>
          <w:rFonts w:hint="eastAsia" w:ascii="宋体" w:hAnsi="宋体" w:cs="宋体"/>
          <w:b/>
          <w:bCs/>
          <w:kern w:val="0"/>
          <w:sz w:val="24"/>
        </w:rPr>
        <w:t>1.4  投标文件的比较和评价</w:t>
      </w:r>
    </w:p>
    <w:p>
      <w:pPr>
        <w:spacing w:line="500" w:lineRule="exact"/>
        <w:rPr>
          <w:rFonts w:ascii="宋体" w:hAnsi="宋体" w:cs="宋体"/>
          <w:szCs w:val="21"/>
        </w:rPr>
      </w:pPr>
      <w:r>
        <w:rPr>
          <w:rFonts w:hint="eastAsia" w:ascii="宋体" w:hAnsi="宋体" w:cs="宋体"/>
          <w:szCs w:val="21"/>
        </w:rPr>
        <w:t xml:space="preserve">    1.4.1 评委会应按照招标文件中规定的评标方法和标准，对资格性检查和符合性检查合格的投标文件进行商务和技术评估，综合比较与评价。最低报价不做为中标的唯一条件。</w:t>
      </w:r>
    </w:p>
    <w:p>
      <w:pPr>
        <w:spacing w:line="500" w:lineRule="exact"/>
        <w:rPr>
          <w:rFonts w:ascii="宋体" w:hAnsi="宋体" w:cs="宋体"/>
          <w:szCs w:val="21"/>
        </w:rPr>
      </w:pPr>
      <w:r>
        <w:rPr>
          <w:rFonts w:hint="eastAsia" w:ascii="宋体" w:hAnsi="宋体" w:cs="宋体"/>
          <w:szCs w:val="21"/>
        </w:rPr>
        <w:t xml:space="preserve">    1.4.2 如果投标文件没有实质性响应招标文件的要求，评委会将予以拒绝。投标人不得通过修正或撤消不合要求的偏离或保留，从而使其投标成为实质性响应的投标。</w:t>
      </w:r>
    </w:p>
    <w:p>
      <w:pPr>
        <w:spacing w:line="500" w:lineRule="exact"/>
        <w:rPr>
          <w:rFonts w:ascii="宋体" w:hAnsi="宋体" w:cs="宋体"/>
          <w:szCs w:val="21"/>
        </w:rPr>
      </w:pPr>
      <w:r>
        <w:rPr>
          <w:rFonts w:hint="eastAsia" w:ascii="宋体" w:hAnsi="宋体" w:cs="宋体"/>
          <w:szCs w:val="21"/>
        </w:rPr>
        <w:t xml:space="preserve">    1.4.3 评标程序：采取逐项分步评审方式，每一步评审不符合者，不进入下一步评审，全部评审合格的投标人进行最后的综合评审和打分，按最后得分由高向低排序，推荐中标候选单位。</w:t>
      </w:r>
    </w:p>
    <w:p>
      <w:pPr>
        <w:spacing w:before="240" w:after="120"/>
        <w:jc w:val="left"/>
        <w:outlineLvl w:val="2"/>
        <w:rPr>
          <w:rFonts w:ascii="宋体" w:hAnsi="宋体" w:cs="宋体"/>
          <w:b/>
          <w:bCs/>
          <w:sz w:val="28"/>
        </w:rPr>
      </w:pPr>
      <w:r>
        <w:rPr>
          <w:rFonts w:hint="eastAsia" w:ascii="宋体" w:hAnsi="宋体" w:cs="宋体"/>
          <w:b/>
          <w:bCs/>
          <w:sz w:val="28"/>
        </w:rPr>
        <w:t>2、评标办法</w:t>
      </w:r>
    </w:p>
    <w:p>
      <w:pPr>
        <w:spacing w:before="240" w:after="120"/>
        <w:jc w:val="left"/>
        <w:outlineLvl w:val="2"/>
        <w:rPr>
          <w:rFonts w:ascii="宋体" w:hAnsi="宋体" w:cs="宋体"/>
          <w:b/>
          <w:bCs/>
          <w:kern w:val="0"/>
          <w:sz w:val="24"/>
        </w:rPr>
      </w:pPr>
      <w:r>
        <w:rPr>
          <w:rFonts w:hint="eastAsia" w:ascii="宋体" w:hAnsi="宋体" w:cs="宋体"/>
          <w:b/>
          <w:bCs/>
          <w:kern w:val="0"/>
          <w:sz w:val="24"/>
        </w:rPr>
        <w:t>2.1  综合评分法</w:t>
      </w:r>
    </w:p>
    <w:p>
      <w:pPr>
        <w:spacing w:line="500" w:lineRule="exact"/>
        <w:ind w:firstLine="420"/>
        <w:rPr>
          <w:rFonts w:ascii="宋体" w:hAnsi="宋体" w:cs="宋体"/>
          <w:szCs w:val="21"/>
        </w:rPr>
      </w:pPr>
      <w:r>
        <w:rPr>
          <w:rFonts w:hint="eastAsia" w:ascii="宋体" w:hAnsi="宋体" w:cs="宋体"/>
          <w:szCs w:val="21"/>
        </w:rPr>
        <w:t>本次评标采用综合评分法。即在最大限度地满足招标文件实质性要求前提下，按照招标文件中规定的各项因素和相应的权重分值进行综合评审后，以总得分最高的投标人作为中标候选人并依次排序。评标委员会将综合分析投标人的各项评审因素，而不以单项评审因素的优劣评选出中标单位。对所有投标人的投标评估，都采用相同的程序和标准，严格按照招标文件的要求和条件进行。</w:t>
      </w:r>
    </w:p>
    <w:p>
      <w:pPr>
        <w:spacing w:before="240" w:after="120"/>
        <w:jc w:val="left"/>
        <w:outlineLvl w:val="2"/>
        <w:rPr>
          <w:rFonts w:ascii="宋体" w:hAnsi="宋体" w:cs="宋体"/>
          <w:b/>
          <w:bCs/>
          <w:kern w:val="0"/>
          <w:sz w:val="24"/>
        </w:rPr>
      </w:pPr>
      <w:r>
        <w:rPr>
          <w:rFonts w:hint="eastAsia" w:ascii="宋体" w:hAnsi="宋体" w:cs="宋体"/>
          <w:b/>
          <w:bCs/>
          <w:kern w:val="0"/>
          <w:sz w:val="24"/>
        </w:rPr>
        <w:t>2.2  评标细则及标准：</w:t>
      </w:r>
    </w:p>
    <w:p>
      <w:pPr>
        <w:spacing w:line="500" w:lineRule="exact"/>
        <w:rPr>
          <w:rFonts w:ascii="宋体" w:hAnsi="宋体" w:cs="宋体"/>
          <w:szCs w:val="21"/>
        </w:rPr>
      </w:pPr>
      <w:r>
        <w:rPr>
          <w:rFonts w:hint="eastAsia" w:ascii="宋体" w:hAnsi="宋体" w:cs="宋体"/>
          <w:szCs w:val="21"/>
        </w:rPr>
        <w:t xml:space="preserve">    2.2.1 评标委员会将综合分析投标人的各项评审因素，而不以单项评审因素的优劣评选出中标单位。对所有投标人的投标评估，都采用相同的程序和标准，严格按照招标文件的要求和条件进行。</w:t>
      </w:r>
    </w:p>
    <w:p>
      <w:pPr>
        <w:spacing w:line="500" w:lineRule="exact"/>
        <w:ind w:firstLine="420" w:firstLineChars="200"/>
        <w:rPr>
          <w:rFonts w:ascii="宋体" w:hAnsi="宋体" w:cs="宋体"/>
          <w:szCs w:val="21"/>
        </w:rPr>
      </w:pPr>
      <w:r>
        <w:rPr>
          <w:rFonts w:hint="eastAsia" w:ascii="宋体" w:hAnsi="宋体" w:cs="宋体"/>
          <w:szCs w:val="21"/>
        </w:rPr>
        <w:t>2.2.2 评审因素包括：价格、技术、信誉、业绩、服务、对招标文件的响应程度，以及相应的比重或者权值等，但不包括“投标人须知前附表”规定的投标人资格条件。</w:t>
      </w:r>
    </w:p>
    <w:p>
      <w:pPr>
        <w:spacing w:line="500" w:lineRule="exact"/>
        <w:ind w:firstLine="420" w:firstLineChars="200"/>
        <w:rPr>
          <w:rFonts w:ascii="宋体" w:hAnsi="宋体" w:cs="宋体"/>
          <w:szCs w:val="21"/>
        </w:rPr>
      </w:pPr>
      <w:r>
        <w:rPr>
          <w:rFonts w:hint="eastAsia" w:ascii="宋体" w:hAnsi="宋体" w:cs="宋体"/>
          <w:szCs w:val="21"/>
        </w:rPr>
        <w:t>2.2.3 综合评分操作程序为：</w:t>
      </w:r>
    </w:p>
    <w:p>
      <w:pPr>
        <w:spacing w:line="500" w:lineRule="exact"/>
        <w:ind w:firstLine="420" w:firstLineChars="200"/>
        <w:rPr>
          <w:rFonts w:ascii="宋体" w:hAnsi="宋体" w:cs="宋体"/>
          <w:szCs w:val="21"/>
        </w:rPr>
      </w:pPr>
      <w:r>
        <w:rPr>
          <w:rFonts w:hint="eastAsia" w:ascii="宋体" w:hAnsi="宋体" w:cs="宋体"/>
          <w:szCs w:val="21"/>
        </w:rPr>
        <w:t>2.2.3.1 根据招标文件和评标原则，按下表《综合评分明细表》所列评分因素和各评分因素的权重进行评标。</w:t>
      </w:r>
    </w:p>
    <w:p>
      <w:pPr>
        <w:spacing w:line="500" w:lineRule="exact"/>
        <w:ind w:firstLine="420" w:firstLineChars="200"/>
        <w:rPr>
          <w:rFonts w:ascii="宋体" w:hAnsi="宋体" w:cs="宋体"/>
          <w:szCs w:val="21"/>
        </w:rPr>
      </w:pPr>
      <w:r>
        <w:rPr>
          <w:rFonts w:hint="eastAsia" w:ascii="宋体" w:hAnsi="宋体" w:cs="宋体"/>
          <w:szCs w:val="21"/>
        </w:rPr>
        <w:t>2.2.3.2 评标价格的确定：</w:t>
      </w:r>
      <w:r>
        <w:rPr>
          <w:rFonts w:hint="eastAsia" w:ascii="宋体" w:hAnsi="宋体" w:cs="宋体"/>
          <w:color w:val="0000FF"/>
          <w:szCs w:val="21"/>
        </w:rPr>
        <w:t xml:space="preserve"> </w:t>
      </w:r>
    </w:p>
    <w:p>
      <w:pPr>
        <w:spacing w:line="500" w:lineRule="exact"/>
        <w:ind w:firstLine="420" w:firstLineChars="200"/>
        <w:rPr>
          <w:rFonts w:ascii="宋体" w:hAnsi="宋体" w:cs="宋体"/>
          <w:szCs w:val="21"/>
        </w:rPr>
      </w:pPr>
      <w:r>
        <w:rPr>
          <w:rFonts w:hint="eastAsia" w:ascii="宋体" w:hAnsi="宋体" w:cs="宋体"/>
          <w:szCs w:val="21"/>
        </w:rPr>
        <w:t>2.2.3.2.1 对于不享受政策性优惠价格调整的投标价格，按照财政部财库【2007】2号、【2011】181号文件的有关规定，以本次满足投标文件要求的最低投标评审价为评审基准价，其价格为满分。</w:t>
      </w:r>
    </w:p>
    <w:p>
      <w:pPr>
        <w:spacing w:line="500" w:lineRule="exact"/>
        <w:rPr>
          <w:rFonts w:ascii="宋体" w:hAnsi="宋体" w:cs="宋体"/>
          <w:szCs w:val="21"/>
        </w:rPr>
      </w:pPr>
      <w:r>
        <w:rPr>
          <w:rFonts w:hint="eastAsia" w:ascii="宋体" w:hAnsi="宋体" w:cs="宋体"/>
          <w:szCs w:val="21"/>
        </w:rPr>
        <w:t xml:space="preserve">    （1）如果同一包为单一产品，或同一包为多种产品，全部符合政策优惠条件的（即小微企业自身生产或中小企业代理的小微企业生产的产品），对总报价进行调整，调整后的报价作为投标评审价。投标评审价按下列公示计算：</w:t>
      </w:r>
    </w:p>
    <w:p>
      <w:pPr>
        <w:spacing w:line="500" w:lineRule="exact"/>
        <w:jc w:val="center"/>
        <w:rPr>
          <w:rFonts w:ascii="宋体" w:hAnsi="宋体" w:cs="宋体"/>
          <w:b/>
          <w:bCs/>
          <w:szCs w:val="21"/>
        </w:rPr>
      </w:pPr>
      <w:r>
        <w:rPr>
          <w:rFonts w:hint="eastAsia" w:ascii="宋体" w:hAnsi="宋体" w:cs="宋体"/>
          <w:b/>
          <w:bCs/>
          <w:szCs w:val="21"/>
        </w:rPr>
        <w:t>投标评审价=投标报价×（1-投标报价折扣幅度）</w:t>
      </w:r>
    </w:p>
    <w:p>
      <w:pPr>
        <w:spacing w:line="500" w:lineRule="exact"/>
        <w:ind w:firstLine="420" w:firstLineChars="200"/>
        <w:rPr>
          <w:rFonts w:ascii="宋体" w:hAnsi="宋体" w:cs="宋体"/>
          <w:szCs w:val="21"/>
        </w:rPr>
      </w:pPr>
      <w:r>
        <w:rPr>
          <w:rFonts w:hint="eastAsia" w:ascii="宋体" w:hAnsi="宋体" w:cs="宋体"/>
          <w:szCs w:val="21"/>
        </w:rPr>
        <w:t>（2）如果同一包内有多个产品，部分产品符合政策优惠条件的（即部分产品是小微企业生产的），只对符合的产品依据《分项报价表》进行单项报价调整，调整后的单项报价之和与未调整的单报价之和相加为投标评审价。投标评审价按下列公示计算：</w:t>
      </w:r>
    </w:p>
    <w:p>
      <w:pPr>
        <w:spacing w:line="500" w:lineRule="exact"/>
        <w:ind w:firstLine="422" w:firstLineChars="200"/>
        <w:jc w:val="center"/>
        <w:rPr>
          <w:rFonts w:ascii="宋体" w:hAnsi="宋体" w:cs="宋体"/>
          <w:b/>
          <w:bCs/>
          <w:szCs w:val="21"/>
        </w:rPr>
      </w:pPr>
      <w:r>
        <w:rPr>
          <w:rFonts w:hint="eastAsia" w:ascii="宋体" w:hAnsi="宋体" w:cs="宋体"/>
          <w:b/>
          <w:bCs/>
          <w:szCs w:val="21"/>
        </w:rPr>
        <w:t>单项调整报价=单项报价×（1-投标报价折扣幅度）</w:t>
      </w:r>
    </w:p>
    <w:p>
      <w:pPr>
        <w:spacing w:line="500" w:lineRule="exact"/>
        <w:ind w:firstLine="422" w:firstLineChars="200"/>
        <w:jc w:val="center"/>
        <w:rPr>
          <w:rFonts w:ascii="宋体" w:hAnsi="宋体" w:cs="宋体"/>
          <w:b/>
          <w:bCs/>
          <w:szCs w:val="21"/>
        </w:rPr>
      </w:pPr>
      <w:r>
        <w:rPr>
          <w:rFonts w:hint="eastAsia" w:ascii="宋体" w:hAnsi="宋体" w:cs="宋体"/>
          <w:b/>
          <w:bCs/>
          <w:szCs w:val="21"/>
        </w:rPr>
        <w:t>投标评审价=∑单项调整报价+∑未调整单项报价</w:t>
      </w:r>
    </w:p>
    <w:p>
      <w:pPr>
        <w:spacing w:line="500" w:lineRule="exact"/>
        <w:ind w:firstLine="420" w:firstLineChars="200"/>
        <w:rPr>
          <w:rFonts w:ascii="宋体" w:hAnsi="宋体" w:cs="宋体"/>
          <w:szCs w:val="21"/>
        </w:rPr>
      </w:pPr>
      <w:r>
        <w:rPr>
          <w:rFonts w:hint="eastAsia" w:ascii="宋体" w:hAnsi="宋体" w:cs="宋体"/>
          <w:szCs w:val="21"/>
        </w:rPr>
        <w:t>（3）投标人的价格得分按下列公式计算：</w:t>
      </w:r>
    </w:p>
    <w:p>
      <w:pPr>
        <w:spacing w:line="500" w:lineRule="exact"/>
        <w:ind w:firstLine="422" w:firstLineChars="200"/>
        <w:jc w:val="center"/>
        <w:rPr>
          <w:rFonts w:ascii="宋体" w:hAnsi="宋体" w:cs="宋体"/>
          <w:b/>
          <w:bCs/>
          <w:szCs w:val="21"/>
        </w:rPr>
      </w:pPr>
      <w:r>
        <w:rPr>
          <w:rFonts w:hint="eastAsia" w:ascii="宋体" w:hAnsi="宋体" w:cs="宋体"/>
          <w:b/>
          <w:bCs/>
          <w:szCs w:val="21"/>
        </w:rPr>
        <w:t>投标报价得分=（投标基准价／投标评审价）×价格权值%×100</w:t>
      </w:r>
    </w:p>
    <w:p>
      <w:pPr>
        <w:spacing w:line="500" w:lineRule="exact"/>
        <w:ind w:firstLine="420" w:firstLineChars="200"/>
        <w:rPr>
          <w:rFonts w:ascii="宋体" w:hAnsi="宋体" w:cs="宋体"/>
          <w:szCs w:val="21"/>
        </w:rPr>
      </w:pPr>
      <w:r>
        <w:rPr>
          <w:rFonts w:hint="eastAsia" w:ascii="宋体" w:hAnsi="宋体" w:cs="宋体"/>
          <w:szCs w:val="21"/>
        </w:rPr>
        <w:t>2.2.3.2.2 节能、环境标志产品的报价折扣幅度标准：</w:t>
      </w:r>
    </w:p>
    <w:p>
      <w:pPr>
        <w:spacing w:line="500" w:lineRule="exact"/>
        <w:ind w:firstLine="420" w:firstLineChars="200"/>
        <w:rPr>
          <w:rFonts w:ascii="宋体" w:hAnsi="宋体" w:cs="宋体"/>
          <w:szCs w:val="21"/>
        </w:rPr>
      </w:pPr>
      <w:r>
        <w:rPr>
          <w:rFonts w:hint="eastAsia" w:ascii="宋体" w:hAnsi="宋体" w:cs="宋体"/>
          <w:szCs w:val="21"/>
        </w:rPr>
        <w:t>（1）所投产品属于节能或环保产品的，以《政府采购品目清单》为准，属于强制采购的产品，不再给予价格优惠。</w:t>
      </w:r>
    </w:p>
    <w:p>
      <w:pPr>
        <w:spacing w:line="500" w:lineRule="exact"/>
        <w:ind w:firstLine="420" w:firstLineChars="200"/>
        <w:rPr>
          <w:rFonts w:ascii="宋体" w:hAnsi="宋体" w:cs="宋体"/>
          <w:szCs w:val="21"/>
        </w:rPr>
      </w:pPr>
      <w:r>
        <w:rPr>
          <w:rFonts w:hint="eastAsia" w:ascii="宋体" w:hAnsi="宋体" w:cs="宋体"/>
          <w:szCs w:val="21"/>
        </w:rPr>
        <w:t>（2）参与投标的所有投标产品进入节能清单的，其投标价的计算：</w:t>
      </w:r>
    </w:p>
    <w:p>
      <w:pPr>
        <w:spacing w:line="500" w:lineRule="exact"/>
        <w:jc w:val="center"/>
        <w:rPr>
          <w:rFonts w:ascii="宋体" w:hAnsi="宋体" w:cs="宋体"/>
          <w:b/>
          <w:bCs/>
          <w:szCs w:val="21"/>
        </w:rPr>
      </w:pPr>
      <w:r>
        <w:rPr>
          <w:rFonts w:hint="eastAsia" w:ascii="宋体" w:hAnsi="宋体" w:cs="宋体"/>
          <w:b/>
          <w:bCs/>
          <w:szCs w:val="21"/>
        </w:rPr>
        <w:t>评标价=投标报价*（1-3%）（注：不是所有投标产品的不享受此项优惠）</w:t>
      </w:r>
    </w:p>
    <w:p>
      <w:pPr>
        <w:spacing w:line="500" w:lineRule="exact"/>
        <w:ind w:firstLine="420" w:firstLineChars="200"/>
        <w:rPr>
          <w:rFonts w:ascii="宋体" w:hAnsi="宋体" w:cs="宋体"/>
          <w:color w:val="FF0000"/>
          <w:szCs w:val="21"/>
        </w:rPr>
      </w:pPr>
      <w:r>
        <w:rPr>
          <w:rFonts w:hint="eastAsia" w:ascii="宋体" w:hAnsi="宋体" w:cs="宋体"/>
          <w:szCs w:val="21"/>
        </w:rPr>
        <w:t>（3）参与投标的所有投标产品进入环境标志产品清单的，其投标价的计算：</w:t>
      </w:r>
    </w:p>
    <w:p>
      <w:pPr>
        <w:spacing w:line="500" w:lineRule="exact"/>
        <w:jc w:val="center"/>
        <w:rPr>
          <w:rFonts w:ascii="宋体" w:hAnsi="宋体" w:cs="宋体"/>
          <w:b/>
          <w:bCs/>
          <w:szCs w:val="21"/>
        </w:rPr>
      </w:pPr>
      <w:r>
        <w:rPr>
          <w:rFonts w:hint="eastAsia" w:ascii="宋体" w:hAnsi="宋体" w:cs="宋体"/>
          <w:b/>
          <w:bCs/>
          <w:szCs w:val="21"/>
        </w:rPr>
        <w:t>其评标价=投标报价*（1-1%）（注：不是所有投标产品的不享受此项优惠）</w:t>
      </w:r>
    </w:p>
    <w:p>
      <w:pPr>
        <w:spacing w:line="500" w:lineRule="exact"/>
        <w:ind w:firstLine="420" w:firstLineChars="200"/>
        <w:rPr>
          <w:rFonts w:ascii="宋体" w:hAnsi="宋体" w:cs="宋体"/>
          <w:szCs w:val="21"/>
        </w:rPr>
      </w:pPr>
      <w:r>
        <w:rPr>
          <w:rFonts w:hint="eastAsia" w:ascii="宋体" w:hAnsi="宋体" w:cs="宋体"/>
          <w:szCs w:val="21"/>
        </w:rPr>
        <w:t>2.2.3.2.3 中小企业（含联合体）、监狱企业、残疾人福利性企业的评标价计算规则：</w:t>
      </w:r>
    </w:p>
    <w:p>
      <w:pPr>
        <w:spacing w:line="500" w:lineRule="exact"/>
        <w:ind w:firstLine="420" w:firstLineChars="200"/>
        <w:rPr>
          <w:rFonts w:ascii="宋体" w:hAnsi="宋体" w:cs="宋体"/>
          <w:szCs w:val="21"/>
        </w:rPr>
      </w:pPr>
      <w:r>
        <w:rPr>
          <w:rFonts w:hint="eastAsia" w:ascii="宋体" w:hAnsi="宋体" w:cs="宋体"/>
          <w:szCs w:val="21"/>
        </w:rPr>
        <w:t>（1）、《政府采购促进中小企业发展管理办法》的通知（财库〔2020〕46号）中所称中小企业（含中型、小型、微型企业，下同）应当同时符合以下条件：</w:t>
      </w:r>
    </w:p>
    <w:p>
      <w:pPr>
        <w:spacing w:line="500" w:lineRule="exact"/>
        <w:ind w:firstLine="420" w:firstLineChars="200"/>
        <w:rPr>
          <w:rFonts w:ascii="宋体" w:hAnsi="宋体" w:cs="宋体"/>
          <w:szCs w:val="21"/>
        </w:rPr>
      </w:pPr>
      <w:r>
        <w:rPr>
          <w:rFonts w:hint="eastAsia" w:ascii="宋体" w:hAnsi="宋体" w:cs="宋体"/>
          <w:szCs w:val="21"/>
        </w:rPr>
        <w:t>a、符合中小企业划分标准；</w:t>
      </w:r>
    </w:p>
    <w:p>
      <w:pPr>
        <w:spacing w:line="500" w:lineRule="exact"/>
        <w:ind w:firstLine="420" w:firstLineChars="200"/>
        <w:rPr>
          <w:rFonts w:ascii="宋体" w:hAnsi="宋体" w:cs="宋体"/>
          <w:szCs w:val="21"/>
        </w:rPr>
      </w:pPr>
      <w:r>
        <w:rPr>
          <w:rFonts w:hint="eastAsia" w:ascii="宋体" w:hAnsi="宋体" w:cs="宋体"/>
          <w:szCs w:val="21"/>
        </w:rPr>
        <w:t>b、投标提供本企业制造的货物、承担的工程或者服务，或者提供其他中小企业制造的货物。本项所称货物不包括使用大型企业注册商标的货物。</w:t>
      </w:r>
    </w:p>
    <w:p>
      <w:pPr>
        <w:spacing w:line="500" w:lineRule="exact"/>
        <w:ind w:firstLine="420" w:firstLineChars="200"/>
        <w:rPr>
          <w:rFonts w:ascii="宋体" w:hAnsi="宋体" w:cs="宋体"/>
          <w:szCs w:val="21"/>
        </w:rPr>
      </w:pPr>
      <w:r>
        <w:rPr>
          <w:rFonts w:hint="eastAsia" w:ascii="宋体" w:hAnsi="宋体" w:cs="宋体"/>
          <w:szCs w:val="21"/>
        </w:rPr>
        <w:t>（2）、本办法所称中小企业划分标准，是指国务院有关部门根据企业从业人员、营业收入、资产总额等指标制定的中小企业划型标准（工信部联企业〔2011〕300号）；</w:t>
      </w:r>
    </w:p>
    <w:p>
      <w:pPr>
        <w:spacing w:line="500" w:lineRule="exact"/>
        <w:ind w:firstLine="420" w:firstLineChars="200"/>
        <w:rPr>
          <w:rFonts w:ascii="宋体" w:hAnsi="宋体" w:cs="宋体"/>
          <w:szCs w:val="21"/>
        </w:rPr>
      </w:pPr>
      <w:r>
        <w:rPr>
          <w:rFonts w:hint="eastAsia" w:ascii="宋体" w:hAnsi="宋体" w:cs="宋体"/>
          <w:szCs w:val="21"/>
        </w:rPr>
        <w:t>（3）、小型、微型企业提供有中型企业制造的货物的，视同为中型企业；小型、微型、中型企业提供有大型企业制造的货物的，视同为大型企业。</w:t>
      </w:r>
    </w:p>
    <w:p>
      <w:pPr>
        <w:spacing w:line="500" w:lineRule="exact"/>
        <w:ind w:firstLine="420" w:firstLineChars="200"/>
        <w:rPr>
          <w:rFonts w:ascii="宋体" w:hAnsi="宋体" w:cs="宋体"/>
          <w:szCs w:val="21"/>
        </w:rPr>
      </w:pPr>
      <w:r>
        <w:rPr>
          <w:rFonts w:hint="eastAsia" w:ascii="宋体" w:hAnsi="宋体" w:cs="宋体"/>
          <w:szCs w:val="21"/>
        </w:rPr>
        <w:t>（4）、《关于政府采购支持监狱企业发展有关问题的通知》（财库[2014]68号）中所称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pPr>
        <w:spacing w:line="500" w:lineRule="exact"/>
        <w:ind w:firstLine="420" w:firstLineChars="200"/>
        <w:rPr>
          <w:rFonts w:ascii="宋体" w:hAnsi="宋体" w:cs="宋体"/>
          <w:szCs w:val="21"/>
        </w:rPr>
      </w:pPr>
      <w:r>
        <w:rPr>
          <w:rFonts w:hint="eastAsia" w:ascii="宋体" w:hAnsi="宋体" w:cs="宋体"/>
          <w:szCs w:val="21"/>
        </w:rPr>
        <w:t>（5）残疾人福利性企业应符合《关于促进残疾人就业政府采购政策的通知》的规定；</w:t>
      </w:r>
    </w:p>
    <w:p>
      <w:pPr>
        <w:spacing w:line="500" w:lineRule="exact"/>
        <w:ind w:firstLine="420" w:firstLineChars="200"/>
        <w:rPr>
          <w:rFonts w:ascii="宋体" w:hAnsi="宋体" w:cs="宋体"/>
          <w:szCs w:val="21"/>
        </w:rPr>
      </w:pPr>
      <w:r>
        <w:rPr>
          <w:rFonts w:hint="eastAsia" w:ascii="宋体" w:hAnsi="宋体" w:cs="宋体"/>
          <w:szCs w:val="21"/>
        </w:rPr>
        <w:t>（6）、中小企业、监狱和戒毒企业、残疾人福利性企业评标价的计算：</w:t>
      </w:r>
    </w:p>
    <w:p>
      <w:pPr>
        <w:spacing w:line="500" w:lineRule="exact"/>
        <w:ind w:firstLine="420" w:firstLineChars="200"/>
        <w:rPr>
          <w:rFonts w:ascii="宋体" w:hAnsi="宋体" w:cs="宋体"/>
          <w:szCs w:val="21"/>
        </w:rPr>
      </w:pPr>
      <w:r>
        <w:rPr>
          <w:rFonts w:hint="eastAsia" w:ascii="宋体" w:hAnsi="宋体" w:cs="宋体"/>
          <w:szCs w:val="21"/>
        </w:rPr>
        <w:t>a、投标人为非联合体投标的情况：</w:t>
      </w:r>
    </w:p>
    <w:p>
      <w:pPr>
        <w:spacing w:line="500" w:lineRule="exact"/>
        <w:ind w:firstLine="420" w:firstLineChars="200"/>
        <w:jc w:val="center"/>
        <w:rPr>
          <w:rFonts w:ascii="宋体" w:hAnsi="宋体" w:cs="宋体"/>
          <w:szCs w:val="21"/>
        </w:rPr>
      </w:pPr>
      <w:r>
        <w:rPr>
          <w:rFonts w:hint="eastAsia" w:ascii="宋体" w:hAnsi="宋体" w:cs="宋体"/>
          <w:szCs w:val="21"/>
        </w:rPr>
        <w:t>小型企业，其评标价=投标报价*（1-6%）；</w:t>
      </w:r>
    </w:p>
    <w:p>
      <w:pPr>
        <w:spacing w:line="500" w:lineRule="exact"/>
        <w:ind w:firstLine="420" w:firstLineChars="200"/>
        <w:jc w:val="center"/>
        <w:rPr>
          <w:rFonts w:ascii="宋体" w:hAnsi="宋体" w:cs="宋体"/>
          <w:szCs w:val="21"/>
        </w:rPr>
      </w:pPr>
      <w:r>
        <w:rPr>
          <w:rFonts w:hint="eastAsia" w:ascii="宋体" w:hAnsi="宋体" w:cs="宋体"/>
          <w:szCs w:val="21"/>
        </w:rPr>
        <w:t>微型企业，其评标价=投标报价*（1-6%）；</w:t>
      </w:r>
    </w:p>
    <w:p>
      <w:pPr>
        <w:spacing w:line="500" w:lineRule="exact"/>
        <w:ind w:firstLine="420" w:firstLineChars="200"/>
        <w:jc w:val="center"/>
        <w:rPr>
          <w:rFonts w:ascii="宋体" w:hAnsi="宋体" w:cs="宋体"/>
          <w:szCs w:val="21"/>
        </w:rPr>
      </w:pPr>
      <w:r>
        <w:rPr>
          <w:rFonts w:hint="eastAsia" w:ascii="宋体" w:hAnsi="宋体" w:cs="宋体"/>
          <w:szCs w:val="21"/>
        </w:rPr>
        <w:t>监狱企业，其评标价=投标报价*（1-6%）；</w:t>
      </w:r>
    </w:p>
    <w:p>
      <w:pPr>
        <w:spacing w:line="500" w:lineRule="exact"/>
        <w:ind w:firstLine="420" w:firstLineChars="200"/>
        <w:jc w:val="center"/>
        <w:rPr>
          <w:rFonts w:ascii="宋体" w:hAnsi="宋体" w:cs="宋体"/>
          <w:szCs w:val="21"/>
        </w:rPr>
      </w:pPr>
      <w:r>
        <w:rPr>
          <w:rFonts w:hint="eastAsia" w:ascii="宋体" w:hAnsi="宋体" w:cs="宋体"/>
          <w:szCs w:val="21"/>
        </w:rPr>
        <w:t>残疾人福利性企业，其评标价=投标报价*（1-6%）。</w:t>
      </w:r>
    </w:p>
    <w:p>
      <w:pPr>
        <w:spacing w:line="500" w:lineRule="exact"/>
        <w:ind w:firstLine="420" w:firstLineChars="200"/>
        <w:rPr>
          <w:rFonts w:ascii="宋体" w:hAnsi="宋体" w:cs="宋体"/>
          <w:szCs w:val="21"/>
        </w:rPr>
      </w:pPr>
      <w:r>
        <w:rPr>
          <w:rFonts w:hint="eastAsia" w:ascii="宋体" w:hAnsi="宋体" w:cs="宋体"/>
          <w:szCs w:val="21"/>
        </w:rPr>
        <w:t>b、投标人为联合体投标且联合协议中中约定小型、微型企业、监狱企业、残疾人福利性单位的协议合同金额占到联合体协议合同总金额30%以上的，按照以下规则进行评标价计算：</w:t>
      </w:r>
    </w:p>
    <w:p>
      <w:pPr>
        <w:spacing w:line="500" w:lineRule="exact"/>
        <w:jc w:val="center"/>
        <w:rPr>
          <w:rFonts w:ascii="宋体" w:hAnsi="宋体" w:cs="宋体"/>
          <w:b/>
          <w:bCs/>
          <w:szCs w:val="21"/>
        </w:rPr>
      </w:pPr>
      <w:r>
        <w:rPr>
          <w:rFonts w:hint="eastAsia" w:ascii="宋体" w:hAnsi="宋体" w:cs="宋体"/>
          <w:b/>
          <w:bCs/>
          <w:szCs w:val="21"/>
        </w:rPr>
        <w:t>与小型企业联合的，其评标价=投标报价*（1-2%）；</w:t>
      </w:r>
    </w:p>
    <w:p>
      <w:pPr>
        <w:spacing w:line="500" w:lineRule="exact"/>
        <w:jc w:val="center"/>
        <w:rPr>
          <w:rFonts w:ascii="宋体" w:hAnsi="宋体" w:cs="宋体"/>
          <w:b/>
          <w:bCs/>
          <w:szCs w:val="21"/>
        </w:rPr>
      </w:pPr>
      <w:r>
        <w:rPr>
          <w:rFonts w:hint="eastAsia" w:ascii="宋体" w:hAnsi="宋体" w:cs="宋体"/>
          <w:b/>
          <w:bCs/>
          <w:szCs w:val="21"/>
        </w:rPr>
        <w:t>与微型企业联合的，其评标价=投标报价*（1-</w:t>
      </w:r>
      <w:r>
        <w:rPr>
          <w:rFonts w:hint="eastAsia" w:ascii="宋体" w:hAnsi="宋体" w:cs="宋体"/>
          <w:b/>
          <w:bCs/>
          <w:szCs w:val="21"/>
          <w:lang w:val="en-US" w:eastAsia="zh-CN"/>
        </w:rPr>
        <w:t>2</w:t>
      </w:r>
      <w:r>
        <w:rPr>
          <w:rFonts w:hint="eastAsia" w:ascii="宋体" w:hAnsi="宋体" w:cs="宋体"/>
          <w:b/>
          <w:bCs/>
          <w:szCs w:val="21"/>
        </w:rPr>
        <w:t>%）；</w:t>
      </w:r>
    </w:p>
    <w:p>
      <w:pPr>
        <w:spacing w:line="500" w:lineRule="exact"/>
        <w:jc w:val="center"/>
        <w:rPr>
          <w:rFonts w:ascii="宋体" w:hAnsi="宋体" w:cs="宋体"/>
          <w:b/>
          <w:bCs/>
          <w:szCs w:val="21"/>
        </w:rPr>
      </w:pPr>
      <w:r>
        <w:rPr>
          <w:rFonts w:hint="eastAsia" w:ascii="宋体" w:hAnsi="宋体" w:cs="宋体"/>
          <w:b/>
          <w:bCs/>
          <w:szCs w:val="21"/>
        </w:rPr>
        <w:t>与监狱企业联合的，其评标价=投标报价*（1-2%）；</w:t>
      </w:r>
    </w:p>
    <w:p>
      <w:pPr>
        <w:spacing w:line="500" w:lineRule="exact"/>
        <w:jc w:val="center"/>
        <w:rPr>
          <w:rFonts w:ascii="宋体" w:hAnsi="宋体" w:cs="宋体"/>
          <w:b/>
          <w:bCs/>
          <w:szCs w:val="21"/>
        </w:rPr>
      </w:pPr>
      <w:r>
        <w:rPr>
          <w:rFonts w:hint="eastAsia" w:ascii="宋体" w:hAnsi="宋体" w:cs="宋体"/>
          <w:b/>
          <w:bCs/>
          <w:szCs w:val="21"/>
        </w:rPr>
        <w:t>与残疾人福利性企业联合的，其评标价=投标报价*（1-2%）。</w:t>
      </w:r>
    </w:p>
    <w:p>
      <w:pPr>
        <w:spacing w:line="500" w:lineRule="exact"/>
        <w:ind w:firstLine="420" w:firstLineChars="200"/>
        <w:rPr>
          <w:rFonts w:ascii="宋体" w:hAnsi="宋体" w:cs="宋体"/>
          <w:bCs/>
          <w:szCs w:val="21"/>
        </w:rPr>
      </w:pPr>
      <w:r>
        <w:rPr>
          <w:rFonts w:hint="eastAsia" w:ascii="宋体" w:hAnsi="宋体" w:cs="宋体"/>
          <w:bCs/>
          <w:szCs w:val="21"/>
        </w:rPr>
        <w:t>（7）</w:t>
      </w:r>
      <w:r>
        <w:rPr>
          <w:rFonts w:hint="eastAsia" w:ascii="宋体" w:hAnsi="宋体" w:cs="宋体"/>
          <w:szCs w:val="21"/>
        </w:rPr>
        <w:t>残疾人福利性企业按照第2.2.3.2.3条实行，若残疾人福利性单位属于小型、微型企业的，不重复享受政策。</w:t>
      </w:r>
    </w:p>
    <w:p>
      <w:pPr>
        <w:spacing w:line="500" w:lineRule="exact"/>
        <w:ind w:firstLine="420" w:firstLineChars="200"/>
        <w:rPr>
          <w:rFonts w:ascii="宋体" w:hAnsi="宋体" w:cs="宋体"/>
          <w:szCs w:val="21"/>
        </w:rPr>
      </w:pPr>
      <w:r>
        <w:rPr>
          <w:rFonts w:hint="eastAsia" w:ascii="宋体" w:hAnsi="宋体" w:cs="宋体"/>
          <w:szCs w:val="21"/>
        </w:rPr>
        <w:t>（8）中小企业、监狱和戒毒企业、残疾人福利性企业须提供证明文件：</w:t>
      </w:r>
    </w:p>
    <w:p>
      <w:pPr>
        <w:spacing w:line="500" w:lineRule="exact"/>
        <w:rPr>
          <w:rFonts w:ascii="宋体" w:hAnsi="宋体" w:cs="宋体"/>
          <w:szCs w:val="21"/>
        </w:rPr>
      </w:pPr>
      <w:r>
        <w:rPr>
          <w:rFonts w:hint="eastAsia" w:ascii="宋体" w:hAnsi="宋体" w:cs="宋体"/>
          <w:szCs w:val="21"/>
        </w:rPr>
        <w:t xml:space="preserve">    a、《政府采购促进中小企业发展暂行办法》的规定，并提供《中小企业声明函》、注册地中小企业管理局开具的中小企业证明函（提供其他中小企业制造的货物时还需提供货物制造商的声明函、证明函）。本项目采购标的对应的中小企业划分标准所属行业为软件和信息技术服务业。对符合价格扣除条件的小型和微型企业提供的投标报价给予6%的价格扣除，未提供或填写不全的中小企业声明函的不享受价格折扣。</w:t>
      </w:r>
    </w:p>
    <w:p>
      <w:pPr>
        <w:spacing w:line="500" w:lineRule="exact"/>
        <w:ind w:firstLine="420"/>
        <w:rPr>
          <w:rFonts w:ascii="宋体" w:hAnsi="宋体" w:cs="宋体"/>
          <w:szCs w:val="21"/>
        </w:rPr>
      </w:pPr>
      <w:r>
        <w:rPr>
          <w:rFonts w:hint="eastAsia" w:ascii="宋体" w:hAnsi="宋体" w:cs="宋体"/>
          <w:szCs w:val="21"/>
        </w:rPr>
        <w:t>b、监狱和戒毒企业应符合《财政部 司法部关于政府采购支持监狱企业发展有关问题的通知》，并提供由省级以上监狱管理局、戒毒管理局(含新疆生产建设兵团)出具的属于监狱企业的证明文件。</w:t>
      </w:r>
    </w:p>
    <w:p>
      <w:pPr>
        <w:spacing w:line="500" w:lineRule="exact"/>
        <w:ind w:firstLine="420"/>
        <w:rPr>
          <w:rFonts w:ascii="宋体" w:hAnsi="宋体" w:cs="宋体"/>
          <w:szCs w:val="21"/>
        </w:rPr>
      </w:pPr>
      <w:r>
        <w:rPr>
          <w:rFonts w:hint="eastAsia" w:ascii="宋体" w:hAnsi="宋体" w:cs="宋体"/>
          <w:szCs w:val="21"/>
        </w:rPr>
        <w:t>c、残疾人福利性企业应按照《关于促进残疾人就业政府采购政策的通知》的规定，并提供《残疾人福利性单位声明函》</w:t>
      </w:r>
    </w:p>
    <w:p>
      <w:pPr>
        <w:spacing w:line="500" w:lineRule="exact"/>
        <w:ind w:firstLine="420" w:firstLineChars="200"/>
        <w:rPr>
          <w:rFonts w:ascii="宋体" w:hAnsi="宋体" w:cs="宋体"/>
          <w:szCs w:val="21"/>
        </w:rPr>
      </w:pPr>
      <w:r>
        <w:rPr>
          <w:rFonts w:hint="eastAsia" w:ascii="宋体" w:hAnsi="宋体" w:cs="宋体"/>
          <w:szCs w:val="21"/>
        </w:rPr>
        <w:t>（9）符合（财库[2019]27号）文件规定的投标产品或供应商：</w:t>
      </w:r>
    </w:p>
    <w:p>
      <w:pPr>
        <w:spacing w:line="500" w:lineRule="exact"/>
        <w:ind w:firstLine="422" w:firstLineChars="200"/>
        <w:rPr>
          <w:rFonts w:ascii="宋体" w:hAnsi="宋体" w:cs="宋体"/>
          <w:szCs w:val="21"/>
        </w:rPr>
      </w:pPr>
      <w:r>
        <w:rPr>
          <w:rFonts w:hint="eastAsia" w:ascii="宋体" w:hAnsi="宋体" w:cs="宋体"/>
          <w:b/>
          <w:bCs/>
          <w:szCs w:val="21"/>
        </w:rPr>
        <w:t>投标产品为贫困地区农副产品的评标价计算规则：其评标价=投标报价*（1-5%）；</w:t>
      </w:r>
    </w:p>
    <w:p>
      <w:pPr>
        <w:spacing w:line="500" w:lineRule="exact"/>
        <w:ind w:firstLine="420" w:firstLineChars="200"/>
        <w:rPr>
          <w:rFonts w:ascii="宋体" w:hAnsi="宋体" w:cs="宋体"/>
          <w:szCs w:val="21"/>
        </w:rPr>
      </w:pPr>
      <w:r>
        <w:rPr>
          <w:rFonts w:hint="eastAsia" w:ascii="宋体" w:hAnsi="宋体" w:cs="宋体"/>
          <w:szCs w:val="21"/>
        </w:rPr>
        <w:t>贫困地区农副产品是指832个国家级贫困县域内注册的企业、农民专业合作社、家庭农场等出产的农副产品。</w:t>
      </w:r>
    </w:p>
    <w:p>
      <w:pPr>
        <w:spacing w:line="500" w:lineRule="exact"/>
        <w:ind w:firstLine="422" w:firstLineChars="200"/>
        <w:rPr>
          <w:rFonts w:ascii="宋体" w:hAnsi="宋体" w:cs="宋体"/>
          <w:b/>
          <w:bCs/>
          <w:szCs w:val="21"/>
        </w:rPr>
      </w:pPr>
      <w:r>
        <w:rPr>
          <w:rFonts w:hint="eastAsia" w:ascii="宋体" w:hAnsi="宋体" w:cs="宋体"/>
          <w:b/>
          <w:bCs/>
          <w:szCs w:val="21"/>
        </w:rPr>
        <w:t>投标人为物业公司提供物业服务的评标价计算规则：其评标价=投标报价*（1-5%）；</w:t>
      </w:r>
    </w:p>
    <w:p>
      <w:pPr>
        <w:spacing w:line="500" w:lineRule="exact"/>
        <w:ind w:firstLine="420" w:firstLineChars="200"/>
        <w:rPr>
          <w:rFonts w:ascii="宋体" w:hAnsi="宋体" w:cs="宋体"/>
          <w:szCs w:val="21"/>
        </w:rPr>
      </w:pPr>
      <w:r>
        <w:rPr>
          <w:rFonts w:hint="eastAsia" w:ascii="宋体" w:hAnsi="宋体" w:cs="宋体"/>
          <w:szCs w:val="21"/>
        </w:rPr>
        <w:t>采购物业服务的，有条件的应当优先采购注册地在832个国家级贫困县域内，且聘用建档立卡贫困人员物业公司提供的物业服务。对注册地在832个国家级贫困县域内，且聘用建档立卡贫困人员达到公司员工（含服务外包用工）30%以上的物业公司提供的物业服务。</w:t>
      </w:r>
    </w:p>
    <w:p>
      <w:pPr>
        <w:spacing w:line="500" w:lineRule="exact"/>
        <w:ind w:firstLine="420" w:firstLineChars="200"/>
        <w:rPr>
          <w:rFonts w:ascii="宋体" w:hAnsi="宋体" w:cs="宋体"/>
          <w:szCs w:val="21"/>
        </w:rPr>
      </w:pPr>
      <w:r>
        <w:rPr>
          <w:rFonts w:hint="eastAsia" w:ascii="宋体" w:hAnsi="宋体" w:cs="宋体"/>
          <w:szCs w:val="21"/>
        </w:rPr>
        <w:t>2.2.3.2.4 对于不享受以上政策性优惠价格调整的，其评标价=按照以上2.2.3.2.1条款修正后的投标总价。</w:t>
      </w:r>
    </w:p>
    <w:p>
      <w:pPr>
        <w:spacing w:line="500" w:lineRule="exact"/>
        <w:ind w:firstLine="420" w:firstLineChars="200"/>
        <w:rPr>
          <w:rFonts w:ascii="宋体" w:hAnsi="宋体" w:cs="宋体"/>
          <w:szCs w:val="21"/>
        </w:rPr>
      </w:pPr>
      <w:r>
        <w:rPr>
          <w:rFonts w:hint="eastAsia" w:ascii="宋体" w:hAnsi="宋体" w:cs="宋体"/>
          <w:szCs w:val="21"/>
        </w:rPr>
        <w:t>2.2.3.3 由评标委员会独立地根据各项因素的评分标准，结合每个投标人的实际情况，分别就投标报价以外的各项评审因素对每个投标人独立打分。</w:t>
      </w:r>
    </w:p>
    <w:p>
      <w:pPr>
        <w:spacing w:line="500" w:lineRule="exact"/>
        <w:ind w:firstLine="420" w:firstLineChars="200"/>
        <w:rPr>
          <w:rFonts w:ascii="宋体" w:hAnsi="宋体" w:cs="宋体"/>
          <w:szCs w:val="21"/>
        </w:rPr>
      </w:pPr>
      <w:r>
        <w:rPr>
          <w:rFonts w:hint="eastAsia" w:ascii="宋体" w:hAnsi="宋体" w:cs="宋体"/>
          <w:szCs w:val="21"/>
        </w:rPr>
        <w:t>2.2.3.4 将所有评审因素所得实际评审分数相加，即为该投标人的评审总得分。评审总得分按下列公式计算：</w:t>
      </w:r>
    </w:p>
    <w:p>
      <w:pPr>
        <w:spacing w:line="500" w:lineRule="exact"/>
        <w:jc w:val="center"/>
        <w:rPr>
          <w:rFonts w:ascii="宋体" w:hAnsi="宋体" w:cs="宋体"/>
          <w:b/>
          <w:bCs/>
          <w:szCs w:val="21"/>
        </w:rPr>
      </w:pPr>
      <w:r>
        <w:rPr>
          <w:rFonts w:hint="eastAsia" w:ascii="宋体" w:hAnsi="宋体" w:cs="宋体"/>
          <w:b/>
          <w:bCs/>
          <w:szCs w:val="21"/>
        </w:rPr>
        <w:t>评审总得分＝F1×A1＋F2×A2＋……＋Fn×An</w:t>
      </w:r>
    </w:p>
    <w:p>
      <w:pPr>
        <w:spacing w:line="500" w:lineRule="exact"/>
        <w:jc w:val="center"/>
        <w:rPr>
          <w:rFonts w:ascii="宋体" w:hAnsi="宋体" w:cs="宋体"/>
          <w:b/>
          <w:bCs/>
          <w:szCs w:val="21"/>
        </w:rPr>
      </w:pPr>
      <w:r>
        <w:rPr>
          <w:rFonts w:hint="eastAsia" w:ascii="宋体" w:hAnsi="宋体" w:cs="宋体"/>
          <w:b/>
          <w:bCs/>
          <w:szCs w:val="21"/>
        </w:rPr>
        <w:t>F1、F2……Fn分别为各项评审因素的汇总得分；</w:t>
      </w:r>
    </w:p>
    <w:p>
      <w:pPr>
        <w:spacing w:line="500" w:lineRule="exact"/>
        <w:jc w:val="center"/>
        <w:rPr>
          <w:rFonts w:ascii="宋体" w:hAnsi="宋体" w:cs="宋体"/>
          <w:b/>
          <w:bCs/>
          <w:szCs w:val="21"/>
        </w:rPr>
      </w:pPr>
      <w:r>
        <w:rPr>
          <w:rFonts w:hint="eastAsia" w:ascii="宋体" w:hAnsi="宋体" w:cs="宋体"/>
          <w:b/>
          <w:bCs/>
          <w:szCs w:val="21"/>
        </w:rPr>
        <w:t>A1、A2……An分别为各项评审因素所占的权重（A1＋A2＋……＋An＝1）。</w:t>
      </w:r>
    </w:p>
    <w:p>
      <w:pPr>
        <w:spacing w:line="500" w:lineRule="exact"/>
        <w:jc w:val="center"/>
        <w:rPr>
          <w:rFonts w:ascii="宋体" w:hAnsi="宋体" w:cs="宋体"/>
          <w:szCs w:val="21"/>
        </w:rPr>
      </w:pPr>
      <w:r>
        <w:rPr>
          <w:rFonts w:hint="eastAsia" w:ascii="宋体" w:hAnsi="宋体" w:cs="宋体"/>
          <w:b/>
          <w:bCs/>
          <w:szCs w:val="21"/>
        </w:rPr>
        <w:t>评审过程中，不得去掉报价中的最高报价和最低报价。</w:t>
      </w:r>
    </w:p>
    <w:p>
      <w:pPr>
        <w:spacing w:line="500" w:lineRule="exact"/>
        <w:rPr>
          <w:rFonts w:ascii="宋体" w:hAnsi="宋体" w:cs="宋体"/>
          <w:szCs w:val="21"/>
        </w:rPr>
      </w:pPr>
      <w:r>
        <w:rPr>
          <w:rFonts w:hint="eastAsia" w:ascii="宋体" w:hAnsi="宋体" w:cs="宋体"/>
          <w:szCs w:val="21"/>
        </w:rPr>
        <w:t xml:space="preserve">    2.2.3.5非实质性偏离是指投标文件在实质上响应招标文件的要求，但在个别地方存在一些不规则、不一致、不完整的内容，并且澄清、说明或者补正这些内容不会改变投标文件的实质性内容。以下情况属于非实质性偏离：</w:t>
      </w:r>
    </w:p>
    <w:p>
      <w:pPr>
        <w:spacing w:line="500" w:lineRule="exact"/>
        <w:ind w:firstLine="420" w:firstLineChars="200"/>
        <w:rPr>
          <w:rFonts w:ascii="宋体" w:hAnsi="宋体" w:cs="宋体"/>
          <w:szCs w:val="21"/>
        </w:rPr>
      </w:pPr>
      <w:r>
        <w:rPr>
          <w:rFonts w:hint="eastAsia" w:ascii="宋体" w:hAnsi="宋体" w:cs="宋体"/>
          <w:szCs w:val="21"/>
        </w:rPr>
        <w:t>（1）文字表述的内容含义不明确；</w:t>
      </w:r>
    </w:p>
    <w:p>
      <w:pPr>
        <w:spacing w:line="500" w:lineRule="exact"/>
        <w:ind w:firstLine="420" w:firstLineChars="200"/>
        <w:rPr>
          <w:rFonts w:ascii="宋体" w:hAnsi="宋体" w:cs="宋体"/>
          <w:szCs w:val="21"/>
        </w:rPr>
      </w:pPr>
      <w:r>
        <w:rPr>
          <w:rFonts w:hint="eastAsia" w:ascii="宋体" w:hAnsi="宋体" w:cs="宋体"/>
          <w:szCs w:val="21"/>
        </w:rPr>
        <w:t>（2）同类问题表述不一致；</w:t>
      </w:r>
    </w:p>
    <w:p>
      <w:pPr>
        <w:spacing w:line="500" w:lineRule="exact"/>
        <w:ind w:firstLine="420" w:firstLineChars="200"/>
        <w:rPr>
          <w:rFonts w:ascii="宋体" w:hAnsi="宋体" w:cs="宋体"/>
          <w:szCs w:val="21"/>
        </w:rPr>
      </w:pPr>
      <w:r>
        <w:rPr>
          <w:rFonts w:hint="eastAsia" w:ascii="宋体" w:hAnsi="宋体" w:cs="宋体"/>
          <w:szCs w:val="21"/>
        </w:rPr>
        <w:t>（3）有明显文字和计算错误；</w:t>
      </w:r>
    </w:p>
    <w:p>
      <w:pPr>
        <w:spacing w:line="500" w:lineRule="exact"/>
        <w:ind w:firstLine="420" w:firstLineChars="200"/>
        <w:rPr>
          <w:rFonts w:ascii="宋体" w:hAnsi="宋体" w:cs="宋体"/>
          <w:szCs w:val="21"/>
        </w:rPr>
      </w:pPr>
      <w:r>
        <w:rPr>
          <w:rFonts w:hint="eastAsia" w:ascii="宋体" w:hAnsi="宋体" w:cs="宋体"/>
          <w:szCs w:val="21"/>
        </w:rPr>
        <w:t>（4）提供的技术信息和数据资料不完整；</w:t>
      </w:r>
    </w:p>
    <w:p>
      <w:pPr>
        <w:spacing w:line="500" w:lineRule="exact"/>
        <w:ind w:firstLine="420" w:firstLineChars="200"/>
        <w:rPr>
          <w:rFonts w:ascii="宋体" w:hAnsi="宋体" w:cs="宋体"/>
          <w:szCs w:val="21"/>
        </w:rPr>
      </w:pPr>
      <w:r>
        <w:rPr>
          <w:rFonts w:hint="eastAsia" w:ascii="宋体" w:hAnsi="宋体" w:cs="宋体"/>
          <w:szCs w:val="21"/>
        </w:rPr>
        <w:t>（5）投标文件未按招标文件要求进行装订或未编制目录、页码；</w:t>
      </w:r>
    </w:p>
    <w:p>
      <w:pPr>
        <w:spacing w:line="500" w:lineRule="exact"/>
        <w:ind w:firstLine="420" w:firstLineChars="200"/>
        <w:rPr>
          <w:rFonts w:ascii="宋体" w:hAnsi="宋体" w:cs="宋体"/>
          <w:szCs w:val="21"/>
        </w:rPr>
      </w:pPr>
      <w:r>
        <w:rPr>
          <w:rFonts w:hint="eastAsia" w:ascii="宋体" w:hAnsi="宋体" w:cs="宋体"/>
          <w:szCs w:val="21"/>
        </w:rPr>
        <w:t>（6）评标委员会认定的其他非实质性偏离。</w:t>
      </w:r>
    </w:p>
    <w:p>
      <w:pPr>
        <w:spacing w:line="500" w:lineRule="exact"/>
        <w:rPr>
          <w:rFonts w:ascii="宋体" w:hAnsi="宋体" w:cs="宋体"/>
          <w:szCs w:val="21"/>
        </w:rPr>
      </w:pPr>
      <w:r>
        <w:rPr>
          <w:rFonts w:hint="eastAsia" w:ascii="宋体" w:hAnsi="宋体" w:cs="宋体"/>
          <w:szCs w:val="21"/>
        </w:rPr>
        <w:t xml:space="preserve">    投标文件有上述（1）至（4）情形之一的，评标委员会应当书面要求投标人在规定的时间内予以澄清、说明或补正。投标人拒不或在规定的时间内没有进行澄清、说明或补正或澄清、说明、补正的内容也不能说明问题的，视为投标文件制作不规范，按每一项非实质性偏离进行扣分处理，直至该项分值扣完为止。</w:t>
      </w:r>
    </w:p>
    <w:p>
      <w:pPr>
        <w:spacing w:line="500" w:lineRule="exact"/>
        <w:rPr>
          <w:rFonts w:ascii="宋体" w:hAnsi="宋体" w:cs="宋体"/>
          <w:szCs w:val="21"/>
        </w:rPr>
      </w:pPr>
      <w:r>
        <w:rPr>
          <w:rFonts w:hint="eastAsia" w:ascii="宋体" w:hAnsi="宋体" w:cs="宋体"/>
          <w:szCs w:val="21"/>
        </w:rPr>
        <w:t xml:space="preserve">    2.2.3.6 在投标文件初审过程中，如果出现评标委员会成员意见不一致的情况，按照少数服从多数的原则确定。</w:t>
      </w:r>
    </w:p>
    <w:p>
      <w:pPr>
        <w:spacing w:line="500" w:lineRule="exact"/>
        <w:ind w:firstLine="420"/>
        <w:rPr>
          <w:rFonts w:ascii="宋体" w:hAnsi="宋体" w:cs="宋体"/>
          <w:szCs w:val="21"/>
        </w:rPr>
      </w:pPr>
      <w:r>
        <w:rPr>
          <w:rFonts w:hint="eastAsia" w:ascii="宋体" w:hAnsi="宋体" w:cs="宋体"/>
          <w:szCs w:val="21"/>
        </w:rPr>
        <w:t>2.2.3.7 本采购项目的评标因素和标准见下列综合评分明细表。</w:t>
      </w:r>
    </w:p>
    <w:p>
      <w:pPr>
        <w:spacing w:line="500" w:lineRule="exact"/>
        <w:jc w:val="center"/>
        <w:rPr>
          <w:rFonts w:ascii="宋体" w:hAnsi="宋体" w:cs="宋体"/>
          <w:b/>
          <w:bCs/>
          <w:sz w:val="28"/>
          <w:szCs w:val="28"/>
        </w:rPr>
      </w:pPr>
    </w:p>
    <w:p>
      <w:pPr>
        <w:spacing w:line="500" w:lineRule="exact"/>
        <w:jc w:val="center"/>
        <w:rPr>
          <w:rFonts w:ascii="宋体" w:hAnsi="宋体" w:cs="宋体"/>
          <w:b/>
          <w:bCs/>
          <w:sz w:val="28"/>
          <w:szCs w:val="28"/>
        </w:rPr>
      </w:pPr>
    </w:p>
    <w:p>
      <w:pPr>
        <w:spacing w:line="500" w:lineRule="exact"/>
        <w:jc w:val="center"/>
        <w:rPr>
          <w:rFonts w:ascii="宋体" w:hAnsi="宋体" w:cs="宋体"/>
          <w:b/>
          <w:bCs/>
          <w:sz w:val="28"/>
          <w:szCs w:val="28"/>
        </w:rPr>
      </w:pPr>
    </w:p>
    <w:p>
      <w:pPr>
        <w:spacing w:line="500" w:lineRule="exact"/>
        <w:jc w:val="center"/>
        <w:rPr>
          <w:rFonts w:ascii="宋体" w:hAnsi="宋体" w:cs="宋体"/>
          <w:b/>
          <w:bCs/>
          <w:sz w:val="28"/>
          <w:szCs w:val="28"/>
        </w:rPr>
      </w:pPr>
    </w:p>
    <w:p>
      <w:pPr>
        <w:spacing w:line="500" w:lineRule="exact"/>
        <w:jc w:val="center"/>
        <w:rPr>
          <w:rFonts w:ascii="宋体" w:hAnsi="宋体" w:cs="宋体"/>
          <w:b/>
          <w:bCs/>
          <w:sz w:val="28"/>
          <w:szCs w:val="28"/>
        </w:rPr>
      </w:pPr>
    </w:p>
    <w:p>
      <w:pPr>
        <w:spacing w:line="500" w:lineRule="exact"/>
        <w:jc w:val="center"/>
        <w:rPr>
          <w:rFonts w:ascii="宋体" w:hAnsi="宋体" w:cs="宋体"/>
          <w:b/>
          <w:bCs/>
          <w:sz w:val="28"/>
          <w:szCs w:val="28"/>
        </w:rPr>
      </w:pPr>
    </w:p>
    <w:p>
      <w:pPr>
        <w:spacing w:line="500" w:lineRule="exact"/>
        <w:jc w:val="center"/>
        <w:rPr>
          <w:rFonts w:ascii="宋体" w:hAnsi="宋体" w:cs="宋体"/>
          <w:b/>
          <w:bCs/>
          <w:sz w:val="28"/>
          <w:szCs w:val="28"/>
        </w:rPr>
      </w:pPr>
    </w:p>
    <w:p>
      <w:pPr>
        <w:spacing w:line="500" w:lineRule="exact"/>
        <w:jc w:val="center"/>
        <w:rPr>
          <w:rFonts w:ascii="宋体" w:hAnsi="宋体" w:cs="宋体"/>
          <w:b/>
          <w:bCs/>
          <w:sz w:val="28"/>
          <w:szCs w:val="28"/>
        </w:rPr>
      </w:pPr>
    </w:p>
    <w:p>
      <w:pPr>
        <w:pStyle w:val="46"/>
      </w:pPr>
    </w:p>
    <w:p>
      <w:pPr>
        <w:spacing w:line="500" w:lineRule="exact"/>
        <w:jc w:val="center"/>
        <w:rPr>
          <w:rFonts w:ascii="宋体" w:hAnsi="宋体" w:cs="宋体"/>
          <w:b/>
          <w:bCs/>
          <w:sz w:val="28"/>
          <w:szCs w:val="28"/>
        </w:rPr>
      </w:pPr>
      <w:r>
        <w:rPr>
          <w:rFonts w:hint="eastAsia" w:ascii="宋体" w:hAnsi="宋体" w:cs="宋体"/>
          <w:b/>
          <w:bCs/>
          <w:sz w:val="28"/>
          <w:szCs w:val="28"/>
        </w:rPr>
        <w:t>综合评分明细表</w:t>
      </w:r>
    </w:p>
    <w:tbl>
      <w:tblPr>
        <w:tblStyle w:val="36"/>
        <w:tblW w:w="0" w:type="auto"/>
        <w:tblInd w:w="113"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729"/>
        <w:gridCol w:w="1330"/>
        <w:gridCol w:w="864"/>
        <w:gridCol w:w="6365"/>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90" w:hRule="atLeast"/>
        </w:trPr>
        <w:tc>
          <w:tcPr>
            <w:tcW w:w="729" w:type="dxa"/>
            <w:tcBorders>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序号</w:t>
            </w:r>
          </w:p>
        </w:tc>
        <w:tc>
          <w:tcPr>
            <w:tcW w:w="1330" w:type="dxa"/>
            <w:tcBorders>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评分因素</w:t>
            </w:r>
          </w:p>
        </w:tc>
        <w:tc>
          <w:tcPr>
            <w:tcW w:w="864" w:type="dxa"/>
            <w:tcBorders>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分值</w:t>
            </w:r>
          </w:p>
        </w:tc>
        <w:tc>
          <w:tcPr>
            <w:tcW w:w="6365" w:type="dxa"/>
            <w:tcBorders>
              <w:left w:val="nil"/>
              <w:bottom w:val="single" w:color="auto" w:sz="4" w:space="0"/>
            </w:tcBorders>
            <w:shd w:val="clear" w:color="auto" w:fill="auto"/>
            <w:vAlign w:val="center"/>
          </w:tcPr>
          <w:p>
            <w:pPr>
              <w:widowControl/>
              <w:jc w:val="center"/>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评分标准</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023" w:hRule="atLeast"/>
        </w:trPr>
        <w:tc>
          <w:tcPr>
            <w:tcW w:w="729" w:type="dxa"/>
            <w:tcBorders>
              <w:top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一</w:t>
            </w:r>
          </w:p>
        </w:tc>
        <w:tc>
          <w:tcPr>
            <w:tcW w:w="13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投标报价</w:t>
            </w:r>
          </w:p>
        </w:tc>
        <w:tc>
          <w:tcPr>
            <w:tcW w:w="86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FF0000"/>
                <w:kern w:val="0"/>
                <w:sz w:val="21"/>
                <w:szCs w:val="21"/>
              </w:rPr>
            </w:pPr>
            <w:r>
              <w:rPr>
                <w:rFonts w:hint="eastAsia" w:cs="宋体" w:asciiTheme="minorEastAsia" w:hAnsiTheme="minorEastAsia" w:eastAsiaTheme="minorEastAsia"/>
                <w:color w:val="000000"/>
                <w:kern w:val="0"/>
                <w:sz w:val="21"/>
                <w:szCs w:val="21"/>
              </w:rPr>
              <w:t>30</w:t>
            </w:r>
          </w:p>
        </w:tc>
        <w:tc>
          <w:tcPr>
            <w:tcW w:w="6365" w:type="dxa"/>
            <w:tcBorders>
              <w:top w:val="nil"/>
              <w:left w:val="nil"/>
              <w:bottom w:val="single" w:color="auto" w:sz="4" w:space="0"/>
            </w:tcBorders>
            <w:shd w:val="clear" w:color="auto" w:fill="auto"/>
            <w:vAlign w:val="center"/>
          </w:tcPr>
          <w:p>
            <w:pPr>
              <w:widowControl/>
              <w:ind w:firstLine="420" w:firstLineChars="20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按照财政部《关于加强政府采购货物和服务项目价格评审管理的通知》（财库[2007]2号）的有关规定：价格分采用低价优先法计算，即满足招标文件要求且投标价格最低的投标报价为评标基准价，其价格分为满分。其他投标人的价格分统一按照下列公式计算：</w:t>
            </w:r>
          </w:p>
          <w:p>
            <w:pPr>
              <w:widowControl/>
              <w:jc w:val="center"/>
              <w:rPr>
                <w:rFonts w:hint="eastAsia" w:cs="宋体" w:asciiTheme="minorEastAsia" w:hAnsiTheme="minorEastAsia" w:eastAsiaTheme="minorEastAsia"/>
                <w:b/>
                <w:bCs/>
                <w:color w:val="000000"/>
                <w:kern w:val="0"/>
                <w:sz w:val="21"/>
                <w:szCs w:val="21"/>
              </w:rPr>
            </w:pPr>
            <w:r>
              <w:rPr>
                <w:rFonts w:hint="eastAsia" w:cs="宋体" w:asciiTheme="minorEastAsia" w:hAnsiTheme="minorEastAsia" w:eastAsiaTheme="minorEastAsia"/>
                <w:b/>
                <w:bCs/>
                <w:color w:val="000000"/>
                <w:kern w:val="0"/>
                <w:sz w:val="21"/>
                <w:szCs w:val="21"/>
              </w:rPr>
              <w:t>投标报价得分=（评标基准价/投标评审价）×价格权值%×100</w:t>
            </w:r>
          </w:p>
          <w:p>
            <w:pPr>
              <w:widowControl/>
              <w:ind w:firstLine="420" w:firstLineChars="20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符合招标文件规定的小微企业的投标人，价格给予相应的扣除，用扣除后的价格参与评标。（具体扣除办法参照本章节评标办法）</w:t>
            </w:r>
          </w:p>
          <w:p>
            <w:pPr>
              <w:widowControl/>
              <w:ind w:firstLine="420" w:firstLineChars="20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评标委员会认为供应商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widowControl/>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注：1、评标委员会三分之二以上成员认为某投标报价有低于成本价嫌疑的，涉嫌不正当竞争的，为无效报价。</w:t>
            </w:r>
          </w:p>
          <w:p>
            <w:pPr>
              <w:widowControl/>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2、残疾人福利性单位属于小型、微型企业的，不重复享受政策。</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00" w:hRule="atLeast"/>
        </w:trPr>
        <w:tc>
          <w:tcPr>
            <w:tcW w:w="729" w:type="dxa"/>
            <w:tcBorders>
              <w:top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二</w:t>
            </w:r>
          </w:p>
        </w:tc>
        <w:tc>
          <w:tcPr>
            <w:tcW w:w="1330"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商务响应</w:t>
            </w:r>
          </w:p>
        </w:tc>
        <w:tc>
          <w:tcPr>
            <w:tcW w:w="864"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5</w:t>
            </w:r>
          </w:p>
        </w:tc>
        <w:tc>
          <w:tcPr>
            <w:tcW w:w="6365" w:type="dxa"/>
            <w:tcBorders>
              <w:top w:val="nil"/>
              <w:left w:val="nil"/>
              <w:bottom w:val="single" w:color="auto" w:sz="4" w:space="0"/>
            </w:tcBorders>
            <w:shd w:val="clear" w:color="auto" w:fill="auto"/>
            <w:vAlign w:val="center"/>
          </w:tcPr>
          <w:p>
            <w:pPr>
              <w:widowControl/>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经过资格审查合格的投标人，投标文件中对到交货期、质保期、付款方式、验收、售后服务等方面进行响应说明，按其响应程度计0-5分，无响应说明的不计分。</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00" w:hRule="atLeast"/>
        </w:trPr>
        <w:tc>
          <w:tcPr>
            <w:tcW w:w="729" w:type="dxa"/>
            <w:vMerge w:val="restart"/>
            <w:tcBorders>
              <w:top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三</w:t>
            </w:r>
          </w:p>
        </w:tc>
        <w:tc>
          <w:tcPr>
            <w:tcW w:w="133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技术参数</w:t>
            </w:r>
          </w:p>
        </w:tc>
        <w:tc>
          <w:tcPr>
            <w:tcW w:w="86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cs="宋体" w:asciiTheme="minorEastAsia" w:hAnsiTheme="minorEastAsia" w:eastAsiaTheme="minorEastAsia"/>
                <w:color w:val="FF0000"/>
                <w:kern w:val="0"/>
                <w:sz w:val="21"/>
                <w:szCs w:val="21"/>
                <w:lang w:val="en-US" w:eastAsia="zh-CN"/>
              </w:rPr>
            </w:pPr>
            <w:r>
              <w:rPr>
                <w:rFonts w:hint="eastAsia" w:cs="宋体" w:asciiTheme="minorEastAsia" w:hAnsiTheme="minorEastAsia" w:eastAsiaTheme="minorEastAsia"/>
                <w:color w:val="000000"/>
                <w:kern w:val="0"/>
                <w:sz w:val="21"/>
                <w:szCs w:val="21"/>
                <w:lang w:val="en-US" w:eastAsia="zh-CN"/>
              </w:rPr>
              <w:t>30</w:t>
            </w:r>
          </w:p>
        </w:tc>
        <w:tc>
          <w:tcPr>
            <w:tcW w:w="6365" w:type="dxa"/>
            <w:tcBorders>
              <w:top w:val="nil"/>
              <w:left w:val="nil"/>
              <w:bottom w:val="single" w:color="auto" w:sz="4" w:space="0"/>
            </w:tcBorders>
            <w:shd w:val="clear" w:color="auto" w:fill="auto"/>
            <w:vAlign w:val="center"/>
          </w:tcPr>
          <w:p>
            <w:pPr>
              <w:widowControl/>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产品技术参数明确，维护保养方便、运行成本低，符合使用要求（以产品的质量和关键技术指标作为依据），满足招标文件要求，并符合相关国家标准和行业标准，提供检测报告、产品彩页、说明书等技术资料，根据响应程度计0-3分；</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00" w:hRule="atLeast"/>
        </w:trPr>
        <w:tc>
          <w:tcPr>
            <w:tcW w:w="729" w:type="dxa"/>
            <w:vMerge w:val="continue"/>
            <w:tcBorders>
              <w:top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1"/>
                <w:szCs w:val="21"/>
              </w:rPr>
            </w:pPr>
          </w:p>
        </w:tc>
        <w:tc>
          <w:tcPr>
            <w:tcW w:w="1330"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1"/>
                <w:szCs w:val="21"/>
              </w:rPr>
            </w:pPr>
          </w:p>
        </w:tc>
        <w:tc>
          <w:tcPr>
            <w:tcW w:w="864"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FF0000"/>
                <w:kern w:val="0"/>
                <w:sz w:val="21"/>
                <w:szCs w:val="21"/>
              </w:rPr>
            </w:pPr>
          </w:p>
        </w:tc>
        <w:tc>
          <w:tcPr>
            <w:tcW w:w="6365" w:type="dxa"/>
            <w:tcBorders>
              <w:top w:val="nil"/>
              <w:left w:val="nil"/>
              <w:bottom w:val="single" w:color="auto" w:sz="4" w:space="0"/>
            </w:tcBorders>
            <w:shd w:val="clear" w:color="auto" w:fill="auto"/>
            <w:vAlign w:val="center"/>
          </w:tcPr>
          <w:p>
            <w:pPr>
              <w:widowControl/>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2、投标人提供所投产品来源渠道合法提供证明文件（包括但不限于销售协议、代理协议、原厂授权等），根据多寡、横向对比计0-2分（复印件加盖投标供应商鲜章）；</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10" w:hRule="atLeast"/>
        </w:trPr>
        <w:tc>
          <w:tcPr>
            <w:tcW w:w="729" w:type="dxa"/>
            <w:vMerge w:val="continue"/>
            <w:tcBorders>
              <w:top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1"/>
                <w:szCs w:val="21"/>
              </w:rPr>
            </w:pPr>
          </w:p>
        </w:tc>
        <w:tc>
          <w:tcPr>
            <w:tcW w:w="1330"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1"/>
                <w:szCs w:val="21"/>
              </w:rPr>
            </w:pPr>
          </w:p>
        </w:tc>
        <w:tc>
          <w:tcPr>
            <w:tcW w:w="864"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FF0000"/>
                <w:kern w:val="0"/>
                <w:sz w:val="21"/>
                <w:szCs w:val="21"/>
              </w:rPr>
            </w:pPr>
          </w:p>
        </w:tc>
        <w:tc>
          <w:tcPr>
            <w:tcW w:w="6365" w:type="dxa"/>
            <w:tcBorders>
              <w:top w:val="nil"/>
              <w:left w:val="nil"/>
              <w:bottom w:val="single" w:color="auto" w:sz="4" w:space="0"/>
            </w:tcBorders>
            <w:shd w:val="clear" w:color="auto" w:fill="auto"/>
            <w:vAlign w:val="center"/>
          </w:tcPr>
          <w:p>
            <w:pPr>
              <w:widowControl/>
              <w:rPr>
                <w:rFonts w:hint="eastAsia" w:cs="宋体" w:asciiTheme="minorEastAsia" w:hAnsiTheme="minorEastAsia" w:eastAsiaTheme="minorEastAsia"/>
                <w:color w:val="FF0000"/>
                <w:kern w:val="0"/>
                <w:sz w:val="21"/>
                <w:szCs w:val="21"/>
              </w:rPr>
            </w:pPr>
            <w:r>
              <w:rPr>
                <w:rFonts w:hint="eastAsia" w:cs="宋体" w:asciiTheme="minorEastAsia" w:hAnsiTheme="minorEastAsia" w:eastAsiaTheme="minorEastAsia"/>
                <w:color w:val="000000"/>
                <w:kern w:val="0"/>
                <w:sz w:val="21"/>
                <w:szCs w:val="21"/>
              </w:rPr>
              <w:t>3、所投产品的技术参数完全满足要求的得</w:t>
            </w:r>
            <w:r>
              <w:rPr>
                <w:rFonts w:hint="eastAsia" w:cs="宋体" w:asciiTheme="minorEastAsia" w:hAnsiTheme="minorEastAsia" w:eastAsiaTheme="minorEastAsia"/>
                <w:color w:val="000000"/>
                <w:kern w:val="0"/>
                <w:sz w:val="21"/>
                <w:szCs w:val="21"/>
                <w:lang w:val="en-US" w:eastAsia="zh-CN"/>
              </w:rPr>
              <w:t>25</w:t>
            </w:r>
            <w:r>
              <w:rPr>
                <w:rFonts w:hint="eastAsia" w:cs="宋体" w:asciiTheme="minorEastAsia" w:hAnsiTheme="minorEastAsia" w:eastAsiaTheme="minorEastAsia"/>
                <w:color w:val="000000"/>
                <w:kern w:val="0"/>
                <w:sz w:val="21"/>
                <w:szCs w:val="21"/>
              </w:rPr>
              <w:t>分，标注★为重要参数，有一项不满足扣1分，扣完为止</w:t>
            </w:r>
            <w:r>
              <w:rPr>
                <w:rFonts w:hint="eastAsia" w:cs="宋体" w:asciiTheme="minorEastAsia" w:hAnsiTheme="minorEastAsia" w:eastAsiaTheme="minorEastAsia"/>
                <w:color w:val="000000"/>
                <w:kern w:val="0"/>
                <w:sz w:val="21"/>
                <w:szCs w:val="21"/>
                <w:lang w:eastAsia="zh-CN"/>
              </w:rPr>
              <w:t>，非</w:t>
            </w:r>
            <w:r>
              <w:rPr>
                <w:rFonts w:hint="eastAsia" w:ascii="宋体" w:hAnsi="宋体" w:eastAsia="宋体" w:cs="宋体"/>
                <w:b w:val="0"/>
                <w:bCs/>
                <w:color w:val="auto"/>
                <w:szCs w:val="21"/>
                <w:shd w:val="clear" w:color="auto" w:fill="auto"/>
                <w:lang w:eastAsia="zh-CN"/>
              </w:rPr>
              <w:t>标注</w:t>
            </w:r>
            <w:r>
              <w:rPr>
                <w:rFonts w:hint="eastAsia" w:ascii="宋体" w:hAnsi="宋体"/>
                <w:b/>
                <w:bCs/>
                <w:kern w:val="0"/>
                <w:szCs w:val="21"/>
                <w:shd w:val="clear" w:color="auto" w:fill="auto"/>
              </w:rPr>
              <w:t>★</w:t>
            </w:r>
            <w:r>
              <w:rPr>
                <w:rFonts w:hint="eastAsia" w:ascii="宋体" w:hAnsi="宋体" w:eastAsia="宋体" w:cs="宋体"/>
                <w:b w:val="0"/>
                <w:bCs/>
                <w:color w:val="auto"/>
                <w:szCs w:val="21"/>
                <w:shd w:val="clear" w:color="auto" w:fill="auto"/>
                <w:lang w:eastAsia="zh-CN"/>
              </w:rPr>
              <w:t>号的参数</w:t>
            </w:r>
            <w:r>
              <w:rPr>
                <w:rFonts w:hint="eastAsia" w:ascii="宋体" w:hAnsi="宋体" w:cs="宋体"/>
                <w:b w:val="0"/>
                <w:bCs/>
                <w:color w:val="auto"/>
                <w:szCs w:val="21"/>
                <w:shd w:val="clear" w:color="auto" w:fill="auto"/>
                <w:lang w:eastAsia="zh-CN"/>
              </w:rPr>
              <w:t>，每负偏离一项扣</w:t>
            </w:r>
            <w:r>
              <w:rPr>
                <w:rFonts w:hint="eastAsia" w:ascii="宋体" w:hAnsi="宋体" w:cs="宋体"/>
                <w:b w:val="0"/>
                <w:bCs/>
                <w:color w:val="auto"/>
                <w:szCs w:val="21"/>
                <w:shd w:val="clear" w:color="auto" w:fill="auto"/>
                <w:lang w:val="en-US" w:eastAsia="zh-CN"/>
              </w:rPr>
              <w:t>0.5分。</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60" w:hRule="atLeast"/>
        </w:trPr>
        <w:tc>
          <w:tcPr>
            <w:tcW w:w="729" w:type="dxa"/>
            <w:vMerge w:val="restart"/>
            <w:tcBorders>
              <w:top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四</w:t>
            </w:r>
          </w:p>
        </w:tc>
        <w:tc>
          <w:tcPr>
            <w:tcW w:w="133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技术方案</w:t>
            </w:r>
          </w:p>
        </w:tc>
        <w:tc>
          <w:tcPr>
            <w:tcW w:w="86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cs="宋体" w:asciiTheme="minorEastAsia" w:hAnsiTheme="minorEastAsia" w:eastAsiaTheme="minorEastAsia"/>
                <w:color w:val="FF0000"/>
                <w:kern w:val="0"/>
                <w:sz w:val="21"/>
                <w:szCs w:val="21"/>
                <w:lang w:val="en-US" w:eastAsia="zh-CN"/>
              </w:rPr>
            </w:pPr>
            <w:r>
              <w:rPr>
                <w:rFonts w:hint="eastAsia" w:cs="宋体" w:asciiTheme="minorEastAsia" w:hAnsiTheme="minorEastAsia" w:eastAsiaTheme="minorEastAsia"/>
                <w:color w:val="000000"/>
                <w:kern w:val="0"/>
                <w:sz w:val="21"/>
                <w:szCs w:val="21"/>
                <w:lang w:val="en-US" w:eastAsia="zh-CN"/>
              </w:rPr>
              <w:t>18</w:t>
            </w:r>
          </w:p>
        </w:tc>
        <w:tc>
          <w:tcPr>
            <w:tcW w:w="6365" w:type="dxa"/>
            <w:tcBorders>
              <w:top w:val="nil"/>
              <w:left w:val="nil"/>
              <w:bottom w:val="single" w:color="auto" w:sz="4" w:space="0"/>
            </w:tcBorders>
            <w:shd w:val="clear" w:color="auto" w:fill="auto"/>
            <w:vAlign w:val="center"/>
          </w:tcPr>
          <w:p>
            <w:pPr>
              <w:widowControl/>
              <w:rPr>
                <w:rFonts w:hint="eastAsia" w:cs="宋体" w:asciiTheme="minorEastAsia" w:hAnsiTheme="minorEastAsia" w:eastAsiaTheme="minorEastAsia"/>
                <w:color w:val="FF0000"/>
                <w:kern w:val="0"/>
                <w:sz w:val="21"/>
                <w:szCs w:val="21"/>
              </w:rPr>
            </w:pPr>
            <w:r>
              <w:rPr>
                <w:rFonts w:hint="eastAsia" w:cs="宋体" w:asciiTheme="minorEastAsia" w:hAnsiTheme="minorEastAsia" w:eastAsiaTheme="minorEastAsia"/>
                <w:color w:val="000000"/>
                <w:kern w:val="0"/>
                <w:sz w:val="21"/>
                <w:szCs w:val="21"/>
              </w:rPr>
              <w:t>（1）提供各部室设计效果图，根据优劣程度计0-</w:t>
            </w:r>
            <w:r>
              <w:rPr>
                <w:rFonts w:hint="eastAsia" w:cs="宋体" w:asciiTheme="minorEastAsia" w:hAnsiTheme="minorEastAsia" w:eastAsiaTheme="minorEastAsia"/>
                <w:color w:val="000000"/>
                <w:kern w:val="0"/>
                <w:sz w:val="21"/>
                <w:szCs w:val="21"/>
                <w:lang w:val="en-US" w:eastAsia="zh-CN"/>
              </w:rPr>
              <w:t>3</w:t>
            </w:r>
            <w:r>
              <w:rPr>
                <w:rFonts w:hint="eastAsia" w:cs="宋体" w:asciiTheme="minorEastAsia" w:hAnsiTheme="minorEastAsia" w:eastAsiaTheme="minorEastAsia"/>
                <w:color w:val="000000"/>
                <w:kern w:val="0"/>
                <w:sz w:val="21"/>
                <w:szCs w:val="21"/>
              </w:rPr>
              <w:t>分；</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00" w:hRule="atLeast"/>
        </w:trPr>
        <w:tc>
          <w:tcPr>
            <w:tcW w:w="729" w:type="dxa"/>
            <w:vMerge w:val="continue"/>
            <w:tcBorders>
              <w:top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1"/>
                <w:szCs w:val="21"/>
              </w:rPr>
            </w:pPr>
          </w:p>
        </w:tc>
        <w:tc>
          <w:tcPr>
            <w:tcW w:w="1330"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1"/>
                <w:szCs w:val="21"/>
              </w:rPr>
            </w:pPr>
          </w:p>
        </w:tc>
        <w:tc>
          <w:tcPr>
            <w:tcW w:w="864"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FF0000"/>
                <w:kern w:val="0"/>
                <w:sz w:val="21"/>
                <w:szCs w:val="21"/>
              </w:rPr>
            </w:pPr>
          </w:p>
        </w:tc>
        <w:tc>
          <w:tcPr>
            <w:tcW w:w="6365" w:type="dxa"/>
            <w:tcBorders>
              <w:top w:val="nil"/>
              <w:left w:val="nil"/>
              <w:bottom w:val="single" w:color="auto" w:sz="4" w:space="0"/>
            </w:tcBorders>
            <w:shd w:val="clear" w:color="auto" w:fill="auto"/>
            <w:vAlign w:val="center"/>
          </w:tcPr>
          <w:p>
            <w:pPr>
              <w:widowControl/>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（2）投标文件内容完整，结构清晰，项目技术方案先进、合理，目标明确，符合用户当前现状和实际需求等，有详细设计方案，满足国家相关标准和规范等要求。（0-</w:t>
            </w:r>
            <w:r>
              <w:rPr>
                <w:rFonts w:hint="eastAsia" w:cs="宋体" w:asciiTheme="minorEastAsia" w:hAnsiTheme="minorEastAsia" w:eastAsiaTheme="minorEastAsia"/>
                <w:color w:val="000000"/>
                <w:kern w:val="0"/>
                <w:sz w:val="21"/>
                <w:szCs w:val="21"/>
                <w:lang w:val="en-US" w:eastAsia="zh-CN"/>
              </w:rPr>
              <w:t>3</w:t>
            </w:r>
            <w:r>
              <w:rPr>
                <w:rFonts w:hint="eastAsia" w:cs="宋体" w:asciiTheme="minorEastAsia" w:hAnsiTheme="minorEastAsia" w:eastAsiaTheme="minorEastAsia"/>
                <w:color w:val="000000"/>
                <w:kern w:val="0"/>
                <w:sz w:val="21"/>
                <w:szCs w:val="21"/>
              </w:rPr>
              <w:t>分）</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868" w:hRule="atLeast"/>
        </w:trPr>
        <w:tc>
          <w:tcPr>
            <w:tcW w:w="729" w:type="dxa"/>
            <w:vMerge w:val="continue"/>
            <w:tcBorders>
              <w:top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1"/>
                <w:szCs w:val="21"/>
              </w:rPr>
            </w:pPr>
          </w:p>
        </w:tc>
        <w:tc>
          <w:tcPr>
            <w:tcW w:w="1330"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1"/>
                <w:szCs w:val="21"/>
              </w:rPr>
            </w:pPr>
          </w:p>
        </w:tc>
        <w:tc>
          <w:tcPr>
            <w:tcW w:w="864"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FF0000"/>
                <w:kern w:val="0"/>
                <w:sz w:val="21"/>
                <w:szCs w:val="21"/>
              </w:rPr>
            </w:pPr>
          </w:p>
        </w:tc>
        <w:tc>
          <w:tcPr>
            <w:tcW w:w="6365" w:type="dxa"/>
            <w:tcBorders>
              <w:top w:val="nil"/>
              <w:left w:val="nil"/>
              <w:bottom w:val="single" w:color="auto" w:sz="4" w:space="0"/>
            </w:tcBorders>
            <w:shd w:val="clear" w:color="auto" w:fill="auto"/>
            <w:vAlign w:val="center"/>
          </w:tcPr>
          <w:p>
            <w:pPr>
              <w:widowControl/>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3）项目实施方案总体描述详细，包括项目实施进度、项目组人员构成、质量保障措施、安装调试及验收等，各部分功能满足招标文件要求，层次清楚，结构合理，功能直观。整个系统配置合理，达到实用、先进、稳定、保密、合理和扩展性的要求。设计思路清晰，整体设备合理，且能实现</w:t>
            </w:r>
            <w:r>
              <w:rPr>
                <w:rFonts w:hint="eastAsia" w:cs="宋体" w:asciiTheme="minorEastAsia" w:hAnsiTheme="minorEastAsia" w:eastAsiaTheme="minorEastAsia"/>
                <w:color w:val="000000"/>
                <w:kern w:val="0"/>
                <w:sz w:val="21"/>
                <w:szCs w:val="21"/>
                <w:lang w:eastAsia="zh-CN"/>
              </w:rPr>
              <w:t>文件</w:t>
            </w:r>
            <w:r>
              <w:rPr>
                <w:rFonts w:hint="eastAsia" w:cs="宋体" w:asciiTheme="minorEastAsia" w:hAnsiTheme="minorEastAsia" w:eastAsiaTheme="minorEastAsia"/>
                <w:color w:val="000000"/>
                <w:kern w:val="0"/>
                <w:sz w:val="21"/>
                <w:szCs w:val="21"/>
              </w:rPr>
              <w:t>要求，投标人应对项目的各部分制定详细的实施方案与合理的计划安排，以确保本项目的顺利实施，按其响应程度得（0-</w:t>
            </w:r>
            <w:r>
              <w:rPr>
                <w:rFonts w:hint="eastAsia" w:cs="宋体" w:asciiTheme="minorEastAsia" w:hAnsiTheme="minorEastAsia" w:eastAsiaTheme="minorEastAsia"/>
                <w:color w:val="000000"/>
                <w:kern w:val="0"/>
                <w:sz w:val="21"/>
                <w:szCs w:val="21"/>
                <w:lang w:val="en-US" w:eastAsia="zh-CN"/>
              </w:rPr>
              <w:t>5</w:t>
            </w:r>
            <w:r>
              <w:rPr>
                <w:rFonts w:hint="eastAsia" w:cs="宋体" w:asciiTheme="minorEastAsia" w:hAnsiTheme="minorEastAsia" w:eastAsiaTheme="minorEastAsia"/>
                <w:color w:val="000000"/>
                <w:kern w:val="0"/>
                <w:sz w:val="21"/>
                <w:szCs w:val="21"/>
              </w:rPr>
              <w:t>分）。</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708" w:hRule="atLeast"/>
        </w:trPr>
        <w:tc>
          <w:tcPr>
            <w:tcW w:w="729" w:type="dxa"/>
            <w:vMerge w:val="continue"/>
            <w:tcBorders>
              <w:top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1"/>
                <w:szCs w:val="21"/>
              </w:rPr>
            </w:pPr>
          </w:p>
        </w:tc>
        <w:tc>
          <w:tcPr>
            <w:tcW w:w="1330"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1"/>
                <w:szCs w:val="21"/>
              </w:rPr>
            </w:pPr>
          </w:p>
        </w:tc>
        <w:tc>
          <w:tcPr>
            <w:tcW w:w="864"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FF0000"/>
                <w:kern w:val="0"/>
                <w:sz w:val="21"/>
                <w:szCs w:val="21"/>
              </w:rPr>
            </w:pPr>
          </w:p>
        </w:tc>
        <w:tc>
          <w:tcPr>
            <w:tcW w:w="6365" w:type="dxa"/>
            <w:tcBorders>
              <w:top w:val="nil"/>
              <w:left w:val="nil"/>
              <w:bottom w:val="single" w:color="auto" w:sz="4" w:space="0"/>
            </w:tcBorders>
            <w:shd w:val="clear" w:color="auto" w:fill="auto"/>
            <w:vAlign w:val="center"/>
          </w:tcPr>
          <w:p>
            <w:pPr>
              <w:widowControl/>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4）投标人在项目服务期应组建专业运维团队。对项目进行全方位运维，并建立运行管理体系，包括日常管理流程、各环节的工作责任、日常检测体系及对设备设施的维护方案、日常检查维修、维护计划等；同时应提供不间断的运维服务，包括但不限于设备的更换、维修、技术支持。投标人应提供运维期间各类紧急情况下的应急预案及保障措施。方案科学合理，实施性强。按其响应程度得（0～7分）。</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77" w:hRule="atLeast"/>
        </w:trPr>
        <w:tc>
          <w:tcPr>
            <w:tcW w:w="729" w:type="dxa"/>
            <w:vMerge w:val="restart"/>
            <w:tcBorders>
              <w:top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五</w:t>
            </w:r>
          </w:p>
        </w:tc>
        <w:tc>
          <w:tcPr>
            <w:tcW w:w="133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业绩</w:t>
            </w:r>
          </w:p>
        </w:tc>
        <w:tc>
          <w:tcPr>
            <w:tcW w:w="86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3</w:t>
            </w:r>
          </w:p>
        </w:tc>
        <w:tc>
          <w:tcPr>
            <w:tcW w:w="6365" w:type="dxa"/>
            <w:tcBorders>
              <w:top w:val="nil"/>
              <w:left w:val="nil"/>
              <w:bottom w:val="single" w:color="auto" w:sz="4" w:space="0"/>
            </w:tcBorders>
            <w:shd w:val="clear" w:color="auto" w:fill="auto"/>
            <w:vAlign w:val="center"/>
          </w:tcPr>
          <w:p>
            <w:pPr>
              <w:widowControl/>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投标人提供2019年至今类似项目业绩，每提供1个业绩得1分，最高不超过3分（以中标通知书及合同的复印件加盖投标人鲜章）。</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38" w:hRule="atLeast"/>
        </w:trPr>
        <w:tc>
          <w:tcPr>
            <w:tcW w:w="729" w:type="dxa"/>
            <w:vMerge w:val="continue"/>
            <w:tcBorders>
              <w:top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1"/>
                <w:szCs w:val="21"/>
              </w:rPr>
            </w:pPr>
          </w:p>
        </w:tc>
        <w:tc>
          <w:tcPr>
            <w:tcW w:w="1330"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1"/>
                <w:szCs w:val="21"/>
              </w:rPr>
            </w:pPr>
          </w:p>
        </w:tc>
        <w:tc>
          <w:tcPr>
            <w:tcW w:w="864"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1"/>
                <w:szCs w:val="21"/>
              </w:rPr>
            </w:pPr>
          </w:p>
        </w:tc>
        <w:tc>
          <w:tcPr>
            <w:tcW w:w="6365" w:type="dxa"/>
            <w:tcBorders>
              <w:top w:val="nil"/>
              <w:left w:val="nil"/>
              <w:bottom w:val="single" w:color="auto" w:sz="4" w:space="0"/>
            </w:tcBorders>
            <w:shd w:val="clear" w:color="auto" w:fill="auto"/>
            <w:vAlign w:val="center"/>
          </w:tcPr>
          <w:p>
            <w:pPr>
              <w:widowControl/>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注：弄虚作假者，取消其投标资格。</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50" w:hRule="atLeast"/>
        </w:trPr>
        <w:tc>
          <w:tcPr>
            <w:tcW w:w="729" w:type="dxa"/>
            <w:vMerge w:val="restart"/>
            <w:tcBorders>
              <w:top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六</w:t>
            </w:r>
          </w:p>
        </w:tc>
        <w:tc>
          <w:tcPr>
            <w:tcW w:w="133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售后服务</w:t>
            </w:r>
          </w:p>
        </w:tc>
        <w:tc>
          <w:tcPr>
            <w:tcW w:w="86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14</w:t>
            </w:r>
          </w:p>
        </w:tc>
        <w:tc>
          <w:tcPr>
            <w:tcW w:w="6365" w:type="dxa"/>
            <w:tcBorders>
              <w:top w:val="nil"/>
              <w:left w:val="nil"/>
              <w:bottom w:val="single" w:color="auto" w:sz="4" w:space="0"/>
            </w:tcBorders>
            <w:shd w:val="clear" w:color="auto" w:fill="auto"/>
            <w:vAlign w:val="center"/>
          </w:tcPr>
          <w:p>
            <w:pPr>
              <w:widowControl/>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1、售后服务方案：售后服务网点的设定、售后服务人员配置情况、项目交付用户后出现故障响应时间等，根据优劣计0-5分；</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50" w:hRule="atLeast"/>
        </w:trPr>
        <w:tc>
          <w:tcPr>
            <w:tcW w:w="729" w:type="dxa"/>
            <w:vMerge w:val="continue"/>
            <w:tcBorders>
              <w:top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1"/>
                <w:szCs w:val="21"/>
              </w:rPr>
            </w:pPr>
          </w:p>
        </w:tc>
        <w:tc>
          <w:tcPr>
            <w:tcW w:w="1330"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1"/>
                <w:szCs w:val="21"/>
              </w:rPr>
            </w:pPr>
          </w:p>
        </w:tc>
        <w:tc>
          <w:tcPr>
            <w:tcW w:w="864"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1"/>
                <w:szCs w:val="21"/>
              </w:rPr>
            </w:pPr>
          </w:p>
        </w:tc>
        <w:tc>
          <w:tcPr>
            <w:tcW w:w="6365" w:type="dxa"/>
            <w:tcBorders>
              <w:top w:val="nil"/>
              <w:left w:val="nil"/>
              <w:bottom w:val="single" w:color="auto" w:sz="4" w:space="0"/>
            </w:tcBorders>
            <w:shd w:val="clear" w:color="auto" w:fill="auto"/>
            <w:vAlign w:val="center"/>
          </w:tcPr>
          <w:p>
            <w:pPr>
              <w:widowControl/>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2、售后服务能力承诺及保证措施详细、具体，备品备件及耗材情况明确，提供相关证明文件，根据优劣计0-4分；</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00" w:hRule="atLeast"/>
        </w:trPr>
        <w:tc>
          <w:tcPr>
            <w:tcW w:w="729" w:type="dxa"/>
            <w:vMerge w:val="continue"/>
            <w:tcBorders>
              <w:top w:val="nil"/>
              <w:right w:val="single" w:color="auto" w:sz="4" w:space="0"/>
            </w:tcBorders>
            <w:vAlign w:val="center"/>
          </w:tcPr>
          <w:p>
            <w:pPr>
              <w:widowControl/>
              <w:jc w:val="left"/>
              <w:rPr>
                <w:rFonts w:cs="宋体" w:asciiTheme="minorEastAsia" w:hAnsiTheme="minorEastAsia" w:eastAsiaTheme="minorEastAsia"/>
                <w:color w:val="000000"/>
                <w:kern w:val="0"/>
                <w:sz w:val="21"/>
                <w:szCs w:val="21"/>
              </w:rPr>
            </w:pPr>
          </w:p>
        </w:tc>
        <w:tc>
          <w:tcPr>
            <w:tcW w:w="1330" w:type="dxa"/>
            <w:vMerge w:val="continue"/>
            <w:tcBorders>
              <w:top w:val="nil"/>
              <w:left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1"/>
                <w:szCs w:val="21"/>
              </w:rPr>
            </w:pPr>
          </w:p>
        </w:tc>
        <w:tc>
          <w:tcPr>
            <w:tcW w:w="864" w:type="dxa"/>
            <w:vMerge w:val="continue"/>
            <w:tcBorders>
              <w:top w:val="nil"/>
              <w:left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1"/>
                <w:szCs w:val="21"/>
              </w:rPr>
            </w:pPr>
          </w:p>
        </w:tc>
        <w:tc>
          <w:tcPr>
            <w:tcW w:w="6365" w:type="dxa"/>
            <w:tcBorders>
              <w:top w:val="nil"/>
              <w:left w:val="nil"/>
            </w:tcBorders>
            <w:shd w:val="clear" w:color="auto" w:fill="auto"/>
            <w:vAlign w:val="center"/>
          </w:tcPr>
          <w:p>
            <w:pPr>
              <w:widowControl/>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3、提供详尽的培训方案及培训计划，并列出培训的具体内容及方式，确保使用单位能熟练操作维护和正常使用，并进行简单故障排查处理（包括：培训人数、培训时间、培训内容等），根据优劣计0-5分。</w:t>
            </w:r>
          </w:p>
        </w:tc>
      </w:tr>
    </w:tbl>
    <w:p>
      <w:pPr>
        <w:spacing w:line="460" w:lineRule="exact"/>
        <w:ind w:firstLine="420"/>
        <w:rPr>
          <w:rFonts w:ascii="宋体" w:hAnsi="宋体" w:cs="宋体"/>
          <w:szCs w:val="21"/>
        </w:rPr>
      </w:pPr>
      <w:r>
        <w:rPr>
          <w:rFonts w:hint="eastAsia" w:ascii="宋体" w:hAnsi="宋体" w:cs="宋体"/>
          <w:szCs w:val="21"/>
        </w:rPr>
        <w:t>注：1、评标委员会各评委独立评分，按评审后综合得分由高到低顺序排列，推荐3名中标候选人。得分相同的，按投标报价由低到高顺序排列，得分且投标报价相同的，比较技术得分，此技术得分高者排在前。</w:t>
      </w:r>
    </w:p>
    <w:p>
      <w:pPr>
        <w:spacing w:line="460" w:lineRule="exact"/>
        <w:ind w:firstLine="420"/>
        <w:rPr>
          <w:rFonts w:ascii="宋体" w:hAnsi="宋体" w:cs="宋体"/>
          <w:szCs w:val="21"/>
        </w:rPr>
      </w:pPr>
      <w:r>
        <w:rPr>
          <w:rFonts w:hint="eastAsia" w:ascii="宋体" w:hAnsi="宋体" w:cs="宋体"/>
          <w:szCs w:val="21"/>
        </w:rPr>
        <w:t>2、评委评分超过得分界限或未按照本办法规定时，该评委的该项评分作废，不计入汇总；计算采用插入法，数字均保留二位小数，第三位“四舍五入”；评审过程中，若出现本办法以外的特殊情况时，将暂停评标，有关情况待评标委员会确定后，再行评定。</w:t>
      </w:r>
    </w:p>
    <w:p>
      <w:pPr>
        <w:spacing w:before="240" w:after="120"/>
        <w:jc w:val="left"/>
        <w:outlineLvl w:val="2"/>
        <w:rPr>
          <w:rFonts w:ascii="宋体" w:hAnsi="宋体" w:cs="宋体"/>
          <w:b/>
          <w:bCs/>
          <w:kern w:val="0"/>
          <w:sz w:val="24"/>
        </w:rPr>
      </w:pPr>
      <w:r>
        <w:rPr>
          <w:rFonts w:hint="eastAsia" w:ascii="宋体" w:hAnsi="宋体" w:cs="宋体"/>
          <w:b/>
          <w:bCs/>
          <w:kern w:val="0"/>
          <w:sz w:val="24"/>
        </w:rPr>
        <w:t>2.3  特殊情况的处理</w:t>
      </w:r>
    </w:p>
    <w:p>
      <w:pPr>
        <w:spacing w:line="500" w:lineRule="exact"/>
        <w:ind w:firstLine="420"/>
        <w:rPr>
          <w:rFonts w:ascii="宋体" w:hAnsi="宋体" w:cs="宋体"/>
          <w:szCs w:val="21"/>
        </w:rPr>
      </w:pPr>
      <w:r>
        <w:rPr>
          <w:rFonts w:hint="eastAsia" w:ascii="宋体" w:hAnsi="宋体" w:cs="宋体"/>
          <w:szCs w:val="21"/>
        </w:rPr>
        <w:t>2.3.1 投标文件中如果出现计算错误，可按以下原则进行修正：</w:t>
      </w:r>
    </w:p>
    <w:p>
      <w:pPr>
        <w:spacing w:line="500" w:lineRule="exact"/>
        <w:ind w:firstLine="420"/>
        <w:rPr>
          <w:rFonts w:ascii="宋体" w:hAnsi="宋体" w:cs="宋体"/>
          <w:szCs w:val="21"/>
        </w:rPr>
      </w:pPr>
      <w:r>
        <w:rPr>
          <w:rFonts w:hint="eastAsia" w:ascii="宋体" w:hAnsi="宋体" w:cs="宋体"/>
          <w:szCs w:val="21"/>
        </w:rPr>
        <w:t>（1）投标文件中的大写金额与小写金额不一致的，以大写金额为准；</w:t>
      </w:r>
    </w:p>
    <w:p>
      <w:pPr>
        <w:spacing w:line="500" w:lineRule="exact"/>
        <w:ind w:firstLine="420"/>
        <w:rPr>
          <w:rFonts w:ascii="宋体" w:hAnsi="宋体" w:cs="宋体"/>
          <w:szCs w:val="21"/>
        </w:rPr>
      </w:pPr>
      <w:r>
        <w:rPr>
          <w:rFonts w:hint="eastAsia" w:ascii="宋体" w:hAnsi="宋体" w:cs="宋体"/>
          <w:szCs w:val="21"/>
        </w:rPr>
        <w:t>（2）投标文件中的总价金额与按单价计算的汇总金额不一致的，以单价计算的汇总金额为准；</w:t>
      </w:r>
    </w:p>
    <w:p>
      <w:pPr>
        <w:spacing w:line="500" w:lineRule="exact"/>
        <w:ind w:firstLine="420"/>
        <w:rPr>
          <w:rFonts w:ascii="宋体" w:hAnsi="宋体" w:cs="宋体"/>
          <w:szCs w:val="21"/>
        </w:rPr>
      </w:pPr>
      <w:r>
        <w:rPr>
          <w:rFonts w:hint="eastAsia" w:ascii="宋体" w:hAnsi="宋体" w:cs="宋体"/>
          <w:szCs w:val="21"/>
        </w:rPr>
        <w:t>（3）投标文件中的单价金额有明显小数点错误的，以总价为准，并修改单价；</w:t>
      </w:r>
    </w:p>
    <w:p>
      <w:pPr>
        <w:spacing w:line="500" w:lineRule="exact"/>
        <w:ind w:firstLine="420"/>
        <w:rPr>
          <w:rFonts w:ascii="宋体" w:hAnsi="宋体" w:cs="宋体"/>
          <w:szCs w:val="21"/>
        </w:rPr>
      </w:pPr>
      <w:r>
        <w:rPr>
          <w:rFonts w:hint="eastAsia" w:ascii="宋体" w:hAnsi="宋体" w:cs="宋体"/>
          <w:szCs w:val="21"/>
        </w:rPr>
        <w:t>（4）投标文件中有关分项表内容与“开标一览表”不一致的，以“开标一览表”为准；</w:t>
      </w:r>
    </w:p>
    <w:p>
      <w:pPr>
        <w:spacing w:line="500" w:lineRule="exact"/>
        <w:ind w:firstLine="420"/>
        <w:rPr>
          <w:rFonts w:ascii="宋体" w:hAnsi="宋体" w:cs="宋体"/>
          <w:szCs w:val="21"/>
        </w:rPr>
      </w:pPr>
      <w:r>
        <w:rPr>
          <w:rFonts w:hint="eastAsia" w:ascii="宋体" w:hAnsi="宋体" w:cs="宋体"/>
          <w:szCs w:val="21"/>
        </w:rPr>
        <w:t>（5）投标文件中图表与文字表述不一致的，以文字表述为准；</w:t>
      </w:r>
    </w:p>
    <w:p>
      <w:pPr>
        <w:spacing w:line="500" w:lineRule="exact"/>
        <w:ind w:firstLine="420"/>
        <w:rPr>
          <w:rFonts w:ascii="宋体" w:hAnsi="宋体" w:cs="宋体"/>
          <w:szCs w:val="21"/>
        </w:rPr>
      </w:pPr>
      <w:r>
        <w:rPr>
          <w:rFonts w:hint="eastAsia" w:ascii="宋体" w:hAnsi="宋体" w:cs="宋体"/>
          <w:szCs w:val="21"/>
        </w:rPr>
        <w:t>（6）投标文件正本与副本不一致的，以正本为准；</w:t>
      </w:r>
    </w:p>
    <w:p>
      <w:pPr>
        <w:spacing w:line="500" w:lineRule="exact"/>
        <w:ind w:firstLine="420"/>
        <w:rPr>
          <w:rFonts w:ascii="宋体" w:hAnsi="宋体" w:cs="宋体"/>
          <w:szCs w:val="21"/>
        </w:rPr>
      </w:pPr>
      <w:r>
        <w:rPr>
          <w:rFonts w:hint="eastAsia" w:ascii="宋体" w:hAnsi="宋体" w:cs="宋体"/>
          <w:szCs w:val="21"/>
        </w:rPr>
        <w:t>（7）对不同文字文本投标文件的解释发生异议的，以中文文本为准。</w:t>
      </w:r>
    </w:p>
    <w:p>
      <w:pPr>
        <w:spacing w:line="500" w:lineRule="exact"/>
        <w:ind w:firstLine="420"/>
        <w:rPr>
          <w:rFonts w:ascii="宋体" w:hAnsi="宋体" w:cs="宋体"/>
          <w:szCs w:val="21"/>
        </w:rPr>
      </w:pPr>
      <w:r>
        <w:rPr>
          <w:rFonts w:hint="eastAsia" w:ascii="宋体" w:hAnsi="宋体" w:cs="宋体"/>
          <w:szCs w:val="21"/>
        </w:rPr>
        <w:t>按上述修正错误的方法调整的投标报价应对投标人具有约束力。如果投标人不接受修正后的价格，其投标将被拒绝。</w:t>
      </w:r>
    </w:p>
    <w:p>
      <w:pPr>
        <w:spacing w:line="500" w:lineRule="exact"/>
        <w:ind w:firstLine="420"/>
        <w:rPr>
          <w:rFonts w:ascii="宋体" w:hAnsi="宋体" w:cs="宋体"/>
          <w:szCs w:val="21"/>
        </w:rPr>
      </w:pPr>
      <w:r>
        <w:rPr>
          <w:rFonts w:hint="eastAsia" w:ascii="宋体" w:hAnsi="宋体" w:cs="宋体"/>
          <w:szCs w:val="21"/>
        </w:rPr>
        <w:t>2.3.2 投标文件中，若某项有不合理报价（或零报价、漏报价）的，经评委会评审后，此项得分为零，不参与投标报价分值的计算。</w:t>
      </w:r>
    </w:p>
    <w:p>
      <w:pPr>
        <w:spacing w:line="500" w:lineRule="exact"/>
        <w:ind w:firstLine="420"/>
        <w:rPr>
          <w:rFonts w:ascii="宋体" w:hAnsi="宋体" w:cs="宋体"/>
          <w:szCs w:val="21"/>
        </w:rPr>
      </w:pPr>
      <w:r>
        <w:rPr>
          <w:rFonts w:hint="eastAsia" w:ascii="宋体" w:hAnsi="宋体" w:cs="宋体"/>
          <w:szCs w:val="21"/>
        </w:rPr>
        <w:t>2.3.3 评委评分超过得分界限或未按照本办法规定时，该评委的该项评分作废，不计入汇总；计算采用插入法，各种数字均保留两位小数，第三位“四舍五入”；评审过程中，若出现本办法以外的特殊情况时，将暂停评标，有关情况待评标委员会确定后，再行评定。</w:t>
      </w:r>
    </w:p>
    <w:p>
      <w:pPr>
        <w:spacing w:line="500" w:lineRule="exact"/>
        <w:ind w:firstLine="420"/>
        <w:rPr>
          <w:rFonts w:ascii="宋体" w:hAnsi="宋体" w:cs="宋体"/>
          <w:szCs w:val="21"/>
        </w:rPr>
      </w:pPr>
      <w:r>
        <w:rPr>
          <w:rFonts w:hint="eastAsia" w:ascii="宋体" w:hAnsi="宋体" w:cs="宋体"/>
          <w:szCs w:val="21"/>
        </w:rPr>
        <w:t>2.3.4 评标结果汇总完成后，除下列情形外，任何人不得修改评标结果：</w:t>
      </w:r>
    </w:p>
    <w:p>
      <w:pPr>
        <w:spacing w:line="500" w:lineRule="exact"/>
        <w:ind w:firstLine="420"/>
        <w:rPr>
          <w:rFonts w:ascii="宋体" w:hAnsi="宋体" w:cs="宋体"/>
          <w:szCs w:val="21"/>
        </w:rPr>
      </w:pPr>
      <w:r>
        <w:rPr>
          <w:rFonts w:hint="eastAsia" w:ascii="宋体" w:hAnsi="宋体" w:cs="宋体"/>
          <w:szCs w:val="21"/>
        </w:rPr>
        <w:t>（1）分值汇总计算错误的；</w:t>
      </w:r>
    </w:p>
    <w:p>
      <w:pPr>
        <w:spacing w:line="500" w:lineRule="exact"/>
        <w:ind w:firstLine="420"/>
        <w:rPr>
          <w:rFonts w:ascii="宋体" w:hAnsi="宋体" w:cs="宋体"/>
          <w:szCs w:val="21"/>
        </w:rPr>
      </w:pPr>
      <w:r>
        <w:rPr>
          <w:rFonts w:hint="eastAsia" w:ascii="宋体" w:hAnsi="宋体" w:cs="宋体"/>
          <w:szCs w:val="21"/>
        </w:rPr>
        <w:t>（2）分项评分超出评分标准范围的；</w:t>
      </w:r>
    </w:p>
    <w:p>
      <w:pPr>
        <w:spacing w:line="500" w:lineRule="exact"/>
        <w:ind w:firstLine="420"/>
        <w:rPr>
          <w:rFonts w:ascii="宋体" w:hAnsi="宋体" w:cs="宋体"/>
          <w:szCs w:val="21"/>
        </w:rPr>
      </w:pPr>
      <w:r>
        <w:rPr>
          <w:rFonts w:hint="eastAsia" w:ascii="宋体" w:hAnsi="宋体" w:cs="宋体"/>
          <w:szCs w:val="21"/>
        </w:rPr>
        <w:t>（3）评标委员会对客观评审因素评分不一致的；</w:t>
      </w:r>
    </w:p>
    <w:p>
      <w:pPr>
        <w:spacing w:line="500" w:lineRule="exact"/>
        <w:ind w:firstLine="420"/>
        <w:rPr>
          <w:rFonts w:ascii="宋体" w:hAnsi="宋体" w:cs="宋体"/>
          <w:szCs w:val="21"/>
        </w:rPr>
      </w:pPr>
      <w:r>
        <w:rPr>
          <w:rFonts w:hint="eastAsia" w:ascii="宋体" w:hAnsi="宋体" w:cs="宋体"/>
          <w:szCs w:val="21"/>
        </w:rPr>
        <w:t>（4）经评标委员会认定评分畸高、畸低的。</w:t>
      </w:r>
    </w:p>
    <w:p>
      <w:pPr>
        <w:spacing w:line="500" w:lineRule="exact"/>
        <w:ind w:firstLine="420"/>
        <w:rPr>
          <w:rFonts w:ascii="宋体" w:hAnsi="宋体" w:cs="宋体"/>
          <w:szCs w:val="21"/>
        </w:rPr>
      </w:pPr>
      <w:r>
        <w:rPr>
          <w:rFonts w:hint="eastAsia" w:ascii="宋体" w:hAnsi="宋体" w:cs="宋体"/>
          <w:szCs w:val="21"/>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中标结果的，书面报本级财政部门认定。</w:t>
      </w:r>
    </w:p>
    <w:p>
      <w:pPr>
        <w:spacing w:line="500" w:lineRule="exact"/>
        <w:ind w:firstLine="420"/>
        <w:rPr>
          <w:rFonts w:ascii="宋体" w:hAnsi="宋体" w:cs="宋体"/>
          <w:szCs w:val="21"/>
        </w:rPr>
      </w:pPr>
      <w:r>
        <w:rPr>
          <w:rFonts w:hint="eastAsia" w:ascii="宋体" w:hAnsi="宋体" w:cs="宋体"/>
          <w:szCs w:val="21"/>
        </w:rPr>
        <w:t>2.3.5 排名第一的候选人，主动放弃中标，或因不可抗力不能履行合同，或被查实存在影响中标结果的违法行为等情形，已不再符合中标条件的，采购人可以按照评委会提出的中标候选人名单排序依次确定其他中标候选人为中标人，也可以根据实际情况需要，依法重新招标。</w:t>
      </w:r>
    </w:p>
    <w:p>
      <w:pPr>
        <w:spacing w:before="240" w:after="120"/>
        <w:jc w:val="left"/>
        <w:outlineLvl w:val="2"/>
        <w:rPr>
          <w:rFonts w:ascii="宋体" w:hAnsi="宋体" w:cs="宋体"/>
          <w:b/>
          <w:bCs/>
          <w:kern w:val="0"/>
          <w:sz w:val="24"/>
        </w:rPr>
      </w:pPr>
      <w:r>
        <w:rPr>
          <w:rFonts w:hint="eastAsia" w:ascii="宋体" w:hAnsi="宋体" w:cs="宋体"/>
          <w:b/>
          <w:bCs/>
          <w:kern w:val="0"/>
          <w:sz w:val="24"/>
        </w:rPr>
        <w:t>2.4  与采购人、采购代理机构和评标委员会接触</w:t>
      </w:r>
    </w:p>
    <w:p>
      <w:pPr>
        <w:spacing w:line="500" w:lineRule="exact"/>
        <w:ind w:firstLine="420"/>
        <w:rPr>
          <w:rFonts w:hint="eastAsia" w:ascii="宋体" w:hAnsi="宋体" w:cs="宋体"/>
          <w:szCs w:val="21"/>
        </w:rPr>
      </w:pPr>
      <w:r>
        <w:rPr>
          <w:rFonts w:hint="eastAsia" w:ascii="宋体" w:hAnsi="宋体" w:cs="宋体"/>
          <w:szCs w:val="21"/>
        </w:rPr>
        <w:t>投标人试图对采购人、采购代理机构和评标委员会的评标、比较或授予合同的决定进行影响，都可能导致其投标被拒绝。</w:t>
      </w:r>
    </w:p>
    <w:p>
      <w:pPr>
        <w:widowControl/>
        <w:autoSpaceDE w:val="0"/>
        <w:autoSpaceDN w:val="0"/>
        <w:ind w:right="53"/>
        <w:textAlignment w:val="bottom"/>
        <w:rPr>
          <w:rFonts w:hint="eastAsia" w:ascii="宋体" w:hAnsi="宋体" w:cs="宋体"/>
          <w:b/>
          <w:bCs/>
          <w:sz w:val="28"/>
          <w:szCs w:val="28"/>
        </w:rPr>
      </w:pPr>
    </w:p>
    <w:p>
      <w:pPr>
        <w:widowControl/>
        <w:autoSpaceDE w:val="0"/>
        <w:autoSpaceDN w:val="0"/>
        <w:ind w:right="53"/>
        <w:textAlignment w:val="bottom"/>
        <w:rPr>
          <w:rFonts w:hint="eastAsia" w:ascii="宋体" w:hAnsi="宋体" w:cs="宋体"/>
          <w:b/>
          <w:bCs/>
          <w:sz w:val="28"/>
          <w:szCs w:val="28"/>
        </w:rPr>
      </w:pPr>
    </w:p>
    <w:p>
      <w:pPr>
        <w:widowControl/>
        <w:autoSpaceDE w:val="0"/>
        <w:autoSpaceDN w:val="0"/>
        <w:ind w:right="53"/>
        <w:textAlignment w:val="bottom"/>
        <w:rPr>
          <w:rFonts w:hint="eastAsia" w:ascii="宋体" w:hAnsi="宋体" w:cs="宋体"/>
          <w:b/>
          <w:bCs/>
          <w:sz w:val="28"/>
          <w:szCs w:val="28"/>
        </w:rPr>
      </w:pPr>
    </w:p>
    <w:p>
      <w:pPr>
        <w:widowControl/>
        <w:autoSpaceDE w:val="0"/>
        <w:autoSpaceDN w:val="0"/>
        <w:ind w:right="53"/>
        <w:textAlignment w:val="bottom"/>
        <w:rPr>
          <w:rFonts w:hint="eastAsia" w:ascii="宋体" w:hAnsi="宋体" w:cs="宋体"/>
          <w:b/>
          <w:bCs/>
          <w:sz w:val="28"/>
          <w:szCs w:val="28"/>
        </w:rPr>
      </w:pPr>
    </w:p>
    <w:p>
      <w:pPr>
        <w:widowControl/>
        <w:autoSpaceDE w:val="0"/>
        <w:autoSpaceDN w:val="0"/>
        <w:ind w:right="53"/>
        <w:textAlignment w:val="bottom"/>
        <w:rPr>
          <w:rFonts w:hint="eastAsia" w:ascii="宋体" w:hAnsi="宋体" w:cs="宋体"/>
          <w:b/>
          <w:bCs/>
          <w:sz w:val="28"/>
          <w:szCs w:val="28"/>
        </w:rPr>
      </w:pPr>
    </w:p>
    <w:p>
      <w:pPr>
        <w:widowControl/>
        <w:autoSpaceDE w:val="0"/>
        <w:autoSpaceDN w:val="0"/>
        <w:ind w:right="53"/>
        <w:textAlignment w:val="bottom"/>
        <w:rPr>
          <w:rFonts w:hint="eastAsia" w:ascii="宋体" w:hAnsi="宋体" w:cs="宋体"/>
          <w:b/>
          <w:bCs/>
          <w:sz w:val="28"/>
          <w:szCs w:val="28"/>
        </w:rPr>
      </w:pPr>
    </w:p>
    <w:p>
      <w:pPr>
        <w:widowControl/>
        <w:autoSpaceDE w:val="0"/>
        <w:autoSpaceDN w:val="0"/>
        <w:ind w:right="53"/>
        <w:textAlignment w:val="bottom"/>
        <w:rPr>
          <w:rFonts w:hint="eastAsia" w:ascii="宋体" w:hAnsi="宋体" w:cs="宋体"/>
          <w:b/>
          <w:bCs/>
          <w:sz w:val="28"/>
          <w:szCs w:val="28"/>
        </w:rPr>
      </w:pPr>
    </w:p>
    <w:p>
      <w:pPr>
        <w:widowControl/>
        <w:autoSpaceDE w:val="0"/>
        <w:autoSpaceDN w:val="0"/>
        <w:ind w:right="53"/>
        <w:textAlignment w:val="bottom"/>
        <w:rPr>
          <w:rFonts w:hint="eastAsia" w:ascii="宋体" w:hAnsi="宋体" w:cs="宋体"/>
          <w:b/>
          <w:bCs/>
          <w:sz w:val="28"/>
          <w:szCs w:val="28"/>
        </w:rPr>
      </w:pPr>
    </w:p>
    <w:p>
      <w:pPr>
        <w:widowControl/>
        <w:autoSpaceDE w:val="0"/>
        <w:autoSpaceDN w:val="0"/>
        <w:ind w:right="53"/>
        <w:textAlignment w:val="bottom"/>
        <w:rPr>
          <w:rFonts w:hint="eastAsia" w:ascii="宋体" w:hAnsi="宋体" w:cs="宋体"/>
          <w:b/>
          <w:bCs/>
          <w:sz w:val="28"/>
          <w:szCs w:val="28"/>
        </w:rPr>
      </w:pPr>
    </w:p>
    <w:p>
      <w:pPr>
        <w:widowControl/>
        <w:autoSpaceDE w:val="0"/>
        <w:autoSpaceDN w:val="0"/>
        <w:ind w:right="53"/>
        <w:textAlignment w:val="bottom"/>
        <w:rPr>
          <w:rFonts w:hint="eastAsia" w:ascii="宋体" w:hAnsi="宋体" w:cs="宋体"/>
          <w:b/>
          <w:bCs/>
          <w:sz w:val="28"/>
          <w:szCs w:val="28"/>
        </w:rPr>
      </w:pPr>
    </w:p>
    <w:p>
      <w:pPr>
        <w:widowControl/>
        <w:autoSpaceDE w:val="0"/>
        <w:autoSpaceDN w:val="0"/>
        <w:ind w:right="53"/>
        <w:textAlignment w:val="bottom"/>
        <w:rPr>
          <w:rFonts w:hint="eastAsia" w:ascii="宋体" w:hAnsi="宋体" w:cs="宋体"/>
          <w:b/>
          <w:bCs/>
          <w:sz w:val="28"/>
          <w:szCs w:val="28"/>
        </w:rPr>
      </w:pPr>
    </w:p>
    <w:p>
      <w:pPr>
        <w:widowControl/>
        <w:autoSpaceDE w:val="0"/>
        <w:autoSpaceDN w:val="0"/>
        <w:ind w:right="53"/>
        <w:textAlignment w:val="bottom"/>
        <w:rPr>
          <w:rFonts w:hint="eastAsia" w:ascii="宋体" w:hAnsi="宋体" w:cs="宋体"/>
          <w:b/>
          <w:bCs/>
          <w:sz w:val="28"/>
          <w:szCs w:val="28"/>
        </w:rPr>
      </w:pPr>
    </w:p>
    <w:p>
      <w:pPr>
        <w:widowControl/>
        <w:autoSpaceDE w:val="0"/>
        <w:autoSpaceDN w:val="0"/>
        <w:ind w:right="53"/>
        <w:textAlignment w:val="bottom"/>
        <w:rPr>
          <w:rFonts w:hint="eastAsia" w:ascii="宋体" w:hAnsi="宋体" w:cs="宋体"/>
          <w:b/>
          <w:bCs/>
          <w:sz w:val="28"/>
          <w:szCs w:val="28"/>
        </w:rPr>
      </w:pPr>
    </w:p>
    <w:p>
      <w:pPr>
        <w:widowControl/>
        <w:autoSpaceDE w:val="0"/>
        <w:autoSpaceDN w:val="0"/>
        <w:ind w:right="53"/>
        <w:textAlignment w:val="bottom"/>
        <w:rPr>
          <w:rFonts w:hint="eastAsia" w:ascii="宋体" w:hAnsi="宋体" w:cs="宋体"/>
          <w:b/>
          <w:bCs/>
          <w:sz w:val="28"/>
          <w:szCs w:val="28"/>
        </w:rPr>
      </w:pPr>
    </w:p>
    <w:p>
      <w:pPr>
        <w:widowControl/>
        <w:autoSpaceDE w:val="0"/>
        <w:autoSpaceDN w:val="0"/>
        <w:ind w:right="53"/>
        <w:textAlignment w:val="bottom"/>
        <w:rPr>
          <w:rFonts w:hint="eastAsia" w:ascii="宋体" w:hAnsi="宋体" w:cs="宋体"/>
          <w:b/>
          <w:bCs/>
          <w:sz w:val="28"/>
          <w:szCs w:val="28"/>
        </w:rPr>
      </w:pPr>
    </w:p>
    <w:p>
      <w:pPr>
        <w:widowControl/>
        <w:autoSpaceDE w:val="0"/>
        <w:autoSpaceDN w:val="0"/>
        <w:ind w:right="53"/>
        <w:textAlignment w:val="bottom"/>
        <w:rPr>
          <w:rFonts w:hint="eastAsia" w:ascii="宋体" w:hAnsi="宋体" w:cs="宋体"/>
          <w:b/>
          <w:bCs/>
          <w:sz w:val="28"/>
          <w:szCs w:val="28"/>
        </w:rPr>
      </w:pPr>
    </w:p>
    <w:p>
      <w:pPr>
        <w:widowControl/>
        <w:autoSpaceDE w:val="0"/>
        <w:autoSpaceDN w:val="0"/>
        <w:ind w:right="53"/>
        <w:textAlignment w:val="bottom"/>
        <w:rPr>
          <w:rFonts w:hint="eastAsia" w:ascii="宋体" w:hAnsi="宋体" w:cs="宋体"/>
          <w:b/>
          <w:bCs/>
          <w:sz w:val="28"/>
          <w:szCs w:val="28"/>
        </w:rPr>
      </w:pPr>
    </w:p>
    <w:p>
      <w:pPr>
        <w:widowControl/>
        <w:autoSpaceDE w:val="0"/>
        <w:autoSpaceDN w:val="0"/>
        <w:ind w:right="53"/>
        <w:textAlignment w:val="bottom"/>
        <w:rPr>
          <w:rFonts w:ascii="宋体" w:hAnsi="宋体" w:cs="宋体"/>
          <w:b/>
          <w:bCs/>
          <w:sz w:val="28"/>
          <w:szCs w:val="28"/>
        </w:rPr>
      </w:pPr>
      <w:r>
        <w:rPr>
          <w:rFonts w:hint="eastAsia" w:ascii="宋体" w:hAnsi="宋体" w:cs="宋体"/>
          <w:b/>
          <w:bCs/>
          <w:sz w:val="28"/>
          <w:szCs w:val="28"/>
        </w:rPr>
        <w:t>附件一：</w:t>
      </w:r>
    </w:p>
    <w:p>
      <w:pPr>
        <w:widowControl/>
        <w:autoSpaceDE w:val="0"/>
        <w:autoSpaceDN w:val="0"/>
        <w:spacing w:after="240" w:afterLines="100" w:line="500" w:lineRule="exact"/>
        <w:ind w:right="53"/>
        <w:jc w:val="center"/>
        <w:textAlignment w:val="bottom"/>
        <w:rPr>
          <w:rFonts w:ascii="宋体" w:hAnsi="宋体" w:cs="宋体"/>
          <w:b/>
          <w:bCs/>
          <w:sz w:val="28"/>
          <w:szCs w:val="28"/>
        </w:rPr>
      </w:pPr>
      <w:r>
        <w:rPr>
          <w:rFonts w:hint="eastAsia" w:ascii="宋体" w:hAnsi="宋体" w:cs="宋体"/>
          <w:b/>
          <w:bCs/>
          <w:sz w:val="28"/>
          <w:szCs w:val="28"/>
        </w:rPr>
        <w:t>资格性审查内容</w:t>
      </w:r>
    </w:p>
    <w:tbl>
      <w:tblPr>
        <w:tblStyle w:val="37"/>
        <w:tblW w:w="931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88"/>
        <w:gridCol w:w="83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988" w:type="dxa"/>
            <w:tcBorders>
              <w:tl2br w:val="nil"/>
              <w:tr2bl w:val="nil"/>
            </w:tcBorders>
            <w:vAlign w:val="center"/>
          </w:tcPr>
          <w:p>
            <w:pPr>
              <w:pStyle w:val="31"/>
              <w:spacing w:before="0" w:beforeAutospacing="0" w:after="0" w:afterAutospacing="0" w:line="500" w:lineRule="exact"/>
              <w:jc w:val="center"/>
              <w:rPr>
                <w:b/>
                <w:bCs/>
                <w:sz w:val="21"/>
                <w:szCs w:val="21"/>
              </w:rPr>
            </w:pPr>
            <w:r>
              <w:rPr>
                <w:rFonts w:hint="eastAsia"/>
                <w:b/>
                <w:bCs/>
                <w:sz w:val="21"/>
                <w:szCs w:val="21"/>
              </w:rPr>
              <w:t>序号</w:t>
            </w:r>
          </w:p>
        </w:tc>
        <w:tc>
          <w:tcPr>
            <w:tcW w:w="8328" w:type="dxa"/>
            <w:tcBorders>
              <w:tl2br w:val="nil"/>
              <w:tr2bl w:val="nil"/>
            </w:tcBorders>
            <w:vAlign w:val="center"/>
          </w:tcPr>
          <w:p>
            <w:pPr>
              <w:pStyle w:val="31"/>
              <w:spacing w:before="0" w:beforeAutospacing="0" w:after="0" w:afterAutospacing="0" w:line="500" w:lineRule="exact"/>
              <w:jc w:val="center"/>
              <w:rPr>
                <w:b/>
                <w:bCs/>
                <w:sz w:val="21"/>
                <w:szCs w:val="21"/>
              </w:rPr>
            </w:pPr>
            <w:r>
              <w:rPr>
                <w:rFonts w:hint="eastAsia"/>
                <w:b/>
                <w:bCs/>
                <w:sz w:val="21"/>
                <w:szCs w:val="21"/>
              </w:rPr>
              <w:t>审查内容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44" w:hRule="atLeast"/>
        </w:trPr>
        <w:tc>
          <w:tcPr>
            <w:tcW w:w="988" w:type="dxa"/>
            <w:tcBorders>
              <w:tl2br w:val="nil"/>
              <w:tr2bl w:val="nil"/>
            </w:tcBorders>
            <w:vAlign w:val="center"/>
          </w:tcPr>
          <w:p>
            <w:pPr>
              <w:pStyle w:val="31"/>
              <w:spacing w:before="0" w:beforeAutospacing="0" w:after="0" w:afterAutospacing="0" w:line="500" w:lineRule="exact"/>
              <w:jc w:val="center"/>
              <w:rPr>
                <w:sz w:val="21"/>
                <w:szCs w:val="21"/>
              </w:rPr>
            </w:pPr>
            <w:r>
              <w:rPr>
                <w:rFonts w:hint="eastAsia"/>
                <w:sz w:val="21"/>
                <w:szCs w:val="21"/>
              </w:rPr>
              <w:t>1</w:t>
            </w:r>
          </w:p>
        </w:tc>
        <w:tc>
          <w:tcPr>
            <w:tcW w:w="8328" w:type="dxa"/>
            <w:tcBorders>
              <w:tl2br w:val="nil"/>
              <w:tr2bl w:val="nil"/>
            </w:tcBorders>
            <w:vAlign w:val="center"/>
          </w:tcPr>
          <w:p>
            <w:pPr>
              <w:spacing w:line="360" w:lineRule="auto"/>
              <w:ind w:firstLine="420" w:firstLineChars="200"/>
              <w:rPr>
                <w:rFonts w:ascii="宋体" w:hAnsi="宋体" w:cs="宋体"/>
                <w:kern w:val="0"/>
                <w:szCs w:val="21"/>
              </w:rPr>
            </w:pPr>
            <w:r>
              <w:rPr>
                <w:rFonts w:hint="eastAsia" w:ascii="宋体" w:hAnsi="宋体" w:cs="宋体"/>
                <w:kern w:val="0"/>
                <w:szCs w:val="21"/>
              </w:rPr>
              <w:t>投标人须符合《中华人民共和国政府采购法》第二十二条有关规定：</w:t>
            </w:r>
          </w:p>
          <w:p>
            <w:pPr>
              <w:spacing w:line="360" w:lineRule="auto"/>
              <w:rPr>
                <w:rFonts w:ascii="宋体" w:hAnsi="宋体" w:cs="宋体"/>
                <w:bCs/>
                <w:szCs w:val="21"/>
              </w:rPr>
            </w:pPr>
            <w:r>
              <w:rPr>
                <w:rFonts w:hint="eastAsia" w:ascii="宋体" w:hAnsi="宋体" w:cs="宋体"/>
                <w:bCs/>
                <w:szCs w:val="21"/>
              </w:rPr>
              <w:t>（1）财务状况报告：提供</w:t>
            </w:r>
            <w:r>
              <w:rPr>
                <w:rFonts w:hint="eastAsia" w:ascii="宋体" w:hAnsi="宋体" w:eastAsia="宋体" w:cs="宋体"/>
                <w:bCs/>
                <w:szCs w:val="21"/>
              </w:rPr>
              <w:t>2020年度经审</w:t>
            </w:r>
            <w:r>
              <w:rPr>
                <w:rFonts w:hint="eastAsia" w:ascii="宋体" w:hAnsi="宋体" w:cs="宋体"/>
                <w:bCs/>
                <w:szCs w:val="21"/>
              </w:rPr>
              <w:t>计的财务报告（成立时间至提交响应文件截止时间不足一年的可提供成立后任意时段的资产负债表），或其基本存款账户开户银行出具的资信证明及基本存款账户开户许可证；</w:t>
            </w:r>
          </w:p>
          <w:p>
            <w:pPr>
              <w:spacing w:line="360" w:lineRule="auto"/>
              <w:rPr>
                <w:rFonts w:ascii="宋体" w:hAnsi="宋体" w:cs="宋体"/>
                <w:bCs/>
                <w:szCs w:val="21"/>
              </w:rPr>
            </w:pPr>
            <w:r>
              <w:rPr>
                <w:rFonts w:hint="eastAsia" w:ascii="宋体" w:hAnsi="宋体" w:cs="宋体"/>
                <w:bCs/>
                <w:szCs w:val="21"/>
              </w:rPr>
              <w:t>（2）完税证明：提供2021年度至今已缴纳的至少连续六个月的纳税证明或完税证明，依法免税的单位应提供相关证明材料；</w:t>
            </w:r>
          </w:p>
          <w:p>
            <w:pPr>
              <w:spacing w:line="360" w:lineRule="auto"/>
              <w:rPr>
                <w:rFonts w:ascii="宋体" w:hAnsi="宋体" w:cs="宋体"/>
                <w:kern w:val="0"/>
                <w:szCs w:val="21"/>
              </w:rPr>
            </w:pPr>
            <w:r>
              <w:rPr>
                <w:rFonts w:hint="eastAsia" w:ascii="宋体" w:hAnsi="宋体" w:cs="宋体"/>
                <w:bCs/>
                <w:szCs w:val="21"/>
              </w:rPr>
              <w:t>（3）社保缴纳情况：提供2021年度至今已缴存的至少连续六个月的社会保障资金缴存单据或社保机构开具的社会保险参保缴费情况证明，依法不需要缴纳社会保障资金的单位应提供相关证明材料；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88" w:type="dxa"/>
            <w:tcBorders>
              <w:tl2br w:val="nil"/>
              <w:tr2bl w:val="nil"/>
            </w:tcBorders>
            <w:vAlign w:val="center"/>
          </w:tcPr>
          <w:p>
            <w:pPr>
              <w:pStyle w:val="31"/>
              <w:spacing w:before="0" w:beforeAutospacing="0" w:after="0" w:afterAutospacing="0" w:line="500" w:lineRule="exact"/>
              <w:jc w:val="center"/>
              <w:rPr>
                <w:sz w:val="21"/>
                <w:szCs w:val="21"/>
              </w:rPr>
            </w:pPr>
            <w:r>
              <w:rPr>
                <w:rFonts w:hint="eastAsia"/>
                <w:sz w:val="21"/>
                <w:szCs w:val="21"/>
              </w:rPr>
              <w:t>2</w:t>
            </w:r>
          </w:p>
        </w:tc>
        <w:tc>
          <w:tcPr>
            <w:tcW w:w="8328" w:type="dxa"/>
            <w:tcBorders>
              <w:tl2br w:val="nil"/>
              <w:tr2bl w:val="nil"/>
            </w:tcBorders>
            <w:vAlign w:val="center"/>
          </w:tcPr>
          <w:p>
            <w:pPr>
              <w:pStyle w:val="31"/>
              <w:spacing w:before="0" w:beforeAutospacing="0" w:after="0" w:afterAutospacing="0" w:line="500" w:lineRule="exact"/>
              <w:jc w:val="both"/>
              <w:rPr>
                <w:sz w:val="21"/>
                <w:szCs w:val="21"/>
              </w:rPr>
            </w:pPr>
            <w:r>
              <w:rPr>
                <w:rFonts w:hint="eastAsia"/>
                <w:sz w:val="21"/>
                <w:szCs w:val="21"/>
              </w:rPr>
              <w:t>具有独立承担民事责任能力的法人、其他组织或自然人，并出具合法有效的营业执照或事业单位法人证书等国家规定的相关证明，自然人参与的提供其身份证明；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988" w:type="dxa"/>
            <w:tcBorders>
              <w:tl2br w:val="nil"/>
              <w:tr2bl w:val="nil"/>
            </w:tcBorders>
            <w:vAlign w:val="center"/>
          </w:tcPr>
          <w:p>
            <w:pPr>
              <w:pStyle w:val="31"/>
              <w:spacing w:before="0" w:beforeAutospacing="0" w:after="0" w:afterAutospacing="0" w:line="500" w:lineRule="exact"/>
              <w:jc w:val="center"/>
              <w:rPr>
                <w:sz w:val="21"/>
                <w:szCs w:val="21"/>
              </w:rPr>
            </w:pPr>
            <w:r>
              <w:rPr>
                <w:rFonts w:hint="eastAsia"/>
                <w:sz w:val="21"/>
                <w:szCs w:val="21"/>
              </w:rPr>
              <w:t>3</w:t>
            </w:r>
          </w:p>
        </w:tc>
        <w:tc>
          <w:tcPr>
            <w:tcW w:w="8328" w:type="dxa"/>
            <w:tcBorders>
              <w:tl2br w:val="nil"/>
              <w:tr2bl w:val="nil"/>
            </w:tcBorders>
            <w:vAlign w:val="center"/>
          </w:tcPr>
          <w:p>
            <w:pPr>
              <w:spacing w:line="500" w:lineRule="exact"/>
              <w:rPr>
                <w:rFonts w:ascii="宋体" w:hAnsi="宋体" w:cs="宋体"/>
                <w:kern w:val="0"/>
                <w:szCs w:val="21"/>
              </w:rPr>
            </w:pPr>
            <w:r>
              <w:rPr>
                <w:rFonts w:hint="eastAsia" w:ascii="宋体" w:hAnsi="宋体" w:cs="宋体"/>
                <w:kern w:val="0"/>
                <w:szCs w:val="21"/>
              </w:rPr>
              <w:t>投标人应授权合法的人员参加投标全过程，其中法定代表人直接参加投标的，须出具法人身份证，并与营业执照上信息一致。法定代表人授权代表参加投标的，须出具法定代表人授权书及授权代表身份证；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988" w:type="dxa"/>
            <w:tcBorders>
              <w:tl2br w:val="nil"/>
              <w:tr2bl w:val="nil"/>
            </w:tcBorders>
            <w:vAlign w:val="center"/>
          </w:tcPr>
          <w:p>
            <w:pPr>
              <w:pStyle w:val="31"/>
              <w:spacing w:before="0" w:beforeAutospacing="0" w:after="0" w:afterAutospacing="0" w:line="500" w:lineRule="exact"/>
              <w:jc w:val="center"/>
              <w:rPr>
                <w:sz w:val="21"/>
                <w:szCs w:val="21"/>
              </w:rPr>
            </w:pPr>
            <w:r>
              <w:rPr>
                <w:rFonts w:hint="eastAsia"/>
                <w:sz w:val="21"/>
                <w:szCs w:val="21"/>
              </w:rPr>
              <w:t>4</w:t>
            </w:r>
          </w:p>
        </w:tc>
        <w:tc>
          <w:tcPr>
            <w:tcW w:w="8328" w:type="dxa"/>
            <w:tcBorders>
              <w:tl2br w:val="nil"/>
              <w:tr2bl w:val="nil"/>
            </w:tcBorders>
            <w:vAlign w:val="center"/>
          </w:tcPr>
          <w:p>
            <w:pPr>
              <w:spacing w:line="500" w:lineRule="exact"/>
              <w:rPr>
                <w:rFonts w:ascii="宋体" w:hAnsi="宋体" w:cs="宋体"/>
                <w:kern w:val="0"/>
                <w:szCs w:val="21"/>
              </w:rPr>
            </w:pPr>
            <w:r>
              <w:rPr>
                <w:rFonts w:hint="eastAsia" w:ascii="宋体" w:hAnsi="宋体" w:cs="宋体"/>
                <w:kern w:val="0"/>
                <w:szCs w:val="21"/>
              </w:rPr>
              <w:t>供应商须提供“中国裁判文书网”查询近三年企业、法定代表人无行贿犯罪记录截图；不得在“国家企业信用信息公示系统”列入严重违法失信企业名单（黑名单）；“信用中国查询”被列入失信被执行人名单、有重大税收违法案件的供应商不得参与，且提供信用报告（带水印）；不得为“中国政府采购网(www.ccgp.gov.cn”）政府采购严重违法失信行为记录名单中被财政部门禁止参加政府采购活动的供应商；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988" w:type="dxa"/>
            <w:tcBorders>
              <w:tl2br w:val="nil"/>
              <w:tr2bl w:val="nil"/>
            </w:tcBorders>
            <w:vAlign w:val="center"/>
          </w:tcPr>
          <w:p>
            <w:pPr>
              <w:pStyle w:val="31"/>
              <w:spacing w:before="0" w:beforeAutospacing="0" w:after="0" w:afterAutospacing="0"/>
              <w:ind w:firstLine="420" w:firstLineChars="200"/>
              <w:jc w:val="both"/>
              <w:rPr>
                <w:sz w:val="21"/>
                <w:szCs w:val="21"/>
              </w:rPr>
            </w:pPr>
            <w:r>
              <w:rPr>
                <w:rFonts w:hint="eastAsia"/>
                <w:sz w:val="21"/>
                <w:szCs w:val="21"/>
              </w:rPr>
              <w:t>5</w:t>
            </w:r>
          </w:p>
        </w:tc>
        <w:tc>
          <w:tcPr>
            <w:tcW w:w="8328" w:type="dxa"/>
            <w:tcBorders>
              <w:tl2br w:val="nil"/>
              <w:tr2bl w:val="nil"/>
            </w:tcBorders>
            <w:vAlign w:val="center"/>
          </w:tcPr>
          <w:p>
            <w:pPr>
              <w:pStyle w:val="31"/>
              <w:spacing w:before="0" w:beforeAutospacing="0" w:after="0" w:afterAutospacing="0"/>
              <w:jc w:val="both"/>
              <w:rPr>
                <w:sz w:val="21"/>
                <w:szCs w:val="21"/>
              </w:rPr>
            </w:pPr>
            <w:r>
              <w:rPr>
                <w:rFonts w:hint="eastAsia"/>
                <w:sz w:val="21"/>
                <w:szCs w:val="21"/>
              </w:rPr>
              <w:t>提供具有履行合同所必需的设备和专业技术能力的承诺函；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88" w:type="dxa"/>
            <w:tcBorders>
              <w:tl2br w:val="nil"/>
              <w:tr2bl w:val="nil"/>
            </w:tcBorders>
            <w:vAlign w:val="center"/>
          </w:tcPr>
          <w:p>
            <w:pPr>
              <w:pStyle w:val="31"/>
              <w:spacing w:before="0" w:beforeAutospacing="0" w:after="0" w:afterAutospacing="0"/>
              <w:ind w:firstLine="420" w:firstLineChars="200"/>
              <w:jc w:val="both"/>
              <w:rPr>
                <w:sz w:val="21"/>
                <w:szCs w:val="21"/>
              </w:rPr>
            </w:pPr>
            <w:r>
              <w:rPr>
                <w:rFonts w:hint="eastAsia"/>
                <w:sz w:val="21"/>
                <w:szCs w:val="21"/>
              </w:rPr>
              <w:t>6</w:t>
            </w:r>
          </w:p>
        </w:tc>
        <w:tc>
          <w:tcPr>
            <w:tcW w:w="8328" w:type="dxa"/>
            <w:tcBorders>
              <w:tl2br w:val="nil"/>
              <w:tr2bl w:val="nil"/>
            </w:tcBorders>
            <w:vAlign w:val="center"/>
          </w:tcPr>
          <w:p>
            <w:pPr>
              <w:rPr>
                <w:rFonts w:ascii="宋体" w:hAnsi="宋体" w:cs="宋体"/>
                <w:kern w:val="0"/>
                <w:szCs w:val="21"/>
              </w:rPr>
            </w:pPr>
            <w:r>
              <w:rPr>
                <w:rFonts w:hint="eastAsia" w:ascii="宋体" w:hAnsi="宋体" w:cs="宋体"/>
                <w:kern w:val="0"/>
                <w:szCs w:val="21"/>
              </w:rPr>
              <w:t>参加政府采购活动前3年内，在经营活动中没有重大违法记录的书面声明；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988" w:type="dxa"/>
            <w:tcBorders>
              <w:tl2br w:val="nil"/>
              <w:tr2bl w:val="nil"/>
            </w:tcBorders>
            <w:vAlign w:val="center"/>
          </w:tcPr>
          <w:p>
            <w:pPr>
              <w:pStyle w:val="31"/>
              <w:spacing w:before="0" w:beforeAutospacing="0" w:after="0" w:afterAutospacing="0"/>
              <w:ind w:firstLine="420" w:firstLineChars="200"/>
              <w:jc w:val="both"/>
              <w:rPr>
                <w:sz w:val="21"/>
                <w:szCs w:val="21"/>
              </w:rPr>
            </w:pPr>
            <w:r>
              <w:rPr>
                <w:rFonts w:hint="eastAsia"/>
                <w:sz w:val="21"/>
                <w:szCs w:val="21"/>
              </w:rPr>
              <w:t>7</w:t>
            </w:r>
          </w:p>
        </w:tc>
        <w:tc>
          <w:tcPr>
            <w:tcW w:w="8328" w:type="dxa"/>
            <w:tcBorders>
              <w:tl2br w:val="nil"/>
              <w:tr2bl w:val="nil"/>
            </w:tcBorders>
            <w:vAlign w:val="center"/>
          </w:tcPr>
          <w:p>
            <w:pPr>
              <w:pStyle w:val="31"/>
              <w:spacing w:before="0" w:beforeAutospacing="0" w:after="0" w:afterAutospacing="0"/>
              <w:jc w:val="both"/>
              <w:rPr>
                <w:sz w:val="21"/>
                <w:szCs w:val="21"/>
              </w:rPr>
            </w:pPr>
            <w:r>
              <w:rPr>
                <w:rFonts w:hint="eastAsia"/>
                <w:sz w:val="21"/>
                <w:szCs w:val="21"/>
              </w:rPr>
              <w:t>单位负责人为同一人或者存在直接控股、管理关系的不同单位，不得同时参加本项目投标。</w:t>
            </w:r>
          </w:p>
        </w:tc>
      </w:tr>
    </w:tbl>
    <w:p>
      <w:pPr>
        <w:rPr>
          <w:rFonts w:ascii="宋体" w:hAnsi="宋体" w:cs="宋体"/>
          <w:b/>
          <w:bCs/>
          <w:sz w:val="28"/>
          <w:szCs w:val="28"/>
        </w:rPr>
      </w:pPr>
    </w:p>
    <w:p>
      <w:pPr>
        <w:widowControl/>
        <w:autoSpaceDE w:val="0"/>
        <w:autoSpaceDN w:val="0"/>
        <w:spacing w:after="240" w:afterLines="100" w:line="500" w:lineRule="exact"/>
        <w:ind w:right="53"/>
        <w:jc w:val="left"/>
        <w:textAlignment w:val="bottom"/>
        <w:rPr>
          <w:rFonts w:ascii="宋体" w:hAnsi="宋体" w:cs="宋体"/>
          <w:b/>
          <w:bCs/>
          <w:sz w:val="28"/>
          <w:szCs w:val="28"/>
        </w:rPr>
      </w:pPr>
    </w:p>
    <w:p>
      <w:pPr>
        <w:widowControl/>
        <w:autoSpaceDE w:val="0"/>
        <w:autoSpaceDN w:val="0"/>
        <w:spacing w:after="240" w:afterLines="100" w:line="500" w:lineRule="exact"/>
        <w:ind w:right="53"/>
        <w:jc w:val="left"/>
        <w:textAlignment w:val="bottom"/>
        <w:rPr>
          <w:rFonts w:ascii="宋体" w:hAnsi="宋体" w:cs="宋体"/>
          <w:b/>
          <w:bCs/>
          <w:sz w:val="28"/>
          <w:szCs w:val="28"/>
        </w:rPr>
      </w:pPr>
      <w:r>
        <w:rPr>
          <w:rFonts w:hint="eastAsia" w:ascii="宋体" w:hAnsi="宋体" w:cs="宋体"/>
          <w:b/>
          <w:bCs/>
          <w:sz w:val="28"/>
          <w:szCs w:val="28"/>
        </w:rPr>
        <w:t>附件二：</w:t>
      </w:r>
    </w:p>
    <w:p>
      <w:pPr>
        <w:widowControl/>
        <w:autoSpaceDE w:val="0"/>
        <w:autoSpaceDN w:val="0"/>
        <w:spacing w:after="240" w:afterLines="100" w:line="500" w:lineRule="exact"/>
        <w:ind w:right="53"/>
        <w:jc w:val="center"/>
        <w:textAlignment w:val="bottom"/>
        <w:rPr>
          <w:rFonts w:ascii="宋体" w:hAnsi="宋体" w:cs="宋体"/>
          <w:b/>
          <w:bCs/>
          <w:sz w:val="28"/>
          <w:szCs w:val="28"/>
        </w:rPr>
      </w:pPr>
      <w:r>
        <w:rPr>
          <w:rFonts w:hint="eastAsia" w:ascii="宋体" w:hAnsi="宋体" w:cs="宋体"/>
          <w:b/>
          <w:bCs/>
          <w:sz w:val="28"/>
          <w:szCs w:val="28"/>
        </w:rPr>
        <w:t>符合性审查内容</w:t>
      </w:r>
    </w:p>
    <w:tbl>
      <w:tblPr>
        <w:tblStyle w:val="37"/>
        <w:tblW w:w="934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90"/>
        <w:gridCol w:w="835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990" w:type="dxa"/>
            <w:vAlign w:val="center"/>
          </w:tcPr>
          <w:p>
            <w:pPr>
              <w:pStyle w:val="31"/>
              <w:spacing w:before="0" w:beforeAutospacing="0" w:after="0" w:afterAutospacing="0" w:line="500" w:lineRule="exact"/>
              <w:jc w:val="center"/>
              <w:rPr>
                <w:b/>
                <w:bCs/>
                <w:sz w:val="21"/>
                <w:szCs w:val="21"/>
              </w:rPr>
            </w:pPr>
            <w:r>
              <w:rPr>
                <w:rFonts w:hint="eastAsia"/>
                <w:b/>
                <w:bCs/>
                <w:sz w:val="21"/>
                <w:szCs w:val="21"/>
              </w:rPr>
              <w:t>序号</w:t>
            </w:r>
          </w:p>
        </w:tc>
        <w:tc>
          <w:tcPr>
            <w:tcW w:w="8350" w:type="dxa"/>
            <w:vAlign w:val="center"/>
          </w:tcPr>
          <w:p>
            <w:pPr>
              <w:pStyle w:val="31"/>
              <w:spacing w:before="0" w:beforeAutospacing="0" w:after="0" w:afterAutospacing="0" w:line="500" w:lineRule="exact"/>
              <w:jc w:val="center"/>
              <w:rPr>
                <w:b/>
                <w:bCs/>
                <w:sz w:val="21"/>
                <w:szCs w:val="21"/>
              </w:rPr>
            </w:pPr>
            <w:r>
              <w:rPr>
                <w:rFonts w:hint="eastAsia"/>
                <w:b/>
                <w:bCs/>
                <w:sz w:val="21"/>
                <w:szCs w:val="21"/>
              </w:rPr>
              <w:t>审查内容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990" w:type="dxa"/>
            <w:vAlign w:val="center"/>
          </w:tcPr>
          <w:p>
            <w:pPr>
              <w:pStyle w:val="31"/>
              <w:spacing w:before="0" w:beforeAutospacing="0" w:after="0" w:afterAutospacing="0" w:line="500" w:lineRule="exact"/>
              <w:jc w:val="center"/>
              <w:rPr>
                <w:sz w:val="21"/>
                <w:szCs w:val="21"/>
              </w:rPr>
            </w:pPr>
            <w:r>
              <w:rPr>
                <w:rFonts w:hint="eastAsia"/>
                <w:sz w:val="21"/>
                <w:szCs w:val="21"/>
              </w:rPr>
              <w:t>1</w:t>
            </w:r>
          </w:p>
        </w:tc>
        <w:tc>
          <w:tcPr>
            <w:tcW w:w="8350" w:type="dxa"/>
            <w:vAlign w:val="center"/>
          </w:tcPr>
          <w:p>
            <w:pPr>
              <w:pStyle w:val="31"/>
              <w:spacing w:before="0" w:beforeAutospacing="0" w:after="0" w:afterAutospacing="0" w:line="500" w:lineRule="exact"/>
              <w:jc w:val="both"/>
              <w:rPr>
                <w:sz w:val="21"/>
                <w:szCs w:val="21"/>
              </w:rPr>
            </w:pPr>
            <w:r>
              <w:rPr>
                <w:rFonts w:hint="eastAsia"/>
                <w:sz w:val="21"/>
                <w:szCs w:val="21"/>
              </w:rPr>
              <w:t>投标内容是否有重大缺漏项；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90" w:type="dxa"/>
            <w:vAlign w:val="center"/>
          </w:tcPr>
          <w:p>
            <w:pPr>
              <w:pStyle w:val="31"/>
              <w:spacing w:before="0" w:beforeAutospacing="0" w:after="0" w:afterAutospacing="0" w:line="500" w:lineRule="exact"/>
              <w:jc w:val="center"/>
              <w:rPr>
                <w:sz w:val="21"/>
                <w:szCs w:val="21"/>
              </w:rPr>
            </w:pPr>
            <w:r>
              <w:rPr>
                <w:rFonts w:hint="eastAsia"/>
                <w:sz w:val="21"/>
                <w:szCs w:val="21"/>
              </w:rPr>
              <w:t>2</w:t>
            </w:r>
          </w:p>
        </w:tc>
        <w:tc>
          <w:tcPr>
            <w:tcW w:w="8350" w:type="dxa"/>
            <w:vAlign w:val="center"/>
          </w:tcPr>
          <w:p>
            <w:pPr>
              <w:pStyle w:val="31"/>
              <w:spacing w:before="0" w:beforeAutospacing="0" w:after="0" w:afterAutospacing="0" w:line="500" w:lineRule="exact"/>
              <w:jc w:val="both"/>
              <w:rPr>
                <w:sz w:val="21"/>
                <w:szCs w:val="21"/>
              </w:rPr>
            </w:pPr>
            <w:r>
              <w:rPr>
                <w:rFonts w:hint="eastAsia"/>
                <w:sz w:val="21"/>
                <w:szCs w:val="21"/>
              </w:rPr>
              <w:t>投标报价是否唯一；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990" w:type="dxa"/>
            <w:vAlign w:val="center"/>
          </w:tcPr>
          <w:p>
            <w:pPr>
              <w:pStyle w:val="31"/>
              <w:spacing w:before="0" w:beforeAutospacing="0" w:after="0" w:afterAutospacing="0" w:line="500" w:lineRule="exact"/>
              <w:jc w:val="center"/>
              <w:rPr>
                <w:sz w:val="21"/>
                <w:szCs w:val="21"/>
              </w:rPr>
            </w:pPr>
            <w:r>
              <w:rPr>
                <w:rFonts w:hint="eastAsia"/>
                <w:sz w:val="21"/>
                <w:szCs w:val="21"/>
              </w:rPr>
              <w:t>3</w:t>
            </w:r>
          </w:p>
        </w:tc>
        <w:tc>
          <w:tcPr>
            <w:tcW w:w="8350" w:type="dxa"/>
            <w:vAlign w:val="center"/>
          </w:tcPr>
          <w:p>
            <w:pPr>
              <w:pStyle w:val="31"/>
              <w:spacing w:before="0" w:beforeAutospacing="0" w:after="0" w:afterAutospacing="0" w:line="500" w:lineRule="exact"/>
              <w:jc w:val="both"/>
              <w:rPr>
                <w:sz w:val="21"/>
                <w:szCs w:val="21"/>
              </w:rPr>
            </w:pPr>
            <w:r>
              <w:rPr>
                <w:rFonts w:hint="eastAsia"/>
                <w:sz w:val="21"/>
                <w:szCs w:val="21"/>
              </w:rPr>
              <w:t>投标有效期是否满足要求；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990" w:type="dxa"/>
            <w:vAlign w:val="center"/>
          </w:tcPr>
          <w:p>
            <w:pPr>
              <w:pStyle w:val="31"/>
              <w:spacing w:before="0" w:beforeAutospacing="0" w:after="0" w:afterAutospacing="0" w:line="500" w:lineRule="exact"/>
              <w:jc w:val="center"/>
              <w:rPr>
                <w:sz w:val="21"/>
                <w:szCs w:val="21"/>
              </w:rPr>
            </w:pPr>
            <w:r>
              <w:rPr>
                <w:rFonts w:hint="eastAsia"/>
                <w:sz w:val="21"/>
                <w:szCs w:val="21"/>
              </w:rPr>
              <w:t>4</w:t>
            </w:r>
          </w:p>
        </w:tc>
        <w:tc>
          <w:tcPr>
            <w:tcW w:w="8350" w:type="dxa"/>
            <w:vAlign w:val="center"/>
          </w:tcPr>
          <w:p>
            <w:pPr>
              <w:pStyle w:val="31"/>
              <w:spacing w:before="0" w:beforeAutospacing="0" w:after="0" w:afterAutospacing="0" w:line="500" w:lineRule="exact"/>
              <w:jc w:val="both"/>
              <w:rPr>
                <w:sz w:val="21"/>
                <w:szCs w:val="21"/>
              </w:rPr>
            </w:pPr>
            <w:r>
              <w:rPr>
                <w:rFonts w:hint="eastAsia"/>
                <w:sz w:val="21"/>
                <w:szCs w:val="21"/>
              </w:rPr>
              <w:t>投标报价是否未超过采购预算；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7" w:hRule="atLeast"/>
        </w:trPr>
        <w:tc>
          <w:tcPr>
            <w:tcW w:w="990" w:type="dxa"/>
            <w:vAlign w:val="center"/>
          </w:tcPr>
          <w:p>
            <w:pPr>
              <w:pStyle w:val="31"/>
              <w:spacing w:before="0" w:beforeAutospacing="0" w:after="0" w:afterAutospacing="0" w:line="500" w:lineRule="exact"/>
              <w:jc w:val="center"/>
              <w:rPr>
                <w:sz w:val="21"/>
                <w:szCs w:val="21"/>
              </w:rPr>
            </w:pPr>
            <w:r>
              <w:rPr>
                <w:rFonts w:hint="eastAsia"/>
                <w:sz w:val="21"/>
                <w:szCs w:val="21"/>
              </w:rPr>
              <w:t>5</w:t>
            </w:r>
          </w:p>
        </w:tc>
        <w:tc>
          <w:tcPr>
            <w:tcW w:w="8350" w:type="dxa"/>
            <w:vAlign w:val="center"/>
          </w:tcPr>
          <w:p>
            <w:pPr>
              <w:pStyle w:val="31"/>
              <w:spacing w:before="0" w:beforeAutospacing="0" w:after="0" w:afterAutospacing="0" w:line="500" w:lineRule="exact"/>
              <w:jc w:val="both"/>
              <w:rPr>
                <w:sz w:val="21"/>
                <w:szCs w:val="21"/>
              </w:rPr>
            </w:pPr>
            <w:r>
              <w:rPr>
                <w:rFonts w:hint="eastAsia"/>
                <w:sz w:val="21"/>
                <w:szCs w:val="21"/>
              </w:rPr>
              <w:t>投标文件响应内容是否符合国家法律法规，是否实质性响应了招标文件要求的全部条款、条件和规格要求，并且提供了支持文件，没有重大偏离；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90" w:type="dxa"/>
            <w:vAlign w:val="center"/>
          </w:tcPr>
          <w:p>
            <w:pPr>
              <w:pStyle w:val="31"/>
              <w:spacing w:before="0" w:beforeAutospacing="0" w:after="0" w:afterAutospacing="0" w:line="500" w:lineRule="exact"/>
              <w:jc w:val="center"/>
              <w:rPr>
                <w:sz w:val="21"/>
                <w:szCs w:val="21"/>
              </w:rPr>
            </w:pPr>
            <w:r>
              <w:rPr>
                <w:rFonts w:hint="eastAsia"/>
                <w:sz w:val="21"/>
                <w:szCs w:val="21"/>
              </w:rPr>
              <w:t>6</w:t>
            </w:r>
          </w:p>
        </w:tc>
        <w:tc>
          <w:tcPr>
            <w:tcW w:w="8350" w:type="dxa"/>
            <w:vAlign w:val="center"/>
          </w:tcPr>
          <w:p>
            <w:pPr>
              <w:pStyle w:val="31"/>
              <w:spacing w:before="0" w:beforeAutospacing="0" w:after="0" w:afterAutospacing="0" w:line="500" w:lineRule="exact"/>
              <w:jc w:val="both"/>
              <w:rPr>
                <w:sz w:val="21"/>
                <w:szCs w:val="21"/>
              </w:rPr>
            </w:pPr>
            <w:r>
              <w:rPr>
                <w:rFonts w:hint="eastAsia"/>
                <w:sz w:val="21"/>
                <w:szCs w:val="21"/>
              </w:rPr>
              <w:t>交货期是否满足要求；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990" w:type="dxa"/>
            <w:vAlign w:val="center"/>
          </w:tcPr>
          <w:p>
            <w:pPr>
              <w:pStyle w:val="31"/>
              <w:spacing w:before="0" w:beforeAutospacing="0" w:after="0" w:afterAutospacing="0" w:line="500" w:lineRule="exact"/>
              <w:jc w:val="center"/>
              <w:rPr>
                <w:sz w:val="21"/>
                <w:szCs w:val="21"/>
              </w:rPr>
            </w:pPr>
            <w:r>
              <w:rPr>
                <w:rFonts w:hint="eastAsia"/>
                <w:sz w:val="21"/>
                <w:szCs w:val="21"/>
              </w:rPr>
              <w:t>7</w:t>
            </w:r>
          </w:p>
        </w:tc>
        <w:tc>
          <w:tcPr>
            <w:tcW w:w="8350" w:type="dxa"/>
            <w:vAlign w:val="center"/>
          </w:tcPr>
          <w:p>
            <w:pPr>
              <w:pStyle w:val="31"/>
              <w:spacing w:before="0" w:beforeAutospacing="0" w:after="0" w:afterAutospacing="0" w:line="500" w:lineRule="exact"/>
              <w:jc w:val="both"/>
              <w:rPr>
                <w:sz w:val="21"/>
                <w:szCs w:val="21"/>
              </w:rPr>
            </w:pPr>
            <w:r>
              <w:rPr>
                <w:rFonts w:hint="eastAsia"/>
                <w:sz w:val="21"/>
                <w:szCs w:val="21"/>
              </w:rPr>
              <w:t>付款方式是否完全响应；</w:t>
            </w:r>
          </w:p>
        </w:tc>
      </w:tr>
      <w:bookmarkEnd w:id="16"/>
    </w:tbl>
    <w:p>
      <w:pPr>
        <w:spacing w:before="120" w:beforeLines="50" w:after="120" w:afterLines="50" w:line="600" w:lineRule="exact"/>
        <w:rPr>
          <w:rFonts w:ascii="宋体" w:hAnsi="宋体" w:cs="宋体"/>
          <w:b/>
          <w:bCs/>
          <w:sz w:val="36"/>
          <w:szCs w:val="36"/>
        </w:rPr>
      </w:pPr>
      <w:bookmarkStart w:id="17" w:name="OLE_LINK1"/>
      <w:bookmarkStart w:id="18" w:name="_Toc222740141"/>
      <w:r>
        <w:rPr>
          <w:rFonts w:ascii="宋体" w:hAnsi="宋体" w:cs="宋体"/>
          <w:b/>
          <w:bCs/>
          <w:sz w:val="36"/>
          <w:szCs w:val="36"/>
        </w:rPr>
        <w:br w:type="page"/>
      </w:r>
    </w:p>
    <w:p>
      <w:pPr>
        <w:pStyle w:val="3"/>
        <w:numPr>
          <w:ilvl w:val="0"/>
          <w:numId w:val="0"/>
        </w:numPr>
        <w:tabs>
          <w:tab w:val="clear" w:pos="324"/>
        </w:tabs>
        <w:rPr>
          <w:rFonts w:ascii="宋体" w:hAnsi="宋体" w:eastAsia="宋体" w:cs="宋体"/>
          <w:b/>
          <w:bCs/>
          <w:sz w:val="36"/>
          <w:szCs w:val="36"/>
        </w:rPr>
      </w:pPr>
      <w:bookmarkStart w:id="19" w:name="_Toc1053"/>
      <w:r>
        <w:rPr>
          <w:rFonts w:hint="eastAsia" w:ascii="宋体" w:hAnsi="宋体" w:eastAsia="宋体" w:cs="宋体"/>
          <w:b/>
          <w:bCs/>
          <w:sz w:val="36"/>
          <w:szCs w:val="36"/>
        </w:rPr>
        <w:t xml:space="preserve">第四章  </w:t>
      </w:r>
      <w:bookmarkEnd w:id="17"/>
      <w:r>
        <w:rPr>
          <w:rFonts w:hint="eastAsia" w:ascii="宋体" w:hAnsi="宋体" w:eastAsia="宋体" w:cs="宋体"/>
          <w:b/>
          <w:bCs/>
          <w:sz w:val="36"/>
          <w:szCs w:val="36"/>
        </w:rPr>
        <w:t>采购内容及技术要求</w:t>
      </w:r>
      <w:bookmarkEnd w:id="19"/>
    </w:p>
    <w:p>
      <w:pPr>
        <w:spacing w:before="240" w:after="120"/>
        <w:jc w:val="left"/>
        <w:outlineLvl w:val="2"/>
        <w:rPr>
          <w:rFonts w:ascii="宋体" w:hAnsi="宋体" w:cs="宋体"/>
          <w:b/>
          <w:bCs/>
          <w:sz w:val="28"/>
        </w:rPr>
      </w:pPr>
      <w:r>
        <w:rPr>
          <w:rFonts w:hint="eastAsia" w:ascii="宋体" w:hAnsi="宋体" w:cs="宋体"/>
          <w:b/>
          <w:bCs/>
          <w:sz w:val="28"/>
        </w:rPr>
        <w:t>一、采购需求清单</w:t>
      </w:r>
    </w:p>
    <w:p>
      <w:pPr>
        <w:pStyle w:val="46"/>
        <w:ind w:left="0" w:leftChars="0" w:firstLine="0" w:firstLineChars="0"/>
        <w:rPr>
          <w:rFonts w:hint="eastAsia"/>
        </w:rPr>
      </w:pPr>
    </w:p>
    <w:tbl>
      <w:tblPr>
        <w:tblStyle w:val="3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69"/>
        <w:gridCol w:w="4387"/>
        <w:gridCol w:w="1805"/>
        <w:gridCol w:w="15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部室名称</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8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体育器材室</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8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卫生保健室</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8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科学活动室</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8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云计算机教室</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8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心理咨询室</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8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间</w:t>
            </w:r>
          </w:p>
        </w:tc>
      </w:tr>
    </w:tbl>
    <w:p>
      <w:pPr>
        <w:pStyle w:val="46"/>
        <w:ind w:left="0" w:leftChars="0" w:firstLine="0" w:firstLineChars="0"/>
        <w:rPr>
          <w:rFonts w:hint="eastAsia"/>
        </w:rPr>
        <w:sectPr>
          <w:headerReference r:id="rId8" w:type="default"/>
          <w:footerReference r:id="rId9" w:type="default"/>
          <w:footnotePr>
            <w:numFmt w:val="decimalEnclosedCircleChinese"/>
            <w:numRestart w:val="eachPage"/>
          </w:footnotePr>
          <w:pgSz w:w="11907" w:h="16840"/>
          <w:pgMar w:top="1440" w:right="1361" w:bottom="1440" w:left="1361" w:header="720" w:footer="907" w:gutter="0"/>
          <w:pgNumType w:fmt="decimal"/>
          <w:cols w:space="720" w:num="1"/>
        </w:sectPr>
      </w:pPr>
    </w:p>
    <w:p>
      <w:pPr>
        <w:spacing w:before="240" w:after="120"/>
        <w:outlineLvl w:val="2"/>
        <w:rPr>
          <w:rFonts w:ascii="宋体" w:hAnsi="宋体" w:cs="宋体"/>
          <w:b/>
          <w:bCs/>
          <w:sz w:val="24"/>
        </w:rPr>
      </w:pPr>
      <w:bookmarkStart w:id="20" w:name="_Toc12458"/>
      <w:r>
        <w:rPr>
          <w:rFonts w:hint="eastAsia" w:ascii="宋体" w:hAnsi="宋体" w:cs="宋体"/>
          <w:b/>
          <w:bCs/>
          <w:sz w:val="24"/>
        </w:rPr>
        <w:t>二、技术参数</w:t>
      </w:r>
    </w:p>
    <w:p>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Chars="0"/>
        <w:jc w:val="center"/>
        <w:textAlignment w:val="auto"/>
        <w:rPr>
          <w:rFonts w:hint="eastAsia"/>
          <w:color w:val="auto"/>
          <w:sz w:val="30"/>
          <w:szCs w:val="30"/>
        </w:rPr>
      </w:pPr>
      <w:bookmarkStart w:id="21" w:name="_Toc26131"/>
      <w:r>
        <w:rPr>
          <w:rFonts w:hint="eastAsia"/>
          <w:color w:val="auto"/>
          <w:sz w:val="30"/>
          <w:szCs w:val="30"/>
        </w:rPr>
        <w:t>一、体育器材室</w:t>
      </w:r>
      <w:bookmarkEnd w:id="21"/>
    </w:p>
    <w:tbl>
      <w:tblPr>
        <w:tblStyle w:val="36"/>
        <w:tblW w:w="0" w:type="auto"/>
        <w:tblInd w:w="91" w:type="dxa"/>
        <w:tblLayout w:type="fixed"/>
        <w:tblCellMar>
          <w:top w:w="0" w:type="dxa"/>
          <w:left w:w="108" w:type="dxa"/>
          <w:bottom w:w="0" w:type="dxa"/>
          <w:right w:w="108" w:type="dxa"/>
        </w:tblCellMar>
      </w:tblPr>
      <w:tblGrid>
        <w:gridCol w:w="872"/>
        <w:gridCol w:w="1669"/>
        <w:gridCol w:w="9412"/>
        <w:gridCol w:w="938"/>
        <w:gridCol w:w="906"/>
      </w:tblGrid>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auto"/>
                <w:sz w:val="24"/>
              </w:rPr>
            </w:pPr>
            <w:r>
              <w:rPr>
                <w:rFonts w:hint="eastAsia" w:ascii="宋体" w:hAnsi="宋体" w:cs="宋体"/>
                <w:b/>
                <w:bCs/>
                <w:color w:val="auto"/>
                <w:kern w:val="0"/>
                <w:sz w:val="24"/>
                <w:lang w:bidi="ar"/>
              </w:rPr>
              <w:t>序号</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auto"/>
                <w:sz w:val="24"/>
              </w:rPr>
            </w:pPr>
            <w:r>
              <w:rPr>
                <w:rFonts w:hint="eastAsia" w:ascii="宋体" w:hAnsi="宋体" w:cs="宋体"/>
                <w:b/>
                <w:bCs/>
                <w:color w:val="auto"/>
                <w:kern w:val="0"/>
                <w:sz w:val="24"/>
                <w:lang w:bidi="ar"/>
              </w:rPr>
              <w:t>名称</w:t>
            </w:r>
          </w:p>
        </w:tc>
        <w:tc>
          <w:tcPr>
            <w:tcW w:w="94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auto"/>
                <w:sz w:val="24"/>
              </w:rPr>
            </w:pPr>
            <w:r>
              <w:rPr>
                <w:rFonts w:hint="eastAsia" w:ascii="宋体" w:hAnsi="宋体" w:cs="宋体"/>
                <w:b/>
                <w:bCs/>
                <w:color w:val="auto"/>
                <w:kern w:val="0"/>
                <w:sz w:val="24"/>
                <w:lang w:bidi="ar"/>
              </w:rPr>
              <w:t>技术参数</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auto"/>
                <w:sz w:val="24"/>
              </w:rPr>
            </w:pPr>
            <w:r>
              <w:rPr>
                <w:rFonts w:hint="eastAsia" w:ascii="宋体" w:hAnsi="宋体" w:cs="宋体"/>
                <w:b/>
                <w:bCs/>
                <w:color w:val="auto"/>
                <w:kern w:val="0"/>
                <w:sz w:val="24"/>
                <w:lang w:bidi="ar"/>
              </w:rPr>
              <w:t>单位</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auto"/>
                <w:sz w:val="24"/>
              </w:rPr>
            </w:pPr>
            <w:r>
              <w:rPr>
                <w:rFonts w:hint="eastAsia" w:ascii="宋体" w:hAnsi="宋体" w:cs="宋体"/>
                <w:b/>
                <w:bCs/>
                <w:color w:val="auto"/>
                <w:kern w:val="0"/>
                <w:sz w:val="24"/>
                <w:lang w:bidi="ar"/>
              </w:rPr>
              <w:t>数量</w:t>
            </w:r>
          </w:p>
        </w:tc>
      </w:tr>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w:t>
            </w:r>
          </w:p>
        </w:tc>
        <w:tc>
          <w:tcPr>
            <w:tcW w:w="16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计时器</w:t>
            </w:r>
          </w:p>
        </w:tc>
        <w:tc>
          <w:tcPr>
            <w:tcW w:w="94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带挂绳，≥100道记忆、三排大显示1/100秒、分段、总段时间同时显示、清零后仍可重新读取记忆、正常走時、定闹及日历、倒计时器(9小时59分59.00秒)、防水、防震、防滑结构。</w:t>
            </w:r>
          </w:p>
        </w:tc>
        <w:tc>
          <w:tcPr>
            <w:tcW w:w="9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块</w:t>
            </w:r>
          </w:p>
        </w:tc>
        <w:tc>
          <w:tcPr>
            <w:tcW w:w="90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4</w:t>
            </w:r>
          </w:p>
        </w:tc>
      </w:tr>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2</w:t>
            </w:r>
          </w:p>
        </w:tc>
        <w:tc>
          <w:tcPr>
            <w:tcW w:w="16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发令枪</w:t>
            </w:r>
          </w:p>
        </w:tc>
        <w:tc>
          <w:tcPr>
            <w:tcW w:w="94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双发式，单发击发；定装发令弹，用于竞赛类体育项目的比赛和训练</w:t>
            </w:r>
          </w:p>
        </w:tc>
        <w:tc>
          <w:tcPr>
            <w:tcW w:w="9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把</w:t>
            </w:r>
          </w:p>
        </w:tc>
        <w:tc>
          <w:tcPr>
            <w:tcW w:w="90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4</w:t>
            </w:r>
          </w:p>
        </w:tc>
      </w:tr>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3</w:t>
            </w:r>
          </w:p>
        </w:tc>
        <w:tc>
          <w:tcPr>
            <w:tcW w:w="16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发令台</w:t>
            </w:r>
          </w:p>
        </w:tc>
        <w:tc>
          <w:tcPr>
            <w:tcW w:w="94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台阶式；采用直径大于等于32mm优质圆管，烟屏直径大于330mm，发令烟屏可拆装；大于等于2个台阶，台阶高小于等于250mm。箱体钢板厚度不小于3mm；烟屏为黑色，可与箱体拆装；箱体带轮整体可移动，整体喷塑。</w:t>
            </w:r>
          </w:p>
        </w:tc>
        <w:tc>
          <w:tcPr>
            <w:tcW w:w="9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副</w:t>
            </w:r>
          </w:p>
        </w:tc>
        <w:tc>
          <w:tcPr>
            <w:tcW w:w="90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2</w:t>
            </w:r>
          </w:p>
        </w:tc>
      </w:tr>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4</w:t>
            </w:r>
          </w:p>
        </w:tc>
        <w:tc>
          <w:tcPr>
            <w:tcW w:w="16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接力棒</w:t>
            </w:r>
          </w:p>
        </w:tc>
        <w:tc>
          <w:tcPr>
            <w:tcW w:w="94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长度300mm，直径32-35mm，空心铝合金材质。棒两头做过内卷边处理，不能使用塑料塞子。外观平滑无毛刺。</w:t>
            </w:r>
          </w:p>
        </w:tc>
        <w:tc>
          <w:tcPr>
            <w:tcW w:w="9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根</w:t>
            </w:r>
          </w:p>
        </w:tc>
        <w:tc>
          <w:tcPr>
            <w:tcW w:w="90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32</w:t>
            </w:r>
          </w:p>
        </w:tc>
      </w:tr>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5</w:t>
            </w:r>
          </w:p>
        </w:tc>
        <w:tc>
          <w:tcPr>
            <w:tcW w:w="16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皮尺</w:t>
            </w:r>
          </w:p>
        </w:tc>
        <w:tc>
          <w:tcPr>
            <w:tcW w:w="94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10m</w:t>
            </w:r>
          </w:p>
        </w:tc>
        <w:tc>
          <w:tcPr>
            <w:tcW w:w="9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卷</w:t>
            </w:r>
          </w:p>
        </w:tc>
        <w:tc>
          <w:tcPr>
            <w:tcW w:w="90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5</w:t>
            </w:r>
          </w:p>
        </w:tc>
      </w:tr>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6</w:t>
            </w:r>
          </w:p>
        </w:tc>
        <w:tc>
          <w:tcPr>
            <w:tcW w:w="16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皮尺</w:t>
            </w:r>
          </w:p>
        </w:tc>
        <w:tc>
          <w:tcPr>
            <w:tcW w:w="94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50m</w:t>
            </w:r>
          </w:p>
        </w:tc>
        <w:tc>
          <w:tcPr>
            <w:tcW w:w="9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卷</w:t>
            </w:r>
          </w:p>
        </w:tc>
        <w:tc>
          <w:tcPr>
            <w:tcW w:w="90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5</w:t>
            </w:r>
          </w:p>
        </w:tc>
      </w:tr>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7</w:t>
            </w:r>
          </w:p>
        </w:tc>
        <w:tc>
          <w:tcPr>
            <w:tcW w:w="16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实心球</w:t>
            </w:r>
          </w:p>
        </w:tc>
        <w:tc>
          <w:tcPr>
            <w:tcW w:w="94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学生用实心球:重量1 kg±30g. 圆球形。充气式橡胶实心球，有内胆，手感柔软无伤害，外摸无填充物感觉。球面用不低于4mm厚的天然橡胶整体成形，不接受再生胶，产品没有异味。从10m高处自由落体试验后，应无破裂。球表面防滑，球上有明显不易脱落的商标、标志。外表面均匀分布乳头状小颗粒，半球结合处没有凹楞。</w:t>
            </w:r>
          </w:p>
        </w:tc>
        <w:tc>
          <w:tcPr>
            <w:tcW w:w="9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只</w:t>
            </w:r>
          </w:p>
        </w:tc>
        <w:tc>
          <w:tcPr>
            <w:tcW w:w="90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50</w:t>
            </w:r>
          </w:p>
        </w:tc>
      </w:tr>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8</w:t>
            </w:r>
          </w:p>
        </w:tc>
        <w:tc>
          <w:tcPr>
            <w:tcW w:w="16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跳高丈量尺</w:t>
            </w:r>
          </w:p>
        </w:tc>
        <w:tc>
          <w:tcPr>
            <w:tcW w:w="94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铝合金或不锈钢材质，长度2000mm，材质为铝合金或不锈钢，分度值为1cm。刻度印制清晰，无断线。尺身无破损，目测无扭曲、变形现象。</w:t>
            </w:r>
          </w:p>
        </w:tc>
        <w:tc>
          <w:tcPr>
            <w:tcW w:w="9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根</w:t>
            </w:r>
          </w:p>
        </w:tc>
        <w:tc>
          <w:tcPr>
            <w:tcW w:w="90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2</w:t>
            </w:r>
          </w:p>
        </w:tc>
      </w:tr>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9</w:t>
            </w:r>
          </w:p>
        </w:tc>
        <w:tc>
          <w:tcPr>
            <w:tcW w:w="16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跳高架</w:t>
            </w:r>
          </w:p>
        </w:tc>
        <w:tc>
          <w:tcPr>
            <w:tcW w:w="94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textAlignment w:val="center"/>
              <w:rPr>
                <w:rFonts w:hint="eastAsia" w:ascii="宋体" w:hAnsi="宋体" w:cs="宋体"/>
                <w:color w:val="auto"/>
                <w:kern w:val="0"/>
                <w:sz w:val="24"/>
                <w:lang w:bidi="ar"/>
              </w:rPr>
            </w:pPr>
            <w:r>
              <w:rPr>
                <w:rFonts w:hint="eastAsia" w:ascii="宋体" w:hAnsi="宋体" w:cs="宋体"/>
                <w:color w:val="auto"/>
                <w:kern w:val="0"/>
                <w:sz w:val="24"/>
                <w:lang w:bidi="ar"/>
              </w:rPr>
              <w:t>1、跳高架由底座、航空铝材立柱、横杆托架、微调支脚构成；可升降，稳定性好,刻度清晰。</w:t>
            </w:r>
          </w:p>
          <w:p>
            <w:pPr>
              <w:widowControl/>
              <w:jc w:val="left"/>
              <w:textAlignment w:val="center"/>
              <w:rPr>
                <w:rFonts w:hint="eastAsia" w:ascii="宋体" w:hAnsi="宋体" w:cs="宋体"/>
                <w:color w:val="auto"/>
                <w:kern w:val="0"/>
                <w:sz w:val="24"/>
                <w:lang w:bidi="ar"/>
              </w:rPr>
            </w:pPr>
            <w:r>
              <w:rPr>
                <w:rFonts w:hint="eastAsia" w:ascii="宋体" w:hAnsi="宋体" w:cs="宋体"/>
                <w:color w:val="auto"/>
                <w:kern w:val="0"/>
                <w:sz w:val="24"/>
                <w:lang w:bidi="ar"/>
              </w:rPr>
              <w:t>2、跳高架可拆装，升降范围600--2500mm；升降自如、无卡滞现象；升降支柱组装后支撑稳定，挺直，便于调整、安放。</w:t>
            </w:r>
          </w:p>
          <w:p>
            <w:pPr>
              <w:widowControl/>
              <w:jc w:val="left"/>
              <w:textAlignment w:val="center"/>
              <w:rPr>
                <w:rFonts w:hint="eastAsia" w:ascii="宋体" w:hAnsi="宋体" w:cs="宋体"/>
                <w:color w:val="auto"/>
                <w:kern w:val="0"/>
                <w:sz w:val="24"/>
                <w:lang w:bidi="ar"/>
              </w:rPr>
            </w:pPr>
            <w:r>
              <w:rPr>
                <w:rFonts w:hint="eastAsia" w:ascii="宋体" w:hAnsi="宋体" w:cs="宋体"/>
                <w:color w:val="auto"/>
                <w:kern w:val="0"/>
                <w:sz w:val="24"/>
                <w:lang w:bidi="ar"/>
              </w:rPr>
              <w:t>3、固定立柱尺寸大于等于60*45mm，升降柱45*40mm，立柱选用航空铝材制作，具有良好的抗弯强度标尺刻度清晰，型材之间选用燕尾槽配合，表面氧化处理。</w:t>
            </w:r>
          </w:p>
          <w:p>
            <w:pPr>
              <w:widowControl/>
              <w:jc w:val="left"/>
              <w:textAlignment w:val="center"/>
              <w:rPr>
                <w:rFonts w:hint="eastAsia" w:ascii="宋体" w:hAnsi="宋体" w:cs="宋体"/>
                <w:color w:val="auto"/>
                <w:kern w:val="0"/>
                <w:sz w:val="24"/>
                <w:lang w:bidi="ar"/>
              </w:rPr>
            </w:pPr>
            <w:r>
              <w:rPr>
                <w:rFonts w:hint="eastAsia" w:ascii="宋体" w:hAnsi="宋体" w:cs="宋体"/>
                <w:color w:val="auto"/>
                <w:kern w:val="0"/>
                <w:sz w:val="24"/>
                <w:lang w:bidi="ar"/>
              </w:rPr>
              <w:t>4、底座选用整块铁板折边制作,尺寸大于等于400*330mm、底部设有滚轮，便于移动。</w:t>
            </w:r>
          </w:p>
          <w:p>
            <w:pPr>
              <w:widowControl/>
              <w:jc w:val="left"/>
              <w:textAlignment w:val="center"/>
              <w:rPr>
                <w:rFonts w:hint="eastAsia" w:ascii="宋体" w:hAnsi="宋体" w:cs="宋体"/>
                <w:color w:val="auto"/>
                <w:kern w:val="0"/>
                <w:sz w:val="24"/>
                <w:lang w:bidi="ar"/>
              </w:rPr>
            </w:pPr>
            <w:r>
              <w:rPr>
                <w:rFonts w:hint="eastAsia" w:ascii="宋体" w:hAnsi="宋体" w:cs="宋体"/>
                <w:color w:val="auto"/>
                <w:kern w:val="0"/>
                <w:sz w:val="24"/>
                <w:lang w:bidi="ar"/>
              </w:rPr>
              <w:t>5、跳高架横杆托架大于等于40*60mm，上下移动方便。</w:t>
            </w:r>
          </w:p>
          <w:p>
            <w:pPr>
              <w:widowControl/>
              <w:jc w:val="left"/>
              <w:textAlignment w:val="center"/>
              <w:rPr>
                <w:rFonts w:hint="eastAsia" w:ascii="宋体" w:hAnsi="宋体" w:cs="宋体"/>
                <w:color w:val="auto"/>
                <w:kern w:val="0"/>
                <w:sz w:val="24"/>
                <w:lang w:bidi="ar"/>
              </w:rPr>
            </w:pPr>
            <w:r>
              <w:rPr>
                <w:rFonts w:hint="eastAsia" w:ascii="宋体" w:hAnsi="宋体" w:cs="宋体"/>
                <w:color w:val="auto"/>
                <w:kern w:val="0"/>
                <w:sz w:val="24"/>
                <w:lang w:bidi="ar"/>
              </w:rPr>
              <w:t xml:space="preserve">6、跳高架底座底部设有微调机构，通过调节微调机构可满足场地不平整引起的跳高架的稳定性和横杆的高度要求。                       </w:t>
            </w:r>
          </w:p>
          <w:p>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7、产品具有耐酸碱、耐湿热、抗老化等优点，能适合潮湿和酸雨环境，适用于室外长期使用。</w:t>
            </w:r>
          </w:p>
        </w:tc>
        <w:tc>
          <w:tcPr>
            <w:tcW w:w="9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副</w:t>
            </w:r>
          </w:p>
        </w:tc>
        <w:tc>
          <w:tcPr>
            <w:tcW w:w="90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2</w:t>
            </w:r>
          </w:p>
        </w:tc>
      </w:tr>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10</w:t>
            </w:r>
          </w:p>
        </w:tc>
        <w:tc>
          <w:tcPr>
            <w:tcW w:w="16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跳高海绵包</w:t>
            </w:r>
          </w:p>
        </w:tc>
        <w:tc>
          <w:tcPr>
            <w:tcW w:w="94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大于等于300*200*30(cm)折叠，外层面料为3*3军绿色帆布；内胆为整块20密度软海绵，重量不小于30KG/块。密度均匀，软硬适中，弹性好；四角为直角，表面平、无皱折、色泽一致；当载荷落至跳垫时，外层不得起皱，里外层不得发生相对位移；在长度方向对半折叠，两侧应各有提手。</w:t>
            </w:r>
          </w:p>
        </w:tc>
        <w:tc>
          <w:tcPr>
            <w:tcW w:w="9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张</w:t>
            </w:r>
          </w:p>
        </w:tc>
        <w:tc>
          <w:tcPr>
            <w:tcW w:w="90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4</w:t>
            </w:r>
          </w:p>
        </w:tc>
      </w:tr>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11</w:t>
            </w:r>
          </w:p>
        </w:tc>
        <w:tc>
          <w:tcPr>
            <w:tcW w:w="16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横竿</w:t>
            </w:r>
          </w:p>
        </w:tc>
        <w:tc>
          <w:tcPr>
            <w:tcW w:w="94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长：大于等于4000mm，直径大于等于28mm,厚度：大于等于1.0mm  采用不宜折断的铝合金材料制成，横截面应呈圆形，颜色醒目。横杆固定在立柱上，中心自然下垂应小于20mm</w:t>
            </w:r>
          </w:p>
        </w:tc>
        <w:tc>
          <w:tcPr>
            <w:tcW w:w="9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根</w:t>
            </w:r>
          </w:p>
        </w:tc>
        <w:tc>
          <w:tcPr>
            <w:tcW w:w="90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4</w:t>
            </w:r>
          </w:p>
        </w:tc>
      </w:tr>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12</w:t>
            </w:r>
          </w:p>
        </w:tc>
        <w:tc>
          <w:tcPr>
            <w:tcW w:w="16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摸高器</w:t>
            </w:r>
          </w:p>
        </w:tc>
        <w:tc>
          <w:tcPr>
            <w:tcW w:w="94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主立柱采用直径大于等于114mm，壁厚大于等于2.5mm的国标钢管；顶端采用外扣式钢制盖帽，避免雨水淋进.立柱总高3000mm摸板采用不锈钢材质，高面最高刻度2000-3000mm底面最高刻度1500-2500mm</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地埋400mm，优质漆。钢管耐蚀级别不低于5级；所有铁制件表面均经脱脂，抛丸等初级处理后，在自动喷涂线上采用热固性纯聚酯粉末喷涂，完成最后表面处理，涂层厚度70-80um,确保涂层能在户外长期使用。产品涂装配配料不应含有毒元素。试品经不少于800小时老化试验，划格处单面腐蚀＜2mm，产品具有耐酸碱、耐湿热、抗老化、外观美观等特点，能适合潮湿和酸雨环境。焊接要求：采用CO2保护焊焊接成型，焊缝均匀、成型美观，牢固无虚焊、无漏焊、无泡渣、裂纹等缺陷。</w:t>
            </w:r>
          </w:p>
        </w:tc>
        <w:tc>
          <w:tcPr>
            <w:tcW w:w="9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副</w:t>
            </w:r>
          </w:p>
        </w:tc>
        <w:tc>
          <w:tcPr>
            <w:tcW w:w="90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2</w:t>
            </w:r>
          </w:p>
        </w:tc>
      </w:tr>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13</w:t>
            </w:r>
          </w:p>
        </w:tc>
        <w:tc>
          <w:tcPr>
            <w:tcW w:w="16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 w:val="24"/>
                <w:lang w:val="en-US" w:eastAsia="zh-CN"/>
              </w:rPr>
            </w:pPr>
            <w:r>
              <w:rPr>
                <w:rFonts w:hint="eastAsia" w:ascii="宋体" w:hAnsi="宋体" w:cs="宋体"/>
                <w:color w:val="auto"/>
                <w:kern w:val="0"/>
                <w:sz w:val="24"/>
                <w:lang w:bidi="ar"/>
              </w:rPr>
              <w:t>起跳</w:t>
            </w:r>
            <w:r>
              <w:rPr>
                <w:rFonts w:hint="eastAsia" w:ascii="宋体" w:hAnsi="宋体" w:cs="宋体"/>
                <w:color w:val="auto"/>
                <w:kern w:val="0"/>
                <w:sz w:val="24"/>
                <w:lang w:val="en-US" w:eastAsia="zh-CN" w:bidi="ar"/>
              </w:rPr>
              <w:t>板</w:t>
            </w:r>
          </w:p>
        </w:tc>
        <w:tc>
          <w:tcPr>
            <w:tcW w:w="94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1、1220×300×100㎜，起跳板为长方形，用优质材料拼接而成，木材经防水处理，不变形，防水淋，漆成白色。</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2.起跳板顶部铺一个长度为1220mm，宽度为100mm，厚度为2mm的橡皮泥显示板。</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★3.提供该产品专业检测机构检测的检测报告复印件加盖公章及厂家售后服务承诺函原件</w:t>
            </w:r>
          </w:p>
        </w:tc>
        <w:tc>
          <w:tcPr>
            <w:tcW w:w="9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块</w:t>
            </w:r>
          </w:p>
        </w:tc>
        <w:tc>
          <w:tcPr>
            <w:tcW w:w="90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4</w:t>
            </w:r>
          </w:p>
        </w:tc>
      </w:tr>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14</w:t>
            </w:r>
          </w:p>
        </w:tc>
        <w:tc>
          <w:tcPr>
            <w:tcW w:w="16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海绵垫</w:t>
            </w:r>
          </w:p>
        </w:tc>
        <w:tc>
          <w:tcPr>
            <w:tcW w:w="94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产品名称：材质：牛津布、高弹性压缩海绵规格：200cm*100cm*10cm（长*宽*高）</w:t>
            </w:r>
          </w:p>
        </w:tc>
        <w:tc>
          <w:tcPr>
            <w:tcW w:w="9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块</w:t>
            </w:r>
          </w:p>
        </w:tc>
        <w:tc>
          <w:tcPr>
            <w:tcW w:w="90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20</w:t>
            </w:r>
          </w:p>
        </w:tc>
      </w:tr>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15</w:t>
            </w:r>
          </w:p>
        </w:tc>
        <w:tc>
          <w:tcPr>
            <w:tcW w:w="16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信号旗</w:t>
            </w:r>
          </w:p>
        </w:tc>
        <w:tc>
          <w:tcPr>
            <w:tcW w:w="94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不锈钢杆长45cm直接1.9cm，旗面30*36cm，海绵柄长11cm，直径2.8cm，</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面</w:t>
            </w:r>
          </w:p>
        </w:tc>
        <w:tc>
          <w:tcPr>
            <w:tcW w:w="90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10</w:t>
            </w:r>
          </w:p>
        </w:tc>
      </w:tr>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16</w:t>
            </w:r>
          </w:p>
        </w:tc>
        <w:tc>
          <w:tcPr>
            <w:tcW w:w="16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篮球</w:t>
            </w:r>
          </w:p>
        </w:tc>
        <w:tc>
          <w:tcPr>
            <w:tcW w:w="94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规格：7号篮球；重量：567-650克圆周：749-780毫米球压标准：7-9磅皮革材质：PU皮革中胎材质：抗冲击10000次以上，比赛级中胎篮球构造：内胆，中胎，外皮革三层，适用场地：室内室外通用，篮球级别：比赛用球篮球</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只</w:t>
            </w:r>
          </w:p>
        </w:tc>
        <w:tc>
          <w:tcPr>
            <w:tcW w:w="90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50</w:t>
            </w:r>
          </w:p>
        </w:tc>
      </w:tr>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17</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篮球架</w:t>
            </w:r>
          </w:p>
        </w:tc>
        <w:tc>
          <w:tcPr>
            <w:tcW w:w="94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auto"/>
                <w:kern w:val="0"/>
                <w:sz w:val="24"/>
                <w:lang w:bidi="ar"/>
              </w:rPr>
            </w:pPr>
            <w:r>
              <w:rPr>
                <w:rFonts w:hint="eastAsia" w:ascii="宋体" w:hAnsi="宋体" w:cs="宋体"/>
                <w:color w:val="auto"/>
                <w:kern w:val="0"/>
                <w:sz w:val="24"/>
                <w:lang w:bidi="ar"/>
              </w:rPr>
              <w:t>1.篮球架伸臂1.2m，篮圈上沿离地面2.35m，</w:t>
            </w:r>
          </w:p>
          <w:p>
            <w:pPr>
              <w:widowControl/>
              <w:jc w:val="left"/>
              <w:textAlignment w:val="center"/>
              <w:rPr>
                <w:rFonts w:hint="eastAsia" w:ascii="宋体" w:hAnsi="宋体" w:cs="宋体"/>
                <w:color w:val="auto"/>
                <w:kern w:val="0"/>
                <w:sz w:val="24"/>
                <w:lang w:bidi="ar"/>
              </w:rPr>
            </w:pPr>
            <w:r>
              <w:rPr>
                <w:rFonts w:hint="eastAsia" w:ascii="宋体" w:hAnsi="宋体" w:cs="宋体"/>
                <w:color w:val="auto"/>
                <w:kern w:val="0"/>
                <w:sz w:val="24"/>
                <w:lang w:bidi="ar"/>
              </w:rPr>
              <w:t>2.篮架立柱采用大于等于114㎜圆管，在专用弯管机上一次弯管成型。</w:t>
            </w:r>
          </w:p>
          <w:p>
            <w:pPr>
              <w:widowControl/>
              <w:jc w:val="left"/>
              <w:textAlignment w:val="center"/>
              <w:rPr>
                <w:rFonts w:hint="eastAsia" w:ascii="宋体" w:hAnsi="宋体" w:cs="宋体"/>
                <w:color w:val="auto"/>
                <w:kern w:val="0"/>
                <w:sz w:val="24"/>
                <w:lang w:bidi="ar"/>
              </w:rPr>
            </w:pPr>
            <w:r>
              <w:rPr>
                <w:rFonts w:hint="eastAsia" w:ascii="宋体" w:hAnsi="宋体" w:cs="宋体"/>
                <w:color w:val="auto"/>
                <w:kern w:val="0"/>
                <w:sz w:val="24"/>
                <w:lang w:bidi="ar"/>
              </w:rPr>
              <w:t>3.篮板拉杆采用Φ大于等于42*3mm圆管在自动弯管机上一次折弯成型,</w:t>
            </w:r>
          </w:p>
          <w:p>
            <w:pPr>
              <w:widowControl/>
              <w:jc w:val="left"/>
              <w:textAlignment w:val="center"/>
              <w:rPr>
                <w:rFonts w:hint="eastAsia" w:ascii="宋体" w:hAnsi="宋体" w:cs="宋体"/>
                <w:color w:val="auto"/>
                <w:kern w:val="0"/>
                <w:sz w:val="24"/>
                <w:lang w:bidi="ar"/>
              </w:rPr>
            </w:pPr>
            <w:r>
              <w:rPr>
                <w:rFonts w:hint="eastAsia" w:ascii="宋体" w:hAnsi="宋体" w:cs="宋体"/>
                <w:color w:val="auto"/>
                <w:kern w:val="0"/>
                <w:sz w:val="24"/>
                <w:lang w:bidi="ar"/>
              </w:rPr>
              <w:t>4.安装更方便，通过调节拉杆，可调节篮圈与地面的平行度。</w:t>
            </w:r>
          </w:p>
          <w:p>
            <w:pPr>
              <w:widowControl/>
              <w:jc w:val="left"/>
              <w:textAlignment w:val="center"/>
              <w:rPr>
                <w:rFonts w:hint="eastAsia" w:ascii="宋体" w:hAnsi="宋体" w:cs="宋体"/>
                <w:color w:val="auto"/>
                <w:kern w:val="0"/>
                <w:sz w:val="24"/>
                <w:lang w:bidi="ar"/>
              </w:rPr>
            </w:pPr>
            <w:r>
              <w:rPr>
                <w:rFonts w:hint="eastAsia" w:ascii="宋体" w:hAnsi="宋体" w:cs="宋体"/>
                <w:color w:val="auto"/>
                <w:kern w:val="0"/>
                <w:sz w:val="24"/>
                <w:lang w:bidi="ar"/>
              </w:rPr>
              <w:t>5.篮板规格：1200mm×800mm，篮板采用SMC篮板，</w:t>
            </w:r>
          </w:p>
          <w:p>
            <w:pPr>
              <w:widowControl/>
              <w:jc w:val="left"/>
              <w:textAlignment w:val="center"/>
              <w:rPr>
                <w:rFonts w:hint="eastAsia" w:ascii="宋体" w:hAnsi="宋体" w:cs="宋体"/>
                <w:color w:val="auto"/>
                <w:kern w:val="0"/>
                <w:sz w:val="24"/>
                <w:lang w:bidi="ar"/>
              </w:rPr>
            </w:pPr>
            <w:r>
              <w:rPr>
                <w:rFonts w:hint="eastAsia" w:ascii="宋体" w:hAnsi="宋体" w:cs="宋体"/>
                <w:color w:val="auto"/>
                <w:kern w:val="0"/>
                <w:sz w:val="24"/>
                <w:lang w:bidi="ar"/>
              </w:rPr>
              <w:t>6.篮圈：篮圈采用Φ18mm实心圆钢制作，圈下焊有冲压成型的圆弧形网钩，十二段均匀分布，配带尼龙篮球网。篮圈抗弯性能好，水平固定在篮板上。螺丝采用达克罗螺丝，保证8年不生锈。</w:t>
            </w:r>
          </w:p>
          <w:p>
            <w:pPr>
              <w:widowControl/>
              <w:jc w:val="left"/>
              <w:textAlignment w:val="center"/>
              <w:rPr>
                <w:rFonts w:hint="eastAsia" w:ascii="宋体" w:hAnsi="宋体" w:cs="宋体"/>
                <w:color w:val="auto"/>
                <w:kern w:val="0"/>
                <w:sz w:val="24"/>
                <w:lang w:bidi="ar"/>
              </w:rPr>
            </w:pPr>
            <w:r>
              <w:rPr>
                <w:rFonts w:hint="eastAsia" w:ascii="宋体" w:hAnsi="宋体" w:cs="宋体"/>
                <w:color w:val="auto"/>
                <w:kern w:val="0"/>
                <w:sz w:val="24"/>
                <w:lang w:bidi="ar"/>
              </w:rPr>
              <w:t>7.表面处理:所有钢制件表面均经抛丸除锈处理后在自动喷涂流水线上采用静电环氧基粉末喷涂完成最后表面处理,涂层厚度70-80um,铅笔硬度达3H+,试品经GB1771-91,36小时盐雾实验,涂膜无变化,划格处单面腐蚀&lt;2mm,产品具有耐酸碱、耐湿热、抗老化、外观美观等优点。</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副</w:t>
            </w:r>
          </w:p>
        </w:tc>
        <w:tc>
          <w:tcPr>
            <w:tcW w:w="90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2</w:t>
            </w:r>
          </w:p>
        </w:tc>
      </w:tr>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18</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篮球记录牌</w:t>
            </w:r>
          </w:p>
        </w:tc>
        <w:tc>
          <w:tcPr>
            <w:tcW w:w="94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六位记分牌，桌面台式</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套</w:t>
            </w:r>
          </w:p>
        </w:tc>
        <w:tc>
          <w:tcPr>
            <w:tcW w:w="90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2</w:t>
            </w:r>
          </w:p>
        </w:tc>
      </w:tr>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19</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排球</w:t>
            </w:r>
          </w:p>
        </w:tc>
        <w:tc>
          <w:tcPr>
            <w:tcW w:w="94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1、圆周长650~670mm（中间值660mm±6mm）、质量230G~270G。圆周差均需≤4.0mm。</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球体表面选用优质PU材料，厚度不低于1.4mm。内胆绕线包胶成为一体，绕线应采用一根尼龙绳和两根腈纶线和绕，不能用棉纱线，重量不低于35g，含胶量不低于35%。中胎橡胶材料制成，对内胆和表皮之间成支撑结构</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 xml:space="preserve">3、充气气压为0.034mPa，充气后成为停放36H后，气压下降率≤15%。                   </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只</w:t>
            </w:r>
          </w:p>
        </w:tc>
        <w:tc>
          <w:tcPr>
            <w:tcW w:w="90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30</w:t>
            </w:r>
          </w:p>
        </w:tc>
      </w:tr>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20</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软式排球</w:t>
            </w:r>
          </w:p>
        </w:tc>
        <w:tc>
          <w:tcPr>
            <w:tcW w:w="94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橙色，5号，软式排球，发泡材质</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只</w:t>
            </w:r>
          </w:p>
        </w:tc>
        <w:tc>
          <w:tcPr>
            <w:tcW w:w="90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30</w:t>
            </w:r>
          </w:p>
        </w:tc>
      </w:tr>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21</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排球架</w:t>
            </w:r>
          </w:p>
        </w:tc>
        <w:tc>
          <w:tcPr>
            <w:tcW w:w="94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auto"/>
                <w:kern w:val="0"/>
                <w:sz w:val="24"/>
                <w:lang w:bidi="ar"/>
              </w:rPr>
            </w:pPr>
            <w:r>
              <w:rPr>
                <w:rFonts w:hint="eastAsia" w:ascii="宋体" w:hAnsi="宋体" w:cs="宋体"/>
                <w:color w:val="auto"/>
                <w:kern w:val="0"/>
                <w:sz w:val="24"/>
                <w:lang w:bidi="ar"/>
              </w:rPr>
              <w:t>1、移动式，高度调节范围2240-2430MM；零部件全部采用优质金属结构件；排球柱立柱外管直径为89*2.75MM，内管直径为76*2.5MM，支架顶部加一滑动滚轮，缓冲拉绳与支架间的摩擦，同时更好的操控球网的长度和高度。配有电镀铸铁轮，金属紧线器，带卡轮，金属摇把，轻轻摇动即可拉紧绳网，不会松动。内侧对称配有相应高度的球网挂钩，用来固定排球网。</w:t>
            </w:r>
          </w:p>
          <w:p>
            <w:pPr>
              <w:widowControl/>
              <w:jc w:val="left"/>
              <w:textAlignment w:val="center"/>
              <w:rPr>
                <w:rFonts w:hint="eastAsia" w:ascii="宋体" w:hAnsi="宋体" w:cs="宋体"/>
                <w:color w:val="auto"/>
                <w:kern w:val="0"/>
                <w:sz w:val="24"/>
                <w:lang w:bidi="ar"/>
              </w:rPr>
            </w:pPr>
            <w:r>
              <w:rPr>
                <w:rFonts w:hint="eastAsia" w:ascii="宋体" w:hAnsi="宋体" w:cs="宋体"/>
                <w:color w:val="auto"/>
                <w:kern w:val="0"/>
                <w:sz w:val="24"/>
                <w:lang w:bidi="ar"/>
              </w:rPr>
              <w:t>2、排球柱升降灵活、底盘稳固，有配重箱、箱体上有小车轮，移动灵活。配重箱外形尺寸：700*400*280MM；箱体盖板厚度≥3MM，箱体铁板厚≥1.8MM。</w:t>
            </w:r>
          </w:p>
          <w:p>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3、金属外表面均经酸洗、脱脂、磷化等初步处理后再打沙处理，并采用室外专用优质烤漆粉末，应有抗氧化、抗紫外线能力，不褪色、附着力强、光泽度高、不含毒素，能适应潮湿和酸雨环境，长期使用不会出现脱落、锈蚀等现象。整体结构稳固，安全性好。</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副</w:t>
            </w:r>
          </w:p>
        </w:tc>
        <w:tc>
          <w:tcPr>
            <w:tcW w:w="90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2</w:t>
            </w:r>
          </w:p>
        </w:tc>
      </w:tr>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22</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排球网</w:t>
            </w:r>
          </w:p>
        </w:tc>
        <w:tc>
          <w:tcPr>
            <w:tcW w:w="94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长9500-10000mm宽1000±25mm，尼龙编制绳网，穿钢丝绳</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副</w:t>
            </w:r>
          </w:p>
        </w:tc>
        <w:tc>
          <w:tcPr>
            <w:tcW w:w="90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4</w:t>
            </w:r>
          </w:p>
        </w:tc>
      </w:tr>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23</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标志杆</w:t>
            </w:r>
          </w:p>
        </w:tc>
        <w:tc>
          <w:tcPr>
            <w:tcW w:w="94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排球标志杆</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根</w:t>
            </w:r>
          </w:p>
        </w:tc>
        <w:tc>
          <w:tcPr>
            <w:tcW w:w="90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12</w:t>
            </w:r>
          </w:p>
        </w:tc>
      </w:tr>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24</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足球</w:t>
            </w:r>
          </w:p>
        </w:tc>
        <w:tc>
          <w:tcPr>
            <w:tcW w:w="94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3号PU球，圆周长535mm～560mm；质量270g～320g</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只</w:t>
            </w:r>
          </w:p>
        </w:tc>
        <w:tc>
          <w:tcPr>
            <w:tcW w:w="90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30</w:t>
            </w:r>
          </w:p>
        </w:tc>
      </w:tr>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25</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气筒</w:t>
            </w:r>
          </w:p>
        </w:tc>
        <w:tc>
          <w:tcPr>
            <w:tcW w:w="94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带储气罐/人工充气,适合给各种球类充气</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个</w:t>
            </w:r>
          </w:p>
        </w:tc>
        <w:tc>
          <w:tcPr>
            <w:tcW w:w="90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5</w:t>
            </w:r>
          </w:p>
        </w:tc>
      </w:tr>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26</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气泵</w:t>
            </w:r>
          </w:p>
        </w:tc>
        <w:tc>
          <w:tcPr>
            <w:tcW w:w="94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用于篮球、排球、足球充气</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台</w:t>
            </w:r>
          </w:p>
        </w:tc>
        <w:tc>
          <w:tcPr>
            <w:tcW w:w="90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2</w:t>
            </w:r>
          </w:p>
        </w:tc>
      </w:tr>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27</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乒兵球拍</w:t>
            </w:r>
          </w:p>
        </w:tc>
        <w:tc>
          <w:tcPr>
            <w:tcW w:w="94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用来击球的拍面应用一层齿粒向外的胶粒片覆盖，连同粘合剂，厚度应不超过2mm，或者用齿粒向内或向外的海绵胶粒片覆盖，连同粘合剂，厚度应不超过4mm。底板与胶粒片或海绵胶粒片的粘接结合力应≥4N</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只</w:t>
            </w:r>
          </w:p>
        </w:tc>
        <w:tc>
          <w:tcPr>
            <w:tcW w:w="90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30</w:t>
            </w:r>
          </w:p>
        </w:tc>
      </w:tr>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28</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乒乓球计分牌</w:t>
            </w:r>
          </w:p>
        </w:tc>
        <w:tc>
          <w:tcPr>
            <w:tcW w:w="94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折叠尺寸约38.8*21*3.5cm,比分牌0-31分（11*13cm），局分0-5（5*8cm）</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副</w:t>
            </w:r>
          </w:p>
        </w:tc>
        <w:tc>
          <w:tcPr>
            <w:tcW w:w="90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5</w:t>
            </w:r>
          </w:p>
        </w:tc>
      </w:tr>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29</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乒乓球</w:t>
            </w:r>
          </w:p>
        </w:tc>
        <w:tc>
          <w:tcPr>
            <w:tcW w:w="94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球重：2.20g -2.60g。园度：0.4mm，直径：43.4mm-44.4mm。弹跳：220mm-250mm以上。；硬度：两顶受压下陷差距不大于0.35mm；牢度：受冲击700次以上不破</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只</w:t>
            </w:r>
          </w:p>
        </w:tc>
        <w:tc>
          <w:tcPr>
            <w:tcW w:w="90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100</w:t>
            </w:r>
          </w:p>
        </w:tc>
      </w:tr>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30</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羽毛球拍</w:t>
            </w:r>
          </w:p>
        </w:tc>
        <w:tc>
          <w:tcPr>
            <w:tcW w:w="94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1、铁分体，尼龙球网；</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2、长度≤655mm，球拍上宽度≤205mm，球拍弦面长度≤245mm；</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3、整体重量：95-120g；</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4、拍弦直径：0.9mm；</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5、手柄长155mm，握柄直径25mm</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6、拍身表面光滑，拍上贴标签，印刷图案应文字清楚，粘贴平整。</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副</w:t>
            </w:r>
          </w:p>
        </w:tc>
        <w:tc>
          <w:tcPr>
            <w:tcW w:w="90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30</w:t>
            </w:r>
          </w:p>
        </w:tc>
      </w:tr>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31</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羽毛球</w:t>
            </w:r>
          </w:p>
        </w:tc>
        <w:tc>
          <w:tcPr>
            <w:tcW w:w="94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球口外径65mm～68mm，球头直径25mm～27mm，球头高度24mm～26mm，毛片插长63mm～64mm，质量4.50g～5.80g，毛片数量16片</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个</w:t>
            </w:r>
          </w:p>
        </w:tc>
        <w:tc>
          <w:tcPr>
            <w:tcW w:w="90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150</w:t>
            </w:r>
          </w:p>
        </w:tc>
      </w:tr>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32</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球类推车</w:t>
            </w:r>
          </w:p>
        </w:tc>
        <w:tc>
          <w:tcPr>
            <w:tcW w:w="94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可装30个球，约75*85*90cm 2*2cm不锈钢方管，可折叠，带轮可移动。四角为圆角，，用于装篮球、排球、足球等球类物品，球车四角为圆角。</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辆</w:t>
            </w:r>
          </w:p>
        </w:tc>
        <w:tc>
          <w:tcPr>
            <w:tcW w:w="90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4</w:t>
            </w:r>
          </w:p>
        </w:tc>
      </w:tr>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33</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体操棒</w:t>
            </w:r>
          </w:p>
        </w:tc>
        <w:tc>
          <w:tcPr>
            <w:tcW w:w="94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1、材质：优质塑料2.长度为900mm，直径直径Φ30mmmm，光滑空心圆管，两端堵口与棒身一体连接，无毛刺。</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根</w:t>
            </w:r>
          </w:p>
        </w:tc>
        <w:tc>
          <w:tcPr>
            <w:tcW w:w="90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120</w:t>
            </w:r>
          </w:p>
        </w:tc>
      </w:tr>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34</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体操凳</w:t>
            </w:r>
          </w:p>
        </w:tc>
        <w:tc>
          <w:tcPr>
            <w:tcW w:w="94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长2m,宽：200mm，高300mm，板厚：大于等于30mm放置稳固，凳面为木质凳腿为铁制，表面平整，棱角光滑，无毛刺、缺损、木疥。外观颜色鲜艳醒目</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★提供该产品专业检测机构检测的抽样检测报告复印件加盖公章及厂家售后服务承诺函原件</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张</w:t>
            </w:r>
          </w:p>
        </w:tc>
        <w:tc>
          <w:tcPr>
            <w:tcW w:w="90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10</w:t>
            </w:r>
          </w:p>
        </w:tc>
      </w:tr>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35</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小哑铃</w:t>
            </w:r>
          </w:p>
        </w:tc>
        <w:tc>
          <w:tcPr>
            <w:tcW w:w="94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1．浸塑，优质，内有铸铁芯。2．外观浸塑处理，色泽鲜艳。3．单只重量2kg</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副</w:t>
            </w:r>
          </w:p>
        </w:tc>
        <w:tc>
          <w:tcPr>
            <w:tcW w:w="90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30</w:t>
            </w:r>
          </w:p>
        </w:tc>
      </w:tr>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36</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短跳绳</w:t>
            </w:r>
          </w:p>
        </w:tc>
        <w:tc>
          <w:tcPr>
            <w:tcW w:w="94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直径约4.6mm</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根</w:t>
            </w:r>
          </w:p>
        </w:tc>
        <w:tc>
          <w:tcPr>
            <w:tcW w:w="90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60</w:t>
            </w:r>
          </w:p>
        </w:tc>
      </w:tr>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37</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长跳绳</w:t>
            </w:r>
          </w:p>
        </w:tc>
        <w:tc>
          <w:tcPr>
            <w:tcW w:w="94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直径约7mm，长度4.5—5m</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根</w:t>
            </w:r>
          </w:p>
        </w:tc>
        <w:tc>
          <w:tcPr>
            <w:tcW w:w="90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30</w:t>
            </w:r>
          </w:p>
        </w:tc>
      </w:tr>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38</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拔河绳</w:t>
            </w:r>
          </w:p>
        </w:tc>
        <w:tc>
          <w:tcPr>
            <w:tcW w:w="94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1．拔河绳应用麻绳多股绞合而成；2．绳长25m，直径Φ≥35mm；绳的抗拉力≥490KN。3．绳的两端结孔，中间套以红色标记，绳的质地无霉变、腐朽、虫咬等缺陷。</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根</w:t>
            </w:r>
          </w:p>
        </w:tc>
        <w:tc>
          <w:tcPr>
            <w:tcW w:w="90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8</w:t>
            </w:r>
          </w:p>
        </w:tc>
      </w:tr>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39</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小体操垫</w:t>
            </w:r>
          </w:p>
        </w:tc>
        <w:tc>
          <w:tcPr>
            <w:tcW w:w="94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1．小体操垫规格为1200×600×50mm。2．内胆材质为聚氨脂塑料发泡材料，为两个整块结构，不允许拼湊；采用环保材料，压缩强度≥100KPa，吸水率≤6.0%。3．垫套材质为4×4精细帆布，颜色为军绿色，为防水帆布。</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块</w:t>
            </w:r>
          </w:p>
        </w:tc>
        <w:tc>
          <w:tcPr>
            <w:tcW w:w="90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60</w:t>
            </w:r>
          </w:p>
        </w:tc>
      </w:tr>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40</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大体操垫</w:t>
            </w:r>
          </w:p>
        </w:tc>
        <w:tc>
          <w:tcPr>
            <w:tcW w:w="94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产品名称：高端海绵垫、体操垫材质：牛津布、高弹性压缩海绵规格：200cm*100cm*10cm（长*宽*高）</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块</w:t>
            </w:r>
          </w:p>
        </w:tc>
        <w:tc>
          <w:tcPr>
            <w:tcW w:w="90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20</w:t>
            </w:r>
          </w:p>
        </w:tc>
      </w:tr>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41</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彩带</w:t>
            </w:r>
          </w:p>
        </w:tc>
        <w:tc>
          <w:tcPr>
            <w:tcW w:w="94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1．产品材质为彩色柔软纱布裁制而成。2．产品基本尺寸：长6000mm，宽50mm。3．在彩带的一端加厚一层纱布，长度为300，并在端头加厚的地方穿一直径为5mm的通孔，用一圆铁圈固定。4．彩带周边用细线锁位，以防滑脱。5．彩带应带一根玻璃钢把手，带一小弹簧与纱布连接。</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条</w:t>
            </w:r>
          </w:p>
        </w:tc>
        <w:tc>
          <w:tcPr>
            <w:tcW w:w="90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50</w:t>
            </w:r>
          </w:p>
        </w:tc>
      </w:tr>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42</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呼啦圈</w:t>
            </w:r>
          </w:p>
        </w:tc>
        <w:tc>
          <w:tcPr>
            <w:tcW w:w="94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φ800mm，使用新型环保无毒材料；</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个</w:t>
            </w:r>
          </w:p>
        </w:tc>
        <w:tc>
          <w:tcPr>
            <w:tcW w:w="90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48</w:t>
            </w:r>
          </w:p>
        </w:tc>
      </w:tr>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43</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毽子</w:t>
            </w:r>
          </w:p>
        </w:tc>
        <w:tc>
          <w:tcPr>
            <w:tcW w:w="94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键毛应采用8支～10支彩色鸡羽，扎成圆形，毽垫直径30mm～32mm，厚度3mm～4mm，球高130mm～180mm，球重13g～15g</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个</w:t>
            </w:r>
          </w:p>
        </w:tc>
        <w:tc>
          <w:tcPr>
            <w:tcW w:w="90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60</w:t>
            </w:r>
          </w:p>
        </w:tc>
      </w:tr>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44</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飞盘</w:t>
            </w:r>
          </w:p>
        </w:tc>
        <w:tc>
          <w:tcPr>
            <w:tcW w:w="94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产品名称：软飞盘；材质：聚氨酯；重量：约90g，产品特性：可折叠、耐摔、耐磨；产品直径：约20CM；</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只</w:t>
            </w:r>
          </w:p>
        </w:tc>
        <w:tc>
          <w:tcPr>
            <w:tcW w:w="90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60</w:t>
            </w:r>
          </w:p>
        </w:tc>
      </w:tr>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45</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小型足球门</w:t>
            </w:r>
          </w:p>
        </w:tc>
        <w:tc>
          <w:tcPr>
            <w:tcW w:w="94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、移动式。门宽3000mm，门高为2000mm。2、门柱和门围均采用90mm*2.5mm钢管焊接。3、球门为白色，，表面色泽一致。4.割角焊接 ，接触地面部分采用4*6方管，后面梯形采用42折弯成型，厚度2.5mm。5、各配件焊接牢固，钢件部分均经酸洗、磷化、采用室外专用优质烤漆粉末，表面无漏喷、脱漆及划痕；无漏焊、虚焊、包渣、裂纹；表面平整、无毛刺,能适应潮湿和酸雨环境，长久使用不会出现脱落、锈蚀等现象。</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副</w:t>
            </w:r>
          </w:p>
        </w:tc>
        <w:tc>
          <w:tcPr>
            <w:tcW w:w="90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2</w:t>
            </w:r>
          </w:p>
        </w:tc>
      </w:tr>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46</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足球网</w:t>
            </w:r>
          </w:p>
        </w:tc>
        <w:tc>
          <w:tcPr>
            <w:tcW w:w="94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5人制</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副</w:t>
            </w:r>
          </w:p>
        </w:tc>
        <w:tc>
          <w:tcPr>
            <w:tcW w:w="90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2</w:t>
            </w:r>
          </w:p>
        </w:tc>
      </w:tr>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47</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室外乒乓球台</w:t>
            </w:r>
          </w:p>
        </w:tc>
        <w:tc>
          <w:tcPr>
            <w:tcW w:w="94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1、台面尺寸规格：≥2740mm×1525mm,台高≥760mm，配置铁制球网高150mm，长1530mm，符合标准要求。</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2、球台台面采用SMC材料，整体高温模压一次成型，球台台面四角为R型弧角，不能为直角，能有效防止运动员在使用中受到尖锐碰击。</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3、台面翻边高度48mm, 翻边厚度5mm；主加强筋高度25mm，厚度4mm。背面小方格内有对角加强筋，高3mm，宽5mm；台面与彩虹支腿连接处台面背面采用“井”字形用20×30mm的方管加固框连接。</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4、台面能承受500N静载荷要求和冲击球冲击要求，稳定性好，耐气候性强、耐老化程度高，防腐、防晒、防雨、阻燃、不易变形等，保证在户外使用8年内不变形、不开裂、不损坏。</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5、底架采用彩虹腿设计结构，大于等于Φ60mm优质钢管，保证整体的稳定性；台腿外边距两端台边280mm，任何撑档离地大于230mm，保证使用者的运动安全。</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6、球台网及网架防锈、防松、防损坏；焊接严密牢固、无漏焊、虚焊、包渣、裂纹等缺陷。</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7、器材不允许有钩挂、卡夹等潜在危险，表面处理采用抛光工艺，除锈彻底，增大工件表面面积，增强塑粉附着力，外表面环保静电粉末。</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★8、提供该产品专业检测机构检测的抽样检测报告复印件加盖厂家公章及厂家售后服务承诺函原件</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张</w:t>
            </w:r>
          </w:p>
        </w:tc>
        <w:tc>
          <w:tcPr>
            <w:tcW w:w="90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5</w:t>
            </w:r>
          </w:p>
        </w:tc>
      </w:tr>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48</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室内乒乓球台</w:t>
            </w:r>
          </w:p>
        </w:tc>
        <w:tc>
          <w:tcPr>
            <w:tcW w:w="94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室内专用，台面:2740*1525mm.台高: 760mm ，标配配顶丝球网（标准通用）球台腿采用大于等于50*50mm方管外脚，台脚装脚轮.边框50*25mm，台面采用高密度纤维板厚度20mm.轮子直径100mm</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张</w:t>
            </w:r>
          </w:p>
        </w:tc>
        <w:tc>
          <w:tcPr>
            <w:tcW w:w="90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w:t>
            </w:r>
          </w:p>
        </w:tc>
      </w:tr>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49</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跳箱</w:t>
            </w:r>
          </w:p>
        </w:tc>
        <w:tc>
          <w:tcPr>
            <w:tcW w:w="94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五级</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只</w:t>
            </w:r>
          </w:p>
        </w:tc>
        <w:tc>
          <w:tcPr>
            <w:tcW w:w="90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3</w:t>
            </w:r>
          </w:p>
        </w:tc>
      </w:tr>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50</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助跳板</w:t>
            </w:r>
          </w:p>
        </w:tc>
        <w:tc>
          <w:tcPr>
            <w:tcW w:w="94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S型弹簧助跳板</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只</w:t>
            </w:r>
          </w:p>
        </w:tc>
        <w:tc>
          <w:tcPr>
            <w:tcW w:w="90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4</w:t>
            </w:r>
          </w:p>
        </w:tc>
      </w:tr>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51</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山羊</w:t>
            </w:r>
          </w:p>
        </w:tc>
        <w:tc>
          <w:tcPr>
            <w:tcW w:w="94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中号</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只</w:t>
            </w:r>
          </w:p>
        </w:tc>
        <w:tc>
          <w:tcPr>
            <w:tcW w:w="90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4</w:t>
            </w:r>
          </w:p>
        </w:tc>
      </w:tr>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52</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器材架</w:t>
            </w:r>
          </w:p>
        </w:tc>
        <w:tc>
          <w:tcPr>
            <w:tcW w:w="94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规格：约200*60*200，立柱为：大于等于40*80*0.6mmC 型钢冲孔为：蝴蝶孔横梁为大于等于40*80*0.5mP 型钢。板大于等于0.3mm 四层</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付</w:t>
            </w:r>
          </w:p>
        </w:tc>
        <w:tc>
          <w:tcPr>
            <w:tcW w:w="90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6</w:t>
            </w:r>
          </w:p>
        </w:tc>
      </w:tr>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53</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羽毛球架</w:t>
            </w:r>
          </w:p>
        </w:tc>
        <w:tc>
          <w:tcPr>
            <w:tcW w:w="94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auto"/>
                <w:kern w:val="0"/>
                <w:sz w:val="24"/>
                <w:lang w:bidi="ar"/>
              </w:rPr>
            </w:pPr>
            <w:r>
              <w:rPr>
                <w:rFonts w:hint="eastAsia" w:ascii="宋体" w:hAnsi="宋体" w:cs="宋体"/>
                <w:color w:val="auto"/>
                <w:kern w:val="0"/>
                <w:sz w:val="24"/>
                <w:lang w:bidi="ar"/>
              </w:rPr>
              <w:t>1．移动式。石子配重大于等于90KG，底部配有滚轮，移动静音，使用方便，室内室外通用。</w:t>
            </w:r>
          </w:p>
          <w:p>
            <w:pPr>
              <w:widowControl/>
              <w:jc w:val="left"/>
              <w:textAlignment w:val="center"/>
              <w:rPr>
                <w:rFonts w:hint="eastAsia" w:ascii="宋体" w:hAnsi="宋体" w:cs="宋体"/>
                <w:color w:val="auto"/>
                <w:kern w:val="0"/>
                <w:sz w:val="24"/>
                <w:lang w:bidi="ar"/>
              </w:rPr>
            </w:pPr>
            <w:r>
              <w:rPr>
                <w:rFonts w:hint="eastAsia" w:ascii="宋体" w:hAnsi="宋体" w:cs="宋体"/>
                <w:color w:val="auto"/>
                <w:kern w:val="0"/>
                <w:sz w:val="24"/>
                <w:lang w:bidi="ar"/>
              </w:rPr>
              <w:t>2.柱高1550MM，使用大于等于￠42钢管，壁厚大于等于2.5MM,支架顶部加一滑动滚轮，缓冲拉绳与支架间的摩擦，同时更好的操控球网的长度和高度。配有电镀铸铁轮，金属紧线器，带卡轮，金属摇把，轻轻摇动即可拉紧绳网，不会松动。内侧对称配有相应高度的球网挂钩，用来固定羽毛球网。</w:t>
            </w:r>
          </w:p>
          <w:p>
            <w:pPr>
              <w:widowControl/>
              <w:jc w:val="left"/>
              <w:textAlignment w:val="center"/>
              <w:rPr>
                <w:rFonts w:hint="eastAsia" w:ascii="宋体" w:hAnsi="宋体" w:cs="宋体"/>
                <w:color w:val="auto"/>
                <w:kern w:val="0"/>
                <w:sz w:val="24"/>
                <w:lang w:bidi="ar"/>
              </w:rPr>
            </w:pPr>
            <w:r>
              <w:rPr>
                <w:rFonts w:hint="eastAsia" w:ascii="宋体" w:hAnsi="宋体" w:cs="宋体"/>
                <w:color w:val="auto"/>
                <w:kern w:val="0"/>
                <w:sz w:val="24"/>
                <w:lang w:bidi="ar"/>
              </w:rPr>
              <w:t>3．外表面采用静电粉末喷塑工艺，涂饰层附着力应达到一级，硬度达到2H、有一定的耐冲击性能，表面无皱纹、无漏喷、起泡、脱皮及明显的划痕等缺陷。喷涂前必须采取除锈处理，以确保涂层在户外长期使用。产品涂料配方不应含有毒元素。</w:t>
            </w:r>
          </w:p>
          <w:p>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4.各部件焊接应严密牢固，不应有漏焊、虚焊、裂纹等缺陷。</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付</w:t>
            </w:r>
          </w:p>
        </w:tc>
        <w:tc>
          <w:tcPr>
            <w:tcW w:w="90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2</w:t>
            </w:r>
          </w:p>
        </w:tc>
      </w:tr>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54</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身高体重测试仪</w:t>
            </w:r>
          </w:p>
        </w:tc>
        <w:tc>
          <w:tcPr>
            <w:tcW w:w="94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auto"/>
                <w:kern w:val="0"/>
                <w:sz w:val="24"/>
                <w:lang w:bidi="ar"/>
              </w:rPr>
            </w:pPr>
            <w:r>
              <w:rPr>
                <w:rFonts w:hint="eastAsia" w:ascii="宋体" w:hAnsi="宋体" w:cs="宋体"/>
                <w:color w:val="auto"/>
                <w:kern w:val="0"/>
                <w:sz w:val="24"/>
                <w:lang w:bidi="ar"/>
              </w:rPr>
              <w:t>主机功能：</w:t>
            </w:r>
          </w:p>
          <w:p>
            <w:pPr>
              <w:widowControl/>
              <w:jc w:val="left"/>
              <w:textAlignment w:val="center"/>
              <w:rPr>
                <w:rFonts w:hint="eastAsia" w:ascii="宋体" w:hAnsi="宋体" w:cs="宋体"/>
                <w:color w:val="auto"/>
                <w:kern w:val="0"/>
                <w:sz w:val="24"/>
                <w:lang w:bidi="ar"/>
              </w:rPr>
            </w:pPr>
            <w:r>
              <w:rPr>
                <w:rFonts w:hint="eastAsia" w:ascii="宋体" w:hAnsi="宋体" w:cs="宋体"/>
                <w:color w:val="auto"/>
                <w:kern w:val="0"/>
                <w:sz w:val="24"/>
                <w:lang w:bidi="ar"/>
              </w:rPr>
              <w:t>1、采用大于等于7英寸真彩LCD液晶屏，触摸按键。</w:t>
            </w:r>
          </w:p>
          <w:p>
            <w:pPr>
              <w:widowControl/>
              <w:jc w:val="left"/>
              <w:textAlignment w:val="center"/>
              <w:rPr>
                <w:rFonts w:hint="eastAsia" w:ascii="宋体" w:hAnsi="宋体" w:cs="宋体"/>
                <w:color w:val="auto"/>
                <w:kern w:val="0"/>
                <w:sz w:val="24"/>
                <w:lang w:bidi="ar"/>
              </w:rPr>
            </w:pPr>
            <w:r>
              <w:rPr>
                <w:rFonts w:hint="eastAsia" w:ascii="宋体" w:hAnsi="宋体" w:cs="宋体"/>
                <w:color w:val="auto"/>
                <w:kern w:val="0"/>
                <w:sz w:val="24"/>
                <w:lang w:bidi="ar"/>
              </w:rPr>
              <w:t>2、采用四核处理器，≥1G DDR3内存，≥8G NAND Flash，高性能，低功耗</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3、可实时显示测试者的姓名、学号、照片等各种基本信息和测试结果。</w:t>
            </w:r>
          </w:p>
          <w:p>
            <w:pPr>
              <w:widowControl/>
              <w:jc w:val="left"/>
              <w:textAlignment w:val="center"/>
              <w:rPr>
                <w:rFonts w:hint="eastAsia" w:ascii="宋体" w:hAnsi="宋体" w:cs="宋体"/>
                <w:color w:val="auto"/>
                <w:kern w:val="0"/>
                <w:sz w:val="24"/>
                <w:lang w:bidi="ar"/>
              </w:rPr>
            </w:pPr>
            <w:r>
              <w:rPr>
                <w:rFonts w:hint="eastAsia" w:ascii="宋体" w:hAnsi="宋体" w:cs="宋体"/>
                <w:color w:val="auto"/>
                <w:kern w:val="0"/>
                <w:sz w:val="24"/>
                <w:lang w:bidi="ar"/>
              </w:rPr>
              <w:t>4、支持HDMI全高清接口，可双屏同步显示测试过程和结果，以方便学生实时查看测试过程的相关测试数据。</w:t>
            </w:r>
          </w:p>
          <w:p>
            <w:pPr>
              <w:widowControl/>
              <w:jc w:val="left"/>
              <w:textAlignment w:val="center"/>
              <w:rPr>
                <w:rFonts w:hint="eastAsia" w:ascii="宋体" w:hAnsi="宋体" w:cs="宋体"/>
                <w:color w:val="auto"/>
                <w:kern w:val="0"/>
                <w:sz w:val="24"/>
                <w:lang w:bidi="ar"/>
              </w:rPr>
            </w:pPr>
            <w:r>
              <w:rPr>
                <w:rFonts w:hint="eastAsia" w:ascii="宋体" w:hAnsi="宋体" w:cs="宋体"/>
                <w:color w:val="auto"/>
                <w:kern w:val="0"/>
                <w:sz w:val="24"/>
                <w:lang w:bidi="ar"/>
              </w:rPr>
              <w:t>5、采用安卓系统，图形化的操作界面，系统稳定，人机交互性强；同时USB接口可插接普通的键盘和鼠标。</w:t>
            </w:r>
          </w:p>
          <w:p>
            <w:pPr>
              <w:widowControl/>
              <w:jc w:val="left"/>
              <w:textAlignment w:val="center"/>
              <w:rPr>
                <w:rFonts w:hint="eastAsia" w:ascii="宋体" w:hAnsi="宋体" w:cs="宋体"/>
                <w:color w:val="auto"/>
                <w:kern w:val="0"/>
                <w:sz w:val="24"/>
                <w:lang w:bidi="ar"/>
              </w:rPr>
            </w:pPr>
            <w:r>
              <w:rPr>
                <w:rFonts w:hint="eastAsia" w:ascii="宋体" w:hAnsi="宋体" w:cs="宋体"/>
                <w:color w:val="auto"/>
                <w:kern w:val="0"/>
                <w:sz w:val="24"/>
                <w:lang w:bidi="ar"/>
              </w:rPr>
              <w:t xml:space="preserve">6、采用语音合成技术，具有全程真人发声的语音提示功能；既可使用装置自带的喇叭，也可外接有源音箱。 </w:t>
            </w:r>
          </w:p>
          <w:p>
            <w:pPr>
              <w:widowControl/>
              <w:jc w:val="left"/>
              <w:textAlignment w:val="center"/>
              <w:rPr>
                <w:rFonts w:hint="eastAsia" w:ascii="宋体" w:hAnsi="宋体" w:cs="宋体"/>
                <w:color w:val="auto"/>
                <w:kern w:val="0"/>
                <w:sz w:val="24"/>
                <w:lang w:bidi="ar"/>
              </w:rPr>
            </w:pPr>
            <w:r>
              <w:rPr>
                <w:rFonts w:hint="eastAsia" w:ascii="宋体" w:hAnsi="宋体" w:cs="宋体"/>
                <w:color w:val="auto"/>
                <w:kern w:val="0"/>
                <w:sz w:val="24"/>
                <w:lang w:bidi="ar"/>
              </w:rPr>
              <w:t>7、支持手工输入、提前批量导入学号、IC卡、二维码等多种身份识别方式。</w:t>
            </w:r>
          </w:p>
          <w:p>
            <w:pPr>
              <w:widowControl/>
              <w:jc w:val="left"/>
              <w:textAlignment w:val="center"/>
              <w:rPr>
                <w:rFonts w:hint="eastAsia" w:ascii="宋体" w:hAnsi="宋体" w:cs="宋体"/>
                <w:color w:val="auto"/>
                <w:kern w:val="0"/>
                <w:sz w:val="24"/>
                <w:lang w:bidi="ar"/>
              </w:rPr>
            </w:pPr>
            <w:r>
              <w:rPr>
                <w:rFonts w:hint="eastAsia" w:ascii="宋体" w:hAnsi="宋体" w:cs="宋体"/>
                <w:color w:val="auto"/>
                <w:kern w:val="0"/>
                <w:sz w:val="24"/>
                <w:lang w:bidi="ar"/>
              </w:rPr>
              <w:t>8、可选配微型打印机，每台仪器测试完成后，可实时打印该学生当前项目的测试成绩条。</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 xml:space="preserve"> 9、可选配有实时评分功能，可根据预设的评分标准，对应年级和性别信息，评定正常得分、等级、附加分；同时单台仪器具有统计功能，可实时统计当前仪器内所有学生优秀、良好、及格、不及格各等级所占比例，并以相应饼状图展示；</w:t>
            </w:r>
          </w:p>
          <w:p>
            <w:pPr>
              <w:widowControl/>
              <w:jc w:val="left"/>
              <w:textAlignment w:val="center"/>
              <w:rPr>
                <w:rFonts w:hint="eastAsia" w:ascii="宋体" w:hAnsi="宋体" w:cs="宋体"/>
                <w:color w:val="auto"/>
                <w:kern w:val="0"/>
                <w:sz w:val="24"/>
                <w:lang w:bidi="ar"/>
              </w:rPr>
            </w:pPr>
            <w:r>
              <w:rPr>
                <w:rFonts w:hint="eastAsia" w:ascii="宋体" w:hAnsi="宋体" w:cs="宋体"/>
                <w:color w:val="auto"/>
                <w:kern w:val="0"/>
                <w:sz w:val="24"/>
                <w:lang w:bidi="ar"/>
              </w:rPr>
              <w:t>10、可选配有成绩排名功能，测试完成测试仪系统内部自动将所有测试者按成绩进行排名；</w:t>
            </w:r>
          </w:p>
          <w:p>
            <w:pPr>
              <w:widowControl/>
              <w:jc w:val="left"/>
              <w:textAlignment w:val="center"/>
              <w:rPr>
                <w:rFonts w:hint="eastAsia" w:ascii="宋体" w:hAnsi="宋体" w:cs="宋体"/>
                <w:color w:val="auto"/>
                <w:kern w:val="0"/>
                <w:sz w:val="24"/>
                <w:lang w:bidi="ar"/>
              </w:rPr>
            </w:pPr>
            <w:r>
              <w:rPr>
                <w:rFonts w:hint="eastAsia" w:ascii="宋体" w:hAnsi="宋体" w:cs="宋体"/>
                <w:color w:val="auto"/>
                <w:kern w:val="0"/>
                <w:sz w:val="24"/>
                <w:lang w:bidi="ar"/>
              </w:rPr>
              <w:t>11、内含海量存储芯片，具有双存储介质备份功能，单机测试数据可存储100万条以上，可直接用WIFI、U盘等方式一次性导入计算机。数据上传方便，支持实时上传、增量上传、全量上传多种数据传输方式；</w:t>
            </w:r>
          </w:p>
          <w:p>
            <w:pPr>
              <w:widowControl/>
              <w:jc w:val="left"/>
              <w:textAlignment w:val="center"/>
              <w:rPr>
                <w:rFonts w:hint="eastAsia" w:ascii="宋体" w:hAnsi="宋体" w:cs="宋体"/>
                <w:color w:val="auto"/>
                <w:kern w:val="0"/>
                <w:sz w:val="24"/>
                <w:lang w:bidi="ar"/>
              </w:rPr>
            </w:pPr>
            <w:r>
              <w:rPr>
                <w:rFonts w:hint="eastAsia" w:ascii="宋体" w:hAnsi="宋体" w:cs="宋体"/>
                <w:color w:val="auto"/>
                <w:kern w:val="0"/>
                <w:sz w:val="24"/>
                <w:lang w:bidi="ar"/>
              </w:rPr>
              <w:t>12、系统带有测试数据误删除恢复功能；</w:t>
            </w:r>
          </w:p>
          <w:p>
            <w:pPr>
              <w:widowControl/>
              <w:jc w:val="left"/>
              <w:textAlignment w:val="center"/>
              <w:rPr>
                <w:rFonts w:hint="eastAsia" w:ascii="宋体" w:hAnsi="宋体" w:cs="宋体"/>
                <w:color w:val="auto"/>
                <w:kern w:val="0"/>
                <w:sz w:val="24"/>
                <w:lang w:bidi="ar"/>
              </w:rPr>
            </w:pPr>
            <w:r>
              <w:rPr>
                <w:rFonts w:hint="eastAsia" w:ascii="宋体" w:hAnsi="宋体" w:cs="宋体"/>
                <w:color w:val="auto"/>
                <w:kern w:val="0"/>
                <w:sz w:val="24"/>
                <w:lang w:bidi="ar"/>
              </w:rPr>
              <w:t>13、系统具有备份还原功能，可对仪器内部所有测试数据、设置参数等的信息进行备份和还原操作；</w:t>
            </w:r>
          </w:p>
          <w:p>
            <w:pPr>
              <w:widowControl/>
              <w:jc w:val="left"/>
              <w:textAlignment w:val="center"/>
              <w:rPr>
                <w:rFonts w:hint="eastAsia" w:ascii="宋体" w:hAnsi="宋体" w:cs="宋体"/>
                <w:color w:val="auto"/>
                <w:kern w:val="0"/>
                <w:sz w:val="24"/>
                <w:lang w:bidi="ar"/>
              </w:rPr>
            </w:pPr>
            <w:r>
              <w:rPr>
                <w:rFonts w:hint="eastAsia" w:ascii="宋体" w:hAnsi="宋体" w:cs="宋体"/>
                <w:color w:val="auto"/>
                <w:kern w:val="0"/>
                <w:sz w:val="24"/>
                <w:lang w:bidi="ar"/>
              </w:rPr>
              <w:t>14、当选配有摄像机时，支持无线同步起停摄像；摄像系统采用最高分辨率可达1920×1080@ 25 fps， IP67级防尘防水设计，可靠性高；测试过程视频信息采用多重存储方式，既有自动循环存储的完整视频文件，也有根据主机同步下发的启动和停止摄像指令，对应每个测试者自动分组存档实时视频文件，每台测试仪均带有不少于256G的独立视频存储；测试仪内部可根据测试者编号随意调取该测试者的相应测试视频，以方便查阅；每台测试仪器可根据需要同时控制多个摄像机，可通过多个视角完整监控整个测试过程；</w:t>
            </w:r>
          </w:p>
          <w:p>
            <w:pPr>
              <w:widowControl/>
              <w:jc w:val="left"/>
              <w:textAlignment w:val="center"/>
              <w:rPr>
                <w:rFonts w:hint="eastAsia" w:ascii="宋体" w:hAnsi="宋体" w:cs="宋体"/>
                <w:color w:val="auto"/>
                <w:kern w:val="0"/>
                <w:sz w:val="24"/>
                <w:lang w:bidi="ar"/>
              </w:rPr>
            </w:pPr>
            <w:r>
              <w:rPr>
                <w:rFonts w:hint="eastAsia" w:ascii="宋体" w:hAnsi="宋体" w:cs="宋体"/>
                <w:color w:val="auto"/>
                <w:kern w:val="0"/>
                <w:sz w:val="24"/>
                <w:lang w:bidi="ar"/>
              </w:rPr>
              <w:t>15、内置大功率环保可充电锂电池，具有充放电管理功能，剩余电量可在系统下实时显示并提供低电量报警提示，在无交流电源时可提供不少于8小时的持续电能；</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附件功能：</w:t>
            </w:r>
          </w:p>
          <w:p>
            <w:pPr>
              <w:widowControl/>
              <w:jc w:val="left"/>
              <w:textAlignment w:val="center"/>
              <w:rPr>
                <w:rFonts w:hint="eastAsia" w:ascii="宋体" w:hAnsi="宋体" w:cs="宋体"/>
                <w:color w:val="auto"/>
                <w:kern w:val="0"/>
                <w:sz w:val="24"/>
                <w:lang w:bidi="ar"/>
              </w:rPr>
            </w:pPr>
            <w:r>
              <w:rPr>
                <w:rFonts w:hint="eastAsia" w:ascii="宋体" w:hAnsi="宋体" w:cs="宋体"/>
                <w:color w:val="auto"/>
                <w:kern w:val="0"/>
                <w:sz w:val="24"/>
                <w:lang w:bidi="ar"/>
              </w:rPr>
              <w:t>1、采用触碰式检测方式，检测精度高。</w:t>
            </w:r>
          </w:p>
          <w:p>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2、附件可设置地址、信道、系数校准等，支持一台主机带有多个附件，提高测试效率。</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3、身高测试范围：90cm-210cm</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测量分辨率：≤0.1cm,</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测量精度：±0.2%</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4、体重测试范围：2kg-150kg</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测量分辨率：≤0.1kg,</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测量精度：±0.3%</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套</w:t>
            </w:r>
          </w:p>
        </w:tc>
        <w:tc>
          <w:tcPr>
            <w:tcW w:w="90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w:t>
            </w:r>
          </w:p>
        </w:tc>
      </w:tr>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55</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坐位体前屈测试仪</w:t>
            </w:r>
          </w:p>
        </w:tc>
        <w:tc>
          <w:tcPr>
            <w:tcW w:w="94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主机功能：</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1、采用≥7英寸真彩LCD液晶屏，触摸按键。</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2、采用不低于1.2G四核处理器，≥1G DDR3内存，≥8G NAND Flash，高性能，低功耗</w:t>
            </w:r>
            <w:r>
              <w:rPr>
                <w:rFonts w:hint="eastAsia" w:ascii="宋体" w:hAnsi="宋体" w:cs="宋体"/>
                <w:color w:val="auto"/>
                <w:kern w:val="0"/>
                <w:sz w:val="24"/>
                <w:lang w:eastAsia="zh-CN" w:bidi="ar"/>
              </w:rPr>
              <w:t>。</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3、可实时显示测试者的姓名、学号、照片等各种基本信息和测试结果。</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4、支持HDMI全高清接口，可双屏同步显示测试过程和结果，以方便学生实时查看测试过程的相关测试数据。</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5、采用安卓系统，图形化的操作界面，系统稳定，人机交互性强；同时USB接口可插接普通的键盘和鼠标。</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 xml:space="preserve">6、采用语音合成技术，具有全程真人发声的语音提示功能；既可使用装置自带的喇叭，也可外接有源音箱。 </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7、支持手工输入、提前批量导入学号、IC卡、二维码等多种身份识别方式。</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8、可选配微型打印机，每台仪器测试完成后，可实时打印该学生当前项目的测试成绩条。</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 xml:space="preserve"> 9、可选配有实时评分功能，可根据预设的评分标准，对应年级和性别信息，评定正常得分、等级、附加分；同时单台仪器具有统计功能，可实时统计当前仪器内所有学生优秀、良好、及格、不及格各等级所占比例，并以相应饼状图展示；</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10、可选配有成绩排名功能，测试完成测试仪系统内部自动将所有测试者按成绩进行排名；</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11、内含海量存储芯片，具有双存储介质备份功能，单机测试数据可存储100万条以上，可直接用WIFI、U盘等方式一次性导入计算机。数据上传方便，支持实时上传、增量上传、全量上传多种数据传输方式；</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12、系统带有测试数据误删除恢复功能；</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13、系统具有备份还原功能，可对仪器内部所有测试数据、设置参数等的信息进行备份和还原操作；</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14、系统具有设置犯规功能，当出现测试仪未识别的其它犯规情况下，可人工挑选出该次无效成绩，选定取消即可，提高了测试效率；</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15、当选配有摄像机时，支持无线同步起停摄像；摄像系统采用最高分辨率可达1920×1080@ 25 fps， IP67级防尘防水设计，可靠性高；测试过程视频信息采用多重存储方式，既有自动循环存储的完整视频文件，也有根据主机同步下发的启动和停止摄像指令，对应每个测试者自动分组存档实时视频文件，每台测试仪均带有不少于256G的独立视频存储；测试仪内部可根据测试者编号随意调取该测试者的相应测试视频，以方便查阅；每台测试仪器可根据需要同时控制多个摄像机，可通过多个视角完整监控整个测试过程；</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16、内置大功率环保可充电锂电池，具有充放电管理功能，剩余电量可在系统下实时显示并提供低电量报警提示，在无交流电源时可提供≥8小时的持续电能；</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附件功能：</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1、测试仪采用自动回弹设计，推出后，推板自动回到起点，省时省力；</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2、附件带液晶显示，可实时显示测试成绩，方便测试人员查看；附件可单独使用；</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3、附件可设置地址、信道；支持一台主机带有多个附件，提高测试效率；</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4、测试量程：-20—40cm</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 xml:space="preserve">分辨率：≤0.1cm </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测试误差：±0.1cm</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套</w:t>
            </w:r>
          </w:p>
        </w:tc>
        <w:tc>
          <w:tcPr>
            <w:tcW w:w="90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w:t>
            </w:r>
          </w:p>
        </w:tc>
      </w:tr>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56</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50米跑测试仪</w:t>
            </w:r>
          </w:p>
        </w:tc>
        <w:tc>
          <w:tcPr>
            <w:tcW w:w="94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50米跑测试仪主机功能：</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1、采用≥7英寸真彩LCD液晶屏，触摸按键。</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2、采用不低于1.2G四核处理器，≥1G DDR3内存，≥8G NAND Flash，高性能，低功耗</w:t>
            </w:r>
            <w:r>
              <w:rPr>
                <w:rFonts w:hint="eastAsia" w:ascii="宋体" w:hAnsi="宋体" w:cs="宋体"/>
                <w:color w:val="auto"/>
                <w:kern w:val="0"/>
                <w:sz w:val="24"/>
                <w:lang w:eastAsia="zh-CN" w:bidi="ar"/>
              </w:rPr>
              <w:t>。</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3、可实时显示测试者的姓名、学号、照片等各种基本信息和测试结果。</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4、支持HDMI全高清接口，可双屏同步显示测试过程和结果，以方便学生实时查看测试过程的相关测试数据。</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5、采用安卓系统，图形化的操作界面，系统稳定，人机交互性强；同时USB接口可插接普通的键盘和鼠标。</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 xml:space="preserve">6、采用语音合成技术，具有全程真人发声的语音提示功能；既可使用装置自带的喇叭，也可外接有源音箱。 </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7、支持手工输入、提前批量导入学号、IC卡、二维码等多种身份识别方式。</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8、可选配微型打印机，每台仪器测试完成后，可实时打印该学生当前项目的测试成绩条。</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 xml:space="preserve"> 9、可选配有实时评分功能，可根据预设的评分标准，对应年级和性别信息，评定正常得分、等级、附加分；同时单台仪器具有统计功能，可实时统计当前仪器内所有学生优秀、良好、及格、不及格各等级所占比例，并以相应饼状图展示；</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10、可选配有成绩排名功能，测试完成测试仪系统内部自动将所有测试者按成绩进行排名；</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11、内含海量存储芯片，具有双存储介质备份功能，单机测试数据可存储100万条以上，可直接用WIFI、U盘等方式一次性导入计算机。数据上传方便，支持实时上传、增量上传、全量上传多种数据传输方式；</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12、系统带有测试数据误删除恢复功能；</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13、系统具有备份还原功能，可对仪器内部所有测试数据、设置参数等的信息进行备份和还原操作；</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14、当选配有摄像机时，支持无线同步起停摄像；摄像系统采用最高分辨率可达1920×1080@ 25 fps， IP67级防尘防水设计，可靠性高；测试过程视频信息采用多重存储方式，既有自动循环存储的完整视频文件，也有根据主机同步下发的启动和停止摄像指令，对应每个测试者自动分组存档实时视频文件，每台测试仪均带有不少于256G的独立视频存储；测试仪内部可根据测试者编号随意调取该测试者的相应测试视频，以方便查阅；每台测试仪器可根据需要同时控制多个摄像机，可通过多个视角完整监控整个测试过程；</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15、内置大功率环保可充电锂电池，具有充放电管理功能，剩余电量可在系统下实时显示并提供低电量报警提示，在无交流电源时可提供≥8小时的持续电能；</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附件功能：</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1、采用红外线非接触测量原理；</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2、主机与外设无线连接，标配2人测试，可以扩展到8人同时测试；</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3、可完成50米等不需变道的短距离跑步测试。</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4、附件可设置地址、信道；</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5、外设具有抗阳光干扰设计；</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6、选配有犯规检测探头时，具备起跑点犯规提示功能；</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7、附件带液晶显示，可实时显示当前附件地址，信道等参数；</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8、附件可设置地址、信道；支持一台主机带有多个附件，提高测试效率；</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 xml:space="preserve">测试量程：0s—99.99s </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 xml:space="preserve">分辨率：≤0.01s </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测试误差：±0.1s</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套</w:t>
            </w:r>
          </w:p>
        </w:tc>
        <w:tc>
          <w:tcPr>
            <w:tcW w:w="90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w:t>
            </w:r>
          </w:p>
        </w:tc>
      </w:tr>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57</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跳绳测试仪(1人同测)</w:t>
            </w:r>
          </w:p>
        </w:tc>
        <w:tc>
          <w:tcPr>
            <w:tcW w:w="94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主机功能：</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1、采用≥7英寸真彩LCD液晶屏，触摸按键。</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2、采用不小于1.2G四核处理器，≥1G DDR3内存，≥8G NAND Flash，高性能，低功耗</w:t>
            </w:r>
            <w:r>
              <w:rPr>
                <w:rFonts w:hint="eastAsia" w:ascii="宋体" w:hAnsi="宋体" w:cs="宋体"/>
                <w:color w:val="auto"/>
                <w:kern w:val="0"/>
                <w:sz w:val="24"/>
                <w:lang w:eastAsia="zh-CN" w:bidi="ar"/>
              </w:rPr>
              <w:t>。</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3、可实时显示测试者的姓名、学号、照片等各种基本信息和测试结果。</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4、支持HDMI全高清接口，可双屏同步显示测试过程和结果，以方便学生实时查看测试过程的相关测试数据。</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5、采用安卓系统，图形化的操作界面，系统稳定，人机交互性强；同时USB接口可插接普通的键盘和鼠标。</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 xml:space="preserve">6、采用语音合成技术，具有全程真人发声的语音提示功能；既可使用装置自带的喇叭，也可外接有源音箱。 </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7、支持手工输入、提前批量导入学号、IC卡、二维码等多种身份识别方式。</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8、可选配微型打印机，每台仪器测试完成后，可实时打印该学生当前项目的测试成绩条。</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 xml:space="preserve"> 9、可选配有实时评分功能，可根据预设的评分标准，对应年级和性别信息，评定正常得分、等级、附加分；同时单台仪器具有统计功能，可实时统计当前仪器内所有学生优秀、良好、及格、不及格各等级所占比例，并以相应饼状图展示；</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10、可选配有成绩排名功能，测试完成测试仪系统内部自动将所有测试者按成绩进行排名；</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11、内含海量存储芯片，具有双存储介质备份功能，单机测试数据可存储100万条以上，可直接用WIFI、U盘等方式一次性导入计算机。数据上传方便，支持实时上传、增量上传、全量上传多种数据传输方式；</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12、系统带有测试数据误删除恢复功能；</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13、系统具有备份还原功能，可对仪器内部所有测试数据、设置参数等的信息进行备份和还原操作；</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14、当选配有摄像机时，支持无线同步起停摄像；摄像系统采用最高分辨率可达1920×1080@ 25 fps， IP67级防尘防水设计，可靠性高；测试过程视频信息采用多重存储方式，既有自动循环存储的完整视频文件，也有根据主机同步下发的启动和停止摄像指令，对应每个测试者自动分组存档实时视频文件，每台测试仪均带有不少于256G的独立视频存储；测试仪内部可根据测试者编号随意调取该测试者的相应测试视频，以方便查阅；每台测试仪器可根据需要同时控制多个摄像机，可通过多个视角完整监控整个测试过程；</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15、内置大功率环保可充电锂电池，具有充放电管理功能，剩余电量可在系统下实时显示并提供低电量报警提示，在无交流电源时可提供≥8小时的持续电能；</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附件功能：</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1、采用非接触磁敏检测方式、使用寿命长</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2、准确计量跳绳旋转角度，同时还可自动选定正向识别、反向识别、正反向均识别三种测试模式</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3、跳绳握柄具有快速更换接头，可以在测试现场快速更换测试者自带跳绳</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4、主机与外设无线连接，主机与外设通讯距离不小于20米</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5、附件带液晶显示，可实时显示测试成绩，方便测试人员查看</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6、当选配有96*64规格LED大屏时，测试过程中可实时所有测试者当前跳绳个数，每屏可同时显示人数不少于8人</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7、附件可设置地址、信道、正反转识别模式；支持一台主机带有多个附件，提高测试效率</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8、测试量程：0—999个</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分辨率：1个</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测试误差：±1个</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套</w:t>
            </w:r>
          </w:p>
        </w:tc>
        <w:tc>
          <w:tcPr>
            <w:tcW w:w="90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w:t>
            </w:r>
          </w:p>
        </w:tc>
      </w:tr>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58</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肺活量测试仪（1人同测）</w:t>
            </w:r>
          </w:p>
        </w:tc>
        <w:tc>
          <w:tcPr>
            <w:tcW w:w="94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主机功能：</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1、采用≥7英寸真彩LCD液晶屏，触摸按键。</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2、采用不低于1.2G四核处理器，≥1G DDR3内存，≥8G NAND Flash，高性能，低功耗，处理速度快。</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3、可实时显示测试者的姓名、学号、照片等各种基本信息和测试结果。</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4、支持HDMI全高清接口，可双屏同步显示测试过程和结果，以方便学生实时查看测试过程的相关测试数据。</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5、采用安卓系统，图形化的操作界面，系统稳定，人机交互性强；同时USB接口可插接普通的键盘和鼠标。</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 xml:space="preserve">6、采用语音合成技术，具有全程真人发声的语音提示功能；既可使用装置自带的喇叭，也可外接有源音箱。 </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7、支持手工输入、提前批量导入学号、IC卡、二维码等多种身份识别方式。</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8、可选配微型打印机，每台仪器测试完成后，可实时打印该学生当前项目的测试成绩条。</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 xml:space="preserve"> 9、可选配有实时评分功能，可根据预设的评分标准，对应年级和性别信息，评定正常得分、等级、附加分；同时单台仪器具有统计功能，可实时统计当前仪器内所有学生优秀、良好、及格、不及格各等级所占比例，并以相应饼状图展示；</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10、可选配有成绩排名功能，测试完成测试仪系统内部自动将所有测试者按成绩进行排名；</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11、内含海量存储芯片，具有双存储介质备份功能，单机测试数据可存储100万条以上，可直接用WIFI、U盘等方式一次性导入计算机。数据上传方便，支持实时上传、增量上传、全量上传多种数据传输方式；</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12、系统带有测试数据误删除恢复功能；</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13、系统具有备份还原功能，可对仪器内部所有测试数据、设置参数等的信息进行备份和还原操作；</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14、系统具有设置犯规功能，当出现测试仪未识别的其它犯规情况下，可人工挑选出该次无效成绩，选定取消即可，提高了测试效率；</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15、当选配有摄像机时，支持无线同步起停摄像；摄像系统采用最高分辨率可达1920×1080@ 25 fps， IP67级防尘防水设计，可靠性高；测试过程视频信息采用多重存储方式，既有自动循环存储的完整视频文件，也有根据主机同步下发的启动和停止摄像指令，对应每个测试者自动分组存档实时视频文件，每台测试仪均带有不少于256G的独立视频存储；测试仪内部可根据测试者编号随意调取该测试者的相应测试视频，以方便查阅；每台测试仪器可根据需要同时控制多个摄像机，可通过多个视角完整监控整个测试过程；</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16、内置大功率环保可充电锂电池，具有充放电管理功能，剩余电量可在系统下实时显示并提供低电量报警提示，在无交流电源时可提供≥8小时的持续电能；</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17、针对电池回路设计有保护开关，防止仪器长时间不使用时存在的电池过放问题，延长了电池使用寿命；</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附件功能：</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1、具备防积水功能，防补气功能，换气数据自动锁定；</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2、附件带液晶显示，可实时显示测试成绩，方便测试人员查看；附件可单独使用；</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3、附件可设置地址、信道；支持一台主机带有多个附件，提高测试效率；</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4、测试次数可设置，体现公平、灵活；</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5、测试量程：0—9999ml</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分辨率：≤1ml</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测试误差：±1.5%</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套</w:t>
            </w:r>
          </w:p>
        </w:tc>
        <w:tc>
          <w:tcPr>
            <w:tcW w:w="90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w:t>
            </w:r>
          </w:p>
        </w:tc>
      </w:tr>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59</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仰卧起坐测试仪</w:t>
            </w:r>
          </w:p>
        </w:tc>
        <w:tc>
          <w:tcPr>
            <w:tcW w:w="94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主机功能：</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1、采用不小于7英寸真彩LCD液晶屏，触摸按键。</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2、采用不低于1.2G四核处理器，≥1G DDR3内存，≥8G NAND Flash，高性能，低功耗</w:t>
            </w:r>
            <w:r>
              <w:rPr>
                <w:rFonts w:hint="eastAsia" w:ascii="宋体" w:hAnsi="宋体" w:cs="宋体"/>
                <w:color w:val="auto"/>
                <w:kern w:val="0"/>
                <w:sz w:val="24"/>
                <w:lang w:eastAsia="zh-CN" w:bidi="ar"/>
              </w:rPr>
              <w:t>。</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3、可实时显示测试者的姓名、学号、照片等各种基本信息和测试结果。</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4、支持HDMI全高清接口，可双屏同步显示测试过程和结果，以方便学生实时查看测试过程的相关测试数据。</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5、采用安卓系统，图形化的操作界面，系统稳定，人机交互性强；同时USB接口可插接普通的键盘和鼠标。</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 xml:space="preserve">6、采用语音合成技术，具有全程真人发声的语音提示功能；既可使用装置自带的喇叭，也可外接有源音箱。 </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7、支持手工输入、提前批量导入学号、IC卡、二维码等多种身份识别方式。</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8、可选配微型打印机，每台仪器测试完成后，可实时打印该学生当前项目的测试成绩条。</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 xml:space="preserve"> 9、可选配有实时评分功能，可根据预设的评分标准，对应年级和性别信息，评定正常得分、等级、附加分；同时单台仪器具有统计功能，可实时统计当前仪器内所有学生优秀、良好、及格、不及格各等级所占比例，并以相应饼状图展示；</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10、可选配有成绩排名功能，测试完成测试仪系统内部自动将所有测试者按成绩进行排名；</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11、内含海量存储芯片，具有双存储介质备份功能，单机测试数据可存储100万条以上，可直接用WIFI、U盘等方式一次性导入计算机。数据上传方便，支持实时上传、增量上传、全量上传多种数据传输方式；</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12、系统带有测试数据误删除恢复功能；</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13、系统具有备份还原功能，可对仪器内部所有测试数据、设置参数等的信息进行备份和还原操作；</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14、当选配有摄像机时，支持无线同步起停摄像；摄像系统采用最高分辨率可达1920×1080@ 25 fps， IP67级防尘防水设计，可靠性高；测试过程视频信息采用多重存储方式，既有自动循环存储的完整视频文件，也有根据主机同步下发的启动和停止摄像指令，对应每个测试者自动分组存档实时视频文件，每台测试仪均带有不少于256G的独立视频存储；测试仪内部可根据测试者编号随意调取该测试者的相应测试视频，以方便查阅；每台测试仪器可根据需要同时控制多个摄像机，可通过多个视角完整监控整个测试过程；</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15、内置大功率环保可充电锂电池，具有充放电管理功能，剩余电量可在系统下实时显示并提供低电量报警提示，在无交流电源时可提供≥8小时的持续电能；</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附件功能：</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1、采用光电式非接触测试，多点式监测头部和膝盖部位；</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2、测试者不需佩戴任何测试设备（如腰带等），仪器根据测试者的身高自适应调整，无需人工干预。根据测试要求，可以测试从30秒到180秒的不同测试模式；</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3、附件带液晶显示，可实时显示测试成绩</w:t>
            </w:r>
            <w:r>
              <w:rPr>
                <w:rFonts w:hint="eastAsia" w:ascii="宋体" w:hAnsi="宋体" w:cs="宋体"/>
                <w:color w:val="auto"/>
                <w:kern w:val="0"/>
                <w:sz w:val="24"/>
                <w:lang w:eastAsia="zh-CN" w:bidi="ar"/>
              </w:rPr>
              <w:t>；</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4、附件可设置地址、信道；支持一台主机带有多个附件</w:t>
            </w:r>
            <w:r>
              <w:rPr>
                <w:rFonts w:hint="eastAsia" w:ascii="宋体" w:hAnsi="宋体" w:cs="宋体"/>
                <w:color w:val="auto"/>
                <w:kern w:val="0"/>
                <w:sz w:val="24"/>
                <w:lang w:eastAsia="zh-CN" w:bidi="ar"/>
              </w:rPr>
              <w:t>；</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5、测试量程：0—500个</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分辨率：1个</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测试误差：±1个</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套</w:t>
            </w:r>
          </w:p>
        </w:tc>
        <w:tc>
          <w:tcPr>
            <w:tcW w:w="90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w:t>
            </w:r>
          </w:p>
        </w:tc>
      </w:tr>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60</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50米往返跑测试仪</w:t>
            </w:r>
          </w:p>
        </w:tc>
        <w:tc>
          <w:tcPr>
            <w:tcW w:w="94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主机功能：</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1、采用≥7英寸真彩LCD液晶屏，触摸按键。</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2、采用不低于1.2G四核处理器，≥1G DDR3内存，≥8G NAND Flash，高性能，低功耗，处理速度快。</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3、可实时显示测试者的姓名、学号、照片等各种基本信息和测试结果。</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4、支持HDMI全高清接口，可双屏同步显示测试过程和结果，以方便学生实时查看测试过程的相关测试数据。</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5、采用安卓系统，图形化的操作界面，系统稳定，人机交互性强；同时USB接口可插接普通的键盘和鼠标。</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 xml:space="preserve">6、采用语音合成技术，具有全程真人发声的语音提示功能；既可使用装置自带的喇叭，也可外接有源音箱。 </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7、支持手工输入、提前批量导入学号、IC卡、二维码等多种身份识别方式。</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8、可选配微型打印机，每台仪器测试完成后，可实时打印该学生当前项目的测试成绩条。</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 xml:space="preserve"> 9、可选配有实时评分功能，可根据预设的评分标准，对应年级和性别信息，评定正常得分、等级、附加分；同时单台仪器具有统计功能，可实时统计当前仪器内所有学生优秀、良好、及格、不及格各等级所占比例，并以相应饼状图展示；</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10、可选配有成绩排名功能，测试完成测试仪系统内部自动将所有测试者按成绩进行排名；</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11、内含海量存储芯片，具有双存储介质备份功能，单机测试数据可存储100万条以上，可直接用WIFI、U盘等方式一次性导入计算机。数据上传方便，支持实时上传、增量上传、全量上传多种数据传输方式；</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12、系统带有测试数据误删除恢复功能；</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13、系统具有备份还原功能，可对仪器内部所有测试数据、设置参数等的信息进行备份和还原操作；</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14、当选配有摄像机时，支持无线同步起停摄像；摄像系统采用最高分辨率可达1920×1080@ 25 fps， IP67级防尘防水设计，可靠性高；测试过程视频信息采用多重存储方式，既有自动循环存储的完整视频文件，也有根据主机同步下发的启动和停止摄像指令，对应每个测试者自动分组存档实时视频文件，每台测试仪均带有不少于256G的独立视频存储；测试仪内部可根据测试者编号随意调取该测试者的相应测试视频，以方便查阅；每台测试仪器可根据需要同时控制多个摄像机，可通过多个视角完整监控整个测试过程；</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15、内置大功率环保可充电锂电池，具有充放电管理功能，剩余电量可在系统下实时显示并提供低电量报警提示，在无交流电源时可提供≥8小时的持续电能；</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附件功能：</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1、采用红外线非接触测量原理</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2、主机与外设无线连接，标配2人测试，可以扩展到8人测试</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3、内置多种起跑模式，既可由主机发令统一起跑，实现统一计时；也可由各测试者自由起跑，独立启动该跑道计时，实现自助计时；</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4、配合主机可完成50米×8、25米×2、10米×5往返跑等不同距离，不同往返次数的往返跑测试</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5、附件可设置地址、信道</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6、具备起跑点犯规提示功能</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7、外设具有抗阳光干扰设计</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8、测试量程：</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 xml:space="preserve">   0s—99.9s 分辨率：≤0.1s </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 xml:space="preserve">   测试误差：±0.1s（25米×2往返跑）</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 xml:space="preserve">   0～9999s 分辨率： 1s </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 xml:space="preserve">   测试误差：±1s（50米×8往返跑）</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套</w:t>
            </w:r>
          </w:p>
        </w:tc>
        <w:tc>
          <w:tcPr>
            <w:tcW w:w="90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w:t>
            </w:r>
          </w:p>
        </w:tc>
      </w:tr>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61</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学生IC卡（可重复使用）</w:t>
            </w:r>
          </w:p>
        </w:tc>
        <w:tc>
          <w:tcPr>
            <w:tcW w:w="94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1、支持卡片类型：读写符合ISO14443A/B标准的非接触IC卡系列</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2、工作频率：13560（Khz）</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3、感应距离：不小于6cm</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4、读卡时间：小于0.2秒</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张</w:t>
            </w:r>
          </w:p>
        </w:tc>
        <w:tc>
          <w:tcPr>
            <w:tcW w:w="90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300</w:t>
            </w:r>
          </w:p>
        </w:tc>
      </w:tr>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62</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IC卡</w:t>
            </w:r>
            <w:r>
              <w:rPr>
                <w:rFonts w:hint="eastAsia" w:ascii="宋体" w:hAnsi="宋体" w:cs="宋体"/>
                <w:color w:val="auto"/>
                <w:kern w:val="0"/>
                <w:sz w:val="24"/>
                <w:lang w:val="en-US" w:eastAsia="zh-CN" w:bidi="ar"/>
              </w:rPr>
              <w:t>制卡、</w:t>
            </w:r>
            <w:r>
              <w:rPr>
                <w:rFonts w:hint="eastAsia" w:ascii="宋体" w:hAnsi="宋体" w:cs="宋体"/>
                <w:color w:val="auto"/>
                <w:kern w:val="0"/>
                <w:sz w:val="24"/>
                <w:lang w:bidi="ar"/>
              </w:rPr>
              <w:t>读卡器</w:t>
            </w:r>
          </w:p>
        </w:tc>
        <w:tc>
          <w:tcPr>
            <w:tcW w:w="94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1、 工作电源：USB接口取电，无需外部电源</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 接口类型：标准USB接口</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3、 支持卡片类型：读写符合ISO14443A/B标准的非接触CPU卡系列</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4、 工作频率：13560（Khz）</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5、 感应距离：不小于6cm</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6、 读卡时间：小于0.2秒</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台</w:t>
            </w:r>
          </w:p>
        </w:tc>
        <w:tc>
          <w:tcPr>
            <w:tcW w:w="90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w:t>
            </w:r>
          </w:p>
        </w:tc>
      </w:tr>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63</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肺活量吹嘴（一次性）</w:t>
            </w:r>
          </w:p>
        </w:tc>
        <w:tc>
          <w:tcPr>
            <w:tcW w:w="94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优质PP材料，医用级别；</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个</w:t>
            </w:r>
          </w:p>
        </w:tc>
        <w:tc>
          <w:tcPr>
            <w:tcW w:w="90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2000</w:t>
            </w:r>
          </w:p>
        </w:tc>
      </w:tr>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64</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路由器</w:t>
            </w:r>
          </w:p>
        </w:tc>
        <w:tc>
          <w:tcPr>
            <w:tcW w:w="94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1、工作电源：DC 9V</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2、工作频率：2.4G</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3、信号范围：不小于100米</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台</w:t>
            </w:r>
          </w:p>
        </w:tc>
        <w:tc>
          <w:tcPr>
            <w:tcW w:w="90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w:t>
            </w:r>
          </w:p>
        </w:tc>
      </w:tr>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65</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学生体测数据管理系统</w:t>
            </w:r>
          </w:p>
        </w:tc>
        <w:tc>
          <w:tcPr>
            <w:tcW w:w="94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1、 软件采用MYSQL数据库，可有效地管理各学校、各年级、各班级下所有学生的学生基本信息、IC卡管理、测试数据采集、测试数据管理等功能；</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2、采用一键安装的方式，方便用户使用；</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3、软件具有学生信息管理功能：</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3.1 以学校为单位，按最新国家学生体质健康标准，可批量导入或输入学生基本信息、班级信息等，并具有输入格式自动识别功能；</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3.2 可针对所导入或录入的学生基本信息进行批量升级、留级等操作；</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3.3 可自动实现学号和学籍号的自动关联；</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4、 本软件具有IC卡管理功能：</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4.1 可通过USB接口连接相应读卡器，对IC卡进行批量发卡操作或单张卡发卡操作、读卡操作；</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4.2 当某些现场只能使用物理卡号时，本软件可实现学号和IC卡的自动关联；</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5、软件具有数据采集功能：</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5.1 可通过USB接口、433无线、wifi等通信接口，批量或实时采集各现场所有测试仪器的测试数据；</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5.2 可提前批量导入需要测试的学生基本信息，以提高测试效率；</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6、 具有测试数据管理功能：</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6.1 本软件既可对通过通信接口采集的数据进行管理，也可对符合格式要求的其它仪器获取的测试数据完成导入操作后进行管理；</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6.2 可对所有测试数据进行相应的增删改查操作；</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6.3 可批量导出完全符合能上报学生体质健康网的最新标准的班级信息、测试环境信息、测试项目信息、学生基本信息、学生体测数据这五张表格；提高学生体质网数据上报的效率；</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6.4 可根据预设的评分标准，可对任意指定的测试项目、测试对象进行评分操作，可实现一键自动评分功能；</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6.5 可根据预设的评分标准，可对任意指定的测试项目、测试对象进行评级操作，可实现一键自动评级功能；</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6.6 可按照《国家学生体质健康标准》登记卡的标准格式，打印各学生的登记卡；</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6.7 可按学校、年级、班级、测试项目等科目作为条件选定后，按优秀、良好、及格、不及格的标准进行统计，并根据比例自动画出饼状图；</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6.8 可按学校、年级、班级、测试项目等科目的测试成绩的优秀、良好、及格、不及格的分布情况，做年度的纵向对比，并提供折线图；</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7、 本软件可以以年级为单位，对测试项目，评分标准、所占权重、加分系数等进行设定，以方便用户操作；</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8、 本软件能自动保存所有相关操作日志；</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9、 本软件具有系统备份和恢复功能；</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套</w:t>
            </w:r>
          </w:p>
        </w:tc>
        <w:tc>
          <w:tcPr>
            <w:tcW w:w="90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w:t>
            </w:r>
          </w:p>
        </w:tc>
      </w:tr>
    </w:tbl>
    <w:p>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Chars="0"/>
        <w:jc w:val="center"/>
        <w:textAlignment w:val="auto"/>
        <w:rPr>
          <w:rFonts w:hint="eastAsia"/>
          <w:color w:val="auto"/>
          <w:sz w:val="30"/>
          <w:szCs w:val="30"/>
        </w:rPr>
      </w:pPr>
    </w:p>
    <w:p>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Chars="0"/>
        <w:jc w:val="center"/>
        <w:textAlignment w:val="auto"/>
        <w:rPr>
          <w:rFonts w:hint="eastAsia"/>
          <w:color w:val="auto"/>
          <w:sz w:val="30"/>
          <w:szCs w:val="30"/>
        </w:rPr>
      </w:pPr>
    </w:p>
    <w:p>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Chars="0"/>
        <w:jc w:val="center"/>
        <w:textAlignment w:val="auto"/>
        <w:rPr>
          <w:rFonts w:hint="eastAsia"/>
          <w:color w:val="auto"/>
          <w:sz w:val="30"/>
          <w:szCs w:val="30"/>
        </w:rPr>
      </w:pPr>
    </w:p>
    <w:p>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Chars="0"/>
        <w:jc w:val="center"/>
        <w:textAlignment w:val="auto"/>
        <w:rPr>
          <w:rFonts w:hint="eastAsia"/>
          <w:color w:val="auto"/>
          <w:sz w:val="30"/>
          <w:szCs w:val="30"/>
        </w:rPr>
      </w:pPr>
    </w:p>
    <w:p>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Chars="0"/>
        <w:jc w:val="center"/>
        <w:textAlignment w:val="auto"/>
        <w:rPr>
          <w:rFonts w:hint="eastAsia"/>
          <w:color w:val="auto"/>
          <w:sz w:val="30"/>
          <w:szCs w:val="30"/>
        </w:rPr>
      </w:pPr>
    </w:p>
    <w:p>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Chars="0"/>
        <w:jc w:val="center"/>
        <w:textAlignment w:val="auto"/>
        <w:rPr>
          <w:rFonts w:hint="eastAsia"/>
          <w:color w:val="auto"/>
          <w:sz w:val="30"/>
          <w:szCs w:val="30"/>
        </w:rPr>
      </w:pPr>
    </w:p>
    <w:p>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Chars="0"/>
        <w:jc w:val="center"/>
        <w:textAlignment w:val="auto"/>
        <w:rPr>
          <w:rFonts w:hint="eastAsia"/>
          <w:color w:val="auto"/>
          <w:sz w:val="30"/>
          <w:szCs w:val="30"/>
        </w:rPr>
      </w:pPr>
    </w:p>
    <w:p>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Chars="0"/>
        <w:jc w:val="center"/>
        <w:textAlignment w:val="auto"/>
        <w:rPr>
          <w:rFonts w:hint="eastAsia"/>
          <w:color w:val="auto"/>
          <w:sz w:val="30"/>
          <w:szCs w:val="30"/>
        </w:rPr>
      </w:pPr>
    </w:p>
    <w:p>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Chars="0"/>
        <w:jc w:val="center"/>
        <w:textAlignment w:val="auto"/>
        <w:rPr>
          <w:rFonts w:hint="eastAsia"/>
          <w:color w:val="auto"/>
          <w:sz w:val="30"/>
          <w:szCs w:val="30"/>
        </w:rPr>
      </w:pPr>
    </w:p>
    <w:p>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Chars="0"/>
        <w:jc w:val="center"/>
        <w:textAlignment w:val="auto"/>
        <w:rPr>
          <w:rFonts w:hint="eastAsia"/>
          <w:color w:val="auto"/>
          <w:sz w:val="30"/>
          <w:szCs w:val="30"/>
        </w:rPr>
      </w:pPr>
    </w:p>
    <w:p>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Chars="0"/>
        <w:jc w:val="center"/>
        <w:textAlignment w:val="auto"/>
        <w:rPr>
          <w:rFonts w:hint="eastAsia"/>
          <w:color w:val="auto"/>
          <w:sz w:val="30"/>
          <w:szCs w:val="30"/>
        </w:rPr>
      </w:pPr>
    </w:p>
    <w:p>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Chars="0"/>
        <w:jc w:val="center"/>
        <w:textAlignment w:val="auto"/>
        <w:rPr>
          <w:rFonts w:hint="eastAsia"/>
          <w:color w:val="auto"/>
          <w:sz w:val="30"/>
          <w:szCs w:val="30"/>
        </w:rPr>
      </w:pPr>
    </w:p>
    <w:p>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Chars="0"/>
        <w:jc w:val="center"/>
        <w:textAlignment w:val="auto"/>
        <w:rPr>
          <w:rFonts w:hint="eastAsia"/>
          <w:color w:val="auto"/>
          <w:sz w:val="30"/>
          <w:szCs w:val="30"/>
        </w:rPr>
      </w:pPr>
    </w:p>
    <w:p>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Chars="0"/>
        <w:jc w:val="center"/>
        <w:textAlignment w:val="auto"/>
        <w:rPr>
          <w:rFonts w:hint="eastAsia"/>
          <w:color w:val="auto"/>
          <w:sz w:val="30"/>
          <w:szCs w:val="30"/>
        </w:rPr>
      </w:pPr>
    </w:p>
    <w:p>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Chars="0"/>
        <w:jc w:val="center"/>
        <w:textAlignment w:val="auto"/>
        <w:rPr>
          <w:rFonts w:hint="eastAsia"/>
          <w:color w:val="auto"/>
          <w:sz w:val="30"/>
          <w:szCs w:val="30"/>
        </w:rPr>
      </w:pPr>
    </w:p>
    <w:p>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Chars="0"/>
        <w:jc w:val="center"/>
        <w:textAlignment w:val="auto"/>
        <w:rPr>
          <w:rFonts w:hint="eastAsia"/>
          <w:color w:val="auto"/>
          <w:sz w:val="30"/>
          <w:szCs w:val="30"/>
        </w:rPr>
      </w:pPr>
    </w:p>
    <w:p>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Chars="0"/>
        <w:jc w:val="center"/>
        <w:textAlignment w:val="auto"/>
        <w:rPr>
          <w:rFonts w:hint="eastAsia"/>
          <w:color w:val="auto"/>
          <w:sz w:val="30"/>
          <w:szCs w:val="30"/>
        </w:rPr>
      </w:pPr>
    </w:p>
    <w:p>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Chars="0"/>
        <w:jc w:val="both"/>
        <w:textAlignment w:val="auto"/>
        <w:rPr>
          <w:rFonts w:hint="eastAsia"/>
          <w:color w:val="auto"/>
          <w:sz w:val="30"/>
          <w:szCs w:val="30"/>
        </w:rPr>
      </w:pPr>
    </w:p>
    <w:p>
      <w:pPr>
        <w:rPr>
          <w:rFonts w:hint="eastAsia"/>
        </w:rPr>
      </w:pPr>
    </w:p>
    <w:p>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Chars="0"/>
        <w:jc w:val="center"/>
        <w:textAlignment w:val="auto"/>
        <w:rPr>
          <w:rFonts w:hint="eastAsia"/>
          <w:color w:val="auto"/>
          <w:sz w:val="30"/>
          <w:szCs w:val="30"/>
        </w:rPr>
      </w:pPr>
      <w:bookmarkStart w:id="22" w:name="_Toc10333"/>
      <w:r>
        <w:rPr>
          <w:rFonts w:hint="eastAsia"/>
          <w:color w:val="auto"/>
          <w:sz w:val="30"/>
          <w:szCs w:val="30"/>
        </w:rPr>
        <w:t>二、卫生保健室</w:t>
      </w:r>
      <w:bookmarkEnd w:id="22"/>
    </w:p>
    <w:tbl>
      <w:tblPr>
        <w:tblStyle w:val="36"/>
        <w:tblW w:w="13791" w:type="dxa"/>
        <w:tblInd w:w="91" w:type="dxa"/>
        <w:tblLayout w:type="fixed"/>
        <w:tblCellMar>
          <w:top w:w="0" w:type="dxa"/>
          <w:left w:w="108" w:type="dxa"/>
          <w:bottom w:w="0" w:type="dxa"/>
          <w:right w:w="108" w:type="dxa"/>
        </w:tblCellMar>
      </w:tblPr>
      <w:tblGrid>
        <w:gridCol w:w="872"/>
        <w:gridCol w:w="1687"/>
        <w:gridCol w:w="9413"/>
        <w:gridCol w:w="915"/>
        <w:gridCol w:w="904"/>
      </w:tblGrid>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auto"/>
                <w:sz w:val="24"/>
              </w:rPr>
            </w:pPr>
            <w:r>
              <w:rPr>
                <w:rFonts w:hint="eastAsia" w:ascii="宋体" w:hAnsi="宋体" w:cs="宋体"/>
                <w:b/>
                <w:bCs/>
                <w:color w:val="auto"/>
                <w:kern w:val="0"/>
                <w:sz w:val="24"/>
                <w:lang w:bidi="ar"/>
              </w:rPr>
              <w:t>序号</w:t>
            </w:r>
          </w:p>
        </w:tc>
        <w:tc>
          <w:tcPr>
            <w:tcW w:w="16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auto"/>
                <w:sz w:val="24"/>
              </w:rPr>
            </w:pPr>
            <w:r>
              <w:rPr>
                <w:rFonts w:hint="eastAsia" w:ascii="宋体" w:hAnsi="宋体" w:cs="宋体"/>
                <w:b/>
                <w:bCs/>
                <w:color w:val="auto"/>
                <w:kern w:val="0"/>
                <w:sz w:val="24"/>
                <w:lang w:bidi="ar"/>
              </w:rPr>
              <w:t>名称</w:t>
            </w:r>
          </w:p>
        </w:tc>
        <w:tc>
          <w:tcPr>
            <w:tcW w:w="94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auto"/>
                <w:sz w:val="24"/>
              </w:rPr>
            </w:pPr>
            <w:r>
              <w:rPr>
                <w:rFonts w:hint="eastAsia" w:ascii="宋体" w:hAnsi="宋体" w:cs="宋体"/>
                <w:b/>
                <w:bCs/>
                <w:color w:val="auto"/>
                <w:kern w:val="0"/>
                <w:sz w:val="24"/>
                <w:lang w:bidi="ar"/>
              </w:rPr>
              <w:t>技术参数</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auto"/>
                <w:sz w:val="24"/>
              </w:rPr>
            </w:pPr>
            <w:r>
              <w:rPr>
                <w:rFonts w:hint="eastAsia" w:ascii="宋体" w:hAnsi="宋体" w:cs="宋体"/>
                <w:b/>
                <w:bCs/>
                <w:color w:val="auto"/>
                <w:kern w:val="0"/>
                <w:sz w:val="24"/>
                <w:lang w:bidi="ar"/>
              </w:rPr>
              <w:t>单位</w:t>
            </w:r>
          </w:p>
        </w:tc>
        <w:tc>
          <w:tcPr>
            <w:tcW w:w="90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bCs/>
                <w:color w:val="auto"/>
                <w:sz w:val="24"/>
              </w:rPr>
            </w:pPr>
            <w:r>
              <w:rPr>
                <w:rFonts w:hint="eastAsia" w:ascii="宋体" w:hAnsi="宋体" w:cs="宋体"/>
                <w:b/>
                <w:bCs/>
                <w:color w:val="auto"/>
                <w:kern w:val="0"/>
                <w:sz w:val="24"/>
                <w:lang w:bidi="ar"/>
              </w:rPr>
              <w:t>数量</w:t>
            </w:r>
          </w:p>
        </w:tc>
      </w:tr>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w:t>
            </w:r>
          </w:p>
        </w:tc>
        <w:tc>
          <w:tcPr>
            <w:tcW w:w="16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诊查床</w:t>
            </w:r>
          </w:p>
        </w:tc>
        <w:tc>
          <w:tcPr>
            <w:tcW w:w="9413"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auto"/>
                <w:sz w:val="24"/>
              </w:rPr>
            </w:pPr>
            <w:r>
              <w:rPr>
                <w:rFonts w:hint="eastAsia" w:ascii="宋体" w:hAnsi="宋体" w:cs="宋体"/>
                <w:color w:val="auto"/>
                <w:kern w:val="0"/>
                <w:sz w:val="24"/>
                <w:lang w:bidi="ar"/>
              </w:rPr>
              <w:t>约1880*680*700mm，窗框为大于等于60*30mm矩形管，床腿为大于等于40*40mm方管，四角有三角板固定，床腿之间有20*20mm方管拉撑，床板为12mm后多层实木板，上罩25mm海绵，人造革。可折叠拆装。</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张</w:t>
            </w:r>
          </w:p>
        </w:tc>
        <w:tc>
          <w:tcPr>
            <w:tcW w:w="90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w:t>
            </w:r>
          </w:p>
        </w:tc>
      </w:tr>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2</w:t>
            </w:r>
          </w:p>
        </w:tc>
        <w:tc>
          <w:tcPr>
            <w:tcW w:w="16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远视力表</w:t>
            </w:r>
          </w:p>
        </w:tc>
        <w:tc>
          <w:tcPr>
            <w:tcW w:w="9413"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auto"/>
                <w:sz w:val="24"/>
              </w:rPr>
            </w:pPr>
            <w:r>
              <w:rPr>
                <w:rFonts w:hint="eastAsia" w:ascii="宋体" w:hAnsi="宋体" w:cs="宋体"/>
                <w:color w:val="auto"/>
                <w:kern w:val="0"/>
                <w:sz w:val="24"/>
                <w:lang w:bidi="ar"/>
              </w:rPr>
              <w:t>方形套印，调节视力肌肉，缓解近视疲劳。</w:t>
            </w:r>
          </w:p>
        </w:tc>
        <w:tc>
          <w:tcPr>
            <w:tcW w:w="915"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color w:val="auto"/>
                <w:sz w:val="24"/>
              </w:rPr>
            </w:pPr>
            <w:r>
              <w:rPr>
                <w:rFonts w:hint="eastAsia" w:ascii="宋体" w:hAnsi="宋体" w:cs="宋体"/>
                <w:color w:val="auto"/>
                <w:kern w:val="0"/>
                <w:sz w:val="24"/>
                <w:lang w:bidi="ar"/>
              </w:rPr>
              <w:t>张</w:t>
            </w:r>
          </w:p>
        </w:tc>
        <w:tc>
          <w:tcPr>
            <w:tcW w:w="90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w:t>
            </w:r>
          </w:p>
        </w:tc>
      </w:tr>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3</w:t>
            </w:r>
          </w:p>
        </w:tc>
        <w:tc>
          <w:tcPr>
            <w:tcW w:w="16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近视力表</w:t>
            </w:r>
          </w:p>
        </w:tc>
        <w:tc>
          <w:tcPr>
            <w:tcW w:w="9413"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auto"/>
                <w:sz w:val="24"/>
              </w:rPr>
            </w:pPr>
            <w:r>
              <w:rPr>
                <w:rFonts w:hint="eastAsia" w:ascii="宋体" w:hAnsi="宋体" w:cs="宋体"/>
                <w:color w:val="auto"/>
                <w:kern w:val="0"/>
                <w:sz w:val="24"/>
                <w:lang w:bidi="ar"/>
              </w:rPr>
              <w:t>标准对数视力表</w:t>
            </w:r>
          </w:p>
        </w:tc>
        <w:tc>
          <w:tcPr>
            <w:tcW w:w="915"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color w:val="auto"/>
                <w:sz w:val="24"/>
              </w:rPr>
            </w:pPr>
            <w:r>
              <w:rPr>
                <w:rFonts w:hint="eastAsia" w:ascii="宋体" w:hAnsi="宋体" w:cs="宋体"/>
                <w:color w:val="auto"/>
                <w:kern w:val="0"/>
                <w:sz w:val="24"/>
                <w:lang w:bidi="ar"/>
              </w:rPr>
              <w:t>张</w:t>
            </w:r>
          </w:p>
        </w:tc>
        <w:tc>
          <w:tcPr>
            <w:tcW w:w="90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w:t>
            </w:r>
          </w:p>
        </w:tc>
      </w:tr>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4</w:t>
            </w:r>
          </w:p>
        </w:tc>
        <w:tc>
          <w:tcPr>
            <w:tcW w:w="16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身高坐高计</w:t>
            </w:r>
          </w:p>
        </w:tc>
        <w:tc>
          <w:tcPr>
            <w:tcW w:w="9413"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auto"/>
                <w:sz w:val="24"/>
              </w:rPr>
            </w:pPr>
            <w:r>
              <w:rPr>
                <w:rFonts w:hint="eastAsia" w:ascii="宋体" w:hAnsi="宋体" w:cs="宋体"/>
                <w:color w:val="auto"/>
                <w:kern w:val="0"/>
                <w:sz w:val="24"/>
                <w:lang w:bidi="ar"/>
              </w:rPr>
              <w:t>身高测量≥200cm，坐高测量≥120cm,底座和面板为大于等于22mm厚压缩木质板材，立柱为大于等于12mm圆钢，测量尺杆为铝合金型材。</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台</w:t>
            </w:r>
          </w:p>
        </w:tc>
        <w:tc>
          <w:tcPr>
            <w:tcW w:w="90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w:t>
            </w:r>
          </w:p>
        </w:tc>
      </w:tr>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5</w:t>
            </w:r>
          </w:p>
        </w:tc>
        <w:tc>
          <w:tcPr>
            <w:tcW w:w="16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体重秤</w:t>
            </w:r>
          </w:p>
        </w:tc>
        <w:tc>
          <w:tcPr>
            <w:tcW w:w="9413"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auto"/>
                <w:sz w:val="24"/>
              </w:rPr>
            </w:pPr>
            <w:r>
              <w:rPr>
                <w:rFonts w:hint="eastAsia" w:ascii="宋体" w:hAnsi="宋体" w:cs="宋体"/>
                <w:color w:val="auto"/>
                <w:kern w:val="0"/>
                <w:sz w:val="24"/>
                <w:lang w:bidi="ar"/>
              </w:rPr>
              <w:t>称重≥160KG，身高测量190cm，机械杠杆式传动，指针式显示。</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台</w:t>
            </w:r>
          </w:p>
        </w:tc>
        <w:tc>
          <w:tcPr>
            <w:tcW w:w="90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w:t>
            </w:r>
          </w:p>
        </w:tc>
      </w:tr>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6</w:t>
            </w:r>
          </w:p>
        </w:tc>
        <w:tc>
          <w:tcPr>
            <w:tcW w:w="16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肺活量计</w:t>
            </w:r>
          </w:p>
        </w:tc>
        <w:tc>
          <w:tcPr>
            <w:tcW w:w="9413"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auto"/>
                <w:sz w:val="24"/>
              </w:rPr>
            </w:pPr>
            <w:r>
              <w:rPr>
                <w:rFonts w:hint="eastAsia" w:ascii="宋体" w:hAnsi="宋体" w:cs="宋体"/>
                <w:color w:val="auto"/>
                <w:kern w:val="0"/>
                <w:sz w:val="24"/>
                <w:lang w:bidi="ar"/>
              </w:rPr>
              <w:t>电子式</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台</w:t>
            </w:r>
          </w:p>
        </w:tc>
        <w:tc>
          <w:tcPr>
            <w:tcW w:w="90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w:t>
            </w:r>
          </w:p>
        </w:tc>
      </w:tr>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7</w:t>
            </w:r>
          </w:p>
        </w:tc>
        <w:tc>
          <w:tcPr>
            <w:tcW w:w="16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紫外线灯架</w:t>
            </w:r>
          </w:p>
        </w:tc>
        <w:tc>
          <w:tcPr>
            <w:tcW w:w="9413"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auto"/>
                <w:sz w:val="24"/>
              </w:rPr>
            </w:pPr>
            <w:r>
              <w:rPr>
                <w:rFonts w:hint="eastAsia" w:ascii="宋体" w:hAnsi="宋体" w:cs="宋体"/>
                <w:color w:val="auto"/>
                <w:kern w:val="0"/>
                <w:sz w:val="24"/>
                <w:lang w:bidi="ar"/>
              </w:rPr>
              <w:t>简易灯架，含30W消毒灯管一根</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台</w:t>
            </w:r>
          </w:p>
        </w:tc>
        <w:tc>
          <w:tcPr>
            <w:tcW w:w="90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w:t>
            </w:r>
          </w:p>
        </w:tc>
      </w:tr>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8</w:t>
            </w:r>
          </w:p>
        </w:tc>
        <w:tc>
          <w:tcPr>
            <w:tcW w:w="16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紫外线灯</w:t>
            </w:r>
          </w:p>
        </w:tc>
        <w:tc>
          <w:tcPr>
            <w:tcW w:w="9413"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auto"/>
                <w:sz w:val="24"/>
              </w:rPr>
            </w:pPr>
            <w:r>
              <w:rPr>
                <w:rFonts w:hint="eastAsia" w:ascii="宋体" w:hAnsi="宋体" w:cs="宋体"/>
                <w:color w:val="auto"/>
                <w:kern w:val="0"/>
                <w:sz w:val="24"/>
                <w:lang w:bidi="ar"/>
              </w:rPr>
              <w:t>移动式带双管 移动式，功率30*2W，可定时，自动断电。灯臂可180°升降旋转，配备30W消毒灯管2根。</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台</w:t>
            </w:r>
          </w:p>
        </w:tc>
        <w:tc>
          <w:tcPr>
            <w:tcW w:w="90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w:t>
            </w:r>
          </w:p>
        </w:tc>
      </w:tr>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9</w:t>
            </w:r>
          </w:p>
        </w:tc>
        <w:tc>
          <w:tcPr>
            <w:tcW w:w="16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落地蛇形灯</w:t>
            </w:r>
          </w:p>
        </w:tc>
        <w:tc>
          <w:tcPr>
            <w:tcW w:w="9413"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auto"/>
                <w:sz w:val="24"/>
              </w:rPr>
            </w:pPr>
            <w:r>
              <w:rPr>
                <w:rFonts w:hint="eastAsia" w:ascii="宋体" w:hAnsi="宋体" w:cs="宋体"/>
                <w:color w:val="auto"/>
                <w:kern w:val="0"/>
                <w:sz w:val="24"/>
                <w:lang w:bidi="ar"/>
              </w:rPr>
              <w:t>不锈钢灯罩，立杆，蛇形软管，开关灯口。底座为20*40mm矩形管焊接。</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台</w:t>
            </w:r>
          </w:p>
        </w:tc>
        <w:tc>
          <w:tcPr>
            <w:tcW w:w="90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w:t>
            </w:r>
          </w:p>
        </w:tc>
      </w:tr>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10</w:t>
            </w:r>
          </w:p>
        </w:tc>
        <w:tc>
          <w:tcPr>
            <w:tcW w:w="16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综合急救箱</w:t>
            </w:r>
          </w:p>
        </w:tc>
        <w:tc>
          <w:tcPr>
            <w:tcW w:w="9413"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auto"/>
                <w:sz w:val="24"/>
              </w:rPr>
            </w:pPr>
            <w:r>
              <w:rPr>
                <w:rFonts w:hint="eastAsia" w:ascii="宋体" w:hAnsi="宋体" w:cs="宋体"/>
                <w:color w:val="auto"/>
                <w:kern w:val="0"/>
                <w:sz w:val="24"/>
                <w:lang w:bidi="ar"/>
              </w:rPr>
              <w:t>铝合金外箱，内置绷带，纱布，创可贴，胶布，手术剪，止血钳，止血带，氧气袋等常用急救器械。</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个</w:t>
            </w:r>
          </w:p>
        </w:tc>
        <w:tc>
          <w:tcPr>
            <w:tcW w:w="90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w:t>
            </w:r>
          </w:p>
        </w:tc>
      </w:tr>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11</w:t>
            </w:r>
          </w:p>
        </w:tc>
        <w:tc>
          <w:tcPr>
            <w:tcW w:w="16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五官检查器</w:t>
            </w:r>
          </w:p>
        </w:tc>
        <w:tc>
          <w:tcPr>
            <w:tcW w:w="9413" w:type="dxa"/>
            <w:tcBorders>
              <w:top w:val="single" w:color="000000" w:sz="4" w:space="0"/>
              <w:left w:val="single" w:color="000000" w:sz="4" w:space="0"/>
              <w:bottom w:val="single" w:color="000000" w:sz="4" w:space="0"/>
              <w:right w:val="single" w:color="000000" w:sz="4" w:space="0"/>
            </w:tcBorders>
            <w:noWrap w:val="0"/>
            <w:vAlign w:val="bottom"/>
          </w:tcPr>
          <w:p>
            <w:pPr>
              <w:widowControl/>
              <w:textAlignment w:val="bottom"/>
              <w:rPr>
                <w:rFonts w:hint="eastAsia" w:ascii="宋体" w:hAnsi="宋体" w:cs="宋体"/>
                <w:color w:val="auto"/>
                <w:sz w:val="24"/>
              </w:rPr>
            </w:pPr>
            <w:r>
              <w:rPr>
                <w:rFonts w:hint="eastAsia" w:ascii="宋体" w:hAnsi="宋体" w:cs="宋体"/>
                <w:color w:val="auto"/>
                <w:kern w:val="0"/>
                <w:sz w:val="24"/>
                <w:lang w:bidi="ar"/>
              </w:rPr>
              <w:t>带箱，能够通过合理组合而得到如下器械：检耳镜、鼻镜、喉镜、压舌板、口镜探针，铝合金外箱</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个</w:t>
            </w:r>
          </w:p>
        </w:tc>
        <w:tc>
          <w:tcPr>
            <w:tcW w:w="90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w:t>
            </w:r>
          </w:p>
        </w:tc>
      </w:tr>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12</w:t>
            </w:r>
          </w:p>
        </w:tc>
        <w:tc>
          <w:tcPr>
            <w:tcW w:w="16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口腔检查器械</w:t>
            </w:r>
          </w:p>
        </w:tc>
        <w:tc>
          <w:tcPr>
            <w:tcW w:w="9413" w:type="dxa"/>
            <w:tcBorders>
              <w:top w:val="single" w:color="000000" w:sz="4" w:space="0"/>
              <w:left w:val="single" w:color="000000" w:sz="4" w:space="0"/>
              <w:bottom w:val="single" w:color="000000" w:sz="4" w:space="0"/>
              <w:right w:val="single" w:color="000000" w:sz="4" w:space="0"/>
            </w:tcBorders>
            <w:noWrap w:val="0"/>
            <w:vAlign w:val="bottom"/>
          </w:tcPr>
          <w:p>
            <w:pPr>
              <w:widowControl/>
              <w:textAlignment w:val="bottom"/>
              <w:rPr>
                <w:rFonts w:hint="eastAsia" w:ascii="宋体" w:hAnsi="宋体" w:cs="宋体"/>
                <w:color w:val="auto"/>
                <w:sz w:val="24"/>
              </w:rPr>
            </w:pPr>
            <w:r>
              <w:rPr>
                <w:rFonts w:hint="eastAsia" w:ascii="宋体" w:hAnsi="宋体" w:cs="宋体"/>
                <w:color w:val="auto"/>
                <w:kern w:val="0"/>
                <w:sz w:val="24"/>
                <w:lang w:bidi="ar"/>
              </w:rPr>
              <w:t>8件套（口镜、镊子、探针、托盘、纸巾、围巾、棉球、口杯）</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个</w:t>
            </w:r>
          </w:p>
        </w:tc>
        <w:tc>
          <w:tcPr>
            <w:tcW w:w="90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w:t>
            </w:r>
          </w:p>
        </w:tc>
      </w:tr>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13</w:t>
            </w:r>
          </w:p>
        </w:tc>
        <w:tc>
          <w:tcPr>
            <w:tcW w:w="16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外伤处理器械</w:t>
            </w:r>
          </w:p>
        </w:tc>
        <w:tc>
          <w:tcPr>
            <w:tcW w:w="9413"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auto"/>
                <w:sz w:val="24"/>
              </w:rPr>
            </w:pPr>
            <w:r>
              <w:rPr>
                <w:rFonts w:hint="eastAsia" w:ascii="宋体" w:hAnsi="宋体" w:cs="宋体"/>
                <w:color w:val="auto"/>
                <w:kern w:val="0"/>
                <w:sz w:val="24"/>
                <w:lang w:bidi="ar"/>
              </w:rPr>
              <w:t>铝合金外箱，内置绷带，纱布，创可贴，胶布，手术剪，止血钳，止血带，缝合针，缝合线，手术刀柄，刀片等常用外伤处理器械。</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套</w:t>
            </w:r>
          </w:p>
        </w:tc>
        <w:tc>
          <w:tcPr>
            <w:tcW w:w="90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w:t>
            </w:r>
          </w:p>
        </w:tc>
      </w:tr>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14</w:t>
            </w:r>
          </w:p>
        </w:tc>
        <w:tc>
          <w:tcPr>
            <w:tcW w:w="16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污物箱</w:t>
            </w:r>
          </w:p>
        </w:tc>
        <w:tc>
          <w:tcPr>
            <w:tcW w:w="9413"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auto"/>
                <w:sz w:val="24"/>
              </w:rPr>
            </w:pPr>
            <w:r>
              <w:rPr>
                <w:rFonts w:hint="eastAsia" w:ascii="宋体" w:hAnsi="宋体" w:cs="宋体"/>
                <w:color w:val="auto"/>
                <w:kern w:val="0"/>
                <w:sz w:val="24"/>
                <w:lang w:bidi="ar"/>
              </w:rPr>
              <w:t>不锈钢外筒，塑料内筒，容积12L。脚踏式启闭。φ240mm</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个</w:t>
            </w:r>
          </w:p>
        </w:tc>
        <w:tc>
          <w:tcPr>
            <w:tcW w:w="90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w:t>
            </w:r>
          </w:p>
        </w:tc>
      </w:tr>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15</w:t>
            </w:r>
          </w:p>
        </w:tc>
        <w:tc>
          <w:tcPr>
            <w:tcW w:w="16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高压消毒锅</w:t>
            </w:r>
          </w:p>
        </w:tc>
        <w:tc>
          <w:tcPr>
            <w:tcW w:w="9413"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auto"/>
                <w:sz w:val="24"/>
              </w:rPr>
            </w:pPr>
            <w:r>
              <w:rPr>
                <w:rFonts w:hint="eastAsia" w:ascii="宋体" w:hAnsi="宋体" w:cs="宋体"/>
                <w:color w:val="auto"/>
                <w:kern w:val="0"/>
                <w:sz w:val="24"/>
                <w:lang w:bidi="ar"/>
              </w:rPr>
              <w:t>8L高压灭菌器，学校医务室专用</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个</w:t>
            </w:r>
          </w:p>
        </w:tc>
        <w:tc>
          <w:tcPr>
            <w:tcW w:w="90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w:t>
            </w:r>
          </w:p>
        </w:tc>
      </w:tr>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16</w:t>
            </w:r>
          </w:p>
        </w:tc>
        <w:tc>
          <w:tcPr>
            <w:tcW w:w="16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医用镊子</w:t>
            </w:r>
          </w:p>
        </w:tc>
        <w:tc>
          <w:tcPr>
            <w:tcW w:w="9413"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auto"/>
                <w:sz w:val="24"/>
              </w:rPr>
            </w:pPr>
            <w:r>
              <w:rPr>
                <w:rFonts w:hint="eastAsia" w:ascii="宋体" w:hAnsi="宋体" w:cs="宋体"/>
                <w:color w:val="auto"/>
                <w:kern w:val="0"/>
                <w:sz w:val="24"/>
                <w:lang w:bidi="ar"/>
              </w:rPr>
              <w:t>医用镊子，12.5--25cm。一套六把。</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套</w:t>
            </w:r>
          </w:p>
        </w:tc>
        <w:tc>
          <w:tcPr>
            <w:tcW w:w="90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5</w:t>
            </w:r>
          </w:p>
        </w:tc>
      </w:tr>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17</w:t>
            </w:r>
          </w:p>
        </w:tc>
        <w:tc>
          <w:tcPr>
            <w:tcW w:w="16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医用剪刀</w:t>
            </w:r>
          </w:p>
        </w:tc>
        <w:tc>
          <w:tcPr>
            <w:tcW w:w="9413"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auto"/>
                <w:sz w:val="24"/>
              </w:rPr>
            </w:pPr>
            <w:r>
              <w:rPr>
                <w:rFonts w:hint="eastAsia" w:ascii="宋体" w:hAnsi="宋体" w:cs="宋体"/>
                <w:color w:val="auto"/>
                <w:kern w:val="0"/>
                <w:sz w:val="24"/>
                <w:lang w:bidi="ar"/>
              </w:rPr>
              <w:t>一套12把，12个常用型号。不锈钢制医用手术剪刀。140mm～220mm</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套</w:t>
            </w:r>
          </w:p>
        </w:tc>
        <w:tc>
          <w:tcPr>
            <w:tcW w:w="90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5</w:t>
            </w:r>
          </w:p>
        </w:tc>
      </w:tr>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18</w:t>
            </w:r>
          </w:p>
        </w:tc>
        <w:tc>
          <w:tcPr>
            <w:tcW w:w="16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压舌板</w:t>
            </w:r>
          </w:p>
        </w:tc>
        <w:tc>
          <w:tcPr>
            <w:tcW w:w="9413"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auto"/>
                <w:sz w:val="24"/>
              </w:rPr>
            </w:pPr>
            <w:r>
              <w:rPr>
                <w:rFonts w:hint="eastAsia" w:ascii="宋体" w:hAnsi="宋体" w:cs="宋体"/>
                <w:color w:val="auto"/>
                <w:kern w:val="0"/>
                <w:sz w:val="24"/>
                <w:lang w:bidi="ar"/>
              </w:rPr>
              <w:t>不锈钢制，长度16cm。</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只</w:t>
            </w:r>
          </w:p>
        </w:tc>
        <w:tc>
          <w:tcPr>
            <w:tcW w:w="90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5</w:t>
            </w:r>
          </w:p>
        </w:tc>
      </w:tr>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19</w:t>
            </w:r>
          </w:p>
        </w:tc>
        <w:tc>
          <w:tcPr>
            <w:tcW w:w="16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额镜</w:t>
            </w:r>
          </w:p>
        </w:tc>
        <w:tc>
          <w:tcPr>
            <w:tcW w:w="9413"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auto"/>
                <w:sz w:val="24"/>
              </w:rPr>
            </w:pPr>
            <w:r>
              <w:rPr>
                <w:rFonts w:hint="eastAsia" w:ascii="宋体" w:hAnsi="宋体" w:cs="宋体"/>
                <w:color w:val="auto"/>
                <w:kern w:val="0"/>
                <w:sz w:val="24"/>
                <w:lang w:bidi="ar"/>
              </w:rPr>
              <w:t>额戴反光镜，直径不低于80mm，五官科检查辅助器械。</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个</w:t>
            </w:r>
          </w:p>
        </w:tc>
        <w:tc>
          <w:tcPr>
            <w:tcW w:w="90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w:t>
            </w:r>
          </w:p>
        </w:tc>
      </w:tr>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20</w:t>
            </w:r>
          </w:p>
        </w:tc>
        <w:tc>
          <w:tcPr>
            <w:tcW w:w="16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血压计</w:t>
            </w:r>
          </w:p>
        </w:tc>
        <w:tc>
          <w:tcPr>
            <w:tcW w:w="9413"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auto"/>
                <w:sz w:val="24"/>
              </w:rPr>
            </w:pPr>
            <w:r>
              <w:rPr>
                <w:rFonts w:hint="eastAsia" w:ascii="宋体" w:hAnsi="宋体" w:cs="宋体"/>
                <w:color w:val="auto"/>
                <w:kern w:val="0"/>
                <w:sz w:val="24"/>
                <w:lang w:bidi="ar"/>
              </w:rPr>
              <w:t>水银柱式，铝合金外壳。附带袖带，充气球，水银壶等。</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个</w:t>
            </w:r>
          </w:p>
        </w:tc>
        <w:tc>
          <w:tcPr>
            <w:tcW w:w="90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2</w:t>
            </w:r>
          </w:p>
        </w:tc>
      </w:tr>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21</w:t>
            </w:r>
          </w:p>
        </w:tc>
        <w:tc>
          <w:tcPr>
            <w:tcW w:w="16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听诊器</w:t>
            </w:r>
          </w:p>
        </w:tc>
        <w:tc>
          <w:tcPr>
            <w:tcW w:w="9413"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auto"/>
                <w:sz w:val="24"/>
              </w:rPr>
            </w:pPr>
            <w:r>
              <w:rPr>
                <w:rFonts w:hint="eastAsia" w:ascii="宋体" w:hAnsi="宋体" w:cs="宋体"/>
                <w:color w:val="auto"/>
                <w:kern w:val="0"/>
                <w:sz w:val="24"/>
                <w:lang w:bidi="ar"/>
              </w:rPr>
              <w:t>医用双听</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支</w:t>
            </w:r>
          </w:p>
        </w:tc>
        <w:tc>
          <w:tcPr>
            <w:tcW w:w="90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2</w:t>
            </w:r>
          </w:p>
        </w:tc>
      </w:tr>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22</w:t>
            </w:r>
          </w:p>
        </w:tc>
        <w:tc>
          <w:tcPr>
            <w:tcW w:w="16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叩诊锤</w:t>
            </w:r>
          </w:p>
        </w:tc>
        <w:tc>
          <w:tcPr>
            <w:tcW w:w="9413"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auto"/>
                <w:sz w:val="24"/>
              </w:rPr>
            </w:pPr>
            <w:r>
              <w:rPr>
                <w:rFonts w:hint="eastAsia" w:ascii="宋体" w:hAnsi="宋体" w:cs="宋体"/>
                <w:color w:val="auto"/>
                <w:kern w:val="0"/>
                <w:sz w:val="24"/>
                <w:lang w:bidi="ar"/>
              </w:rPr>
              <w:t>不锈钢手柄，手柄上带刻度尺，最大长度27cm，使用最大长度143mm</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个</w:t>
            </w:r>
          </w:p>
        </w:tc>
        <w:tc>
          <w:tcPr>
            <w:tcW w:w="90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w:t>
            </w:r>
          </w:p>
        </w:tc>
      </w:tr>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23</w:t>
            </w:r>
          </w:p>
        </w:tc>
        <w:tc>
          <w:tcPr>
            <w:tcW w:w="16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串镜片</w:t>
            </w:r>
          </w:p>
        </w:tc>
        <w:tc>
          <w:tcPr>
            <w:tcW w:w="9413"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auto"/>
                <w:sz w:val="24"/>
              </w:rPr>
            </w:pPr>
            <w:r>
              <w:rPr>
                <w:rFonts w:hint="eastAsia" w:ascii="宋体" w:hAnsi="宋体" w:cs="宋体"/>
                <w:color w:val="auto"/>
                <w:kern w:val="0"/>
                <w:sz w:val="24"/>
                <w:lang w:bidi="ar"/>
              </w:rPr>
              <w:t>铝合金盒装，每套6片，每片带镜片5片。总计30片镜片。</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盒</w:t>
            </w:r>
          </w:p>
        </w:tc>
        <w:tc>
          <w:tcPr>
            <w:tcW w:w="90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w:t>
            </w:r>
          </w:p>
        </w:tc>
      </w:tr>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24</w:t>
            </w:r>
          </w:p>
        </w:tc>
        <w:tc>
          <w:tcPr>
            <w:tcW w:w="16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音叉</w:t>
            </w:r>
          </w:p>
        </w:tc>
        <w:tc>
          <w:tcPr>
            <w:tcW w:w="9413"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auto"/>
                <w:sz w:val="24"/>
              </w:rPr>
            </w:pPr>
            <w:r>
              <w:rPr>
                <w:rFonts w:hint="eastAsia" w:ascii="宋体" w:hAnsi="宋体" w:cs="宋体"/>
                <w:color w:val="auto"/>
                <w:kern w:val="0"/>
                <w:sz w:val="24"/>
                <w:lang w:bidi="ar"/>
              </w:rPr>
              <w:t>钢制音叉，附带共鸣箱，击打锤。</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个</w:t>
            </w:r>
          </w:p>
        </w:tc>
        <w:tc>
          <w:tcPr>
            <w:tcW w:w="90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w:t>
            </w:r>
          </w:p>
        </w:tc>
      </w:tr>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25</w:t>
            </w:r>
          </w:p>
        </w:tc>
        <w:tc>
          <w:tcPr>
            <w:tcW w:w="16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酒精灯</w:t>
            </w:r>
          </w:p>
        </w:tc>
        <w:tc>
          <w:tcPr>
            <w:tcW w:w="9413"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auto"/>
                <w:sz w:val="24"/>
              </w:rPr>
            </w:pPr>
            <w:r>
              <w:rPr>
                <w:rFonts w:hint="eastAsia" w:ascii="宋体" w:hAnsi="宋体" w:cs="宋体"/>
                <w:color w:val="auto"/>
                <w:kern w:val="0"/>
                <w:sz w:val="24"/>
                <w:lang w:bidi="ar"/>
              </w:rPr>
              <w:t>玻璃制，容量大于等于150mm。</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个</w:t>
            </w:r>
          </w:p>
        </w:tc>
        <w:tc>
          <w:tcPr>
            <w:tcW w:w="90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2</w:t>
            </w:r>
          </w:p>
        </w:tc>
      </w:tr>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26</w:t>
            </w:r>
          </w:p>
        </w:tc>
        <w:tc>
          <w:tcPr>
            <w:tcW w:w="16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冲眼壶</w:t>
            </w:r>
          </w:p>
        </w:tc>
        <w:tc>
          <w:tcPr>
            <w:tcW w:w="9413"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auto"/>
                <w:sz w:val="24"/>
              </w:rPr>
            </w:pPr>
            <w:r>
              <w:rPr>
                <w:rFonts w:hint="eastAsia" w:ascii="宋体" w:hAnsi="宋体" w:cs="宋体"/>
                <w:color w:val="auto"/>
                <w:kern w:val="0"/>
                <w:sz w:val="24"/>
                <w:lang w:bidi="ar"/>
              </w:rPr>
              <w:t>不锈钢制，容积100ml。</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个</w:t>
            </w:r>
          </w:p>
        </w:tc>
        <w:tc>
          <w:tcPr>
            <w:tcW w:w="90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w:t>
            </w:r>
          </w:p>
        </w:tc>
      </w:tr>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27</w:t>
            </w:r>
          </w:p>
        </w:tc>
        <w:tc>
          <w:tcPr>
            <w:tcW w:w="16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受水器</w:t>
            </w:r>
          </w:p>
        </w:tc>
        <w:tc>
          <w:tcPr>
            <w:tcW w:w="9413"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auto"/>
                <w:sz w:val="24"/>
              </w:rPr>
            </w:pPr>
            <w:r>
              <w:rPr>
                <w:rFonts w:hint="eastAsia" w:ascii="宋体" w:hAnsi="宋体" w:cs="宋体"/>
                <w:color w:val="auto"/>
                <w:kern w:val="0"/>
                <w:sz w:val="24"/>
                <w:lang w:bidi="ar"/>
              </w:rPr>
              <w:t>不锈钢受水器。激光焊接。</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个</w:t>
            </w:r>
          </w:p>
        </w:tc>
        <w:tc>
          <w:tcPr>
            <w:tcW w:w="90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w:t>
            </w:r>
          </w:p>
        </w:tc>
      </w:tr>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28</w:t>
            </w:r>
          </w:p>
        </w:tc>
        <w:tc>
          <w:tcPr>
            <w:tcW w:w="16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异物针</w:t>
            </w:r>
          </w:p>
        </w:tc>
        <w:tc>
          <w:tcPr>
            <w:tcW w:w="9413"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auto"/>
                <w:sz w:val="24"/>
              </w:rPr>
            </w:pPr>
            <w:r>
              <w:rPr>
                <w:rFonts w:hint="eastAsia" w:ascii="宋体" w:hAnsi="宋体" w:cs="宋体"/>
                <w:color w:val="auto"/>
                <w:kern w:val="0"/>
                <w:sz w:val="24"/>
                <w:lang w:bidi="ar"/>
              </w:rPr>
              <w:t>不锈钢制，直弯两用。长度不低于160mm。</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套</w:t>
            </w:r>
          </w:p>
        </w:tc>
        <w:tc>
          <w:tcPr>
            <w:tcW w:w="90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w:t>
            </w:r>
          </w:p>
        </w:tc>
      </w:tr>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29</w:t>
            </w:r>
          </w:p>
        </w:tc>
        <w:tc>
          <w:tcPr>
            <w:tcW w:w="16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胸围尺</w:t>
            </w:r>
          </w:p>
        </w:tc>
        <w:tc>
          <w:tcPr>
            <w:tcW w:w="9413"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auto"/>
                <w:sz w:val="24"/>
              </w:rPr>
            </w:pPr>
            <w:r>
              <w:rPr>
                <w:rFonts w:hint="eastAsia" w:ascii="宋体" w:hAnsi="宋体" w:cs="宋体"/>
                <w:color w:val="auto"/>
                <w:kern w:val="0"/>
                <w:sz w:val="24"/>
                <w:lang w:bidi="ar"/>
              </w:rPr>
              <w:t>长度150cm，最小分度值0.5cm，橡塑制品。软皮尺</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条</w:t>
            </w:r>
          </w:p>
        </w:tc>
        <w:tc>
          <w:tcPr>
            <w:tcW w:w="90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5</w:t>
            </w:r>
          </w:p>
        </w:tc>
      </w:tr>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30</w:t>
            </w:r>
          </w:p>
        </w:tc>
        <w:tc>
          <w:tcPr>
            <w:tcW w:w="16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测径规</w:t>
            </w:r>
          </w:p>
        </w:tc>
        <w:tc>
          <w:tcPr>
            <w:tcW w:w="9413"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auto"/>
                <w:sz w:val="24"/>
              </w:rPr>
            </w:pPr>
            <w:r>
              <w:rPr>
                <w:rFonts w:hint="eastAsia" w:ascii="宋体" w:hAnsi="宋体" w:cs="宋体"/>
                <w:color w:val="auto"/>
                <w:kern w:val="0"/>
                <w:sz w:val="24"/>
                <w:lang w:bidi="ar"/>
              </w:rPr>
              <w:t>不锈钢制，内外径测量。</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个</w:t>
            </w:r>
          </w:p>
        </w:tc>
        <w:tc>
          <w:tcPr>
            <w:tcW w:w="90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w:t>
            </w:r>
          </w:p>
        </w:tc>
      </w:tr>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31</w:t>
            </w:r>
          </w:p>
        </w:tc>
        <w:tc>
          <w:tcPr>
            <w:tcW w:w="16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辨色图谱</w:t>
            </w:r>
          </w:p>
        </w:tc>
        <w:tc>
          <w:tcPr>
            <w:tcW w:w="9413"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auto"/>
                <w:sz w:val="24"/>
              </w:rPr>
            </w:pPr>
            <w:r>
              <w:rPr>
                <w:rFonts w:hint="eastAsia" w:ascii="宋体" w:hAnsi="宋体" w:cs="宋体"/>
                <w:color w:val="auto"/>
                <w:kern w:val="0"/>
                <w:sz w:val="24"/>
                <w:lang w:bidi="ar"/>
              </w:rPr>
              <w:t>上海科技出版社。</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本</w:t>
            </w:r>
          </w:p>
        </w:tc>
        <w:tc>
          <w:tcPr>
            <w:tcW w:w="90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w:t>
            </w:r>
          </w:p>
        </w:tc>
      </w:tr>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32</w:t>
            </w:r>
          </w:p>
        </w:tc>
        <w:tc>
          <w:tcPr>
            <w:tcW w:w="16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放大镜</w:t>
            </w:r>
          </w:p>
        </w:tc>
        <w:tc>
          <w:tcPr>
            <w:tcW w:w="9413"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auto"/>
                <w:sz w:val="24"/>
              </w:rPr>
            </w:pPr>
            <w:r>
              <w:rPr>
                <w:rFonts w:hint="eastAsia" w:ascii="宋体" w:hAnsi="宋体" w:cs="宋体"/>
                <w:color w:val="auto"/>
                <w:kern w:val="0"/>
                <w:sz w:val="24"/>
                <w:lang w:bidi="ar"/>
              </w:rPr>
              <w:t>通光直径不小于100mm。</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个</w:t>
            </w:r>
          </w:p>
        </w:tc>
        <w:tc>
          <w:tcPr>
            <w:tcW w:w="90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15</w:t>
            </w:r>
          </w:p>
        </w:tc>
      </w:tr>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33</w:t>
            </w:r>
          </w:p>
        </w:tc>
        <w:tc>
          <w:tcPr>
            <w:tcW w:w="16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计算器</w:t>
            </w:r>
          </w:p>
        </w:tc>
        <w:tc>
          <w:tcPr>
            <w:tcW w:w="9413"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auto"/>
                <w:sz w:val="24"/>
              </w:rPr>
            </w:pPr>
            <w:r>
              <w:rPr>
                <w:rFonts w:hint="eastAsia" w:ascii="宋体" w:hAnsi="宋体" w:cs="宋体"/>
                <w:color w:val="auto"/>
                <w:kern w:val="0"/>
                <w:sz w:val="24"/>
                <w:lang w:bidi="ar"/>
              </w:rPr>
              <w:t>多功能科学计算器</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台</w:t>
            </w:r>
          </w:p>
        </w:tc>
        <w:tc>
          <w:tcPr>
            <w:tcW w:w="90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5</w:t>
            </w:r>
          </w:p>
        </w:tc>
      </w:tr>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34</w:t>
            </w:r>
          </w:p>
        </w:tc>
        <w:tc>
          <w:tcPr>
            <w:tcW w:w="16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担架</w:t>
            </w:r>
          </w:p>
        </w:tc>
        <w:tc>
          <w:tcPr>
            <w:tcW w:w="9413"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auto"/>
                <w:sz w:val="24"/>
              </w:rPr>
            </w:pPr>
            <w:r>
              <w:rPr>
                <w:rFonts w:hint="eastAsia" w:ascii="宋体" w:hAnsi="宋体" w:cs="宋体"/>
                <w:color w:val="auto"/>
                <w:kern w:val="0"/>
                <w:sz w:val="24"/>
                <w:lang w:bidi="ar"/>
              </w:rPr>
              <w:t>折叠式，2000*550*100mm，铝合金管材支架，牛津帆布面料。承重160kg以上。</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副</w:t>
            </w:r>
          </w:p>
        </w:tc>
        <w:tc>
          <w:tcPr>
            <w:tcW w:w="90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w:t>
            </w:r>
          </w:p>
        </w:tc>
      </w:tr>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35</w:t>
            </w:r>
          </w:p>
        </w:tc>
        <w:tc>
          <w:tcPr>
            <w:tcW w:w="16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双拐</w:t>
            </w:r>
          </w:p>
        </w:tc>
        <w:tc>
          <w:tcPr>
            <w:tcW w:w="9413"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auto"/>
                <w:sz w:val="24"/>
              </w:rPr>
            </w:pPr>
            <w:r>
              <w:rPr>
                <w:rFonts w:hint="eastAsia" w:ascii="宋体" w:hAnsi="宋体" w:cs="宋体"/>
                <w:color w:val="auto"/>
                <w:kern w:val="0"/>
                <w:sz w:val="24"/>
                <w:lang w:bidi="ar"/>
              </w:rPr>
              <w:t>铝合金制，九档可调，称重不低于70kg。</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副</w:t>
            </w:r>
          </w:p>
        </w:tc>
        <w:tc>
          <w:tcPr>
            <w:tcW w:w="90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w:t>
            </w:r>
          </w:p>
        </w:tc>
      </w:tr>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36</w:t>
            </w:r>
          </w:p>
        </w:tc>
        <w:tc>
          <w:tcPr>
            <w:tcW w:w="1687"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top"/>
              <w:rPr>
                <w:rFonts w:hint="eastAsia" w:ascii="宋体" w:hAnsi="宋体" w:cs="宋体"/>
                <w:color w:val="auto"/>
                <w:sz w:val="24"/>
              </w:rPr>
            </w:pPr>
            <w:r>
              <w:rPr>
                <w:rFonts w:hint="eastAsia" w:ascii="宋体" w:hAnsi="宋体" w:cs="宋体"/>
                <w:color w:val="auto"/>
                <w:kern w:val="0"/>
                <w:sz w:val="24"/>
                <w:lang w:bidi="ar"/>
              </w:rPr>
              <w:t>笔式电子体温计</w:t>
            </w:r>
          </w:p>
        </w:tc>
        <w:tc>
          <w:tcPr>
            <w:tcW w:w="9413"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auto"/>
                <w:sz w:val="24"/>
              </w:rPr>
            </w:pPr>
            <w:r>
              <w:rPr>
                <w:rFonts w:hint="eastAsia" w:ascii="宋体" w:hAnsi="宋体" w:cs="宋体"/>
                <w:color w:val="auto"/>
                <w:kern w:val="0"/>
                <w:sz w:val="24"/>
                <w:lang w:bidi="ar"/>
              </w:rPr>
              <w:t>带有记忆功能；带提示音功能；测量精准；自动关机；可量范围32-42度</w:t>
            </w:r>
          </w:p>
        </w:tc>
        <w:tc>
          <w:tcPr>
            <w:tcW w:w="915"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top"/>
              <w:rPr>
                <w:rFonts w:hint="eastAsia" w:ascii="宋体" w:hAnsi="宋体" w:cs="宋体"/>
                <w:color w:val="auto"/>
                <w:sz w:val="24"/>
              </w:rPr>
            </w:pPr>
            <w:r>
              <w:rPr>
                <w:rFonts w:hint="eastAsia" w:ascii="宋体" w:hAnsi="宋体" w:cs="宋体"/>
                <w:color w:val="auto"/>
                <w:kern w:val="0"/>
                <w:sz w:val="24"/>
                <w:lang w:bidi="ar"/>
              </w:rPr>
              <w:t>只</w:t>
            </w:r>
          </w:p>
        </w:tc>
        <w:tc>
          <w:tcPr>
            <w:tcW w:w="90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5</w:t>
            </w:r>
          </w:p>
        </w:tc>
      </w:tr>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37</w:t>
            </w:r>
          </w:p>
        </w:tc>
        <w:tc>
          <w:tcPr>
            <w:tcW w:w="16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体温计</w:t>
            </w:r>
          </w:p>
        </w:tc>
        <w:tc>
          <w:tcPr>
            <w:tcW w:w="9413"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auto"/>
                <w:sz w:val="24"/>
              </w:rPr>
            </w:pPr>
            <w:r>
              <w:rPr>
                <w:rFonts w:hint="eastAsia" w:ascii="宋体" w:hAnsi="宋体" w:cs="宋体"/>
                <w:color w:val="auto"/>
                <w:kern w:val="0"/>
                <w:sz w:val="24"/>
                <w:lang w:bidi="ar"/>
              </w:rPr>
              <w:t>医用体温计，水银柱式，测量范围25-42°，三角玻璃棒型。</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只</w:t>
            </w:r>
          </w:p>
        </w:tc>
        <w:tc>
          <w:tcPr>
            <w:tcW w:w="90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50</w:t>
            </w:r>
          </w:p>
        </w:tc>
      </w:tr>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38</w:t>
            </w:r>
          </w:p>
        </w:tc>
        <w:tc>
          <w:tcPr>
            <w:tcW w:w="16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注射器</w:t>
            </w:r>
          </w:p>
        </w:tc>
        <w:tc>
          <w:tcPr>
            <w:tcW w:w="9413"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auto"/>
                <w:sz w:val="24"/>
              </w:rPr>
            </w:pPr>
            <w:r>
              <w:rPr>
                <w:rFonts w:hint="eastAsia" w:ascii="宋体" w:hAnsi="宋体" w:cs="宋体"/>
                <w:color w:val="auto"/>
                <w:kern w:val="0"/>
                <w:sz w:val="24"/>
                <w:lang w:bidi="ar"/>
              </w:rPr>
              <w:t>一次性注射器，一套6只 。1ml、2ml、5ml、10ml、25ml、50ml</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盒</w:t>
            </w:r>
          </w:p>
        </w:tc>
        <w:tc>
          <w:tcPr>
            <w:tcW w:w="90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30</w:t>
            </w:r>
          </w:p>
        </w:tc>
      </w:tr>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39</w:t>
            </w:r>
          </w:p>
        </w:tc>
        <w:tc>
          <w:tcPr>
            <w:tcW w:w="16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止血带</w:t>
            </w:r>
          </w:p>
        </w:tc>
        <w:tc>
          <w:tcPr>
            <w:tcW w:w="9413"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auto"/>
                <w:sz w:val="24"/>
              </w:rPr>
            </w:pPr>
            <w:r>
              <w:rPr>
                <w:rFonts w:hint="eastAsia" w:ascii="宋体" w:hAnsi="宋体" w:cs="宋体"/>
                <w:color w:val="auto"/>
                <w:kern w:val="0"/>
                <w:sz w:val="24"/>
                <w:lang w:bidi="ar"/>
              </w:rPr>
              <w:t>乳胶式</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米</w:t>
            </w:r>
          </w:p>
        </w:tc>
        <w:tc>
          <w:tcPr>
            <w:tcW w:w="90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3</w:t>
            </w:r>
          </w:p>
        </w:tc>
      </w:tr>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40</w:t>
            </w:r>
          </w:p>
        </w:tc>
        <w:tc>
          <w:tcPr>
            <w:tcW w:w="16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口镜</w:t>
            </w:r>
          </w:p>
        </w:tc>
        <w:tc>
          <w:tcPr>
            <w:tcW w:w="9413"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auto"/>
                <w:sz w:val="24"/>
              </w:rPr>
            </w:pPr>
            <w:r>
              <w:rPr>
                <w:rFonts w:hint="eastAsia" w:ascii="宋体" w:hAnsi="宋体" w:cs="宋体"/>
                <w:color w:val="auto"/>
                <w:kern w:val="0"/>
                <w:sz w:val="24"/>
                <w:lang w:bidi="ar"/>
              </w:rPr>
              <w:t>医用不锈钢口腔检查器械，口镜头可更换。</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支</w:t>
            </w:r>
          </w:p>
        </w:tc>
        <w:tc>
          <w:tcPr>
            <w:tcW w:w="90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2</w:t>
            </w:r>
          </w:p>
        </w:tc>
      </w:tr>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41</w:t>
            </w:r>
          </w:p>
        </w:tc>
        <w:tc>
          <w:tcPr>
            <w:tcW w:w="16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皮脂厚度测量仪</w:t>
            </w:r>
          </w:p>
        </w:tc>
        <w:tc>
          <w:tcPr>
            <w:tcW w:w="9413"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auto"/>
                <w:sz w:val="24"/>
              </w:rPr>
            </w:pPr>
            <w:r>
              <w:rPr>
                <w:rFonts w:hint="eastAsia" w:ascii="宋体" w:hAnsi="宋体" w:cs="宋体"/>
                <w:color w:val="auto"/>
                <w:kern w:val="0"/>
                <w:sz w:val="24"/>
                <w:lang w:bidi="ar"/>
              </w:rPr>
              <w:t>指针式显示，测量皮质厚度范围80mm。</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台</w:t>
            </w:r>
          </w:p>
        </w:tc>
        <w:tc>
          <w:tcPr>
            <w:tcW w:w="90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w:t>
            </w:r>
          </w:p>
        </w:tc>
      </w:tr>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42</w:t>
            </w:r>
          </w:p>
        </w:tc>
        <w:tc>
          <w:tcPr>
            <w:tcW w:w="16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带盖方盘</w:t>
            </w:r>
          </w:p>
        </w:tc>
        <w:tc>
          <w:tcPr>
            <w:tcW w:w="9413"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auto"/>
                <w:sz w:val="24"/>
              </w:rPr>
            </w:pPr>
            <w:r>
              <w:rPr>
                <w:rFonts w:hint="eastAsia" w:ascii="宋体" w:hAnsi="宋体" w:cs="宋体"/>
                <w:color w:val="auto"/>
                <w:kern w:val="0"/>
                <w:sz w:val="24"/>
                <w:lang w:bidi="ar"/>
              </w:rPr>
              <w:t>不锈钢制，240*150*40mm，带盖，无孔。</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个</w:t>
            </w:r>
          </w:p>
        </w:tc>
        <w:tc>
          <w:tcPr>
            <w:tcW w:w="90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w:t>
            </w:r>
          </w:p>
        </w:tc>
      </w:tr>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43</w:t>
            </w:r>
          </w:p>
        </w:tc>
        <w:tc>
          <w:tcPr>
            <w:tcW w:w="16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贮槽</w:t>
            </w:r>
          </w:p>
        </w:tc>
        <w:tc>
          <w:tcPr>
            <w:tcW w:w="9413"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auto"/>
                <w:sz w:val="24"/>
              </w:rPr>
            </w:pPr>
            <w:r>
              <w:rPr>
                <w:rFonts w:hint="eastAsia" w:ascii="宋体" w:hAnsi="宋体" w:cs="宋体"/>
                <w:color w:val="auto"/>
                <w:kern w:val="0"/>
                <w:sz w:val="24"/>
                <w:lang w:bidi="ar"/>
              </w:rPr>
              <w:t>不锈钢制，直径200mm，有孔，带盖。</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个</w:t>
            </w:r>
          </w:p>
        </w:tc>
        <w:tc>
          <w:tcPr>
            <w:tcW w:w="90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w:t>
            </w:r>
          </w:p>
        </w:tc>
      </w:tr>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44</w:t>
            </w:r>
          </w:p>
        </w:tc>
        <w:tc>
          <w:tcPr>
            <w:tcW w:w="16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敷料缸、棉球缸、器械缸</w:t>
            </w:r>
          </w:p>
        </w:tc>
        <w:tc>
          <w:tcPr>
            <w:tcW w:w="9413"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auto"/>
                <w:sz w:val="24"/>
              </w:rPr>
            </w:pPr>
            <w:r>
              <w:rPr>
                <w:rFonts w:hint="eastAsia" w:ascii="宋体" w:hAnsi="宋体" w:cs="宋体"/>
                <w:color w:val="auto"/>
                <w:kern w:val="0"/>
                <w:sz w:val="24"/>
                <w:lang w:bidi="ar"/>
              </w:rPr>
              <w:t>不锈钢制，带盖，直径10cm，带盖。直径10cm，高度9cm</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个</w:t>
            </w:r>
          </w:p>
        </w:tc>
        <w:tc>
          <w:tcPr>
            <w:tcW w:w="90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6</w:t>
            </w:r>
          </w:p>
        </w:tc>
      </w:tr>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45</w:t>
            </w:r>
          </w:p>
        </w:tc>
        <w:tc>
          <w:tcPr>
            <w:tcW w:w="16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器械缸（镊子筒）</w:t>
            </w:r>
          </w:p>
        </w:tc>
        <w:tc>
          <w:tcPr>
            <w:tcW w:w="9413"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auto"/>
                <w:sz w:val="24"/>
              </w:rPr>
            </w:pPr>
            <w:r>
              <w:rPr>
                <w:rFonts w:hint="eastAsia" w:ascii="宋体" w:hAnsi="宋体" w:cs="宋体"/>
                <w:color w:val="auto"/>
                <w:kern w:val="0"/>
                <w:sz w:val="24"/>
                <w:lang w:bidi="ar"/>
              </w:rPr>
              <w:t>不锈钢制，锥形体，带盖。小号。盖子4.3cm，底6.8cm，高11cm</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个</w:t>
            </w:r>
          </w:p>
        </w:tc>
        <w:tc>
          <w:tcPr>
            <w:tcW w:w="90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w:t>
            </w:r>
          </w:p>
        </w:tc>
      </w:tr>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46</w:t>
            </w:r>
          </w:p>
        </w:tc>
        <w:tc>
          <w:tcPr>
            <w:tcW w:w="16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器械缸（镊子筒）</w:t>
            </w:r>
          </w:p>
        </w:tc>
        <w:tc>
          <w:tcPr>
            <w:tcW w:w="9413"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auto"/>
                <w:sz w:val="24"/>
              </w:rPr>
            </w:pPr>
            <w:r>
              <w:rPr>
                <w:rFonts w:hint="eastAsia" w:ascii="宋体" w:hAnsi="宋体" w:cs="宋体"/>
                <w:color w:val="auto"/>
                <w:kern w:val="0"/>
                <w:sz w:val="24"/>
                <w:lang w:bidi="ar"/>
              </w:rPr>
              <w:t>不锈钢制，锥形体，带盖。中号。盖子6cm，底8.5cm，高15.5cm</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个</w:t>
            </w:r>
          </w:p>
        </w:tc>
        <w:tc>
          <w:tcPr>
            <w:tcW w:w="90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w:t>
            </w:r>
          </w:p>
        </w:tc>
      </w:tr>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47</w:t>
            </w:r>
          </w:p>
        </w:tc>
        <w:tc>
          <w:tcPr>
            <w:tcW w:w="16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弯盘</w:t>
            </w:r>
          </w:p>
        </w:tc>
        <w:tc>
          <w:tcPr>
            <w:tcW w:w="9413"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auto"/>
                <w:sz w:val="24"/>
              </w:rPr>
            </w:pPr>
            <w:r>
              <w:rPr>
                <w:rFonts w:hint="eastAsia" w:ascii="宋体" w:hAnsi="宋体" w:cs="宋体"/>
                <w:color w:val="auto"/>
                <w:kern w:val="0"/>
                <w:sz w:val="24"/>
                <w:lang w:bidi="ar"/>
              </w:rPr>
              <w:t>标配，不锈钢腰型盘，小号</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个</w:t>
            </w:r>
          </w:p>
        </w:tc>
        <w:tc>
          <w:tcPr>
            <w:tcW w:w="90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w:t>
            </w:r>
          </w:p>
        </w:tc>
      </w:tr>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48</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弯盘</w:t>
            </w:r>
          </w:p>
        </w:tc>
        <w:tc>
          <w:tcPr>
            <w:tcW w:w="94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textAlignment w:val="center"/>
              <w:rPr>
                <w:rFonts w:hint="eastAsia" w:ascii="宋体" w:hAnsi="宋体" w:cs="宋体"/>
                <w:color w:val="auto"/>
                <w:sz w:val="24"/>
              </w:rPr>
            </w:pPr>
            <w:r>
              <w:rPr>
                <w:rFonts w:hint="eastAsia" w:ascii="宋体" w:hAnsi="宋体" w:cs="宋体"/>
                <w:color w:val="auto"/>
                <w:kern w:val="0"/>
                <w:sz w:val="24"/>
                <w:lang w:bidi="ar"/>
              </w:rPr>
              <w:t>标配，不锈钢腰型盘，中号</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个</w:t>
            </w:r>
          </w:p>
        </w:tc>
        <w:tc>
          <w:tcPr>
            <w:tcW w:w="90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w:t>
            </w:r>
          </w:p>
        </w:tc>
      </w:tr>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49</w:t>
            </w:r>
          </w:p>
        </w:tc>
        <w:tc>
          <w:tcPr>
            <w:tcW w:w="16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少年人体半身模型</w:t>
            </w:r>
          </w:p>
        </w:tc>
        <w:tc>
          <w:tcPr>
            <w:tcW w:w="9413"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auto"/>
                <w:sz w:val="24"/>
              </w:rPr>
            </w:pPr>
            <w:r>
              <w:rPr>
                <w:rFonts w:hint="eastAsia" w:ascii="宋体" w:hAnsi="宋体" w:cs="宋体"/>
                <w:color w:val="auto"/>
                <w:kern w:val="0"/>
                <w:sz w:val="24"/>
                <w:lang w:bidi="ar"/>
              </w:rPr>
              <w:t>产品为高约 85mm 之少年男性解剖模型，包括头、颈、躯干部分。</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件</w:t>
            </w:r>
          </w:p>
        </w:tc>
        <w:tc>
          <w:tcPr>
            <w:tcW w:w="90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w:t>
            </w:r>
          </w:p>
        </w:tc>
      </w:tr>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50</w:t>
            </w:r>
          </w:p>
        </w:tc>
        <w:tc>
          <w:tcPr>
            <w:tcW w:w="16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儿童骨骼模型</w:t>
            </w:r>
          </w:p>
        </w:tc>
        <w:tc>
          <w:tcPr>
            <w:tcW w:w="9413"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auto"/>
                <w:sz w:val="24"/>
              </w:rPr>
            </w:pPr>
            <w:r>
              <w:rPr>
                <w:rFonts w:hint="eastAsia" w:ascii="宋体" w:hAnsi="宋体" w:cs="宋体"/>
                <w:color w:val="auto"/>
                <w:kern w:val="0"/>
                <w:sz w:val="24"/>
                <w:lang w:bidi="ar"/>
              </w:rPr>
              <w:t>产品为男性儿童骨骼模型，串制成正常直立姿势立于支架上。模型高 85cm；</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件</w:t>
            </w:r>
          </w:p>
        </w:tc>
        <w:tc>
          <w:tcPr>
            <w:tcW w:w="90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w:t>
            </w:r>
          </w:p>
        </w:tc>
      </w:tr>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51</w:t>
            </w:r>
          </w:p>
        </w:tc>
        <w:tc>
          <w:tcPr>
            <w:tcW w:w="16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眼构造模型</w:t>
            </w:r>
          </w:p>
        </w:tc>
        <w:tc>
          <w:tcPr>
            <w:tcW w:w="9413"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auto"/>
                <w:sz w:val="24"/>
              </w:rPr>
            </w:pPr>
            <w:r>
              <w:rPr>
                <w:rFonts w:hint="eastAsia" w:ascii="宋体" w:hAnsi="宋体" w:cs="宋体"/>
                <w:color w:val="auto"/>
                <w:kern w:val="0"/>
                <w:sz w:val="24"/>
                <w:lang w:bidi="ar"/>
              </w:rPr>
              <w:t>眼构造的血管的粗细、比例、位置、走向以及分支和脂肪的关系，应正确自然，动静脉的管壁应有明显的区别。该产品为放大三倍之人体眼球构造模型， 可拆装，置于底座上。眼球壁通过眼球前后极做正中水平切，示眼球壁的三 层被膜：外膜、中膜和内膜。外膜：示角膜（可拆装）和巩膜；中膜：示虹 膜、睫状和脉洛膜；内膜：示视网膜盲部和视网膜视印，在视网膜部示视神 经盘和黄斑。拆光装置：示晶状体和玻璃体，匀可拆下。眼球肌：示上直肌、 下直肌、内直肌、外直肌、上斜肌和下斜肌，眼血管和视神经。眼血管：示 眼动脉的分支：肌动脉、视网膜中央</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件</w:t>
            </w:r>
          </w:p>
        </w:tc>
        <w:tc>
          <w:tcPr>
            <w:tcW w:w="90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w:t>
            </w:r>
          </w:p>
        </w:tc>
      </w:tr>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52</w:t>
            </w:r>
          </w:p>
        </w:tc>
        <w:tc>
          <w:tcPr>
            <w:tcW w:w="16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儿童牙列模型</w:t>
            </w:r>
          </w:p>
        </w:tc>
        <w:tc>
          <w:tcPr>
            <w:tcW w:w="9413"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auto"/>
                <w:sz w:val="24"/>
              </w:rPr>
            </w:pPr>
            <w:r>
              <w:rPr>
                <w:rFonts w:hint="eastAsia" w:ascii="宋体" w:hAnsi="宋体" w:cs="宋体"/>
                <w:color w:val="auto"/>
                <w:kern w:val="0"/>
                <w:sz w:val="24"/>
                <w:lang w:bidi="ar"/>
              </w:rPr>
              <w:t>模型为右则下半之牙列，下颌角至冠突高，保留右半下颈骨及部分牙龈。示牙列右侧中切牙、侧切牙、尖牙、和一前磨牙、第二前磨牙、第一磨牙、第 二磨牙和第三磨牙在齿槽内的形态、位置和结构特点。磨牙在齿槽内的形态、 位置和结构特点。第二磨牙做正中矢状物，示牙切面的结构。并可示动、静 脉、神经由下颌孔出入，经牙腔孔至牙颏孔的结构。磨牙的一侧切面示釉质、 牙质、粘合质及牙腔。另一侧切面上示牙髓。</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件</w:t>
            </w:r>
          </w:p>
        </w:tc>
        <w:tc>
          <w:tcPr>
            <w:tcW w:w="90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w:t>
            </w:r>
          </w:p>
        </w:tc>
      </w:tr>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53</w:t>
            </w:r>
          </w:p>
        </w:tc>
        <w:tc>
          <w:tcPr>
            <w:tcW w:w="16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耳解剖模型</w:t>
            </w:r>
          </w:p>
        </w:tc>
        <w:tc>
          <w:tcPr>
            <w:tcW w:w="9413"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auto"/>
                <w:sz w:val="24"/>
              </w:rPr>
            </w:pPr>
            <w:r>
              <w:rPr>
                <w:rFonts w:hint="eastAsia" w:ascii="宋体" w:hAnsi="宋体" w:cs="宋体"/>
                <w:color w:val="auto"/>
                <w:kern w:val="0"/>
                <w:sz w:val="24"/>
                <w:lang w:bidi="ar"/>
              </w:rPr>
              <w:t>产品为放大五倍的成人耳模型，装置于底座上。2．整体为外耳及相连的颞骨岩部，切除外耳道的前部，显示外耳道的形态结构，水平切开颞骨岩部， 保留鼓宜盖，显示中耳、内耳的结构。3．外耳示耳廓、外耳道；中耳示鼓 膜（可拆下）、鼓室、3 块听小骨（连在一起可拆下）、咽鼓管及乳突窦； 内耳（可整体拆下）示骨半规管、前庭、耳蜗和前庭蜗神经等结构。4．示 颈内动、静脉。5．各部分的形态位置，比例和颜色等均应正确自然。6．模 型采用硬塑或混合树脂制作，不得采用软塑料</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件</w:t>
            </w:r>
          </w:p>
        </w:tc>
        <w:tc>
          <w:tcPr>
            <w:tcW w:w="90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w:t>
            </w:r>
          </w:p>
        </w:tc>
      </w:tr>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54</w:t>
            </w:r>
          </w:p>
        </w:tc>
        <w:tc>
          <w:tcPr>
            <w:tcW w:w="16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小学健康教育教学挂图</w:t>
            </w:r>
          </w:p>
        </w:tc>
        <w:tc>
          <w:tcPr>
            <w:tcW w:w="9413"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auto"/>
                <w:sz w:val="24"/>
              </w:rPr>
            </w:pPr>
            <w:r>
              <w:rPr>
                <w:rFonts w:hint="eastAsia" w:ascii="宋体" w:hAnsi="宋体" w:cs="宋体"/>
                <w:color w:val="auto"/>
                <w:kern w:val="0"/>
                <w:sz w:val="24"/>
                <w:lang w:bidi="ar"/>
              </w:rPr>
              <w:t>教学挂图（对开铜版纸）</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套</w:t>
            </w:r>
          </w:p>
        </w:tc>
        <w:tc>
          <w:tcPr>
            <w:tcW w:w="90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w:t>
            </w:r>
          </w:p>
        </w:tc>
      </w:tr>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55</w:t>
            </w:r>
          </w:p>
        </w:tc>
        <w:tc>
          <w:tcPr>
            <w:tcW w:w="16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眼保健操挂图</w:t>
            </w:r>
          </w:p>
        </w:tc>
        <w:tc>
          <w:tcPr>
            <w:tcW w:w="9413"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auto"/>
                <w:sz w:val="24"/>
              </w:rPr>
            </w:pPr>
            <w:r>
              <w:rPr>
                <w:rFonts w:hint="eastAsia" w:ascii="宋体" w:hAnsi="宋体" w:cs="宋体"/>
                <w:color w:val="auto"/>
                <w:kern w:val="0"/>
                <w:sz w:val="24"/>
                <w:lang w:bidi="ar"/>
              </w:rPr>
              <w:t>教学挂图（对开铜版纸）</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套</w:t>
            </w:r>
          </w:p>
        </w:tc>
        <w:tc>
          <w:tcPr>
            <w:tcW w:w="90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w:t>
            </w:r>
          </w:p>
        </w:tc>
      </w:tr>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56</w:t>
            </w:r>
          </w:p>
        </w:tc>
        <w:tc>
          <w:tcPr>
            <w:tcW w:w="16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柳型夹板</w:t>
            </w:r>
          </w:p>
        </w:tc>
        <w:tc>
          <w:tcPr>
            <w:tcW w:w="9413"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auto"/>
                <w:sz w:val="24"/>
              </w:rPr>
            </w:pPr>
            <w:r>
              <w:rPr>
                <w:rFonts w:hint="eastAsia" w:ascii="宋体" w:hAnsi="宋体" w:cs="宋体"/>
                <w:color w:val="auto"/>
                <w:kern w:val="0"/>
                <w:sz w:val="24"/>
                <w:lang w:bidi="ar"/>
              </w:rPr>
              <w:t>木质包纯棉布，一组三块。</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套</w:t>
            </w:r>
          </w:p>
        </w:tc>
        <w:tc>
          <w:tcPr>
            <w:tcW w:w="90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w:t>
            </w:r>
          </w:p>
        </w:tc>
      </w:tr>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57</w:t>
            </w:r>
          </w:p>
        </w:tc>
        <w:tc>
          <w:tcPr>
            <w:tcW w:w="16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医用平推车（器械车）</w:t>
            </w:r>
          </w:p>
        </w:tc>
        <w:tc>
          <w:tcPr>
            <w:tcW w:w="9413"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auto"/>
                <w:sz w:val="24"/>
              </w:rPr>
            </w:pPr>
            <w:r>
              <w:rPr>
                <w:rFonts w:hint="eastAsia" w:ascii="宋体" w:hAnsi="宋体" w:cs="宋体"/>
                <w:color w:val="auto"/>
                <w:kern w:val="0"/>
                <w:sz w:val="24"/>
                <w:lang w:bidi="ar"/>
              </w:rPr>
              <w:t>大于等于60cm×40cm×90cm，拆装式，双层隔板，不锈钢材质，四角万向轮，螺栓固定模式。</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台</w:t>
            </w:r>
          </w:p>
        </w:tc>
        <w:tc>
          <w:tcPr>
            <w:tcW w:w="90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w:t>
            </w:r>
          </w:p>
        </w:tc>
      </w:tr>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58</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屏风</w:t>
            </w:r>
          </w:p>
        </w:tc>
        <w:tc>
          <w:tcPr>
            <w:tcW w:w="94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textAlignment w:val="center"/>
              <w:rPr>
                <w:rFonts w:hint="eastAsia" w:ascii="宋体" w:hAnsi="宋体" w:cs="宋体"/>
                <w:color w:val="auto"/>
                <w:sz w:val="24"/>
              </w:rPr>
            </w:pPr>
            <w:r>
              <w:rPr>
                <w:rFonts w:hint="eastAsia" w:ascii="宋体" w:hAnsi="宋体" w:cs="宋体"/>
                <w:color w:val="auto"/>
                <w:kern w:val="0"/>
                <w:sz w:val="24"/>
                <w:lang w:bidi="ar"/>
              </w:rPr>
              <w:t>长度约2000mm,高度约1800mm。全不锈钢骨架结构。屏风面料，环保化纤油画布。完全防水。</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套</w:t>
            </w:r>
          </w:p>
        </w:tc>
        <w:tc>
          <w:tcPr>
            <w:tcW w:w="90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w:t>
            </w:r>
          </w:p>
        </w:tc>
      </w:tr>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59</w:t>
            </w:r>
          </w:p>
        </w:tc>
        <w:tc>
          <w:tcPr>
            <w:tcW w:w="16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 xml:space="preserve">回转台 </w:t>
            </w:r>
          </w:p>
        </w:tc>
        <w:tc>
          <w:tcPr>
            <w:tcW w:w="9413" w:type="dxa"/>
            <w:tcBorders>
              <w:top w:val="single" w:color="000000" w:sz="4" w:space="0"/>
              <w:left w:val="single" w:color="000000" w:sz="4" w:space="0"/>
              <w:bottom w:val="single" w:color="000000" w:sz="4" w:space="0"/>
              <w:right w:val="single" w:color="000000" w:sz="4" w:space="0"/>
            </w:tcBorders>
            <w:noWrap w:val="0"/>
            <w:vAlign w:val="bottom"/>
          </w:tcPr>
          <w:p>
            <w:pPr>
              <w:widowControl/>
              <w:textAlignment w:val="bottom"/>
              <w:rPr>
                <w:rFonts w:hint="eastAsia" w:ascii="宋体" w:hAnsi="宋体" w:cs="宋体"/>
                <w:color w:val="auto"/>
                <w:sz w:val="24"/>
              </w:rPr>
            </w:pPr>
            <w:r>
              <w:rPr>
                <w:rFonts w:hint="eastAsia" w:ascii="宋体" w:hAnsi="宋体" w:cs="宋体"/>
                <w:color w:val="auto"/>
                <w:kern w:val="0"/>
                <w:sz w:val="24"/>
                <w:lang w:bidi="ar"/>
              </w:rPr>
              <w:t>高级橡塑制品，直径不小于28cm</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台</w:t>
            </w:r>
          </w:p>
        </w:tc>
        <w:tc>
          <w:tcPr>
            <w:tcW w:w="90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w:t>
            </w:r>
          </w:p>
        </w:tc>
      </w:tr>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60</w:t>
            </w:r>
          </w:p>
        </w:tc>
        <w:tc>
          <w:tcPr>
            <w:tcW w:w="1687"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color w:val="auto"/>
                <w:sz w:val="24"/>
              </w:rPr>
            </w:pPr>
            <w:r>
              <w:rPr>
                <w:rFonts w:hint="eastAsia" w:ascii="宋体" w:hAnsi="宋体" w:cs="宋体"/>
                <w:color w:val="auto"/>
                <w:kern w:val="0"/>
                <w:sz w:val="24"/>
                <w:lang w:bidi="ar"/>
              </w:rPr>
              <w:t>角膜放大镜</w:t>
            </w:r>
          </w:p>
        </w:tc>
        <w:tc>
          <w:tcPr>
            <w:tcW w:w="9413" w:type="dxa"/>
            <w:tcBorders>
              <w:top w:val="single" w:color="000000" w:sz="4" w:space="0"/>
              <w:left w:val="single" w:color="000000" w:sz="4" w:space="0"/>
              <w:bottom w:val="single" w:color="000000" w:sz="4" w:space="0"/>
              <w:right w:val="single" w:color="000000" w:sz="4" w:space="0"/>
            </w:tcBorders>
            <w:noWrap w:val="0"/>
            <w:vAlign w:val="bottom"/>
          </w:tcPr>
          <w:p>
            <w:pPr>
              <w:widowControl/>
              <w:textAlignment w:val="bottom"/>
              <w:rPr>
                <w:rFonts w:hint="eastAsia" w:ascii="宋体" w:hAnsi="宋体" w:cs="宋体"/>
                <w:color w:val="auto"/>
                <w:sz w:val="24"/>
              </w:rPr>
            </w:pPr>
            <w:r>
              <w:rPr>
                <w:rFonts w:hint="eastAsia" w:ascii="宋体" w:hAnsi="宋体" w:cs="宋体"/>
                <w:color w:val="auto"/>
                <w:kern w:val="0"/>
                <w:sz w:val="24"/>
                <w:lang w:bidi="ar"/>
              </w:rPr>
              <w:t>眼角罩</w:t>
            </w:r>
          </w:p>
        </w:tc>
        <w:tc>
          <w:tcPr>
            <w:tcW w:w="915"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color w:val="auto"/>
                <w:sz w:val="24"/>
              </w:rPr>
            </w:pPr>
            <w:r>
              <w:rPr>
                <w:rFonts w:hint="eastAsia" w:ascii="宋体" w:hAnsi="宋体" w:cs="宋体"/>
                <w:color w:val="auto"/>
                <w:kern w:val="0"/>
                <w:sz w:val="24"/>
                <w:lang w:bidi="ar"/>
              </w:rPr>
              <w:t>个</w:t>
            </w:r>
          </w:p>
        </w:tc>
        <w:tc>
          <w:tcPr>
            <w:tcW w:w="90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2</w:t>
            </w:r>
          </w:p>
        </w:tc>
      </w:tr>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61</w:t>
            </w:r>
          </w:p>
        </w:tc>
        <w:tc>
          <w:tcPr>
            <w:tcW w:w="1687"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color w:val="auto"/>
                <w:sz w:val="24"/>
              </w:rPr>
            </w:pPr>
            <w:r>
              <w:rPr>
                <w:rFonts w:hint="eastAsia" w:ascii="宋体" w:hAnsi="宋体" w:cs="宋体"/>
                <w:color w:val="auto"/>
                <w:kern w:val="0"/>
                <w:sz w:val="24"/>
                <w:lang w:bidi="ar"/>
              </w:rPr>
              <w:t>白大褂</w:t>
            </w:r>
          </w:p>
        </w:tc>
        <w:tc>
          <w:tcPr>
            <w:tcW w:w="9413" w:type="dxa"/>
            <w:tcBorders>
              <w:top w:val="single" w:color="000000" w:sz="4" w:space="0"/>
              <w:left w:val="single" w:color="000000" w:sz="4" w:space="0"/>
              <w:bottom w:val="single" w:color="000000" w:sz="4" w:space="0"/>
              <w:right w:val="single" w:color="000000" w:sz="4" w:space="0"/>
            </w:tcBorders>
            <w:noWrap w:val="0"/>
            <w:vAlign w:val="bottom"/>
          </w:tcPr>
          <w:p>
            <w:pPr>
              <w:widowControl/>
              <w:textAlignment w:val="bottom"/>
              <w:rPr>
                <w:rFonts w:hint="eastAsia" w:ascii="宋体" w:hAnsi="宋体" w:cs="宋体"/>
                <w:color w:val="auto"/>
                <w:sz w:val="24"/>
              </w:rPr>
            </w:pPr>
            <w:r>
              <w:rPr>
                <w:rFonts w:hint="eastAsia" w:ascii="宋体" w:hAnsi="宋体" w:cs="宋体"/>
                <w:color w:val="auto"/>
                <w:kern w:val="0"/>
                <w:sz w:val="24"/>
                <w:lang w:bidi="ar"/>
              </w:rPr>
              <w:t>均码</w:t>
            </w:r>
          </w:p>
        </w:tc>
        <w:tc>
          <w:tcPr>
            <w:tcW w:w="915"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color w:val="auto"/>
                <w:sz w:val="24"/>
              </w:rPr>
            </w:pPr>
            <w:r>
              <w:rPr>
                <w:rFonts w:hint="eastAsia" w:ascii="宋体" w:hAnsi="宋体" w:cs="宋体"/>
                <w:color w:val="auto"/>
                <w:kern w:val="0"/>
                <w:sz w:val="24"/>
                <w:lang w:bidi="ar"/>
              </w:rPr>
              <w:t>件</w:t>
            </w:r>
          </w:p>
        </w:tc>
        <w:tc>
          <w:tcPr>
            <w:tcW w:w="90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5</w:t>
            </w:r>
          </w:p>
        </w:tc>
      </w:tr>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62</w:t>
            </w:r>
          </w:p>
        </w:tc>
        <w:tc>
          <w:tcPr>
            <w:tcW w:w="16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诊察桌</w:t>
            </w:r>
          </w:p>
        </w:tc>
        <w:tc>
          <w:tcPr>
            <w:tcW w:w="941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1、基材：采用优质E1级三聚氰胺板、,甲醛含量≤1.0mg/L密度≥760kg/m3,静曲张度≥51.2Mpa,吸水膨胀率≤8.1%.桌面通过防菌防霉检测并提供检测报告 ，具备木器加工许可证。</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2、粘合剂：德国牛头牌乳胶；</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3、封边用材：2mm厚PVC胶边，进口热熔胶；</w:t>
            </w:r>
          </w:p>
        </w:tc>
        <w:tc>
          <w:tcPr>
            <w:tcW w:w="9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张</w:t>
            </w:r>
          </w:p>
        </w:tc>
        <w:tc>
          <w:tcPr>
            <w:tcW w:w="90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w:t>
            </w:r>
          </w:p>
        </w:tc>
      </w:tr>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63</w:t>
            </w:r>
          </w:p>
        </w:tc>
        <w:tc>
          <w:tcPr>
            <w:tcW w:w="16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诊察凳</w:t>
            </w:r>
          </w:p>
        </w:tc>
        <w:tc>
          <w:tcPr>
            <w:tcW w:w="941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 xml:space="preserve">产品规格：凳面直径约300mm，高度380-430mm（高度可调）；                                                                                  1、凳面：采用环保型ABS改性塑料一次性注塑成型，表面细纹咬花，防滑不发光                                                                                                                                                                                                                                                                   2、脚钢架：采用大于等于17×34×1.7mm的椭圆形无缝钢管经全圆满焊接而成，结构牢固，经高温粉体烤漆处理，长时间使用也不会产生表面烤漆剥落现象                                                                                     3、脚垫：采用PP加耐磨纤维质塑料，实心倒勾式一体射出成型                                                           </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4、凳面可通过旋转螺杆来升降凳子高度,可调高度5cm</w:t>
            </w:r>
          </w:p>
        </w:tc>
        <w:tc>
          <w:tcPr>
            <w:tcW w:w="9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张</w:t>
            </w:r>
          </w:p>
        </w:tc>
        <w:tc>
          <w:tcPr>
            <w:tcW w:w="90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2</w:t>
            </w:r>
          </w:p>
        </w:tc>
      </w:tr>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64</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药品柜</w:t>
            </w:r>
          </w:p>
        </w:tc>
        <w:tc>
          <w:tcPr>
            <w:tcW w:w="941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1.优质冷轧钢板，厚度大于等于0.8mm；</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2.经冲孔，折弯，组装，焊接，除油，酸洗磷化，静电塑粉喷涂，高温加热干燥等处理；；</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3.防腐防锈，环保无公害；</w:t>
            </w:r>
          </w:p>
        </w:tc>
        <w:tc>
          <w:tcPr>
            <w:tcW w:w="9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台</w:t>
            </w:r>
          </w:p>
        </w:tc>
        <w:tc>
          <w:tcPr>
            <w:tcW w:w="90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2</w:t>
            </w:r>
          </w:p>
        </w:tc>
      </w:tr>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65</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健康档案柜</w:t>
            </w:r>
          </w:p>
        </w:tc>
        <w:tc>
          <w:tcPr>
            <w:tcW w:w="941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1.优质冷轧钢板，厚度大于等于0.8mm；</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2.经冲孔，折弯，组装，焊接，除油，酸洗磷化，静电塑粉喷涂，高温加热干燥等处理；</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3.结构双开门柜，内配上下各两块隔板，上部为玻璃门，配锁；</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4.防腐防锈，环保无公害；</w:t>
            </w:r>
          </w:p>
        </w:tc>
        <w:tc>
          <w:tcPr>
            <w:tcW w:w="9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台</w:t>
            </w:r>
          </w:p>
        </w:tc>
        <w:tc>
          <w:tcPr>
            <w:tcW w:w="90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2</w:t>
            </w:r>
          </w:p>
        </w:tc>
      </w:tr>
    </w:tbl>
    <w:p>
      <w:pPr>
        <w:rPr>
          <w:color w:val="auto"/>
        </w:rPr>
      </w:pPr>
    </w:p>
    <w:p>
      <w:pPr>
        <w:rPr>
          <w:rFonts w:hint="eastAsia"/>
          <w:color w:val="auto"/>
        </w:rPr>
      </w:pPr>
    </w:p>
    <w:p>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Chars="0"/>
        <w:jc w:val="center"/>
        <w:textAlignment w:val="auto"/>
        <w:rPr>
          <w:rFonts w:hint="eastAsia"/>
          <w:color w:val="auto"/>
          <w:sz w:val="30"/>
          <w:szCs w:val="30"/>
        </w:rPr>
      </w:pPr>
      <w:bookmarkStart w:id="23" w:name="_Toc2030"/>
      <w:r>
        <w:rPr>
          <w:rFonts w:hint="eastAsia"/>
          <w:color w:val="auto"/>
          <w:sz w:val="30"/>
          <w:szCs w:val="30"/>
        </w:rPr>
        <w:t>三、云计算机教室</w:t>
      </w:r>
      <w:bookmarkEnd w:id="23"/>
    </w:p>
    <w:tbl>
      <w:tblPr>
        <w:tblStyle w:val="36"/>
        <w:tblW w:w="13772" w:type="dxa"/>
        <w:tblInd w:w="91" w:type="dxa"/>
        <w:tblLayout w:type="fixed"/>
        <w:tblCellMar>
          <w:top w:w="0" w:type="dxa"/>
          <w:left w:w="108" w:type="dxa"/>
          <w:bottom w:w="0" w:type="dxa"/>
          <w:right w:w="108" w:type="dxa"/>
        </w:tblCellMar>
      </w:tblPr>
      <w:tblGrid>
        <w:gridCol w:w="872"/>
        <w:gridCol w:w="1687"/>
        <w:gridCol w:w="9394"/>
        <w:gridCol w:w="938"/>
        <w:gridCol w:w="881"/>
      </w:tblGrid>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bCs/>
                <w:color w:val="auto"/>
                <w:sz w:val="24"/>
              </w:rPr>
            </w:pPr>
            <w:r>
              <w:rPr>
                <w:rFonts w:hint="eastAsia" w:ascii="宋体" w:hAnsi="宋体" w:cs="宋体"/>
                <w:b/>
                <w:bCs/>
                <w:color w:val="auto"/>
                <w:kern w:val="0"/>
                <w:sz w:val="24"/>
                <w:lang w:bidi="ar"/>
              </w:rPr>
              <w:t>序号</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bCs/>
                <w:color w:val="auto"/>
                <w:sz w:val="24"/>
              </w:rPr>
            </w:pPr>
            <w:r>
              <w:rPr>
                <w:rFonts w:hint="eastAsia" w:ascii="宋体" w:hAnsi="宋体" w:cs="宋体"/>
                <w:b/>
                <w:bCs/>
                <w:color w:val="auto"/>
                <w:kern w:val="0"/>
                <w:sz w:val="24"/>
                <w:lang w:bidi="ar"/>
              </w:rPr>
              <w:t>名称</w:t>
            </w:r>
          </w:p>
        </w:tc>
        <w:tc>
          <w:tcPr>
            <w:tcW w:w="939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bCs/>
                <w:color w:val="auto"/>
                <w:sz w:val="24"/>
              </w:rPr>
            </w:pPr>
            <w:r>
              <w:rPr>
                <w:rFonts w:hint="eastAsia" w:ascii="宋体" w:hAnsi="宋体" w:cs="宋体"/>
                <w:b/>
                <w:bCs/>
                <w:color w:val="auto"/>
                <w:kern w:val="0"/>
                <w:sz w:val="24"/>
                <w:lang w:bidi="ar"/>
              </w:rPr>
              <w:t>技术参数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bCs/>
                <w:color w:val="auto"/>
                <w:sz w:val="24"/>
              </w:rPr>
            </w:pPr>
            <w:r>
              <w:rPr>
                <w:rFonts w:hint="eastAsia" w:ascii="宋体" w:hAnsi="宋体" w:cs="宋体"/>
                <w:b/>
                <w:bCs/>
                <w:color w:val="auto"/>
                <w:kern w:val="0"/>
                <w:sz w:val="24"/>
                <w:lang w:bidi="ar"/>
              </w:rPr>
              <w:t>单位</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bCs/>
                <w:color w:val="auto"/>
                <w:sz w:val="24"/>
              </w:rPr>
            </w:pPr>
            <w:r>
              <w:rPr>
                <w:rFonts w:hint="eastAsia" w:ascii="宋体" w:hAnsi="宋体" w:cs="宋体"/>
                <w:b/>
                <w:bCs/>
                <w:color w:val="auto"/>
                <w:kern w:val="0"/>
                <w:sz w:val="24"/>
                <w:lang w:bidi="ar"/>
              </w:rPr>
              <w:t>数量</w:t>
            </w:r>
          </w:p>
        </w:tc>
      </w:tr>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w:t>
            </w:r>
          </w:p>
        </w:tc>
        <w:tc>
          <w:tcPr>
            <w:tcW w:w="16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云服务器</w:t>
            </w:r>
          </w:p>
        </w:tc>
        <w:tc>
          <w:tcPr>
            <w:tcW w:w="939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1.可以同时支持至少200点云终端的连接、管理和配置</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2.★CPU：配置≥Intel第10代四核八线程处理器（处理器主频≥3.6GHz），内存：≥16GB，存储：≥512 GB SSD</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3.网口：不少于1个千兆网口</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4.要求采用超融合架构，在同一管理平台内至少包含计算资源、存储资源、网络资源等功能管理模块。所有功能模块需要通过一套软件实现超融合部署，不可以使用多套软件或产品叠加实现</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5.管理平台为B/S架构，中文界面，同一管理界面中可实现对计算、存储、网络等功能的配置操作。</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6.采用超融合架构，在同一管理平台内至少包含计算资源、存储资源、网络资源等功能管理模块。所有功能模块需要通过一套软件实现超融合部署，不可以使用多套软件或产品叠加实现</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台</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w:t>
            </w:r>
          </w:p>
        </w:tc>
      </w:tr>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2</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云课堂教学管理软件</w:t>
            </w:r>
          </w:p>
        </w:tc>
        <w:tc>
          <w:tcPr>
            <w:tcW w:w="939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1.要求提供多种教学模式以应对不同的教学需求，老师可以通过教学管理软件对学生一键切换不同的教学镜像，切换模式时，云终端硬件无需重新启动。</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2.通过教学管理软件，一键关闭云终端后，所有终端自动关闭（虚拟机与物理终端同时关闭）；通过教学管理软件，一键开启所有云终端后，终端自动启动并进入对应的课程镜像桌面；</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3.为简化教学，教学管理软件需要提供远程终端编号功能，并与云桌面编号一一对应，方便上课前的学生点名等。</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4.支持老师对单一、部分、全体学生进行黑屏操作，黑屏状态下，学生的机器被锁定。</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5.为保证正常教学使用，教师机和学生终端完成正常开机，在教师机可以实现屏幕广播；为方便在老师屏幕广播时，学生可以根据老师的演示同步进行学习操作，需提供窗口化广播模式，即在使窗口化广播时，学生可以调整老师广播屏幕大小，以便自由操作学生云终端的系统进行自由跟学，在屏幕广播的同时，老师可以选择是否广播声音给学生。</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6.为方便教学控制，支持通过教学管理软件实现一键禁止任意学生上网，禁网同时需要支持屏幕广播、屏幕查看等正常教学应用。</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7.教学管理软件默认提供作业布置、批改、管理和成绩统计功能组件，提供学生作业的归档和下载；支持老师在作业空间为多个或单个班级的学生布置作业，布置内容可支持各种文件格式。老师可以对作业上交截止时间进行设置。</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8.支持老师在线打开学生作业，格式至少包括txt、图片。在线查看学生作业后，可以在个人空间中打分。</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9.老师将学生作业标记为公开作业，学生可以通过学生端软件查看本年级所有老师标记的公开作业。</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10.随堂测试出题可支持单选、多选、判断、填空、问答等多种课堂测试，方便快速评分批改。</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11.授权方式必须为文件授权方式，而非U-Key授权的方式。</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12.学生奖励机制：学生在教学活动中可以获得虚拟积分，学生和老师端可以查看积分排名；</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套</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w:t>
            </w:r>
          </w:p>
        </w:tc>
      </w:tr>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3</w:t>
            </w:r>
          </w:p>
        </w:tc>
        <w:tc>
          <w:tcPr>
            <w:tcW w:w="16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学生云终端</w:t>
            </w:r>
          </w:p>
        </w:tc>
        <w:tc>
          <w:tcPr>
            <w:tcW w:w="939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1.为保证教学软件及考试系统的兼容效果和稳定运行，终端均需采用x86架构，且为国内自主品牌。</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2.配置intel 全新jasper lake 4核2.0GHz；内存≥4GB DDR4；本地存储≥128 GB SSD；</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3.USB接口≥6个（包含2个USB 3.0接口），≥1个千兆网口，1个VGA接口，1个HDMI接口，1对音频输入输出接口，</w:t>
            </w:r>
            <w:r>
              <w:rPr>
                <w:rFonts w:hint="eastAsia" w:ascii="宋体" w:hAnsi="宋体" w:cs="宋体"/>
                <w:color w:val="auto"/>
                <w:kern w:val="0"/>
                <w:sz w:val="24"/>
                <w:lang w:bidi="ar"/>
              </w:rPr>
              <w:br w:type="textWrapping"/>
            </w:r>
            <w:r>
              <w:rPr>
                <w:rFonts w:hint="eastAsia" w:ascii="宋体" w:hAnsi="宋体" w:cs="宋体"/>
                <w:color w:val="auto"/>
                <w:kern w:val="0"/>
                <w:sz w:val="24"/>
                <w:lang w:val="en-US" w:eastAsia="zh-CN" w:bidi="ar"/>
              </w:rPr>
              <w:t>4</w:t>
            </w:r>
            <w:r>
              <w:rPr>
                <w:rFonts w:hint="eastAsia" w:ascii="宋体" w:hAnsi="宋体" w:cs="宋体"/>
                <w:color w:val="auto"/>
                <w:kern w:val="0"/>
                <w:sz w:val="24"/>
                <w:lang w:bidi="ar"/>
              </w:rPr>
              <w:t>.投标所选终端需提供3C证书及节能证书。</w:t>
            </w:r>
            <w:r>
              <w:rPr>
                <w:rFonts w:hint="eastAsia" w:ascii="宋体" w:hAnsi="宋体" w:cs="宋体"/>
                <w:color w:val="auto"/>
                <w:kern w:val="0"/>
                <w:sz w:val="24"/>
                <w:lang w:bidi="ar"/>
              </w:rPr>
              <w:br w:type="textWrapping"/>
            </w:r>
            <w:r>
              <w:rPr>
                <w:rFonts w:hint="eastAsia" w:ascii="宋体" w:hAnsi="宋体" w:cs="宋体"/>
                <w:color w:val="auto"/>
                <w:kern w:val="0"/>
                <w:sz w:val="24"/>
                <w:lang w:val="en-US" w:eastAsia="zh-CN" w:bidi="ar"/>
              </w:rPr>
              <w:t>5</w:t>
            </w:r>
            <w:r>
              <w:rPr>
                <w:rFonts w:hint="eastAsia" w:ascii="宋体" w:hAnsi="宋体" w:cs="宋体"/>
                <w:color w:val="auto"/>
                <w:kern w:val="0"/>
                <w:sz w:val="24"/>
                <w:lang w:bidi="ar"/>
              </w:rPr>
              <w:t>.★为保障所投设备质量优异，可靠性高，要求所投设备平均无故障时间（MTBF）不低于120000小时，并提供第三方专业测试报告复印件和证书并加盖公章，其中证书需官方可查并提供官方查询链接，测试报告需具备CNAS标识</w:t>
            </w:r>
            <w:r>
              <w:rPr>
                <w:rFonts w:hint="eastAsia" w:ascii="宋体" w:hAnsi="宋体" w:cs="宋体"/>
                <w:color w:val="auto"/>
                <w:kern w:val="0"/>
                <w:sz w:val="24"/>
                <w:lang w:bidi="ar"/>
              </w:rPr>
              <w:br w:type="textWrapping"/>
            </w:r>
            <w:r>
              <w:rPr>
                <w:rFonts w:hint="eastAsia" w:ascii="宋体" w:hAnsi="宋体" w:cs="宋体"/>
                <w:color w:val="auto"/>
                <w:kern w:val="0"/>
                <w:sz w:val="24"/>
                <w:lang w:val="en-US" w:eastAsia="zh-CN" w:bidi="ar"/>
              </w:rPr>
              <w:t>6</w:t>
            </w:r>
            <w:r>
              <w:rPr>
                <w:rFonts w:hint="eastAsia" w:ascii="宋体" w:hAnsi="宋体" w:cs="宋体"/>
                <w:color w:val="auto"/>
                <w:kern w:val="0"/>
                <w:sz w:val="24"/>
                <w:lang w:bidi="ar"/>
              </w:rPr>
              <w:t>.★要求云服务主机、云终端（学生机）、教师终端为同一厂家。</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台</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48</w:t>
            </w:r>
          </w:p>
        </w:tc>
      </w:tr>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4</w:t>
            </w:r>
          </w:p>
        </w:tc>
        <w:tc>
          <w:tcPr>
            <w:tcW w:w="16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教师云一体机</w:t>
            </w:r>
          </w:p>
        </w:tc>
        <w:tc>
          <w:tcPr>
            <w:tcW w:w="939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1.★软硬件一体化设备，内置虚拟化系统和软件。提供虚拟化系统软件著作权证书复印件，需加盖公章。</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2.配置≥Intel第十代i3四核八线程处理器（处理器主频≥3.6GHz）；内存≥8GB，显卡≥Intel UHD 630；本地存储≥256 GB SSD；</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3.配置≥21.5寸显示器，分辨率≥1920×1080</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4.USB接口≥6个（包含≥4个USB 3.0接口），≥1个千兆网口，≥1个HDMI接口，≥1对音频输入输出接口，且支持4段式耳机音频输入及输出</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5.为用户提供更优质的屏幕使用体验，提供三面无边框屏幕，屏占比≥90%</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6.配置铝合金一体化压铸底座</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7.配置≥1个内存扩展槽，</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8.配置≥1个硬盘扩展槽，</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9.与云主机同一品牌</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10.★为保障所投设备质量优异，可靠性高，要求所投设备平均故障间隔时间（MTBF）不低于120000小时，并提供第三方测试报告和复印件并加盖公章，其中证书需官方可查并提供官方查询链接，测试报告需具备CNAS标识</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11.投标所选终端需提供3C证书及节能证书。</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台</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w:t>
            </w:r>
          </w:p>
        </w:tc>
      </w:tr>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5</w:t>
            </w:r>
          </w:p>
        </w:tc>
        <w:tc>
          <w:tcPr>
            <w:tcW w:w="16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有线键鼠套</w:t>
            </w:r>
          </w:p>
        </w:tc>
        <w:tc>
          <w:tcPr>
            <w:tcW w:w="939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有线键盘、鼠标套装</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套</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49</w:t>
            </w:r>
          </w:p>
        </w:tc>
      </w:tr>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6</w:t>
            </w:r>
          </w:p>
        </w:tc>
        <w:tc>
          <w:tcPr>
            <w:tcW w:w="16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24口交换机</w:t>
            </w:r>
          </w:p>
        </w:tc>
        <w:tc>
          <w:tcPr>
            <w:tcW w:w="939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二层网管交换机，交换容量336Gbps，包转发率42Mpps，24口10/100/1000Mbps自适应电口交换机，固化4个SFP千兆光口，支持VLAN、ACL、端口镜像、端口聚合等功能，支持睿易APP和MACC云平台统一管理。</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台</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3</w:t>
            </w:r>
          </w:p>
        </w:tc>
      </w:tr>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7</w:t>
            </w:r>
          </w:p>
        </w:tc>
        <w:tc>
          <w:tcPr>
            <w:tcW w:w="16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显示器</w:t>
            </w:r>
          </w:p>
        </w:tc>
        <w:tc>
          <w:tcPr>
            <w:tcW w:w="939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≥21.5英寸显示器，直面窄边框</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台</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49</w:t>
            </w:r>
          </w:p>
        </w:tc>
      </w:tr>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8</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教师桌</w:t>
            </w:r>
          </w:p>
        </w:tc>
        <w:tc>
          <w:tcPr>
            <w:tcW w:w="939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auto"/>
                <w:kern w:val="0"/>
                <w:sz w:val="24"/>
                <w:lang w:bidi="ar"/>
              </w:rPr>
            </w:pPr>
            <w:r>
              <w:rPr>
                <w:rFonts w:hint="eastAsia" w:ascii="宋体" w:hAnsi="宋体" w:cs="宋体"/>
                <w:color w:val="auto"/>
                <w:kern w:val="0"/>
                <w:sz w:val="24"/>
                <w:lang w:bidi="ar"/>
              </w:rPr>
              <w:t>1、讲桌采用钢木结合构造，桌体上部分采用圆弧设计。讲台整体设计符合人体力学原 理，提供左右实木扶手，供使用者扶用。重点部位须采用一次冲压成型技术；所有钣 金部分均采用激光切割加工，所有尖角倒圆角不小于R3，保证使用者和维护者不划伤 。讲桌尺寸：不小于1150*780*1000mm（长宽高）。</w:t>
            </w:r>
          </w:p>
          <w:p>
            <w:pPr>
              <w:widowControl/>
              <w:jc w:val="left"/>
              <w:textAlignment w:val="center"/>
              <w:rPr>
                <w:rFonts w:hint="eastAsia" w:ascii="宋体" w:hAnsi="宋体" w:cs="宋体"/>
                <w:color w:val="auto"/>
                <w:kern w:val="0"/>
                <w:sz w:val="24"/>
                <w:lang w:bidi="ar"/>
              </w:rPr>
            </w:pPr>
            <w:r>
              <w:rPr>
                <w:rFonts w:hint="eastAsia" w:ascii="宋体" w:hAnsi="宋体" w:cs="宋体"/>
                <w:color w:val="auto"/>
                <w:kern w:val="0"/>
                <w:sz w:val="24"/>
                <w:lang w:bidi="ar"/>
              </w:rPr>
              <w:t xml:space="preserve"> 2、上柜体只需由一把机械锁控制，采用环环相扣设计，键盘、中控和展示台抽屉逐步 打开。上柜配有键盘抽屉及中控抽屉。操作更简易，使用更安全。 </w:t>
            </w:r>
          </w:p>
          <w:p>
            <w:pPr>
              <w:widowControl/>
              <w:jc w:val="left"/>
              <w:textAlignment w:val="center"/>
              <w:rPr>
                <w:rFonts w:hint="eastAsia" w:ascii="宋体" w:hAnsi="宋体" w:cs="宋体"/>
                <w:color w:val="auto"/>
                <w:kern w:val="0"/>
                <w:sz w:val="24"/>
                <w:lang w:bidi="ar"/>
              </w:rPr>
            </w:pPr>
            <w:r>
              <w:rPr>
                <w:rFonts w:hint="eastAsia" w:ascii="宋体" w:hAnsi="宋体" w:cs="宋体"/>
                <w:color w:val="auto"/>
                <w:kern w:val="0"/>
                <w:sz w:val="24"/>
                <w:lang w:bidi="ar"/>
              </w:rPr>
              <w:t xml:space="preserve">3、讲桌桌面采用木质耐划台面，闭合时讲台桌面为完整水平木台面，可作为教师演 讲桌使用。满足室内装饰材料人造板及其制品中的甲醛释放量标准要求并能够提供检测报告，具备木器加工许可证。 </w:t>
            </w:r>
          </w:p>
          <w:p>
            <w:pPr>
              <w:widowControl/>
              <w:jc w:val="left"/>
              <w:textAlignment w:val="center"/>
              <w:rPr>
                <w:rFonts w:hint="eastAsia" w:ascii="宋体" w:hAnsi="宋体" w:cs="宋体"/>
                <w:color w:val="auto"/>
                <w:kern w:val="0"/>
                <w:sz w:val="24"/>
                <w:lang w:bidi="ar"/>
              </w:rPr>
            </w:pPr>
            <w:r>
              <w:rPr>
                <w:rFonts w:hint="eastAsia" w:ascii="宋体" w:hAnsi="宋体" w:cs="宋体"/>
                <w:color w:val="auto"/>
                <w:kern w:val="0"/>
                <w:sz w:val="24"/>
                <w:lang w:bidi="ar"/>
              </w:rPr>
              <w:t>4、讲桌主体材料采用≥1.5mm冷轧钢板，其他辅助部门采用≥1.2mm冷轧钢板。表面涂层 须通过ROHS检测，且提供检测报告。讲台正面配有留有LOGO木制面板。</w:t>
            </w:r>
          </w:p>
          <w:p>
            <w:pPr>
              <w:widowControl/>
              <w:jc w:val="left"/>
              <w:textAlignment w:val="center"/>
              <w:rPr>
                <w:rFonts w:hint="eastAsia" w:ascii="宋体" w:hAnsi="宋体" w:cs="宋体"/>
                <w:color w:val="auto"/>
                <w:kern w:val="0"/>
                <w:sz w:val="24"/>
                <w:lang w:bidi="ar"/>
              </w:rPr>
            </w:pPr>
            <w:r>
              <w:rPr>
                <w:rFonts w:hint="eastAsia" w:ascii="宋体" w:hAnsi="宋体" w:cs="宋体"/>
                <w:color w:val="auto"/>
                <w:kern w:val="0"/>
                <w:sz w:val="24"/>
                <w:lang w:bidi="ar"/>
              </w:rPr>
              <w:t xml:space="preserve"> 5、讲桌上下层采用分体式设计，桌面部分和桌体部分自成一体，方便进出设计比较窄 的教室门。讲桌内置固定螺丝孔位，安装简单，安全防盗；独立包装，运输轻便。</w:t>
            </w:r>
          </w:p>
          <w:p>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 xml:space="preserve"> 6、显示器可调节倾斜角度，配有钢化玻璃保护显示器，可装置19-22寸液晶宽屏显 示器，上柜右侧抽屉可放置实物展示台，关闭后所有设备都隐藏在讲台内。</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张</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w:t>
            </w:r>
          </w:p>
        </w:tc>
      </w:tr>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9</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教师椅</w:t>
            </w:r>
          </w:p>
        </w:tc>
        <w:tc>
          <w:tcPr>
            <w:tcW w:w="939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auto"/>
                <w:kern w:val="0"/>
                <w:sz w:val="24"/>
                <w:lang w:bidi="ar"/>
              </w:rPr>
            </w:pPr>
            <w:r>
              <w:rPr>
                <w:rFonts w:hint="eastAsia" w:ascii="宋体" w:hAnsi="宋体" w:cs="宋体"/>
                <w:color w:val="auto"/>
                <w:kern w:val="0"/>
                <w:sz w:val="24"/>
                <w:lang w:bidi="ar"/>
              </w:rPr>
              <w:t xml:space="preserve">1.三星全新环保PP料，具有优异的抗弯曲性 ，抗冲击 性，耐高温，耐磨； </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 xml:space="preserve">2.一体成型的椅背和坐垫 ，久坐不累； </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 xml:space="preserve">3.大于等于1.2mm钢架，承重大于等于160kg； </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 xml:space="preserve">4.PU尼龙脚垫 </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5.一次成型含棉坐垫。</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把</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w:t>
            </w:r>
          </w:p>
        </w:tc>
      </w:tr>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10</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学生桌</w:t>
            </w:r>
          </w:p>
        </w:tc>
        <w:tc>
          <w:tcPr>
            <w:tcW w:w="939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约1200*600*750</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1、台脚采用大于等于50*15*1.1MM扁管一次弯管成型，背板采用大于等于0.8冷轧钢板折弯成型。前上横梁采用大于等于25*25*1.1方管，台架整体外表经酸洗、磷化、静电喷涂工艺。</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2、台架整体采用拆装结构。台架底部含4个水平调整脚                                            3、台面：采用大于等于25mm厚三聚氰胺板,1.5mm厚PVC本色封边,易清洁、耐磨、耐烟酌、抗污染，经久耐用，造型美观等特点。</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张</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24</w:t>
            </w:r>
          </w:p>
        </w:tc>
      </w:tr>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11</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学生凳</w:t>
            </w:r>
          </w:p>
        </w:tc>
        <w:tc>
          <w:tcPr>
            <w:tcW w:w="939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方形钢木结构，外形尺寸：约340mm×240mm×440mm（长*宽*高），凳面采用E1级18mm厚三聚氰胺板凳面</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凳腿：大于等于25mm×25mm×1.2mm厚钢质方管，与凳面垂直。所有管材表面经静电粉沫喷涂处理。</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把</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48</w:t>
            </w:r>
          </w:p>
        </w:tc>
      </w:tr>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12</w:t>
            </w:r>
          </w:p>
        </w:tc>
        <w:tc>
          <w:tcPr>
            <w:tcW w:w="16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耳机</w:t>
            </w:r>
          </w:p>
        </w:tc>
        <w:tc>
          <w:tcPr>
            <w:tcW w:w="939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佩戴方式：头戴式，连接方式：有线，考试耳机</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个</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49</w:t>
            </w:r>
          </w:p>
        </w:tc>
      </w:tr>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13</w:t>
            </w:r>
          </w:p>
        </w:tc>
        <w:tc>
          <w:tcPr>
            <w:tcW w:w="16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网线</w:t>
            </w:r>
          </w:p>
        </w:tc>
        <w:tc>
          <w:tcPr>
            <w:tcW w:w="939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六类或以上网线</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箱</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3</w:t>
            </w:r>
          </w:p>
        </w:tc>
      </w:tr>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14</w:t>
            </w:r>
          </w:p>
        </w:tc>
        <w:tc>
          <w:tcPr>
            <w:tcW w:w="16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施工及辅材</w:t>
            </w:r>
          </w:p>
        </w:tc>
        <w:tc>
          <w:tcPr>
            <w:tcW w:w="939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含施工费及所需桥架、电源线、插板等辅材</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项</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49</w:t>
            </w:r>
          </w:p>
        </w:tc>
      </w:tr>
      <w:tr>
        <w:tblPrEx>
          <w:tblCellMar>
            <w:top w:w="0" w:type="dxa"/>
            <w:left w:w="108" w:type="dxa"/>
            <w:bottom w:w="0" w:type="dxa"/>
            <w:right w:w="108" w:type="dxa"/>
          </w:tblCellMar>
        </w:tblPrEx>
        <w:tc>
          <w:tcPr>
            <w:tcW w:w="8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15</w:t>
            </w:r>
          </w:p>
        </w:tc>
        <w:tc>
          <w:tcPr>
            <w:tcW w:w="1687" w:type="dxa"/>
            <w:tcBorders>
              <w:top w:val="single" w:color="000000" w:sz="4" w:space="0"/>
              <w:left w:val="nil"/>
              <w:bottom w:val="single" w:color="000000" w:sz="4" w:space="0"/>
              <w:right w:val="nil"/>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机柜</w:t>
            </w:r>
          </w:p>
        </w:tc>
        <w:tc>
          <w:tcPr>
            <w:tcW w:w="939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规格：大于等于600mm宽*988mm高*600mm深,容积（U）:大于等于18；前门玻璃门，后门钢板门，重型脚轮4只，方螺母螺钉40套，支脚4只，内六扳手1只；SPCC优质冷扎钢板制作；方孔条镀蓝锌；其余：脱脂、磷化、静电喷塑</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台</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w:t>
            </w:r>
          </w:p>
        </w:tc>
      </w:tr>
    </w:tbl>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pStyle w:val="2"/>
        <w:numPr>
          <w:ilvl w:val="0"/>
          <w:numId w:val="0"/>
        </w:numPr>
        <w:ind w:left="636" w:leftChars="0"/>
        <w:jc w:val="both"/>
        <w:rPr>
          <w:rFonts w:hint="eastAsia"/>
          <w:color w:val="auto"/>
        </w:rPr>
      </w:pPr>
    </w:p>
    <w:p>
      <w:pPr>
        <w:rPr>
          <w:rFonts w:hint="eastAsia"/>
          <w:color w:val="auto"/>
        </w:rPr>
      </w:pPr>
    </w:p>
    <w:p>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Chars="0"/>
        <w:jc w:val="center"/>
        <w:textAlignment w:val="auto"/>
        <w:rPr>
          <w:rFonts w:hint="eastAsia"/>
          <w:color w:val="auto"/>
          <w:sz w:val="30"/>
          <w:szCs w:val="30"/>
        </w:rPr>
      </w:pPr>
      <w:bookmarkStart w:id="24" w:name="_Toc6429"/>
      <w:r>
        <w:rPr>
          <w:rFonts w:hint="eastAsia"/>
          <w:color w:val="auto"/>
          <w:sz w:val="30"/>
          <w:szCs w:val="30"/>
        </w:rPr>
        <w:t>四、心理咨询室</w:t>
      </w:r>
      <w:bookmarkEnd w:id="24"/>
    </w:p>
    <w:tbl>
      <w:tblPr>
        <w:tblStyle w:val="36"/>
        <w:tblW w:w="13962" w:type="dxa"/>
        <w:tblInd w:w="91" w:type="dxa"/>
        <w:tblLayout w:type="fixed"/>
        <w:tblCellMar>
          <w:top w:w="0" w:type="dxa"/>
          <w:left w:w="108" w:type="dxa"/>
          <w:bottom w:w="0" w:type="dxa"/>
          <w:right w:w="108" w:type="dxa"/>
        </w:tblCellMar>
      </w:tblPr>
      <w:tblGrid>
        <w:gridCol w:w="891"/>
        <w:gridCol w:w="1650"/>
        <w:gridCol w:w="9431"/>
        <w:gridCol w:w="900"/>
        <w:gridCol w:w="1090"/>
      </w:tblGrid>
      <w:tr>
        <w:tblPrEx>
          <w:tblCellMar>
            <w:top w:w="0" w:type="dxa"/>
            <w:left w:w="108" w:type="dxa"/>
            <w:bottom w:w="0" w:type="dxa"/>
            <w:right w:w="108" w:type="dxa"/>
          </w:tblCellMar>
        </w:tblPrEx>
        <w:tc>
          <w:tcPr>
            <w:tcW w:w="8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auto"/>
                <w:sz w:val="24"/>
              </w:rPr>
            </w:pPr>
            <w:r>
              <w:rPr>
                <w:rFonts w:hint="eastAsia" w:ascii="宋体" w:hAnsi="宋体" w:cs="宋体"/>
                <w:b/>
                <w:bCs/>
                <w:color w:val="auto"/>
                <w:kern w:val="0"/>
                <w:sz w:val="24"/>
                <w:lang w:bidi="ar"/>
              </w:rPr>
              <w:t>序号</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auto"/>
                <w:sz w:val="24"/>
              </w:rPr>
            </w:pPr>
            <w:r>
              <w:rPr>
                <w:rFonts w:hint="eastAsia" w:ascii="宋体" w:hAnsi="宋体" w:cs="宋体"/>
                <w:b/>
                <w:bCs/>
                <w:color w:val="auto"/>
                <w:kern w:val="0"/>
                <w:sz w:val="24"/>
                <w:lang w:bidi="ar"/>
              </w:rPr>
              <w:t>名称</w:t>
            </w:r>
          </w:p>
        </w:tc>
        <w:tc>
          <w:tcPr>
            <w:tcW w:w="94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auto"/>
                <w:sz w:val="24"/>
              </w:rPr>
            </w:pPr>
            <w:r>
              <w:rPr>
                <w:rFonts w:hint="eastAsia" w:ascii="宋体" w:hAnsi="宋体" w:cs="宋体"/>
                <w:b/>
                <w:bCs/>
                <w:color w:val="auto"/>
                <w:kern w:val="0"/>
                <w:sz w:val="24"/>
                <w:lang w:bidi="ar"/>
              </w:rPr>
              <w:t>技术参数</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auto"/>
                <w:sz w:val="24"/>
              </w:rPr>
            </w:pPr>
            <w:r>
              <w:rPr>
                <w:rFonts w:hint="eastAsia" w:ascii="宋体" w:hAnsi="宋体" w:cs="宋体"/>
                <w:b/>
                <w:bCs/>
                <w:color w:val="auto"/>
                <w:kern w:val="0"/>
                <w:sz w:val="24"/>
                <w:lang w:bidi="ar"/>
              </w:rPr>
              <w:t>单位</w:t>
            </w:r>
          </w:p>
        </w:tc>
        <w:tc>
          <w:tcPr>
            <w:tcW w:w="10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auto"/>
                <w:sz w:val="24"/>
              </w:rPr>
            </w:pPr>
            <w:r>
              <w:rPr>
                <w:rFonts w:hint="eastAsia" w:ascii="宋体" w:hAnsi="宋体" w:cs="宋体"/>
                <w:b/>
                <w:bCs/>
                <w:color w:val="auto"/>
                <w:kern w:val="0"/>
                <w:sz w:val="24"/>
                <w:lang w:bidi="ar"/>
              </w:rPr>
              <w:t>数量</w:t>
            </w:r>
          </w:p>
        </w:tc>
      </w:tr>
      <w:tr>
        <w:tblPrEx>
          <w:tblCellMar>
            <w:top w:w="0" w:type="dxa"/>
            <w:left w:w="108" w:type="dxa"/>
            <w:bottom w:w="0" w:type="dxa"/>
            <w:right w:w="108" w:type="dxa"/>
          </w:tblCellMar>
        </w:tblPrEx>
        <w:tc>
          <w:tcPr>
            <w:tcW w:w="8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心理综合测评系统</w:t>
            </w:r>
          </w:p>
        </w:tc>
        <w:tc>
          <w:tcPr>
            <w:tcW w:w="94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1.系统设置：更换皮肤功能，不少于十二套颜色，用户可随意选择，用户可以根据需求自主更换logo、软件名称、倒计时提示和测评选项时间。</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量表管理：专业量表不少于200个常用量表，包含心理卫生综合评定、行为、气质、抑郁、焦虑、自闭、孤独、自杀倾向、人际关系、社交、精神障碍、自我意识、生活事件、幸福感、家庭环境等，可根据需求定制特殊量表及指定量表的更新；支持自定义量表的导入；图文并茂的分析报告，满足心理工作者专业需求。</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3.危机预警管理：该系统可以发布红色、橙色、黄色三级警情监测信号；预警管理侧面研判用户心理健康信息，通过心理测评筛查第一时间触发因子预警和预警时间，咨询师可以在线查看测评报告以发送邮件的形式进行处理；根据普测活动可以进行一键打印团体预警信息。</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4.系统具有快捷的二维码扫描测试功能，管理者可使用二维码发起团体测试，测试者只需拿出手机、pad等移动端扫描系统二维码即可实现系统登录、系统注册、手机端测试、手机端查看报告、等多种应用；同时，系统还开放了二维码自助管理端，允许管理员将任意信息在线生成二维码，最大限度的方便管理员和测试用户使用；手机端扫码支持在线预约、匿名预约，可对接心理健康自助系统。</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5.全数据导出：全部测评量表报告、人员列表、原始分数、预警列表的导出，出具支持（即时、审阅、自定义，完全根据体检中心内部管理流程灵活匹配）报告结果的贮存、打印有多种选择，用户可根据自己需要，选择剖面图、数据、自动报告等各种报告形式，并能以WORD、PDF和EXCEL进行任选，可直接在当前系统界面进行文档操作。</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★6.软件语音播报心理测试题目答案,系统会在用户人员登录时以弹出窗口进行提醒相关的最新测试活动。</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7.测试开始前会根据测试量表类别进行指导语倒计时时长计时，确定测试者明确测试内容，点击开始会再次出现指导语认真阅读提示选项。</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8.为避免恶意测试，测试过程如出现答题过快，明显超过看题速度，系统会弹出答题过快认真作答警示框。</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9.心理智库：包含心理百科、心理咨询和心理阅读三大模块，提供心理科普知识；心情记录功能，带有治愈作用的心情记录图鉴。</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10.心理资源库：整体包含不少于8大模块：心理科普、心理阅读、心理图库、能力训练、趣味测试、心语心声、辅导案例、放松减压等。</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11.对不同的心理问题，提供有针对性的个性化的干预方案13个以上。</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12.课堂记录：提供心理课程课堂记录表，方便负责进一步组织心理健康课程的教研及管理工作。</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13.行为记录：通过线下访谈面询记录每一位用户的心理健康状态，记录由32条以上异常表现标签和33条以上生活事件标签进行记录。</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14.量表组功能：可以分别绑定自定义单位的组织结构，测试适合量表，简化后续的重复操作，方便管理者更好的管理机构量表，无限制机构框架建设功能。</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15.团体数据统计：可根据测试单位的组织结构、量表名称选择、测试时间段查询团体测试报告；团体报告可支持样本分析与统计，自成生成心理健康水平差异显著性对比分析报表（报表内容包含样本数、均值、方差、P值、T值及单测检验与双测检验等国际公认权威数据）。</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16.在线互动：支持在线沟通交流或者咨询，在线聊天或者交流</w:t>
            </w:r>
            <w:r>
              <w:rPr>
                <w:rFonts w:hint="eastAsia" w:ascii="宋体" w:hAnsi="宋体" w:cs="宋体"/>
                <w:color w:val="auto"/>
                <w:kern w:val="0"/>
                <w:sz w:val="24"/>
                <w:lang w:eastAsia="zh-CN" w:bidi="ar"/>
              </w:rPr>
              <w:t>，</w:t>
            </w:r>
            <w:r>
              <w:rPr>
                <w:rFonts w:hint="eastAsia" w:ascii="宋体" w:hAnsi="宋体" w:cs="宋体"/>
                <w:color w:val="auto"/>
                <w:kern w:val="0"/>
                <w:sz w:val="24"/>
                <w:lang w:bidi="ar"/>
              </w:rPr>
              <w:t>支持信息及时快捷的表述和传达</w:t>
            </w:r>
            <w:r>
              <w:rPr>
                <w:rFonts w:hint="eastAsia" w:ascii="宋体" w:hAnsi="宋体" w:cs="宋体"/>
                <w:color w:val="auto"/>
                <w:kern w:val="0"/>
                <w:sz w:val="24"/>
                <w:lang w:eastAsia="zh-CN" w:bidi="ar"/>
              </w:rPr>
              <w:t>。</w:t>
            </w:r>
            <w:r>
              <w:rPr>
                <w:rFonts w:hint="eastAsia" w:ascii="宋体" w:hAnsi="宋体" w:cs="宋体"/>
                <w:color w:val="auto"/>
                <w:kern w:val="0"/>
                <w:sz w:val="24"/>
                <w:lang w:bidi="ar"/>
              </w:rPr>
              <w:t>能够及时方便的交流信息和确认信息</w:t>
            </w:r>
            <w:r>
              <w:rPr>
                <w:rFonts w:hint="eastAsia" w:ascii="宋体" w:hAnsi="宋体" w:cs="宋体"/>
                <w:color w:val="auto"/>
                <w:kern w:val="0"/>
                <w:sz w:val="24"/>
                <w:lang w:eastAsia="zh-CN" w:bidi="ar"/>
              </w:rPr>
              <w:t>。</w:t>
            </w:r>
            <w:r>
              <w:rPr>
                <w:rFonts w:hint="eastAsia" w:ascii="宋体" w:hAnsi="宋体" w:cs="宋体"/>
                <w:color w:val="auto"/>
                <w:kern w:val="0"/>
                <w:sz w:val="24"/>
                <w:lang w:eastAsia="zh-CN" w:bidi="ar"/>
              </w:rPr>
              <w:br w:type="textWrapping"/>
            </w:r>
            <w:r>
              <w:rPr>
                <w:rFonts w:hint="eastAsia" w:ascii="宋体" w:hAnsi="宋体" w:cs="宋体"/>
                <w:color w:val="auto"/>
                <w:kern w:val="0"/>
                <w:sz w:val="24"/>
                <w:lang w:bidi="ar"/>
              </w:rPr>
              <w:t>17.一键备份还原：产品需具备强大的数据备份功能。</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w:t>
            </w:r>
            <w:r>
              <w:rPr>
                <w:rFonts w:hint="eastAsia" w:ascii="宋体" w:hAnsi="宋体" w:cs="宋体"/>
                <w:color w:val="auto"/>
                <w:kern w:val="0"/>
                <w:sz w:val="24"/>
                <w:lang w:val="en-US" w:eastAsia="zh-CN" w:bidi="ar"/>
              </w:rPr>
              <w:t>8</w:t>
            </w:r>
            <w:r>
              <w:rPr>
                <w:rFonts w:hint="eastAsia" w:ascii="宋体" w:hAnsi="宋体" w:cs="宋体"/>
                <w:color w:val="auto"/>
                <w:kern w:val="0"/>
                <w:sz w:val="24"/>
                <w:lang w:bidi="ar"/>
              </w:rPr>
              <w:t>.用户信息管理：系统分为三级角色分别是平台管理员、心理咨询教师和学生；学生信息支持批量导入。有批量转移功能；可以在PC端在线注册同时也支持手机扫码注册，心理咨询教师进行审核；回收站主要用来存放心理教师删除的用户资料,存放在回收站的文件可以恢复</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20.系统可在线发起网络调查问卷和学习报告，统计数据以图表的形式进行展示。</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21.测验功能与测验指定：数据输出/入多样化，支持个体/团体直接上机测试的数据输入；支持个体/团体纸笔录入测试功能，形成个体/团体报告可导出保存。</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22.心理普查任务发布：可按活动名称、开始时间、结束时间、测评类型、用户选择和量表选择进行测评任务发布。</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23.所有报告均可以文档格式贮存，便于建立测验文档库。系统可将所有测评量表的数据导出到EXCEL，兼容于SPSS专业统计软件分析，同时支持一键批量导出测评报告。</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24.预约咨询用户可以预约系统多个咨询师，咨询时间一般有固定的设置，预约时间设置的功能越来越完善了，预约一共有不小于八种状态：可预约、提交申请、待审核、已拒绝、已通过、已约满、已完成等；可以实时查看预约信息和设置预约记录</w:t>
            </w:r>
            <w:r>
              <w:rPr>
                <w:rFonts w:hint="eastAsia" w:ascii="宋体" w:hAnsi="宋体" w:cs="宋体"/>
                <w:color w:val="auto"/>
                <w:kern w:val="0"/>
                <w:sz w:val="24"/>
                <w:lang w:eastAsia="zh-CN" w:bidi="ar"/>
              </w:rPr>
              <w:t>。</w:t>
            </w:r>
            <w:r>
              <w:rPr>
                <w:rFonts w:hint="eastAsia" w:ascii="宋体" w:hAnsi="宋体" w:cs="宋体"/>
                <w:color w:val="auto"/>
                <w:kern w:val="0"/>
                <w:sz w:val="24"/>
                <w:lang w:eastAsia="zh-CN" w:bidi="ar"/>
              </w:rPr>
              <w:br w:type="textWrapping"/>
            </w:r>
            <w:r>
              <w:rPr>
                <w:rFonts w:hint="eastAsia" w:ascii="宋体" w:hAnsi="宋体" w:cs="宋体"/>
                <w:color w:val="auto"/>
                <w:kern w:val="0"/>
                <w:sz w:val="24"/>
                <w:lang w:bidi="ar"/>
              </w:rPr>
              <w:t>25为了提高用户体验感，系统在首页内置产品介绍与使用说明。</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套</w:t>
            </w:r>
          </w:p>
        </w:tc>
        <w:tc>
          <w:tcPr>
            <w:tcW w:w="10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w:t>
            </w:r>
          </w:p>
        </w:tc>
      </w:tr>
      <w:tr>
        <w:tblPrEx>
          <w:tblCellMar>
            <w:top w:w="0" w:type="dxa"/>
            <w:left w:w="108" w:type="dxa"/>
            <w:bottom w:w="0" w:type="dxa"/>
            <w:right w:w="108" w:type="dxa"/>
          </w:tblCellMar>
        </w:tblPrEx>
        <w:tc>
          <w:tcPr>
            <w:tcW w:w="8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2</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心理健康自助管理系统</w:t>
            </w:r>
          </w:p>
        </w:tc>
        <w:tc>
          <w:tcPr>
            <w:tcW w:w="94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一、设备配置</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1.屏幕/分辨率：触摸屏幕≥42英寸；显示分辨率：≥1920*1080。</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2.主机配置：运存:≥4g；内存:≥32g。</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3.表面处理：采用一级冷轧钢板，汽车烤漆，纳米技术，钢制机壳。</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4.工作温度：-20℃～50℃；湿度：10%～80%。</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5.工作寿命：10年以上,单点使用寿命≥6000万次。</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6.音响：双声道防磁立体声音响系统。</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二、功能概括：</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1.系统采用了纯原生的Android语言开发，系统稳定流畅，操作方便易上手。</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2.整体系统包含不少于12大模块，功能模块技术参数集成：心理科普、心理悦读、心理影视、心理图库、能力训练、趣味测试、心语心声、心理FM、咨询辅导、放松减压、心理互动、机构介绍等系统模块。</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3.能力训练：包含记忆游戏、想象力游戏、感知力游戏、反应能力游戏、推理策略类游戏，不少于五类专业心理游戏。</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4.心理FM：不少于成长、关系、减压、情绪等系统自带的四大类表。</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5.咨询辅导：包含经典案例、自助方案，咨询预约等。</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6.放松减压：包含放松训练、呼吸调整训练、肌肉紧张放松、普通渐进式放松、意想放松等不少于五项放松训练。</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7.心理互动：支持各类型心理互动训练游戏。</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8.各模块下支持无限添加二级栏目，文章无限扩充，支持视频，文章、图片、音频等格式的添加。</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9.多媒体：集音频、视频、图像管理于一体，对教学影像、心理影片、减压音乐、心理文章和图片提供完美支持。</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10.分前后台账号分级管理，管理账号可根据自己的情况设置，安全可靠;</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11.心理科普：心理百科、心理学专业名词解释、心理学效应简介、心理学实验介绍。</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12.心理悦读：包含心理学经典书籍、自我成长、励志美文、情绪调节、心理故事、人际交往。</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13心理影视：系统自带心理学经典电影赏析、国内外名师课程视频、心理学科普知识视频。</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14.心理图库：包含不可能图、错觉图片、多视图片、似动图片、视觉后象、双关图片，总量不少于六类。</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15.趣味测试：包含性格测试、社交测试、智商测试、健康测试、其他测试，不少于五类趣味测试。</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16.心语心声：α波音乐、放松音乐、灵感音乐、冥想音乐、其他音乐、清新音乐、情景音乐、山林音乐，系统自带不少于8大类。</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17.机构简介：支持定制版，根据用户提供的资料设置用户单位简介。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套</w:t>
            </w:r>
          </w:p>
        </w:tc>
        <w:tc>
          <w:tcPr>
            <w:tcW w:w="10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w:t>
            </w:r>
          </w:p>
        </w:tc>
      </w:tr>
      <w:tr>
        <w:tblPrEx>
          <w:tblCellMar>
            <w:top w:w="0" w:type="dxa"/>
            <w:left w:w="108" w:type="dxa"/>
            <w:bottom w:w="0" w:type="dxa"/>
            <w:right w:w="108" w:type="dxa"/>
          </w:tblCellMar>
        </w:tblPrEx>
        <w:tc>
          <w:tcPr>
            <w:tcW w:w="8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3</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心理投射交互系统</w:t>
            </w:r>
          </w:p>
        </w:tc>
        <w:tc>
          <w:tcPr>
            <w:tcW w:w="94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一、功能描述</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可用于个体辅导、团体辅导、投射训练、减压训练、交互训练等不少于四个主要训练模块，移动式方便在不同的区域、功能室使用。</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二、功能概括</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1.交互训练模块：分为积极心理、家庭动力、诱发冥想、正向引导四大类别，每个类别不少于6个训练内容，交互式控制训练过程。</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2.大脑偏侧训练：分为视觉类、知觉类、交互类三个类别，每个类别不少于6个训练内容，交互式控制训练过程。</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3.意象训练模块：不少于6个意象训练的内容。</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4.投射训练模块：通过投射理论提供自由的表达性训练区域及工具。</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5.每个训练内容同时结合音乐疗愈，可自由控制选择疗愈的种类。</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6.设备自身集成摄录像、蓝牙、扩展口、互联网等功能。</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★提供心理投射交互系统的测试报告，提供心理投射交互系统计算机软件著作权登记证书</w:t>
            </w:r>
            <w:r>
              <w:rPr>
                <w:rFonts w:hint="eastAsia" w:ascii="宋体" w:hAnsi="宋体" w:eastAsia="宋体" w:cs="宋体"/>
                <w:color w:val="auto"/>
                <w:kern w:val="0"/>
                <w:sz w:val="24"/>
                <w:lang w:bidi="ar"/>
              </w:rPr>
              <w:t>。</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套</w:t>
            </w:r>
          </w:p>
        </w:tc>
        <w:tc>
          <w:tcPr>
            <w:tcW w:w="10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w:t>
            </w:r>
          </w:p>
        </w:tc>
      </w:tr>
      <w:tr>
        <w:tblPrEx>
          <w:tblCellMar>
            <w:top w:w="0" w:type="dxa"/>
            <w:left w:w="108" w:type="dxa"/>
            <w:bottom w:w="0" w:type="dxa"/>
            <w:right w:w="108" w:type="dxa"/>
          </w:tblCellMar>
        </w:tblPrEx>
        <w:tc>
          <w:tcPr>
            <w:tcW w:w="8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4</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心理静触疗愈系统</w:t>
            </w:r>
          </w:p>
        </w:tc>
        <w:tc>
          <w:tcPr>
            <w:tcW w:w="94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一、功能描述</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1.静心冥想模块：提供清、空、动、静、行、立、坐等不少于10个静心冥想训练的内容，可交互控制过程结束等。</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2.潜意识疗育模块：提供精神、精修、静气、释压、养疗、提升等不少于10个潜意识疗育训练内容，可交互控制过程结束等。</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3.艺术疗育模块：提供专业心理学艺术疗育训练内容不少于6个，可交互控制过程结束等。</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4.身心静触模块：提供不少于4个渐进式、实物辅助的身心静触训练内容，可交互控制过程结束等。</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5.每个训练内容同时结合音乐疗愈，可自由控制选择疗愈的种类。</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6.设备自身集成摄录像、蓝牙、扩展口、互联网等功能。提供心理静触疗愈系统的测试报告</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★提供心理静触疗愈系统计算机软件著作权登记证书</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套</w:t>
            </w:r>
          </w:p>
        </w:tc>
        <w:tc>
          <w:tcPr>
            <w:tcW w:w="10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w:t>
            </w:r>
          </w:p>
        </w:tc>
      </w:tr>
      <w:tr>
        <w:tblPrEx>
          <w:tblCellMar>
            <w:top w:w="0" w:type="dxa"/>
            <w:left w:w="108" w:type="dxa"/>
            <w:bottom w:w="0" w:type="dxa"/>
            <w:right w:w="108" w:type="dxa"/>
          </w:tblCellMar>
        </w:tblPrEx>
        <w:tc>
          <w:tcPr>
            <w:tcW w:w="8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5</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心理书籍</w:t>
            </w:r>
          </w:p>
        </w:tc>
        <w:tc>
          <w:tcPr>
            <w:tcW w:w="94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专业心理书籍</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本</w:t>
            </w:r>
          </w:p>
        </w:tc>
        <w:tc>
          <w:tcPr>
            <w:tcW w:w="10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100</w:t>
            </w:r>
          </w:p>
        </w:tc>
      </w:tr>
      <w:tr>
        <w:tblPrEx>
          <w:tblCellMar>
            <w:top w:w="0" w:type="dxa"/>
            <w:left w:w="108" w:type="dxa"/>
            <w:bottom w:w="0" w:type="dxa"/>
            <w:right w:w="108" w:type="dxa"/>
          </w:tblCellMar>
        </w:tblPrEx>
        <w:tc>
          <w:tcPr>
            <w:tcW w:w="8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6</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办公桌椅</w:t>
            </w:r>
          </w:p>
        </w:tc>
        <w:tc>
          <w:tcPr>
            <w:tcW w:w="94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桌子尺寸：≥1400*700*750</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1、基材：采用优质E1级三聚氰胺板、,甲醛含量≤1.0mg/L密度≥760kg/m3,静曲张度≥51.2Mpa,吸水膨胀率≤8.1%.</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2、粘合剂：高端乳胶；</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3、封边用材：≥2mm厚PVC胶边，进口热熔胶；</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椅子：1.坚固靠背，韧性强，耐用；</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2.台湾颐达网布，舒适，透气性强；</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3.尼龙流线扶手，支撑平稳；</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4.SGS认证气杆，多功能手柄，可调节升降；</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5.一体定型海绵工学坐垫，久坐不累；</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6.电镀钢制脚，静音PU滑轮，不伤地板。</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套</w:t>
            </w:r>
          </w:p>
        </w:tc>
        <w:tc>
          <w:tcPr>
            <w:tcW w:w="10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w:t>
            </w:r>
          </w:p>
        </w:tc>
      </w:tr>
      <w:tr>
        <w:tblPrEx>
          <w:tblCellMar>
            <w:top w:w="0" w:type="dxa"/>
            <w:left w:w="108" w:type="dxa"/>
            <w:bottom w:w="0" w:type="dxa"/>
            <w:right w:w="108" w:type="dxa"/>
          </w:tblCellMar>
        </w:tblPrEx>
        <w:tc>
          <w:tcPr>
            <w:tcW w:w="8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7</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办公电脑</w:t>
            </w:r>
          </w:p>
        </w:tc>
        <w:tc>
          <w:tcPr>
            <w:tcW w:w="94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 xml:space="preserve">CPU Intel I5十代酷睿及以上 </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主板 Intel芯片组</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内存≥ 8G DDR4 3200MHz 内存，提供双内存槽位</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显卡 集成显卡</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声卡 集成声卡，支持5.1声道</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硬盘 ≥1T+256G M.2 PCIe NVME SSD硬盘；</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网卡 集成10/100/1000M以太网卡；</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显示器 ≥21寸、分辨率1920*1080</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扩展槽 ≥1个PCI-E*16、≥2个PCI-E*1、≥1个PCI槽位</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键鼠   原厂防水键盘、抗菌鼠标；标配键盘开机功能</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接口 不少于8个USB接口，其中不少于4个USB 3.2 G1，不少于2个USB3.2 G2，</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 xml:space="preserve"> 1组PS/2接口、1个串口、VGA+HDMI接口（VGA非转接）；</w:t>
            </w:r>
            <w:r>
              <w:rPr>
                <w:rFonts w:hint="eastAsia" w:ascii="宋体" w:hAnsi="宋体" w:cs="宋体"/>
                <w:color w:val="auto"/>
                <w:sz w:val="24"/>
                <w:szCs w:val="24"/>
                <w:lang w:bidi="ar"/>
              </w:rPr>
              <w:t xml:space="preserve"> </w:t>
            </w:r>
            <w:r>
              <w:rPr>
                <w:rFonts w:hint="eastAsia" w:ascii="宋体" w:hAnsi="宋体" w:cs="宋体"/>
                <w:color w:val="auto"/>
                <w:sz w:val="24"/>
                <w:szCs w:val="24"/>
                <w:lang w:bidi="ar"/>
              </w:rPr>
              <w:br w:type="textWrapping"/>
            </w:r>
            <w:r>
              <w:rPr>
                <w:rFonts w:hint="eastAsia" w:ascii="宋体" w:hAnsi="宋体" w:cs="宋体"/>
                <w:color w:val="auto"/>
                <w:sz w:val="24"/>
                <w:szCs w:val="24"/>
                <w:lang w:bidi="ar"/>
              </w:rPr>
              <w:t xml:space="preserve">电源 110/220V 310W 节能电源  </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台</w:t>
            </w:r>
          </w:p>
        </w:tc>
        <w:tc>
          <w:tcPr>
            <w:tcW w:w="10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w:t>
            </w:r>
          </w:p>
        </w:tc>
      </w:tr>
      <w:tr>
        <w:tblPrEx>
          <w:tblCellMar>
            <w:top w:w="0" w:type="dxa"/>
            <w:left w:w="108" w:type="dxa"/>
            <w:bottom w:w="0" w:type="dxa"/>
            <w:right w:w="108" w:type="dxa"/>
          </w:tblCellMar>
        </w:tblPrEx>
        <w:tc>
          <w:tcPr>
            <w:tcW w:w="8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8</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彩色打印机</w:t>
            </w:r>
          </w:p>
        </w:tc>
        <w:tc>
          <w:tcPr>
            <w:tcW w:w="94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auto"/>
                <w:kern w:val="0"/>
                <w:sz w:val="24"/>
                <w:lang w:bidi="ar"/>
              </w:rPr>
            </w:pPr>
            <w:r>
              <w:rPr>
                <w:rFonts w:hint="eastAsia" w:ascii="宋体" w:hAnsi="宋体" w:cs="宋体"/>
                <w:color w:val="auto"/>
                <w:kern w:val="0"/>
                <w:sz w:val="24"/>
                <w:lang w:bidi="ar"/>
              </w:rPr>
              <w:t>无边框打印：支持</w:t>
            </w:r>
          </w:p>
          <w:p>
            <w:pPr>
              <w:widowControl/>
              <w:jc w:val="left"/>
              <w:textAlignment w:val="center"/>
              <w:rPr>
                <w:rFonts w:hint="eastAsia" w:ascii="宋体" w:hAnsi="宋体" w:cs="宋体"/>
                <w:color w:val="auto"/>
                <w:kern w:val="0"/>
                <w:sz w:val="24"/>
                <w:lang w:bidi="ar"/>
              </w:rPr>
            </w:pPr>
            <w:r>
              <w:rPr>
                <w:rFonts w:hint="eastAsia" w:ascii="宋体" w:hAnsi="宋体" w:cs="宋体"/>
                <w:color w:val="auto"/>
                <w:kern w:val="0"/>
                <w:sz w:val="24"/>
                <w:lang w:bidi="ar"/>
              </w:rPr>
              <w:t>彩色打印最佳分辨率：≥4800*1200dbi</w:t>
            </w:r>
          </w:p>
          <w:p>
            <w:pPr>
              <w:widowControl/>
              <w:jc w:val="left"/>
              <w:textAlignment w:val="center"/>
              <w:rPr>
                <w:rFonts w:hint="eastAsia" w:ascii="宋体" w:hAnsi="宋体" w:cs="宋体"/>
                <w:color w:val="auto"/>
                <w:kern w:val="0"/>
                <w:sz w:val="24"/>
                <w:lang w:bidi="ar"/>
              </w:rPr>
            </w:pPr>
            <w:r>
              <w:rPr>
                <w:rFonts w:hint="eastAsia" w:ascii="宋体" w:hAnsi="宋体" w:cs="宋体"/>
                <w:color w:val="auto"/>
                <w:kern w:val="0"/>
                <w:sz w:val="24"/>
                <w:lang w:bidi="ar"/>
              </w:rPr>
              <w:t>类型：喷墨打印机-墨仓式</w:t>
            </w:r>
          </w:p>
          <w:p>
            <w:pPr>
              <w:widowControl/>
              <w:jc w:val="left"/>
              <w:textAlignment w:val="center"/>
              <w:rPr>
                <w:rFonts w:hint="eastAsia" w:ascii="宋体" w:hAnsi="宋体" w:cs="宋体"/>
                <w:color w:val="auto"/>
                <w:kern w:val="0"/>
                <w:sz w:val="24"/>
                <w:lang w:bidi="ar"/>
              </w:rPr>
            </w:pPr>
            <w:r>
              <w:rPr>
                <w:rFonts w:hint="eastAsia" w:ascii="宋体" w:hAnsi="宋体" w:cs="宋体"/>
                <w:color w:val="auto"/>
                <w:kern w:val="0"/>
                <w:sz w:val="24"/>
                <w:lang w:bidi="ar"/>
              </w:rPr>
              <w:t>最大支持幅面：A4</w:t>
            </w:r>
          </w:p>
          <w:p>
            <w:pPr>
              <w:widowControl/>
              <w:jc w:val="left"/>
              <w:textAlignment w:val="center"/>
              <w:rPr>
                <w:rFonts w:hint="eastAsia" w:ascii="宋体" w:hAnsi="宋体" w:cs="宋体"/>
                <w:color w:val="auto"/>
                <w:kern w:val="0"/>
                <w:sz w:val="24"/>
                <w:lang w:bidi="ar"/>
              </w:rPr>
            </w:pPr>
            <w:r>
              <w:rPr>
                <w:rFonts w:hint="eastAsia" w:ascii="宋体" w:hAnsi="宋体" w:cs="宋体"/>
                <w:color w:val="auto"/>
                <w:kern w:val="0"/>
                <w:sz w:val="24"/>
                <w:lang w:bidi="ar"/>
              </w:rPr>
              <w:t>双面打印：支持手动双面打印</w:t>
            </w:r>
          </w:p>
          <w:p>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扫描功能：支持</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台</w:t>
            </w:r>
          </w:p>
        </w:tc>
        <w:tc>
          <w:tcPr>
            <w:tcW w:w="10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w:t>
            </w:r>
          </w:p>
        </w:tc>
      </w:tr>
      <w:tr>
        <w:tblPrEx>
          <w:tblCellMar>
            <w:top w:w="0" w:type="dxa"/>
            <w:left w:w="108" w:type="dxa"/>
            <w:bottom w:w="0" w:type="dxa"/>
            <w:right w:w="108" w:type="dxa"/>
          </w:tblCellMar>
        </w:tblPrEx>
        <w:tc>
          <w:tcPr>
            <w:tcW w:w="8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9</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档案柜</w:t>
            </w:r>
          </w:p>
        </w:tc>
        <w:tc>
          <w:tcPr>
            <w:tcW w:w="94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≥1850mmx850mmx390mm（±5）、≥0.8mm优质钢板、表面喷塑、隔板可调节、配备防盗锁。</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个</w:t>
            </w:r>
          </w:p>
        </w:tc>
        <w:tc>
          <w:tcPr>
            <w:tcW w:w="10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w:t>
            </w:r>
          </w:p>
        </w:tc>
      </w:tr>
      <w:tr>
        <w:tblPrEx>
          <w:tblCellMar>
            <w:top w:w="0" w:type="dxa"/>
            <w:left w:w="108" w:type="dxa"/>
            <w:bottom w:w="0" w:type="dxa"/>
            <w:right w:w="108" w:type="dxa"/>
          </w:tblCellMar>
        </w:tblPrEx>
        <w:tc>
          <w:tcPr>
            <w:tcW w:w="8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10</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 xml:space="preserve"> 单人位沙发2个、茶几</w:t>
            </w:r>
          </w:p>
        </w:tc>
        <w:tc>
          <w:tcPr>
            <w:tcW w:w="94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沙发材质：布艺，高回弹海绵；茶几：钢木结构</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套</w:t>
            </w:r>
          </w:p>
        </w:tc>
        <w:tc>
          <w:tcPr>
            <w:tcW w:w="10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w:t>
            </w:r>
          </w:p>
        </w:tc>
      </w:tr>
      <w:tr>
        <w:tblPrEx>
          <w:tblCellMar>
            <w:top w:w="0" w:type="dxa"/>
            <w:left w:w="108" w:type="dxa"/>
            <w:bottom w:w="0" w:type="dxa"/>
            <w:right w:w="108" w:type="dxa"/>
          </w:tblCellMar>
        </w:tblPrEx>
        <w:tc>
          <w:tcPr>
            <w:tcW w:w="8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11</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录音笔</w:t>
            </w:r>
          </w:p>
        </w:tc>
        <w:tc>
          <w:tcPr>
            <w:tcW w:w="94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auto"/>
                <w:sz w:val="24"/>
              </w:rPr>
            </w:pPr>
            <w:r>
              <w:rPr>
                <w:rFonts w:hint="eastAsia" w:ascii="宋体" w:hAnsi="宋体" w:cs="宋体"/>
                <w:color w:val="auto"/>
                <w:sz w:val="24"/>
              </w:rPr>
              <w:t>录音模式：SP ；录音格式 MP3 ；内置麦克风 ；电池类型:锂电池；自带内存录音时长</w:t>
            </w:r>
            <w:r>
              <w:rPr>
                <w:rFonts w:hint="eastAsia" w:ascii="宋体" w:hAnsi="宋体" w:cs="宋体"/>
                <w:color w:val="auto"/>
                <w:kern w:val="0"/>
                <w:sz w:val="24"/>
                <w:lang w:bidi="ar"/>
              </w:rPr>
              <w:t>≥</w:t>
            </w:r>
            <w:r>
              <w:rPr>
                <w:rFonts w:hint="eastAsia" w:ascii="宋体" w:hAnsi="宋体" w:cs="宋体"/>
                <w:color w:val="auto"/>
                <w:sz w:val="24"/>
              </w:rPr>
              <w:t>100个小时；内置扬声器 ；内存容量</w:t>
            </w:r>
            <w:r>
              <w:rPr>
                <w:rFonts w:hint="eastAsia" w:ascii="宋体" w:hAnsi="宋体" w:cs="宋体"/>
                <w:color w:val="auto"/>
                <w:kern w:val="0"/>
                <w:sz w:val="24"/>
                <w:lang w:bidi="ar"/>
              </w:rPr>
              <w:t>≥</w:t>
            </w:r>
            <w:r>
              <w:rPr>
                <w:rFonts w:hint="eastAsia" w:ascii="宋体" w:hAnsi="宋体" w:cs="宋体"/>
                <w:color w:val="auto"/>
                <w:sz w:val="24"/>
              </w:rPr>
              <w:t xml:space="preserve">32GB </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个</w:t>
            </w:r>
          </w:p>
        </w:tc>
        <w:tc>
          <w:tcPr>
            <w:tcW w:w="10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w:t>
            </w:r>
          </w:p>
        </w:tc>
      </w:tr>
      <w:tr>
        <w:tblPrEx>
          <w:tblCellMar>
            <w:top w:w="0" w:type="dxa"/>
            <w:left w:w="108" w:type="dxa"/>
            <w:bottom w:w="0" w:type="dxa"/>
            <w:right w:w="108" w:type="dxa"/>
          </w:tblCellMar>
        </w:tblPrEx>
        <w:tc>
          <w:tcPr>
            <w:tcW w:w="8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12</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心理挂图</w:t>
            </w:r>
          </w:p>
        </w:tc>
        <w:tc>
          <w:tcPr>
            <w:tcW w:w="94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1.含心理咨询室功能，渲染氛围，缓解紧张情绪，包含不可能图、两歧图等</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2.材质：实木边框</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3.尺寸：≥40cm*50cm</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幅</w:t>
            </w:r>
          </w:p>
        </w:tc>
        <w:tc>
          <w:tcPr>
            <w:tcW w:w="10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10</w:t>
            </w:r>
          </w:p>
        </w:tc>
      </w:tr>
      <w:tr>
        <w:tblPrEx>
          <w:tblCellMar>
            <w:top w:w="0" w:type="dxa"/>
            <w:left w:w="108" w:type="dxa"/>
            <w:bottom w:w="0" w:type="dxa"/>
            <w:right w:w="108" w:type="dxa"/>
          </w:tblCellMar>
        </w:tblPrEx>
        <w:tc>
          <w:tcPr>
            <w:tcW w:w="8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13</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沙盘套装</w:t>
            </w:r>
          </w:p>
        </w:tc>
        <w:tc>
          <w:tcPr>
            <w:tcW w:w="94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auto"/>
                <w:kern w:val="0"/>
                <w:sz w:val="24"/>
                <w:lang w:bidi="ar"/>
              </w:rPr>
            </w:pPr>
            <w:r>
              <w:rPr>
                <w:rFonts w:hint="eastAsia" w:ascii="宋体" w:hAnsi="宋体" w:cs="宋体"/>
                <w:color w:val="auto"/>
                <w:kern w:val="0"/>
                <w:sz w:val="24"/>
                <w:lang w:bidi="ar"/>
              </w:rPr>
              <w:t>沙盘游戏治疗是以荣格心理学原理为基础，由多拉∙卡尔夫发展创立的一种心理治疗方法。沙盘游戏中借助沙子、水和沙具把个人的潜意识完全呈现在“自由和保护的空间”气氛中，实现心灵深处意识和无意识之间的持续性沟通和对话，达到自我疗愈的目的。</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1.标准沙盘≥2套</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 xml:space="preserve">2.沙具摆放柜≥2个 </w:t>
            </w:r>
          </w:p>
          <w:p>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3.沙具≥1200个</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4.海沙≥30KG</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5.沙盘游戏治疗主要指导书籍≥1本</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6.沙盘教辅工具≥1套</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套</w:t>
            </w:r>
          </w:p>
        </w:tc>
        <w:tc>
          <w:tcPr>
            <w:tcW w:w="10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w:t>
            </w:r>
          </w:p>
        </w:tc>
      </w:tr>
      <w:tr>
        <w:tblPrEx>
          <w:tblCellMar>
            <w:top w:w="0" w:type="dxa"/>
            <w:left w:w="108" w:type="dxa"/>
            <w:bottom w:w="0" w:type="dxa"/>
            <w:right w:w="108" w:type="dxa"/>
          </w:tblCellMar>
        </w:tblPrEx>
        <w:tc>
          <w:tcPr>
            <w:tcW w:w="8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14</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沙盘小座椅</w:t>
            </w:r>
          </w:p>
        </w:tc>
        <w:tc>
          <w:tcPr>
            <w:tcW w:w="94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材质：木质；可移动，旋转</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个</w:t>
            </w:r>
          </w:p>
        </w:tc>
        <w:tc>
          <w:tcPr>
            <w:tcW w:w="10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4</w:t>
            </w:r>
          </w:p>
        </w:tc>
      </w:tr>
      <w:tr>
        <w:tblPrEx>
          <w:tblCellMar>
            <w:top w:w="0" w:type="dxa"/>
            <w:left w:w="108" w:type="dxa"/>
            <w:bottom w:w="0" w:type="dxa"/>
            <w:right w:w="108" w:type="dxa"/>
          </w:tblCellMar>
        </w:tblPrEx>
        <w:tc>
          <w:tcPr>
            <w:tcW w:w="8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15</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音乐放松椅</w:t>
            </w:r>
          </w:p>
        </w:tc>
        <w:tc>
          <w:tcPr>
            <w:tcW w:w="94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一、心理音乐自助减压系统</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1.系统分为自然治疗、潜意识调整、心理影视、呼吸训练四大自助减压模块。</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自然治疗：通过一些自然的音乐来缓解和调节心理和精神的上的压力，比如：流水声、鸟鸣、风声、海浪等等。有一部分音乐在播放的过程中，还会以轮播的方式呈现不同的画面，是使用者有种身临其境的感觉。</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3.潜意识调整：潜意识调整也是通过音乐的形式来呈现的，这个模块主要是通过讲解加音乐来实现放松和缓解心理压力。</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4.心理影视：通过视频来缓解心理的压力。</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5.呼吸训练：同视频一块进行肢体动作，来实现压力的释放。</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6.该系统可以自助对系统进行资源的添加，将对应的jpg，mp3，mp4等相关资源文件按照相对应的目录增加，即可在系统中展现新增资源。</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7.系统采用了视频播放器（支持mp4、avi等高清视频）支持主流的视频格式，音频播放（支持主流的视频格式）。系统优化了图片的缓存和加载框架Glide，快速高效的显示。程序的各项操作都在方便用户的角度设计，体验度较好，且支持pad，用户可使用该系统放松。</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二、放松设备</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1.座椅带腿部按摩功能。</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2.含专业心理音乐、心理视图及心理视频的内容如下：A、放松训练视频影视；B、α波脑电波同步放松音乐、纯音乐等；C、错觉图、不可能图、多角度图等放松图片。</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3.靠背与腿部可实现100º至180º任意角度电动调节。</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4.高保真立体声蓝牙音频模块，同时兼容内存卡、U盘、音频线多种音频输入方式。</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套</w:t>
            </w:r>
          </w:p>
        </w:tc>
        <w:tc>
          <w:tcPr>
            <w:tcW w:w="10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w:t>
            </w:r>
          </w:p>
        </w:tc>
      </w:tr>
      <w:tr>
        <w:tblPrEx>
          <w:tblCellMar>
            <w:top w:w="0" w:type="dxa"/>
            <w:left w:w="108" w:type="dxa"/>
            <w:bottom w:w="0" w:type="dxa"/>
            <w:right w:w="108" w:type="dxa"/>
          </w:tblCellMar>
        </w:tblPrEx>
        <w:tc>
          <w:tcPr>
            <w:tcW w:w="8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16</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卡通宣泄套装</w:t>
            </w:r>
          </w:p>
        </w:tc>
        <w:tc>
          <w:tcPr>
            <w:tcW w:w="94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让使用者通过运动及力量展示的方式宣泄内心压抑的不良情绪、释放压力，进而恢复到健康状态。宣泄套件包括橡胶宣泄人≥1个，宣泄沙袋≥1个，宣泄球≥1个，宣泄棒≥4个，宣泄手套≥一副。</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个</w:t>
            </w:r>
          </w:p>
        </w:tc>
        <w:tc>
          <w:tcPr>
            <w:tcW w:w="10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w:t>
            </w:r>
          </w:p>
        </w:tc>
      </w:tr>
      <w:tr>
        <w:tblPrEx>
          <w:tblCellMar>
            <w:top w:w="0" w:type="dxa"/>
            <w:left w:w="108" w:type="dxa"/>
            <w:bottom w:w="0" w:type="dxa"/>
            <w:right w:w="108" w:type="dxa"/>
          </w:tblCellMar>
        </w:tblPrEx>
        <w:tc>
          <w:tcPr>
            <w:tcW w:w="8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17</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击打呐喊宣泄仪</w:t>
            </w:r>
          </w:p>
        </w:tc>
        <w:tc>
          <w:tcPr>
            <w:tcW w:w="94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auto"/>
                <w:kern w:val="0"/>
                <w:sz w:val="24"/>
                <w:lang w:bidi="ar"/>
              </w:rPr>
            </w:pPr>
            <w:r>
              <w:rPr>
                <w:rFonts w:hint="eastAsia" w:ascii="宋体" w:hAnsi="宋体" w:cs="宋体"/>
                <w:color w:val="auto"/>
                <w:kern w:val="0"/>
                <w:sz w:val="24"/>
                <w:lang w:bidi="ar"/>
              </w:rPr>
              <w:t>集击打、呐喊两类宣泄方式为一体的新一代智能宣泄系统，击打、呐喊模式随心切换。用户可根据当前的心理状态选择适合的主题，系统有声引导用户开始宣泄，过程中宣泄场景将随用户表现而变化，直观反映用户的宣泄力度，结束后可查看宣泄效果报告，还可进行压力测试及放松训练，为用户提供全方位宣泄体验。</w:t>
            </w:r>
          </w:p>
          <w:p>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结构：</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1.进口高级白色钢琴烤漆，防锈防磁防静电处理</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2.尺寸≥1090×1645×450mm</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3.内置音响系统</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4.电源：AC220V</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5.功耗&lt;200W</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技术参数：</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1.屏幕尺寸不小于40英寸，屏幕比例≥16:9，分辨率≥1920*1080，多点红外触摸屏。</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2.系统界面分为五大板块，简洁明晰，心理学色彩搭配，能使受训者快速找到定位，快速宣泄、专业宣泄、报告显示、智能放松、设置入口等模块。</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3.≥10个主题式呐喊宣泄选择；宣泄分为2种模式可在首页设置里选择击打宣泄或者呐喊宣泄，宣泄结束给出报告，含有基本信息、结果及建议等，报告结果有导出保存功能。</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4.智能引导正向激励同时还可以播放音乐指导、视频指导、语音指导和正能量的小故事，系统内置上下两个收音装置，可针对不同身高人群进行心理数据采集。</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5.智能放松模块，不少于10个不同类别的心理放松游戏。受训者可以随意选择不同类别的游戏来进行放松训练。为来访者创造一个轻松愉快的放松环境，来释放内心的不良情绪。</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6.智能放松模块的视频放松模块，部分心理音乐配有专业视频引导，含广角风景、山水等。</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7.压力报告模块，后台自动储存来访者压力报告，用户可以自主的查看压力报告结果，并可以导出保存。</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8.屏显智能呐喊系统，人体学设计，上下两个呐喊采集模块，适用于各阶段不同身高人群使用。</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9.配置无线生理采集器，并可实时显示: 血氧、心率、灌注指数、采集器电量等信息，并在报告呈现，自主神经活性、压力情绪等指标。</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三．产品功能：</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1.用呐喊或击打的方式，呼出不满情绪、泄出怨气，进行真实有效的情绪宣泄</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2.个性化正向引导语，有针对性进行正向性情绪疏导与鼓励</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3.体会宣泄所带来的舒畅感觉，较大程度的发泄负面情绪，释放自我</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4.情绪疏导：发泄心中不满、消除压抑低落心情、缓解学生考前紧张、赛前焦虑、重大任务前紧张等</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5.工作学习：疏导学习压力、释放心理压力、调节工作压力</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6.人际社交：缓和人际关系紧张、克服社交恐惧</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7.环境适应：调节学校新生、初入职场者等环境不适症</w:t>
            </w:r>
            <w:r>
              <w:rPr>
                <w:rFonts w:hint="eastAsia" w:ascii="宋体" w:hAnsi="宋体" w:cs="宋体"/>
                <w:color w:val="auto"/>
                <w:kern w:val="0"/>
                <w:sz w:val="24"/>
                <w:lang w:bidi="ar"/>
              </w:rPr>
              <w:br w:type="textWrapping"/>
            </w:r>
            <w:r>
              <w:rPr>
                <w:rFonts w:hint="eastAsia" w:ascii="宋体" w:hAnsi="宋体" w:cs="宋体"/>
                <w:color w:val="auto"/>
                <w:kern w:val="0"/>
                <w:sz w:val="24"/>
                <w:lang w:val="en-US" w:eastAsia="zh-CN" w:bidi="ar"/>
              </w:rPr>
              <w:t>8</w:t>
            </w:r>
            <w:r>
              <w:rPr>
                <w:rFonts w:hint="eastAsia" w:ascii="宋体" w:hAnsi="宋体" w:cs="宋体"/>
                <w:color w:val="auto"/>
                <w:kern w:val="0"/>
                <w:sz w:val="24"/>
                <w:lang w:bidi="ar"/>
              </w:rPr>
              <w:t>.自我调节：增强自信心，改善工作、学习、生活中对自我的正确认识。</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套</w:t>
            </w:r>
          </w:p>
        </w:tc>
        <w:tc>
          <w:tcPr>
            <w:tcW w:w="10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w:t>
            </w:r>
          </w:p>
        </w:tc>
      </w:tr>
      <w:tr>
        <w:tblPrEx>
          <w:tblCellMar>
            <w:top w:w="0" w:type="dxa"/>
            <w:left w:w="108" w:type="dxa"/>
            <w:bottom w:w="0" w:type="dxa"/>
            <w:right w:w="108" w:type="dxa"/>
          </w:tblCellMar>
        </w:tblPrEx>
        <w:tc>
          <w:tcPr>
            <w:tcW w:w="8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18</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团体活动箱</w:t>
            </w:r>
          </w:p>
        </w:tc>
        <w:tc>
          <w:tcPr>
            <w:tcW w:w="94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auto"/>
                <w:kern w:val="0"/>
                <w:sz w:val="24"/>
                <w:lang w:bidi="ar"/>
              </w:rPr>
            </w:pPr>
            <w:r>
              <w:rPr>
                <w:rFonts w:hint="eastAsia" w:ascii="宋体" w:hAnsi="宋体" w:cs="宋体"/>
                <w:color w:val="auto"/>
                <w:kern w:val="0"/>
                <w:sz w:val="24"/>
                <w:lang w:bidi="ar"/>
              </w:rPr>
              <w:t>用于心理成长训练培训，适用于心理工作者使用，提供完整的活动方案和所需道具，活动主题涵盖：环境适应篇，沟通交往篇，竞争合作篇，自我意识篇，创新实践篇，意志责任篇，学习管理篇，心灵成长篇等。</w:t>
            </w:r>
          </w:p>
          <w:p>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1.构成：包含不少于道具箱、团体活动道具、活动方案手册等部分</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2.尺寸不小于：940mm*560mm*380mm</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3.活动方案手册：提供不少于50个包括活动目的、活动形式、活动时间、活动场地、活动准备、活动程序及注意事项，活动评价等具体说明活动的完整方案</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4.活动内容包含：积极品质、情绪、成长、关系、应对等不少于八大主题。</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套</w:t>
            </w:r>
          </w:p>
        </w:tc>
        <w:tc>
          <w:tcPr>
            <w:tcW w:w="10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w:t>
            </w:r>
          </w:p>
        </w:tc>
      </w:tr>
      <w:tr>
        <w:tblPrEx>
          <w:tblCellMar>
            <w:top w:w="0" w:type="dxa"/>
            <w:left w:w="108" w:type="dxa"/>
            <w:bottom w:w="0" w:type="dxa"/>
            <w:right w:w="108" w:type="dxa"/>
          </w:tblCellMar>
        </w:tblPrEx>
        <w:tc>
          <w:tcPr>
            <w:tcW w:w="8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19</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情景剧活动箱</w:t>
            </w:r>
          </w:p>
        </w:tc>
        <w:tc>
          <w:tcPr>
            <w:tcW w:w="94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情景剧是一种用行动表演的方式来进行心理治疗的方法，导演将“主角”的个人议题在其他角色的辅助下编导成一幕剧，在导剧过程中导演帮助主角找到困扰自己问题的潜在方面，使主角对自己的问题有所领悟，找到自己的力量，将各方面加以整合</w:t>
            </w:r>
            <w:r>
              <w:rPr>
                <w:rFonts w:hint="eastAsia" w:ascii="宋体" w:hAnsi="宋体" w:cs="宋体"/>
                <w:color w:val="auto"/>
                <w:kern w:val="0"/>
                <w:sz w:val="24"/>
                <w:lang w:eastAsia="zh-CN" w:bidi="ar"/>
              </w:rPr>
              <w:t>。</w:t>
            </w:r>
            <w:r>
              <w:rPr>
                <w:rFonts w:hint="eastAsia" w:ascii="宋体" w:hAnsi="宋体" w:cs="宋体"/>
                <w:color w:val="auto"/>
                <w:kern w:val="0"/>
                <w:sz w:val="24"/>
                <w:lang w:bidi="ar"/>
              </w:rPr>
              <w:t>在组成上道具箱包括了20种以上颜色的丝巾，用于导演创伤场景的创伤衣以及辅助治疗师进行暖身活动的卡片，辅助放松的各种嗅觉和听觉道具以及面具等。一般丝巾用来做力量的选择也可以用来做点状测量、光谱测量等活动，在情景剧中让成员自主选择自己喜爱的丝巾代表自己想拥有或者是已经具有的有力量。卡片同样具有认识自我力量的功能，选择卡片不仅可以让成员发现自己的力量，而且通过分享环节也可以促进团体动力和拓展认知，卡片的运用可以贯穿整个治疗活动。道具箱中的嗅觉和听觉道具可辅助放松，也可用于构建力量感。面具和头饰类用于演绎主角的独特，帮助主角更好地表达和探索自己的情感。</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套</w:t>
            </w:r>
          </w:p>
        </w:tc>
        <w:tc>
          <w:tcPr>
            <w:tcW w:w="10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w:t>
            </w:r>
          </w:p>
        </w:tc>
      </w:tr>
      <w:tr>
        <w:tblPrEx>
          <w:tblCellMar>
            <w:top w:w="0" w:type="dxa"/>
            <w:left w:w="108" w:type="dxa"/>
            <w:bottom w:w="0" w:type="dxa"/>
            <w:right w:w="108" w:type="dxa"/>
          </w:tblCellMar>
        </w:tblPrEx>
        <w:tc>
          <w:tcPr>
            <w:tcW w:w="8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20</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装修</w:t>
            </w:r>
          </w:p>
        </w:tc>
        <w:tc>
          <w:tcPr>
            <w:tcW w:w="94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墙面：墙面基层处理，滚涂品牌墙面漆两遍</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 xml:space="preserve">顶面：铝扣板 </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 xml:space="preserve">地面：含地面找平、铺设强化复合木地板（含踢脚线） </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 xml:space="preserve">窗帘：布艺，遮光 </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 xml:space="preserve">吸顶灯：造型LED </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 xml:space="preserve">隔断：造型隔断屏风，PVC材质，带图案 </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w:t>
            </w:r>
          </w:p>
        </w:tc>
        <w:tc>
          <w:tcPr>
            <w:tcW w:w="10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63</w:t>
            </w:r>
          </w:p>
        </w:tc>
      </w:tr>
    </w:tbl>
    <w:p>
      <w:pPr>
        <w:rPr>
          <w:color w:val="auto"/>
        </w:rPr>
      </w:pPr>
    </w:p>
    <w:p>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Chars="0"/>
        <w:jc w:val="center"/>
        <w:textAlignment w:val="auto"/>
        <w:rPr>
          <w:rFonts w:hint="eastAsia"/>
          <w:color w:val="auto"/>
          <w:sz w:val="30"/>
          <w:szCs w:val="30"/>
        </w:rPr>
      </w:pPr>
      <w:bookmarkStart w:id="25" w:name="_Toc11353"/>
      <w:r>
        <w:rPr>
          <w:rFonts w:hint="eastAsia"/>
          <w:color w:val="auto"/>
          <w:sz w:val="30"/>
          <w:szCs w:val="30"/>
        </w:rPr>
        <w:t>五、科学教室</w:t>
      </w:r>
      <w:bookmarkEnd w:id="25"/>
    </w:p>
    <w:tbl>
      <w:tblPr>
        <w:tblStyle w:val="36"/>
        <w:tblW w:w="13937" w:type="dxa"/>
        <w:tblInd w:w="91" w:type="dxa"/>
        <w:tblLayout w:type="fixed"/>
        <w:tblCellMar>
          <w:top w:w="0" w:type="dxa"/>
          <w:left w:w="108" w:type="dxa"/>
          <w:bottom w:w="0" w:type="dxa"/>
          <w:right w:w="108" w:type="dxa"/>
        </w:tblCellMar>
      </w:tblPr>
      <w:tblGrid>
        <w:gridCol w:w="834"/>
        <w:gridCol w:w="1725"/>
        <w:gridCol w:w="9432"/>
        <w:gridCol w:w="900"/>
        <w:gridCol w:w="1046"/>
      </w:tblGrid>
      <w:tr>
        <w:tblPrEx>
          <w:tblCellMar>
            <w:top w:w="0" w:type="dxa"/>
            <w:left w:w="108" w:type="dxa"/>
            <w:bottom w:w="0" w:type="dxa"/>
            <w:right w:w="108" w:type="dxa"/>
          </w:tblCellMar>
        </w:tblPrEx>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auto"/>
                <w:sz w:val="24"/>
              </w:rPr>
            </w:pPr>
            <w:r>
              <w:rPr>
                <w:rFonts w:hint="eastAsia" w:ascii="宋体" w:hAnsi="宋体" w:cs="宋体"/>
                <w:b/>
                <w:bCs/>
                <w:color w:val="auto"/>
                <w:kern w:val="0"/>
                <w:sz w:val="24"/>
                <w:lang w:bidi="ar"/>
              </w:rPr>
              <w:t>序号</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auto"/>
                <w:sz w:val="24"/>
              </w:rPr>
            </w:pPr>
            <w:r>
              <w:rPr>
                <w:rFonts w:hint="eastAsia" w:ascii="宋体" w:hAnsi="宋体" w:cs="宋体"/>
                <w:b/>
                <w:bCs/>
                <w:color w:val="auto"/>
                <w:kern w:val="0"/>
                <w:sz w:val="24"/>
                <w:lang w:bidi="ar"/>
              </w:rPr>
              <w:t>名称</w:t>
            </w:r>
          </w:p>
        </w:tc>
        <w:tc>
          <w:tcPr>
            <w:tcW w:w="94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auto"/>
                <w:sz w:val="24"/>
              </w:rPr>
            </w:pPr>
            <w:r>
              <w:rPr>
                <w:rFonts w:hint="eastAsia" w:ascii="宋体" w:hAnsi="宋体" w:cs="宋体"/>
                <w:b/>
                <w:bCs/>
                <w:color w:val="auto"/>
                <w:kern w:val="0"/>
                <w:sz w:val="24"/>
                <w:lang w:bidi="ar"/>
              </w:rPr>
              <w:t>技术参数</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auto"/>
                <w:sz w:val="24"/>
              </w:rPr>
            </w:pPr>
            <w:r>
              <w:rPr>
                <w:rFonts w:hint="eastAsia" w:ascii="宋体" w:hAnsi="宋体" w:cs="宋体"/>
                <w:b/>
                <w:bCs/>
                <w:color w:val="auto"/>
                <w:kern w:val="0"/>
                <w:sz w:val="24"/>
                <w:lang w:bidi="ar"/>
              </w:rPr>
              <w:t>单位</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auto"/>
                <w:sz w:val="24"/>
              </w:rPr>
            </w:pPr>
            <w:r>
              <w:rPr>
                <w:rFonts w:hint="eastAsia" w:ascii="宋体" w:hAnsi="宋体" w:cs="宋体"/>
                <w:b/>
                <w:bCs/>
                <w:color w:val="auto"/>
                <w:kern w:val="0"/>
                <w:sz w:val="24"/>
                <w:lang w:bidi="ar"/>
              </w:rPr>
              <w:t>数量</w:t>
            </w:r>
          </w:p>
        </w:tc>
      </w:tr>
      <w:tr>
        <w:tblPrEx>
          <w:tblCellMar>
            <w:top w:w="0" w:type="dxa"/>
            <w:left w:w="108" w:type="dxa"/>
            <w:bottom w:w="0" w:type="dxa"/>
            <w:right w:w="108" w:type="dxa"/>
          </w:tblCellMar>
        </w:tblPrEx>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86寸智慧黑板</w:t>
            </w:r>
          </w:p>
        </w:tc>
        <w:tc>
          <w:tcPr>
            <w:tcW w:w="943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整体要求：</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1.采用电容全贴合触摸技术，超薄一体化设计，超薄侧板，无明显拼接痕迹，外观简洁。整机长度≤4200mm，高度≤1200mm，中间区域为86英寸LED液晶显示屏幕，支持HID免驱技术，全通道支持20点触控及书写。</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2.液晶显示屏幕采用工业级A规液晶面板，图像分辨率≥3840*2160；亮度≥500cd/㎡；对比度≥5000:1；响应时间≤8ms；可视角度≥水平178°，透光率≥90%，NTSC≥90%。</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3.内置安卓嵌入式系统，不低于Android 8.0版本，具备四核CPU。机身内存不低于16G ROM，运行内存不低于2G RAM。</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4.具备自动待机功能，具备在无操作或无信号输入状态下，自动进入待机状态，可自主选择待机时间；</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5.支持用户自定义开机通道（信号源），开机后直接进入对应通道画面，支持自定义设置安卓系统、内置电脑（OPS）、数字电视、HDMI、VGA、上一次通道等。</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6.安卓系统下，可一键进行硬件自检并优化， 包括对触控单元、OPS 模块、光感系统、 网络等模块进行检测。</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7.通过智能交互黑板桌面的悬浮菜单切换信号源通道，并可通过多指调用此悬浮菜单到屏幕任意位置。</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8.两侧黑板全幅面具有磁吸附功能，左右侧板采用高抗反光纳米材料，实现无反光效果，在任何角度均可清晰可见书写笔迹。</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9.表面支持超过3种及以上类型的笔书写:水性笔、普通粉笔、无尘粉笔等。要求防眩光全物理钢化玻璃。</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10.触摸芯片支持主动笔书写功能，在不采用外部任何配件连接状态下，支持主动笔操作书写。</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11.屏体采用带触摸的液晶玻璃一体机型触控技术</w:t>
            </w:r>
            <w:r>
              <w:rPr>
                <w:rFonts w:hint="eastAsia" w:ascii="宋体" w:hAnsi="宋体" w:cs="宋体"/>
                <w:color w:val="auto"/>
                <w:kern w:val="0"/>
                <w:sz w:val="24"/>
                <w:lang w:eastAsia="zh-CN" w:bidi="ar"/>
              </w:rPr>
              <w:t>。</w:t>
            </w:r>
            <w:r>
              <w:rPr>
                <w:rFonts w:hint="eastAsia" w:ascii="宋体" w:hAnsi="宋体" w:cs="宋体"/>
                <w:color w:val="auto"/>
                <w:kern w:val="0"/>
                <w:sz w:val="24"/>
                <w:lang w:eastAsia="zh-CN" w:bidi="ar"/>
              </w:rPr>
              <w:br w:type="textWrapping"/>
            </w:r>
            <w:r>
              <w:rPr>
                <w:rFonts w:hint="eastAsia" w:ascii="宋体" w:hAnsi="宋体" w:cs="宋体"/>
                <w:color w:val="auto"/>
                <w:kern w:val="0"/>
                <w:sz w:val="24"/>
                <w:lang w:bidi="ar"/>
              </w:rPr>
              <w:t>12.触摸精度控制在1mm以内。</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13.为适应不同人员对产品软件实际操作的需求，不采用任何物理升降结构,通过软件快捷键即可实现液晶屏幕上显示窗口下移，实现半屏显示、原始状态、还原状态，实现三种不同显示模式，并可进行触控批注，方便老师操作。（此功能同生产厂家为同一品牌，要求LOGO显示）</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14.整机内置扬声器，扬声器额定总功率≥30W。</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15.中间液晶显示屏采用≤3mm 防眩光钢化玻璃，防划防撞；表面硬度≥7H，雾度≤5%。</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16.低蓝光保护：液晶显示屏可有效过滤LED光源中的大量有害蓝光，保护视力健康。</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17.四周采用安全倒角或圆角设计，钢化玻璃无任何外露边角，防划、防暴、抗击打。</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18.整机接口端子应满足：输入端口：RJ45≥1，HDMI≥2，RS232串口≥1，RF≥1，AV IN≥1，VGA≥1，分量≥1，音频≥1。</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19.输出端口：USB-TOUCH≥1，AV OUT≥1，Earphone≥1。</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20.整机前置接口具备1路HDMI、1路USB-TOUCH；3路前置USB3.0同时支持在Windows和Android系统下被读取。</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21.整机具有一键开关机、电脑开关机、节能待机三键合一电源按键，主页、设置、音量+、音量-、返回不少于6个前置物理按键，支持一键还原电脑功能。</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22.在任意通道下，可通过五指手势实现熄屏与唤醒功能，方便老师在课堂上提问、测验等场景应用。</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23.内置触摸中控菜单，将信号源通道切换、亮度调节、声音图像调节等整合到同一菜单下，无须实体按键，在任意通道下均可通过手势功能在屏幕上调取该触摸菜单。</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24.支持对 U盘读取到的课件文件进行自动归类，可快速分类查找 office文档、音乐、视频、图片，APK等文件。</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25.整机内置摄像头，像素:≥800万，支持拍照以及扫描功能，整机内置拾音麦克风，拾音范围≥6m。</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26.智慧黑板产品具有静电放电抗扰度试验 （符合 GB/ T17626.2-2018）、浪涌抗扰度试验（符合 GB/T 17626.5-2019）,电瞬变快速脉冲群扰度试验（符合 GB/T 17626.4-2018）</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二、内置电脑配置：</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  一体机采用抽拉式模块化电脑，采用标准 JAE-80PIN 连接器件模块化设计，标准 80 针接口，外部无任何连线，支持快速拆卸。</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  CPU: ≥ INTEL I5;内存：≥ 8G;固态硬盘：≥256G;  内置WIFI模块。</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3.  支持 windows系统具备一键还原功能。</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4.  电脑MTBF≥120000小时（提供第三方检测报告并加盖厂家公章）。</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5.  独立非外扩展接口：HDMI OUT≥1、MIC IN≥1、RJ45≥1、USB3.0≥2、VGA out≥1、</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 xml:space="preserve"> USB2.0≥4、Earphone OUT≥1。</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台</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w:t>
            </w:r>
          </w:p>
        </w:tc>
      </w:tr>
      <w:tr>
        <w:tblPrEx>
          <w:tblCellMar>
            <w:top w:w="0" w:type="dxa"/>
            <w:left w:w="108" w:type="dxa"/>
            <w:bottom w:w="0" w:type="dxa"/>
            <w:right w:w="108" w:type="dxa"/>
          </w:tblCellMar>
        </w:tblPrEx>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创新教学资源平台</w:t>
            </w:r>
          </w:p>
        </w:tc>
        <w:tc>
          <w:tcPr>
            <w:tcW w:w="943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1、平台采用云端的方式进行部署，方便进行维护和更新。</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2、平台采用B/S架构，通过浏览器即可快速访问，无需下载客户端。</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3、平台兼容性强，支持IE、Google Chrome、Firefox等主流浏览器访问。</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4、平台支持权限认证，便于根据不同用户类型提供相应服务。</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5、平台支持多种资源类型，包括doc、xls、ppt、pdf等文档类资源，png、bmp、jpg等图片类资源，rmv、mp4、avi等视频类资源，并且无需单独安装插件，即可在线访问所有资源。</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6、平台支持实时统计显示steam课程开展情况，实现创新教育数据化、可视化管理。</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★提供产品的软件著作权登记证书复印件并加盖公章。</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套</w:t>
            </w:r>
          </w:p>
        </w:tc>
        <w:tc>
          <w:tcPr>
            <w:tcW w:w="10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w:t>
            </w:r>
          </w:p>
        </w:tc>
      </w:tr>
      <w:tr>
        <w:tblPrEx>
          <w:tblCellMar>
            <w:top w:w="0" w:type="dxa"/>
            <w:left w:w="108" w:type="dxa"/>
            <w:bottom w:w="0" w:type="dxa"/>
            <w:right w:w="108" w:type="dxa"/>
          </w:tblCellMar>
        </w:tblPrEx>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图形化编程软件</w:t>
            </w:r>
          </w:p>
        </w:tc>
        <w:tc>
          <w:tcPr>
            <w:tcW w:w="943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1、为满足不同教学环境的使用，需提供编程系统的安装文件，并支持Windows 或 Mac OS的电脑安装使用。</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2、为适应中小学STEAM/创客教育，使学生更加简便的学习编程知识，了解传感器和执行器等相关电子元器件的使用，编程系统需满足已下要求：</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（1）支持Arduino、STM32、ESP32等硬件的程序编写、编译和调试。</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（2）支持图形化编程模式、C++语言和Python语言等编程模式。</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（3）支持将图形化程序实时转译成Python语言程序。</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（4）支持将图形化程序实时转译成C++语言。</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（5）支持各种常用传感器和执行器的编程控制与数据采集，对采集的数据以模拟动画、折线图、列表的形式实时反馈与显示，并且支持数据的导出。</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★提供产品的软件著作权登记证书复印件并加盖公章。</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套</w:t>
            </w:r>
          </w:p>
        </w:tc>
        <w:tc>
          <w:tcPr>
            <w:tcW w:w="10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w:t>
            </w:r>
          </w:p>
        </w:tc>
      </w:tr>
      <w:tr>
        <w:tblPrEx>
          <w:tblCellMar>
            <w:top w:w="0" w:type="dxa"/>
            <w:left w:w="108" w:type="dxa"/>
            <w:bottom w:w="0" w:type="dxa"/>
            <w:right w:w="108" w:type="dxa"/>
          </w:tblCellMar>
        </w:tblPrEx>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人工智能入门课程资源软件</w:t>
            </w:r>
          </w:p>
        </w:tc>
        <w:tc>
          <w:tcPr>
            <w:tcW w:w="943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1、要求课程结合日常生活中各样的人工智能应用入手，引导学生了解不同的人工智能产品，结合生活问题设计并制作多个小模型，带领学生感受人工智能给生活带来的便利。</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2、要求课程内容至少包括：</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（1）体验人工智能应用。如各类传感器和执行器的工作原理与应用场景，语音识别、自然语言处理等人工智能技术的应用。</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（2）学习顺序、循环和选择结构等相关基础编程知识。以激发学生对人工智能的学习兴趣。</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3、要求课程不少于10个活动和不少于10个课时，包含：初识人工智能、耳聪目明、你问我答、流水灯、摩斯密码灯光、声波测距仪、语音测距仪、电动窗帘、光控窗帘、声控窗帘等。</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4、要求课程资源丰富多样，更好的满足教师和学生的教与学需求。不少于10份教案、不少于10份教学课件、不少于10份教学流程图、不少于8份学习指引、不少于8份任务卡、不少于5个参考程序、不少于3个重难点微课视频、搭建说明等丰富的教学资源及学习资源。</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5、考虑到教学应用的简便性，本课程资源软件要求部署于云平台中，用户只需要直接通过浏览器及相应的账号密码即可访问，无须单独提供存储介质（如：U盘、光盘、移动硬盘等）或安装文件等。要求现场提供本课程资源软件部署于云平台中的课程活动及课程资源截图。</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（1）教师在教学过程中利用云平台可完成课程的课前备课、课中授课、课后评价。</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（2）学生在学校过程中利用云平台可完成课前预习、课中学习、课后自评。</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提供产品的软件著作权登记证书复印件并加盖厂商公章。</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套</w:t>
            </w:r>
          </w:p>
        </w:tc>
        <w:tc>
          <w:tcPr>
            <w:tcW w:w="10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bdr w:val="single" w:color="000000" w:sz="4" w:space="0"/>
                <w:lang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15875" cy="31115"/>
                  <wp:effectExtent l="0" t="0" r="0" b="0"/>
                  <wp:wrapNone/>
                  <wp:docPr id="8" name="图片_27"/>
                  <wp:cNvGraphicFramePr/>
                  <a:graphic xmlns:a="http://schemas.openxmlformats.org/drawingml/2006/main">
                    <a:graphicData uri="http://schemas.openxmlformats.org/drawingml/2006/picture">
                      <pic:pic xmlns:pic="http://schemas.openxmlformats.org/drawingml/2006/picture">
                        <pic:nvPicPr>
                          <pic:cNvPr id="8" name="图片_27"/>
                          <pic:cNvPicPr/>
                        </pic:nvPicPr>
                        <pic:blipFill>
                          <a:blip r:embed="rId14"/>
                          <a:stretch>
                            <a:fillRect/>
                          </a:stretch>
                        </pic:blipFill>
                        <pic:spPr>
                          <a:xfrm>
                            <a:off x="0" y="0"/>
                            <a:ext cx="15875" cy="31115"/>
                          </a:xfrm>
                          <a:prstGeom prst="rect">
                            <a:avLst/>
                          </a:prstGeom>
                          <a:noFill/>
                          <a:ln>
                            <a:noFill/>
                          </a:ln>
                        </pic:spPr>
                      </pic:pic>
                    </a:graphicData>
                  </a:graphic>
                </wp:anchor>
              </w:drawing>
            </w:r>
            <w:r>
              <w:rPr>
                <w:rFonts w:hint="eastAsia" w:ascii="宋体" w:hAnsi="宋体" w:cs="宋体"/>
                <w:color w:val="auto"/>
                <w:kern w:val="0"/>
                <w:sz w:val="24"/>
                <w:bdr w:val="single" w:color="000000" w:sz="4" w:space="0"/>
                <w:lang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15875" cy="31115"/>
                  <wp:effectExtent l="0" t="0" r="0" b="0"/>
                  <wp:wrapNone/>
                  <wp:docPr id="6" name="图片_27_SpCnt_1"/>
                  <wp:cNvGraphicFramePr/>
                  <a:graphic xmlns:a="http://schemas.openxmlformats.org/drawingml/2006/main">
                    <a:graphicData uri="http://schemas.openxmlformats.org/drawingml/2006/picture">
                      <pic:pic xmlns:pic="http://schemas.openxmlformats.org/drawingml/2006/picture">
                        <pic:nvPicPr>
                          <pic:cNvPr id="6" name="图片_27_SpCnt_1"/>
                          <pic:cNvPicPr/>
                        </pic:nvPicPr>
                        <pic:blipFill>
                          <a:blip r:embed="rId14"/>
                          <a:stretch>
                            <a:fillRect/>
                          </a:stretch>
                        </pic:blipFill>
                        <pic:spPr>
                          <a:xfrm>
                            <a:off x="0" y="0"/>
                            <a:ext cx="15875" cy="31115"/>
                          </a:xfrm>
                          <a:prstGeom prst="rect">
                            <a:avLst/>
                          </a:prstGeom>
                          <a:noFill/>
                          <a:ln>
                            <a:noFill/>
                          </a:ln>
                        </pic:spPr>
                      </pic:pic>
                    </a:graphicData>
                  </a:graphic>
                </wp:anchor>
              </w:drawing>
            </w:r>
            <w:r>
              <w:rPr>
                <w:rFonts w:hint="eastAsia" w:ascii="宋体" w:hAnsi="宋体" w:cs="宋体"/>
                <w:color w:val="auto"/>
                <w:kern w:val="0"/>
                <w:sz w:val="24"/>
                <w:bdr w:val="single" w:color="000000" w:sz="4" w:space="0"/>
                <w:lang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15875" cy="31115"/>
                  <wp:effectExtent l="0" t="0" r="0" b="0"/>
                  <wp:wrapNone/>
                  <wp:docPr id="12" name="图片_27_SpCnt_2"/>
                  <wp:cNvGraphicFramePr/>
                  <a:graphic xmlns:a="http://schemas.openxmlformats.org/drawingml/2006/main">
                    <a:graphicData uri="http://schemas.openxmlformats.org/drawingml/2006/picture">
                      <pic:pic xmlns:pic="http://schemas.openxmlformats.org/drawingml/2006/picture">
                        <pic:nvPicPr>
                          <pic:cNvPr id="12" name="图片_27_SpCnt_2"/>
                          <pic:cNvPicPr/>
                        </pic:nvPicPr>
                        <pic:blipFill>
                          <a:blip r:embed="rId14"/>
                          <a:stretch>
                            <a:fillRect/>
                          </a:stretch>
                        </pic:blipFill>
                        <pic:spPr>
                          <a:xfrm>
                            <a:off x="0" y="0"/>
                            <a:ext cx="15875" cy="31115"/>
                          </a:xfrm>
                          <a:prstGeom prst="rect">
                            <a:avLst/>
                          </a:prstGeom>
                          <a:noFill/>
                          <a:ln>
                            <a:noFill/>
                          </a:ln>
                        </pic:spPr>
                      </pic:pic>
                    </a:graphicData>
                  </a:graphic>
                </wp:anchor>
              </w:drawing>
            </w:r>
            <w:r>
              <w:rPr>
                <w:rFonts w:hint="eastAsia" w:ascii="宋体" w:hAnsi="宋体" w:cs="宋体"/>
                <w:color w:val="auto"/>
                <w:kern w:val="0"/>
                <w:sz w:val="24"/>
                <w:bdr w:val="single" w:color="000000" w:sz="4" w:space="0"/>
                <w:lang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15875" cy="31115"/>
                  <wp:effectExtent l="0" t="0" r="0" b="0"/>
                  <wp:wrapNone/>
                  <wp:docPr id="18" name="图片_27_SpCnt_3"/>
                  <wp:cNvGraphicFramePr/>
                  <a:graphic xmlns:a="http://schemas.openxmlformats.org/drawingml/2006/main">
                    <a:graphicData uri="http://schemas.openxmlformats.org/drawingml/2006/picture">
                      <pic:pic xmlns:pic="http://schemas.openxmlformats.org/drawingml/2006/picture">
                        <pic:nvPicPr>
                          <pic:cNvPr id="18" name="图片_27_SpCnt_3"/>
                          <pic:cNvPicPr/>
                        </pic:nvPicPr>
                        <pic:blipFill>
                          <a:blip r:embed="rId14"/>
                          <a:stretch>
                            <a:fillRect/>
                          </a:stretch>
                        </pic:blipFill>
                        <pic:spPr>
                          <a:xfrm>
                            <a:off x="0" y="0"/>
                            <a:ext cx="15875" cy="31115"/>
                          </a:xfrm>
                          <a:prstGeom prst="rect">
                            <a:avLst/>
                          </a:prstGeom>
                          <a:noFill/>
                          <a:ln>
                            <a:noFill/>
                          </a:ln>
                        </pic:spPr>
                      </pic:pic>
                    </a:graphicData>
                  </a:graphic>
                </wp:anchor>
              </w:drawing>
            </w:r>
            <w:r>
              <w:rPr>
                <w:rFonts w:hint="eastAsia" w:ascii="宋体" w:hAnsi="宋体" w:cs="宋体"/>
                <w:color w:val="auto"/>
                <w:kern w:val="0"/>
                <w:sz w:val="24"/>
                <w:bdr w:val="single" w:color="000000" w:sz="4" w:space="0"/>
                <w:lang w:bidi="ar"/>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15875" cy="31115"/>
                  <wp:effectExtent l="0" t="0" r="0" b="0"/>
                  <wp:wrapNone/>
                  <wp:docPr id="2" name="图片_27_SpCnt_4"/>
                  <wp:cNvGraphicFramePr/>
                  <a:graphic xmlns:a="http://schemas.openxmlformats.org/drawingml/2006/main">
                    <a:graphicData uri="http://schemas.openxmlformats.org/drawingml/2006/picture">
                      <pic:pic xmlns:pic="http://schemas.openxmlformats.org/drawingml/2006/picture">
                        <pic:nvPicPr>
                          <pic:cNvPr id="2" name="图片_27_SpCnt_4"/>
                          <pic:cNvPicPr/>
                        </pic:nvPicPr>
                        <pic:blipFill>
                          <a:blip r:embed="rId14"/>
                          <a:stretch>
                            <a:fillRect/>
                          </a:stretch>
                        </pic:blipFill>
                        <pic:spPr>
                          <a:xfrm>
                            <a:off x="0" y="0"/>
                            <a:ext cx="15875" cy="31115"/>
                          </a:xfrm>
                          <a:prstGeom prst="rect">
                            <a:avLst/>
                          </a:prstGeom>
                          <a:noFill/>
                          <a:ln>
                            <a:noFill/>
                          </a:ln>
                        </pic:spPr>
                      </pic:pic>
                    </a:graphicData>
                  </a:graphic>
                </wp:anchor>
              </w:drawing>
            </w:r>
            <w:r>
              <w:rPr>
                <w:rFonts w:hint="eastAsia" w:ascii="宋体" w:hAnsi="宋体" w:cs="宋体"/>
                <w:color w:val="auto"/>
                <w:kern w:val="0"/>
                <w:sz w:val="24"/>
                <w:bdr w:val="single" w:color="000000" w:sz="4" w:space="0"/>
                <w:lang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15875" cy="31115"/>
                  <wp:effectExtent l="0" t="0" r="0" b="0"/>
                  <wp:wrapNone/>
                  <wp:docPr id="11" name="图片_27_SpCnt_5"/>
                  <wp:cNvGraphicFramePr/>
                  <a:graphic xmlns:a="http://schemas.openxmlformats.org/drawingml/2006/main">
                    <a:graphicData uri="http://schemas.openxmlformats.org/drawingml/2006/picture">
                      <pic:pic xmlns:pic="http://schemas.openxmlformats.org/drawingml/2006/picture">
                        <pic:nvPicPr>
                          <pic:cNvPr id="11" name="图片_27_SpCnt_5"/>
                          <pic:cNvPicPr/>
                        </pic:nvPicPr>
                        <pic:blipFill>
                          <a:blip r:embed="rId14"/>
                          <a:stretch>
                            <a:fillRect/>
                          </a:stretch>
                        </pic:blipFill>
                        <pic:spPr>
                          <a:xfrm>
                            <a:off x="0" y="0"/>
                            <a:ext cx="15875" cy="31115"/>
                          </a:xfrm>
                          <a:prstGeom prst="rect">
                            <a:avLst/>
                          </a:prstGeom>
                          <a:noFill/>
                          <a:ln>
                            <a:noFill/>
                          </a:ln>
                        </pic:spPr>
                      </pic:pic>
                    </a:graphicData>
                  </a:graphic>
                </wp:anchor>
              </w:drawing>
            </w:r>
            <w:r>
              <w:rPr>
                <w:rFonts w:hint="eastAsia" w:ascii="宋体" w:hAnsi="宋体" w:cs="宋体"/>
                <w:color w:val="auto"/>
                <w:kern w:val="0"/>
                <w:sz w:val="24"/>
                <w:bdr w:val="single" w:color="000000" w:sz="4" w:space="0"/>
                <w:lang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15875" cy="31115"/>
                  <wp:effectExtent l="0" t="0" r="0" b="0"/>
                  <wp:wrapNone/>
                  <wp:docPr id="9" name="图片_27_SpCnt_6"/>
                  <wp:cNvGraphicFramePr/>
                  <a:graphic xmlns:a="http://schemas.openxmlformats.org/drawingml/2006/main">
                    <a:graphicData uri="http://schemas.openxmlformats.org/drawingml/2006/picture">
                      <pic:pic xmlns:pic="http://schemas.openxmlformats.org/drawingml/2006/picture">
                        <pic:nvPicPr>
                          <pic:cNvPr id="9" name="图片_27_SpCnt_6"/>
                          <pic:cNvPicPr/>
                        </pic:nvPicPr>
                        <pic:blipFill>
                          <a:blip r:embed="rId14"/>
                          <a:stretch>
                            <a:fillRect/>
                          </a:stretch>
                        </pic:blipFill>
                        <pic:spPr>
                          <a:xfrm>
                            <a:off x="0" y="0"/>
                            <a:ext cx="15875" cy="31115"/>
                          </a:xfrm>
                          <a:prstGeom prst="rect">
                            <a:avLst/>
                          </a:prstGeom>
                          <a:noFill/>
                          <a:ln>
                            <a:noFill/>
                          </a:ln>
                        </pic:spPr>
                      </pic:pic>
                    </a:graphicData>
                  </a:graphic>
                </wp:anchor>
              </w:drawing>
            </w:r>
            <w:r>
              <w:rPr>
                <w:rFonts w:hint="eastAsia" w:ascii="宋体" w:hAnsi="宋体" w:cs="宋体"/>
                <w:color w:val="auto"/>
                <w:kern w:val="0"/>
                <w:sz w:val="24"/>
                <w:bdr w:val="single" w:color="000000" w:sz="4" w:space="0"/>
                <w:lang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15875" cy="31115"/>
                  <wp:effectExtent l="0" t="0" r="0" b="0"/>
                  <wp:wrapNone/>
                  <wp:docPr id="1" name="图片_27_SpCnt_7"/>
                  <wp:cNvGraphicFramePr/>
                  <a:graphic xmlns:a="http://schemas.openxmlformats.org/drawingml/2006/main">
                    <a:graphicData uri="http://schemas.openxmlformats.org/drawingml/2006/picture">
                      <pic:pic xmlns:pic="http://schemas.openxmlformats.org/drawingml/2006/picture">
                        <pic:nvPicPr>
                          <pic:cNvPr id="1" name="图片_27_SpCnt_7"/>
                          <pic:cNvPicPr/>
                        </pic:nvPicPr>
                        <pic:blipFill>
                          <a:blip r:embed="rId14"/>
                          <a:stretch>
                            <a:fillRect/>
                          </a:stretch>
                        </pic:blipFill>
                        <pic:spPr>
                          <a:xfrm>
                            <a:off x="0" y="0"/>
                            <a:ext cx="15875" cy="31115"/>
                          </a:xfrm>
                          <a:prstGeom prst="rect">
                            <a:avLst/>
                          </a:prstGeom>
                          <a:noFill/>
                          <a:ln>
                            <a:noFill/>
                          </a:ln>
                        </pic:spPr>
                      </pic:pic>
                    </a:graphicData>
                  </a:graphic>
                </wp:anchor>
              </w:drawing>
            </w:r>
            <w:r>
              <w:rPr>
                <w:rFonts w:hint="eastAsia" w:ascii="宋体" w:hAnsi="宋体" w:cs="宋体"/>
                <w:color w:val="auto"/>
                <w:kern w:val="0"/>
                <w:sz w:val="24"/>
                <w:bdr w:val="single" w:color="000000" w:sz="4" w:space="0"/>
                <w:lang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15875" cy="31115"/>
                  <wp:effectExtent l="0" t="0" r="0" b="0"/>
                  <wp:wrapNone/>
                  <wp:docPr id="10" name="图片_27_SpCnt_8"/>
                  <wp:cNvGraphicFramePr/>
                  <a:graphic xmlns:a="http://schemas.openxmlformats.org/drawingml/2006/main">
                    <a:graphicData uri="http://schemas.openxmlformats.org/drawingml/2006/picture">
                      <pic:pic xmlns:pic="http://schemas.openxmlformats.org/drawingml/2006/picture">
                        <pic:nvPicPr>
                          <pic:cNvPr id="10" name="图片_27_SpCnt_8"/>
                          <pic:cNvPicPr/>
                        </pic:nvPicPr>
                        <pic:blipFill>
                          <a:blip r:embed="rId14"/>
                          <a:stretch>
                            <a:fillRect/>
                          </a:stretch>
                        </pic:blipFill>
                        <pic:spPr>
                          <a:xfrm>
                            <a:off x="0" y="0"/>
                            <a:ext cx="15875" cy="31115"/>
                          </a:xfrm>
                          <a:prstGeom prst="rect">
                            <a:avLst/>
                          </a:prstGeom>
                          <a:noFill/>
                          <a:ln>
                            <a:noFill/>
                          </a:ln>
                        </pic:spPr>
                      </pic:pic>
                    </a:graphicData>
                  </a:graphic>
                </wp:anchor>
              </w:drawing>
            </w:r>
            <w:r>
              <w:rPr>
                <w:rFonts w:hint="eastAsia" w:ascii="宋体" w:hAnsi="宋体" w:cs="宋体"/>
                <w:color w:val="auto"/>
                <w:kern w:val="0"/>
                <w:sz w:val="24"/>
                <w:bdr w:val="single" w:color="000000" w:sz="4" w:space="0"/>
                <w:lang w:bidi="ar"/>
              </w:rPr>
              <w:drawing>
                <wp:anchor distT="0" distB="0" distL="114300" distR="114300" simplePos="0" relativeHeight="251672576" behindDoc="0" locked="0" layoutInCell="1" allowOverlap="1">
                  <wp:simplePos x="0" y="0"/>
                  <wp:positionH relativeFrom="column">
                    <wp:posOffset>0</wp:posOffset>
                  </wp:positionH>
                  <wp:positionV relativeFrom="paragraph">
                    <wp:posOffset>0</wp:posOffset>
                  </wp:positionV>
                  <wp:extent cx="15875" cy="31115"/>
                  <wp:effectExtent l="0" t="0" r="0" b="0"/>
                  <wp:wrapNone/>
                  <wp:docPr id="20" name="图片_27_SpCnt_9"/>
                  <wp:cNvGraphicFramePr/>
                  <a:graphic xmlns:a="http://schemas.openxmlformats.org/drawingml/2006/main">
                    <a:graphicData uri="http://schemas.openxmlformats.org/drawingml/2006/picture">
                      <pic:pic xmlns:pic="http://schemas.openxmlformats.org/drawingml/2006/picture">
                        <pic:nvPicPr>
                          <pic:cNvPr id="20" name="图片_27_SpCnt_9"/>
                          <pic:cNvPicPr/>
                        </pic:nvPicPr>
                        <pic:blipFill>
                          <a:blip r:embed="rId14"/>
                          <a:stretch>
                            <a:fillRect/>
                          </a:stretch>
                        </pic:blipFill>
                        <pic:spPr>
                          <a:xfrm>
                            <a:off x="0" y="0"/>
                            <a:ext cx="15875" cy="31115"/>
                          </a:xfrm>
                          <a:prstGeom prst="rect">
                            <a:avLst/>
                          </a:prstGeom>
                          <a:noFill/>
                          <a:ln>
                            <a:noFill/>
                          </a:ln>
                        </pic:spPr>
                      </pic:pic>
                    </a:graphicData>
                  </a:graphic>
                </wp:anchor>
              </w:drawing>
            </w:r>
            <w:r>
              <w:rPr>
                <w:rFonts w:hint="eastAsia" w:ascii="宋体" w:hAnsi="宋体" w:cs="宋体"/>
                <w:color w:val="auto"/>
                <w:kern w:val="0"/>
                <w:sz w:val="24"/>
                <w:bdr w:val="single" w:color="000000" w:sz="4" w:space="0"/>
                <w:lang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15875" cy="31115"/>
                  <wp:effectExtent l="0" t="0" r="0" b="0"/>
                  <wp:wrapNone/>
                  <wp:docPr id="19" name="图片_27_SpCnt_10"/>
                  <wp:cNvGraphicFramePr/>
                  <a:graphic xmlns:a="http://schemas.openxmlformats.org/drawingml/2006/main">
                    <a:graphicData uri="http://schemas.openxmlformats.org/drawingml/2006/picture">
                      <pic:pic xmlns:pic="http://schemas.openxmlformats.org/drawingml/2006/picture">
                        <pic:nvPicPr>
                          <pic:cNvPr id="19" name="图片_27_SpCnt_10"/>
                          <pic:cNvPicPr/>
                        </pic:nvPicPr>
                        <pic:blipFill>
                          <a:blip r:embed="rId14"/>
                          <a:stretch>
                            <a:fillRect/>
                          </a:stretch>
                        </pic:blipFill>
                        <pic:spPr>
                          <a:xfrm>
                            <a:off x="0" y="0"/>
                            <a:ext cx="15875" cy="31115"/>
                          </a:xfrm>
                          <a:prstGeom prst="rect">
                            <a:avLst/>
                          </a:prstGeom>
                          <a:noFill/>
                          <a:ln>
                            <a:noFill/>
                          </a:ln>
                        </pic:spPr>
                      </pic:pic>
                    </a:graphicData>
                  </a:graphic>
                </wp:anchor>
              </w:drawing>
            </w:r>
            <w:r>
              <w:rPr>
                <w:rFonts w:hint="eastAsia" w:ascii="宋体" w:hAnsi="宋体" w:cs="宋体"/>
                <w:color w:val="auto"/>
                <w:kern w:val="0"/>
                <w:sz w:val="24"/>
                <w:bdr w:val="single" w:color="000000" w:sz="4" w:space="0"/>
                <w:lang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15875" cy="31115"/>
                  <wp:effectExtent l="0" t="0" r="0" b="0"/>
                  <wp:wrapNone/>
                  <wp:docPr id="21" name="图片_27_SpCnt_11"/>
                  <wp:cNvGraphicFramePr/>
                  <a:graphic xmlns:a="http://schemas.openxmlformats.org/drawingml/2006/main">
                    <a:graphicData uri="http://schemas.openxmlformats.org/drawingml/2006/picture">
                      <pic:pic xmlns:pic="http://schemas.openxmlformats.org/drawingml/2006/picture">
                        <pic:nvPicPr>
                          <pic:cNvPr id="21" name="图片_27_SpCnt_11"/>
                          <pic:cNvPicPr/>
                        </pic:nvPicPr>
                        <pic:blipFill>
                          <a:blip r:embed="rId14"/>
                          <a:stretch>
                            <a:fillRect/>
                          </a:stretch>
                        </pic:blipFill>
                        <pic:spPr>
                          <a:xfrm>
                            <a:off x="0" y="0"/>
                            <a:ext cx="15875" cy="31115"/>
                          </a:xfrm>
                          <a:prstGeom prst="rect">
                            <a:avLst/>
                          </a:prstGeom>
                          <a:noFill/>
                          <a:ln>
                            <a:noFill/>
                          </a:ln>
                        </pic:spPr>
                      </pic:pic>
                    </a:graphicData>
                  </a:graphic>
                </wp:anchor>
              </w:drawing>
            </w:r>
            <w:r>
              <w:rPr>
                <w:rFonts w:hint="eastAsia" w:ascii="宋体" w:hAnsi="宋体" w:cs="宋体"/>
                <w:color w:val="auto"/>
                <w:kern w:val="0"/>
                <w:sz w:val="24"/>
                <w:bdr w:val="single" w:color="000000" w:sz="4" w:space="0"/>
                <w:lang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15875" cy="31115"/>
                  <wp:effectExtent l="0" t="0" r="0" b="0"/>
                  <wp:wrapNone/>
                  <wp:docPr id="22" name="图片_27_SpCnt_12"/>
                  <wp:cNvGraphicFramePr/>
                  <a:graphic xmlns:a="http://schemas.openxmlformats.org/drawingml/2006/main">
                    <a:graphicData uri="http://schemas.openxmlformats.org/drawingml/2006/picture">
                      <pic:pic xmlns:pic="http://schemas.openxmlformats.org/drawingml/2006/picture">
                        <pic:nvPicPr>
                          <pic:cNvPr id="22" name="图片_27_SpCnt_12"/>
                          <pic:cNvPicPr/>
                        </pic:nvPicPr>
                        <pic:blipFill>
                          <a:blip r:embed="rId14"/>
                          <a:stretch>
                            <a:fillRect/>
                          </a:stretch>
                        </pic:blipFill>
                        <pic:spPr>
                          <a:xfrm>
                            <a:off x="0" y="0"/>
                            <a:ext cx="15875" cy="31115"/>
                          </a:xfrm>
                          <a:prstGeom prst="rect">
                            <a:avLst/>
                          </a:prstGeom>
                          <a:noFill/>
                          <a:ln>
                            <a:noFill/>
                          </a:ln>
                        </pic:spPr>
                      </pic:pic>
                    </a:graphicData>
                  </a:graphic>
                </wp:anchor>
              </w:drawing>
            </w:r>
            <w:r>
              <w:rPr>
                <w:rFonts w:hint="eastAsia" w:ascii="宋体" w:hAnsi="宋体" w:cs="宋体"/>
                <w:color w:val="auto"/>
                <w:kern w:val="0"/>
                <w:sz w:val="24"/>
                <w:bdr w:val="single" w:color="000000" w:sz="4" w:space="0"/>
                <w:lang w:bidi="ar"/>
              </w:rPr>
              <w:drawing>
                <wp:anchor distT="0" distB="0" distL="114300" distR="114300" simplePos="0" relativeHeight="251676672" behindDoc="0" locked="0" layoutInCell="1" allowOverlap="1">
                  <wp:simplePos x="0" y="0"/>
                  <wp:positionH relativeFrom="column">
                    <wp:posOffset>0</wp:posOffset>
                  </wp:positionH>
                  <wp:positionV relativeFrom="paragraph">
                    <wp:posOffset>0</wp:posOffset>
                  </wp:positionV>
                  <wp:extent cx="15875" cy="31115"/>
                  <wp:effectExtent l="0" t="0" r="0" b="0"/>
                  <wp:wrapNone/>
                  <wp:docPr id="15" name="图片_27_SpCnt_13"/>
                  <wp:cNvGraphicFramePr/>
                  <a:graphic xmlns:a="http://schemas.openxmlformats.org/drawingml/2006/main">
                    <a:graphicData uri="http://schemas.openxmlformats.org/drawingml/2006/picture">
                      <pic:pic xmlns:pic="http://schemas.openxmlformats.org/drawingml/2006/picture">
                        <pic:nvPicPr>
                          <pic:cNvPr id="15" name="图片_27_SpCnt_13"/>
                          <pic:cNvPicPr/>
                        </pic:nvPicPr>
                        <pic:blipFill>
                          <a:blip r:embed="rId14"/>
                          <a:stretch>
                            <a:fillRect/>
                          </a:stretch>
                        </pic:blipFill>
                        <pic:spPr>
                          <a:xfrm>
                            <a:off x="0" y="0"/>
                            <a:ext cx="15875" cy="31115"/>
                          </a:xfrm>
                          <a:prstGeom prst="rect">
                            <a:avLst/>
                          </a:prstGeom>
                          <a:noFill/>
                          <a:ln>
                            <a:noFill/>
                          </a:ln>
                        </pic:spPr>
                      </pic:pic>
                    </a:graphicData>
                  </a:graphic>
                </wp:anchor>
              </w:drawing>
            </w:r>
            <w:r>
              <w:rPr>
                <w:rFonts w:hint="eastAsia" w:ascii="宋体" w:hAnsi="宋体" w:cs="宋体"/>
                <w:color w:val="auto"/>
                <w:kern w:val="0"/>
                <w:sz w:val="24"/>
                <w:bdr w:val="single" w:color="000000" w:sz="4" w:space="0"/>
                <w:lang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15875" cy="31115"/>
                  <wp:effectExtent l="0" t="0" r="0" b="0"/>
                  <wp:wrapNone/>
                  <wp:docPr id="13" name="图片_27_SpCnt_14"/>
                  <wp:cNvGraphicFramePr/>
                  <a:graphic xmlns:a="http://schemas.openxmlformats.org/drawingml/2006/main">
                    <a:graphicData uri="http://schemas.openxmlformats.org/drawingml/2006/picture">
                      <pic:pic xmlns:pic="http://schemas.openxmlformats.org/drawingml/2006/picture">
                        <pic:nvPicPr>
                          <pic:cNvPr id="13" name="图片_27_SpCnt_14"/>
                          <pic:cNvPicPr/>
                        </pic:nvPicPr>
                        <pic:blipFill>
                          <a:blip r:embed="rId14"/>
                          <a:stretch>
                            <a:fillRect/>
                          </a:stretch>
                        </pic:blipFill>
                        <pic:spPr>
                          <a:xfrm>
                            <a:off x="0" y="0"/>
                            <a:ext cx="15875" cy="31115"/>
                          </a:xfrm>
                          <a:prstGeom prst="rect">
                            <a:avLst/>
                          </a:prstGeom>
                          <a:noFill/>
                          <a:ln>
                            <a:noFill/>
                          </a:ln>
                        </pic:spPr>
                      </pic:pic>
                    </a:graphicData>
                  </a:graphic>
                </wp:anchor>
              </w:drawing>
            </w:r>
            <w:r>
              <w:rPr>
                <w:rFonts w:hint="eastAsia" w:ascii="宋体" w:hAnsi="宋体" w:cs="宋体"/>
                <w:color w:val="auto"/>
                <w:kern w:val="0"/>
                <w:sz w:val="24"/>
                <w:bdr w:val="single" w:color="000000" w:sz="4" w:space="0"/>
                <w:lang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15875" cy="31115"/>
                  <wp:effectExtent l="0" t="0" r="0" b="0"/>
                  <wp:wrapNone/>
                  <wp:docPr id="16" name="图片_27_SpCnt_15"/>
                  <wp:cNvGraphicFramePr/>
                  <a:graphic xmlns:a="http://schemas.openxmlformats.org/drawingml/2006/main">
                    <a:graphicData uri="http://schemas.openxmlformats.org/drawingml/2006/picture">
                      <pic:pic xmlns:pic="http://schemas.openxmlformats.org/drawingml/2006/picture">
                        <pic:nvPicPr>
                          <pic:cNvPr id="16" name="图片_27_SpCnt_15"/>
                          <pic:cNvPicPr/>
                        </pic:nvPicPr>
                        <pic:blipFill>
                          <a:blip r:embed="rId14"/>
                          <a:stretch>
                            <a:fillRect/>
                          </a:stretch>
                        </pic:blipFill>
                        <pic:spPr>
                          <a:xfrm>
                            <a:off x="0" y="0"/>
                            <a:ext cx="15875" cy="31115"/>
                          </a:xfrm>
                          <a:prstGeom prst="rect">
                            <a:avLst/>
                          </a:prstGeom>
                          <a:noFill/>
                          <a:ln>
                            <a:noFill/>
                          </a:ln>
                        </pic:spPr>
                      </pic:pic>
                    </a:graphicData>
                  </a:graphic>
                </wp:anchor>
              </w:drawing>
            </w:r>
            <w:r>
              <w:rPr>
                <w:rFonts w:hint="eastAsia" w:ascii="宋体" w:hAnsi="宋体" w:cs="宋体"/>
                <w:color w:val="auto"/>
                <w:kern w:val="0"/>
                <w:sz w:val="24"/>
                <w:bdr w:val="single" w:color="000000" w:sz="4" w:space="0"/>
                <w:lang w:bidi="ar"/>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15875" cy="31115"/>
                  <wp:effectExtent l="0" t="0" r="0" b="0"/>
                  <wp:wrapNone/>
                  <wp:docPr id="14" name="图片_27_SpCnt_16"/>
                  <wp:cNvGraphicFramePr/>
                  <a:graphic xmlns:a="http://schemas.openxmlformats.org/drawingml/2006/main">
                    <a:graphicData uri="http://schemas.openxmlformats.org/drawingml/2006/picture">
                      <pic:pic xmlns:pic="http://schemas.openxmlformats.org/drawingml/2006/picture">
                        <pic:nvPicPr>
                          <pic:cNvPr id="14" name="图片_27_SpCnt_16"/>
                          <pic:cNvPicPr/>
                        </pic:nvPicPr>
                        <pic:blipFill>
                          <a:blip r:embed="rId14"/>
                          <a:stretch>
                            <a:fillRect/>
                          </a:stretch>
                        </pic:blipFill>
                        <pic:spPr>
                          <a:xfrm>
                            <a:off x="0" y="0"/>
                            <a:ext cx="15875" cy="31115"/>
                          </a:xfrm>
                          <a:prstGeom prst="rect">
                            <a:avLst/>
                          </a:prstGeom>
                          <a:noFill/>
                          <a:ln>
                            <a:noFill/>
                          </a:ln>
                        </pic:spPr>
                      </pic:pic>
                    </a:graphicData>
                  </a:graphic>
                </wp:anchor>
              </w:drawing>
            </w:r>
            <w:r>
              <w:rPr>
                <w:rFonts w:hint="eastAsia" w:ascii="宋体" w:hAnsi="宋体" w:cs="宋体"/>
                <w:color w:val="auto"/>
                <w:kern w:val="0"/>
                <w:sz w:val="24"/>
                <w:bdr w:val="single" w:color="000000" w:sz="4" w:space="0"/>
                <w:lang w:bidi="ar"/>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15875" cy="31115"/>
                  <wp:effectExtent l="0" t="0" r="0" b="0"/>
                  <wp:wrapNone/>
                  <wp:docPr id="17" name="图片_27_SpCnt_17"/>
                  <wp:cNvGraphicFramePr/>
                  <a:graphic xmlns:a="http://schemas.openxmlformats.org/drawingml/2006/main">
                    <a:graphicData uri="http://schemas.openxmlformats.org/drawingml/2006/picture">
                      <pic:pic xmlns:pic="http://schemas.openxmlformats.org/drawingml/2006/picture">
                        <pic:nvPicPr>
                          <pic:cNvPr id="17" name="图片_27_SpCnt_17"/>
                          <pic:cNvPicPr/>
                        </pic:nvPicPr>
                        <pic:blipFill>
                          <a:blip r:embed="rId14"/>
                          <a:stretch>
                            <a:fillRect/>
                          </a:stretch>
                        </pic:blipFill>
                        <pic:spPr>
                          <a:xfrm>
                            <a:off x="0" y="0"/>
                            <a:ext cx="15875" cy="31115"/>
                          </a:xfrm>
                          <a:prstGeom prst="rect">
                            <a:avLst/>
                          </a:prstGeom>
                          <a:noFill/>
                          <a:ln>
                            <a:noFill/>
                          </a:ln>
                        </pic:spPr>
                      </pic:pic>
                    </a:graphicData>
                  </a:graphic>
                </wp:anchor>
              </w:drawing>
            </w:r>
            <w:r>
              <w:rPr>
                <w:rFonts w:hint="eastAsia" w:ascii="宋体" w:hAnsi="宋体" w:cs="宋体"/>
                <w:color w:val="auto"/>
                <w:kern w:val="0"/>
                <w:sz w:val="24"/>
                <w:lang w:bidi="ar"/>
              </w:rPr>
              <w:t>1</w:t>
            </w:r>
          </w:p>
        </w:tc>
      </w:tr>
      <w:tr>
        <w:tblPrEx>
          <w:tblCellMar>
            <w:top w:w="0" w:type="dxa"/>
            <w:left w:w="108" w:type="dxa"/>
            <w:bottom w:w="0" w:type="dxa"/>
            <w:right w:w="108" w:type="dxa"/>
          </w:tblCellMar>
        </w:tblPrEx>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人工智能入门课程套件</w:t>
            </w:r>
          </w:p>
        </w:tc>
        <w:tc>
          <w:tcPr>
            <w:tcW w:w="943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1、本套件需与课程内容相结合，提供的多种参考模型。学生可借助本套件结合生活问题设计并制作多个小模型，了解不同的人工智能产品，感受人工智能给生活带来的便利。</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2、要求主要零件有：结构件、传感器、执行器、主控器、工具及线材等。</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3、主要配置参数：</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（1）要求结构件不少于10种：梁、连接件、连杆、支架、轴固定环、轴承、D型轴等；</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（2）要求传感控制件不少于8种：包含主控器模块、智能舵机组件、1分3拓展器、智能舵机驱动、光照传感器、超声波传感器、数码管、语音合成模块、语音识别模块、外置摄像头麦克风套装等；</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（3）主控器基本配置参数：</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1）主控芯片：ESP32</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2）传输方式：WIFI/Bluetooth/USB</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3）操控平台：MacOS/Windows/Android。</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4）电池：3.7V ≥3200mAh 锂电池</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5）充电电压：5V</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6）OLED显示屏：用于显示文本信息及图片</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7）主控器包含多种按键与接口：功能按键不少于4个，不少于6路通用型输入输出（GPIO）接口；不少于4个滑槽接口。要求现场提供主控器外观图片。</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8）电源指示灯：用于提示设备电量状态</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9）拓展支架接口：安装拓展支架</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10）颜色传感器：检测不同颜色，输出对应的信号值。可用于实现颜色检测、巡线等功能</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11）红外传感器：检测传感器的前方是否有物体，输出一个开关信号，可用于实现躲避障碍等功能</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12）陀螺仪：检测倾斜、摇晃与转弯角度，可用于设计倾斜、摇晃等体感小游戏</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13）蜂鸣器：发声设备。可用于播放提示音、音符等</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14）数据线接口：用于连接电脑，上传程序；用于给设备充电</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15）传感器接口：用于连接传感器</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16）WIFI/蓝牙：支持无线连接。可用于实现遥控、物联网应用等功能</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17）电源按键：设备开机/关机</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（4）工具：螺丝刀、开口扳手；螺丝、螺母、垫片、铆钉、插销若干；</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（5）其他配件若干：包含type-C线、电源、连接线等。</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4、产品应用：</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 xml:space="preserve"> 通过对套件的使用和学习，学生可以体验人工智能应用，各类传感器和执行器的工作原理与应用场景，语音识别、自然语言处理等人工智能技术的应用。顺序、循环和选择结构等相关基础编程知识。</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5、为了学生使用方便，要求主控器具备更高的兼容性，传感器、执行器可通过统一的type-C接口，与主控器任意接口连接，避免因连接错误导致器件损坏。</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要求提供产品至少一项知识产权证明文件并加盖公章，以确保产品的先进性和原创性。</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套</w:t>
            </w:r>
          </w:p>
        </w:tc>
        <w:tc>
          <w:tcPr>
            <w:tcW w:w="10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8</w:t>
            </w:r>
          </w:p>
        </w:tc>
      </w:tr>
      <w:tr>
        <w:tblPrEx>
          <w:tblCellMar>
            <w:top w:w="0" w:type="dxa"/>
            <w:left w:w="108" w:type="dxa"/>
            <w:bottom w:w="0" w:type="dxa"/>
            <w:right w:w="108" w:type="dxa"/>
          </w:tblCellMar>
        </w:tblPrEx>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Arduino编程教育套件</w:t>
            </w:r>
          </w:p>
        </w:tc>
        <w:tc>
          <w:tcPr>
            <w:tcW w:w="943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1. 《Arduino编程教育套件》课程有助于学生认识更多电子设备中常用的传感器。掌握Arduino的基本使用方法，能够通过Arduino控制传感器，了解电子产品常用零件的基本工作原理，从而激发学生的编程兴趣，培养编程思维。</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 主要零件：</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LED灯、超声波、温度传感器等至少35种传感器；Arduino主控板；配套线材；USB数据线等。</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3. 课程资源：</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至少35个传感器单独控制教程；5个综合控制教程以及对Arduino主控板的介绍和扩展教程。每个传感器课程都由传感器工作原理、传感器和Arduino的电路连接图、上传程序和课程实验结果组成。</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4. 产品应用：</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通过对套件的学习，学生能够了解多种传感器的使用方法，并通过使用多个传感器发挥学生想象力做出许多有趣的实验，提高学生动手实践能力，培养学生创造性思维。有助于学生学习Arduino机械臂等机器人套件。</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套</w:t>
            </w:r>
          </w:p>
        </w:tc>
        <w:tc>
          <w:tcPr>
            <w:tcW w:w="10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2</w:t>
            </w:r>
          </w:p>
        </w:tc>
      </w:tr>
      <w:tr>
        <w:tblPrEx>
          <w:tblCellMar>
            <w:top w:w="0" w:type="dxa"/>
            <w:left w:w="108" w:type="dxa"/>
            <w:bottom w:w="0" w:type="dxa"/>
            <w:right w:w="108" w:type="dxa"/>
          </w:tblCellMar>
        </w:tblPrEx>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7</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机械臂自动化套件</w:t>
            </w:r>
          </w:p>
        </w:tc>
        <w:tc>
          <w:tcPr>
            <w:tcW w:w="9432" w:type="dxa"/>
            <w:tcBorders>
              <w:top w:val="single" w:color="000000" w:sz="4" w:space="0"/>
              <w:left w:val="single" w:color="000000" w:sz="4" w:space="0"/>
              <w:bottom w:val="single" w:color="000000" w:sz="4" w:space="0"/>
              <w:right w:val="single" w:color="000000" w:sz="4" w:space="0"/>
            </w:tcBorders>
            <w:noWrap w:val="0"/>
            <w:vAlign w:val="center"/>
          </w:tcPr>
          <w:p>
            <w:pPr>
              <w:widowControl/>
              <w:spacing w:after="240"/>
              <w:jc w:val="left"/>
              <w:textAlignment w:val="center"/>
              <w:rPr>
                <w:rFonts w:hint="eastAsia" w:ascii="宋体" w:hAnsi="宋体" w:cs="宋体"/>
                <w:color w:val="auto"/>
                <w:sz w:val="24"/>
              </w:rPr>
            </w:pPr>
            <w:r>
              <w:rPr>
                <w:rFonts w:hint="eastAsia" w:ascii="宋体" w:hAnsi="宋体" w:cs="宋体"/>
                <w:color w:val="auto"/>
                <w:kern w:val="0"/>
                <w:sz w:val="24"/>
                <w:lang w:bidi="ar"/>
              </w:rPr>
              <w:t>1. 主要功能：</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学生利用机械臂自动化套件完成机械臂的设计和组装，了解机械臂的运动方式，以及如何通过Arduino控制机械臂。机械臂最大的优点就是可以重复同样的动作，同时添加了学习和记忆功能。我们可以让机械臂记录我们手动控制的机械动作比如反复移动物体、反复绘制相同图形、反复键盘输入、反复翻书页。机械臂在工业上主要用于自动化重复性生产作业。</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 主要结构零件：</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（1）Arduino主控板：机械臂控制中心；</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（2）亚克力板：构建机械臂的主体结构；</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（3）舵机：控制机械臂动作的执行器；</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（4）连接件：包含螺丝、螺母、铜柱、尼龙柱滚动轴承等连接件；</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（5）其它：OLED屏幕、USB线、电池盒等。</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3.课程简介：</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课程主要分为四大部分，每部分细分为几个小课程，总共13个课程。</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（1）介绍机械臂以及Arduino开发板；配置Arduino开发环境。</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（2）如何控制单独的零件，比如：舵机、OLED显示屏、电位器等。</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（3）如何组装机械臂，以及组装前注意事项。</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（4）如何控制机械臂，以及如何实现机械臂记忆功能。</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套</w:t>
            </w:r>
          </w:p>
        </w:tc>
        <w:tc>
          <w:tcPr>
            <w:tcW w:w="10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2</w:t>
            </w:r>
          </w:p>
        </w:tc>
      </w:tr>
      <w:tr>
        <w:tblPrEx>
          <w:tblCellMar>
            <w:top w:w="0" w:type="dxa"/>
            <w:left w:w="108" w:type="dxa"/>
            <w:bottom w:w="0" w:type="dxa"/>
            <w:right w:w="108" w:type="dxa"/>
          </w:tblCellMar>
        </w:tblPrEx>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8</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火星探索者</w:t>
            </w:r>
          </w:p>
        </w:tc>
        <w:tc>
          <w:tcPr>
            <w:tcW w:w="943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1.功能要求：</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火星探索者PiCar Pro是一款适合学生的开源智能机器人产品，基于树莓派的开放式机器人开发平台。智能工程车通过2个后轮驱动，两个前轮控制行进方向。智能工程车能够将远程摄像头画面实时传输到控制台，并通过控制台控制智能工程车的行进方向。</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（1）组装简单：模块化结构设计，详细的组装教程。</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（2）学习方便：提供完整详细的开发教程和算法以及应用实例代码。</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（3）多种配置：可以组装成不同类型的小车，例如：智能机械臂工程车，智能超声波工程车。</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（4）多种功能：能够实现自动避障功能，颜色识别功能，动态物体识别功能，网络远程控制功能等智能化操作。</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 主要零件：</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（1）亚克力板、铝合金：铝合金构建智能工程车的主体结构，亚克力构建智能工程车的机械臂结构。</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（2）传感器：舵机、电机、LED灯、超声波、LED灯、红外线传感器、摄像头等。</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（3）连接件：包含螺丝、螺母、铜柱、轴承等连接件。</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（4）其它零件：金属舵机摇杆、电路连接线、垫片、螺丝刀等。</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3. 课程简介：</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课程主要分为五大部分，每部分细分为几个小课程，总共不少于27课时。</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（1）介绍智能工程车、树莓派开发板以及扩展板；配置树莓派开发环境；远程访问树莓派。</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（2）如何控制单独的传感器，比如：舵机、电机、超声波等。</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（3）如何组装智能工程车，以及组装前注意事项。</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（4）如何远程控制智能工程车。</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（5）介绍智能工程车的颜色识别功能、自动避障功能、动态物体识别功能等。</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套</w:t>
            </w:r>
          </w:p>
        </w:tc>
        <w:tc>
          <w:tcPr>
            <w:tcW w:w="10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2</w:t>
            </w:r>
          </w:p>
        </w:tc>
      </w:tr>
      <w:tr>
        <w:tblPrEx>
          <w:tblCellMar>
            <w:top w:w="0" w:type="dxa"/>
            <w:left w:w="108" w:type="dxa"/>
            <w:bottom w:w="0" w:type="dxa"/>
            <w:right w:w="108" w:type="dxa"/>
          </w:tblCellMar>
        </w:tblPrEx>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9</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智能履带车</w:t>
            </w:r>
          </w:p>
        </w:tc>
        <w:tc>
          <w:tcPr>
            <w:tcW w:w="943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1.功能要求：</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树莓派智能履带车RaspTank Pro是一款适合学生的开源智能机器人小车产品，基于树莓派的开放式机器人开发平台。机器人通过履带传动的方式运动，通过左右履带的旋转方向不同来调节智能履带车的运动方向。智能履带车能够将远程摄像头画面实时传输到控制台，并通过控制台控制智能履带车的行进方向。</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（1）组装简单：模块化结构设计，详细的组装教程。</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（2）学习方便：提供完整详细的开发教程和算法以及应用实例代码。</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（4）多种功能：自动避障，颜色识别，动态物体识别，网络远程控制等智能功能。</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 主要零件：</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（1）亚克力板、铝合金：铝合金构建智能小车的主体结构，亚克力构建智能小车的机械臂结构。</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（2）传感器：舵机、电机、LED灯、超声波、LED灯、红外线传感器、摄像头等。</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（3）连接件：包含螺丝、螺母、铜柱、轴承等连接件。</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（4）其它零件：金属舵机摇杆、电路连接线、垫片、螺丝刀等。</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3. 课程简介：</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课程主要分为五大部分，每部分细分为几个小课程，总共20课时。</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（1）介绍智能小车、树莓派开发板以及扩展板；配置树莓派开发环境；远程访问树莓派。</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（2）如何控制单独的传感器，比如：舵机、电机、超声波等。</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（3）如何组装智能小车，以及组装前注意事项。</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（4）如何远程控制智能小车。</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（5）介绍智能小车的颜色识别功能、自动避障功能、动态物体识别功能等。</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套</w:t>
            </w:r>
          </w:p>
        </w:tc>
        <w:tc>
          <w:tcPr>
            <w:tcW w:w="10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2</w:t>
            </w:r>
          </w:p>
        </w:tc>
      </w:tr>
      <w:tr>
        <w:tblPrEx>
          <w:tblCellMar>
            <w:top w:w="0" w:type="dxa"/>
            <w:left w:w="108" w:type="dxa"/>
            <w:bottom w:w="0" w:type="dxa"/>
            <w:right w:w="108" w:type="dxa"/>
          </w:tblCellMar>
        </w:tblPrEx>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10</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多变机器人</w:t>
            </w:r>
          </w:p>
        </w:tc>
        <w:tc>
          <w:tcPr>
            <w:tcW w:w="943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Alter All-in-One多变机器人是一款面向和机器人爱好者和学生的开源人工智能机器人产品。基于树莓派的开放式机器人开发平台。人工智能小车可以组装成三种不同的类型的智能机器人小车：智能电机驱动小车、智能轮式小车和智能四足机器人。</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（1）组装简单：小车所有结构都是由铝合金组成，组装方便。模块化结构设计，详细的组装教程。</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（2）学习方便：提供完整详细的开发教程和算法以及应用实例代码。</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（3）多种形态：可以通过不同组合，组装成不同类型的机器人。</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（4）多种功能：自动避障，颜色识别，动态物体识别，网络远程控制，OLED人脸微表情等智能功能。</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 主要零件：</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（1）铝合金：铝合金构建人工智能小车的主体结构。</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（2）传感器：舵机、电机、LED灯、超声波、LED灯、红外线传感器、摄像头等。</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（3）连接件：包含螺丝、螺母、铜柱、轴承等连接件。</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（4）其它零件：金属舵机摇杆、电路连接线、垫片、螺丝刀等。</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3. 课程简介：</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课程主要分为五大部分，每部分细分为几个小课程，总共40课时。</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（1）介绍人工智能小车、树莓派开发板以及扩展板；配置树莓派开发环境；远程访问树莓派。</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（2）如何控制单独的传感器，比如：舵机、电机、超声波等。</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（3）如何组装人工智能小车：智能电机驱动小车、智能轮式小车、智能四足小车。</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（4）如何远程控制人工智能小车。</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（5）介绍人工智能小车的颜色识别功能、自动避障功能、动态物体识别功能等。</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套</w:t>
            </w:r>
          </w:p>
        </w:tc>
        <w:tc>
          <w:tcPr>
            <w:tcW w:w="10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2</w:t>
            </w:r>
          </w:p>
        </w:tc>
      </w:tr>
      <w:tr>
        <w:tblPrEx>
          <w:tblCellMar>
            <w:top w:w="0" w:type="dxa"/>
            <w:left w:w="108" w:type="dxa"/>
            <w:bottom w:w="0" w:type="dxa"/>
            <w:right w:w="108" w:type="dxa"/>
          </w:tblCellMar>
        </w:tblPrEx>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智能家居套件</w:t>
            </w:r>
          </w:p>
        </w:tc>
        <w:tc>
          <w:tcPr>
            <w:tcW w:w="943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1、功能要求：</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产品提供不少于5种智能家居参考模型，包括超声波测距仪、语音测量仪电动窗帘、光控窗帘和声控窗帘。学生可以利用套装实现家居小模型设计与搭建，并且通过编程实现智能化控制。让学生体验人工智能技术在生活中的应用，并通过模型的展示激发学生对人工智能学习的兴趣。</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2、知识内容包含：</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（1）超声波传感器的使用；</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（2）数码管的使用</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（3）舵机的使用；</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（4）光照传感器的使用；</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（5）语音合成模块的使用；</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（6）编程技术，包括单分支结构、逻辑运算、变量的使用等。</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3、主要配置参数：</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（1）结构件12种，包含梁、连接件、连杆、支架、轴固定环、轴承、D型轴等；</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传感控制配件10种，包含主控器模块1个、智能舵机组件1个、1分3拓展器1个、智能舵机驱动1个、光照传感器1个、超声波传感器1个、数码管1个、语音合成模块1个、语音识别模块1个、外置摄像头麦克风套装1套等；</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（3）主控器基本配置参数：</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1）主控芯片：ESP32</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2）传输方式：WIFI/Bluetooth/USB</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3）操控平台：MacOS/Windows/Android。要求现场提供主控器在3种操控平台中功能截图。</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4）电池：3.7V ≥3200mAh 锂电池</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5）充电电压：5V</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6）OLED显示屏：用于显示文本信息及图片</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7）主控器包含多种按键与接口：功能按键不少于4个，不少于6路通用型输入输出（GPIO）接口；不少于4个滑槽接口。要求现场提供主控器外观图片。</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8）电源指示灯：用于提示设备电量状态</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9）拓展支架接口：安装拓展支架</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10）颜色传感器：检测不同颜色，输出对应的信号值。可用于实现颜色检测、巡线等功能</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11）红外传感器：检测传感器的前方是否有物体，输出一个开关信号，可用于实现躲避障碍等功能</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12）陀螺仪：检测倾斜、摇晃与转弯角度，可用于设计倾斜、摇晃等体感小游戏</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13）蜂鸣器：发声设备。可用于播放提示音、音符等</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14）数据线接口：用于连接电脑，上传程序；用于给设备充电</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15）传感器接口：用于连接传感器</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16）WIFI/蓝牙：支持无线连接。可用于实现遥控、物联网应用等功能</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17）电源按键：设备开机/关机</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（4）工具2种，螺丝刀1个、开口扳手1个；螺丝、螺母、垫片、铆钉、插销若干；</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（5）其他配件若干，包含type-C线、电源、连接线等。</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套</w:t>
            </w:r>
          </w:p>
        </w:tc>
        <w:tc>
          <w:tcPr>
            <w:tcW w:w="10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w:t>
            </w:r>
          </w:p>
        </w:tc>
      </w:tr>
      <w:tr>
        <w:tblPrEx>
          <w:tblCellMar>
            <w:top w:w="0" w:type="dxa"/>
            <w:left w:w="108" w:type="dxa"/>
            <w:bottom w:w="0" w:type="dxa"/>
            <w:right w:w="108" w:type="dxa"/>
          </w:tblCellMar>
        </w:tblPrEx>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自动驾驶</w:t>
            </w:r>
          </w:p>
        </w:tc>
        <w:tc>
          <w:tcPr>
            <w:tcW w:w="943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1、功能要求：</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产品提供不少于3种自动驾驶小车参考模型，包括语言播报车、手势识别车和图像识别车。学生可以利用套装完成自动驾驶车的模型设计和搭建，并通过编程实现小车的避障、语音播报、手势识别和图标识别等自动化控制，完成自动驾驶任务。</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2、主要配置参数：</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（1）结构件12种，包含梁、连杆、连接件、n型管卡、拓展支架等；</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传感控制配件16种，包含主控器模块1个、履带模块2个、水泵1个、1分3拓展器1个、液位开关2个、接近开关1个、LED灯泡1个、LED驱动1个、风扇1个、双电机驱动1个、光照传感器1个、温度传感器1个、语音合成模块1个、图像识别模块1个、液位探头2个、外置摄像头麦克风套装1套等；</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（3）主控器基本配置参数：</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1）主控芯片：ESP32</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2）传输方式：WIFI/Bluetooth/USB</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3）操控平台：MacOS/Windows/Android。（提供主控器在3种操控平台中功能截图。）</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4）电池：3.7V 3200mAh 锂电池</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5）充电电压：5V</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6）OLED显示屏：用于显示文本信息及图片</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7）主控器包含多种按键与接口：功能按键不少于4个，不少于6路通用型输入输出（GPIO）接口；不少于4个滑槽接口。要求现场提供主控器外观图片。</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8）电源指示灯：用于提示设备电量状态</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9）拓展支架接口：安装拓展支架</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10）颜色传感器：检测不同颜色，输出对应的信号值。可用于实现颜色检测、巡线等功能</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11）红外传感器：检测传感器的前方是否有物体，输出一个开关信号，可用于实现躲避障碍等功能</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12）陀螺仪：检测倾斜、摇晃与转弯角度，可用于设计倾斜、摇晃等体感小游戏</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13）蜂鸣器：发声设备。可用于播放提示音、音符等</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14）数据线接口：用于连接电脑，上传程序；用于给设备充电</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15）传感器接口：用于连接传感器</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16）WIFI/蓝牙：支持无线连接。可用于实现遥控、物联网应用等功能</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17）电源按键：设备开机/关机</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套</w:t>
            </w:r>
          </w:p>
        </w:tc>
        <w:tc>
          <w:tcPr>
            <w:tcW w:w="10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w:t>
            </w:r>
          </w:p>
        </w:tc>
      </w:tr>
      <w:tr>
        <w:tblPrEx>
          <w:tblCellMar>
            <w:top w:w="0" w:type="dxa"/>
            <w:left w:w="108" w:type="dxa"/>
            <w:bottom w:w="0" w:type="dxa"/>
            <w:right w:w="108" w:type="dxa"/>
          </w:tblCellMar>
        </w:tblPrEx>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人工智能创意套装</w:t>
            </w:r>
          </w:p>
        </w:tc>
        <w:tc>
          <w:tcPr>
            <w:tcW w:w="943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1、功能介绍：</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产品提供不少于5种参考模型，如智能感应灯、智能安检系统、语言点餐机、语音控制灯和人脸识别门禁系统。学生可以利用套装设计和搭建以上参考模型，并且通过编程实现模型的智能化控制。让学生了解人脸识别技术及应用以及人脸识别技术的工作流程，激发学生学习兴趣。</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2、知识内容：</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（1）人脸识别技术及应用；</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（2）人脸识别技术工作流程等。</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3、主要配置参数：</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（1）结构件不少于9种，包含梁、连接件、拓展支架、金属圆盘舵机臂等；</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传感控制配件13种，包含主控器模块1个、履带模块2个、智能舵机组件1个、1分3拓展器1个、智能舵机驱动1个、LED灯泡1个、LED驱动1个、光照传感器1个、人体红外传感器1个、语音合成模块1个、语音识别模块1个、图像识别模块1个、外置摄像头麦克风套装1套等；</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（3）主控器基本配置参数：</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1）主控芯片：ESP32</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2）传输方式：WIFI/Bluetooth/USB</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3）操控平台：MacOS/Windows/Android。</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4）电池：3.7V ≥3200mAh 锂电池</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5）充电电压：5V</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6）OLED显示屏：用于显示文本信息及图片</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7）主控器包含多种按键与接口：功能按键不少于4个，不少于6路通用型输入输出（GPIO）接口；不少于4个滑槽接口。要求现场提供主控器外观图片。</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8）电源指示灯：用于提示设备电量状态</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9）拓展支架接口：安装拓展支架</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10）颜色传感器：检测不同颜色，输出对应的信号值。可用于实现颜色检测、巡线等功能</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11）红外传感器：检测传感器的前方是否有物体，输出一个开关信号，可用于实现躲避障碍等功能</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12）陀螺仪：检测倾斜、摇晃与转弯角度，可用于设计倾斜、摇晃等体感小游戏</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13）蜂鸣器：发声设备。可用于播放提示音、音符等</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14）数据线接口：用于连接电脑，上传程序；用于给设备充电</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15）传感器接口：用于连接传感器</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16）WIFI/蓝牙：支持无线连接。可用于实现遥控、物联网应用等功能</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17）电源按键：设备开机/关机</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（4）工具2种，螺丝刀2个、开口扳手1个；螺丝、螺母、垫片、铆钉、插销、ABS垫高柱若干；</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（5）其他配件若干，包含type-C线、电源、连接线等。</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套</w:t>
            </w:r>
          </w:p>
        </w:tc>
        <w:tc>
          <w:tcPr>
            <w:tcW w:w="10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w:t>
            </w:r>
          </w:p>
        </w:tc>
      </w:tr>
      <w:tr>
        <w:tblPrEx>
          <w:tblCellMar>
            <w:top w:w="0" w:type="dxa"/>
            <w:left w:w="108" w:type="dxa"/>
            <w:bottom w:w="0" w:type="dxa"/>
            <w:right w:w="108" w:type="dxa"/>
          </w:tblCellMar>
        </w:tblPrEx>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物联网套装</w:t>
            </w:r>
          </w:p>
        </w:tc>
        <w:tc>
          <w:tcPr>
            <w:tcW w:w="943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1、功能要求：</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学生可以利用套装设计和搭建物联网之家的模型设计和搭建，并通过编程实现智能物联网之家的远程控制。例如远程控制风扇、远程监测温度，并且可以通过物联网技术设置不同的控制模式（如回家模式、离家模式和睡眠模式等。）让学生体验物联网技术在生活中的应用。</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2、知识内容：</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（1）物联网之家的设计和制作；</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（2）了解物联网平台及技术应用；</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（3）编程技术，如字节的拼接方法等。</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3、主要配置参数：</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（1）结构件13种，包含梁、连接件、支架、金属圆盘舵机臂、传动固定盘、D型轴等；</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传感控制配件12种，包含主控器模块1个、智能舵机组件1个、1分3拓展器1个、智能舵机1个、LED灯泡1个、LED驱动1个、小风扇1个、双电机驱动1个、温度传感器1个、语音识别模块1个、图像识别模块1个、外置摄像头麦克风套装1套等；</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（3）主控器基本配置参数：</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1）主控芯片：ESP32</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2）传输方式：WIFI/Bluetooth/USB</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3）操控平台：MacOS/Windows/Android。</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4）电池：3.7V ≥ 3200mAh 锂电池</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5）充电电压：5V</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6）OLED显示屏：用于显示文本信息及图片</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7）主控器包含多种按键与接口：功能按键不少于4个，不少于6路通用型输入输出（GPIO）接口；不少于4个滑槽接口。要求现场提供主控器外观图片。</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8）电源指示灯：用于提示设备电量状态</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9）拓展支架接口：安装拓展支架</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10）颜色传感器：检测不同颜色，输出对应的信号值。可用于实现颜色检测、巡线等功能</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11）红外传感器：检测传感器的前方是否有物体，输出一个开关信号，可用于实现躲避障碍等功能</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12）陀螺仪：检测倾斜、摇晃与转弯角度，可用于设计倾斜、摇晃等体感小游戏</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13）蜂鸣器：发声设备。可用于播放提示音、音符等</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14）数据线接口：用于连接电脑，上传程序；用于给设备充电</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15）传感器接口：用于连接传感器</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16）WIFI/蓝牙：支持无线连接。可用于实现遥控、物联网应用等功能</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17）电源按键：设备开机/关机</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（4）工具3种，螺丝刀4个、开口扳手2个；螺丝、螺母、垫片、铆钉、插销若干；</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（5）其他配件若干，包含type-C线、电源、连接线等。</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套</w:t>
            </w:r>
          </w:p>
        </w:tc>
        <w:tc>
          <w:tcPr>
            <w:tcW w:w="10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w:t>
            </w:r>
          </w:p>
        </w:tc>
      </w:tr>
      <w:tr>
        <w:tblPrEx>
          <w:tblCellMar>
            <w:top w:w="0" w:type="dxa"/>
            <w:left w:w="108" w:type="dxa"/>
            <w:bottom w:w="0" w:type="dxa"/>
            <w:right w:w="108" w:type="dxa"/>
          </w:tblCellMar>
        </w:tblPrEx>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人脸识别保险箱</w:t>
            </w:r>
          </w:p>
        </w:tc>
        <w:tc>
          <w:tcPr>
            <w:tcW w:w="943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1、功能介绍：</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学生可以利用套装完成智能保险箱的设计和制作，并且通过人脸识别技术实现保险箱的自动控制，让学生了解智能保险箱与传统保险箱的区别，体验人工智能技术给人们生活带来的便利。</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2、知识内容：</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（1）智能保险箱的设计与制作；</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（2）人脸识别技术的应用等。</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3、主要配置参数：</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（1）结构件13种，包含梁、连接件、支架、金属圆盘舵机臂、传动固定盘、D型轴等；</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传感控制配件12种，包含主控器模块1个、智能舵机组件1个、1分3拓展器1个、智能舵机1个、LED灯泡1个、LED驱动1个、小风扇1个、双电机驱动1个、温度传感器1个、语音识别模块1个、图像识别模块1个、外置摄像头麦克风套装1套等；</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（3）主控器基本配置参数：</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1）主控芯片：ESP32</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2）传输方式：WIFI/Bluetooth/USB</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3）操控平台：MacOS/Windows/Android。</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4）电池：3.7V 3200mAh 锂电池</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5）充电电压：5V</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6）OLED显示屏：用于显示文本信息及图片</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7）主控器包含多种按键与接口：功能按键不少于4个，不少于6路通用型输入输出（GPIO）接口；不少于4个滑槽接口。要求现场提供主控器外观图片。</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8）电源指示灯：用于提示设备电量状态</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9）拓展支架接口：安装拓展支架</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10）颜色传感器：检测不同颜色，输出对应的信号值。可用于实现颜色检测、巡线等功能</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11）红外传感器：检测传感器的前方是否有物体，输出一个开关信号，可用于实现躲避障碍等功能</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12）陀螺仪：检测倾斜、摇晃与转弯角度，可用于设计倾斜、摇晃等体感小游戏</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13）蜂鸣器：发声设备。可用于播放提示音、音符等</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14）数据线接口：用于连接电脑，上传程序；用于给设备充电</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15）传感器接口：用于连接传感器</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16）WIFI/蓝牙：支持无线连接。可用于实现遥控、物联网应用等功能</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17）电源按键：设备开机/关机</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（4）工具≥3种，螺丝刀4个、开口扳手2个；螺丝、螺母、垫片、铆钉、插销若干；</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（5）其他配件若干，包含type-C线、电源、连接线等。</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套</w:t>
            </w:r>
          </w:p>
        </w:tc>
        <w:tc>
          <w:tcPr>
            <w:tcW w:w="10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w:t>
            </w:r>
          </w:p>
        </w:tc>
      </w:tr>
      <w:tr>
        <w:tblPrEx>
          <w:tblCellMar>
            <w:top w:w="0" w:type="dxa"/>
            <w:left w:w="108" w:type="dxa"/>
            <w:bottom w:w="0" w:type="dxa"/>
            <w:right w:w="108" w:type="dxa"/>
          </w:tblCellMar>
        </w:tblPrEx>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机器人比赛基础套装</w:t>
            </w:r>
          </w:p>
        </w:tc>
        <w:tc>
          <w:tcPr>
            <w:tcW w:w="943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1、套件主要零件应包括机器人主控器、履带模块、智能舵机、手柄遥控器、金属结构件、机械传动件、工具、其他零件等。</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2、搭建模型的最大尺寸：长*宽*高尺寸为370*170*210mm。</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3、主要配置参数：</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（1）机器人主控器1个、履带模块2个、充电器1个、数据线1条、手柄遥控器；</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（2）金属结构件：不少于8种金属结构件，共15个零件；</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（3）机械传动件：不少于7种机械传动件，共12个零件；</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（4）工具：螺丝刀套装1个、螺母扳手1套、六角铜柱、内六角螺丝、螺母、垫片若干；</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（5）传感控制套装：舵机驱动1个、智能舵机2个、其他线材若干。</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4、产品应用：</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产品提供的参考模型有1款，为2自由度的机械爪机器人。该机器人能完成机器人挑战比赛的比赛内容。</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5、为满足中小学编程教育的需求，机器人需支持多种形式的编程学习，如图像化编程、Python语言的编程。</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6、机器人提供至少3种移动方式如履带式、轮式和足式等，便于学生可学习机器人不同的运动方式的控制原理。</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7、学生可以通过通过PC端及移动端APP等多种方式进行编程控制。</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★要求提供产品至少一项知识产权证明文件并加盖公章，以确保产品的先进性和原创性。</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套</w:t>
            </w:r>
          </w:p>
        </w:tc>
        <w:tc>
          <w:tcPr>
            <w:tcW w:w="10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4</w:t>
            </w:r>
          </w:p>
        </w:tc>
      </w:tr>
      <w:tr>
        <w:tblPrEx>
          <w:tblCellMar>
            <w:top w:w="0" w:type="dxa"/>
            <w:left w:w="108" w:type="dxa"/>
            <w:bottom w:w="0" w:type="dxa"/>
            <w:right w:w="108" w:type="dxa"/>
          </w:tblCellMar>
        </w:tblPrEx>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机器人比赛场地套装</w:t>
            </w:r>
          </w:p>
        </w:tc>
        <w:tc>
          <w:tcPr>
            <w:tcW w:w="943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1、套件主要零件应包括印刷地图、金属结构件、任务道具、工具、其他零件等。</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2、搭建的比赛场地最大尺寸：长*宽尺寸为2400*1200mm。</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3、主要配置参数：</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（1）印刷地图1个；</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（2）金属结构件：不少于12种，共200个零件；</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（3）任务道具：EVA小圆球6个、EVA大圆球8个、海葵球1个、流星球8个、EVA方块7个、气球若干、绳子若干、PVC管4根、其他配件若干；</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（4）工具：螺丝刀套装1个、螺母扳手1套、大扁头自攻螺丝、紧定螺丝、内六角螺丝、螺母、垫片若干。</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4、产品应用：</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产品提供机器人比赛所需比赛场地的搭建物料。该产品能搭建出海洋空间站和探空气球模型，同时提供比赛所需的各种任务道具，如方块、圆球、气球等。"</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套</w:t>
            </w:r>
          </w:p>
        </w:tc>
        <w:tc>
          <w:tcPr>
            <w:tcW w:w="10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w:t>
            </w:r>
          </w:p>
        </w:tc>
      </w:tr>
      <w:tr>
        <w:tblPrEx>
          <w:tblCellMar>
            <w:top w:w="0" w:type="dxa"/>
            <w:left w:w="108" w:type="dxa"/>
            <w:bottom w:w="0" w:type="dxa"/>
            <w:right w:w="108" w:type="dxa"/>
          </w:tblCellMar>
        </w:tblPrEx>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航拍无人机</w:t>
            </w:r>
          </w:p>
        </w:tc>
        <w:tc>
          <w:tcPr>
            <w:tcW w:w="943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飞机折叠尺寸18*14*6CM，展开尺寸29*29*6CM，飞行时间: 8-12分钟,飞行范围（遥控距离）：室内/外小于150米。最快反应时间0.01秒，抗干扰能力强。陀螺仪：6轴陀螺仪；飞机材质：Abs环保材料；摄像头：4K广角双摄像头；包括以下功能：双摄像头自由切换（同时）拍摄/光流定高定点定位/手势操控/手势拍照录像/照片美颜/视频抖音音效/图像感应式跟随/体验式图像跟随/上升下降/前进后退/左转右转/左右侧飞/快慢速控制/无头模式/一键起飞/一键急停降落/一键返航</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套</w:t>
            </w:r>
          </w:p>
        </w:tc>
        <w:tc>
          <w:tcPr>
            <w:tcW w:w="10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4</w:t>
            </w:r>
          </w:p>
        </w:tc>
      </w:tr>
      <w:tr>
        <w:tblPrEx>
          <w:tblCellMar>
            <w:top w:w="0" w:type="dxa"/>
            <w:left w:w="108" w:type="dxa"/>
            <w:bottom w:w="0" w:type="dxa"/>
            <w:right w:w="108" w:type="dxa"/>
          </w:tblCellMar>
        </w:tblPrEx>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《航拍无人机》教材</w:t>
            </w:r>
          </w:p>
        </w:tc>
        <w:tc>
          <w:tcPr>
            <w:tcW w:w="943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SC002主要学习利用无人机进行航拍的相关知识。此课程主要包括无人机航拍构图、飞行相机光圈调节、飞行相机快门调节、飞行镜头动作等。</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本</w:t>
            </w:r>
          </w:p>
        </w:tc>
        <w:tc>
          <w:tcPr>
            <w:tcW w:w="10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4</w:t>
            </w:r>
          </w:p>
        </w:tc>
      </w:tr>
      <w:tr>
        <w:tblPrEx>
          <w:tblCellMar>
            <w:top w:w="0" w:type="dxa"/>
            <w:left w:w="108" w:type="dxa"/>
            <w:bottom w:w="0" w:type="dxa"/>
            <w:right w:w="108" w:type="dxa"/>
          </w:tblCellMar>
        </w:tblPrEx>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20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编程电脑</w:t>
            </w:r>
          </w:p>
        </w:tc>
        <w:tc>
          <w:tcPr>
            <w:tcW w:w="943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 xml:space="preserve">CPU Intel I5十代酷睿及以上 </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主板 Intel芯片组</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内存 8G DDR4 3200MHz 内存，提供双内存槽位</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显卡 集成显卡</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声卡 集成声卡，支持5.1声道</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硬盘 ≥1T+256G M.2 PCIe NVME SSD硬盘；</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网卡 集成10/100/1000M以太网卡；</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显示器     ＞21寸、分辨率1920*1080</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扩展槽 ≥1个PCI-E*16、≥2个PCI-E*1、≥1个PCI槽位</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键鼠   原厂防水键盘、抗菌鼠标；标配键盘开机功能</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接口 不少于8个USB接口，其中不少于4个USB 3.2 G1，不少于2个USB3.2 G2，</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 xml:space="preserve"> 1组PS/2接口、1个串口、VGA+HDMI接口（VGA非转接）； </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 xml:space="preserve">电源 110/220V 310W 节能电源  </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台</w:t>
            </w:r>
          </w:p>
        </w:tc>
        <w:tc>
          <w:tcPr>
            <w:tcW w:w="10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8</w:t>
            </w:r>
          </w:p>
        </w:tc>
      </w:tr>
      <w:tr>
        <w:tblPrEx>
          <w:tblCellMar>
            <w:top w:w="0" w:type="dxa"/>
            <w:left w:w="108" w:type="dxa"/>
            <w:bottom w:w="0" w:type="dxa"/>
            <w:right w:w="108" w:type="dxa"/>
          </w:tblCellMar>
        </w:tblPrEx>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21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家庭电路</w:t>
            </w:r>
          </w:p>
        </w:tc>
        <w:tc>
          <w:tcPr>
            <w:tcW w:w="943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auto"/>
                <w:kern w:val="0"/>
                <w:sz w:val="24"/>
                <w:lang w:bidi="ar"/>
              </w:rPr>
            </w:pPr>
            <w:r>
              <w:rPr>
                <w:rFonts w:hint="eastAsia" w:ascii="宋体" w:hAnsi="宋体" w:cs="宋体"/>
                <w:color w:val="auto"/>
                <w:kern w:val="0"/>
                <w:sz w:val="24"/>
                <w:lang w:bidi="ar"/>
              </w:rPr>
              <w:t>尺寸：≧600mm*400mm*40mm；材质：亚克力板。主要展示器件安装于两块亚克力前后板上；前板为5mm厚透明亚克力板，后板5mm厚白色亚克力板；产品文字说明及图片，采用不低于丝网印刷技术UV印制的背景图，彩色图片须平板打印到背板上，保证不能因受潮褪色；前后板可用6颗50mm的工艺螺钉固定于墙体上；仪器整体具有防尘和安全防护装置。不使用外接电源，如产品需要供电采用模块化手摇发电机构和稳压稳流技术供电。不使用AC220V电源，确保操作的安全性。</w:t>
            </w:r>
          </w:p>
          <w:p>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原理说明：常见的家庭电路一般有进户线。电度表，总开关，保险设备，用电器，开关，插座等组成。进户线分为火线和零线。</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台</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w:t>
            </w:r>
          </w:p>
        </w:tc>
      </w:tr>
      <w:tr>
        <w:tblPrEx>
          <w:tblCellMar>
            <w:top w:w="0" w:type="dxa"/>
            <w:left w:w="108" w:type="dxa"/>
            <w:bottom w:w="0" w:type="dxa"/>
            <w:right w:w="108" w:type="dxa"/>
          </w:tblCellMar>
        </w:tblPrEx>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22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手摇发电</w:t>
            </w:r>
          </w:p>
        </w:tc>
        <w:tc>
          <w:tcPr>
            <w:tcW w:w="943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auto"/>
                <w:kern w:val="0"/>
                <w:sz w:val="24"/>
                <w:lang w:bidi="ar"/>
              </w:rPr>
            </w:pPr>
            <w:r>
              <w:rPr>
                <w:rFonts w:hint="eastAsia" w:ascii="宋体" w:hAnsi="宋体" w:cs="宋体"/>
                <w:color w:val="auto"/>
                <w:kern w:val="0"/>
                <w:sz w:val="24"/>
                <w:lang w:bidi="ar"/>
              </w:rPr>
              <w:t>尺寸：≧600mm*400mm*40mm；材质：亚克力板。主要展示器件安装于两块亚克力前后板上；前板为5mm厚透明亚克力板，后板5mm厚白色亚克力板；产品文字说明及图片，采用不低于丝网印刷技术UV印制的背景图，彩色图片须平板打印到背板上，保证不能因受潮褪色；前后板可用6颗50mm的工艺螺钉固定于墙体上；仪器整体具有防尘和安全防护装置。不使用外接电源，如产品需要供电采用模块化手摇发电机构和稳压稳流技术供电。不使用AC221V电源，确保操作的安全性。</w:t>
            </w:r>
          </w:p>
          <w:p>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原理说明：发电机的形式很多，但其工作原理都基于电磁感应定律和电磁力定律。因此，其构造的一般原则是：用适当的导磁和导电材料构成互相进行电磁感应的磁路和电路，以产生电磁功率，达到能量转换的目的。</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台</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w:t>
            </w:r>
          </w:p>
        </w:tc>
      </w:tr>
      <w:tr>
        <w:tblPrEx>
          <w:tblCellMar>
            <w:top w:w="0" w:type="dxa"/>
            <w:left w:w="108" w:type="dxa"/>
            <w:bottom w:w="0" w:type="dxa"/>
            <w:right w:w="108" w:type="dxa"/>
          </w:tblCellMar>
        </w:tblPrEx>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23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转动的错觉</w:t>
            </w:r>
          </w:p>
        </w:tc>
        <w:tc>
          <w:tcPr>
            <w:tcW w:w="943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auto"/>
                <w:kern w:val="0"/>
                <w:sz w:val="24"/>
                <w:lang w:bidi="ar"/>
              </w:rPr>
            </w:pPr>
            <w:r>
              <w:rPr>
                <w:rFonts w:hint="eastAsia" w:ascii="宋体" w:hAnsi="宋体" w:cs="宋体"/>
                <w:color w:val="auto"/>
                <w:kern w:val="0"/>
                <w:sz w:val="24"/>
                <w:lang w:bidi="ar"/>
              </w:rPr>
              <w:t>尺寸：≧600mm*400mm*40mm；材质：亚克力板。主要展示器件安装于两块亚克力前后板上；前板为5mm厚透明亚克力板，后板5mm厚白色亚克力板；产品文字说明及图片，采用不低于丝网印刷技术UV印制的背景图，彩色图片须平板打印到背板上，保证不能因受潮褪色；前后板可用6颗50mm的工艺螺钉固定于墙体上；仪器整体具有防尘和安全防护装置。不使用外接电源，如产品需要供电采用模块化手摇发电机构和稳压稳流技术供电。不使用AC220V电源，确保操作的安全性。</w:t>
            </w:r>
          </w:p>
          <w:p>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原理说明：利用人眼的视觉暂留现象，体验圆盘转动时，表面图像产生不同的转动视觉。观察旋转图案的形象，探究其产生的原因，进一步理解视觉暂留现象。</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台</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w:t>
            </w:r>
          </w:p>
        </w:tc>
      </w:tr>
      <w:tr>
        <w:tblPrEx>
          <w:tblCellMar>
            <w:top w:w="0" w:type="dxa"/>
            <w:left w:w="108" w:type="dxa"/>
            <w:bottom w:w="0" w:type="dxa"/>
            <w:right w:w="108" w:type="dxa"/>
          </w:tblCellMar>
        </w:tblPrEx>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24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机械传动之美</w:t>
            </w:r>
          </w:p>
        </w:tc>
        <w:tc>
          <w:tcPr>
            <w:tcW w:w="943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auto"/>
                <w:kern w:val="0"/>
                <w:sz w:val="24"/>
                <w:lang w:bidi="ar"/>
              </w:rPr>
            </w:pPr>
            <w:r>
              <w:rPr>
                <w:rFonts w:hint="eastAsia" w:ascii="宋体" w:hAnsi="宋体" w:cs="宋体"/>
                <w:color w:val="auto"/>
                <w:kern w:val="0"/>
                <w:sz w:val="24"/>
                <w:lang w:bidi="ar"/>
              </w:rPr>
              <w:t>尺寸：≧600mm*400mm*40mm；材质：亚克力板。主要展示器件安装于两块亚克力前后板上；前板为5mm厚透明亚克力板，后板5mm厚白色亚克力板；产品文字说明及图片，采用不低于丝网印刷技术UV印制的背景图，彩色图片须平板打印到背板上，保证不能因受潮褪色；前后板可用6颗50mm的工艺螺钉固定于墙体上；仪器整体具有防尘和安全防护装置。不使用外接电源，如产品需要供电采用模块化手摇发电机构和稳压稳流技术供电。不使用AC220V电源，确保操作的安全性。</w:t>
            </w:r>
          </w:p>
          <w:p>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原理说明：利用皮带传动，驱动行星齿轮机构工作，再通过齿轮传动、单边摇杆、四边摇杆等机构，展示器件间动力传递和运动传递的机械传动典例。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台</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w:t>
            </w:r>
          </w:p>
        </w:tc>
      </w:tr>
      <w:tr>
        <w:tblPrEx>
          <w:tblCellMar>
            <w:top w:w="0" w:type="dxa"/>
            <w:left w:w="108" w:type="dxa"/>
            <w:bottom w:w="0" w:type="dxa"/>
            <w:right w:w="108" w:type="dxa"/>
          </w:tblCellMar>
        </w:tblPrEx>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25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与小熊对话</w:t>
            </w:r>
          </w:p>
        </w:tc>
        <w:tc>
          <w:tcPr>
            <w:tcW w:w="943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auto"/>
                <w:kern w:val="0"/>
                <w:sz w:val="24"/>
                <w:lang w:bidi="ar"/>
              </w:rPr>
            </w:pPr>
            <w:r>
              <w:rPr>
                <w:rFonts w:hint="eastAsia" w:ascii="宋体" w:hAnsi="宋体" w:cs="宋体"/>
                <w:color w:val="auto"/>
                <w:kern w:val="0"/>
                <w:sz w:val="24"/>
                <w:lang w:bidi="ar"/>
              </w:rPr>
              <w:t>尺寸：≧600mm*400mm*40mm；材质：亚克力板。主要展示器件安装于两块亚克力前后板上；前板为5mm厚透明亚克力板，后板5mm厚白色亚克力板；产品文字说明及图片，采用不低于丝网印刷技术UV印制的背景图，彩色图片须平板打印到背板上，保证不能因受潮褪色；前后板可用6颗50mm的工艺螺钉固定于墙体上；仪器整体具有防尘和安全防护装置。不使用外接电源，如产品需要供电采用模块化手摇发电机构和稳压稳流技术供电。不使用AC220V电源，确保操作的安全性。原理说明：背板装有防尘保护罩。</w:t>
            </w:r>
          </w:p>
          <w:p>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原理说明：通过语音识别模块，可以通过对话让小熊开关灯，唱歌和回答问题。</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台</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w:t>
            </w:r>
          </w:p>
        </w:tc>
      </w:tr>
      <w:tr>
        <w:tblPrEx>
          <w:tblCellMar>
            <w:top w:w="0" w:type="dxa"/>
            <w:left w:w="108" w:type="dxa"/>
            <w:bottom w:w="0" w:type="dxa"/>
            <w:right w:w="108" w:type="dxa"/>
          </w:tblCellMar>
        </w:tblPrEx>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26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仿真雷电</w:t>
            </w:r>
          </w:p>
        </w:tc>
        <w:tc>
          <w:tcPr>
            <w:tcW w:w="943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auto"/>
                <w:kern w:val="0"/>
                <w:sz w:val="24"/>
                <w:lang w:bidi="ar"/>
              </w:rPr>
            </w:pPr>
            <w:r>
              <w:rPr>
                <w:rFonts w:hint="eastAsia" w:ascii="宋体" w:hAnsi="宋体" w:cs="宋体"/>
                <w:color w:val="auto"/>
                <w:kern w:val="0"/>
                <w:sz w:val="24"/>
                <w:lang w:bidi="ar"/>
              </w:rPr>
              <w:t>尺寸：≧600mm*400mm*40mm；材质：亚克力板。主要展示器件安装于两块亚克力前后板上；前板为5mm厚透明亚克力板，后板5mm厚白色亚克力板；产品文字说明及图片，采用不低于丝网印刷技术UV印制的背景图，彩色图片须平板打印到背板上，保证不能因受潮褪色；前后板可用6颗50mm的工艺螺钉固定于墙体上；仪器整体具有防尘和安全防护装置。不使用外接电源，如产品需要供电采用模块化手摇发电机构和稳压稳流技术供电。不使用AC220V电源，确保操作的安全性。</w:t>
            </w:r>
          </w:p>
          <w:p>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原理说明：雷电是发生在雷雨云中的电学现象。在大多数情况下，雷雨云在产生雷电的同时，还伴随着降水，雷雨云在气象学里叫积雨云。只有发展成熟并伸展得很高的积雨云才有雷电现象出现。雷电会对建筑物或设备产生严重破坏。因此，对雷电的形成过程及其放电条件应有所了解，从而采取适当的措施，保护建筑物不受雷击。</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台</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w:t>
            </w:r>
          </w:p>
        </w:tc>
      </w:tr>
      <w:tr>
        <w:tblPrEx>
          <w:tblCellMar>
            <w:top w:w="0" w:type="dxa"/>
            <w:left w:w="108" w:type="dxa"/>
            <w:bottom w:w="0" w:type="dxa"/>
            <w:right w:w="108" w:type="dxa"/>
          </w:tblCellMar>
        </w:tblPrEx>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27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风力发电</w:t>
            </w:r>
          </w:p>
        </w:tc>
        <w:tc>
          <w:tcPr>
            <w:tcW w:w="943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auto"/>
                <w:kern w:val="0"/>
                <w:sz w:val="24"/>
                <w:lang w:bidi="ar"/>
              </w:rPr>
            </w:pPr>
            <w:r>
              <w:rPr>
                <w:rFonts w:hint="eastAsia" w:ascii="宋体" w:hAnsi="宋体" w:cs="宋体"/>
                <w:color w:val="auto"/>
                <w:kern w:val="0"/>
                <w:sz w:val="24"/>
                <w:lang w:bidi="ar"/>
              </w:rPr>
              <w:t>本装置整体规格尺寸：≧380*240*100mm；台面采用亚克力材质，厚度≧4mm。设计人性化弧线型工艺，颜色鲜亮，款式整体美观、合理、安全，整洁大方.</w:t>
            </w:r>
          </w:p>
          <w:p>
            <w:pPr>
              <w:widowControl/>
              <w:jc w:val="left"/>
              <w:textAlignment w:val="center"/>
              <w:rPr>
                <w:rFonts w:hint="eastAsia" w:ascii="宋体" w:hAnsi="宋体" w:cs="宋体"/>
                <w:color w:val="auto"/>
                <w:kern w:val="0"/>
                <w:sz w:val="24"/>
                <w:lang w:bidi="ar"/>
              </w:rPr>
            </w:pPr>
            <w:r>
              <w:rPr>
                <w:rFonts w:hint="eastAsia" w:ascii="宋体" w:hAnsi="宋体" w:cs="宋体"/>
                <w:color w:val="auto"/>
                <w:kern w:val="0"/>
                <w:sz w:val="24"/>
                <w:lang w:bidi="ar"/>
              </w:rPr>
              <w:t>展示原理:合理利用洁净的能源，是人类社会文明进步和科学发展观的体现，风能就是一种十分理想的环保能源。风力发电虽然有很多的优点，但其能量密度低、波动性大和体积庞大的特点也制约了它的发展。不过人类利用风能的地方也很多如船帆、风力发电、风力提水等。</w:t>
            </w:r>
          </w:p>
          <w:p>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展示原理：本装置演示的是洞中风力发电。按动电源按钮，风扇的风吹动发电机的风叶带动内部发电机发电，并使LED发光、蜂鸣器发声。</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台</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w:t>
            </w:r>
          </w:p>
        </w:tc>
      </w:tr>
      <w:tr>
        <w:tblPrEx>
          <w:tblCellMar>
            <w:top w:w="0" w:type="dxa"/>
            <w:left w:w="108" w:type="dxa"/>
            <w:bottom w:w="0" w:type="dxa"/>
            <w:right w:w="108" w:type="dxa"/>
          </w:tblCellMar>
        </w:tblPrEx>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28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光的直线传播</w:t>
            </w:r>
          </w:p>
        </w:tc>
        <w:tc>
          <w:tcPr>
            <w:tcW w:w="943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auto"/>
                <w:kern w:val="0"/>
                <w:sz w:val="24"/>
                <w:lang w:bidi="ar"/>
              </w:rPr>
            </w:pPr>
            <w:r>
              <w:rPr>
                <w:rFonts w:hint="eastAsia" w:ascii="宋体" w:hAnsi="宋体" w:cs="宋体"/>
                <w:color w:val="auto"/>
                <w:kern w:val="0"/>
                <w:sz w:val="24"/>
                <w:lang w:bidi="ar"/>
              </w:rPr>
              <w:t>尺寸:≧380*240*100mm：材质：底座高密度工程塑料（聚丙烯）或金属折弯底座烤漆工艺， 台面亚克力厚度≧4mm。设计人性化弧线型工艺，颜色鲜亮，款式整体美观、合理、安全，整洁大方。</w:t>
            </w:r>
          </w:p>
          <w:p>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展示原理：光在同种均匀介质中沿直线传播，通常简称光的直线传播。它是几何光学的重要基础，利用它可以简明地解决成像问题。人眼就是根据光的直线传播来确定物体或像的位置的，这是物理光学里的一部分。</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台</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w:t>
            </w:r>
          </w:p>
        </w:tc>
      </w:tr>
      <w:tr>
        <w:tblPrEx>
          <w:tblCellMar>
            <w:top w:w="0" w:type="dxa"/>
            <w:left w:w="108" w:type="dxa"/>
            <w:bottom w:w="0" w:type="dxa"/>
            <w:right w:w="108" w:type="dxa"/>
          </w:tblCellMar>
        </w:tblPrEx>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29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魔幻球（人体感应辉光球）辉光球</w:t>
            </w:r>
          </w:p>
        </w:tc>
        <w:tc>
          <w:tcPr>
            <w:tcW w:w="943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auto"/>
                <w:kern w:val="0"/>
                <w:sz w:val="24"/>
                <w:lang w:bidi="ar"/>
              </w:rPr>
            </w:pPr>
            <w:r>
              <w:rPr>
                <w:rFonts w:hint="eastAsia" w:ascii="宋体" w:hAnsi="宋体" w:cs="宋体"/>
                <w:color w:val="auto"/>
                <w:kern w:val="0"/>
                <w:sz w:val="24"/>
                <w:lang w:bidi="ar"/>
              </w:rPr>
              <w:t>尺寸:≧380*240*100mm：材质：底座高密度工程塑料（聚丙烯）或金属折弯底座烤漆工艺， 台面亚克力厚度≧4mm。设计人性化弧线型工艺，颜色鲜亮，款式整体美观、合理、安全，整洁大方。辉光球，人们更多的称之为魔球。</w:t>
            </w:r>
          </w:p>
          <w:p>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展示原理：球内产生的彩色辉光,其实是气体分子的激发、碰撞、电离、复合的物理过程,玻璃球内充有某种单一气体或混合气体,球内电极接高频压电源,手指轻轻触摸玻璃球表面,人体即为另一电极,气体在极间电场中电离、复合而发生辉光。当用手轻摸玻璃表面时由于人体的感应，放电辉光会随着手移动，但人并没有触电的感觉。</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台</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w:t>
            </w:r>
          </w:p>
        </w:tc>
      </w:tr>
      <w:tr>
        <w:tblPrEx>
          <w:tblCellMar>
            <w:top w:w="0" w:type="dxa"/>
            <w:left w:w="108" w:type="dxa"/>
            <w:bottom w:w="0" w:type="dxa"/>
            <w:right w:w="108" w:type="dxa"/>
          </w:tblCellMar>
        </w:tblPrEx>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30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书本悬浮球</w:t>
            </w:r>
          </w:p>
        </w:tc>
        <w:tc>
          <w:tcPr>
            <w:tcW w:w="943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auto"/>
                <w:kern w:val="0"/>
                <w:sz w:val="24"/>
                <w:lang w:bidi="ar"/>
              </w:rPr>
            </w:pPr>
            <w:r>
              <w:rPr>
                <w:rFonts w:hint="eastAsia" w:ascii="宋体" w:hAnsi="宋体" w:cs="宋体"/>
                <w:color w:val="auto"/>
                <w:kern w:val="0"/>
                <w:sz w:val="24"/>
                <w:lang w:bidi="ar"/>
              </w:rPr>
              <w:t>尺寸:≧380*240*100mm：材质：底座高密度工程塑料（聚丙烯）或金属折弯底座烤漆工艺， 台面亚克力厚度≧4mm。设计人性化弧线型工艺，颜色鲜亮，款式整体美观、合理、安全，整洁大方。本产品由地球仪和悬浮机构组成，以电路控制电磁铁的通断电及电流强弱来平衡球体本身的重力，从而使球体平稳的悬浮在空中。利用霍尔传感器控制电磁线圈中的电流大小，当磁悬浮球距离传感器近时，电流减小，吸力变弱，当磁悬浮球离传感器远时，电流变大，吸力增强，由此达到一种动态的力的平衡。本产品能稳定地将磁悬浮球悬浮在空中，并按照一定速度沿地球自转方向旋转。</w:t>
            </w:r>
          </w:p>
          <w:p>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展示原理：可用来演示磁悬原理，探究磁悬浮技术的应用及物体的二力平衡。操作说明:接通电源，双手着球，保持磁悬浮球的北极向上，当球体的位置恰当时，手会感到一股外力托住球体，此时轻轻将手移开即可。</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台</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w:t>
            </w:r>
          </w:p>
        </w:tc>
      </w:tr>
      <w:tr>
        <w:tblPrEx>
          <w:tblCellMar>
            <w:top w:w="0" w:type="dxa"/>
            <w:left w:w="108" w:type="dxa"/>
            <w:bottom w:w="0" w:type="dxa"/>
            <w:right w:w="108" w:type="dxa"/>
          </w:tblCellMar>
        </w:tblPrEx>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31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共振鼓</w:t>
            </w:r>
          </w:p>
        </w:tc>
        <w:tc>
          <w:tcPr>
            <w:tcW w:w="943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auto"/>
                <w:kern w:val="0"/>
                <w:sz w:val="24"/>
                <w:lang w:bidi="ar"/>
              </w:rPr>
            </w:pPr>
            <w:r>
              <w:rPr>
                <w:rFonts w:hint="eastAsia" w:ascii="宋体" w:hAnsi="宋体" w:cs="宋体"/>
                <w:color w:val="auto"/>
                <w:kern w:val="0"/>
                <w:sz w:val="24"/>
                <w:lang w:bidi="ar"/>
              </w:rPr>
              <w:t>尺寸:≧380*240*100mm：材质：底座高密度工程塑料（聚丙烯）或金属折弯底座烤漆工艺， 台面亚克力厚度≧4mm。设计人性化弧线型工艺，颜色鲜亮，款式整体美观、合理、安全，整洁大方。</w:t>
            </w:r>
          </w:p>
          <w:p>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展示原理：共振鼓产品用于演示声波传递并产生共振的原理。当敲击两面鼓中的任一鼓面时，另一面鼓中心悬挂的小球就会跟着敲鼓的节奏跳起来，即物体振动发音时，引起其它相邻近的同性物体共同振动。如果两个物体的固有频率是成整数比，就会发生共振的现象。震荡的强度是振幅的平方。</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台</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w:t>
            </w:r>
          </w:p>
        </w:tc>
      </w:tr>
      <w:tr>
        <w:tblPrEx>
          <w:tblCellMar>
            <w:top w:w="0" w:type="dxa"/>
            <w:left w:w="108" w:type="dxa"/>
            <w:bottom w:w="0" w:type="dxa"/>
            <w:right w:w="108" w:type="dxa"/>
          </w:tblCellMar>
        </w:tblPrEx>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32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天文望远镜</w:t>
            </w:r>
          </w:p>
        </w:tc>
        <w:tc>
          <w:tcPr>
            <w:tcW w:w="943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光学系统：折射式，架托类型：赤道仪式，主镜口径：50-100mm,主镜长度：400</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台</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w:t>
            </w:r>
          </w:p>
        </w:tc>
      </w:tr>
      <w:tr>
        <w:tblPrEx>
          <w:tblCellMar>
            <w:top w:w="0" w:type="dxa"/>
            <w:left w:w="108" w:type="dxa"/>
            <w:bottom w:w="0" w:type="dxa"/>
            <w:right w:w="108" w:type="dxa"/>
          </w:tblCellMar>
        </w:tblPrEx>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33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相机</w:t>
            </w:r>
          </w:p>
        </w:tc>
        <w:tc>
          <w:tcPr>
            <w:tcW w:w="943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像素≥2420万；显示屏≥3英寸；可充电锂电池；电子防抖；自动白平衡。</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台</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w:t>
            </w:r>
          </w:p>
        </w:tc>
      </w:tr>
      <w:tr>
        <w:tblPrEx>
          <w:tblCellMar>
            <w:top w:w="0" w:type="dxa"/>
            <w:left w:w="108" w:type="dxa"/>
            <w:bottom w:w="0" w:type="dxa"/>
            <w:right w:w="108" w:type="dxa"/>
          </w:tblCellMar>
        </w:tblPrEx>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34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学生桌</w:t>
            </w:r>
          </w:p>
        </w:tc>
        <w:tc>
          <w:tcPr>
            <w:tcW w:w="943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auto"/>
                <w:kern w:val="0"/>
                <w:sz w:val="24"/>
                <w:lang w:bidi="ar"/>
              </w:rPr>
            </w:pPr>
            <w:r>
              <w:rPr>
                <w:rFonts w:hint="eastAsia" w:ascii="宋体" w:hAnsi="宋体" w:cs="宋体"/>
                <w:color w:val="auto"/>
                <w:kern w:val="0"/>
                <w:sz w:val="24"/>
                <w:lang w:bidi="ar"/>
              </w:rPr>
              <w:t xml:space="preserve">1、台面板饰面采用优质三聚氰胺板 ，台面厚度大于等于25mm，PVC胶边，具 防火、耐磨、防污、牢固耐用。台面形状是扇形或梯形 ，面板采用 E1级环保板材，须提供检测报告 。桌面满足室内装饰材料人造板及 其制品中的甲醛释放量符合标准要求，并能够提供检测报告 ，具备木器加 工许可证 </w:t>
            </w:r>
          </w:p>
          <w:p>
            <w:pPr>
              <w:widowControl/>
              <w:jc w:val="left"/>
              <w:textAlignment w:val="center"/>
              <w:rPr>
                <w:rFonts w:hint="eastAsia" w:ascii="宋体" w:hAnsi="宋体" w:cs="宋体"/>
                <w:color w:val="auto"/>
                <w:kern w:val="0"/>
                <w:sz w:val="24"/>
                <w:lang w:bidi="ar"/>
              </w:rPr>
            </w:pPr>
            <w:r>
              <w:rPr>
                <w:rFonts w:hint="eastAsia" w:ascii="宋体" w:hAnsi="宋体" w:cs="宋体"/>
                <w:color w:val="auto"/>
                <w:kern w:val="0"/>
                <w:sz w:val="24"/>
                <w:lang w:bidi="ar"/>
              </w:rPr>
              <w:t>2.台身框架立柱为 大于等于φ48*1.2mm圆管，框架的横梁为方管 ，地脚采用 黑白相间合金脚轮 ，钢架颜色白色 。</w:t>
            </w:r>
          </w:p>
          <w:p>
            <w:pPr>
              <w:widowControl/>
              <w:jc w:val="left"/>
              <w:textAlignment w:val="center"/>
              <w:rPr>
                <w:rFonts w:hint="eastAsia" w:ascii="宋体" w:hAnsi="宋体" w:cs="宋体"/>
                <w:color w:val="auto"/>
                <w:kern w:val="0"/>
                <w:sz w:val="24"/>
                <w:lang w:bidi="ar"/>
              </w:rPr>
            </w:pPr>
            <w:r>
              <w:rPr>
                <w:rFonts w:hint="eastAsia" w:ascii="宋体" w:hAnsi="宋体" w:cs="宋体"/>
                <w:color w:val="auto"/>
                <w:kern w:val="0"/>
                <w:sz w:val="24"/>
                <w:lang w:bidi="ar"/>
              </w:rPr>
              <w:t xml:space="preserve">3.结构：每套分为6座，采用六块扇形桌面拼接而成 。 </w:t>
            </w:r>
          </w:p>
          <w:p>
            <w:pPr>
              <w:widowControl/>
              <w:jc w:val="left"/>
              <w:textAlignment w:val="center"/>
              <w:rPr>
                <w:rFonts w:hint="eastAsia" w:ascii="宋体" w:hAnsi="宋体" w:cs="宋体"/>
                <w:color w:val="auto"/>
                <w:kern w:val="0"/>
                <w:sz w:val="24"/>
                <w:lang w:bidi="ar"/>
              </w:rPr>
            </w:pPr>
            <w:r>
              <w:rPr>
                <w:rFonts w:hint="eastAsia" w:ascii="宋体" w:hAnsi="宋体" w:cs="宋体"/>
                <w:color w:val="auto"/>
                <w:kern w:val="0"/>
                <w:sz w:val="24"/>
                <w:lang w:bidi="ar"/>
              </w:rPr>
              <w:t>4.书网：采用优质12圆管 (厚度大于等于0.8mm)经注塑塑料件与圆管组合 成型表面采用防锈静电喷涂处理 。</w:t>
            </w:r>
          </w:p>
          <w:p>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5、资质要求：产品通过针对桌体钣金 、桌面木板（含涂层）等部 件甲醛释放量、重金属含量等 6项有害物质的检测 ，其中产品重金 属，甲醛符合GB18584 -2001 检验标准；提供合法有效的 ，网络可 查的检测报告并加盖公章 ，提供合法来源渠道证明材料和售后支持 服务证明。</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张</w:t>
            </w:r>
          </w:p>
        </w:tc>
        <w:tc>
          <w:tcPr>
            <w:tcW w:w="10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36</w:t>
            </w:r>
          </w:p>
        </w:tc>
      </w:tr>
      <w:tr>
        <w:tblPrEx>
          <w:tblCellMar>
            <w:top w:w="0" w:type="dxa"/>
            <w:left w:w="108" w:type="dxa"/>
            <w:bottom w:w="0" w:type="dxa"/>
            <w:right w:w="108" w:type="dxa"/>
          </w:tblCellMar>
        </w:tblPrEx>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35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学生凳</w:t>
            </w:r>
          </w:p>
        </w:tc>
        <w:tc>
          <w:tcPr>
            <w:tcW w:w="943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 xml:space="preserve">1.凳面300*30mm，高度460mm，2.凳面采用全新塑 料ABS一次注塑成型 3.钢架采用22*1.3mm钢管弯曲成型，二氧化碳保 护焊满焊而成，表面静电喷涂工艺； </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把</w:t>
            </w:r>
          </w:p>
        </w:tc>
        <w:tc>
          <w:tcPr>
            <w:tcW w:w="10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48</w:t>
            </w:r>
          </w:p>
        </w:tc>
      </w:tr>
      <w:tr>
        <w:tblPrEx>
          <w:tblCellMar>
            <w:top w:w="0" w:type="dxa"/>
            <w:left w:w="108" w:type="dxa"/>
            <w:bottom w:w="0" w:type="dxa"/>
            <w:right w:w="108" w:type="dxa"/>
          </w:tblCellMar>
        </w:tblPrEx>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36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教师桌</w:t>
            </w:r>
          </w:p>
        </w:tc>
        <w:tc>
          <w:tcPr>
            <w:tcW w:w="943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auto"/>
                <w:kern w:val="0"/>
                <w:sz w:val="24"/>
                <w:lang w:bidi="ar"/>
              </w:rPr>
            </w:pPr>
            <w:r>
              <w:rPr>
                <w:rFonts w:hint="eastAsia" w:ascii="宋体" w:hAnsi="宋体" w:cs="宋体"/>
                <w:color w:val="auto"/>
                <w:kern w:val="0"/>
                <w:sz w:val="24"/>
                <w:lang w:bidi="ar"/>
              </w:rPr>
              <w:t xml:space="preserve">1、台面板饰面采用优质三聚氰胺板 ，台面厚度25mm，PVC胶边，具 防火、耐磨、防污、牢固耐用。台面形状是扇形或梯形 ，面板采用 E1级环保板材，须提供检测报告 。桌面满足室内装饰材料人造板及 其制品中的甲醛释放量符合标准，提供检测报告 ，具备木器加 工许可证 </w:t>
            </w:r>
          </w:p>
          <w:p>
            <w:pPr>
              <w:widowControl/>
              <w:jc w:val="left"/>
              <w:textAlignment w:val="center"/>
              <w:rPr>
                <w:rFonts w:hint="eastAsia" w:ascii="宋体" w:hAnsi="宋体" w:cs="宋体"/>
                <w:color w:val="auto"/>
                <w:kern w:val="0"/>
                <w:sz w:val="24"/>
                <w:lang w:bidi="ar"/>
              </w:rPr>
            </w:pPr>
            <w:r>
              <w:rPr>
                <w:rFonts w:hint="eastAsia" w:ascii="宋体" w:hAnsi="宋体" w:cs="宋体"/>
                <w:color w:val="auto"/>
                <w:kern w:val="0"/>
                <w:sz w:val="24"/>
                <w:lang w:bidi="ar"/>
              </w:rPr>
              <w:t>2.台身框架立柱为 φ48*1.2mm圆管，框架的横梁为方管 ，地脚采用 黑白相间合金脚轮 ，钢架颜色白色 。</w:t>
            </w:r>
          </w:p>
          <w:p>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3.结构：每套分为6座，采用六块扇形桌面拼接而成 。 4.书网：采用优质12圆管 (厚度为0.8mm)经注塑塑料件与圆管组合 成型表面采用防锈静电喷涂处理 。</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张</w:t>
            </w:r>
          </w:p>
        </w:tc>
        <w:tc>
          <w:tcPr>
            <w:tcW w:w="10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w:t>
            </w:r>
          </w:p>
        </w:tc>
      </w:tr>
      <w:tr>
        <w:tblPrEx>
          <w:tblCellMar>
            <w:top w:w="0" w:type="dxa"/>
            <w:left w:w="108" w:type="dxa"/>
            <w:bottom w:w="0" w:type="dxa"/>
            <w:right w:w="108" w:type="dxa"/>
          </w:tblCellMar>
        </w:tblPrEx>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37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学生储物柜</w:t>
            </w:r>
          </w:p>
        </w:tc>
        <w:tc>
          <w:tcPr>
            <w:tcW w:w="943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auto"/>
                <w:sz w:val="24"/>
              </w:rPr>
            </w:pPr>
            <w:r>
              <w:rPr>
                <w:rFonts w:hint="eastAsia" w:ascii="宋体" w:hAnsi="宋体" w:cs="宋体"/>
                <w:color w:val="auto"/>
                <w:kern w:val="0"/>
                <w:sz w:val="24"/>
                <w:lang w:bidi="ar"/>
              </w:rPr>
              <w:t>900*1200饰面板定制边柜、上下两层。</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组</w:t>
            </w:r>
          </w:p>
        </w:tc>
        <w:tc>
          <w:tcPr>
            <w:tcW w:w="10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12</w:t>
            </w:r>
          </w:p>
        </w:tc>
      </w:tr>
      <w:tr>
        <w:tblPrEx>
          <w:tblCellMar>
            <w:top w:w="0" w:type="dxa"/>
            <w:left w:w="108" w:type="dxa"/>
            <w:bottom w:w="0" w:type="dxa"/>
            <w:right w:w="108" w:type="dxa"/>
          </w:tblCellMar>
        </w:tblPrEx>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38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教师椅</w:t>
            </w:r>
          </w:p>
        </w:tc>
        <w:tc>
          <w:tcPr>
            <w:tcW w:w="943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 xml:space="preserve">1.三星全新环保PP料，具有优异的抗弯曲性 ，抗冲击 性，耐高温，耐磨； </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 xml:space="preserve">2.一体成型的椅背和坐垫 ，久坐不累； </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 xml:space="preserve">3.大于等于1.2mm钢架，承重大于等于160kg； </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 xml:space="preserve">4.PU尼龙脚垫 </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5.一次成型含棉坐垫。</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把</w:t>
            </w:r>
          </w:p>
        </w:tc>
        <w:tc>
          <w:tcPr>
            <w:tcW w:w="10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1</w:t>
            </w:r>
          </w:p>
        </w:tc>
      </w:tr>
      <w:tr>
        <w:tblPrEx>
          <w:tblCellMar>
            <w:top w:w="0" w:type="dxa"/>
            <w:left w:w="108" w:type="dxa"/>
            <w:bottom w:w="0" w:type="dxa"/>
            <w:right w:w="108" w:type="dxa"/>
          </w:tblCellMar>
        </w:tblPrEx>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39</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装修</w:t>
            </w:r>
          </w:p>
        </w:tc>
        <w:tc>
          <w:tcPr>
            <w:tcW w:w="943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教室创意吊顶，背景墙，地面整体创意设计，基础装修；强电改造；明装筒灯；墙面滚涂乳胶漆；窗帘、墙面造型；脚手架租赁；材料搬运费；垃圾清运；保洁；教室装饰物件等</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w:t>
            </w:r>
          </w:p>
        </w:tc>
        <w:tc>
          <w:tcPr>
            <w:tcW w:w="10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88</w:t>
            </w:r>
          </w:p>
        </w:tc>
      </w:tr>
    </w:tbl>
    <w:p>
      <w:pPr>
        <w:rPr>
          <w:color w:val="auto"/>
        </w:rPr>
      </w:pPr>
    </w:p>
    <w:p>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Chars="0"/>
        <w:jc w:val="both"/>
        <w:textAlignment w:val="auto"/>
        <w:rPr>
          <w:rFonts w:hint="eastAsia"/>
          <w:color w:val="auto"/>
        </w:rPr>
      </w:pPr>
    </w:p>
    <w:p>
      <w:pPr>
        <w:rPr>
          <w:rFonts w:ascii="宋体" w:hAnsi="宋体" w:cs="宋体"/>
          <w:b/>
          <w:bCs/>
          <w:sz w:val="24"/>
        </w:rPr>
      </w:pPr>
    </w:p>
    <w:p>
      <w:pPr>
        <w:rPr>
          <w:rFonts w:ascii="宋体" w:hAnsi="宋体" w:cs="宋体"/>
          <w:b/>
          <w:bCs/>
          <w:sz w:val="24"/>
        </w:rPr>
      </w:pPr>
    </w:p>
    <w:p>
      <w:pPr>
        <w:rPr>
          <w:rFonts w:ascii="宋体" w:hAnsi="宋体" w:cs="宋体"/>
          <w:b/>
          <w:bCs/>
          <w:sz w:val="24"/>
        </w:rPr>
      </w:pPr>
    </w:p>
    <w:p>
      <w:pPr>
        <w:rPr>
          <w:rFonts w:ascii="宋体" w:hAnsi="宋体" w:cs="宋体"/>
          <w:b/>
          <w:bCs/>
          <w:sz w:val="24"/>
        </w:rPr>
      </w:pPr>
    </w:p>
    <w:p>
      <w:pPr>
        <w:rPr>
          <w:rFonts w:ascii="宋体" w:hAnsi="宋体" w:cs="宋体"/>
          <w:b/>
          <w:bCs/>
          <w:sz w:val="24"/>
        </w:rPr>
        <w:sectPr>
          <w:footnotePr>
            <w:numFmt w:val="decimalEnclosedCircleChinese"/>
            <w:numRestart w:val="eachPage"/>
          </w:footnotePr>
          <w:pgSz w:w="16840" w:h="11907" w:orient="landscape"/>
          <w:pgMar w:top="1361" w:right="1440" w:bottom="1361" w:left="1440" w:header="720" w:footer="907" w:gutter="0"/>
          <w:pgNumType w:fmt="decimal"/>
          <w:cols w:space="720" w:num="1"/>
        </w:sectPr>
      </w:pPr>
    </w:p>
    <w:p>
      <w:pPr>
        <w:spacing w:before="240" w:after="120"/>
        <w:jc w:val="left"/>
        <w:outlineLvl w:val="2"/>
        <w:rPr>
          <w:rFonts w:ascii="宋体" w:hAnsi="宋体" w:cs="宋体"/>
          <w:b/>
          <w:bCs/>
          <w:kern w:val="0"/>
          <w:sz w:val="24"/>
        </w:rPr>
      </w:pPr>
      <w:r>
        <w:rPr>
          <w:rFonts w:hint="eastAsia" w:ascii="宋体" w:hAnsi="宋体" w:cs="宋体"/>
          <w:b/>
          <w:bCs/>
          <w:sz w:val="28"/>
        </w:rPr>
        <w:t>三、商务要求</w:t>
      </w:r>
      <w:bookmarkEnd w:id="20"/>
    </w:p>
    <w:p>
      <w:pPr>
        <w:spacing w:before="240" w:after="120"/>
        <w:jc w:val="left"/>
        <w:outlineLvl w:val="2"/>
        <w:rPr>
          <w:rFonts w:ascii="宋体" w:hAnsi="宋体" w:cs="宋体"/>
          <w:b/>
          <w:bCs/>
          <w:kern w:val="0"/>
          <w:sz w:val="24"/>
        </w:rPr>
      </w:pPr>
      <w:r>
        <w:rPr>
          <w:rFonts w:hint="eastAsia" w:ascii="宋体" w:hAnsi="宋体" w:cs="宋体"/>
          <w:b/>
          <w:bCs/>
          <w:kern w:val="0"/>
          <w:sz w:val="24"/>
        </w:rPr>
        <w:t>1、货物（产品）交货时间（期限）及地点：</w:t>
      </w:r>
    </w:p>
    <w:p>
      <w:pPr>
        <w:pStyle w:val="11"/>
        <w:spacing w:line="440" w:lineRule="exact"/>
        <w:ind w:firstLine="0"/>
        <w:rPr>
          <w:rFonts w:ascii="宋体" w:hAnsi="宋体" w:cs="宋体"/>
          <w:szCs w:val="21"/>
        </w:rPr>
      </w:pPr>
      <w:r>
        <w:rPr>
          <w:rFonts w:hint="eastAsia" w:ascii="宋体" w:hAnsi="宋体" w:cs="宋体"/>
          <w:szCs w:val="21"/>
        </w:rPr>
        <w:t xml:space="preserve">    1.1  交货时间（期限）：自合同签订之日起60个日历日内完毕交货验收。</w:t>
      </w:r>
    </w:p>
    <w:p>
      <w:pPr>
        <w:pStyle w:val="11"/>
        <w:spacing w:line="440" w:lineRule="exact"/>
        <w:ind w:firstLineChars="200"/>
        <w:rPr>
          <w:rFonts w:ascii="宋体" w:hAnsi="宋体" w:cs="宋体"/>
          <w:szCs w:val="21"/>
        </w:rPr>
      </w:pPr>
      <w:r>
        <w:rPr>
          <w:rFonts w:hint="eastAsia" w:ascii="宋体" w:hAnsi="宋体" w:cs="宋体"/>
          <w:szCs w:val="21"/>
        </w:rPr>
        <w:t>1.2  交货地点：采购方指定地点。</w:t>
      </w:r>
    </w:p>
    <w:p>
      <w:pPr>
        <w:pStyle w:val="11"/>
        <w:spacing w:line="440" w:lineRule="exact"/>
        <w:ind w:firstLine="0"/>
        <w:rPr>
          <w:rFonts w:ascii="宋体" w:hAnsi="宋体" w:cs="宋体"/>
          <w:b/>
          <w:bCs/>
          <w:kern w:val="0"/>
          <w:sz w:val="24"/>
          <w:szCs w:val="24"/>
        </w:rPr>
      </w:pPr>
      <w:r>
        <w:rPr>
          <w:rFonts w:hint="eastAsia" w:ascii="宋体" w:hAnsi="宋体" w:cs="宋体"/>
          <w:b/>
          <w:bCs/>
          <w:kern w:val="0"/>
          <w:sz w:val="24"/>
          <w:szCs w:val="24"/>
        </w:rPr>
        <w:t>2、运输、安装、调试：</w:t>
      </w:r>
    </w:p>
    <w:p>
      <w:pPr>
        <w:pStyle w:val="11"/>
        <w:spacing w:line="440" w:lineRule="exact"/>
        <w:ind w:firstLineChars="200"/>
        <w:rPr>
          <w:rFonts w:ascii="宋体" w:hAnsi="宋体" w:cs="宋体"/>
          <w:szCs w:val="21"/>
        </w:rPr>
      </w:pPr>
      <w:r>
        <w:rPr>
          <w:rFonts w:hint="eastAsia" w:ascii="宋体" w:hAnsi="宋体" w:cs="宋体"/>
          <w:szCs w:val="21"/>
        </w:rPr>
        <w:t>货物（产品）运输、安装、调试及使用单位人员的培训由中标人负责。采用公路或铁路运输方式，选择风险小、运费低和运距短的运输路线。运杂费一次性包死在总价内，采购人不再额外支付，包括从生产厂家到使用（安装）现场的包装、装载、运输、卸载、现场保管、二次倒运等费用。</w:t>
      </w:r>
    </w:p>
    <w:p>
      <w:pPr>
        <w:pStyle w:val="11"/>
        <w:tabs>
          <w:tab w:val="left" w:pos="360"/>
          <w:tab w:val="left" w:pos="540"/>
        </w:tabs>
        <w:spacing w:line="440" w:lineRule="exact"/>
        <w:ind w:firstLine="0"/>
        <w:rPr>
          <w:rFonts w:ascii="宋体" w:hAnsi="宋体" w:cs="宋体"/>
          <w:b/>
          <w:bCs/>
          <w:kern w:val="0"/>
          <w:sz w:val="24"/>
          <w:szCs w:val="24"/>
        </w:rPr>
      </w:pPr>
      <w:r>
        <w:rPr>
          <w:rFonts w:hint="eastAsia" w:ascii="宋体" w:hAnsi="宋体" w:cs="宋体"/>
          <w:b/>
          <w:bCs/>
          <w:kern w:val="0"/>
          <w:sz w:val="24"/>
          <w:szCs w:val="24"/>
        </w:rPr>
        <w:t>3、付款方式：</w:t>
      </w:r>
    </w:p>
    <w:p>
      <w:pPr>
        <w:pStyle w:val="11"/>
        <w:spacing w:line="440" w:lineRule="exact"/>
        <w:ind w:firstLineChars="200"/>
        <w:rPr>
          <w:rFonts w:ascii="宋体" w:hAnsi="宋体" w:cs="宋体"/>
          <w:szCs w:val="21"/>
        </w:rPr>
      </w:pPr>
      <w:r>
        <w:rPr>
          <w:rFonts w:hint="eastAsia" w:ascii="宋体" w:hAnsi="宋体" w:cs="宋体"/>
          <w:szCs w:val="21"/>
        </w:rPr>
        <w:t>签订合同后且货到指定地点验收合格后支付合同总金额的百分之八十（80%），终验合格后支付合同总金额的百分之十七（17%），合同总金额的百分之三（3%）作为质保金，在质保期满后无索赔争议后支付。</w:t>
      </w:r>
    </w:p>
    <w:p>
      <w:pPr>
        <w:spacing w:line="480" w:lineRule="exact"/>
        <w:ind w:firstLine="422" w:firstLineChars="200"/>
        <w:rPr>
          <w:rFonts w:ascii="宋体" w:hAnsi="宋体" w:cs="宋体"/>
          <w:b/>
          <w:bCs/>
          <w:szCs w:val="21"/>
        </w:rPr>
      </w:pPr>
      <w:r>
        <w:rPr>
          <w:rFonts w:hint="eastAsia" w:ascii="宋体" w:hAnsi="宋体" w:cs="宋体"/>
          <w:b/>
          <w:bCs/>
          <w:szCs w:val="21"/>
        </w:rPr>
        <w:t>注：投标人须完全响应此付款方式，否则按废标处理。</w:t>
      </w:r>
    </w:p>
    <w:p>
      <w:pPr>
        <w:spacing w:line="480" w:lineRule="exact"/>
        <w:rPr>
          <w:rFonts w:ascii="宋体" w:hAnsi="宋体" w:cs="宋体"/>
          <w:b/>
          <w:bCs/>
          <w:kern w:val="0"/>
          <w:sz w:val="24"/>
        </w:rPr>
      </w:pPr>
      <w:r>
        <w:rPr>
          <w:rFonts w:hint="eastAsia" w:ascii="宋体" w:hAnsi="宋体" w:cs="宋体"/>
          <w:b/>
          <w:bCs/>
          <w:kern w:val="0"/>
          <w:sz w:val="24"/>
        </w:rPr>
        <w:t>4、货物（产品）的验收：</w:t>
      </w:r>
    </w:p>
    <w:p>
      <w:pPr>
        <w:spacing w:line="440" w:lineRule="exact"/>
        <w:ind w:firstLine="420" w:firstLineChars="200"/>
        <w:rPr>
          <w:rFonts w:ascii="宋体" w:hAnsi="宋体" w:cs="宋体"/>
          <w:szCs w:val="21"/>
        </w:rPr>
      </w:pPr>
      <w:r>
        <w:rPr>
          <w:rFonts w:hint="eastAsia" w:ascii="宋体" w:hAnsi="宋体" w:cs="宋体"/>
          <w:szCs w:val="21"/>
        </w:rPr>
        <w:t>1、由甲方组织或委托相关部门进行验收，中标单位协助配合。</w:t>
      </w:r>
    </w:p>
    <w:p>
      <w:pPr>
        <w:spacing w:line="440" w:lineRule="exact"/>
        <w:ind w:firstLine="420" w:firstLineChars="200"/>
        <w:rPr>
          <w:rFonts w:ascii="宋体" w:hAnsi="宋体" w:cs="宋体"/>
          <w:szCs w:val="21"/>
        </w:rPr>
      </w:pPr>
      <w:r>
        <w:rPr>
          <w:rFonts w:hint="eastAsia" w:ascii="宋体" w:hAnsi="宋体" w:cs="宋体"/>
          <w:szCs w:val="21"/>
        </w:rPr>
        <w:t>设备安装调试后，需将数据实时同步传输至平台，递交完整合格的验收技术资料，甲方按照招标文件要求功能逐一验收后，方可组织专家验收会进行项目验收。其内容包括确认产品的产地、规格、型号和数量，对其产品技术指标、性能参数、样式、颜色，以及质量是否达到现行国家有关验收规范“合格”标准，是否按照采购人要求安装到位，是否按照采购人要求进行调试和提供相关培训，是否按照采购人要求安装完毕、所有产品配套包装是否完好无损等进行逐项检查。</w:t>
      </w:r>
    </w:p>
    <w:p>
      <w:pPr>
        <w:spacing w:line="440" w:lineRule="exact"/>
        <w:ind w:firstLine="420" w:firstLineChars="200"/>
        <w:rPr>
          <w:rFonts w:ascii="宋体" w:hAnsi="宋体" w:cs="宋体"/>
          <w:szCs w:val="21"/>
        </w:rPr>
      </w:pPr>
      <w:r>
        <w:rPr>
          <w:rFonts w:hint="eastAsia" w:ascii="宋体" w:hAnsi="宋体" w:cs="宋体"/>
          <w:szCs w:val="21"/>
        </w:rPr>
        <w:t>①所验产品的指标、性能参数最终验收达不到招标文件要求和投标文件承诺的，或在使用中发现采购人不能容忍的缺陷等，将视为产品验收不合格，供应商（中标人）应在采购人要求的时间内无条件免费更换或退货。</w:t>
      </w:r>
    </w:p>
    <w:p>
      <w:pPr>
        <w:spacing w:line="440" w:lineRule="exact"/>
        <w:ind w:firstLine="420" w:firstLineChars="200"/>
        <w:rPr>
          <w:rFonts w:ascii="宋体" w:hAnsi="宋体" w:cs="宋体"/>
          <w:szCs w:val="21"/>
        </w:rPr>
      </w:pPr>
      <w:r>
        <w:rPr>
          <w:rFonts w:hint="eastAsia" w:ascii="宋体" w:hAnsi="宋体" w:cs="宋体"/>
          <w:szCs w:val="21"/>
        </w:rPr>
        <w:t>②若发现供应商有弄虚作假的，在招标阶段故意或随意夸大产品技术性能，供应商（中标人）应无条件退货，本合同解除，供应商赔偿采购人相应的损失。</w:t>
      </w:r>
    </w:p>
    <w:p>
      <w:pPr>
        <w:spacing w:line="440" w:lineRule="exact"/>
        <w:ind w:firstLine="420" w:firstLineChars="200"/>
        <w:rPr>
          <w:rFonts w:ascii="宋体" w:hAnsi="宋体" w:cs="宋体"/>
          <w:szCs w:val="21"/>
        </w:rPr>
      </w:pPr>
      <w:r>
        <w:rPr>
          <w:rFonts w:hint="eastAsia" w:ascii="宋体" w:hAnsi="宋体" w:cs="宋体"/>
          <w:szCs w:val="21"/>
        </w:rPr>
        <w:t>③验收标准：按招标文件、投标文件等技术指标进行验收。各项指标均应符合验收标准及要求。</w:t>
      </w:r>
    </w:p>
    <w:p>
      <w:pPr>
        <w:spacing w:line="440" w:lineRule="exact"/>
        <w:ind w:firstLine="420" w:firstLineChars="200"/>
        <w:rPr>
          <w:rFonts w:ascii="宋体" w:hAnsi="宋体" w:cs="宋体"/>
          <w:szCs w:val="21"/>
        </w:rPr>
      </w:pPr>
      <w:r>
        <w:rPr>
          <w:rFonts w:hint="eastAsia" w:ascii="宋体" w:hAnsi="宋体" w:cs="宋体"/>
          <w:szCs w:val="21"/>
        </w:rPr>
        <w:t>④验收合格后，填写验收单，双方签字生效。</w:t>
      </w:r>
    </w:p>
    <w:p>
      <w:pPr>
        <w:spacing w:line="440" w:lineRule="exact"/>
        <w:ind w:firstLine="420" w:firstLineChars="200"/>
        <w:rPr>
          <w:rFonts w:ascii="宋体" w:hAnsi="宋体" w:cs="宋体"/>
          <w:szCs w:val="21"/>
        </w:rPr>
      </w:pPr>
      <w:r>
        <w:rPr>
          <w:rFonts w:hint="eastAsia" w:ascii="宋体" w:hAnsi="宋体" w:cs="宋体"/>
          <w:szCs w:val="21"/>
        </w:rPr>
        <w:t>2、验收依据：</w:t>
      </w:r>
    </w:p>
    <w:p>
      <w:pPr>
        <w:spacing w:line="440" w:lineRule="exact"/>
        <w:ind w:firstLine="420" w:firstLineChars="200"/>
        <w:rPr>
          <w:rFonts w:ascii="宋体" w:hAnsi="宋体" w:cs="宋体"/>
          <w:szCs w:val="21"/>
        </w:rPr>
      </w:pPr>
      <w:r>
        <w:rPr>
          <w:rFonts w:hint="eastAsia" w:ascii="宋体" w:hAnsi="宋体" w:cs="宋体"/>
          <w:szCs w:val="21"/>
        </w:rPr>
        <w:t>2-1、合同文本、合同附件、招标文件、投标文件。</w:t>
      </w:r>
    </w:p>
    <w:p>
      <w:pPr>
        <w:spacing w:line="440" w:lineRule="exact"/>
        <w:ind w:firstLine="420" w:firstLineChars="200"/>
        <w:rPr>
          <w:rFonts w:ascii="宋体" w:hAnsi="宋体" w:cs="宋体"/>
          <w:szCs w:val="21"/>
        </w:rPr>
      </w:pPr>
      <w:r>
        <w:rPr>
          <w:rFonts w:hint="eastAsia" w:ascii="宋体" w:hAnsi="宋体" w:cs="宋体"/>
          <w:szCs w:val="21"/>
        </w:rPr>
        <w:t>2-2、国内相应的标准、规范。</w:t>
      </w:r>
    </w:p>
    <w:p>
      <w:pPr>
        <w:spacing w:line="480" w:lineRule="exact"/>
        <w:rPr>
          <w:rFonts w:ascii="宋体" w:hAnsi="宋体" w:cs="宋体"/>
          <w:b/>
          <w:bCs/>
          <w:kern w:val="0"/>
          <w:sz w:val="24"/>
        </w:rPr>
      </w:pPr>
      <w:r>
        <w:rPr>
          <w:rFonts w:hint="eastAsia" w:ascii="宋体" w:hAnsi="宋体" w:cs="宋体"/>
          <w:b/>
          <w:bCs/>
          <w:kern w:val="0"/>
          <w:sz w:val="24"/>
        </w:rPr>
        <w:t>5、产品的质量保证</w:t>
      </w:r>
    </w:p>
    <w:p>
      <w:pPr>
        <w:pStyle w:val="11"/>
        <w:spacing w:line="440" w:lineRule="exact"/>
        <w:ind w:firstLineChars="200"/>
        <w:rPr>
          <w:rFonts w:ascii="宋体" w:hAnsi="宋体" w:cs="宋体"/>
          <w:szCs w:val="21"/>
        </w:rPr>
      </w:pPr>
      <w:r>
        <w:rPr>
          <w:rFonts w:hint="eastAsia" w:ascii="宋体" w:hAnsi="宋体" w:cs="宋体"/>
          <w:szCs w:val="21"/>
        </w:rPr>
        <w:t>5.1  货物（产品）的质保期终验合格交付使用之日起不少于36个月。在质保期内出现的质量问题由施工方负责，费用自理。中标人承诺的质保期超过招标文件要求的，按其承诺时间质保。质保期起始时间为终验合格之日。</w:t>
      </w:r>
    </w:p>
    <w:p>
      <w:pPr>
        <w:adjustRightInd w:val="0"/>
        <w:snapToGrid w:val="0"/>
        <w:spacing w:line="440" w:lineRule="exact"/>
        <w:ind w:firstLine="411" w:firstLineChars="196"/>
        <w:rPr>
          <w:rFonts w:ascii="宋体" w:hAnsi="宋体" w:cs="宋体"/>
          <w:szCs w:val="21"/>
        </w:rPr>
      </w:pPr>
      <w:r>
        <w:rPr>
          <w:rFonts w:hint="eastAsia" w:ascii="宋体" w:hAnsi="宋体" w:cs="宋体"/>
          <w:szCs w:val="21"/>
        </w:rPr>
        <w:t xml:space="preserve">5.2  所有产品质量必须符合国家有关规范和相关政策。所有设备及辅材必须是未使用过的新产品，质量优良、渠道正当，配置合理。                                  </w:t>
      </w:r>
    </w:p>
    <w:p>
      <w:pPr>
        <w:adjustRightInd w:val="0"/>
        <w:snapToGrid w:val="0"/>
        <w:spacing w:line="440" w:lineRule="exact"/>
        <w:ind w:firstLine="411" w:firstLineChars="196"/>
        <w:rPr>
          <w:rFonts w:ascii="宋体" w:hAnsi="宋体" w:cs="宋体"/>
          <w:szCs w:val="21"/>
        </w:rPr>
      </w:pPr>
      <w:r>
        <w:rPr>
          <w:rFonts w:hint="eastAsia" w:ascii="宋体" w:hAnsi="宋体" w:cs="宋体"/>
          <w:szCs w:val="21"/>
        </w:rPr>
        <w:t>5.3  在质保期内进行或指导安装单位进行保养维修工作，并定期派专人检查、调整、润滑、清洁相关设施，免费提供零配件，使设备正常运行。</w:t>
      </w:r>
    </w:p>
    <w:p>
      <w:pPr>
        <w:adjustRightInd w:val="0"/>
        <w:snapToGrid w:val="0"/>
        <w:spacing w:line="440" w:lineRule="exact"/>
        <w:ind w:firstLine="411" w:firstLineChars="196"/>
        <w:rPr>
          <w:rFonts w:ascii="宋体" w:hAnsi="宋体" w:cs="宋体"/>
          <w:szCs w:val="21"/>
        </w:rPr>
      </w:pPr>
      <w:r>
        <w:rPr>
          <w:rFonts w:hint="eastAsia" w:ascii="宋体" w:hAnsi="宋体" w:cs="宋体"/>
          <w:szCs w:val="21"/>
        </w:rPr>
        <w:t>5.4  质保期出现的质量问题由中标人负责解决并承担所有费用。质保期后如需更换零部件，中标人应以优惠价提供。</w:t>
      </w:r>
    </w:p>
    <w:p>
      <w:pPr>
        <w:spacing w:line="440" w:lineRule="exact"/>
        <w:ind w:firstLine="420" w:firstLineChars="200"/>
        <w:rPr>
          <w:rFonts w:ascii="宋体" w:hAnsi="宋体" w:cs="宋体"/>
          <w:szCs w:val="21"/>
        </w:rPr>
      </w:pPr>
      <w:r>
        <w:rPr>
          <w:rFonts w:hint="eastAsia" w:ascii="宋体" w:hAnsi="宋体" w:cs="宋体"/>
          <w:szCs w:val="21"/>
        </w:rPr>
        <w:t>5.5  质保期内中标单位如无法达到上述要求，采购人有权委托其它维修商完成此项工作，由此产生的一切费用均由中标人负责。</w:t>
      </w:r>
    </w:p>
    <w:p>
      <w:pPr>
        <w:spacing w:line="440" w:lineRule="exact"/>
        <w:jc w:val="left"/>
        <w:outlineLvl w:val="2"/>
        <w:rPr>
          <w:rFonts w:ascii="宋体" w:hAnsi="宋体" w:cs="宋体"/>
          <w:b/>
          <w:bCs/>
          <w:sz w:val="28"/>
        </w:rPr>
      </w:pPr>
      <w:bookmarkStart w:id="26" w:name="_Toc24764"/>
      <w:bookmarkStart w:id="27" w:name="_Toc19518"/>
      <w:r>
        <w:rPr>
          <w:rFonts w:hint="eastAsia" w:ascii="宋体" w:hAnsi="宋体" w:cs="宋体"/>
          <w:b/>
          <w:bCs/>
          <w:sz w:val="28"/>
        </w:rPr>
        <w:t>四、服务要求</w:t>
      </w:r>
      <w:bookmarkEnd w:id="26"/>
      <w:bookmarkEnd w:id="27"/>
    </w:p>
    <w:p>
      <w:pPr>
        <w:spacing w:line="440" w:lineRule="exact"/>
        <w:rPr>
          <w:rFonts w:ascii="宋体" w:hAnsi="宋体" w:cs="宋体"/>
          <w:b/>
          <w:bCs/>
          <w:kern w:val="0"/>
          <w:sz w:val="24"/>
        </w:rPr>
      </w:pPr>
      <w:r>
        <w:rPr>
          <w:rFonts w:hint="eastAsia" w:ascii="宋体" w:hAnsi="宋体" w:cs="宋体"/>
          <w:b/>
          <w:bCs/>
          <w:kern w:val="0"/>
          <w:sz w:val="24"/>
        </w:rPr>
        <w:t>1、技术资料：</w:t>
      </w:r>
    </w:p>
    <w:p>
      <w:pPr>
        <w:spacing w:line="440" w:lineRule="exact"/>
        <w:ind w:firstLine="420" w:firstLineChars="200"/>
        <w:rPr>
          <w:rFonts w:ascii="宋体" w:hAnsi="宋体" w:cs="宋体"/>
          <w:b/>
          <w:szCs w:val="21"/>
        </w:rPr>
      </w:pPr>
      <w:bookmarkStart w:id="28" w:name="_Toc167714057"/>
      <w:bookmarkStart w:id="29" w:name="_Toc167712859"/>
      <w:bookmarkStart w:id="30" w:name="_Toc167715254"/>
      <w:r>
        <w:rPr>
          <w:rFonts w:hint="eastAsia" w:ascii="宋体" w:hAnsi="宋体" w:cs="宋体"/>
          <w:szCs w:val="21"/>
        </w:rPr>
        <w:t>1.1  产品检验报告；</w:t>
      </w:r>
      <w:bookmarkEnd w:id="28"/>
      <w:bookmarkEnd w:id="29"/>
      <w:bookmarkEnd w:id="30"/>
      <w:bookmarkStart w:id="31" w:name="_Toc167712860"/>
      <w:bookmarkStart w:id="32" w:name="_Toc167715255"/>
      <w:bookmarkStart w:id="33" w:name="_Toc167714058"/>
    </w:p>
    <w:p>
      <w:pPr>
        <w:spacing w:line="440" w:lineRule="exact"/>
        <w:ind w:firstLine="420" w:firstLineChars="200"/>
        <w:rPr>
          <w:rFonts w:ascii="宋体" w:hAnsi="宋体" w:cs="宋体"/>
          <w:b/>
          <w:szCs w:val="21"/>
        </w:rPr>
      </w:pPr>
      <w:r>
        <w:rPr>
          <w:rFonts w:hint="eastAsia" w:ascii="宋体" w:hAnsi="宋体" w:cs="宋体"/>
          <w:szCs w:val="21"/>
        </w:rPr>
        <w:t>1.2  产品使用说明书（10万元以上的贵重设备需备双份）；</w:t>
      </w:r>
      <w:bookmarkEnd w:id="31"/>
      <w:bookmarkEnd w:id="32"/>
      <w:bookmarkEnd w:id="33"/>
      <w:bookmarkStart w:id="34" w:name="_Toc167712861"/>
      <w:bookmarkStart w:id="35" w:name="_Toc167714059"/>
      <w:bookmarkStart w:id="36" w:name="_Toc167715256"/>
    </w:p>
    <w:p>
      <w:pPr>
        <w:spacing w:line="440" w:lineRule="exact"/>
        <w:ind w:firstLine="420" w:firstLineChars="200"/>
        <w:rPr>
          <w:rFonts w:ascii="宋体" w:hAnsi="宋体" w:cs="宋体"/>
          <w:b/>
          <w:szCs w:val="21"/>
        </w:rPr>
      </w:pPr>
      <w:r>
        <w:rPr>
          <w:rFonts w:hint="eastAsia" w:ascii="宋体" w:hAnsi="宋体" w:cs="宋体"/>
          <w:szCs w:val="21"/>
        </w:rPr>
        <w:t>1.3  厂家对该产品的出厂配置清单；</w:t>
      </w:r>
    </w:p>
    <w:p>
      <w:pPr>
        <w:spacing w:line="440" w:lineRule="exact"/>
        <w:ind w:firstLine="420" w:firstLineChars="200"/>
        <w:rPr>
          <w:rFonts w:ascii="宋体" w:hAnsi="宋体" w:cs="宋体"/>
          <w:szCs w:val="21"/>
        </w:rPr>
      </w:pPr>
      <w:r>
        <w:rPr>
          <w:rFonts w:hint="eastAsia" w:ascii="宋体" w:hAnsi="宋体" w:cs="宋体"/>
          <w:szCs w:val="21"/>
        </w:rPr>
        <w:t>1.4  其它相关资料。</w:t>
      </w:r>
      <w:bookmarkEnd w:id="34"/>
      <w:bookmarkEnd w:id="35"/>
      <w:bookmarkEnd w:id="36"/>
    </w:p>
    <w:p>
      <w:pPr>
        <w:pStyle w:val="11"/>
        <w:spacing w:line="440" w:lineRule="exact"/>
        <w:ind w:firstLine="0"/>
        <w:rPr>
          <w:rFonts w:ascii="宋体" w:hAnsi="宋体" w:cs="宋体"/>
          <w:b/>
          <w:szCs w:val="21"/>
        </w:rPr>
      </w:pPr>
      <w:r>
        <w:rPr>
          <w:rFonts w:hint="eastAsia" w:ascii="宋体" w:hAnsi="宋体" w:cs="宋体"/>
          <w:b/>
          <w:bCs/>
          <w:kern w:val="0"/>
          <w:sz w:val="24"/>
          <w:szCs w:val="24"/>
        </w:rPr>
        <w:t>2、售后服务要求：</w:t>
      </w:r>
    </w:p>
    <w:p>
      <w:pPr>
        <w:spacing w:line="440" w:lineRule="exact"/>
        <w:ind w:firstLine="420" w:firstLineChars="200"/>
        <w:rPr>
          <w:rFonts w:ascii="宋体" w:hAnsi="宋体" w:cs="宋体"/>
          <w:szCs w:val="21"/>
        </w:rPr>
      </w:pPr>
      <w:r>
        <w:rPr>
          <w:rFonts w:hint="eastAsia" w:ascii="宋体" w:hAnsi="宋体" w:cs="宋体"/>
          <w:szCs w:val="21"/>
        </w:rPr>
        <w:t>中标单位在验收合格之日起提供售后服务3年，硬件产品质保一年。为满足客户服务体系要求，质保服务期限内提供全年7*24小时的技术咨询服务，同时可提供7×24小时热线电话、专用电子邮件信箱等方式及时获得客户服务需求，并根据服务需求，提供周到快捷的响应服务。中标单位需要拥有完善的故障分级响应机制，接到报障后立即响应，保证系统恢复正常运行；重大故障或特殊故障的紧急远端或现场抢救。</w:t>
      </w:r>
    </w:p>
    <w:p>
      <w:pPr>
        <w:spacing w:line="440" w:lineRule="exact"/>
        <w:ind w:firstLine="420" w:firstLineChars="200"/>
        <w:rPr>
          <w:rFonts w:ascii="宋体" w:hAnsi="宋体" w:cs="宋体"/>
          <w:color w:val="0000FF"/>
          <w:szCs w:val="21"/>
        </w:rPr>
      </w:pPr>
      <w:r>
        <w:rPr>
          <w:rFonts w:hint="eastAsia" w:ascii="宋体" w:hAnsi="宋体" w:cs="宋体"/>
          <w:szCs w:val="21"/>
        </w:rPr>
        <w:t>售后服务内容包含：中标单位需一年内至少现场无偿派驻2名（含2名）以上工程师，并服从业主分配工作任务；保修期内，因产品质量问题或中标单位服务不到位导致系统故障而产生的维修、更换等所需一切支出（包括技术人员差旅费）等由中标单位承担。</w:t>
      </w:r>
    </w:p>
    <w:p>
      <w:pPr>
        <w:spacing w:line="440" w:lineRule="exact"/>
        <w:ind w:firstLine="420" w:firstLineChars="200"/>
        <w:rPr>
          <w:rFonts w:ascii="宋体" w:hAnsi="宋体" w:cs="宋体"/>
          <w:szCs w:val="21"/>
        </w:rPr>
      </w:pPr>
      <w:r>
        <w:rPr>
          <w:rFonts w:hint="eastAsia" w:ascii="宋体" w:hAnsi="宋体" w:cs="宋体"/>
          <w:szCs w:val="21"/>
        </w:rPr>
        <w:t>质保期外的服务：保修期满后，软件终身免费维护。硬件设备有故障在需要更换零配件时中标单位仅收回零配件成本。而有需要公司派工作人员上门解决的，可按每次收取若干上门费用，实行有偿上门服务。</w:t>
      </w:r>
    </w:p>
    <w:p>
      <w:pPr>
        <w:pStyle w:val="11"/>
        <w:spacing w:line="440" w:lineRule="exact"/>
        <w:ind w:firstLine="0"/>
        <w:rPr>
          <w:rFonts w:ascii="宋体" w:hAnsi="宋体" w:cs="宋体"/>
          <w:b/>
          <w:bCs/>
          <w:kern w:val="0"/>
          <w:sz w:val="24"/>
          <w:szCs w:val="24"/>
        </w:rPr>
      </w:pPr>
      <w:r>
        <w:rPr>
          <w:rFonts w:hint="eastAsia" w:ascii="宋体" w:hAnsi="宋体" w:cs="宋体"/>
          <w:b/>
          <w:bCs/>
          <w:kern w:val="0"/>
          <w:sz w:val="24"/>
          <w:szCs w:val="24"/>
        </w:rPr>
        <w:t>3、合同实施</w:t>
      </w:r>
      <w:bookmarkStart w:id="37" w:name="_Toc167715264"/>
      <w:bookmarkStart w:id="38" w:name="_Toc167714067"/>
      <w:bookmarkStart w:id="39" w:name="_Toc167712869"/>
    </w:p>
    <w:p>
      <w:pPr>
        <w:spacing w:line="440" w:lineRule="exact"/>
        <w:ind w:firstLine="420" w:firstLineChars="200"/>
        <w:rPr>
          <w:rFonts w:ascii="宋体" w:hAnsi="宋体" w:cs="宋体"/>
          <w:szCs w:val="21"/>
        </w:rPr>
      </w:pPr>
      <w:r>
        <w:rPr>
          <w:rFonts w:hint="eastAsia" w:ascii="宋体" w:hAnsi="宋体" w:cs="宋体"/>
          <w:szCs w:val="21"/>
        </w:rPr>
        <w:t xml:space="preserve">1 </w:t>
      </w:r>
      <w:bookmarkEnd w:id="37"/>
      <w:bookmarkEnd w:id="38"/>
      <w:bookmarkEnd w:id="39"/>
      <w:r>
        <w:rPr>
          <w:rFonts w:hint="eastAsia" w:ascii="宋体" w:hAnsi="宋体" w:cs="宋体"/>
          <w:szCs w:val="21"/>
        </w:rPr>
        <w:t>、中标人应在合同签订后7个日历日内安排人员（项目组成人员简历表所列）与使用单位就送货、安装、调试、培训等工作进行安排、部署。</w:t>
      </w:r>
      <w:bookmarkStart w:id="40" w:name="_Toc167715265"/>
      <w:bookmarkStart w:id="41" w:name="_Toc167714068"/>
      <w:bookmarkStart w:id="42" w:name="_Toc167712870"/>
    </w:p>
    <w:p>
      <w:pPr>
        <w:spacing w:line="440" w:lineRule="exact"/>
        <w:ind w:firstLine="420" w:firstLineChars="200"/>
        <w:rPr>
          <w:rFonts w:ascii="宋体" w:hAnsi="宋体" w:cs="宋体"/>
          <w:szCs w:val="21"/>
        </w:rPr>
      </w:pPr>
      <w:r>
        <w:rPr>
          <w:rFonts w:hint="eastAsia" w:ascii="宋体" w:hAnsi="宋体" w:cs="宋体"/>
          <w:szCs w:val="21"/>
        </w:rPr>
        <w:t>2</w:t>
      </w:r>
      <w:bookmarkEnd w:id="40"/>
      <w:bookmarkEnd w:id="41"/>
      <w:bookmarkEnd w:id="42"/>
      <w:r>
        <w:rPr>
          <w:rFonts w:hint="eastAsia" w:ascii="宋体" w:hAnsi="宋体" w:cs="宋体"/>
          <w:szCs w:val="21"/>
        </w:rPr>
        <w:t xml:space="preserve"> 、若未能在交货期内完成合同规定的义务，由此对采购人造成的延误和一切损失，由中标人承担和赔偿。</w:t>
      </w:r>
    </w:p>
    <w:p>
      <w:pPr>
        <w:pStyle w:val="11"/>
        <w:spacing w:line="440" w:lineRule="exact"/>
        <w:ind w:firstLine="0"/>
        <w:rPr>
          <w:rFonts w:ascii="宋体" w:hAnsi="宋体" w:cs="宋体"/>
          <w:b/>
          <w:bCs/>
          <w:kern w:val="0"/>
          <w:sz w:val="24"/>
          <w:szCs w:val="24"/>
        </w:rPr>
      </w:pPr>
      <w:r>
        <w:rPr>
          <w:rFonts w:hint="eastAsia" w:ascii="宋体" w:hAnsi="宋体" w:cs="宋体"/>
          <w:b/>
          <w:bCs/>
          <w:kern w:val="0"/>
          <w:sz w:val="24"/>
          <w:szCs w:val="24"/>
        </w:rPr>
        <w:t>4、违约责任</w:t>
      </w:r>
    </w:p>
    <w:p>
      <w:pPr>
        <w:spacing w:line="440" w:lineRule="exact"/>
        <w:ind w:firstLine="420" w:firstLineChars="200"/>
        <w:rPr>
          <w:rFonts w:ascii="宋体" w:hAnsi="宋体" w:cs="宋体"/>
          <w:szCs w:val="21"/>
        </w:rPr>
      </w:pPr>
      <w:r>
        <w:rPr>
          <w:rFonts w:hint="eastAsia" w:ascii="宋体" w:hAnsi="宋体" w:cs="宋体"/>
          <w:szCs w:val="21"/>
        </w:rPr>
        <w:t>1、按《中华人民共和国合同法》中的相关条款执行。</w:t>
      </w:r>
    </w:p>
    <w:p>
      <w:pPr>
        <w:spacing w:line="440" w:lineRule="exact"/>
        <w:ind w:firstLine="420" w:firstLineChars="200"/>
        <w:rPr>
          <w:rFonts w:ascii="宋体" w:hAnsi="宋体" w:cs="宋体"/>
          <w:szCs w:val="21"/>
        </w:rPr>
      </w:pPr>
      <w:r>
        <w:rPr>
          <w:rFonts w:hint="eastAsia" w:ascii="宋体" w:hAnsi="宋体" w:cs="宋体"/>
          <w:szCs w:val="21"/>
        </w:rPr>
        <w:t>2、未按合同要求提供产品或货物质量不能满足技术要求，采购人有权终止合同，并对供方违约行为进行追究，同时按《政府采购法》的有关规定进行处罚。</w:t>
      </w:r>
    </w:p>
    <w:p>
      <w:pPr>
        <w:spacing w:line="440" w:lineRule="exact"/>
        <w:ind w:firstLine="482" w:firstLineChars="200"/>
        <w:rPr>
          <w:rFonts w:ascii="宋体" w:hAnsi="宋体" w:cs="宋体"/>
          <w:b/>
          <w:bCs/>
          <w:sz w:val="24"/>
        </w:rPr>
      </w:pPr>
      <w:r>
        <w:rPr>
          <w:rFonts w:hint="eastAsia" w:ascii="宋体" w:hAnsi="宋体" w:cs="宋体"/>
          <w:b/>
          <w:bCs/>
          <w:sz w:val="24"/>
        </w:rPr>
        <w:t>注：商务、服务要求为实质性要求，不得负偏离。</w:t>
      </w:r>
    </w:p>
    <w:p>
      <w:pPr>
        <w:pStyle w:val="11"/>
        <w:spacing w:line="440" w:lineRule="exact"/>
        <w:ind w:firstLine="380" w:firstLineChars="181"/>
        <w:rPr>
          <w:rFonts w:ascii="宋体" w:hAnsi="宋体" w:cs="宋体"/>
          <w:szCs w:val="21"/>
        </w:rPr>
      </w:pPr>
      <w:r>
        <w:rPr>
          <w:rFonts w:hint="eastAsia" w:ascii="宋体" w:hAnsi="宋体" w:cs="宋体"/>
          <w:szCs w:val="21"/>
        </w:rPr>
        <w:br w:type="page"/>
      </w:r>
    </w:p>
    <w:p>
      <w:pPr>
        <w:pStyle w:val="3"/>
        <w:numPr>
          <w:ilvl w:val="0"/>
          <w:numId w:val="0"/>
        </w:numPr>
        <w:tabs>
          <w:tab w:val="clear" w:pos="324"/>
        </w:tabs>
        <w:rPr>
          <w:rFonts w:ascii="宋体" w:hAnsi="宋体" w:eastAsia="宋体" w:cs="宋体"/>
          <w:b/>
          <w:bCs/>
          <w:sz w:val="36"/>
          <w:szCs w:val="36"/>
        </w:rPr>
      </w:pPr>
      <w:bookmarkStart w:id="43" w:name="_Toc23294"/>
      <w:r>
        <w:rPr>
          <w:rFonts w:hint="eastAsia" w:ascii="宋体" w:hAnsi="宋体" w:eastAsia="宋体" w:cs="宋体"/>
          <w:b/>
          <w:bCs/>
          <w:sz w:val="36"/>
          <w:szCs w:val="36"/>
        </w:rPr>
        <w:t>第五章  合同条款</w:t>
      </w:r>
      <w:bookmarkEnd w:id="43"/>
    </w:p>
    <w:p>
      <w:pPr>
        <w:widowControl/>
        <w:spacing w:before="120" w:beforeLines="50" w:after="120" w:afterLines="50" w:line="500" w:lineRule="exact"/>
        <w:jc w:val="center"/>
        <w:rPr>
          <w:rFonts w:ascii="宋体" w:hAnsi="宋体" w:cs="宋体"/>
          <w:b/>
          <w:szCs w:val="21"/>
        </w:rPr>
      </w:pPr>
      <w:r>
        <w:rPr>
          <w:rFonts w:hint="eastAsia" w:ascii="宋体" w:hAnsi="宋体" w:cs="宋体"/>
          <w:b/>
          <w:szCs w:val="21"/>
        </w:rPr>
        <w:t>合同格式与主要条款</w:t>
      </w:r>
    </w:p>
    <w:p>
      <w:pPr>
        <w:pStyle w:val="62"/>
        <w:spacing w:line="500" w:lineRule="exact"/>
        <w:ind w:firstLine="420"/>
        <w:rPr>
          <w:rFonts w:ascii="宋体" w:hAnsi="宋体"/>
          <w:szCs w:val="21"/>
        </w:rPr>
      </w:pPr>
      <w:r>
        <w:rPr>
          <w:rFonts w:hint="eastAsia" w:ascii="宋体" w:hAnsi="宋体"/>
          <w:szCs w:val="21"/>
        </w:rPr>
        <w:t xml:space="preserve">合同编号： </w:t>
      </w:r>
      <w:r>
        <w:rPr>
          <w:rFonts w:hint="eastAsia" w:ascii="宋体" w:hAnsi="宋体"/>
          <w:szCs w:val="21"/>
          <w:u w:val="single"/>
        </w:rPr>
        <w:t xml:space="preserve">                                </w:t>
      </w:r>
    </w:p>
    <w:p>
      <w:pPr>
        <w:pStyle w:val="62"/>
        <w:spacing w:line="500" w:lineRule="exact"/>
        <w:ind w:firstLine="420"/>
        <w:rPr>
          <w:rFonts w:ascii="宋体" w:hAnsi="宋体"/>
          <w:szCs w:val="21"/>
        </w:rPr>
      </w:pPr>
      <w:r>
        <w:rPr>
          <w:rFonts w:hint="eastAsia" w:ascii="宋体" w:hAnsi="宋体"/>
          <w:szCs w:val="21"/>
        </w:rPr>
        <w:t xml:space="preserve">签订地点： </w:t>
      </w:r>
      <w:r>
        <w:rPr>
          <w:rFonts w:hint="eastAsia" w:ascii="宋体" w:hAnsi="宋体"/>
          <w:szCs w:val="21"/>
          <w:u w:val="single"/>
        </w:rPr>
        <w:t xml:space="preserve">                                </w:t>
      </w:r>
    </w:p>
    <w:p>
      <w:pPr>
        <w:pStyle w:val="62"/>
        <w:spacing w:line="500" w:lineRule="exact"/>
        <w:ind w:firstLine="420"/>
        <w:rPr>
          <w:rFonts w:ascii="宋体" w:hAnsi="宋体"/>
          <w:szCs w:val="21"/>
          <w:u w:val="single"/>
        </w:rPr>
      </w:pPr>
      <w:r>
        <w:rPr>
          <w:rFonts w:hint="eastAsia" w:ascii="宋体" w:hAnsi="宋体"/>
          <w:szCs w:val="21"/>
        </w:rPr>
        <w:t xml:space="preserve">签订时间： </w:t>
      </w:r>
      <w:r>
        <w:rPr>
          <w:rFonts w:hint="eastAsia" w:ascii="宋体" w:hAnsi="宋体"/>
          <w:szCs w:val="21"/>
          <w:u w:val="single"/>
        </w:rPr>
        <w:t xml:space="preserve">                                </w:t>
      </w:r>
    </w:p>
    <w:p>
      <w:pPr>
        <w:pStyle w:val="62"/>
        <w:spacing w:line="500" w:lineRule="exact"/>
        <w:ind w:firstLine="420"/>
        <w:rPr>
          <w:rFonts w:ascii="宋体" w:hAnsi="宋体"/>
          <w:szCs w:val="21"/>
        </w:rPr>
      </w:pPr>
      <w:r>
        <w:rPr>
          <w:rFonts w:hint="eastAsia" w:ascii="宋体" w:hAnsi="宋体"/>
          <w:szCs w:val="21"/>
        </w:rPr>
        <w:t>采购人（甲方）：</w:t>
      </w:r>
      <w:r>
        <w:rPr>
          <w:rFonts w:hint="eastAsia" w:ascii="宋体" w:hAnsi="宋体"/>
          <w:szCs w:val="21"/>
          <w:u w:val="single"/>
        </w:rPr>
        <w:t xml:space="preserve">                                          </w:t>
      </w:r>
    </w:p>
    <w:p>
      <w:pPr>
        <w:pStyle w:val="62"/>
        <w:spacing w:after="240" w:afterLines="100" w:line="500" w:lineRule="exact"/>
        <w:ind w:firstLine="420"/>
        <w:rPr>
          <w:rFonts w:ascii="宋体" w:hAnsi="宋体"/>
          <w:szCs w:val="21"/>
        </w:rPr>
      </w:pPr>
      <w:r>
        <w:rPr>
          <w:rFonts w:hint="eastAsia" w:ascii="宋体" w:hAnsi="宋体"/>
          <w:szCs w:val="21"/>
        </w:rPr>
        <w:t>投标人（乙方）：</w:t>
      </w:r>
      <w:r>
        <w:rPr>
          <w:rFonts w:hint="eastAsia" w:ascii="宋体" w:hAnsi="宋体"/>
          <w:szCs w:val="21"/>
          <w:u w:val="single"/>
        </w:rPr>
        <w:t xml:space="preserve">                                          </w:t>
      </w:r>
    </w:p>
    <w:p>
      <w:pPr>
        <w:pStyle w:val="62"/>
        <w:spacing w:line="500" w:lineRule="exact"/>
        <w:ind w:firstLine="420"/>
        <w:rPr>
          <w:rFonts w:ascii="宋体" w:hAnsi="宋体"/>
          <w:szCs w:val="21"/>
        </w:rPr>
      </w:pPr>
      <w:r>
        <w:rPr>
          <w:rFonts w:hint="eastAsia" w:ascii="宋体" w:hAnsi="宋体"/>
          <w:szCs w:val="21"/>
        </w:rPr>
        <w:t>根据《中华人民共和国政府采购法》及实施条例、《中华人民共和国合同法》及其他有关法律、法规，和甲方就</w:t>
      </w:r>
      <w:r>
        <w:rPr>
          <w:rFonts w:hint="eastAsia" w:ascii="宋体" w:hAnsi="宋体"/>
          <w:szCs w:val="21"/>
          <w:u w:val="single"/>
        </w:rPr>
        <w:t xml:space="preserve">                      </w:t>
      </w:r>
      <w:r>
        <w:rPr>
          <w:rFonts w:hint="eastAsia" w:ascii="宋体" w:hAnsi="宋体"/>
          <w:szCs w:val="21"/>
        </w:rPr>
        <w:t>项目（项目编号：DXY2022-0010）的招、投标文件，为保证甲方招标项目的顺利实施，遵循平等、自愿、公平和诚信的原则，甲、乙双方同意签订本合同，并共同遵守如下条款：</w:t>
      </w:r>
    </w:p>
    <w:p>
      <w:pPr>
        <w:pStyle w:val="62"/>
        <w:spacing w:before="240" w:beforeLines="100" w:line="500" w:lineRule="exact"/>
        <w:ind w:firstLine="422"/>
        <w:rPr>
          <w:rFonts w:ascii="宋体" w:hAnsi="宋体"/>
          <w:b/>
          <w:szCs w:val="21"/>
        </w:rPr>
      </w:pPr>
      <w:r>
        <w:rPr>
          <w:rFonts w:hint="eastAsia" w:ascii="宋体" w:hAnsi="宋体"/>
          <w:b/>
          <w:szCs w:val="21"/>
        </w:rPr>
        <w:t>第一条 合同标的及数量</w:t>
      </w:r>
    </w:p>
    <w:p>
      <w:pPr>
        <w:spacing w:line="500" w:lineRule="exact"/>
        <w:ind w:firstLine="420" w:firstLineChars="200"/>
        <w:rPr>
          <w:rFonts w:ascii="宋体" w:hAnsi="宋体" w:cs="宋体"/>
          <w:szCs w:val="21"/>
        </w:rPr>
      </w:pPr>
      <w:r>
        <w:rPr>
          <w:rFonts w:hint="eastAsia" w:ascii="宋体" w:hAnsi="宋体" w:cs="宋体"/>
          <w:szCs w:val="21"/>
        </w:rPr>
        <w:t>乙方向甲方提供下列货物（产品）：</w:t>
      </w:r>
    </w:p>
    <w:p>
      <w:pPr>
        <w:spacing w:line="500" w:lineRule="exact"/>
        <w:jc w:val="center"/>
        <w:rPr>
          <w:rFonts w:ascii="宋体" w:hAnsi="宋体" w:cs="宋体"/>
          <w:b/>
          <w:szCs w:val="21"/>
        </w:rPr>
      </w:pPr>
      <w:r>
        <w:rPr>
          <w:rFonts w:hint="eastAsia" w:ascii="宋体" w:hAnsi="宋体" w:cs="宋体"/>
          <w:b/>
          <w:szCs w:val="21"/>
        </w:rPr>
        <w:t>供货一览表</w:t>
      </w:r>
    </w:p>
    <w:tbl>
      <w:tblPr>
        <w:tblStyle w:val="37"/>
        <w:tblW w:w="940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43"/>
        <w:gridCol w:w="1343"/>
        <w:gridCol w:w="1343"/>
        <w:gridCol w:w="1343"/>
        <w:gridCol w:w="1343"/>
        <w:gridCol w:w="1343"/>
        <w:gridCol w:w="134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43" w:type="dxa"/>
            <w:tcBorders>
              <w:tl2br w:val="nil"/>
              <w:tr2bl w:val="nil"/>
            </w:tcBorders>
            <w:vAlign w:val="center"/>
          </w:tcPr>
          <w:p>
            <w:pPr>
              <w:spacing w:line="500" w:lineRule="exact"/>
              <w:jc w:val="center"/>
              <w:rPr>
                <w:rFonts w:ascii="宋体" w:hAnsi="宋体" w:cs="宋体"/>
                <w:b/>
                <w:szCs w:val="21"/>
              </w:rPr>
            </w:pPr>
            <w:r>
              <w:rPr>
                <w:rFonts w:hint="eastAsia" w:ascii="宋体" w:hAnsi="宋体" w:cs="宋体"/>
                <w:szCs w:val="21"/>
              </w:rPr>
              <w:t>产品名称</w:t>
            </w:r>
          </w:p>
        </w:tc>
        <w:tc>
          <w:tcPr>
            <w:tcW w:w="1343" w:type="dxa"/>
            <w:tcBorders>
              <w:tl2br w:val="nil"/>
              <w:tr2bl w:val="nil"/>
            </w:tcBorders>
            <w:vAlign w:val="center"/>
          </w:tcPr>
          <w:p>
            <w:pPr>
              <w:spacing w:line="500" w:lineRule="exact"/>
              <w:jc w:val="center"/>
              <w:rPr>
                <w:rFonts w:ascii="宋体" w:hAnsi="宋体" w:cs="宋体"/>
                <w:b/>
                <w:szCs w:val="21"/>
              </w:rPr>
            </w:pPr>
            <w:r>
              <w:rPr>
                <w:rFonts w:hint="eastAsia" w:ascii="宋体" w:hAnsi="宋体" w:cs="宋体"/>
                <w:szCs w:val="21"/>
              </w:rPr>
              <w:t>型号规格</w:t>
            </w:r>
          </w:p>
        </w:tc>
        <w:tc>
          <w:tcPr>
            <w:tcW w:w="1343" w:type="dxa"/>
            <w:tcBorders>
              <w:tl2br w:val="nil"/>
              <w:tr2bl w:val="nil"/>
            </w:tcBorders>
            <w:vAlign w:val="center"/>
          </w:tcPr>
          <w:p>
            <w:pPr>
              <w:spacing w:line="500" w:lineRule="exact"/>
              <w:jc w:val="center"/>
              <w:rPr>
                <w:rFonts w:ascii="宋体" w:hAnsi="宋体" w:cs="宋体"/>
                <w:b/>
                <w:szCs w:val="21"/>
              </w:rPr>
            </w:pPr>
            <w:r>
              <w:rPr>
                <w:rFonts w:hint="eastAsia" w:ascii="宋体" w:hAnsi="宋体" w:cs="宋体"/>
                <w:szCs w:val="21"/>
              </w:rPr>
              <w:t>单位</w:t>
            </w:r>
          </w:p>
        </w:tc>
        <w:tc>
          <w:tcPr>
            <w:tcW w:w="1343" w:type="dxa"/>
            <w:tcBorders>
              <w:tl2br w:val="nil"/>
              <w:tr2bl w:val="nil"/>
            </w:tcBorders>
            <w:vAlign w:val="center"/>
          </w:tcPr>
          <w:p>
            <w:pPr>
              <w:spacing w:line="500" w:lineRule="exact"/>
              <w:jc w:val="center"/>
              <w:rPr>
                <w:rFonts w:ascii="宋体" w:hAnsi="宋体" w:cs="宋体"/>
                <w:b/>
                <w:szCs w:val="21"/>
              </w:rPr>
            </w:pPr>
            <w:r>
              <w:rPr>
                <w:rFonts w:hint="eastAsia" w:ascii="宋体" w:hAnsi="宋体" w:cs="宋体"/>
                <w:szCs w:val="21"/>
              </w:rPr>
              <w:t>数量</w:t>
            </w:r>
          </w:p>
        </w:tc>
        <w:tc>
          <w:tcPr>
            <w:tcW w:w="1343" w:type="dxa"/>
            <w:tcBorders>
              <w:tl2br w:val="nil"/>
              <w:tr2bl w:val="nil"/>
            </w:tcBorders>
            <w:vAlign w:val="center"/>
          </w:tcPr>
          <w:p>
            <w:pPr>
              <w:spacing w:line="500" w:lineRule="exact"/>
              <w:jc w:val="center"/>
              <w:rPr>
                <w:rFonts w:ascii="宋体" w:hAnsi="宋体" w:cs="宋体"/>
                <w:b/>
                <w:szCs w:val="21"/>
              </w:rPr>
            </w:pPr>
            <w:r>
              <w:rPr>
                <w:rFonts w:hint="eastAsia" w:ascii="宋体" w:hAnsi="宋体" w:cs="宋体"/>
                <w:szCs w:val="21"/>
              </w:rPr>
              <w:t>单价（元）</w:t>
            </w:r>
          </w:p>
        </w:tc>
        <w:tc>
          <w:tcPr>
            <w:tcW w:w="1343" w:type="dxa"/>
            <w:tcBorders>
              <w:tl2br w:val="nil"/>
              <w:tr2bl w:val="nil"/>
            </w:tcBorders>
            <w:vAlign w:val="center"/>
          </w:tcPr>
          <w:p>
            <w:pPr>
              <w:spacing w:line="500" w:lineRule="exact"/>
              <w:jc w:val="center"/>
              <w:rPr>
                <w:rFonts w:ascii="宋体" w:hAnsi="宋体" w:cs="宋体"/>
                <w:b/>
                <w:szCs w:val="21"/>
              </w:rPr>
            </w:pPr>
            <w:r>
              <w:rPr>
                <w:rFonts w:hint="eastAsia" w:ascii="宋体" w:hAnsi="宋体" w:cs="宋体"/>
                <w:szCs w:val="21"/>
              </w:rPr>
              <w:t>金额（元）</w:t>
            </w:r>
          </w:p>
        </w:tc>
        <w:tc>
          <w:tcPr>
            <w:tcW w:w="1343" w:type="dxa"/>
            <w:tcBorders>
              <w:tl2br w:val="nil"/>
              <w:tr2bl w:val="nil"/>
            </w:tcBorders>
            <w:vAlign w:val="center"/>
          </w:tcPr>
          <w:p>
            <w:pPr>
              <w:spacing w:line="500" w:lineRule="exact"/>
              <w:jc w:val="center"/>
              <w:rPr>
                <w:rFonts w:ascii="宋体" w:hAnsi="宋体" w:cs="宋体"/>
                <w:b/>
                <w:szCs w:val="21"/>
              </w:rPr>
            </w:pPr>
            <w:r>
              <w:rPr>
                <w:rFonts w:hint="eastAsia" w:ascii="宋体" w:hAnsi="宋体" w:cs="宋体"/>
                <w:szCs w:val="21"/>
              </w:rPr>
              <w:t>随机配件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43" w:type="dxa"/>
            <w:tcBorders>
              <w:tl2br w:val="nil"/>
              <w:tr2bl w:val="nil"/>
            </w:tcBorders>
          </w:tcPr>
          <w:p>
            <w:pPr>
              <w:spacing w:line="500" w:lineRule="exact"/>
              <w:jc w:val="center"/>
              <w:rPr>
                <w:rFonts w:ascii="宋体" w:hAnsi="宋体" w:cs="宋体"/>
                <w:b/>
                <w:szCs w:val="21"/>
              </w:rPr>
            </w:pPr>
          </w:p>
        </w:tc>
        <w:tc>
          <w:tcPr>
            <w:tcW w:w="1343" w:type="dxa"/>
            <w:tcBorders>
              <w:tl2br w:val="nil"/>
              <w:tr2bl w:val="nil"/>
            </w:tcBorders>
          </w:tcPr>
          <w:p>
            <w:pPr>
              <w:spacing w:line="500" w:lineRule="exact"/>
              <w:jc w:val="center"/>
              <w:rPr>
                <w:rFonts w:ascii="宋体" w:hAnsi="宋体" w:cs="宋体"/>
                <w:b/>
                <w:szCs w:val="21"/>
              </w:rPr>
            </w:pPr>
          </w:p>
        </w:tc>
        <w:tc>
          <w:tcPr>
            <w:tcW w:w="1343" w:type="dxa"/>
            <w:tcBorders>
              <w:tl2br w:val="nil"/>
              <w:tr2bl w:val="nil"/>
            </w:tcBorders>
          </w:tcPr>
          <w:p>
            <w:pPr>
              <w:spacing w:line="500" w:lineRule="exact"/>
              <w:jc w:val="center"/>
              <w:rPr>
                <w:rFonts w:ascii="宋体" w:hAnsi="宋体" w:cs="宋体"/>
                <w:b/>
                <w:szCs w:val="21"/>
              </w:rPr>
            </w:pPr>
          </w:p>
        </w:tc>
        <w:tc>
          <w:tcPr>
            <w:tcW w:w="1343" w:type="dxa"/>
            <w:tcBorders>
              <w:tl2br w:val="nil"/>
              <w:tr2bl w:val="nil"/>
            </w:tcBorders>
          </w:tcPr>
          <w:p>
            <w:pPr>
              <w:spacing w:line="500" w:lineRule="exact"/>
              <w:jc w:val="center"/>
              <w:rPr>
                <w:rFonts w:ascii="宋体" w:hAnsi="宋体" w:cs="宋体"/>
                <w:b/>
                <w:szCs w:val="21"/>
              </w:rPr>
            </w:pPr>
          </w:p>
        </w:tc>
        <w:tc>
          <w:tcPr>
            <w:tcW w:w="1343" w:type="dxa"/>
            <w:tcBorders>
              <w:tl2br w:val="nil"/>
              <w:tr2bl w:val="nil"/>
            </w:tcBorders>
          </w:tcPr>
          <w:p>
            <w:pPr>
              <w:spacing w:line="500" w:lineRule="exact"/>
              <w:jc w:val="center"/>
              <w:rPr>
                <w:rFonts w:ascii="宋体" w:hAnsi="宋体" w:cs="宋体"/>
                <w:b/>
                <w:szCs w:val="21"/>
              </w:rPr>
            </w:pPr>
          </w:p>
        </w:tc>
        <w:tc>
          <w:tcPr>
            <w:tcW w:w="1343" w:type="dxa"/>
            <w:tcBorders>
              <w:tl2br w:val="nil"/>
              <w:tr2bl w:val="nil"/>
            </w:tcBorders>
          </w:tcPr>
          <w:p>
            <w:pPr>
              <w:spacing w:line="500" w:lineRule="exact"/>
              <w:jc w:val="center"/>
              <w:rPr>
                <w:rFonts w:ascii="宋体" w:hAnsi="宋体" w:cs="宋体"/>
                <w:b/>
                <w:szCs w:val="21"/>
              </w:rPr>
            </w:pPr>
          </w:p>
        </w:tc>
        <w:tc>
          <w:tcPr>
            <w:tcW w:w="1343" w:type="dxa"/>
            <w:tcBorders>
              <w:tl2br w:val="nil"/>
              <w:tr2bl w:val="nil"/>
            </w:tcBorders>
          </w:tcPr>
          <w:p>
            <w:pPr>
              <w:spacing w:line="500" w:lineRule="exact"/>
              <w:jc w:val="center"/>
              <w:rPr>
                <w:rFonts w:ascii="宋体" w:hAnsi="宋体" w:cs="宋体"/>
                <w:b/>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43" w:type="dxa"/>
            <w:tcBorders>
              <w:tl2br w:val="nil"/>
              <w:tr2bl w:val="nil"/>
            </w:tcBorders>
          </w:tcPr>
          <w:p>
            <w:pPr>
              <w:spacing w:line="500" w:lineRule="exact"/>
              <w:jc w:val="center"/>
              <w:rPr>
                <w:rFonts w:ascii="宋体" w:hAnsi="宋体" w:cs="宋体"/>
                <w:b/>
                <w:szCs w:val="21"/>
              </w:rPr>
            </w:pPr>
          </w:p>
        </w:tc>
        <w:tc>
          <w:tcPr>
            <w:tcW w:w="1343" w:type="dxa"/>
            <w:tcBorders>
              <w:tl2br w:val="nil"/>
              <w:tr2bl w:val="nil"/>
            </w:tcBorders>
          </w:tcPr>
          <w:p>
            <w:pPr>
              <w:spacing w:line="500" w:lineRule="exact"/>
              <w:jc w:val="center"/>
              <w:rPr>
                <w:rFonts w:ascii="宋体" w:hAnsi="宋体" w:cs="宋体"/>
                <w:b/>
                <w:szCs w:val="21"/>
              </w:rPr>
            </w:pPr>
          </w:p>
        </w:tc>
        <w:tc>
          <w:tcPr>
            <w:tcW w:w="1343" w:type="dxa"/>
            <w:tcBorders>
              <w:tl2br w:val="nil"/>
              <w:tr2bl w:val="nil"/>
            </w:tcBorders>
          </w:tcPr>
          <w:p>
            <w:pPr>
              <w:spacing w:line="500" w:lineRule="exact"/>
              <w:jc w:val="center"/>
              <w:rPr>
                <w:rFonts w:ascii="宋体" w:hAnsi="宋体" w:cs="宋体"/>
                <w:b/>
                <w:szCs w:val="21"/>
              </w:rPr>
            </w:pPr>
          </w:p>
        </w:tc>
        <w:tc>
          <w:tcPr>
            <w:tcW w:w="1343" w:type="dxa"/>
            <w:tcBorders>
              <w:tl2br w:val="nil"/>
              <w:tr2bl w:val="nil"/>
            </w:tcBorders>
          </w:tcPr>
          <w:p>
            <w:pPr>
              <w:spacing w:line="500" w:lineRule="exact"/>
              <w:jc w:val="center"/>
              <w:rPr>
                <w:rFonts w:ascii="宋体" w:hAnsi="宋体" w:cs="宋体"/>
                <w:b/>
                <w:szCs w:val="21"/>
              </w:rPr>
            </w:pPr>
          </w:p>
        </w:tc>
        <w:tc>
          <w:tcPr>
            <w:tcW w:w="1343" w:type="dxa"/>
            <w:tcBorders>
              <w:tl2br w:val="nil"/>
              <w:tr2bl w:val="nil"/>
            </w:tcBorders>
          </w:tcPr>
          <w:p>
            <w:pPr>
              <w:spacing w:line="500" w:lineRule="exact"/>
              <w:jc w:val="center"/>
              <w:rPr>
                <w:rFonts w:ascii="宋体" w:hAnsi="宋体" w:cs="宋体"/>
                <w:b/>
                <w:szCs w:val="21"/>
              </w:rPr>
            </w:pPr>
          </w:p>
        </w:tc>
        <w:tc>
          <w:tcPr>
            <w:tcW w:w="1343" w:type="dxa"/>
            <w:tcBorders>
              <w:tl2br w:val="nil"/>
              <w:tr2bl w:val="nil"/>
            </w:tcBorders>
          </w:tcPr>
          <w:p>
            <w:pPr>
              <w:spacing w:line="500" w:lineRule="exact"/>
              <w:jc w:val="center"/>
              <w:rPr>
                <w:rFonts w:ascii="宋体" w:hAnsi="宋体" w:cs="宋体"/>
                <w:b/>
                <w:szCs w:val="21"/>
              </w:rPr>
            </w:pPr>
          </w:p>
        </w:tc>
        <w:tc>
          <w:tcPr>
            <w:tcW w:w="1343" w:type="dxa"/>
            <w:tcBorders>
              <w:tl2br w:val="nil"/>
              <w:tr2bl w:val="nil"/>
            </w:tcBorders>
          </w:tcPr>
          <w:p>
            <w:pPr>
              <w:spacing w:line="500" w:lineRule="exact"/>
              <w:jc w:val="center"/>
              <w:rPr>
                <w:rFonts w:ascii="宋体" w:hAnsi="宋体" w:cs="宋体"/>
                <w:b/>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1343" w:type="dxa"/>
            <w:tcBorders>
              <w:tl2br w:val="nil"/>
              <w:tr2bl w:val="nil"/>
            </w:tcBorders>
          </w:tcPr>
          <w:p>
            <w:pPr>
              <w:spacing w:line="500" w:lineRule="exact"/>
              <w:jc w:val="center"/>
              <w:rPr>
                <w:rFonts w:ascii="宋体" w:hAnsi="宋体" w:cs="宋体"/>
                <w:b/>
                <w:szCs w:val="21"/>
              </w:rPr>
            </w:pPr>
          </w:p>
        </w:tc>
        <w:tc>
          <w:tcPr>
            <w:tcW w:w="1343" w:type="dxa"/>
            <w:tcBorders>
              <w:tl2br w:val="nil"/>
              <w:tr2bl w:val="nil"/>
            </w:tcBorders>
          </w:tcPr>
          <w:p>
            <w:pPr>
              <w:spacing w:line="500" w:lineRule="exact"/>
              <w:jc w:val="center"/>
              <w:rPr>
                <w:rFonts w:ascii="宋体" w:hAnsi="宋体" w:cs="宋体"/>
                <w:b/>
                <w:szCs w:val="21"/>
              </w:rPr>
            </w:pPr>
          </w:p>
        </w:tc>
        <w:tc>
          <w:tcPr>
            <w:tcW w:w="1343" w:type="dxa"/>
            <w:tcBorders>
              <w:tl2br w:val="nil"/>
              <w:tr2bl w:val="nil"/>
            </w:tcBorders>
          </w:tcPr>
          <w:p>
            <w:pPr>
              <w:spacing w:line="500" w:lineRule="exact"/>
              <w:jc w:val="center"/>
              <w:rPr>
                <w:rFonts w:ascii="宋体" w:hAnsi="宋体" w:cs="宋体"/>
                <w:b/>
                <w:szCs w:val="21"/>
              </w:rPr>
            </w:pPr>
          </w:p>
        </w:tc>
        <w:tc>
          <w:tcPr>
            <w:tcW w:w="1343" w:type="dxa"/>
            <w:tcBorders>
              <w:tl2br w:val="nil"/>
              <w:tr2bl w:val="nil"/>
            </w:tcBorders>
          </w:tcPr>
          <w:p>
            <w:pPr>
              <w:spacing w:line="500" w:lineRule="exact"/>
              <w:jc w:val="center"/>
              <w:rPr>
                <w:rFonts w:ascii="宋体" w:hAnsi="宋体" w:cs="宋体"/>
                <w:b/>
                <w:szCs w:val="21"/>
              </w:rPr>
            </w:pPr>
          </w:p>
        </w:tc>
        <w:tc>
          <w:tcPr>
            <w:tcW w:w="1343" w:type="dxa"/>
            <w:tcBorders>
              <w:tl2br w:val="nil"/>
              <w:tr2bl w:val="nil"/>
            </w:tcBorders>
          </w:tcPr>
          <w:p>
            <w:pPr>
              <w:spacing w:line="500" w:lineRule="exact"/>
              <w:jc w:val="center"/>
              <w:rPr>
                <w:rFonts w:ascii="宋体" w:hAnsi="宋体" w:cs="宋体"/>
                <w:b/>
                <w:szCs w:val="21"/>
              </w:rPr>
            </w:pPr>
          </w:p>
        </w:tc>
        <w:tc>
          <w:tcPr>
            <w:tcW w:w="1343" w:type="dxa"/>
            <w:tcBorders>
              <w:tl2br w:val="nil"/>
              <w:tr2bl w:val="nil"/>
            </w:tcBorders>
          </w:tcPr>
          <w:p>
            <w:pPr>
              <w:spacing w:line="500" w:lineRule="exact"/>
              <w:jc w:val="center"/>
              <w:rPr>
                <w:rFonts w:ascii="宋体" w:hAnsi="宋体" w:cs="宋体"/>
                <w:b/>
                <w:szCs w:val="21"/>
              </w:rPr>
            </w:pPr>
          </w:p>
        </w:tc>
        <w:tc>
          <w:tcPr>
            <w:tcW w:w="1343" w:type="dxa"/>
            <w:tcBorders>
              <w:tl2br w:val="nil"/>
              <w:tr2bl w:val="nil"/>
            </w:tcBorders>
          </w:tcPr>
          <w:p>
            <w:pPr>
              <w:spacing w:line="500" w:lineRule="exact"/>
              <w:jc w:val="center"/>
              <w:rPr>
                <w:rFonts w:ascii="宋体" w:hAnsi="宋体" w:cs="宋体"/>
                <w:b/>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43" w:type="dxa"/>
            <w:tcBorders>
              <w:tl2br w:val="nil"/>
              <w:tr2bl w:val="nil"/>
            </w:tcBorders>
          </w:tcPr>
          <w:p>
            <w:pPr>
              <w:spacing w:line="500" w:lineRule="exact"/>
              <w:jc w:val="center"/>
              <w:rPr>
                <w:rFonts w:ascii="宋体" w:hAnsi="宋体" w:cs="宋体"/>
                <w:b/>
                <w:szCs w:val="21"/>
              </w:rPr>
            </w:pPr>
          </w:p>
        </w:tc>
        <w:tc>
          <w:tcPr>
            <w:tcW w:w="1343" w:type="dxa"/>
            <w:tcBorders>
              <w:tl2br w:val="nil"/>
              <w:tr2bl w:val="nil"/>
            </w:tcBorders>
          </w:tcPr>
          <w:p>
            <w:pPr>
              <w:spacing w:line="500" w:lineRule="exact"/>
              <w:jc w:val="center"/>
              <w:rPr>
                <w:rFonts w:ascii="宋体" w:hAnsi="宋体" w:cs="宋体"/>
                <w:b/>
                <w:szCs w:val="21"/>
              </w:rPr>
            </w:pPr>
          </w:p>
        </w:tc>
        <w:tc>
          <w:tcPr>
            <w:tcW w:w="1343" w:type="dxa"/>
            <w:tcBorders>
              <w:tl2br w:val="nil"/>
              <w:tr2bl w:val="nil"/>
            </w:tcBorders>
          </w:tcPr>
          <w:p>
            <w:pPr>
              <w:spacing w:line="500" w:lineRule="exact"/>
              <w:jc w:val="center"/>
              <w:rPr>
                <w:rFonts w:ascii="宋体" w:hAnsi="宋体" w:cs="宋体"/>
                <w:b/>
                <w:szCs w:val="21"/>
              </w:rPr>
            </w:pPr>
          </w:p>
        </w:tc>
        <w:tc>
          <w:tcPr>
            <w:tcW w:w="1343" w:type="dxa"/>
            <w:tcBorders>
              <w:tl2br w:val="nil"/>
              <w:tr2bl w:val="nil"/>
            </w:tcBorders>
          </w:tcPr>
          <w:p>
            <w:pPr>
              <w:spacing w:line="500" w:lineRule="exact"/>
              <w:jc w:val="center"/>
              <w:rPr>
                <w:rFonts w:ascii="宋体" w:hAnsi="宋体" w:cs="宋体"/>
                <w:b/>
                <w:szCs w:val="21"/>
              </w:rPr>
            </w:pPr>
          </w:p>
        </w:tc>
        <w:tc>
          <w:tcPr>
            <w:tcW w:w="1343" w:type="dxa"/>
            <w:tcBorders>
              <w:tl2br w:val="nil"/>
              <w:tr2bl w:val="nil"/>
            </w:tcBorders>
          </w:tcPr>
          <w:p>
            <w:pPr>
              <w:spacing w:line="500" w:lineRule="exact"/>
              <w:jc w:val="center"/>
              <w:rPr>
                <w:rFonts w:ascii="宋体" w:hAnsi="宋体" w:cs="宋体"/>
                <w:b/>
                <w:szCs w:val="21"/>
              </w:rPr>
            </w:pPr>
          </w:p>
        </w:tc>
        <w:tc>
          <w:tcPr>
            <w:tcW w:w="1343" w:type="dxa"/>
            <w:tcBorders>
              <w:tl2br w:val="nil"/>
              <w:tr2bl w:val="nil"/>
            </w:tcBorders>
          </w:tcPr>
          <w:p>
            <w:pPr>
              <w:spacing w:line="500" w:lineRule="exact"/>
              <w:jc w:val="center"/>
              <w:rPr>
                <w:rFonts w:ascii="宋体" w:hAnsi="宋体" w:cs="宋体"/>
                <w:b/>
                <w:szCs w:val="21"/>
              </w:rPr>
            </w:pPr>
          </w:p>
        </w:tc>
        <w:tc>
          <w:tcPr>
            <w:tcW w:w="1343" w:type="dxa"/>
            <w:tcBorders>
              <w:tl2br w:val="nil"/>
              <w:tr2bl w:val="nil"/>
            </w:tcBorders>
          </w:tcPr>
          <w:p>
            <w:pPr>
              <w:spacing w:line="500" w:lineRule="exact"/>
              <w:jc w:val="center"/>
              <w:rPr>
                <w:rFonts w:ascii="宋体" w:hAnsi="宋体" w:cs="宋体"/>
                <w:b/>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43" w:type="dxa"/>
            <w:tcBorders>
              <w:tl2br w:val="nil"/>
              <w:tr2bl w:val="nil"/>
            </w:tcBorders>
          </w:tcPr>
          <w:p>
            <w:pPr>
              <w:spacing w:line="500" w:lineRule="exact"/>
              <w:jc w:val="center"/>
              <w:rPr>
                <w:rFonts w:ascii="宋体" w:hAnsi="宋体" w:cs="宋体"/>
                <w:b/>
                <w:szCs w:val="21"/>
              </w:rPr>
            </w:pPr>
            <w:r>
              <w:rPr>
                <w:rFonts w:hint="eastAsia" w:ascii="宋体" w:hAnsi="宋体" w:cs="宋体"/>
                <w:b/>
                <w:szCs w:val="21"/>
              </w:rPr>
              <w:t>合计（大写）</w:t>
            </w:r>
          </w:p>
        </w:tc>
        <w:tc>
          <w:tcPr>
            <w:tcW w:w="4029" w:type="dxa"/>
            <w:gridSpan w:val="3"/>
            <w:tcBorders>
              <w:tl2br w:val="nil"/>
              <w:tr2bl w:val="nil"/>
            </w:tcBorders>
          </w:tcPr>
          <w:p>
            <w:pPr>
              <w:spacing w:line="500" w:lineRule="exact"/>
              <w:jc w:val="center"/>
              <w:rPr>
                <w:rFonts w:ascii="宋体" w:hAnsi="宋体" w:cs="宋体"/>
                <w:b/>
                <w:szCs w:val="21"/>
              </w:rPr>
            </w:pPr>
          </w:p>
        </w:tc>
        <w:tc>
          <w:tcPr>
            <w:tcW w:w="4029" w:type="dxa"/>
            <w:gridSpan w:val="3"/>
            <w:tcBorders>
              <w:tl2br w:val="nil"/>
              <w:tr2bl w:val="nil"/>
            </w:tcBorders>
          </w:tcPr>
          <w:p>
            <w:pPr>
              <w:spacing w:line="500" w:lineRule="exact"/>
              <w:rPr>
                <w:rFonts w:ascii="宋体" w:hAnsi="宋体" w:cs="宋体"/>
                <w:b/>
                <w:szCs w:val="21"/>
              </w:rPr>
            </w:pPr>
            <w:r>
              <w:rPr>
                <w:rFonts w:hint="eastAsia" w:ascii="宋体" w:hAnsi="宋体" w:cs="宋体"/>
                <w:b/>
                <w:szCs w:val="21"/>
              </w:rPr>
              <w:t>小写：</w:t>
            </w:r>
            <w:r>
              <w:rPr>
                <w:rFonts w:hint="eastAsia" w:ascii="宋体" w:hAnsi="宋体" w:cs="宋体"/>
                <w:szCs w:val="21"/>
              </w:rPr>
              <w:t>¥</w:t>
            </w:r>
          </w:p>
        </w:tc>
      </w:tr>
    </w:tbl>
    <w:p>
      <w:pPr>
        <w:pStyle w:val="62"/>
        <w:spacing w:before="240" w:beforeLines="100" w:after="240" w:afterLines="100" w:line="500" w:lineRule="exact"/>
        <w:ind w:firstLine="0" w:firstLineChars="0"/>
        <w:rPr>
          <w:rFonts w:ascii="宋体" w:hAnsi="宋体"/>
          <w:b/>
          <w:szCs w:val="21"/>
        </w:rPr>
      </w:pPr>
      <w:r>
        <w:rPr>
          <w:rFonts w:hint="eastAsia" w:ascii="宋体" w:hAnsi="宋体"/>
          <w:b/>
          <w:szCs w:val="21"/>
        </w:rPr>
        <w:t xml:space="preserve">    第二条 合同价款</w:t>
      </w:r>
    </w:p>
    <w:p>
      <w:pPr>
        <w:pStyle w:val="62"/>
        <w:spacing w:line="500" w:lineRule="exact"/>
        <w:ind w:firstLine="420"/>
        <w:rPr>
          <w:rFonts w:ascii="宋体" w:hAnsi="宋体"/>
          <w:szCs w:val="21"/>
        </w:rPr>
      </w:pPr>
      <w:r>
        <w:rPr>
          <w:rFonts w:hint="eastAsia" w:ascii="宋体" w:hAnsi="宋体"/>
          <w:szCs w:val="21"/>
        </w:rPr>
        <w:t>1、合同总价为人民币大写：</w:t>
      </w:r>
      <w:r>
        <w:rPr>
          <w:rFonts w:hint="eastAsia" w:ascii="宋体" w:hAnsi="宋体"/>
          <w:szCs w:val="21"/>
          <w:u w:val="single"/>
        </w:rPr>
        <w:t xml:space="preserve">       </w:t>
      </w:r>
      <w:r>
        <w:rPr>
          <w:rFonts w:hint="eastAsia" w:ascii="宋体" w:hAnsi="宋体"/>
          <w:szCs w:val="21"/>
        </w:rPr>
        <w:t>， RMB¥：</w:t>
      </w:r>
      <w:r>
        <w:rPr>
          <w:rFonts w:hint="eastAsia" w:ascii="宋体" w:hAnsi="宋体"/>
          <w:szCs w:val="21"/>
          <w:u w:val="single"/>
        </w:rPr>
        <w:t xml:space="preserve">       </w:t>
      </w:r>
      <w:r>
        <w:rPr>
          <w:rFonts w:hint="eastAsia" w:ascii="宋体" w:hAnsi="宋体"/>
          <w:szCs w:val="21"/>
        </w:rPr>
        <w:t>元。</w:t>
      </w:r>
    </w:p>
    <w:p>
      <w:pPr>
        <w:pStyle w:val="62"/>
        <w:spacing w:line="500" w:lineRule="exact"/>
        <w:ind w:firstLine="420"/>
        <w:rPr>
          <w:rFonts w:ascii="宋体" w:hAnsi="宋体"/>
          <w:szCs w:val="21"/>
        </w:rPr>
      </w:pPr>
      <w:r>
        <w:rPr>
          <w:rFonts w:hint="eastAsia" w:ascii="宋体" w:hAnsi="宋体"/>
          <w:szCs w:val="21"/>
        </w:rPr>
        <w:t>2、本合同总价是货物（产品）设计、材料、制造、包装、运输、安装、调试、检测、验收合格交付使用之前及保修期内保修服务与备用物件等所有其他有关各项的含税费用。</w:t>
      </w:r>
    </w:p>
    <w:p>
      <w:pPr>
        <w:pStyle w:val="62"/>
        <w:spacing w:line="500" w:lineRule="exact"/>
        <w:ind w:firstLine="420"/>
        <w:rPr>
          <w:rFonts w:ascii="宋体" w:hAnsi="宋体"/>
          <w:szCs w:val="21"/>
        </w:rPr>
      </w:pPr>
      <w:r>
        <w:rPr>
          <w:rFonts w:hint="eastAsia" w:ascii="宋体" w:hAnsi="宋体"/>
          <w:szCs w:val="21"/>
        </w:rPr>
        <w:t>3、本合同总价还包含乙方应当提供的伴随服务和售后服务费用。合同总价一次包死，不受市场价变化的影响。</w:t>
      </w:r>
    </w:p>
    <w:p>
      <w:pPr>
        <w:pStyle w:val="62"/>
        <w:spacing w:line="500" w:lineRule="exact"/>
        <w:ind w:firstLine="420"/>
        <w:rPr>
          <w:rFonts w:ascii="宋体" w:hAnsi="宋体"/>
          <w:szCs w:val="21"/>
        </w:rPr>
      </w:pPr>
      <w:r>
        <w:rPr>
          <w:rFonts w:hint="eastAsia" w:ascii="宋体" w:hAnsi="宋体"/>
          <w:szCs w:val="21"/>
        </w:rPr>
        <w:t>4、本合同执行期间合同总价不变，甲方无须另向乙方支付本合同规定之外的其他任何费用。</w:t>
      </w:r>
    </w:p>
    <w:p>
      <w:pPr>
        <w:pStyle w:val="62"/>
        <w:spacing w:before="240" w:beforeLines="100" w:after="240" w:afterLines="100" w:line="500" w:lineRule="exact"/>
        <w:ind w:firstLine="422"/>
        <w:rPr>
          <w:rFonts w:ascii="宋体" w:hAnsi="宋体"/>
          <w:b/>
          <w:szCs w:val="21"/>
        </w:rPr>
      </w:pPr>
      <w:r>
        <w:rPr>
          <w:rFonts w:hint="eastAsia" w:ascii="宋体" w:hAnsi="宋体"/>
          <w:b/>
          <w:szCs w:val="21"/>
        </w:rPr>
        <w:t>第三条 货款支付</w:t>
      </w:r>
    </w:p>
    <w:p>
      <w:pPr>
        <w:pStyle w:val="62"/>
        <w:spacing w:line="500" w:lineRule="exact"/>
        <w:ind w:firstLine="420"/>
        <w:rPr>
          <w:rFonts w:ascii="宋体" w:hAnsi="宋体"/>
          <w:szCs w:val="21"/>
        </w:rPr>
      </w:pPr>
      <w:r>
        <w:rPr>
          <w:rFonts w:hint="eastAsia" w:ascii="宋体" w:hAnsi="宋体"/>
          <w:szCs w:val="21"/>
        </w:rPr>
        <w:t>1、货物（产品）按下列比例支付价款：</w:t>
      </w:r>
    </w:p>
    <w:p>
      <w:pPr>
        <w:pStyle w:val="62"/>
        <w:spacing w:line="500" w:lineRule="exact"/>
        <w:ind w:firstLine="420"/>
        <w:rPr>
          <w:rFonts w:ascii="宋体" w:hAnsi="宋体"/>
          <w:szCs w:val="21"/>
        </w:rPr>
      </w:pPr>
      <w:r>
        <w:rPr>
          <w:rFonts w:hint="eastAsia" w:ascii="宋体" w:hAnsi="宋体"/>
          <w:szCs w:val="21"/>
        </w:rPr>
        <w:t>（1）甲方在本合同签订且在安装调试培训结束并正常运行</w:t>
      </w:r>
      <w:r>
        <w:rPr>
          <w:rFonts w:hint="eastAsia" w:ascii="宋体" w:hAnsi="宋体"/>
          <w:szCs w:val="21"/>
          <w:u w:val="single"/>
        </w:rPr>
        <w:t xml:space="preserve">     </w:t>
      </w:r>
      <w:r>
        <w:rPr>
          <w:rFonts w:hint="eastAsia" w:ascii="宋体" w:hAnsi="宋体"/>
          <w:szCs w:val="21"/>
        </w:rPr>
        <w:t>日历日后，支付合同总价</w:t>
      </w:r>
      <w:bookmarkStart w:id="44" w:name="OLE_LINK28"/>
      <w:r>
        <w:rPr>
          <w:rFonts w:hint="eastAsia" w:ascii="宋体" w:hAnsi="宋体"/>
          <w:szCs w:val="21"/>
          <w:u w:val="single"/>
        </w:rPr>
        <w:t xml:space="preserve">     </w:t>
      </w:r>
      <w:bookmarkEnd w:id="44"/>
      <w:r>
        <w:rPr>
          <w:rFonts w:hint="eastAsia" w:ascii="宋体" w:hAnsi="宋体"/>
          <w:szCs w:val="21"/>
          <w:u w:val="single"/>
        </w:rPr>
        <w:t xml:space="preserve"> </w:t>
      </w:r>
      <w:r>
        <w:rPr>
          <w:rFonts w:hint="eastAsia" w:ascii="宋体" w:hAnsi="宋体"/>
          <w:szCs w:val="21"/>
        </w:rPr>
        <w:t>的价款；</w:t>
      </w:r>
    </w:p>
    <w:p>
      <w:pPr>
        <w:pStyle w:val="62"/>
        <w:spacing w:line="500" w:lineRule="exact"/>
        <w:ind w:firstLine="420"/>
        <w:rPr>
          <w:rFonts w:ascii="宋体" w:hAnsi="宋体"/>
          <w:szCs w:val="21"/>
        </w:rPr>
      </w:pPr>
      <w:r>
        <w:rPr>
          <w:rFonts w:hint="eastAsia" w:ascii="宋体" w:hAnsi="宋体"/>
          <w:szCs w:val="21"/>
        </w:rPr>
        <w:t>（2）正常使用</w:t>
      </w:r>
      <w:r>
        <w:rPr>
          <w:rFonts w:hint="eastAsia" w:ascii="宋体" w:hAnsi="宋体"/>
          <w:szCs w:val="21"/>
          <w:u w:val="single"/>
        </w:rPr>
        <w:t xml:space="preserve">     </w:t>
      </w:r>
      <w:r>
        <w:rPr>
          <w:rFonts w:hint="eastAsia" w:ascii="宋体" w:hAnsi="宋体"/>
          <w:szCs w:val="21"/>
        </w:rPr>
        <w:t>后，甲方向乙方支付合同总价</w:t>
      </w:r>
      <w:r>
        <w:rPr>
          <w:rFonts w:hint="eastAsia" w:ascii="宋体" w:hAnsi="宋体"/>
          <w:szCs w:val="21"/>
          <w:u w:val="single"/>
        </w:rPr>
        <w:t xml:space="preserve">       </w:t>
      </w:r>
      <w:r>
        <w:rPr>
          <w:rFonts w:hint="eastAsia" w:ascii="宋体" w:hAnsi="宋体"/>
          <w:szCs w:val="21"/>
        </w:rPr>
        <w:t>的价款；</w:t>
      </w:r>
    </w:p>
    <w:p>
      <w:pPr>
        <w:pStyle w:val="62"/>
        <w:spacing w:line="500" w:lineRule="exact"/>
        <w:ind w:firstLine="420"/>
        <w:rPr>
          <w:rFonts w:ascii="宋体" w:hAnsi="宋体"/>
          <w:szCs w:val="21"/>
        </w:rPr>
      </w:pPr>
      <w:r>
        <w:rPr>
          <w:rFonts w:hint="eastAsia" w:ascii="宋体" w:hAnsi="宋体"/>
          <w:szCs w:val="21"/>
        </w:rPr>
        <w:t>（3）剩余合同总价</w:t>
      </w:r>
      <w:r>
        <w:rPr>
          <w:rFonts w:hint="eastAsia" w:ascii="宋体" w:hAnsi="宋体"/>
          <w:szCs w:val="21"/>
          <w:u w:val="single"/>
        </w:rPr>
        <w:t xml:space="preserve">       </w:t>
      </w:r>
      <w:r>
        <w:rPr>
          <w:rFonts w:hint="eastAsia" w:ascii="宋体" w:hAnsi="宋体"/>
          <w:szCs w:val="21"/>
        </w:rPr>
        <w:t>的价款</w:t>
      </w:r>
      <w:r>
        <w:rPr>
          <w:rFonts w:hint="eastAsia" w:ascii="宋体" w:hAnsi="宋体"/>
          <w:szCs w:val="21"/>
          <w:u w:val="single"/>
        </w:rPr>
        <w:t xml:space="preserve">     </w:t>
      </w:r>
      <w:r>
        <w:rPr>
          <w:rFonts w:hint="eastAsia" w:ascii="宋体" w:hAnsi="宋体"/>
          <w:szCs w:val="21"/>
        </w:rPr>
        <w:t>后甲方向乙方一次性付清。</w:t>
      </w:r>
    </w:p>
    <w:p>
      <w:pPr>
        <w:pStyle w:val="62"/>
        <w:spacing w:line="500" w:lineRule="exact"/>
        <w:ind w:firstLine="420"/>
        <w:rPr>
          <w:rFonts w:ascii="宋体" w:hAnsi="宋体"/>
          <w:szCs w:val="21"/>
        </w:rPr>
      </w:pPr>
      <w:r>
        <w:rPr>
          <w:rFonts w:hint="eastAsia" w:ascii="宋体" w:hAnsi="宋体"/>
          <w:szCs w:val="21"/>
        </w:rPr>
        <w:t>2、乙方须向甲方出具合法有效完整的完税发票，甲方进行支付结算。</w:t>
      </w:r>
    </w:p>
    <w:p>
      <w:pPr>
        <w:pStyle w:val="62"/>
        <w:spacing w:line="500" w:lineRule="exact"/>
        <w:ind w:firstLine="420"/>
        <w:rPr>
          <w:rFonts w:ascii="宋体" w:hAnsi="宋体"/>
          <w:szCs w:val="21"/>
        </w:rPr>
      </w:pPr>
      <w:r>
        <w:rPr>
          <w:rFonts w:hint="eastAsia" w:ascii="宋体" w:hAnsi="宋体"/>
          <w:szCs w:val="21"/>
        </w:rPr>
        <w:t>3、结算方式：银行转账。</w:t>
      </w:r>
    </w:p>
    <w:p>
      <w:pPr>
        <w:pStyle w:val="62"/>
        <w:spacing w:before="240" w:beforeLines="100" w:after="240" w:afterLines="100" w:line="500" w:lineRule="exact"/>
        <w:ind w:firstLine="422"/>
        <w:rPr>
          <w:rFonts w:ascii="宋体" w:hAnsi="宋体"/>
          <w:b/>
          <w:szCs w:val="21"/>
        </w:rPr>
      </w:pPr>
      <w:r>
        <w:rPr>
          <w:rFonts w:hint="eastAsia" w:ascii="宋体" w:hAnsi="宋体"/>
          <w:b/>
          <w:szCs w:val="21"/>
        </w:rPr>
        <w:t>第四条 交货时间与地点</w:t>
      </w:r>
    </w:p>
    <w:p>
      <w:pPr>
        <w:pStyle w:val="62"/>
        <w:spacing w:line="500" w:lineRule="exact"/>
        <w:ind w:firstLine="420"/>
        <w:rPr>
          <w:rFonts w:ascii="宋体" w:hAnsi="宋体"/>
          <w:szCs w:val="21"/>
        </w:rPr>
      </w:pPr>
      <w:r>
        <w:rPr>
          <w:rFonts w:hint="eastAsia" w:ascii="宋体" w:hAnsi="宋体"/>
          <w:szCs w:val="21"/>
        </w:rPr>
        <w:t>乙方在合同签订生效之日起，按甲方指定时间、地点交货。</w:t>
      </w:r>
    </w:p>
    <w:p>
      <w:pPr>
        <w:pStyle w:val="62"/>
        <w:spacing w:line="500" w:lineRule="exact"/>
        <w:ind w:firstLine="420"/>
        <w:rPr>
          <w:rFonts w:ascii="宋体" w:hAnsi="宋体"/>
          <w:szCs w:val="21"/>
        </w:rPr>
      </w:pPr>
      <w:r>
        <w:rPr>
          <w:rFonts w:hint="eastAsia" w:ascii="宋体" w:hAnsi="宋体"/>
          <w:szCs w:val="21"/>
        </w:rPr>
        <w:t>1、交货时间（期限）：</w:t>
      </w:r>
      <w:r>
        <w:rPr>
          <w:rFonts w:hint="eastAsia" w:ascii="宋体" w:hAnsi="宋体"/>
          <w:szCs w:val="21"/>
          <w:u w:val="single"/>
        </w:rPr>
        <w:t xml:space="preserve">                   </w:t>
      </w:r>
      <w:r>
        <w:rPr>
          <w:rFonts w:hint="eastAsia" w:ascii="宋体" w:hAnsi="宋体"/>
          <w:szCs w:val="21"/>
        </w:rPr>
        <w:t>；</w:t>
      </w:r>
    </w:p>
    <w:p>
      <w:pPr>
        <w:pStyle w:val="62"/>
        <w:spacing w:line="500" w:lineRule="exact"/>
        <w:ind w:firstLine="420"/>
        <w:rPr>
          <w:rFonts w:ascii="宋体" w:hAnsi="宋体"/>
          <w:szCs w:val="21"/>
        </w:rPr>
      </w:pPr>
      <w:r>
        <w:rPr>
          <w:rFonts w:hint="eastAsia" w:ascii="宋体" w:hAnsi="宋体"/>
          <w:szCs w:val="21"/>
        </w:rPr>
        <w:t>2、交货地点：</w:t>
      </w:r>
      <w:r>
        <w:rPr>
          <w:rFonts w:hint="eastAsia" w:ascii="宋体" w:hAnsi="宋体"/>
          <w:szCs w:val="21"/>
          <w:u w:val="single"/>
        </w:rPr>
        <w:t xml:space="preserve">                           </w:t>
      </w:r>
      <w:r>
        <w:rPr>
          <w:rFonts w:hint="eastAsia" w:ascii="宋体" w:hAnsi="宋体"/>
          <w:szCs w:val="21"/>
        </w:rPr>
        <w:t>；</w:t>
      </w:r>
    </w:p>
    <w:p>
      <w:pPr>
        <w:pStyle w:val="62"/>
        <w:spacing w:before="240" w:beforeLines="100" w:after="240" w:afterLines="100" w:line="500" w:lineRule="exact"/>
        <w:ind w:firstLine="422"/>
        <w:rPr>
          <w:rFonts w:ascii="宋体" w:hAnsi="宋体"/>
          <w:b/>
          <w:szCs w:val="21"/>
        </w:rPr>
      </w:pPr>
      <w:r>
        <w:rPr>
          <w:rFonts w:hint="eastAsia" w:ascii="宋体" w:hAnsi="宋体"/>
          <w:b/>
          <w:szCs w:val="21"/>
        </w:rPr>
        <w:t>第五条 质量保证</w:t>
      </w:r>
    </w:p>
    <w:p>
      <w:pPr>
        <w:pStyle w:val="62"/>
        <w:spacing w:line="500" w:lineRule="exact"/>
        <w:ind w:firstLine="420"/>
        <w:rPr>
          <w:rFonts w:ascii="宋体" w:hAnsi="宋体"/>
          <w:szCs w:val="21"/>
        </w:rPr>
      </w:pPr>
      <w:r>
        <w:rPr>
          <w:rFonts w:hint="eastAsia" w:ascii="宋体" w:hAnsi="宋体"/>
          <w:szCs w:val="21"/>
        </w:rPr>
        <w:t>1、设备的质保期为终验合格后不少于</w:t>
      </w:r>
      <w:r>
        <w:rPr>
          <w:rFonts w:hint="eastAsia" w:ascii="宋体" w:hAnsi="宋体"/>
          <w:b/>
          <w:szCs w:val="21"/>
          <w:u w:val="single"/>
        </w:rPr>
        <w:t xml:space="preserve">     </w:t>
      </w:r>
      <w:r>
        <w:rPr>
          <w:rFonts w:hint="eastAsia" w:ascii="宋体" w:hAnsi="宋体"/>
          <w:szCs w:val="21"/>
        </w:rPr>
        <w:t>。中标人承诺的质保时间超过招标文件要求的，按其承诺时间质保。</w:t>
      </w:r>
    </w:p>
    <w:p>
      <w:pPr>
        <w:pStyle w:val="62"/>
        <w:spacing w:line="500" w:lineRule="exact"/>
        <w:ind w:firstLine="420"/>
        <w:rPr>
          <w:rFonts w:ascii="宋体" w:hAnsi="宋体"/>
          <w:szCs w:val="21"/>
        </w:rPr>
      </w:pPr>
      <w:r>
        <w:rPr>
          <w:rFonts w:hint="eastAsia" w:ascii="宋体" w:hAnsi="宋体"/>
          <w:szCs w:val="21"/>
        </w:rPr>
        <w:t>2、乙方须提供全新的、未使用过的合格正品货物（含零部件、配件等），完全符合合同规定的质量、规格和性能的要求。</w:t>
      </w:r>
    </w:p>
    <w:p>
      <w:pPr>
        <w:pStyle w:val="62"/>
        <w:spacing w:line="500" w:lineRule="exact"/>
        <w:ind w:firstLine="420"/>
        <w:rPr>
          <w:rFonts w:ascii="宋体" w:hAnsi="宋体"/>
          <w:szCs w:val="21"/>
        </w:rPr>
      </w:pPr>
      <w:r>
        <w:rPr>
          <w:rFonts w:hint="eastAsia" w:ascii="宋体" w:hAnsi="宋体"/>
          <w:szCs w:val="21"/>
        </w:rPr>
        <w:t>3、乙方提供的自主创新产品、节能和环保产品必须是列入政府采购清单的产品。</w:t>
      </w:r>
    </w:p>
    <w:p>
      <w:pPr>
        <w:pStyle w:val="62"/>
        <w:spacing w:line="500" w:lineRule="exact"/>
        <w:ind w:firstLine="420"/>
        <w:rPr>
          <w:rFonts w:ascii="宋体" w:hAnsi="宋体"/>
          <w:szCs w:val="21"/>
        </w:rPr>
      </w:pPr>
      <w:r>
        <w:rPr>
          <w:rFonts w:hint="eastAsia" w:ascii="宋体" w:hAnsi="宋体"/>
          <w:szCs w:val="21"/>
        </w:rPr>
        <w:t>4、质量标准按照最新颁布的国家标准、行业标准或制造厂家企业标准确定，上述标准不一致的，以严格标准为准。</w:t>
      </w:r>
    </w:p>
    <w:p>
      <w:pPr>
        <w:pStyle w:val="62"/>
        <w:spacing w:line="500" w:lineRule="exact"/>
        <w:ind w:firstLine="420"/>
        <w:rPr>
          <w:rFonts w:ascii="宋体" w:hAnsi="宋体"/>
          <w:szCs w:val="21"/>
        </w:rPr>
      </w:pPr>
      <w:r>
        <w:rPr>
          <w:rFonts w:hint="eastAsia" w:ascii="宋体" w:hAnsi="宋体"/>
          <w:szCs w:val="21"/>
        </w:rPr>
        <w:t>5、货物制造质量出现问题，乙方应负责三包（包修、包换、包退），费用由乙方负担，甲方有权到乙方生产场地检查货物质量和生产进度。</w:t>
      </w:r>
    </w:p>
    <w:p>
      <w:pPr>
        <w:pStyle w:val="62"/>
        <w:spacing w:line="500" w:lineRule="exact"/>
        <w:ind w:firstLine="420"/>
        <w:rPr>
          <w:rFonts w:ascii="宋体" w:hAnsi="宋体"/>
          <w:szCs w:val="21"/>
        </w:rPr>
      </w:pPr>
      <w:r>
        <w:rPr>
          <w:rFonts w:hint="eastAsia" w:ascii="宋体" w:hAnsi="宋体"/>
          <w:szCs w:val="21"/>
        </w:rPr>
        <w:t>6、质保期内中标单位如无法达到上述要求，采购人有权委托其它维修商完成此项工作，由此产生的一切费用均由中标人负责。</w:t>
      </w:r>
    </w:p>
    <w:p>
      <w:pPr>
        <w:pStyle w:val="62"/>
        <w:spacing w:before="240" w:beforeLines="100" w:after="240" w:afterLines="100" w:line="500" w:lineRule="exact"/>
        <w:ind w:firstLine="422"/>
        <w:rPr>
          <w:rFonts w:ascii="宋体" w:hAnsi="宋体"/>
          <w:b/>
          <w:szCs w:val="21"/>
        </w:rPr>
      </w:pPr>
      <w:r>
        <w:rPr>
          <w:rFonts w:hint="eastAsia" w:ascii="宋体" w:hAnsi="宋体"/>
          <w:b/>
          <w:szCs w:val="21"/>
        </w:rPr>
        <w:t>第六条 权利保证</w:t>
      </w:r>
    </w:p>
    <w:p>
      <w:pPr>
        <w:pStyle w:val="62"/>
        <w:spacing w:line="500" w:lineRule="exact"/>
        <w:ind w:firstLine="420"/>
        <w:rPr>
          <w:rFonts w:ascii="宋体" w:hAnsi="宋体"/>
          <w:szCs w:val="21"/>
        </w:rPr>
      </w:pPr>
      <w:r>
        <w:rPr>
          <w:rFonts w:hint="eastAsia" w:ascii="宋体" w:hAnsi="宋体"/>
          <w:szCs w:val="21"/>
        </w:rPr>
        <w:t>1、乙方保证对其出售的货物享有合法的权利。</w:t>
      </w:r>
    </w:p>
    <w:p>
      <w:pPr>
        <w:pStyle w:val="62"/>
        <w:spacing w:line="500" w:lineRule="exact"/>
        <w:ind w:firstLine="420"/>
        <w:rPr>
          <w:rFonts w:ascii="宋体" w:hAnsi="宋体"/>
          <w:szCs w:val="21"/>
        </w:rPr>
      </w:pPr>
      <w:r>
        <w:rPr>
          <w:rFonts w:hint="eastAsia" w:ascii="宋体" w:hAnsi="宋体"/>
          <w:szCs w:val="21"/>
        </w:rPr>
        <w:t>2、乙方保证对其出售的货物上不存在任何未曾向甲方透露的担保物权，如抵押权、质押权、留置权。</w:t>
      </w:r>
    </w:p>
    <w:p>
      <w:pPr>
        <w:pStyle w:val="62"/>
        <w:spacing w:line="500" w:lineRule="exact"/>
        <w:ind w:firstLine="420"/>
        <w:rPr>
          <w:rFonts w:ascii="宋体" w:hAnsi="宋体"/>
          <w:szCs w:val="21"/>
        </w:rPr>
      </w:pPr>
      <w:r>
        <w:rPr>
          <w:rFonts w:hint="eastAsia" w:ascii="宋体" w:hAnsi="宋体"/>
          <w:szCs w:val="21"/>
        </w:rPr>
        <w:t>3、乙方保证对其出售的货物或其任何一部分没有侵犯第三方的专利权、版权、商标权或其他权利。</w:t>
      </w:r>
    </w:p>
    <w:p>
      <w:pPr>
        <w:pStyle w:val="62"/>
        <w:spacing w:line="500" w:lineRule="exact"/>
        <w:ind w:firstLine="420"/>
        <w:rPr>
          <w:rFonts w:ascii="宋体" w:hAnsi="宋体"/>
          <w:szCs w:val="21"/>
        </w:rPr>
      </w:pPr>
      <w:r>
        <w:rPr>
          <w:rFonts w:hint="eastAsia" w:ascii="宋体" w:hAnsi="宋体"/>
          <w:szCs w:val="21"/>
        </w:rPr>
        <w:t>4、如甲方在使用该货物构成上述侵权的，则由乙方承担全部责任。</w:t>
      </w:r>
    </w:p>
    <w:p>
      <w:pPr>
        <w:pStyle w:val="62"/>
        <w:spacing w:before="240" w:beforeLines="100" w:after="240" w:afterLines="100" w:line="500" w:lineRule="exact"/>
        <w:ind w:firstLine="422"/>
        <w:rPr>
          <w:rFonts w:ascii="宋体" w:hAnsi="宋体"/>
          <w:b/>
          <w:szCs w:val="21"/>
        </w:rPr>
      </w:pPr>
      <w:r>
        <w:rPr>
          <w:rFonts w:hint="eastAsia" w:ascii="宋体" w:hAnsi="宋体"/>
          <w:b/>
          <w:szCs w:val="21"/>
        </w:rPr>
        <w:t>第七条 包装要求与运输方式（若有）</w:t>
      </w:r>
    </w:p>
    <w:p>
      <w:pPr>
        <w:pStyle w:val="62"/>
        <w:spacing w:line="500" w:lineRule="exact"/>
        <w:ind w:left="141" w:leftChars="67" w:firstLine="315" w:firstLineChars="150"/>
        <w:rPr>
          <w:rFonts w:ascii="宋体" w:hAnsi="宋体"/>
          <w:szCs w:val="21"/>
        </w:rPr>
      </w:pPr>
      <w:r>
        <w:rPr>
          <w:rFonts w:hint="eastAsia" w:ascii="宋体" w:hAnsi="宋体"/>
          <w:szCs w:val="21"/>
        </w:rPr>
        <w:t>1、除合同另有规定外，乙方提供的全部货物均应按标准保护措施进行包装，该包装应适应于远距离运输、防潮、防震、防锈和防野蛮装卸，以确保货物安全运抵指定地点。</w:t>
      </w:r>
    </w:p>
    <w:p>
      <w:pPr>
        <w:pStyle w:val="62"/>
        <w:spacing w:line="500" w:lineRule="exact"/>
        <w:ind w:left="141" w:leftChars="67" w:firstLine="315" w:firstLineChars="150"/>
        <w:rPr>
          <w:rFonts w:ascii="宋体" w:hAnsi="宋体"/>
          <w:szCs w:val="21"/>
        </w:rPr>
      </w:pPr>
      <w:r>
        <w:rPr>
          <w:rFonts w:hint="eastAsia" w:ascii="宋体" w:hAnsi="宋体"/>
          <w:szCs w:val="21"/>
        </w:rPr>
        <w:t>2、每一包装单元应附详细的装箱单和质量合格证。</w:t>
      </w:r>
    </w:p>
    <w:p>
      <w:pPr>
        <w:pStyle w:val="62"/>
        <w:spacing w:line="500" w:lineRule="exact"/>
        <w:ind w:left="141" w:leftChars="67" w:firstLine="315" w:firstLineChars="150"/>
        <w:rPr>
          <w:rFonts w:ascii="宋体" w:hAnsi="宋体"/>
          <w:szCs w:val="21"/>
        </w:rPr>
      </w:pPr>
      <w:r>
        <w:rPr>
          <w:rFonts w:hint="eastAsia" w:ascii="宋体" w:hAnsi="宋体"/>
          <w:szCs w:val="21"/>
        </w:rPr>
        <w:t>3、选择运输风险小、运费低、距离短的运输路线。</w:t>
      </w:r>
    </w:p>
    <w:p>
      <w:pPr>
        <w:pStyle w:val="62"/>
        <w:spacing w:line="500" w:lineRule="exact"/>
        <w:ind w:left="141" w:leftChars="67" w:firstLine="315" w:firstLineChars="150"/>
        <w:rPr>
          <w:rFonts w:ascii="宋体" w:hAnsi="宋体"/>
          <w:szCs w:val="21"/>
        </w:rPr>
      </w:pPr>
      <w:r>
        <w:rPr>
          <w:rFonts w:hint="eastAsia" w:ascii="宋体" w:hAnsi="宋体"/>
          <w:szCs w:val="21"/>
        </w:rPr>
        <w:t>4、货物（产品）运输方式：</w:t>
      </w:r>
      <w:r>
        <w:rPr>
          <w:rFonts w:hint="eastAsia" w:ascii="宋体" w:hAnsi="宋体"/>
          <w:szCs w:val="21"/>
          <w:u w:val="single"/>
        </w:rPr>
        <w:t xml:space="preserve">             </w:t>
      </w:r>
      <w:r>
        <w:rPr>
          <w:rFonts w:hint="eastAsia" w:ascii="宋体" w:hAnsi="宋体"/>
          <w:szCs w:val="21"/>
        </w:rPr>
        <w:t>。</w:t>
      </w:r>
    </w:p>
    <w:p>
      <w:pPr>
        <w:pStyle w:val="62"/>
        <w:spacing w:line="500" w:lineRule="exact"/>
        <w:ind w:left="141" w:leftChars="67" w:firstLine="315" w:firstLineChars="150"/>
        <w:rPr>
          <w:rFonts w:ascii="宋体" w:hAnsi="宋体"/>
          <w:szCs w:val="21"/>
        </w:rPr>
      </w:pPr>
      <w:r>
        <w:rPr>
          <w:rFonts w:hint="eastAsia" w:ascii="宋体" w:hAnsi="宋体"/>
          <w:szCs w:val="21"/>
        </w:rPr>
        <w:t>5、乙方负责货物（产品）运输，货物运输的合理损耗及计算方法</w:t>
      </w:r>
      <w:r>
        <w:rPr>
          <w:rFonts w:hint="eastAsia" w:ascii="宋体" w:hAnsi="宋体"/>
          <w:szCs w:val="21"/>
          <w:u w:val="single"/>
        </w:rPr>
        <w:t xml:space="preserve">    </w:t>
      </w:r>
      <w:r>
        <w:rPr>
          <w:rFonts w:hint="eastAsia" w:ascii="宋体" w:hAnsi="宋体"/>
          <w:szCs w:val="21"/>
        </w:rPr>
        <w:t>。</w:t>
      </w:r>
    </w:p>
    <w:p>
      <w:pPr>
        <w:pStyle w:val="62"/>
        <w:spacing w:line="500" w:lineRule="exact"/>
        <w:ind w:left="141" w:leftChars="67" w:firstLine="315" w:firstLineChars="150"/>
        <w:rPr>
          <w:rFonts w:ascii="宋体" w:hAnsi="宋体"/>
          <w:szCs w:val="21"/>
        </w:rPr>
      </w:pPr>
      <w:r>
        <w:rPr>
          <w:rFonts w:hint="eastAsia" w:ascii="宋体" w:hAnsi="宋体"/>
          <w:szCs w:val="21"/>
        </w:rPr>
        <w:t>6、运杂费一次包死在总价内，包括生产厂到施工现场所需的装卸、运输（含保险费）、现场保管费、二次倒运费、吊装费等费用。</w:t>
      </w:r>
    </w:p>
    <w:p>
      <w:pPr>
        <w:pStyle w:val="62"/>
        <w:spacing w:before="240" w:beforeLines="100" w:after="240" w:afterLines="100" w:line="500" w:lineRule="exact"/>
        <w:ind w:firstLine="422"/>
        <w:rPr>
          <w:rFonts w:ascii="宋体" w:hAnsi="宋体"/>
          <w:b/>
          <w:szCs w:val="21"/>
        </w:rPr>
      </w:pPr>
      <w:r>
        <w:rPr>
          <w:rFonts w:hint="eastAsia" w:ascii="宋体" w:hAnsi="宋体"/>
          <w:b/>
          <w:szCs w:val="21"/>
        </w:rPr>
        <w:t>第八条 货物验收</w:t>
      </w:r>
    </w:p>
    <w:p>
      <w:pPr>
        <w:pStyle w:val="62"/>
        <w:spacing w:line="500" w:lineRule="exact"/>
        <w:ind w:left="141" w:leftChars="67" w:firstLine="315" w:firstLineChars="150"/>
        <w:rPr>
          <w:rFonts w:ascii="宋体" w:hAnsi="宋体"/>
          <w:szCs w:val="21"/>
        </w:rPr>
      </w:pPr>
      <w:r>
        <w:rPr>
          <w:rFonts w:hint="eastAsia" w:ascii="宋体" w:hAnsi="宋体"/>
          <w:szCs w:val="21"/>
        </w:rPr>
        <w:t>1、货物验收由甲方组织，乙方配合，并按下列程序进行：</w:t>
      </w:r>
    </w:p>
    <w:p>
      <w:pPr>
        <w:pStyle w:val="62"/>
        <w:spacing w:line="500" w:lineRule="exact"/>
        <w:ind w:firstLine="315" w:firstLineChars="150"/>
        <w:rPr>
          <w:rFonts w:ascii="宋体" w:hAnsi="宋体"/>
          <w:szCs w:val="21"/>
        </w:rPr>
      </w:pPr>
      <w:r>
        <w:rPr>
          <w:rFonts w:hint="eastAsia" w:ascii="宋体" w:hAnsi="宋体"/>
          <w:szCs w:val="21"/>
        </w:rPr>
        <w:t>（1）交货验收时，乙方须提供质检部门产品抽样检查合格的检测报告（或生产厂家自检报告）及所提供货物（产品）的合格证、装箱清单、配件、随机工具、用户使用手册（产品使用说明书）、保修卡等资料交付给甲方。</w:t>
      </w:r>
    </w:p>
    <w:p>
      <w:pPr>
        <w:pStyle w:val="62"/>
        <w:spacing w:line="500" w:lineRule="exact"/>
        <w:ind w:firstLine="359" w:firstLineChars="171"/>
        <w:rPr>
          <w:rFonts w:ascii="宋体" w:hAnsi="宋体"/>
          <w:szCs w:val="21"/>
        </w:rPr>
      </w:pPr>
      <w:r>
        <w:rPr>
          <w:rFonts w:hint="eastAsia" w:ascii="宋体" w:hAnsi="宋体"/>
          <w:szCs w:val="21"/>
        </w:rPr>
        <w:t>（2）到货验收 ：货物到达后，按合同第一条款的货物清单和装箱单经行逐一核对，同时检查货物外观，是否有划痕或破损的，并做好相应记录。</w:t>
      </w:r>
    </w:p>
    <w:p>
      <w:pPr>
        <w:pStyle w:val="62"/>
        <w:spacing w:line="500" w:lineRule="exact"/>
        <w:ind w:firstLine="359" w:firstLineChars="171"/>
        <w:rPr>
          <w:rFonts w:ascii="宋体" w:hAnsi="宋体"/>
          <w:szCs w:val="21"/>
        </w:rPr>
      </w:pPr>
      <w:r>
        <w:rPr>
          <w:rFonts w:hint="eastAsia" w:ascii="宋体" w:hAnsi="宋体"/>
          <w:szCs w:val="21"/>
        </w:rPr>
        <w:t>（3）货物初验：乙方应在货物到货之日起，</w:t>
      </w:r>
      <w:r>
        <w:rPr>
          <w:rFonts w:hint="eastAsia" w:ascii="宋体" w:hAnsi="宋体"/>
          <w:szCs w:val="21"/>
          <w:u w:val="single"/>
        </w:rPr>
        <w:t xml:space="preserve">   </w:t>
      </w:r>
      <w:r>
        <w:rPr>
          <w:rFonts w:hint="eastAsia" w:ascii="宋体" w:hAnsi="宋体"/>
          <w:szCs w:val="21"/>
        </w:rPr>
        <w:t>日内全部完成安装调试完毕；乙方安装调试完毕后</w:t>
      </w:r>
      <w:r>
        <w:rPr>
          <w:rFonts w:hint="eastAsia" w:ascii="宋体" w:hAnsi="宋体"/>
          <w:szCs w:val="21"/>
          <w:u w:val="single"/>
        </w:rPr>
        <w:t xml:space="preserve">    </w:t>
      </w:r>
      <w:r>
        <w:rPr>
          <w:rFonts w:hint="eastAsia" w:ascii="宋体" w:hAnsi="宋体"/>
          <w:szCs w:val="21"/>
        </w:rPr>
        <w:t>日内完成初步验收；初步验收合格后，进入</w:t>
      </w:r>
      <w:r>
        <w:rPr>
          <w:rFonts w:hint="eastAsia" w:ascii="宋体" w:hAnsi="宋体"/>
          <w:szCs w:val="21"/>
          <w:u w:val="single"/>
        </w:rPr>
        <w:t xml:space="preserve">    </w:t>
      </w:r>
      <w:r>
        <w:rPr>
          <w:rFonts w:hint="eastAsia" w:ascii="宋体" w:hAnsi="宋体"/>
          <w:szCs w:val="21"/>
        </w:rPr>
        <w:t>日试用期；试用期间发生重大质量问题，修复后试用期相应顺延。</w:t>
      </w:r>
    </w:p>
    <w:p>
      <w:pPr>
        <w:pStyle w:val="62"/>
        <w:spacing w:line="500" w:lineRule="exact"/>
        <w:ind w:firstLine="0" w:firstLineChars="0"/>
        <w:rPr>
          <w:rFonts w:ascii="宋体" w:hAnsi="宋体"/>
          <w:szCs w:val="21"/>
        </w:rPr>
      </w:pPr>
      <w:r>
        <w:rPr>
          <w:rFonts w:hint="eastAsia" w:ascii="宋体" w:hAnsi="宋体"/>
          <w:szCs w:val="21"/>
        </w:rPr>
        <w:t xml:space="preserve">    （4）货物终验：试用期结束后</w:t>
      </w:r>
      <w:r>
        <w:rPr>
          <w:rFonts w:hint="eastAsia" w:ascii="宋体" w:hAnsi="宋体"/>
          <w:szCs w:val="21"/>
          <w:u w:val="single"/>
        </w:rPr>
        <w:t xml:space="preserve">    </w:t>
      </w:r>
      <w:r>
        <w:rPr>
          <w:rFonts w:hint="eastAsia" w:ascii="宋体" w:hAnsi="宋体"/>
          <w:szCs w:val="21"/>
        </w:rPr>
        <w:t>日内完成最终验收。</w:t>
      </w:r>
    </w:p>
    <w:p>
      <w:pPr>
        <w:pStyle w:val="62"/>
        <w:spacing w:line="500" w:lineRule="exact"/>
        <w:ind w:firstLine="420"/>
        <w:rPr>
          <w:rFonts w:ascii="宋体" w:hAnsi="宋体"/>
          <w:szCs w:val="21"/>
        </w:rPr>
      </w:pPr>
      <w:r>
        <w:rPr>
          <w:rFonts w:hint="eastAsia" w:ascii="宋体" w:hAnsi="宋体"/>
          <w:szCs w:val="21"/>
        </w:rPr>
        <w:t>（5）质量验收合格，双方签署质量验收报告。</w:t>
      </w:r>
    </w:p>
    <w:p>
      <w:pPr>
        <w:pStyle w:val="62"/>
        <w:spacing w:line="500" w:lineRule="exact"/>
        <w:ind w:firstLine="525" w:firstLineChars="250"/>
        <w:rPr>
          <w:rFonts w:ascii="宋体" w:hAnsi="宋体"/>
          <w:szCs w:val="21"/>
        </w:rPr>
      </w:pPr>
      <w:r>
        <w:rPr>
          <w:rFonts w:hint="eastAsia" w:ascii="宋体" w:hAnsi="宋体"/>
          <w:szCs w:val="21"/>
        </w:rPr>
        <w:t>2、货物验收依据：</w:t>
      </w:r>
    </w:p>
    <w:p>
      <w:pPr>
        <w:pStyle w:val="62"/>
        <w:spacing w:line="500" w:lineRule="exact"/>
        <w:ind w:firstLine="420" w:firstLineChars="0"/>
        <w:rPr>
          <w:rFonts w:ascii="宋体" w:hAnsi="宋体"/>
          <w:szCs w:val="21"/>
        </w:rPr>
      </w:pPr>
      <w:r>
        <w:rPr>
          <w:rFonts w:hint="eastAsia" w:ascii="宋体" w:hAnsi="宋体"/>
          <w:szCs w:val="21"/>
        </w:rPr>
        <w:t>（1）招标文件；</w:t>
      </w:r>
    </w:p>
    <w:p>
      <w:pPr>
        <w:pStyle w:val="62"/>
        <w:spacing w:line="500" w:lineRule="exact"/>
        <w:ind w:firstLine="420" w:firstLineChars="0"/>
        <w:rPr>
          <w:rFonts w:ascii="宋体" w:hAnsi="宋体"/>
          <w:szCs w:val="21"/>
        </w:rPr>
      </w:pPr>
      <w:r>
        <w:rPr>
          <w:rFonts w:hint="eastAsia" w:ascii="宋体" w:hAnsi="宋体"/>
          <w:szCs w:val="21"/>
        </w:rPr>
        <w:t>（2）中标人投标文件；</w:t>
      </w:r>
    </w:p>
    <w:p>
      <w:pPr>
        <w:pStyle w:val="62"/>
        <w:spacing w:line="500" w:lineRule="exact"/>
        <w:ind w:firstLine="420" w:firstLineChars="0"/>
        <w:rPr>
          <w:rFonts w:ascii="宋体" w:hAnsi="宋体"/>
          <w:szCs w:val="21"/>
        </w:rPr>
      </w:pPr>
      <w:r>
        <w:rPr>
          <w:rFonts w:hint="eastAsia" w:ascii="宋体" w:hAnsi="宋体"/>
          <w:szCs w:val="21"/>
        </w:rPr>
        <w:t>（3）采购合同及合同补充文件；</w:t>
      </w:r>
    </w:p>
    <w:p>
      <w:pPr>
        <w:pStyle w:val="62"/>
        <w:spacing w:line="500" w:lineRule="exact"/>
        <w:ind w:firstLine="420" w:firstLineChars="0"/>
        <w:rPr>
          <w:rFonts w:ascii="宋体" w:hAnsi="宋体"/>
          <w:szCs w:val="21"/>
        </w:rPr>
      </w:pPr>
      <w:r>
        <w:rPr>
          <w:rFonts w:hint="eastAsia" w:ascii="宋体" w:hAnsi="宋体"/>
          <w:szCs w:val="21"/>
        </w:rPr>
        <w:t>（4）供货一览表；</w:t>
      </w:r>
    </w:p>
    <w:p>
      <w:pPr>
        <w:pStyle w:val="62"/>
        <w:spacing w:line="500" w:lineRule="exact"/>
        <w:ind w:firstLine="420" w:firstLineChars="0"/>
        <w:rPr>
          <w:rFonts w:ascii="宋体" w:hAnsi="宋体"/>
          <w:szCs w:val="21"/>
        </w:rPr>
      </w:pPr>
      <w:r>
        <w:rPr>
          <w:rFonts w:hint="eastAsia" w:ascii="宋体" w:hAnsi="宋体"/>
          <w:szCs w:val="21"/>
        </w:rPr>
        <w:t>（5）质检部门抽样检查货物（产品）合格的检测报告。</w:t>
      </w:r>
    </w:p>
    <w:p>
      <w:pPr>
        <w:pStyle w:val="62"/>
        <w:spacing w:line="500" w:lineRule="exact"/>
        <w:ind w:firstLine="525" w:firstLineChars="250"/>
        <w:rPr>
          <w:rFonts w:ascii="宋体" w:hAnsi="宋体"/>
          <w:szCs w:val="21"/>
        </w:rPr>
      </w:pPr>
      <w:r>
        <w:rPr>
          <w:rFonts w:hint="eastAsia" w:ascii="宋体" w:hAnsi="宋体"/>
          <w:szCs w:val="21"/>
        </w:rPr>
        <w:t>3、货物验收时发现问题的处理办法：</w:t>
      </w:r>
    </w:p>
    <w:p>
      <w:pPr>
        <w:pStyle w:val="62"/>
        <w:spacing w:line="500" w:lineRule="exact"/>
        <w:ind w:firstLine="420" w:firstLineChars="0"/>
        <w:rPr>
          <w:rFonts w:ascii="宋体" w:hAnsi="宋体"/>
          <w:szCs w:val="21"/>
        </w:rPr>
      </w:pPr>
      <w:r>
        <w:rPr>
          <w:rFonts w:hint="eastAsia" w:ascii="宋体" w:hAnsi="宋体"/>
          <w:szCs w:val="21"/>
        </w:rPr>
        <w:t>（1）乙方提供不符合招标文件和本合同规定的货物（产品），甲方有权拒绝接受。</w:t>
      </w:r>
    </w:p>
    <w:p>
      <w:pPr>
        <w:pStyle w:val="62"/>
        <w:spacing w:line="500" w:lineRule="exact"/>
        <w:ind w:firstLine="420" w:firstLineChars="0"/>
        <w:rPr>
          <w:rFonts w:ascii="宋体" w:hAnsi="宋体"/>
          <w:szCs w:val="21"/>
        </w:rPr>
      </w:pPr>
      <w:r>
        <w:rPr>
          <w:rFonts w:hint="eastAsia" w:ascii="宋体" w:hAnsi="宋体"/>
          <w:szCs w:val="21"/>
        </w:rPr>
        <w:t>（2）如发现所交付的货物有短装、次品、损坏或其它不符合标准及本合同规定之情形者，甲方有权要求更换货物（产品），同时做出详尽的现场记录，或由甲乙双方签署备忘录，此现场记录或备忘录可用作补充、缺失和更换损坏部件或更换整个货物（产品）有效证据，由此产生的时间延误与有关费用由乙方承担，验收期限相应顺延。</w:t>
      </w:r>
    </w:p>
    <w:p>
      <w:pPr>
        <w:pStyle w:val="62"/>
        <w:spacing w:line="500" w:lineRule="exact"/>
        <w:ind w:firstLine="420"/>
        <w:rPr>
          <w:rFonts w:ascii="宋体" w:hAnsi="宋体"/>
          <w:szCs w:val="21"/>
        </w:rPr>
      </w:pPr>
      <w:r>
        <w:rPr>
          <w:rFonts w:hint="eastAsia" w:ascii="宋体" w:hAnsi="宋体"/>
          <w:szCs w:val="21"/>
        </w:rPr>
        <w:t>（3）如货物经乙方</w:t>
      </w:r>
      <w:r>
        <w:rPr>
          <w:rFonts w:hint="eastAsia" w:ascii="宋体" w:hAnsi="宋体"/>
          <w:szCs w:val="21"/>
          <w:u w:val="single"/>
        </w:rPr>
        <w:t xml:space="preserve">   </w:t>
      </w:r>
      <w:r>
        <w:rPr>
          <w:rFonts w:hint="eastAsia" w:ascii="宋体" w:hAnsi="宋体"/>
          <w:szCs w:val="21"/>
        </w:rPr>
        <w:t>次维修仍不能达到合同约定的质量标准，甲方有权退货，并视作乙方不能交付货物而须支付违约赔偿金给甲方，甲方还可依法追究乙方的违约责任。 </w:t>
      </w:r>
    </w:p>
    <w:p>
      <w:pPr>
        <w:pStyle w:val="62"/>
        <w:spacing w:line="500" w:lineRule="exact"/>
        <w:ind w:firstLine="420"/>
        <w:rPr>
          <w:rFonts w:ascii="宋体" w:hAnsi="宋体"/>
          <w:szCs w:val="21"/>
        </w:rPr>
      </w:pPr>
      <w:r>
        <w:rPr>
          <w:rFonts w:hint="eastAsia" w:ascii="宋体" w:hAnsi="宋体"/>
          <w:szCs w:val="21"/>
        </w:rPr>
        <w:t>（4）货物安装完成后</w:t>
      </w:r>
      <w:r>
        <w:rPr>
          <w:rFonts w:hint="eastAsia" w:ascii="宋体" w:hAnsi="宋体"/>
          <w:szCs w:val="21"/>
          <w:u w:val="single"/>
        </w:rPr>
        <w:t xml:space="preserve">    </w:t>
      </w:r>
      <w:r>
        <w:rPr>
          <w:rFonts w:hint="eastAsia" w:ascii="宋体" w:hAnsi="宋体"/>
          <w:szCs w:val="21"/>
        </w:rPr>
        <w:t>日内，甲方无故不进行验收工作并已使用货物的，视同已安装调试完成并验收合格。</w:t>
      </w:r>
    </w:p>
    <w:p>
      <w:pPr>
        <w:pStyle w:val="62"/>
        <w:spacing w:line="500" w:lineRule="exact"/>
        <w:ind w:firstLine="420"/>
        <w:rPr>
          <w:rFonts w:ascii="宋体" w:hAnsi="宋体"/>
          <w:szCs w:val="21"/>
        </w:rPr>
      </w:pPr>
      <w:r>
        <w:rPr>
          <w:rFonts w:hint="eastAsia" w:ascii="宋体" w:hAnsi="宋体"/>
          <w:szCs w:val="21"/>
        </w:rPr>
        <w:t>（5）乙方不能完整交付货物及本条第一款款规定的单证和工具的，必须负责补齐，否则视为未按合同约定交货。</w:t>
      </w:r>
    </w:p>
    <w:p>
      <w:pPr>
        <w:pStyle w:val="62"/>
        <w:spacing w:line="500" w:lineRule="exact"/>
        <w:ind w:firstLine="420"/>
        <w:rPr>
          <w:rFonts w:ascii="宋体" w:hAnsi="宋体"/>
          <w:szCs w:val="21"/>
        </w:rPr>
      </w:pPr>
      <w:r>
        <w:rPr>
          <w:rFonts w:hint="eastAsia" w:ascii="宋体" w:hAnsi="宋体"/>
          <w:szCs w:val="21"/>
        </w:rPr>
        <w:t>（6）超出合理磅差的处理方法：</w:t>
      </w:r>
      <w:r>
        <w:rPr>
          <w:rFonts w:hint="eastAsia" w:ascii="宋体" w:hAnsi="宋体"/>
          <w:szCs w:val="21"/>
          <w:u w:val="single"/>
        </w:rPr>
        <w:t xml:space="preserve">                  </w:t>
      </w:r>
      <w:r>
        <w:rPr>
          <w:rFonts w:hint="eastAsia" w:ascii="宋体" w:hAnsi="宋体"/>
          <w:szCs w:val="21"/>
        </w:rPr>
        <w:t>。</w:t>
      </w:r>
    </w:p>
    <w:p>
      <w:pPr>
        <w:pStyle w:val="62"/>
        <w:spacing w:before="240" w:beforeLines="100" w:after="240" w:afterLines="100" w:line="500" w:lineRule="exact"/>
        <w:ind w:firstLine="422"/>
        <w:rPr>
          <w:rFonts w:ascii="宋体" w:hAnsi="宋体"/>
          <w:b/>
          <w:szCs w:val="21"/>
        </w:rPr>
      </w:pPr>
      <w:r>
        <w:rPr>
          <w:rFonts w:hint="eastAsia" w:ascii="宋体" w:hAnsi="宋体"/>
          <w:b/>
          <w:szCs w:val="21"/>
        </w:rPr>
        <w:t>第九条 技术培训</w:t>
      </w:r>
    </w:p>
    <w:p>
      <w:pPr>
        <w:pStyle w:val="62"/>
        <w:spacing w:line="500" w:lineRule="exact"/>
        <w:ind w:firstLine="420"/>
        <w:rPr>
          <w:rFonts w:ascii="宋体" w:hAnsi="宋体"/>
          <w:szCs w:val="21"/>
        </w:rPr>
      </w:pPr>
      <w:r>
        <w:rPr>
          <w:rFonts w:hint="eastAsia" w:ascii="宋体" w:hAnsi="宋体"/>
          <w:szCs w:val="21"/>
        </w:rPr>
        <w:t>所有设备安装、调试开始前，乙方负责安排甲方维修技术人员进行技术培训；在设备安装调试期间或以后，乙方必须安排技术人员现场对使用单位的操作、维护技术人员进行操作应用及维护保养等方面更深入的技能培训，使他们具备操作和必要的调整、维护技能。</w:t>
      </w:r>
    </w:p>
    <w:p>
      <w:pPr>
        <w:pStyle w:val="62"/>
        <w:spacing w:line="500" w:lineRule="exact"/>
        <w:ind w:firstLine="420"/>
        <w:rPr>
          <w:rFonts w:ascii="宋体" w:hAnsi="宋体"/>
          <w:szCs w:val="21"/>
        </w:rPr>
      </w:pPr>
      <w:r>
        <w:rPr>
          <w:rFonts w:hint="eastAsia" w:ascii="宋体" w:hAnsi="宋体"/>
          <w:szCs w:val="21"/>
        </w:rPr>
        <w:t>1、培训内容：</w:t>
      </w:r>
      <w:r>
        <w:rPr>
          <w:rFonts w:hint="eastAsia" w:ascii="宋体" w:hAnsi="宋体"/>
          <w:szCs w:val="21"/>
          <w:u w:val="single"/>
        </w:rPr>
        <w:t xml:space="preserve">                </w:t>
      </w:r>
      <w:r>
        <w:rPr>
          <w:rFonts w:hint="eastAsia" w:ascii="宋体" w:hAnsi="宋体"/>
          <w:szCs w:val="21"/>
        </w:rPr>
        <w:t>。</w:t>
      </w:r>
    </w:p>
    <w:p>
      <w:pPr>
        <w:pStyle w:val="62"/>
        <w:spacing w:line="500" w:lineRule="exact"/>
        <w:ind w:firstLine="420"/>
        <w:rPr>
          <w:rFonts w:ascii="宋体" w:hAnsi="宋体"/>
          <w:szCs w:val="21"/>
        </w:rPr>
      </w:pPr>
      <w:r>
        <w:rPr>
          <w:rFonts w:hint="eastAsia" w:ascii="宋体" w:hAnsi="宋体"/>
          <w:szCs w:val="21"/>
        </w:rPr>
        <w:t>2、培训地点：</w:t>
      </w:r>
      <w:r>
        <w:rPr>
          <w:rFonts w:hint="eastAsia" w:ascii="宋体" w:hAnsi="宋体"/>
          <w:szCs w:val="21"/>
          <w:u w:val="single"/>
        </w:rPr>
        <w:t xml:space="preserve">                </w:t>
      </w:r>
      <w:r>
        <w:rPr>
          <w:rFonts w:hint="eastAsia" w:ascii="宋体" w:hAnsi="宋体"/>
          <w:szCs w:val="21"/>
        </w:rPr>
        <w:t>。</w:t>
      </w:r>
    </w:p>
    <w:p>
      <w:pPr>
        <w:pStyle w:val="62"/>
        <w:spacing w:line="500" w:lineRule="exact"/>
        <w:ind w:firstLine="420"/>
        <w:rPr>
          <w:rFonts w:ascii="宋体" w:hAnsi="宋体"/>
          <w:szCs w:val="21"/>
        </w:rPr>
      </w:pPr>
      <w:r>
        <w:rPr>
          <w:rFonts w:hint="eastAsia" w:ascii="宋体" w:hAnsi="宋体"/>
          <w:szCs w:val="21"/>
        </w:rPr>
        <w:t>3、培训时间：</w:t>
      </w:r>
      <w:r>
        <w:rPr>
          <w:rFonts w:hint="eastAsia" w:ascii="宋体" w:hAnsi="宋体"/>
          <w:szCs w:val="21"/>
          <w:u w:val="single"/>
        </w:rPr>
        <w:t xml:space="preserve">                </w:t>
      </w:r>
      <w:r>
        <w:rPr>
          <w:rFonts w:hint="eastAsia" w:ascii="宋体" w:hAnsi="宋体"/>
          <w:szCs w:val="21"/>
        </w:rPr>
        <w:t>。</w:t>
      </w:r>
    </w:p>
    <w:p>
      <w:pPr>
        <w:pStyle w:val="62"/>
        <w:spacing w:line="500" w:lineRule="exact"/>
        <w:ind w:firstLine="420"/>
        <w:rPr>
          <w:rFonts w:ascii="宋体" w:hAnsi="宋体"/>
          <w:szCs w:val="21"/>
        </w:rPr>
      </w:pPr>
      <w:r>
        <w:rPr>
          <w:rFonts w:hint="eastAsia" w:ascii="宋体" w:hAnsi="宋体"/>
          <w:szCs w:val="21"/>
        </w:rPr>
        <w:t>4、培训人数：</w:t>
      </w:r>
      <w:r>
        <w:rPr>
          <w:rFonts w:hint="eastAsia" w:ascii="宋体" w:hAnsi="宋体"/>
          <w:szCs w:val="21"/>
          <w:u w:val="single"/>
        </w:rPr>
        <w:t xml:space="preserve">                </w:t>
      </w:r>
      <w:r>
        <w:rPr>
          <w:rFonts w:hint="eastAsia" w:ascii="宋体" w:hAnsi="宋体"/>
          <w:szCs w:val="21"/>
        </w:rPr>
        <w:t>。</w:t>
      </w:r>
    </w:p>
    <w:p>
      <w:pPr>
        <w:pStyle w:val="62"/>
        <w:spacing w:line="500" w:lineRule="exact"/>
        <w:ind w:firstLine="420"/>
        <w:rPr>
          <w:rFonts w:ascii="宋体" w:hAnsi="宋体"/>
          <w:szCs w:val="21"/>
        </w:rPr>
      </w:pPr>
      <w:r>
        <w:rPr>
          <w:rFonts w:hint="eastAsia" w:ascii="宋体" w:hAnsi="宋体"/>
          <w:szCs w:val="21"/>
        </w:rPr>
        <w:t>5、培训费用：受训人员的食宿费、资料费、培训场地费、耗材（包括水电费等）费等已包含在合同总价中，甲方不再另行支付。</w:t>
      </w:r>
    </w:p>
    <w:p>
      <w:pPr>
        <w:pStyle w:val="62"/>
        <w:spacing w:before="240" w:beforeLines="100" w:after="240" w:afterLines="100" w:line="500" w:lineRule="exact"/>
        <w:ind w:firstLine="422"/>
        <w:rPr>
          <w:rFonts w:ascii="宋体" w:hAnsi="宋体"/>
          <w:b/>
          <w:szCs w:val="21"/>
        </w:rPr>
      </w:pPr>
      <w:r>
        <w:rPr>
          <w:rFonts w:hint="eastAsia" w:ascii="宋体" w:hAnsi="宋体"/>
          <w:b/>
          <w:szCs w:val="21"/>
        </w:rPr>
        <w:t>第十条 售后服务</w:t>
      </w:r>
    </w:p>
    <w:p>
      <w:pPr>
        <w:pStyle w:val="62"/>
        <w:spacing w:line="500" w:lineRule="exact"/>
        <w:ind w:firstLine="420"/>
        <w:rPr>
          <w:rFonts w:ascii="宋体" w:hAnsi="宋体"/>
          <w:szCs w:val="21"/>
        </w:rPr>
      </w:pPr>
      <w:r>
        <w:rPr>
          <w:rFonts w:hint="eastAsia" w:ascii="宋体" w:hAnsi="宋体"/>
          <w:szCs w:val="21"/>
        </w:rPr>
        <w:t xml:space="preserve">1、乙方应按照国家有关法律法规和“三包”规定以及招标文件要求和投标文件的“服务承诺”提供服务。 </w:t>
      </w:r>
    </w:p>
    <w:p>
      <w:pPr>
        <w:pStyle w:val="62"/>
        <w:spacing w:line="500" w:lineRule="exact"/>
        <w:ind w:firstLine="420"/>
        <w:rPr>
          <w:rFonts w:ascii="宋体" w:hAnsi="宋体"/>
          <w:szCs w:val="21"/>
        </w:rPr>
      </w:pPr>
      <w:r>
        <w:rPr>
          <w:rFonts w:hint="eastAsia" w:ascii="宋体" w:hAnsi="宋体"/>
          <w:szCs w:val="21"/>
        </w:rPr>
        <w:t>2、伴随服务</w:t>
      </w:r>
    </w:p>
    <w:p>
      <w:pPr>
        <w:pStyle w:val="62"/>
        <w:spacing w:line="500" w:lineRule="exact"/>
        <w:ind w:firstLine="315" w:firstLineChars="150"/>
        <w:rPr>
          <w:rFonts w:ascii="宋体" w:hAnsi="宋体"/>
          <w:szCs w:val="21"/>
        </w:rPr>
      </w:pPr>
      <w:r>
        <w:rPr>
          <w:rFonts w:hint="eastAsia" w:ascii="宋体" w:hAnsi="宋体"/>
          <w:szCs w:val="21"/>
        </w:rPr>
        <w:t>（1）卖方应随同每套货物提供相应的中文的技术文件。</w:t>
      </w:r>
    </w:p>
    <w:p>
      <w:pPr>
        <w:pStyle w:val="62"/>
        <w:spacing w:line="500" w:lineRule="exact"/>
        <w:ind w:firstLine="420"/>
        <w:rPr>
          <w:rFonts w:ascii="宋体" w:hAnsi="宋体"/>
          <w:szCs w:val="21"/>
        </w:rPr>
      </w:pPr>
      <w:r>
        <w:rPr>
          <w:rFonts w:hint="eastAsia" w:ascii="宋体" w:hAnsi="宋体"/>
          <w:szCs w:val="21"/>
        </w:rPr>
        <w:t>①、完整的操作使用手册和维护、修理技术文件，图纸、保修卡等必须的技术资料。</w:t>
      </w:r>
    </w:p>
    <w:p>
      <w:pPr>
        <w:pStyle w:val="62"/>
        <w:spacing w:line="500" w:lineRule="exact"/>
        <w:ind w:firstLine="420"/>
        <w:rPr>
          <w:rFonts w:ascii="宋体" w:hAnsi="宋体"/>
          <w:szCs w:val="21"/>
        </w:rPr>
      </w:pPr>
      <w:r>
        <w:rPr>
          <w:rFonts w:hint="eastAsia" w:ascii="宋体" w:hAnsi="宋体"/>
          <w:szCs w:val="21"/>
        </w:rPr>
        <w:t>②、制造厂的检验、测试报告、设备检验合格证书，计量合格等级证书，质量保证书等文件须随设备装箱提供。</w:t>
      </w:r>
    </w:p>
    <w:p>
      <w:pPr>
        <w:pStyle w:val="62"/>
        <w:spacing w:line="500" w:lineRule="exact"/>
        <w:ind w:firstLine="420"/>
        <w:rPr>
          <w:rFonts w:ascii="宋体" w:hAnsi="宋体"/>
          <w:szCs w:val="21"/>
        </w:rPr>
      </w:pPr>
      <w:r>
        <w:rPr>
          <w:rFonts w:hint="eastAsia" w:ascii="宋体" w:hAnsi="宋体"/>
          <w:szCs w:val="21"/>
        </w:rPr>
        <w:t>③、必须的其它伴随服务。</w:t>
      </w:r>
    </w:p>
    <w:p>
      <w:pPr>
        <w:pStyle w:val="62"/>
        <w:spacing w:line="500" w:lineRule="exact"/>
        <w:ind w:firstLine="315" w:firstLineChars="150"/>
        <w:rPr>
          <w:rFonts w:ascii="宋体" w:hAnsi="宋体"/>
          <w:szCs w:val="21"/>
        </w:rPr>
      </w:pPr>
      <w:r>
        <w:rPr>
          <w:rFonts w:hint="eastAsia" w:ascii="宋体" w:hAnsi="宋体"/>
          <w:szCs w:val="21"/>
        </w:rPr>
        <w:t>（2）伴随服务的费用已含在合同价中，不单独进行支付。</w:t>
      </w:r>
    </w:p>
    <w:p>
      <w:pPr>
        <w:pStyle w:val="62"/>
        <w:spacing w:before="240" w:beforeLines="100" w:after="240" w:afterLines="100" w:line="500" w:lineRule="exact"/>
        <w:ind w:firstLine="0" w:firstLineChars="0"/>
        <w:rPr>
          <w:rFonts w:ascii="宋体" w:hAnsi="宋体"/>
          <w:b/>
          <w:szCs w:val="21"/>
        </w:rPr>
      </w:pPr>
      <w:r>
        <w:rPr>
          <w:rFonts w:hint="eastAsia" w:ascii="宋体" w:hAnsi="宋体"/>
          <w:b/>
          <w:szCs w:val="21"/>
        </w:rPr>
        <w:t xml:space="preserve">    第十一条 违约责任</w:t>
      </w:r>
    </w:p>
    <w:p>
      <w:pPr>
        <w:pStyle w:val="62"/>
        <w:spacing w:line="500" w:lineRule="exact"/>
        <w:ind w:firstLine="0" w:firstLineChars="0"/>
        <w:rPr>
          <w:rFonts w:ascii="宋体" w:hAnsi="宋体"/>
          <w:szCs w:val="21"/>
        </w:rPr>
      </w:pPr>
      <w:r>
        <w:rPr>
          <w:rFonts w:hint="eastAsia" w:ascii="宋体" w:hAnsi="宋体"/>
          <w:szCs w:val="21"/>
        </w:rPr>
        <w:t xml:space="preserve">    1、甲方违约责任</w:t>
      </w:r>
    </w:p>
    <w:p>
      <w:pPr>
        <w:pStyle w:val="62"/>
        <w:spacing w:line="500" w:lineRule="exact"/>
        <w:ind w:firstLine="420" w:firstLineChars="0"/>
        <w:rPr>
          <w:rFonts w:ascii="宋体" w:hAnsi="宋体"/>
          <w:szCs w:val="21"/>
        </w:rPr>
      </w:pPr>
      <w:r>
        <w:rPr>
          <w:rFonts w:hint="eastAsia" w:ascii="宋体" w:hAnsi="宋体"/>
          <w:szCs w:val="21"/>
        </w:rPr>
        <w:t>（1）甲方无正当理由拒收货物的，甲方应偿付合同总价</w:t>
      </w:r>
      <w:r>
        <w:rPr>
          <w:rFonts w:hint="eastAsia" w:ascii="宋体" w:hAnsi="宋体"/>
          <w:szCs w:val="21"/>
          <w:u w:val="single"/>
        </w:rPr>
        <w:t xml:space="preserve">  </w:t>
      </w:r>
      <w:r>
        <w:rPr>
          <w:rFonts w:hint="eastAsia" w:ascii="宋体" w:hAnsi="宋体"/>
          <w:szCs w:val="21"/>
        </w:rPr>
        <w:t>%的违约金；</w:t>
      </w:r>
    </w:p>
    <w:p>
      <w:pPr>
        <w:pStyle w:val="62"/>
        <w:spacing w:line="500" w:lineRule="exact"/>
        <w:ind w:firstLine="0" w:firstLineChars="0"/>
        <w:rPr>
          <w:rFonts w:ascii="宋体" w:hAnsi="宋体"/>
          <w:szCs w:val="21"/>
        </w:rPr>
      </w:pPr>
      <w:r>
        <w:rPr>
          <w:rFonts w:hint="eastAsia" w:ascii="宋体" w:hAnsi="宋体"/>
          <w:szCs w:val="21"/>
        </w:rPr>
        <w:t xml:space="preserve">    （2）甲方逾期支付货款的，除应及时付足货款外，应向乙方每天支付欠款总额</w:t>
      </w:r>
      <w:r>
        <w:rPr>
          <w:rFonts w:hint="eastAsia" w:ascii="宋体" w:hAnsi="宋体"/>
          <w:szCs w:val="21"/>
          <w:u w:val="single"/>
        </w:rPr>
        <w:t xml:space="preserve">   </w:t>
      </w:r>
      <w:r>
        <w:rPr>
          <w:rFonts w:hint="eastAsia" w:ascii="宋体" w:hAnsi="宋体"/>
          <w:szCs w:val="21"/>
        </w:rPr>
        <w:t>‰的滞纳金；但累计滞纳金总额不超过欠款总额的</w:t>
      </w:r>
      <w:r>
        <w:rPr>
          <w:rFonts w:hint="eastAsia" w:ascii="宋体" w:hAnsi="宋体"/>
          <w:szCs w:val="21"/>
          <w:u w:val="single"/>
        </w:rPr>
        <w:t xml:space="preserve">  </w:t>
      </w:r>
      <w:r>
        <w:rPr>
          <w:rFonts w:hint="eastAsia" w:ascii="宋体" w:hAnsi="宋体"/>
          <w:szCs w:val="21"/>
        </w:rPr>
        <w:t>%。</w:t>
      </w:r>
    </w:p>
    <w:p>
      <w:pPr>
        <w:pStyle w:val="62"/>
        <w:spacing w:line="500" w:lineRule="exact"/>
        <w:ind w:firstLine="0" w:firstLineChars="0"/>
        <w:rPr>
          <w:rFonts w:ascii="宋体" w:hAnsi="宋体"/>
          <w:szCs w:val="21"/>
        </w:rPr>
      </w:pPr>
      <w:r>
        <w:rPr>
          <w:rFonts w:hint="eastAsia" w:ascii="宋体" w:hAnsi="宋体"/>
          <w:szCs w:val="21"/>
        </w:rPr>
        <w:t xml:space="preserve">    2、乙方违约责任</w:t>
      </w:r>
    </w:p>
    <w:p>
      <w:pPr>
        <w:pStyle w:val="62"/>
        <w:spacing w:line="500" w:lineRule="exact"/>
        <w:ind w:firstLine="420"/>
        <w:rPr>
          <w:rFonts w:ascii="宋体" w:hAnsi="宋体"/>
          <w:szCs w:val="21"/>
        </w:rPr>
      </w:pPr>
      <w:r>
        <w:rPr>
          <w:rFonts w:hint="eastAsia" w:ascii="宋体" w:hAnsi="宋体"/>
          <w:szCs w:val="21"/>
        </w:rPr>
        <w:t>（1）如乙方不能交付货物，甲方有权扣留全部履约保证金；同时乙方应向甲方支付合同总价</w:t>
      </w:r>
      <w:r>
        <w:rPr>
          <w:rFonts w:hint="eastAsia" w:ascii="宋体" w:hAnsi="宋体"/>
          <w:szCs w:val="21"/>
          <w:u w:val="single"/>
        </w:rPr>
        <w:t xml:space="preserve">  </w:t>
      </w:r>
      <w:r>
        <w:rPr>
          <w:rFonts w:hint="eastAsia" w:ascii="宋体" w:hAnsi="宋体"/>
          <w:szCs w:val="21"/>
        </w:rPr>
        <w:t>％的违约金。</w:t>
      </w:r>
    </w:p>
    <w:p>
      <w:pPr>
        <w:pStyle w:val="62"/>
        <w:spacing w:line="500" w:lineRule="exact"/>
        <w:ind w:firstLine="420"/>
        <w:rPr>
          <w:rFonts w:ascii="宋体" w:hAnsi="宋体"/>
          <w:szCs w:val="21"/>
        </w:rPr>
      </w:pPr>
      <w:r>
        <w:rPr>
          <w:rFonts w:hint="eastAsia" w:ascii="宋体" w:hAnsi="宋体"/>
          <w:szCs w:val="21"/>
        </w:rPr>
        <w:t>（2）乙方逾期交付货物的，每逾期1天，乙方向甲方偿付逾期交货部分货款总额的</w:t>
      </w:r>
      <w:r>
        <w:rPr>
          <w:rFonts w:hint="eastAsia" w:ascii="宋体" w:hAnsi="宋体"/>
          <w:szCs w:val="21"/>
          <w:u w:val="single"/>
        </w:rPr>
        <w:t xml:space="preserve">   </w:t>
      </w:r>
      <w:r>
        <w:rPr>
          <w:rFonts w:hint="eastAsia" w:ascii="宋体" w:hAnsi="宋体"/>
          <w:szCs w:val="21"/>
        </w:rPr>
        <w:t>‰的滞纳金。如乙方逾期交货达___天，甲方有权解除合同，解除合同的通知自到达乙方时生效。</w:t>
      </w:r>
    </w:p>
    <w:p>
      <w:pPr>
        <w:pStyle w:val="62"/>
        <w:spacing w:line="500" w:lineRule="exact"/>
        <w:ind w:firstLine="420"/>
        <w:rPr>
          <w:rFonts w:ascii="宋体" w:hAnsi="宋体"/>
          <w:szCs w:val="21"/>
        </w:rPr>
      </w:pPr>
      <w:r>
        <w:rPr>
          <w:rFonts w:hint="eastAsia" w:ascii="宋体" w:hAnsi="宋体"/>
          <w:szCs w:val="21"/>
        </w:rPr>
        <w:t>（3）乙方所交付的货物品种、型号、规格不符合合同规定的，甲方有权拒收。甲方拒收的，乙方应向甲方支付货款总额</w:t>
      </w:r>
      <w:r>
        <w:rPr>
          <w:rFonts w:hint="eastAsia" w:ascii="宋体" w:hAnsi="宋体"/>
          <w:szCs w:val="21"/>
          <w:u w:val="single"/>
        </w:rPr>
        <w:t xml:space="preserve">   </w:t>
      </w:r>
      <w:r>
        <w:rPr>
          <w:rFonts w:hint="eastAsia" w:ascii="宋体" w:hAnsi="宋体"/>
          <w:szCs w:val="21"/>
        </w:rPr>
        <w:t>%的违约金。</w:t>
      </w:r>
    </w:p>
    <w:p>
      <w:pPr>
        <w:pStyle w:val="62"/>
        <w:spacing w:line="500" w:lineRule="exact"/>
        <w:ind w:firstLine="420"/>
        <w:rPr>
          <w:rFonts w:ascii="宋体" w:hAnsi="宋体"/>
          <w:szCs w:val="21"/>
        </w:rPr>
      </w:pPr>
      <w:r>
        <w:rPr>
          <w:rFonts w:hint="eastAsia" w:ascii="宋体" w:hAnsi="宋体"/>
          <w:szCs w:val="21"/>
        </w:rPr>
        <w:t>（4）乙方货物经甲方送交具有法定资格条件的质量技术监督机构检测后，如检测结果认定货物质量不符合本合同规定标准的，则视为乙方没有按时交货而违约，乙方须在</w:t>
      </w:r>
      <w:r>
        <w:rPr>
          <w:rFonts w:hint="eastAsia" w:ascii="宋体" w:hAnsi="宋体"/>
          <w:szCs w:val="21"/>
          <w:u w:val="single"/>
        </w:rPr>
        <w:t xml:space="preserve">   </w:t>
      </w:r>
      <w:r>
        <w:rPr>
          <w:rFonts w:hint="eastAsia" w:ascii="宋体" w:hAnsi="宋体"/>
          <w:szCs w:val="21"/>
        </w:rPr>
        <w:t>天内无条件更换合格的货物，如逾期不能更换合格的货物，甲方有权终止本合同，乙方应另向甲方支付货款总额的</w:t>
      </w:r>
      <w:r>
        <w:rPr>
          <w:rFonts w:hint="eastAsia" w:ascii="宋体" w:hAnsi="宋体"/>
          <w:szCs w:val="21"/>
          <w:u w:val="single"/>
        </w:rPr>
        <w:t xml:space="preserve">   </w:t>
      </w:r>
      <w:r>
        <w:rPr>
          <w:rFonts w:hint="eastAsia" w:ascii="宋体" w:hAnsi="宋体"/>
          <w:szCs w:val="21"/>
        </w:rPr>
        <w:t>%的违约金。</w:t>
      </w:r>
    </w:p>
    <w:p>
      <w:pPr>
        <w:pStyle w:val="62"/>
        <w:spacing w:line="500" w:lineRule="exact"/>
        <w:ind w:firstLine="420"/>
        <w:rPr>
          <w:rFonts w:ascii="宋体" w:hAnsi="宋体"/>
          <w:szCs w:val="21"/>
        </w:rPr>
      </w:pPr>
      <w:r>
        <w:rPr>
          <w:rFonts w:hint="eastAsia" w:ascii="宋体" w:hAnsi="宋体"/>
          <w:szCs w:val="21"/>
        </w:rPr>
        <w:t>（5）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pStyle w:val="62"/>
        <w:spacing w:line="500" w:lineRule="exact"/>
        <w:ind w:firstLine="0" w:firstLineChars="0"/>
        <w:rPr>
          <w:rFonts w:ascii="宋体" w:hAnsi="宋体"/>
          <w:szCs w:val="21"/>
        </w:rPr>
      </w:pPr>
      <w:r>
        <w:rPr>
          <w:rFonts w:hint="eastAsia" w:ascii="宋体" w:hAnsi="宋体"/>
          <w:szCs w:val="21"/>
        </w:rPr>
        <w:t xml:space="preserve">    （6）乙方未按本合同第十条的规定向甲方交付履约保证金的，应按应交付履约保证金的</w:t>
      </w:r>
      <w:r>
        <w:rPr>
          <w:rFonts w:hint="eastAsia" w:ascii="宋体" w:hAnsi="宋体"/>
          <w:szCs w:val="21"/>
          <w:u w:val="single"/>
        </w:rPr>
        <w:t xml:space="preserve">  </w:t>
      </w:r>
      <w:r>
        <w:rPr>
          <w:rFonts w:hint="eastAsia" w:ascii="宋体" w:hAnsi="宋体"/>
          <w:szCs w:val="21"/>
        </w:rPr>
        <w:t>%向甲方支付违约金，该违约金的支付不影响乙方应承担的其他违约责任。</w:t>
      </w:r>
    </w:p>
    <w:p>
      <w:pPr>
        <w:pStyle w:val="62"/>
        <w:spacing w:line="500" w:lineRule="exact"/>
        <w:ind w:firstLine="420"/>
        <w:rPr>
          <w:rFonts w:ascii="宋体" w:hAnsi="宋体"/>
          <w:szCs w:val="21"/>
        </w:rPr>
      </w:pPr>
      <w:r>
        <w:rPr>
          <w:rFonts w:hint="eastAsia" w:ascii="宋体" w:hAnsi="宋体"/>
          <w:szCs w:val="21"/>
        </w:rPr>
        <w:t>（7）乙方未按本合同的规定和“服务承诺”提供伴随服务/售后服务的，应按合同总价款的</w:t>
      </w:r>
      <w:r>
        <w:rPr>
          <w:rFonts w:hint="eastAsia" w:ascii="宋体" w:hAnsi="宋体"/>
          <w:szCs w:val="21"/>
          <w:u w:val="single"/>
        </w:rPr>
        <w:t xml:space="preserve">  </w:t>
      </w:r>
      <w:r>
        <w:rPr>
          <w:rFonts w:hint="eastAsia" w:ascii="宋体" w:hAnsi="宋体"/>
          <w:szCs w:val="21"/>
        </w:rPr>
        <w:t>%向甲方承担违约责任。</w:t>
      </w:r>
    </w:p>
    <w:p>
      <w:pPr>
        <w:pStyle w:val="62"/>
        <w:spacing w:line="500" w:lineRule="exact"/>
        <w:ind w:firstLine="420"/>
        <w:rPr>
          <w:rFonts w:ascii="宋体" w:hAnsi="宋体"/>
          <w:szCs w:val="21"/>
        </w:rPr>
      </w:pPr>
      <w:r>
        <w:rPr>
          <w:rFonts w:hint="eastAsia" w:ascii="宋体" w:hAnsi="宋体"/>
          <w:szCs w:val="21"/>
        </w:rPr>
        <w:t>（8）乙方在承担上述1-7款一项或多项违约责任后，仍应继续履行合同规定的义务（甲方解除合同的除外）。甲方未能及时追究乙方的任何一项违约责任并不表明甲方放弃追究乙方该项或其他违约责任。</w:t>
      </w:r>
    </w:p>
    <w:p>
      <w:pPr>
        <w:pStyle w:val="62"/>
        <w:spacing w:line="500" w:lineRule="exact"/>
        <w:ind w:firstLine="315" w:firstLineChars="150"/>
        <w:rPr>
          <w:rFonts w:ascii="宋体" w:hAnsi="宋体"/>
          <w:szCs w:val="21"/>
        </w:rPr>
      </w:pPr>
      <w:r>
        <w:rPr>
          <w:rFonts w:hint="eastAsia" w:ascii="宋体" w:hAnsi="宋体"/>
          <w:szCs w:val="21"/>
        </w:rPr>
        <w:t>（9）乙方偿付的违约金不足以弥补甲方损失的，还应按甲方损失尚未弥补的部分，支付赔偿金给甲方。</w:t>
      </w:r>
    </w:p>
    <w:p>
      <w:pPr>
        <w:pStyle w:val="62"/>
        <w:spacing w:before="240" w:beforeLines="100" w:after="240" w:afterLines="100" w:line="500" w:lineRule="exact"/>
        <w:ind w:firstLine="422"/>
        <w:rPr>
          <w:rFonts w:ascii="宋体" w:hAnsi="宋体"/>
          <w:b/>
          <w:szCs w:val="21"/>
        </w:rPr>
      </w:pPr>
      <w:r>
        <w:rPr>
          <w:rFonts w:hint="eastAsia" w:ascii="宋体" w:hAnsi="宋体"/>
          <w:b/>
          <w:szCs w:val="21"/>
        </w:rPr>
        <w:t>第十二条 合同的变更和终止</w:t>
      </w:r>
    </w:p>
    <w:p>
      <w:pPr>
        <w:widowControl/>
        <w:spacing w:line="500" w:lineRule="exact"/>
        <w:ind w:firstLine="420" w:firstLineChars="200"/>
        <w:jc w:val="left"/>
        <w:rPr>
          <w:rFonts w:ascii="宋体" w:hAnsi="宋体" w:cs="宋体"/>
          <w:szCs w:val="21"/>
        </w:rPr>
      </w:pPr>
      <w:r>
        <w:rPr>
          <w:rFonts w:hint="eastAsia" w:ascii="宋体" w:hAnsi="宋体" w:cs="宋体"/>
          <w:szCs w:val="21"/>
        </w:rPr>
        <w:t>除《政府采购法》第49条、第50条第二款规定的情形外，本合同一经签订，甲乙双方不得擅自变更、中止或终止合同。</w:t>
      </w:r>
    </w:p>
    <w:p>
      <w:pPr>
        <w:widowControl/>
        <w:spacing w:before="100" w:beforeAutospacing="1" w:after="100" w:afterAutospacing="1" w:line="500" w:lineRule="exact"/>
        <w:ind w:firstLine="422" w:firstLineChars="200"/>
        <w:jc w:val="left"/>
        <w:rPr>
          <w:rFonts w:ascii="宋体" w:hAnsi="宋体" w:cs="宋体"/>
          <w:b/>
          <w:szCs w:val="21"/>
        </w:rPr>
      </w:pPr>
      <w:r>
        <w:rPr>
          <w:rFonts w:hint="eastAsia" w:ascii="宋体" w:hAnsi="宋体" w:cs="宋体"/>
          <w:b/>
          <w:szCs w:val="21"/>
        </w:rPr>
        <w:t>第十三条 争议的解决</w:t>
      </w:r>
    </w:p>
    <w:p>
      <w:pPr>
        <w:pStyle w:val="62"/>
        <w:spacing w:line="500" w:lineRule="exact"/>
        <w:ind w:firstLine="420"/>
        <w:rPr>
          <w:rFonts w:ascii="宋体" w:hAnsi="宋体"/>
          <w:szCs w:val="21"/>
        </w:rPr>
      </w:pPr>
      <w:r>
        <w:rPr>
          <w:rFonts w:hint="eastAsia" w:ascii="宋体" w:hAnsi="宋体"/>
          <w:szCs w:val="21"/>
        </w:rPr>
        <w:t>1、因货物的质量问题发生争议，由质量技术监督部门或其指定的质量鉴定机构进行质量鉴定。货物符合标准的，鉴定费由甲方承担；货物不符合质量标准的，鉴定费由乙方承担。</w:t>
      </w:r>
    </w:p>
    <w:p>
      <w:pPr>
        <w:widowControl/>
        <w:spacing w:line="460" w:lineRule="exact"/>
        <w:ind w:firstLine="420"/>
        <w:jc w:val="left"/>
        <w:rPr>
          <w:rFonts w:ascii="宋体" w:hAnsi="宋体" w:cs="宋体"/>
          <w:szCs w:val="21"/>
        </w:rPr>
      </w:pPr>
      <w:r>
        <w:rPr>
          <w:rFonts w:hint="eastAsia" w:ascii="宋体" w:hAnsi="宋体" w:cs="宋体"/>
          <w:szCs w:val="21"/>
        </w:rPr>
        <w:t>2、因履行本合同引起的或与本合同有关的争议，甲、乙双方应首先通过友好协商解决，如果协商不能解决争议，则采取以下第____种方式解决争议：</w:t>
      </w:r>
    </w:p>
    <w:p>
      <w:pPr>
        <w:widowControl/>
        <w:spacing w:line="480" w:lineRule="exact"/>
        <w:ind w:firstLine="420"/>
        <w:jc w:val="left"/>
        <w:rPr>
          <w:rFonts w:ascii="宋体" w:hAnsi="宋体" w:cs="宋体"/>
          <w:szCs w:val="21"/>
        </w:rPr>
      </w:pPr>
      <w:r>
        <w:rPr>
          <w:rFonts w:hint="eastAsia" w:ascii="宋体" w:hAnsi="宋体" w:cs="宋体"/>
          <w:szCs w:val="21"/>
        </w:rPr>
        <w:t>（1）向甲方所在地有管辖权的人民法院提起诉讼；</w:t>
      </w:r>
    </w:p>
    <w:p>
      <w:pPr>
        <w:widowControl/>
        <w:spacing w:line="480" w:lineRule="exact"/>
        <w:ind w:firstLine="420"/>
        <w:jc w:val="left"/>
        <w:rPr>
          <w:rFonts w:ascii="宋体" w:hAnsi="宋体" w:cs="宋体"/>
          <w:szCs w:val="21"/>
        </w:rPr>
      </w:pPr>
      <w:r>
        <w:rPr>
          <w:rFonts w:hint="eastAsia" w:ascii="宋体" w:hAnsi="宋体" w:cs="宋体"/>
          <w:szCs w:val="21"/>
        </w:rPr>
        <w:t>（2）向____________仲裁委员会按其仲裁规则申请仲裁。</w:t>
      </w:r>
    </w:p>
    <w:p>
      <w:pPr>
        <w:widowControl/>
        <w:spacing w:line="480" w:lineRule="exact"/>
        <w:ind w:firstLine="420" w:firstLineChars="200"/>
        <w:jc w:val="left"/>
        <w:rPr>
          <w:rFonts w:ascii="宋体" w:hAnsi="宋体" w:cs="宋体"/>
          <w:szCs w:val="21"/>
        </w:rPr>
      </w:pPr>
      <w:r>
        <w:rPr>
          <w:rFonts w:hint="eastAsia" w:ascii="宋体" w:hAnsi="宋体" w:cs="宋体"/>
          <w:szCs w:val="21"/>
        </w:rPr>
        <w:t>3、在仲裁期间，本合同应继续履行。</w:t>
      </w:r>
    </w:p>
    <w:p>
      <w:pPr>
        <w:widowControl/>
        <w:spacing w:before="100" w:beforeAutospacing="1" w:after="100" w:afterAutospacing="1" w:line="500" w:lineRule="exact"/>
        <w:ind w:firstLine="422" w:firstLineChars="200"/>
        <w:jc w:val="left"/>
        <w:rPr>
          <w:rFonts w:ascii="宋体" w:hAnsi="宋体" w:cs="宋体"/>
          <w:b/>
          <w:szCs w:val="21"/>
        </w:rPr>
      </w:pPr>
      <w:r>
        <w:rPr>
          <w:rFonts w:hint="eastAsia" w:ascii="宋体" w:hAnsi="宋体" w:cs="宋体"/>
          <w:b/>
          <w:szCs w:val="21"/>
        </w:rPr>
        <w:t>第十四条 合同文件</w:t>
      </w:r>
    </w:p>
    <w:p>
      <w:pPr>
        <w:snapToGrid w:val="0"/>
        <w:spacing w:line="480" w:lineRule="exact"/>
        <w:ind w:firstLine="420" w:firstLineChars="200"/>
        <w:rPr>
          <w:rFonts w:ascii="宋体" w:hAnsi="宋体" w:cs="宋体"/>
          <w:szCs w:val="21"/>
        </w:rPr>
      </w:pPr>
      <w:r>
        <w:rPr>
          <w:rFonts w:hint="eastAsia" w:ascii="宋体" w:hAnsi="宋体" w:cs="宋体"/>
          <w:szCs w:val="21"/>
        </w:rPr>
        <w:t>详细技术说明及其他有关合同项目的特定信息由合同附件予以说明，下列文件构成本合同的组成部分，应该认为是一个整体，彼此相互解释，相互补充。组成合同的多个文件的优先支配地位的次序如下：</w:t>
      </w:r>
    </w:p>
    <w:p>
      <w:pPr>
        <w:snapToGrid w:val="0"/>
        <w:spacing w:line="480" w:lineRule="exact"/>
        <w:ind w:firstLine="539"/>
        <w:rPr>
          <w:rFonts w:ascii="宋体" w:hAnsi="宋体" w:cs="宋体"/>
          <w:szCs w:val="21"/>
        </w:rPr>
      </w:pPr>
      <w:r>
        <w:rPr>
          <w:rFonts w:hint="eastAsia" w:ascii="宋体" w:hAnsi="宋体" w:cs="宋体"/>
          <w:szCs w:val="21"/>
        </w:rPr>
        <w:t>1、本合同书</w:t>
      </w:r>
    </w:p>
    <w:p>
      <w:pPr>
        <w:snapToGrid w:val="0"/>
        <w:spacing w:line="480" w:lineRule="exact"/>
        <w:ind w:firstLine="539"/>
        <w:rPr>
          <w:rFonts w:ascii="宋体" w:hAnsi="宋体" w:cs="宋体"/>
          <w:szCs w:val="21"/>
        </w:rPr>
      </w:pPr>
      <w:r>
        <w:rPr>
          <w:rFonts w:hint="eastAsia" w:ascii="宋体" w:hAnsi="宋体" w:cs="宋体"/>
          <w:szCs w:val="21"/>
        </w:rPr>
        <w:t>2、中标通知书</w:t>
      </w:r>
    </w:p>
    <w:p>
      <w:pPr>
        <w:snapToGrid w:val="0"/>
        <w:spacing w:line="480" w:lineRule="exact"/>
        <w:ind w:firstLine="539"/>
        <w:rPr>
          <w:rFonts w:ascii="宋体" w:hAnsi="宋体" w:cs="宋体"/>
          <w:szCs w:val="21"/>
        </w:rPr>
      </w:pPr>
      <w:r>
        <w:rPr>
          <w:rFonts w:hint="eastAsia" w:ascii="宋体" w:hAnsi="宋体" w:cs="宋体"/>
          <w:szCs w:val="21"/>
        </w:rPr>
        <w:t>3、协议</w:t>
      </w:r>
    </w:p>
    <w:p>
      <w:pPr>
        <w:snapToGrid w:val="0"/>
        <w:spacing w:line="480" w:lineRule="exact"/>
        <w:ind w:firstLine="539"/>
        <w:rPr>
          <w:rFonts w:ascii="宋体" w:hAnsi="宋体" w:cs="宋体"/>
          <w:szCs w:val="21"/>
        </w:rPr>
      </w:pPr>
      <w:r>
        <w:rPr>
          <w:rFonts w:hint="eastAsia" w:ascii="宋体" w:hAnsi="宋体" w:cs="宋体"/>
          <w:szCs w:val="21"/>
        </w:rPr>
        <w:t>4、投标文件(含澄清文件)</w:t>
      </w:r>
    </w:p>
    <w:p>
      <w:pPr>
        <w:snapToGrid w:val="0"/>
        <w:spacing w:line="480" w:lineRule="exact"/>
        <w:ind w:firstLine="539"/>
        <w:rPr>
          <w:rFonts w:ascii="宋体" w:hAnsi="宋体" w:cs="宋体"/>
          <w:szCs w:val="21"/>
        </w:rPr>
      </w:pPr>
      <w:r>
        <w:rPr>
          <w:rFonts w:hint="eastAsia" w:ascii="宋体" w:hAnsi="宋体" w:cs="宋体"/>
          <w:szCs w:val="21"/>
        </w:rPr>
        <w:t>5、招标文件(含招标文件补充通知)</w:t>
      </w:r>
    </w:p>
    <w:p>
      <w:pPr>
        <w:widowControl/>
        <w:spacing w:before="100" w:beforeAutospacing="1" w:after="100" w:afterAutospacing="1" w:line="500" w:lineRule="exact"/>
        <w:ind w:firstLine="422" w:firstLineChars="200"/>
        <w:jc w:val="left"/>
        <w:rPr>
          <w:rFonts w:ascii="宋体" w:hAnsi="宋体" w:cs="宋体"/>
          <w:b/>
          <w:szCs w:val="21"/>
        </w:rPr>
      </w:pPr>
      <w:r>
        <w:rPr>
          <w:rFonts w:hint="eastAsia" w:ascii="宋体" w:hAnsi="宋体" w:cs="宋体"/>
          <w:b/>
          <w:szCs w:val="21"/>
        </w:rPr>
        <w:t>第十五条　合同生效及其他</w:t>
      </w:r>
    </w:p>
    <w:p>
      <w:pPr>
        <w:spacing w:line="480" w:lineRule="exact"/>
        <w:ind w:firstLine="420" w:firstLineChars="200"/>
        <w:rPr>
          <w:rFonts w:ascii="宋体" w:hAnsi="宋体" w:cs="宋体"/>
          <w:szCs w:val="21"/>
        </w:rPr>
      </w:pPr>
      <w:r>
        <w:rPr>
          <w:rFonts w:hint="eastAsia" w:ascii="宋体" w:hAnsi="宋体" w:cs="宋体"/>
          <w:szCs w:val="21"/>
        </w:rPr>
        <w:t>1、如有未尽事宜，由双方依法订立补充合同。</w:t>
      </w:r>
    </w:p>
    <w:p>
      <w:pPr>
        <w:spacing w:line="480" w:lineRule="exact"/>
        <w:ind w:firstLine="420" w:firstLineChars="200"/>
        <w:rPr>
          <w:rFonts w:ascii="宋体" w:hAnsi="宋体" w:cs="宋体"/>
          <w:szCs w:val="21"/>
        </w:rPr>
      </w:pPr>
      <w:r>
        <w:rPr>
          <w:rFonts w:hint="eastAsia" w:ascii="宋体" w:hAnsi="宋体" w:cs="宋体"/>
          <w:szCs w:val="21"/>
        </w:rPr>
        <w:t>2、本合同自签订之日起生效。</w:t>
      </w:r>
    </w:p>
    <w:p>
      <w:pPr>
        <w:spacing w:line="480" w:lineRule="exact"/>
        <w:ind w:firstLine="420" w:firstLineChars="200"/>
        <w:rPr>
          <w:rFonts w:ascii="宋体" w:hAnsi="宋体" w:cs="宋体"/>
          <w:szCs w:val="21"/>
        </w:rPr>
      </w:pPr>
      <w:r>
        <w:rPr>
          <w:rFonts w:hint="eastAsia" w:ascii="宋体" w:hAnsi="宋体" w:cs="宋体"/>
          <w:szCs w:val="21"/>
        </w:rPr>
        <w:t>3、本合同一式___份，甲乙双方各执____份，___份报送政府采购监督管理部门备案。</w:t>
      </w:r>
    </w:p>
    <w:p>
      <w:pPr>
        <w:spacing w:line="480" w:lineRule="exact"/>
        <w:rPr>
          <w:rFonts w:ascii="宋体" w:hAnsi="宋体" w:cs="宋体"/>
          <w:szCs w:val="21"/>
        </w:rPr>
      </w:pPr>
    </w:p>
    <w:p>
      <w:pPr>
        <w:spacing w:line="480" w:lineRule="exact"/>
        <w:rPr>
          <w:rFonts w:ascii="宋体" w:hAnsi="宋体" w:cs="宋体"/>
          <w:szCs w:val="21"/>
        </w:rPr>
      </w:pPr>
    </w:p>
    <w:p>
      <w:pPr>
        <w:spacing w:line="480" w:lineRule="exact"/>
        <w:ind w:firstLine="420" w:firstLineChars="200"/>
        <w:rPr>
          <w:rFonts w:ascii="宋体" w:hAnsi="宋体" w:cs="宋体"/>
          <w:szCs w:val="21"/>
        </w:rPr>
      </w:pPr>
      <w:r>
        <w:rPr>
          <w:rFonts w:hint="eastAsia" w:ascii="宋体" w:hAnsi="宋体" w:cs="宋体"/>
          <w:szCs w:val="21"/>
        </w:rPr>
        <w:t xml:space="preserve">甲方：   （盖章）   </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 xml:space="preserve">       乙方：   （盖章）</w:t>
      </w:r>
    </w:p>
    <w:p>
      <w:pPr>
        <w:spacing w:line="480" w:lineRule="exact"/>
        <w:ind w:firstLine="420" w:firstLineChars="200"/>
        <w:rPr>
          <w:rFonts w:ascii="宋体" w:hAnsi="宋体" w:cs="宋体"/>
          <w:szCs w:val="21"/>
        </w:rPr>
      </w:pPr>
      <w:r>
        <w:rPr>
          <w:rFonts w:hint="eastAsia" w:ascii="宋体" w:hAnsi="宋体" w:cs="宋体"/>
          <w:szCs w:val="21"/>
        </w:rPr>
        <w:t>法定代表人（授权代表）：               法定代表人（授权代表）：</w:t>
      </w:r>
    </w:p>
    <w:p>
      <w:pPr>
        <w:spacing w:line="480" w:lineRule="exact"/>
        <w:ind w:firstLine="420" w:firstLineChars="200"/>
        <w:rPr>
          <w:rFonts w:ascii="宋体" w:hAnsi="宋体" w:cs="宋体"/>
          <w:szCs w:val="21"/>
        </w:rPr>
      </w:pPr>
      <w:r>
        <w:rPr>
          <w:rFonts w:hint="eastAsia" w:ascii="宋体" w:hAnsi="宋体" w:cs="宋体"/>
          <w:szCs w:val="21"/>
        </w:rPr>
        <w:t>地    址：                             地    址：</w:t>
      </w:r>
    </w:p>
    <w:p>
      <w:pPr>
        <w:spacing w:line="480" w:lineRule="exact"/>
        <w:ind w:firstLine="420" w:firstLineChars="200"/>
        <w:rPr>
          <w:rFonts w:ascii="宋体" w:hAnsi="宋体" w:cs="宋体"/>
          <w:szCs w:val="21"/>
        </w:rPr>
      </w:pPr>
      <w:r>
        <w:rPr>
          <w:rFonts w:hint="eastAsia" w:ascii="宋体" w:hAnsi="宋体" w:cs="宋体"/>
          <w:szCs w:val="21"/>
        </w:rPr>
        <w:t>开户银行：                             开户银行：</w:t>
      </w:r>
    </w:p>
    <w:p>
      <w:pPr>
        <w:spacing w:line="480" w:lineRule="exact"/>
        <w:ind w:firstLine="420" w:firstLineChars="200"/>
        <w:rPr>
          <w:rFonts w:ascii="宋体" w:hAnsi="宋体" w:cs="宋体"/>
          <w:szCs w:val="21"/>
        </w:rPr>
      </w:pPr>
      <w:r>
        <w:rPr>
          <w:rFonts w:hint="eastAsia" w:ascii="宋体" w:hAnsi="宋体" w:cs="宋体"/>
          <w:szCs w:val="21"/>
        </w:rPr>
        <w:t>账    号：                             账    号：</w:t>
      </w:r>
    </w:p>
    <w:p>
      <w:pPr>
        <w:spacing w:line="480" w:lineRule="exact"/>
        <w:ind w:firstLine="420" w:firstLineChars="200"/>
        <w:rPr>
          <w:rFonts w:ascii="宋体" w:hAnsi="宋体" w:cs="宋体"/>
          <w:szCs w:val="21"/>
        </w:rPr>
      </w:pPr>
      <w:r>
        <w:rPr>
          <w:rFonts w:hint="eastAsia" w:ascii="宋体" w:hAnsi="宋体" w:cs="宋体"/>
          <w:szCs w:val="21"/>
        </w:rPr>
        <w:t>电    话：                             电    话：</w:t>
      </w:r>
    </w:p>
    <w:p>
      <w:pPr>
        <w:spacing w:line="480" w:lineRule="exact"/>
        <w:ind w:firstLine="420" w:firstLineChars="200"/>
        <w:rPr>
          <w:rFonts w:ascii="宋体" w:hAnsi="宋体" w:cs="宋体"/>
          <w:szCs w:val="21"/>
        </w:rPr>
      </w:pPr>
      <w:r>
        <w:rPr>
          <w:rFonts w:hint="eastAsia" w:ascii="宋体" w:hAnsi="宋体" w:cs="宋体"/>
          <w:szCs w:val="21"/>
        </w:rPr>
        <w:t>传    真：                             传    真：</w:t>
      </w:r>
    </w:p>
    <w:p>
      <w:pPr>
        <w:spacing w:line="480" w:lineRule="exact"/>
        <w:ind w:firstLine="420" w:firstLineChars="200"/>
        <w:rPr>
          <w:rFonts w:ascii="宋体" w:hAnsi="宋体" w:cs="宋体"/>
          <w:b/>
          <w:bCs/>
          <w:color w:val="000000"/>
          <w:szCs w:val="21"/>
        </w:rPr>
      </w:pPr>
      <w:r>
        <w:rPr>
          <w:rFonts w:hint="eastAsia" w:ascii="宋体" w:hAnsi="宋体" w:cs="宋体"/>
          <w:szCs w:val="21"/>
        </w:rPr>
        <w:t xml:space="preserve">签约日期：XX年XX月XX日 </w:t>
      </w:r>
      <w:r>
        <w:rPr>
          <w:rFonts w:hint="eastAsia" w:ascii="宋体" w:hAnsi="宋体" w:cs="宋体"/>
          <w:szCs w:val="21"/>
        </w:rPr>
        <w:tab/>
      </w:r>
      <w:r>
        <w:rPr>
          <w:rFonts w:hint="eastAsia" w:ascii="宋体" w:hAnsi="宋体" w:cs="宋体"/>
          <w:szCs w:val="21"/>
        </w:rPr>
        <w:t xml:space="preserve">           签约日期：XX年XX月XX日</w:t>
      </w:r>
    </w:p>
    <w:p>
      <w:pPr>
        <w:pStyle w:val="3"/>
        <w:numPr>
          <w:ilvl w:val="0"/>
          <w:numId w:val="0"/>
        </w:numPr>
        <w:tabs>
          <w:tab w:val="clear" w:pos="324"/>
        </w:tabs>
        <w:rPr>
          <w:rFonts w:hint="eastAsia" w:ascii="宋体" w:hAnsi="宋体" w:eastAsia="宋体" w:cs="宋体"/>
          <w:b/>
          <w:bCs/>
          <w:sz w:val="36"/>
          <w:szCs w:val="36"/>
        </w:rPr>
      </w:pPr>
    </w:p>
    <w:p>
      <w:pPr>
        <w:pStyle w:val="3"/>
        <w:numPr>
          <w:ilvl w:val="0"/>
          <w:numId w:val="0"/>
        </w:numPr>
        <w:tabs>
          <w:tab w:val="clear" w:pos="324"/>
        </w:tabs>
        <w:rPr>
          <w:rFonts w:hint="eastAsia" w:ascii="宋体" w:hAnsi="宋体" w:eastAsia="宋体" w:cs="宋体"/>
          <w:b/>
          <w:bCs/>
          <w:sz w:val="36"/>
          <w:szCs w:val="36"/>
        </w:rPr>
      </w:pPr>
    </w:p>
    <w:p>
      <w:pPr>
        <w:pStyle w:val="3"/>
        <w:numPr>
          <w:ilvl w:val="0"/>
          <w:numId w:val="0"/>
        </w:numPr>
        <w:tabs>
          <w:tab w:val="clear" w:pos="324"/>
        </w:tabs>
        <w:rPr>
          <w:rFonts w:hint="eastAsia" w:ascii="宋体" w:hAnsi="宋体" w:eastAsia="宋体" w:cs="宋体"/>
          <w:b/>
          <w:bCs/>
          <w:sz w:val="36"/>
          <w:szCs w:val="36"/>
        </w:rPr>
      </w:pPr>
    </w:p>
    <w:p>
      <w:pPr>
        <w:pStyle w:val="3"/>
        <w:numPr>
          <w:ilvl w:val="0"/>
          <w:numId w:val="0"/>
        </w:numPr>
        <w:tabs>
          <w:tab w:val="clear" w:pos="324"/>
        </w:tabs>
        <w:rPr>
          <w:rFonts w:hint="eastAsia" w:ascii="宋体" w:hAnsi="宋体" w:eastAsia="宋体" w:cs="宋体"/>
          <w:b/>
          <w:bCs/>
          <w:sz w:val="36"/>
          <w:szCs w:val="36"/>
        </w:rPr>
      </w:pPr>
    </w:p>
    <w:p>
      <w:pPr>
        <w:pStyle w:val="3"/>
        <w:numPr>
          <w:ilvl w:val="0"/>
          <w:numId w:val="0"/>
        </w:numPr>
        <w:tabs>
          <w:tab w:val="clear" w:pos="324"/>
        </w:tabs>
        <w:rPr>
          <w:rFonts w:hint="eastAsia" w:ascii="宋体" w:hAnsi="宋体" w:eastAsia="宋体" w:cs="宋体"/>
          <w:b/>
          <w:bCs/>
          <w:sz w:val="36"/>
          <w:szCs w:val="36"/>
        </w:rPr>
      </w:pPr>
    </w:p>
    <w:p>
      <w:pPr>
        <w:pStyle w:val="3"/>
        <w:numPr>
          <w:ilvl w:val="0"/>
          <w:numId w:val="0"/>
        </w:numPr>
        <w:tabs>
          <w:tab w:val="clear" w:pos="324"/>
        </w:tabs>
        <w:rPr>
          <w:rFonts w:hint="eastAsia" w:ascii="宋体" w:hAnsi="宋体" w:eastAsia="宋体" w:cs="宋体"/>
          <w:b/>
          <w:bCs/>
          <w:sz w:val="36"/>
          <w:szCs w:val="36"/>
        </w:rPr>
      </w:pPr>
    </w:p>
    <w:p>
      <w:pPr>
        <w:pStyle w:val="3"/>
        <w:numPr>
          <w:ilvl w:val="0"/>
          <w:numId w:val="0"/>
        </w:numPr>
        <w:tabs>
          <w:tab w:val="clear" w:pos="324"/>
        </w:tabs>
        <w:rPr>
          <w:rFonts w:hint="eastAsia" w:ascii="宋体" w:hAnsi="宋体" w:eastAsia="宋体" w:cs="宋体"/>
          <w:b/>
          <w:bCs/>
          <w:sz w:val="36"/>
          <w:szCs w:val="36"/>
        </w:rPr>
      </w:pPr>
    </w:p>
    <w:p>
      <w:pPr>
        <w:pStyle w:val="3"/>
        <w:numPr>
          <w:ilvl w:val="0"/>
          <w:numId w:val="0"/>
        </w:numPr>
        <w:tabs>
          <w:tab w:val="clear" w:pos="324"/>
        </w:tabs>
        <w:rPr>
          <w:rFonts w:hint="eastAsia" w:ascii="宋体" w:hAnsi="宋体" w:eastAsia="宋体" w:cs="宋体"/>
          <w:b/>
          <w:bCs/>
          <w:sz w:val="36"/>
          <w:szCs w:val="36"/>
        </w:rPr>
      </w:pPr>
    </w:p>
    <w:p>
      <w:pPr>
        <w:pStyle w:val="3"/>
        <w:numPr>
          <w:ilvl w:val="0"/>
          <w:numId w:val="0"/>
        </w:numPr>
        <w:tabs>
          <w:tab w:val="clear" w:pos="324"/>
        </w:tabs>
        <w:rPr>
          <w:rFonts w:hint="eastAsia" w:ascii="宋体" w:hAnsi="宋体" w:eastAsia="宋体" w:cs="宋体"/>
          <w:b/>
          <w:bCs/>
          <w:sz w:val="36"/>
          <w:szCs w:val="36"/>
        </w:rPr>
      </w:pPr>
    </w:p>
    <w:p>
      <w:pPr>
        <w:pStyle w:val="3"/>
        <w:numPr>
          <w:ilvl w:val="0"/>
          <w:numId w:val="0"/>
        </w:numPr>
        <w:tabs>
          <w:tab w:val="clear" w:pos="324"/>
        </w:tabs>
        <w:rPr>
          <w:rFonts w:hint="eastAsia" w:ascii="宋体" w:hAnsi="宋体" w:eastAsia="宋体" w:cs="宋体"/>
          <w:b/>
          <w:bCs/>
          <w:sz w:val="36"/>
          <w:szCs w:val="36"/>
        </w:rPr>
      </w:pPr>
    </w:p>
    <w:p>
      <w:pPr>
        <w:pStyle w:val="3"/>
        <w:numPr>
          <w:ilvl w:val="0"/>
          <w:numId w:val="0"/>
        </w:numPr>
        <w:tabs>
          <w:tab w:val="clear" w:pos="324"/>
        </w:tabs>
        <w:rPr>
          <w:rFonts w:hint="eastAsia" w:ascii="宋体" w:hAnsi="宋体" w:eastAsia="宋体" w:cs="宋体"/>
          <w:b/>
          <w:bCs/>
          <w:sz w:val="36"/>
          <w:szCs w:val="36"/>
        </w:rPr>
      </w:pPr>
    </w:p>
    <w:p>
      <w:pPr>
        <w:rPr>
          <w:rFonts w:hint="eastAsia" w:ascii="宋体" w:hAnsi="宋体" w:eastAsia="宋体" w:cs="宋体"/>
          <w:b/>
          <w:bCs/>
          <w:sz w:val="36"/>
          <w:szCs w:val="36"/>
        </w:rPr>
      </w:pPr>
    </w:p>
    <w:p>
      <w:pPr>
        <w:pStyle w:val="3"/>
        <w:numPr>
          <w:ilvl w:val="0"/>
          <w:numId w:val="0"/>
        </w:numPr>
        <w:tabs>
          <w:tab w:val="clear" w:pos="324"/>
        </w:tabs>
        <w:rPr>
          <w:rFonts w:hint="eastAsia" w:ascii="宋体" w:hAnsi="宋体" w:eastAsia="宋体" w:cs="宋体"/>
          <w:b/>
          <w:bCs/>
          <w:sz w:val="36"/>
          <w:szCs w:val="36"/>
        </w:rPr>
      </w:pPr>
      <w:bookmarkStart w:id="45" w:name="_Toc8179"/>
    </w:p>
    <w:p>
      <w:pPr>
        <w:pStyle w:val="3"/>
        <w:numPr>
          <w:ilvl w:val="0"/>
          <w:numId w:val="0"/>
        </w:numPr>
        <w:tabs>
          <w:tab w:val="clear" w:pos="324"/>
        </w:tabs>
        <w:rPr>
          <w:rFonts w:hint="eastAsia" w:ascii="宋体" w:hAnsi="宋体" w:eastAsia="宋体" w:cs="宋体"/>
          <w:b/>
          <w:bCs/>
          <w:sz w:val="36"/>
          <w:szCs w:val="36"/>
        </w:rPr>
      </w:pPr>
    </w:p>
    <w:p>
      <w:pPr>
        <w:pStyle w:val="3"/>
        <w:numPr>
          <w:ilvl w:val="0"/>
          <w:numId w:val="0"/>
        </w:numPr>
        <w:tabs>
          <w:tab w:val="clear" w:pos="324"/>
        </w:tabs>
        <w:rPr>
          <w:rFonts w:hint="eastAsia" w:ascii="宋体" w:hAnsi="宋体" w:eastAsia="宋体" w:cs="宋体"/>
          <w:b/>
          <w:bCs/>
          <w:sz w:val="36"/>
          <w:szCs w:val="36"/>
        </w:rPr>
      </w:pPr>
    </w:p>
    <w:p>
      <w:pPr>
        <w:pStyle w:val="3"/>
        <w:numPr>
          <w:ilvl w:val="0"/>
          <w:numId w:val="0"/>
        </w:numPr>
        <w:tabs>
          <w:tab w:val="clear" w:pos="324"/>
        </w:tabs>
        <w:rPr>
          <w:rFonts w:hint="eastAsia" w:ascii="宋体" w:hAnsi="宋体" w:eastAsia="宋体" w:cs="宋体"/>
          <w:b/>
          <w:bCs/>
          <w:sz w:val="36"/>
          <w:szCs w:val="36"/>
        </w:rPr>
      </w:pPr>
    </w:p>
    <w:p>
      <w:pPr>
        <w:pStyle w:val="3"/>
        <w:numPr>
          <w:ilvl w:val="0"/>
          <w:numId w:val="0"/>
        </w:numPr>
        <w:tabs>
          <w:tab w:val="clear" w:pos="324"/>
        </w:tabs>
        <w:rPr>
          <w:rFonts w:hint="eastAsia" w:ascii="宋体" w:hAnsi="宋体" w:eastAsia="宋体" w:cs="宋体"/>
          <w:b/>
          <w:bCs/>
          <w:sz w:val="36"/>
          <w:szCs w:val="36"/>
        </w:rPr>
      </w:pPr>
    </w:p>
    <w:p>
      <w:pPr>
        <w:pStyle w:val="3"/>
        <w:numPr>
          <w:ilvl w:val="0"/>
          <w:numId w:val="0"/>
        </w:numPr>
        <w:tabs>
          <w:tab w:val="clear" w:pos="324"/>
        </w:tabs>
        <w:rPr>
          <w:rFonts w:hint="eastAsia" w:ascii="宋体" w:hAnsi="宋体" w:eastAsia="宋体" w:cs="宋体"/>
          <w:b/>
          <w:bCs/>
          <w:sz w:val="36"/>
          <w:szCs w:val="36"/>
        </w:rPr>
      </w:pPr>
    </w:p>
    <w:p>
      <w:pPr>
        <w:pStyle w:val="3"/>
        <w:numPr>
          <w:ilvl w:val="0"/>
          <w:numId w:val="0"/>
        </w:numPr>
        <w:tabs>
          <w:tab w:val="clear" w:pos="324"/>
        </w:tabs>
        <w:rPr>
          <w:rFonts w:hint="eastAsia" w:ascii="宋体" w:hAnsi="宋体" w:eastAsia="宋体" w:cs="宋体"/>
          <w:b/>
          <w:bCs/>
          <w:sz w:val="36"/>
          <w:szCs w:val="36"/>
        </w:rPr>
      </w:pPr>
    </w:p>
    <w:p>
      <w:pPr>
        <w:pStyle w:val="3"/>
        <w:numPr>
          <w:ilvl w:val="0"/>
          <w:numId w:val="0"/>
        </w:numPr>
        <w:tabs>
          <w:tab w:val="clear" w:pos="324"/>
        </w:tabs>
        <w:rPr>
          <w:rFonts w:hint="eastAsia" w:ascii="宋体" w:hAnsi="宋体" w:eastAsia="宋体" w:cs="宋体"/>
          <w:b/>
          <w:bCs/>
          <w:sz w:val="36"/>
          <w:szCs w:val="36"/>
        </w:rPr>
      </w:pPr>
    </w:p>
    <w:p>
      <w:pPr>
        <w:pStyle w:val="3"/>
        <w:numPr>
          <w:ilvl w:val="0"/>
          <w:numId w:val="0"/>
        </w:numPr>
        <w:tabs>
          <w:tab w:val="clear" w:pos="324"/>
        </w:tabs>
        <w:rPr>
          <w:rFonts w:hint="eastAsia" w:ascii="宋体" w:hAnsi="宋体" w:eastAsia="宋体" w:cs="宋体"/>
          <w:b/>
          <w:bCs/>
          <w:sz w:val="36"/>
          <w:szCs w:val="36"/>
        </w:rPr>
      </w:pPr>
    </w:p>
    <w:p>
      <w:pPr>
        <w:pStyle w:val="3"/>
        <w:numPr>
          <w:ilvl w:val="0"/>
          <w:numId w:val="0"/>
        </w:numPr>
        <w:tabs>
          <w:tab w:val="clear" w:pos="324"/>
        </w:tabs>
        <w:rPr>
          <w:rFonts w:hint="eastAsia" w:ascii="宋体" w:hAnsi="宋体" w:eastAsia="宋体" w:cs="宋体"/>
          <w:b/>
          <w:bCs/>
          <w:sz w:val="36"/>
          <w:szCs w:val="36"/>
        </w:rPr>
      </w:pPr>
    </w:p>
    <w:p>
      <w:pPr>
        <w:pStyle w:val="3"/>
        <w:numPr>
          <w:ilvl w:val="0"/>
          <w:numId w:val="0"/>
        </w:numPr>
        <w:tabs>
          <w:tab w:val="clear" w:pos="324"/>
        </w:tabs>
        <w:rPr>
          <w:rFonts w:hint="eastAsia" w:ascii="宋体" w:hAnsi="宋体" w:eastAsia="宋体" w:cs="宋体"/>
          <w:b/>
          <w:bCs/>
          <w:sz w:val="36"/>
          <w:szCs w:val="36"/>
        </w:rPr>
      </w:pPr>
    </w:p>
    <w:p>
      <w:pPr>
        <w:pStyle w:val="3"/>
        <w:numPr>
          <w:ilvl w:val="0"/>
          <w:numId w:val="0"/>
        </w:numPr>
        <w:tabs>
          <w:tab w:val="clear" w:pos="324"/>
        </w:tabs>
        <w:jc w:val="both"/>
        <w:rPr>
          <w:rFonts w:hint="eastAsia" w:ascii="宋体" w:hAnsi="宋体" w:eastAsia="宋体" w:cs="宋体"/>
          <w:b/>
          <w:bCs/>
          <w:sz w:val="36"/>
          <w:szCs w:val="36"/>
        </w:rPr>
      </w:pPr>
    </w:p>
    <w:p>
      <w:pPr>
        <w:rPr>
          <w:rFonts w:hint="eastAsia"/>
        </w:rPr>
      </w:pPr>
    </w:p>
    <w:p>
      <w:pPr>
        <w:pStyle w:val="2"/>
        <w:numPr>
          <w:ilvl w:val="0"/>
          <w:numId w:val="0"/>
        </w:numPr>
        <w:jc w:val="both"/>
        <w:rPr>
          <w:rFonts w:hint="eastAsia" w:ascii="宋体" w:hAnsi="宋体" w:eastAsia="宋体" w:cs="宋体"/>
          <w:b/>
          <w:bCs/>
          <w:sz w:val="36"/>
          <w:szCs w:val="36"/>
        </w:rPr>
      </w:pPr>
    </w:p>
    <w:p>
      <w:pPr>
        <w:rPr>
          <w:rFonts w:hint="eastAsia" w:ascii="宋体" w:hAnsi="宋体" w:eastAsia="宋体" w:cs="宋体"/>
          <w:b/>
          <w:bCs/>
          <w:sz w:val="36"/>
          <w:szCs w:val="36"/>
        </w:rPr>
      </w:pPr>
    </w:p>
    <w:p>
      <w:pPr>
        <w:pStyle w:val="3"/>
        <w:numPr>
          <w:ilvl w:val="0"/>
          <w:numId w:val="0"/>
        </w:numPr>
        <w:tabs>
          <w:tab w:val="clear" w:pos="324"/>
        </w:tabs>
        <w:jc w:val="center"/>
        <w:rPr>
          <w:rFonts w:ascii="宋体" w:hAnsi="宋体" w:eastAsia="宋体" w:cs="宋体"/>
          <w:b/>
          <w:bCs/>
          <w:sz w:val="36"/>
          <w:szCs w:val="36"/>
        </w:rPr>
      </w:pPr>
      <w:r>
        <w:rPr>
          <w:rFonts w:hint="eastAsia" w:ascii="宋体" w:hAnsi="宋体" w:eastAsia="宋体" w:cs="宋体"/>
          <w:b/>
          <w:bCs/>
          <w:sz w:val="36"/>
          <w:szCs w:val="36"/>
        </w:rPr>
        <w:t>第六章  投标文件格式</w:t>
      </w:r>
      <w:bookmarkEnd w:id="45"/>
    </w:p>
    <w:p/>
    <w:p>
      <w:pPr>
        <w:spacing w:after="360" w:afterLines="150" w:line="900" w:lineRule="exact"/>
        <w:jc w:val="center"/>
        <w:rPr>
          <w:rFonts w:ascii="宋体" w:hAnsi="宋体" w:cs="宋体"/>
          <w:b/>
          <w:sz w:val="36"/>
          <w:szCs w:val="36"/>
        </w:rPr>
      </w:pPr>
      <w:r>
        <w:rPr>
          <w:rFonts w:hint="eastAsia" w:ascii="宋体" w:hAnsi="宋体" w:cs="宋体"/>
          <w:sz w:val="36"/>
        </w:rPr>
        <mc:AlternateContent>
          <mc:Choice Requires="wps">
            <w:drawing>
              <wp:anchor distT="0" distB="0" distL="114300" distR="114300" simplePos="0" relativeHeight="251660288" behindDoc="0" locked="0" layoutInCell="1" allowOverlap="1">
                <wp:simplePos x="0" y="0"/>
                <wp:positionH relativeFrom="column">
                  <wp:posOffset>-19685</wp:posOffset>
                </wp:positionH>
                <wp:positionV relativeFrom="paragraph">
                  <wp:posOffset>45085</wp:posOffset>
                </wp:positionV>
                <wp:extent cx="1641475" cy="499110"/>
                <wp:effectExtent l="7620" t="7620" r="8255" b="26670"/>
                <wp:wrapNone/>
                <wp:docPr id="4" name="自选图形 11"/>
                <wp:cNvGraphicFramePr/>
                <a:graphic xmlns:a="http://schemas.openxmlformats.org/drawingml/2006/main">
                  <a:graphicData uri="http://schemas.microsoft.com/office/word/2010/wordprocessingShape">
                    <wps:wsp>
                      <wps:cNvSpPr/>
                      <wps:spPr>
                        <a:xfrm>
                          <a:off x="0" y="0"/>
                          <a:ext cx="1641475" cy="499110"/>
                        </a:xfrm>
                        <a:prstGeom prst="roundRect">
                          <a:avLst>
                            <a:gd name="adj" fmla="val 16667"/>
                          </a:avLst>
                        </a:prstGeom>
                        <a:solidFill>
                          <a:srgbClr val="EEECE1"/>
                        </a:solidFill>
                        <a:ln w="15875" cap="flat" cmpd="sng">
                          <a:solidFill>
                            <a:srgbClr val="000000"/>
                          </a:solidFill>
                          <a:prstDash val="solid"/>
                          <a:headEnd type="none" w="med" len="med"/>
                          <a:tailEnd type="none" w="med" len="med"/>
                        </a:ln>
                      </wps:spPr>
                      <wps:txbx>
                        <w:txbxContent>
                          <w:p>
                            <w:pPr>
                              <w:rPr>
                                <w:rFonts w:ascii="华文中宋" w:hAnsi="华文中宋" w:eastAsia="华文中宋" w:cs="华文中宋"/>
                                <w:b/>
                                <w:bCs/>
                                <w:sz w:val="36"/>
                                <w:szCs w:val="36"/>
                              </w:rPr>
                            </w:pPr>
                            <w:r>
                              <w:rPr>
                                <w:rFonts w:hint="eastAsia" w:ascii="华文中宋" w:hAnsi="华文中宋" w:eastAsia="华文中宋" w:cs="华文中宋"/>
                                <w:b/>
                                <w:bCs/>
                                <w:sz w:val="36"/>
                                <w:szCs w:val="36"/>
                              </w:rPr>
                              <w:t>政府采购项目</w:t>
                            </w:r>
                          </w:p>
                        </w:txbxContent>
                      </wps:txbx>
                      <wps:bodyPr wrap="square" upright="1"/>
                    </wps:wsp>
                  </a:graphicData>
                </a:graphic>
              </wp:anchor>
            </w:drawing>
          </mc:Choice>
          <mc:Fallback>
            <w:pict>
              <v:roundrect id="自选图形 11" o:spid="_x0000_s1026" o:spt="2" style="position:absolute;left:0pt;margin-left:-1.55pt;margin-top:3.55pt;height:39.3pt;width:129.25pt;z-index:251660288;mso-width-relative:page;mso-height-relative:page;" fillcolor="#EEECE1" filled="t" stroked="t" coordsize="21600,21600" arcsize="0.166666666666667" o:gfxdata="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BkTjl1gAAAAcBAAAPAAAAAAAAAAEAIAAAACIAAABkcnMvZG93bnJldi54bWxQ&#10;SwECFAAUAAAACACHTuJAZyjgnDICAABmBAAADgAAAAAAAAABACAAAAAlAQAAZHJzL2Uyb0RvYy54&#10;bWxQSwUGAAAAAAYABgBZAQAAyQUAAAAA&#10;">
                <v:fill on="t" focussize="0,0"/>
                <v:stroke weight="1.25pt" color="#000000" joinstyle="round"/>
                <v:imagedata o:title=""/>
                <o:lock v:ext="edit" aspectratio="f"/>
                <v:textbox>
                  <w:txbxContent>
                    <w:p>
                      <w:pPr>
                        <w:rPr>
                          <w:rFonts w:ascii="华文中宋" w:hAnsi="华文中宋" w:eastAsia="华文中宋" w:cs="华文中宋"/>
                          <w:b/>
                          <w:bCs/>
                          <w:sz w:val="36"/>
                          <w:szCs w:val="36"/>
                        </w:rPr>
                      </w:pPr>
                      <w:r>
                        <w:rPr>
                          <w:rFonts w:hint="eastAsia" w:ascii="华文中宋" w:hAnsi="华文中宋" w:eastAsia="华文中宋" w:cs="华文中宋"/>
                          <w:b/>
                          <w:bCs/>
                          <w:sz w:val="36"/>
                          <w:szCs w:val="36"/>
                        </w:rPr>
                        <w:t>政府采购项目</w:t>
                      </w:r>
                    </w:p>
                  </w:txbxContent>
                </v:textbox>
              </v:roundrect>
            </w:pict>
          </mc:Fallback>
        </mc:AlternateContent>
      </w:r>
      <w:r>
        <w:rPr>
          <w:rFonts w:hint="eastAsia" w:ascii="宋体" w:hAnsi="宋体" w:cs="宋体"/>
          <w:b/>
          <w:sz w:val="36"/>
          <w:szCs w:val="36"/>
        </w:rPr>
        <w:t xml:space="preserve">                                       【正(副)本】</w:t>
      </w:r>
    </w:p>
    <w:p>
      <w:pPr>
        <w:spacing w:after="360" w:afterLines="150" w:line="900" w:lineRule="exact"/>
        <w:jc w:val="right"/>
        <w:rPr>
          <w:rFonts w:ascii="宋体" w:hAnsi="宋体" w:cs="宋体"/>
          <w:sz w:val="36"/>
          <w:szCs w:val="36"/>
        </w:rPr>
      </w:pPr>
      <w:r>
        <w:rPr>
          <w:rFonts w:hint="eastAsia" w:ascii="宋体" w:hAnsi="宋体" w:cs="宋体"/>
          <w:b/>
          <w:sz w:val="36"/>
          <w:szCs w:val="36"/>
        </w:rPr>
        <w:t>项目编号:DXY2022-0010</w:t>
      </w:r>
    </w:p>
    <w:p>
      <w:pPr>
        <w:spacing w:after="48" w:afterLines="20"/>
        <w:jc w:val="center"/>
        <w:rPr>
          <w:rFonts w:ascii="宋体" w:hAnsi="宋体" w:cs="宋体"/>
          <w:b/>
          <w:sz w:val="72"/>
          <w:szCs w:val="72"/>
        </w:rPr>
      </w:pPr>
      <w:r>
        <w:rPr>
          <w:rFonts w:hint="eastAsia" w:ascii="宋体" w:hAnsi="宋体" w:cs="宋体"/>
          <w:b/>
          <w:sz w:val="72"/>
          <w:szCs w:val="72"/>
        </w:rPr>
        <w:t>恒大小学部室配备采购项目</w:t>
      </w:r>
    </w:p>
    <w:p>
      <w:pPr>
        <w:pStyle w:val="46"/>
        <w:ind w:firstLine="1446"/>
        <w:rPr>
          <w:rFonts w:ascii="宋体" w:hAnsi="宋体" w:cs="宋体"/>
          <w:b/>
          <w:sz w:val="72"/>
          <w:szCs w:val="72"/>
        </w:rPr>
      </w:pPr>
    </w:p>
    <w:p>
      <w:pPr>
        <w:pStyle w:val="46"/>
        <w:ind w:left="0" w:leftChars="0" w:firstLine="0" w:firstLineChars="0"/>
        <w:jc w:val="center"/>
        <w:rPr>
          <w:rFonts w:ascii="宋体" w:hAnsi="宋体" w:cs="宋体"/>
          <w:b/>
          <w:sz w:val="72"/>
          <w:szCs w:val="72"/>
        </w:rPr>
      </w:pPr>
      <w:r>
        <w:rPr>
          <w:rFonts w:hint="eastAsia" w:ascii="宋体" w:hAnsi="宋体" w:cs="宋体"/>
          <w:b/>
          <w:sz w:val="72"/>
          <w:szCs w:val="72"/>
        </w:rPr>
        <w:t>（包号0</w:t>
      </w:r>
      <w:r>
        <w:rPr>
          <w:rFonts w:hint="eastAsia" w:ascii="宋体" w:hAnsi="宋体" w:cs="宋体"/>
          <w:b/>
          <w:sz w:val="72"/>
          <w:szCs w:val="72"/>
          <w:lang w:val="en-US" w:eastAsia="zh-CN"/>
        </w:rPr>
        <w:t>1</w:t>
      </w:r>
      <w:r>
        <w:rPr>
          <w:rFonts w:hint="eastAsia" w:ascii="宋体" w:hAnsi="宋体" w:cs="宋体"/>
          <w:b/>
          <w:sz w:val="72"/>
          <w:szCs w:val="72"/>
        </w:rPr>
        <w:t>）</w:t>
      </w:r>
    </w:p>
    <w:p>
      <w:pPr>
        <w:pStyle w:val="46"/>
        <w:rPr>
          <w:rFonts w:ascii="宋体" w:hAnsi="宋体" w:cs="宋体"/>
        </w:rPr>
      </w:pPr>
    </w:p>
    <w:p>
      <w:pPr>
        <w:spacing w:line="600" w:lineRule="exact"/>
        <w:jc w:val="center"/>
        <w:rPr>
          <w:rFonts w:ascii="宋体" w:hAnsi="宋体" w:cs="宋体"/>
          <w:b/>
          <w:sz w:val="36"/>
        </w:rPr>
      </w:pPr>
    </w:p>
    <w:p>
      <w:pPr>
        <w:spacing w:after="48" w:afterLines="20"/>
        <w:jc w:val="center"/>
        <w:rPr>
          <w:rFonts w:ascii="宋体" w:hAnsi="宋体" w:cs="宋体"/>
          <w:b/>
          <w:sz w:val="104"/>
        </w:rPr>
      </w:pPr>
      <w:r>
        <w:rPr>
          <w:rFonts w:hint="eastAsia" w:ascii="宋体" w:hAnsi="宋体" w:cs="宋体"/>
          <w:b/>
          <w:sz w:val="104"/>
        </w:rPr>
        <w:t>投标文件</w:t>
      </w:r>
    </w:p>
    <w:p>
      <w:pPr>
        <w:rPr>
          <w:rFonts w:ascii="宋体" w:hAnsi="宋体" w:cs="宋体"/>
          <w:b/>
          <w:sz w:val="52"/>
        </w:rPr>
      </w:pPr>
    </w:p>
    <w:p>
      <w:pPr>
        <w:rPr>
          <w:rFonts w:ascii="宋体" w:hAnsi="宋体" w:cs="宋体"/>
          <w:sz w:val="30"/>
        </w:rPr>
      </w:pPr>
      <w:r>
        <w:rPr>
          <w:rFonts w:hint="eastAsia" w:ascii="宋体" w:hAnsi="宋体" w:cs="宋体"/>
          <w:sz w:val="30"/>
        </w:rPr>
        <w:t xml:space="preserve">              </w:t>
      </w:r>
    </w:p>
    <w:p>
      <w:pPr>
        <w:pStyle w:val="46"/>
        <w:rPr>
          <w:rFonts w:ascii="宋体" w:hAnsi="宋体" w:cs="宋体"/>
        </w:rPr>
      </w:pPr>
    </w:p>
    <w:p>
      <w:pPr>
        <w:spacing w:after="192" w:afterLines="80"/>
        <w:ind w:firstLine="1506" w:firstLineChars="500"/>
        <w:rPr>
          <w:rFonts w:ascii="宋体" w:hAnsi="宋体" w:cs="宋体"/>
          <w:b/>
          <w:bCs/>
          <w:sz w:val="30"/>
          <w:u w:val="single"/>
        </w:rPr>
      </w:pPr>
      <w:r>
        <w:rPr>
          <w:rFonts w:hint="eastAsia" w:ascii="宋体" w:hAnsi="宋体" w:cs="宋体"/>
          <w:b/>
          <w:bCs/>
          <w:sz w:val="30"/>
        </w:rPr>
        <w:t>投标人：</w:t>
      </w:r>
      <w:r>
        <w:rPr>
          <w:rFonts w:hint="eastAsia" w:ascii="宋体" w:hAnsi="宋体" w:cs="宋体"/>
          <w:b/>
          <w:bCs/>
          <w:sz w:val="30"/>
          <w:u w:val="single"/>
        </w:rPr>
        <w:t xml:space="preserve">                           </w:t>
      </w:r>
      <w:r>
        <w:rPr>
          <w:rFonts w:hint="eastAsia" w:ascii="宋体" w:hAnsi="宋体" w:cs="宋体"/>
          <w:b/>
          <w:bCs/>
          <w:sz w:val="30"/>
        </w:rPr>
        <w:t>（盖章）</w:t>
      </w:r>
    </w:p>
    <w:p>
      <w:pPr>
        <w:rPr>
          <w:rFonts w:ascii="宋体" w:hAnsi="宋体" w:cs="宋体"/>
          <w:b/>
          <w:bCs/>
          <w:sz w:val="30"/>
        </w:rPr>
      </w:pPr>
      <w:r>
        <w:rPr>
          <w:rFonts w:hint="eastAsia" w:ascii="宋体" w:hAnsi="宋体" w:cs="宋体"/>
          <w:b/>
          <w:bCs/>
          <w:sz w:val="30"/>
        </w:rPr>
        <w:t xml:space="preserve">              </w:t>
      </w:r>
    </w:p>
    <w:p>
      <w:pPr>
        <w:ind w:firstLine="1506" w:firstLineChars="500"/>
        <w:rPr>
          <w:rFonts w:ascii="宋体" w:hAnsi="宋体" w:cs="宋体"/>
          <w:b/>
          <w:bCs/>
          <w:sz w:val="30"/>
        </w:rPr>
      </w:pPr>
      <w:r>
        <w:rPr>
          <w:rFonts w:hint="eastAsia" w:ascii="宋体" w:hAnsi="宋体" w:cs="宋体"/>
          <w:b/>
          <w:bCs/>
          <w:sz w:val="30"/>
        </w:rPr>
        <w:t>法定代表人或其委托代理人：</w:t>
      </w:r>
      <w:r>
        <w:rPr>
          <w:rFonts w:hint="eastAsia" w:ascii="宋体" w:hAnsi="宋体" w:cs="宋体"/>
          <w:b/>
          <w:bCs/>
          <w:sz w:val="30"/>
          <w:u w:val="single"/>
        </w:rPr>
        <w:t xml:space="preserve">         </w:t>
      </w:r>
      <w:r>
        <w:rPr>
          <w:rFonts w:hint="eastAsia" w:ascii="宋体" w:hAnsi="宋体" w:cs="宋体"/>
          <w:b/>
          <w:bCs/>
          <w:sz w:val="30"/>
        </w:rPr>
        <w:t>（盖章或签字）</w:t>
      </w:r>
    </w:p>
    <w:p>
      <w:pPr>
        <w:spacing w:line="400" w:lineRule="exact"/>
        <w:rPr>
          <w:rFonts w:ascii="宋体" w:hAnsi="宋体" w:cs="宋体"/>
          <w:b/>
          <w:bCs/>
          <w:sz w:val="30"/>
        </w:rPr>
      </w:pPr>
    </w:p>
    <w:p>
      <w:pPr>
        <w:spacing w:before="240" w:beforeLines="100"/>
        <w:jc w:val="center"/>
        <w:rPr>
          <w:rFonts w:ascii="宋体" w:hAnsi="宋体" w:cs="宋体"/>
          <w:b/>
          <w:bCs/>
          <w:sz w:val="30"/>
        </w:rPr>
      </w:pPr>
      <w:r>
        <w:rPr>
          <w:rFonts w:hint="eastAsia" w:ascii="宋体" w:hAnsi="宋体" w:cs="宋体"/>
          <w:b/>
          <w:bCs/>
          <w:sz w:val="30"/>
        </w:rPr>
        <w:t xml:space="preserve">   </w:t>
      </w:r>
      <w:r>
        <w:rPr>
          <w:rFonts w:hint="eastAsia" w:ascii="宋体" w:hAnsi="宋体" w:cs="宋体"/>
          <w:b/>
          <w:bCs/>
          <w:sz w:val="30"/>
          <w:u w:val="single"/>
        </w:rPr>
        <w:t xml:space="preserve">        </w:t>
      </w:r>
      <w:r>
        <w:rPr>
          <w:rFonts w:hint="eastAsia" w:ascii="宋体" w:hAnsi="宋体" w:cs="宋体"/>
          <w:b/>
          <w:bCs/>
          <w:sz w:val="30"/>
        </w:rPr>
        <w:t>年</w:t>
      </w:r>
      <w:r>
        <w:rPr>
          <w:rFonts w:hint="eastAsia" w:ascii="宋体" w:hAnsi="宋体" w:cs="宋体"/>
          <w:b/>
          <w:bCs/>
          <w:sz w:val="30"/>
          <w:u w:val="single"/>
        </w:rPr>
        <w:t xml:space="preserve">    </w:t>
      </w:r>
      <w:r>
        <w:rPr>
          <w:rFonts w:hint="eastAsia" w:ascii="宋体" w:hAnsi="宋体" w:cs="宋体"/>
          <w:b/>
          <w:bCs/>
          <w:sz w:val="30"/>
        </w:rPr>
        <w:t>月</w:t>
      </w:r>
      <w:r>
        <w:rPr>
          <w:rFonts w:hint="eastAsia" w:ascii="宋体" w:hAnsi="宋体" w:cs="宋体"/>
          <w:b/>
          <w:bCs/>
          <w:sz w:val="30"/>
          <w:u w:val="single"/>
        </w:rPr>
        <w:t xml:space="preserve">    </w:t>
      </w:r>
      <w:r>
        <w:rPr>
          <w:rFonts w:hint="eastAsia" w:ascii="宋体" w:hAnsi="宋体" w:cs="宋体"/>
          <w:b/>
          <w:bCs/>
          <w:sz w:val="30"/>
        </w:rPr>
        <w:t>日</w:t>
      </w:r>
    </w:p>
    <w:p>
      <w:pPr>
        <w:pStyle w:val="28"/>
      </w:pPr>
    </w:p>
    <w:p>
      <w:pPr>
        <w:spacing w:line="600" w:lineRule="exact"/>
        <w:jc w:val="center"/>
        <w:rPr>
          <w:rFonts w:ascii="宋体" w:hAnsi="宋体" w:cs="宋体"/>
          <w:b/>
          <w:bCs/>
          <w:sz w:val="30"/>
        </w:rPr>
      </w:pPr>
      <w:r>
        <w:rPr>
          <w:rFonts w:hint="eastAsia" w:ascii="宋体" w:hAnsi="宋体" w:cs="宋体"/>
          <w:b/>
          <w:bCs/>
          <w:sz w:val="30"/>
        </w:rPr>
        <w:t>目    录</w:t>
      </w:r>
    </w:p>
    <w:p>
      <w:pPr>
        <w:spacing w:line="600" w:lineRule="exact"/>
        <w:rPr>
          <w:rFonts w:ascii="宋体" w:hAnsi="宋体" w:cs="宋体"/>
          <w:sz w:val="24"/>
        </w:rPr>
      </w:pPr>
    </w:p>
    <w:p>
      <w:pPr>
        <w:spacing w:line="720" w:lineRule="exact"/>
        <w:ind w:firstLine="1680" w:firstLineChars="800"/>
        <w:rPr>
          <w:rFonts w:ascii="宋体" w:hAnsi="宋体" w:cs="宋体"/>
          <w:szCs w:val="21"/>
        </w:rPr>
      </w:pPr>
      <w:r>
        <w:rPr>
          <w:rFonts w:hint="eastAsia" w:ascii="宋体" w:hAnsi="宋体" w:cs="宋体"/>
          <w:szCs w:val="21"/>
        </w:rPr>
        <w:t>一、投标函</w:t>
      </w:r>
    </w:p>
    <w:p>
      <w:pPr>
        <w:spacing w:line="720" w:lineRule="exact"/>
        <w:ind w:firstLine="1680" w:firstLineChars="800"/>
        <w:rPr>
          <w:rFonts w:ascii="宋体" w:hAnsi="宋体" w:cs="宋体"/>
          <w:szCs w:val="21"/>
        </w:rPr>
      </w:pPr>
      <w:r>
        <w:rPr>
          <w:rFonts w:hint="eastAsia" w:ascii="宋体" w:hAnsi="宋体" w:cs="宋体"/>
          <w:szCs w:val="21"/>
        </w:rPr>
        <w:t>二、开标一览表</w:t>
      </w:r>
    </w:p>
    <w:p>
      <w:pPr>
        <w:spacing w:line="720" w:lineRule="exact"/>
        <w:ind w:firstLine="1680" w:firstLineChars="800"/>
        <w:rPr>
          <w:rFonts w:ascii="宋体" w:hAnsi="宋体" w:cs="宋体"/>
          <w:szCs w:val="21"/>
        </w:rPr>
      </w:pPr>
      <w:r>
        <w:rPr>
          <w:rFonts w:hint="eastAsia" w:ascii="宋体" w:hAnsi="宋体" w:cs="宋体"/>
          <w:szCs w:val="21"/>
        </w:rPr>
        <w:t>三、分项报价表</w:t>
      </w:r>
    </w:p>
    <w:p>
      <w:pPr>
        <w:spacing w:line="720" w:lineRule="exact"/>
        <w:ind w:firstLine="1680" w:firstLineChars="800"/>
        <w:rPr>
          <w:rFonts w:ascii="宋体" w:hAnsi="宋体" w:cs="宋体"/>
          <w:color w:val="FF0000"/>
          <w:szCs w:val="21"/>
        </w:rPr>
      </w:pPr>
      <w:r>
        <w:rPr>
          <w:rFonts w:hint="eastAsia" w:ascii="宋体" w:hAnsi="宋体" w:cs="宋体"/>
          <w:szCs w:val="21"/>
        </w:rPr>
        <w:t>四、选配件报价表</w:t>
      </w:r>
    </w:p>
    <w:p>
      <w:pPr>
        <w:spacing w:line="720" w:lineRule="exact"/>
        <w:rPr>
          <w:rFonts w:ascii="宋体" w:hAnsi="宋体" w:cs="宋体"/>
        </w:rPr>
      </w:pPr>
      <w:r>
        <w:rPr>
          <w:rFonts w:hint="eastAsia" w:ascii="宋体" w:hAnsi="宋体" w:cs="宋体"/>
          <w:szCs w:val="21"/>
        </w:rPr>
        <w:t xml:space="preserve">                五、资格文件</w:t>
      </w:r>
    </w:p>
    <w:p>
      <w:pPr>
        <w:spacing w:line="720" w:lineRule="exact"/>
        <w:rPr>
          <w:rFonts w:ascii="宋体" w:hAnsi="宋体" w:cs="宋体"/>
          <w:szCs w:val="21"/>
        </w:rPr>
      </w:pPr>
      <w:r>
        <w:rPr>
          <w:rFonts w:hint="eastAsia" w:ascii="宋体" w:hAnsi="宋体" w:cs="宋体"/>
          <w:szCs w:val="21"/>
        </w:rPr>
        <w:t xml:space="preserve">                六、投标方案说明书</w:t>
      </w:r>
    </w:p>
    <w:p>
      <w:pPr>
        <w:spacing w:line="720" w:lineRule="exact"/>
        <w:rPr>
          <w:rFonts w:ascii="宋体" w:hAnsi="宋体" w:cs="宋体"/>
          <w:szCs w:val="21"/>
        </w:rPr>
      </w:pPr>
      <w:r>
        <w:rPr>
          <w:rFonts w:hint="eastAsia" w:ascii="宋体" w:hAnsi="宋体" w:cs="宋体"/>
          <w:szCs w:val="21"/>
        </w:rPr>
        <w:t xml:space="preserve">                七、投标人认为有必要补充说明的事宜</w:t>
      </w:r>
    </w:p>
    <w:p>
      <w:pPr>
        <w:spacing w:line="720" w:lineRule="exact"/>
        <w:rPr>
          <w:rFonts w:ascii="宋体" w:hAnsi="宋体" w:cs="宋体"/>
          <w:szCs w:val="21"/>
        </w:rPr>
      </w:pPr>
      <w:r>
        <w:rPr>
          <w:rFonts w:hint="eastAsia" w:ascii="宋体" w:hAnsi="宋体" w:cs="宋体"/>
          <w:szCs w:val="21"/>
        </w:rPr>
        <w:t xml:space="preserve">                八、《拒绝政府采购领域商业贿赂承诺书》</w:t>
      </w:r>
    </w:p>
    <w:p>
      <w:pPr>
        <w:pStyle w:val="46"/>
        <w:ind w:left="0" w:leftChars="0" w:firstLine="0" w:firstLineChars="0"/>
      </w:pPr>
      <w:r>
        <w:br w:type="page"/>
      </w:r>
    </w:p>
    <w:p>
      <w:pPr>
        <w:spacing w:line="500" w:lineRule="exact"/>
        <w:jc w:val="center"/>
        <w:rPr>
          <w:rFonts w:ascii="宋体" w:hAnsi="宋体" w:cs="宋体"/>
          <w:b/>
          <w:bCs/>
          <w:color w:val="000000"/>
          <w:sz w:val="36"/>
          <w:szCs w:val="36"/>
        </w:rPr>
      </w:pPr>
      <w:r>
        <w:rPr>
          <w:rFonts w:hint="eastAsia" w:ascii="宋体" w:hAnsi="宋体" w:cs="宋体"/>
          <w:b/>
          <w:bCs/>
          <w:color w:val="000000"/>
          <w:sz w:val="36"/>
          <w:szCs w:val="36"/>
        </w:rPr>
        <w:t>一、投标函</w:t>
      </w:r>
    </w:p>
    <w:p>
      <w:pPr>
        <w:pStyle w:val="21"/>
        <w:spacing w:line="500" w:lineRule="exact"/>
        <w:ind w:firstLine="0"/>
        <w:rPr>
          <w:rFonts w:cs="宋体"/>
          <w:b/>
          <w:bCs/>
          <w:szCs w:val="28"/>
        </w:rPr>
      </w:pPr>
      <w:r>
        <w:rPr>
          <w:rFonts w:hint="eastAsia" w:cs="宋体"/>
          <w:b/>
          <w:bCs/>
          <w:szCs w:val="28"/>
        </w:rPr>
        <w:t>致：陕西鼎祥越工程造价咨询有限公司</w:t>
      </w:r>
    </w:p>
    <w:p>
      <w:pPr>
        <w:pStyle w:val="21"/>
        <w:spacing w:line="400" w:lineRule="exact"/>
        <w:ind w:firstLine="420"/>
        <w:rPr>
          <w:rFonts w:cs="宋体"/>
          <w:bCs/>
          <w:szCs w:val="28"/>
        </w:rPr>
      </w:pPr>
      <w:r>
        <w:rPr>
          <w:rFonts w:hint="eastAsia" w:cs="宋体"/>
          <w:bCs/>
          <w:szCs w:val="28"/>
        </w:rPr>
        <w:t>我方全面研究了“</w:t>
      </w:r>
      <w:r>
        <w:rPr>
          <w:rFonts w:hint="eastAsia" w:cs="宋体"/>
          <w:bCs/>
          <w:szCs w:val="28"/>
          <w:u w:val="single"/>
        </w:rPr>
        <w:t xml:space="preserve">                 </w:t>
      </w:r>
      <w:r>
        <w:rPr>
          <w:rFonts w:hint="eastAsia" w:cs="宋体"/>
          <w:bCs/>
          <w:szCs w:val="28"/>
        </w:rPr>
        <w:t>”采购项目招标文件（DXY2022-0010）的全部内容，知悉参加投标的风险，我方承诺接受招标文件的全部条款且无任何异议，决定参加贵单位组织的本项目招标。我方正式授权</w:t>
      </w:r>
      <w:r>
        <w:rPr>
          <w:rFonts w:hint="eastAsia" w:cs="宋体"/>
          <w:bCs/>
          <w:szCs w:val="28"/>
          <w:u w:val="single"/>
        </w:rPr>
        <w:t xml:space="preserve">       </w:t>
      </w:r>
      <w:r>
        <w:rPr>
          <w:rFonts w:hint="eastAsia" w:cs="宋体"/>
          <w:bCs/>
          <w:szCs w:val="28"/>
        </w:rPr>
        <w:t>（姓名、职务）代表我方</w:t>
      </w:r>
      <w:r>
        <w:rPr>
          <w:rFonts w:hint="eastAsia" w:cs="宋体"/>
          <w:bCs/>
          <w:szCs w:val="28"/>
          <w:u w:val="single"/>
        </w:rPr>
        <w:t xml:space="preserve">         </w:t>
      </w:r>
      <w:r>
        <w:rPr>
          <w:rFonts w:hint="eastAsia" w:cs="宋体"/>
          <w:bCs/>
          <w:szCs w:val="28"/>
        </w:rPr>
        <w:t>（投标单位的名称）全权处理本项目投标的有关事宜。</w:t>
      </w:r>
    </w:p>
    <w:p>
      <w:pPr>
        <w:pStyle w:val="21"/>
        <w:spacing w:line="400" w:lineRule="exact"/>
        <w:ind w:firstLine="420"/>
        <w:rPr>
          <w:rFonts w:cs="宋体"/>
          <w:bCs/>
          <w:szCs w:val="28"/>
        </w:rPr>
      </w:pPr>
      <w:r>
        <w:rPr>
          <w:rFonts w:hint="eastAsia" w:cs="宋体"/>
          <w:bCs/>
          <w:szCs w:val="28"/>
        </w:rPr>
        <w:t>在此，我方郑重声明以下诸点，并负法律责任。</w:t>
      </w:r>
    </w:p>
    <w:p>
      <w:pPr>
        <w:pStyle w:val="21"/>
        <w:spacing w:line="400" w:lineRule="exact"/>
        <w:ind w:firstLine="420"/>
        <w:rPr>
          <w:rFonts w:cs="宋体"/>
          <w:bCs/>
          <w:szCs w:val="28"/>
        </w:rPr>
      </w:pPr>
      <w:r>
        <w:rPr>
          <w:rFonts w:hint="eastAsia" w:cs="宋体"/>
          <w:bCs/>
          <w:szCs w:val="28"/>
        </w:rPr>
        <w:t>1、按照招标文件的规定，我方投标报价为人民币：¥</w:t>
      </w:r>
      <w:r>
        <w:rPr>
          <w:rFonts w:hint="eastAsia" w:cs="宋体"/>
          <w:bCs/>
          <w:szCs w:val="28"/>
          <w:u w:val="single"/>
        </w:rPr>
        <w:t xml:space="preserve">          </w:t>
      </w:r>
      <w:r>
        <w:rPr>
          <w:rFonts w:hint="eastAsia" w:cs="宋体"/>
          <w:bCs/>
          <w:szCs w:val="28"/>
        </w:rPr>
        <w:t>（大写：</w:t>
      </w:r>
      <w:r>
        <w:rPr>
          <w:rFonts w:hint="eastAsia" w:cs="宋体"/>
          <w:bCs/>
          <w:szCs w:val="28"/>
          <w:u w:val="single"/>
        </w:rPr>
        <w:t xml:space="preserve">            </w:t>
      </w:r>
      <w:r>
        <w:rPr>
          <w:rFonts w:hint="eastAsia" w:cs="宋体"/>
          <w:bCs/>
          <w:szCs w:val="28"/>
        </w:rPr>
        <w:t>元）。</w:t>
      </w:r>
    </w:p>
    <w:p>
      <w:pPr>
        <w:pStyle w:val="21"/>
        <w:spacing w:line="400" w:lineRule="exact"/>
        <w:ind w:firstLine="420"/>
        <w:rPr>
          <w:rFonts w:cs="宋体"/>
          <w:bCs/>
          <w:szCs w:val="28"/>
        </w:rPr>
      </w:pPr>
      <w:r>
        <w:rPr>
          <w:rFonts w:hint="eastAsia" w:cs="宋体"/>
          <w:bCs/>
          <w:szCs w:val="28"/>
        </w:rPr>
        <w:t>2、我方为本项目提交的投标文件正本壹份，副本叁份，电子文档壹份。</w:t>
      </w:r>
    </w:p>
    <w:p>
      <w:pPr>
        <w:pStyle w:val="21"/>
        <w:spacing w:line="400" w:lineRule="exact"/>
        <w:ind w:firstLine="420"/>
        <w:rPr>
          <w:rFonts w:cs="宋体"/>
          <w:bCs/>
          <w:szCs w:val="28"/>
        </w:rPr>
      </w:pPr>
      <w:r>
        <w:rPr>
          <w:rFonts w:hint="eastAsia" w:cs="宋体"/>
          <w:bCs/>
          <w:szCs w:val="28"/>
        </w:rPr>
        <w:t>3、如果我方中标，我方根据招标文件的规定，履行合同的责任和义务；</w:t>
      </w:r>
    </w:p>
    <w:p>
      <w:pPr>
        <w:pStyle w:val="21"/>
        <w:spacing w:line="400" w:lineRule="exact"/>
        <w:ind w:firstLine="420" w:firstLineChars="200"/>
        <w:rPr>
          <w:rFonts w:cs="宋体"/>
          <w:bCs/>
          <w:szCs w:val="28"/>
        </w:rPr>
      </w:pPr>
      <w:r>
        <w:rPr>
          <w:rFonts w:hint="eastAsia" w:cs="宋体"/>
          <w:bCs/>
          <w:szCs w:val="28"/>
        </w:rPr>
        <w:t>4、我方已仔细阅读了招标文件的全部内容（含修改部分，如有的话），完全理解并放弃提出含糊不清或易形成歧义的表述和资料，同意和放弃对招标文件不明或误解而询问、质疑和投诉的权利。</w:t>
      </w:r>
    </w:p>
    <w:p>
      <w:pPr>
        <w:pStyle w:val="21"/>
        <w:spacing w:line="400" w:lineRule="exact"/>
        <w:ind w:firstLine="0"/>
        <w:rPr>
          <w:rFonts w:cs="宋体"/>
          <w:bCs/>
          <w:szCs w:val="28"/>
        </w:rPr>
      </w:pPr>
      <w:r>
        <w:rPr>
          <w:rFonts w:hint="eastAsia" w:cs="宋体"/>
          <w:bCs/>
          <w:szCs w:val="28"/>
        </w:rPr>
        <w:t xml:space="preserve">    5、开标后在规定的投标有效期内撤回投标，我们愿接受政府采购的有关处罚决定。</w:t>
      </w:r>
    </w:p>
    <w:p>
      <w:pPr>
        <w:pStyle w:val="21"/>
        <w:spacing w:line="400" w:lineRule="exact"/>
        <w:ind w:firstLine="420"/>
        <w:rPr>
          <w:rFonts w:cs="宋体"/>
          <w:bCs/>
          <w:szCs w:val="28"/>
        </w:rPr>
      </w:pPr>
      <w:r>
        <w:rPr>
          <w:rFonts w:hint="eastAsia" w:cs="宋体"/>
          <w:bCs/>
          <w:szCs w:val="28"/>
        </w:rPr>
        <w:t>6、同意向贵方提供可能要求的，与本次投标有关的任何证据或资料，并保证我方已提供和将要提供的文件资料是真实、准确的，否则，愿承担《中华人民共和国政府采购法》第七十七条规定的法律责任。我们完全理解最低投标报价不作为中标的唯一条件，且尊重评标委员会的评标结论和定标结果。</w:t>
      </w:r>
    </w:p>
    <w:p>
      <w:pPr>
        <w:pStyle w:val="21"/>
        <w:spacing w:line="400" w:lineRule="exact"/>
        <w:ind w:firstLine="0"/>
        <w:rPr>
          <w:rFonts w:cs="宋体"/>
          <w:bCs/>
          <w:szCs w:val="28"/>
        </w:rPr>
      </w:pPr>
      <w:r>
        <w:rPr>
          <w:rFonts w:hint="eastAsia" w:cs="宋体"/>
          <w:bCs/>
          <w:szCs w:val="28"/>
        </w:rPr>
        <w:t xml:space="preserve">    7、我方的投标文件在自开标之日起有效期为90个日历天，若我方中标，投标文件有效期延长至合同执行完毕。</w:t>
      </w:r>
    </w:p>
    <w:p>
      <w:pPr>
        <w:pStyle w:val="21"/>
        <w:spacing w:line="400" w:lineRule="exact"/>
        <w:ind w:firstLine="420"/>
        <w:rPr>
          <w:rFonts w:cs="宋体"/>
          <w:bCs/>
          <w:szCs w:val="28"/>
        </w:rPr>
      </w:pPr>
      <w:r>
        <w:rPr>
          <w:rFonts w:hint="eastAsia" w:cs="宋体"/>
          <w:bCs/>
          <w:szCs w:val="28"/>
        </w:rPr>
        <w:t>8、如果在投标中，我方出现了“投标须知”中第21.4条第4项规定的不予退还保证金的情形，我们的投标保证金贵方不予退还。我方完全理解并同意招标文件中有关不退还投标保证金条款所规定的情形。</w:t>
      </w:r>
    </w:p>
    <w:p>
      <w:pPr>
        <w:pStyle w:val="21"/>
        <w:spacing w:line="400" w:lineRule="exact"/>
        <w:ind w:firstLine="420"/>
        <w:rPr>
          <w:rFonts w:cs="宋体"/>
          <w:bCs/>
          <w:szCs w:val="28"/>
        </w:rPr>
      </w:pPr>
      <w:r>
        <w:rPr>
          <w:rFonts w:hint="eastAsia" w:cs="宋体"/>
          <w:bCs/>
          <w:szCs w:val="28"/>
        </w:rPr>
        <w:t>9、有关本项目的所有函电，请按下列地址联系：</w:t>
      </w:r>
    </w:p>
    <w:p>
      <w:pPr>
        <w:pStyle w:val="21"/>
        <w:spacing w:line="400" w:lineRule="exact"/>
        <w:ind w:firstLine="0"/>
        <w:rPr>
          <w:rFonts w:cs="宋体"/>
          <w:bCs/>
          <w:szCs w:val="28"/>
        </w:rPr>
      </w:pPr>
    </w:p>
    <w:p>
      <w:pPr>
        <w:pStyle w:val="21"/>
        <w:spacing w:line="420" w:lineRule="exact"/>
        <w:ind w:firstLine="0"/>
        <w:rPr>
          <w:rFonts w:cs="宋体"/>
          <w:bCs/>
          <w:szCs w:val="28"/>
        </w:rPr>
      </w:pPr>
      <w:r>
        <w:rPr>
          <w:rFonts w:hint="eastAsia" w:cs="宋体"/>
          <w:bCs/>
          <w:szCs w:val="28"/>
        </w:rPr>
        <w:t xml:space="preserve">                                              投标人名称：</w:t>
      </w:r>
      <w:r>
        <w:rPr>
          <w:rFonts w:hint="eastAsia" w:cs="宋体"/>
          <w:bCs/>
          <w:szCs w:val="28"/>
          <w:u w:val="single"/>
        </w:rPr>
        <w:t xml:space="preserve">                        </w:t>
      </w:r>
      <w:r>
        <w:rPr>
          <w:rFonts w:hint="eastAsia" w:cs="宋体"/>
          <w:bCs/>
          <w:szCs w:val="28"/>
        </w:rPr>
        <w:t>（盖章）</w:t>
      </w:r>
    </w:p>
    <w:p>
      <w:pPr>
        <w:pStyle w:val="21"/>
        <w:spacing w:line="420" w:lineRule="exact"/>
        <w:ind w:firstLine="2520" w:firstLineChars="1200"/>
        <w:rPr>
          <w:rFonts w:cs="宋体"/>
          <w:bCs/>
          <w:szCs w:val="28"/>
          <w:u w:val="single"/>
        </w:rPr>
      </w:pPr>
      <w:r>
        <w:rPr>
          <w:rFonts w:hint="eastAsia" w:cs="宋体"/>
          <w:bCs/>
          <w:szCs w:val="28"/>
        </w:rPr>
        <w:t xml:space="preserve">                      法定代表人或授权代表（盖章或签字）：</w:t>
      </w:r>
      <w:r>
        <w:rPr>
          <w:rFonts w:hint="eastAsia" w:cs="宋体"/>
          <w:bCs/>
          <w:szCs w:val="28"/>
          <w:u w:val="single"/>
        </w:rPr>
        <w:t xml:space="preserve">            </w:t>
      </w:r>
    </w:p>
    <w:p>
      <w:pPr>
        <w:pStyle w:val="21"/>
        <w:spacing w:line="420" w:lineRule="exact"/>
        <w:ind w:firstLine="2520" w:firstLineChars="1200"/>
        <w:rPr>
          <w:rFonts w:cs="宋体"/>
          <w:bCs/>
          <w:szCs w:val="28"/>
          <w:u w:val="single"/>
        </w:rPr>
      </w:pPr>
      <w:r>
        <w:rPr>
          <w:rFonts w:hint="eastAsia" w:cs="宋体"/>
          <w:bCs/>
          <w:szCs w:val="28"/>
        </w:rPr>
        <w:t xml:space="preserve">                      通讯地址：</w:t>
      </w:r>
      <w:r>
        <w:rPr>
          <w:rFonts w:hint="eastAsia" w:cs="宋体"/>
          <w:bCs/>
          <w:szCs w:val="28"/>
          <w:u w:val="single"/>
        </w:rPr>
        <w:t xml:space="preserve">                                </w:t>
      </w:r>
    </w:p>
    <w:p>
      <w:pPr>
        <w:pStyle w:val="21"/>
        <w:spacing w:line="420" w:lineRule="exact"/>
        <w:ind w:firstLine="2520" w:firstLineChars="1200"/>
        <w:rPr>
          <w:rFonts w:cs="宋体"/>
          <w:bCs/>
          <w:szCs w:val="28"/>
          <w:u w:val="single"/>
        </w:rPr>
      </w:pPr>
      <w:r>
        <w:rPr>
          <w:rFonts w:hint="eastAsia" w:cs="宋体"/>
          <w:bCs/>
          <w:szCs w:val="28"/>
        </w:rPr>
        <w:t xml:space="preserve">                      联系电话：</w:t>
      </w:r>
      <w:r>
        <w:rPr>
          <w:rFonts w:hint="eastAsia" w:cs="宋体"/>
          <w:bCs/>
          <w:szCs w:val="28"/>
          <w:u w:val="single"/>
        </w:rPr>
        <w:t xml:space="preserve">                                </w:t>
      </w:r>
    </w:p>
    <w:p>
      <w:pPr>
        <w:pStyle w:val="21"/>
        <w:spacing w:line="420" w:lineRule="exact"/>
        <w:ind w:firstLine="2520" w:firstLineChars="1200"/>
        <w:rPr>
          <w:rFonts w:cs="宋体"/>
          <w:bCs/>
          <w:szCs w:val="28"/>
          <w:u w:val="single"/>
        </w:rPr>
      </w:pPr>
      <w:r>
        <w:rPr>
          <w:rFonts w:hint="eastAsia" w:cs="宋体"/>
          <w:bCs/>
          <w:szCs w:val="28"/>
        </w:rPr>
        <w:t xml:space="preserve">                      传    真：</w:t>
      </w:r>
      <w:r>
        <w:rPr>
          <w:rFonts w:hint="eastAsia" w:cs="宋体"/>
          <w:bCs/>
          <w:szCs w:val="28"/>
          <w:u w:val="single"/>
        </w:rPr>
        <w:t xml:space="preserve">                                </w:t>
      </w:r>
    </w:p>
    <w:p>
      <w:pPr>
        <w:pStyle w:val="21"/>
        <w:spacing w:line="420" w:lineRule="exact"/>
        <w:ind w:firstLine="2520" w:firstLineChars="1200"/>
        <w:rPr>
          <w:rFonts w:cs="宋体"/>
          <w:bCs/>
          <w:szCs w:val="28"/>
          <w:u w:val="single"/>
        </w:rPr>
      </w:pPr>
      <w:r>
        <w:rPr>
          <w:rFonts w:hint="eastAsia" w:cs="宋体"/>
          <w:bCs/>
          <w:szCs w:val="28"/>
        </w:rPr>
        <w:t xml:space="preserve">                      电子邮件：</w:t>
      </w:r>
      <w:r>
        <w:rPr>
          <w:rFonts w:hint="eastAsia" w:cs="宋体"/>
          <w:bCs/>
          <w:szCs w:val="28"/>
          <w:u w:val="single"/>
        </w:rPr>
        <w:t xml:space="preserve">                                </w:t>
      </w:r>
    </w:p>
    <w:p>
      <w:pPr>
        <w:pStyle w:val="21"/>
        <w:spacing w:line="420" w:lineRule="exact"/>
        <w:ind w:firstLine="2520" w:firstLineChars="1200"/>
        <w:rPr>
          <w:rFonts w:cs="宋体"/>
          <w:bCs/>
          <w:szCs w:val="28"/>
          <w:u w:val="single"/>
        </w:rPr>
      </w:pPr>
      <w:r>
        <w:rPr>
          <w:rFonts w:hint="eastAsia" w:cs="宋体"/>
          <w:bCs/>
          <w:szCs w:val="28"/>
        </w:rPr>
        <w:t xml:space="preserve">                      开户银行：</w:t>
      </w:r>
      <w:r>
        <w:rPr>
          <w:rFonts w:hint="eastAsia" w:cs="宋体"/>
          <w:bCs/>
          <w:szCs w:val="28"/>
          <w:u w:val="single"/>
        </w:rPr>
        <w:t xml:space="preserve">                                </w:t>
      </w:r>
    </w:p>
    <w:p>
      <w:pPr>
        <w:pStyle w:val="21"/>
        <w:spacing w:line="420" w:lineRule="exact"/>
        <w:ind w:firstLine="2520" w:firstLineChars="1200"/>
        <w:rPr>
          <w:rFonts w:cs="宋体"/>
          <w:bCs/>
          <w:szCs w:val="28"/>
          <w:u w:val="single"/>
        </w:rPr>
      </w:pPr>
      <w:r>
        <w:rPr>
          <w:rFonts w:hint="eastAsia" w:cs="宋体"/>
          <w:bCs/>
          <w:szCs w:val="28"/>
        </w:rPr>
        <w:t xml:space="preserve">                      帐    号：</w:t>
      </w:r>
      <w:r>
        <w:rPr>
          <w:rFonts w:hint="eastAsia" w:cs="宋体"/>
          <w:bCs/>
          <w:szCs w:val="28"/>
          <w:u w:val="single"/>
        </w:rPr>
        <w:t xml:space="preserve">                                </w:t>
      </w:r>
    </w:p>
    <w:p>
      <w:pPr>
        <w:pStyle w:val="21"/>
        <w:spacing w:line="420" w:lineRule="exact"/>
        <w:ind w:firstLine="2520" w:firstLineChars="1200"/>
        <w:rPr>
          <w:rFonts w:cs="宋体"/>
          <w:bCs/>
          <w:szCs w:val="28"/>
          <w:u w:val="single"/>
        </w:rPr>
      </w:pPr>
      <w:r>
        <w:rPr>
          <w:rFonts w:hint="eastAsia" w:cs="宋体"/>
          <w:bCs/>
          <w:szCs w:val="28"/>
        </w:rPr>
        <w:t xml:space="preserve">                      日    期：</w:t>
      </w:r>
      <w:r>
        <w:rPr>
          <w:rFonts w:hint="eastAsia" w:cs="宋体"/>
          <w:bCs/>
          <w:szCs w:val="28"/>
          <w:u w:val="single"/>
        </w:rPr>
        <w:t xml:space="preserve">                                </w:t>
      </w:r>
    </w:p>
    <w:p>
      <w:pPr>
        <w:spacing w:line="600" w:lineRule="exact"/>
        <w:jc w:val="center"/>
        <w:rPr>
          <w:rFonts w:ascii="宋体" w:hAnsi="宋体" w:cs="宋体"/>
          <w:b/>
          <w:bCs/>
          <w:color w:val="000000"/>
          <w:sz w:val="36"/>
          <w:szCs w:val="36"/>
        </w:rPr>
      </w:pPr>
      <w:r>
        <w:rPr>
          <w:rFonts w:hint="eastAsia" w:ascii="宋体" w:hAnsi="宋体" w:cs="宋体"/>
          <w:b/>
          <w:bCs/>
          <w:color w:val="000000"/>
          <w:sz w:val="36"/>
          <w:szCs w:val="36"/>
        </w:rPr>
        <w:t>二、开标一览表</w:t>
      </w:r>
    </w:p>
    <w:p>
      <w:pPr>
        <w:spacing w:line="560" w:lineRule="exact"/>
        <w:rPr>
          <w:rFonts w:ascii="宋体" w:hAnsi="宋体" w:cs="宋体"/>
          <w:szCs w:val="21"/>
          <w:u w:val="single"/>
        </w:rPr>
      </w:pPr>
      <w:r>
        <w:rPr>
          <w:rFonts w:hint="eastAsia" w:ascii="宋体" w:hAnsi="宋体" w:cs="宋体"/>
          <w:szCs w:val="21"/>
        </w:rPr>
        <w:t>投标人名称：</w:t>
      </w:r>
      <w:r>
        <w:rPr>
          <w:rFonts w:hint="eastAsia" w:ascii="宋体" w:hAnsi="宋体" w:cs="宋体"/>
          <w:szCs w:val="21"/>
          <w:u w:val="single"/>
        </w:rPr>
        <w:t xml:space="preserve">                         </w:t>
      </w:r>
    </w:p>
    <w:tbl>
      <w:tblPr>
        <w:tblStyle w:val="37"/>
        <w:tblW w:w="940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38"/>
        <w:gridCol w:w="955"/>
        <w:gridCol w:w="2175"/>
        <w:gridCol w:w="2085"/>
        <w:gridCol w:w="204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138" w:type="dxa"/>
            <w:tcBorders>
              <w:tl2br w:val="nil"/>
              <w:tr2bl w:val="nil"/>
            </w:tcBorders>
            <w:vAlign w:val="center"/>
          </w:tcPr>
          <w:p>
            <w:pPr>
              <w:spacing w:line="480" w:lineRule="exact"/>
              <w:ind w:right="143" w:rightChars="68"/>
              <w:jc w:val="center"/>
              <w:rPr>
                <w:rFonts w:ascii="宋体" w:hAnsi="宋体" w:cs="宋体"/>
                <w:b/>
                <w:szCs w:val="21"/>
              </w:rPr>
            </w:pPr>
            <w:r>
              <w:rPr>
                <w:rFonts w:hint="eastAsia" w:ascii="宋体" w:hAnsi="宋体" w:cs="宋体"/>
                <w:b/>
                <w:szCs w:val="21"/>
              </w:rPr>
              <w:t>项目编号</w:t>
            </w:r>
          </w:p>
        </w:tc>
        <w:tc>
          <w:tcPr>
            <w:tcW w:w="3130" w:type="dxa"/>
            <w:gridSpan w:val="2"/>
            <w:tcBorders>
              <w:tl2br w:val="nil"/>
              <w:tr2bl w:val="nil"/>
            </w:tcBorders>
            <w:vAlign w:val="center"/>
          </w:tcPr>
          <w:p>
            <w:pPr>
              <w:spacing w:line="480" w:lineRule="exact"/>
              <w:jc w:val="center"/>
              <w:rPr>
                <w:rFonts w:ascii="宋体" w:hAnsi="宋体" w:cs="宋体"/>
                <w:b/>
                <w:szCs w:val="21"/>
              </w:rPr>
            </w:pPr>
            <w:r>
              <w:rPr>
                <w:rFonts w:hint="eastAsia" w:ascii="宋体" w:hAnsi="宋体" w:cs="宋体"/>
                <w:b/>
                <w:szCs w:val="21"/>
              </w:rPr>
              <w:t>投标报价</w:t>
            </w:r>
          </w:p>
          <w:p>
            <w:pPr>
              <w:spacing w:line="480" w:lineRule="exact"/>
              <w:jc w:val="center"/>
              <w:rPr>
                <w:rFonts w:ascii="宋体" w:hAnsi="宋体" w:cs="宋体"/>
                <w:b/>
                <w:szCs w:val="21"/>
              </w:rPr>
            </w:pPr>
            <w:r>
              <w:rPr>
                <w:rFonts w:hint="eastAsia" w:ascii="宋体" w:hAnsi="宋体" w:cs="宋体"/>
                <w:b/>
                <w:szCs w:val="21"/>
              </w:rPr>
              <w:t>（人民币:元）</w:t>
            </w:r>
          </w:p>
        </w:tc>
        <w:tc>
          <w:tcPr>
            <w:tcW w:w="2085" w:type="dxa"/>
            <w:tcBorders>
              <w:tl2br w:val="nil"/>
              <w:tr2bl w:val="nil"/>
            </w:tcBorders>
            <w:vAlign w:val="center"/>
          </w:tcPr>
          <w:p>
            <w:pPr>
              <w:spacing w:line="480" w:lineRule="exact"/>
              <w:jc w:val="center"/>
              <w:rPr>
                <w:rFonts w:ascii="宋体" w:hAnsi="宋体" w:cs="宋体"/>
                <w:b/>
                <w:szCs w:val="21"/>
              </w:rPr>
            </w:pPr>
            <w:r>
              <w:rPr>
                <w:rFonts w:hint="eastAsia" w:ascii="宋体" w:hAnsi="宋体" w:cs="宋体"/>
                <w:b/>
                <w:szCs w:val="21"/>
              </w:rPr>
              <w:t>交货期</w:t>
            </w:r>
          </w:p>
          <w:p>
            <w:pPr>
              <w:spacing w:line="480" w:lineRule="exact"/>
              <w:jc w:val="center"/>
              <w:rPr>
                <w:rFonts w:ascii="宋体" w:hAnsi="宋体" w:cs="宋体"/>
                <w:b/>
                <w:szCs w:val="21"/>
              </w:rPr>
            </w:pPr>
            <w:r>
              <w:rPr>
                <w:rFonts w:hint="eastAsia" w:ascii="宋体" w:hAnsi="宋体" w:cs="宋体"/>
                <w:b/>
                <w:szCs w:val="21"/>
              </w:rPr>
              <w:t>（日历日）</w:t>
            </w:r>
          </w:p>
        </w:tc>
        <w:tc>
          <w:tcPr>
            <w:tcW w:w="2048" w:type="dxa"/>
            <w:tcBorders>
              <w:tl2br w:val="nil"/>
              <w:tr2bl w:val="nil"/>
            </w:tcBorders>
            <w:vAlign w:val="center"/>
          </w:tcPr>
          <w:p>
            <w:pPr>
              <w:spacing w:line="480" w:lineRule="exact"/>
              <w:jc w:val="center"/>
              <w:rPr>
                <w:rFonts w:ascii="宋体" w:hAnsi="宋体" w:cs="宋体"/>
                <w:b/>
                <w:szCs w:val="21"/>
              </w:rPr>
            </w:pPr>
            <w:r>
              <w:rPr>
                <w:rFonts w:hint="eastAsia" w:ascii="宋体" w:hAnsi="宋体" w:cs="宋体"/>
                <w:b/>
                <w:szCs w:val="21"/>
              </w:rPr>
              <w:t>质保期</w:t>
            </w:r>
          </w:p>
          <w:p>
            <w:pPr>
              <w:spacing w:line="480" w:lineRule="exact"/>
              <w:jc w:val="center"/>
              <w:rPr>
                <w:rFonts w:ascii="宋体" w:hAnsi="宋体" w:cs="宋体"/>
                <w:b/>
                <w:szCs w:val="21"/>
              </w:rPr>
            </w:pPr>
            <w:r>
              <w:rPr>
                <w:rFonts w:hint="eastAsia" w:ascii="宋体" w:hAnsi="宋体" w:cs="宋体"/>
                <w:b/>
                <w:szCs w:val="21"/>
              </w:rPr>
              <w:t>（月）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2138" w:type="dxa"/>
            <w:vMerge w:val="restart"/>
            <w:tcBorders>
              <w:tl2br w:val="nil"/>
              <w:tr2bl w:val="nil"/>
            </w:tcBorders>
            <w:vAlign w:val="center"/>
          </w:tcPr>
          <w:p>
            <w:pPr>
              <w:spacing w:line="560" w:lineRule="exact"/>
              <w:jc w:val="center"/>
              <w:rPr>
                <w:rFonts w:ascii="宋体" w:hAnsi="宋体" w:cs="宋体"/>
                <w:szCs w:val="21"/>
              </w:rPr>
            </w:pPr>
            <w:r>
              <w:rPr>
                <w:rFonts w:hint="eastAsia" w:ascii="宋体" w:hAnsi="宋体" w:cs="宋体"/>
                <w:szCs w:val="21"/>
              </w:rPr>
              <w:t>DXY2022-0010</w:t>
            </w:r>
          </w:p>
        </w:tc>
        <w:tc>
          <w:tcPr>
            <w:tcW w:w="955" w:type="dxa"/>
            <w:tcBorders>
              <w:tl2br w:val="nil"/>
              <w:tr2bl w:val="nil"/>
            </w:tcBorders>
            <w:vAlign w:val="center"/>
          </w:tcPr>
          <w:p>
            <w:pPr>
              <w:spacing w:line="560" w:lineRule="exact"/>
              <w:jc w:val="center"/>
              <w:rPr>
                <w:rFonts w:ascii="宋体" w:hAnsi="宋体" w:cs="宋体"/>
                <w:szCs w:val="21"/>
              </w:rPr>
            </w:pPr>
            <w:r>
              <w:rPr>
                <w:rFonts w:hint="eastAsia" w:ascii="宋体" w:hAnsi="宋体" w:cs="宋体"/>
                <w:szCs w:val="21"/>
              </w:rPr>
              <w:t>小写</w:t>
            </w:r>
          </w:p>
        </w:tc>
        <w:tc>
          <w:tcPr>
            <w:tcW w:w="2175" w:type="dxa"/>
            <w:tcBorders>
              <w:tl2br w:val="nil"/>
              <w:tr2bl w:val="nil"/>
            </w:tcBorders>
            <w:vAlign w:val="center"/>
          </w:tcPr>
          <w:p>
            <w:pPr>
              <w:spacing w:line="560" w:lineRule="exact"/>
              <w:rPr>
                <w:rFonts w:ascii="宋体" w:hAnsi="宋体" w:cs="宋体"/>
                <w:szCs w:val="21"/>
              </w:rPr>
            </w:pPr>
            <w:r>
              <w:rPr>
                <w:rFonts w:hint="eastAsia" w:ascii="宋体" w:hAnsi="宋体" w:cs="宋体"/>
                <w:szCs w:val="21"/>
              </w:rPr>
              <w:t>¥</w:t>
            </w:r>
          </w:p>
        </w:tc>
        <w:tc>
          <w:tcPr>
            <w:tcW w:w="2085" w:type="dxa"/>
            <w:tcBorders>
              <w:tl2br w:val="nil"/>
              <w:tr2bl w:val="nil"/>
            </w:tcBorders>
            <w:vAlign w:val="center"/>
          </w:tcPr>
          <w:p>
            <w:pPr>
              <w:spacing w:line="560" w:lineRule="exact"/>
              <w:jc w:val="center"/>
              <w:rPr>
                <w:rFonts w:ascii="宋体" w:hAnsi="宋体" w:cs="宋体"/>
                <w:szCs w:val="21"/>
              </w:rPr>
            </w:pPr>
          </w:p>
        </w:tc>
        <w:tc>
          <w:tcPr>
            <w:tcW w:w="2048" w:type="dxa"/>
            <w:tcBorders>
              <w:tl2br w:val="nil"/>
              <w:tr2bl w:val="nil"/>
            </w:tcBorders>
            <w:vAlign w:val="center"/>
          </w:tcPr>
          <w:p>
            <w:pPr>
              <w:spacing w:line="560" w:lineRule="exact"/>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2138" w:type="dxa"/>
            <w:vMerge w:val="continue"/>
            <w:tcBorders>
              <w:tl2br w:val="nil"/>
              <w:tr2bl w:val="nil"/>
            </w:tcBorders>
            <w:vAlign w:val="center"/>
          </w:tcPr>
          <w:p>
            <w:pPr>
              <w:spacing w:line="560" w:lineRule="exact"/>
              <w:jc w:val="center"/>
              <w:rPr>
                <w:rFonts w:ascii="宋体" w:hAnsi="宋体" w:cs="宋体"/>
                <w:szCs w:val="21"/>
              </w:rPr>
            </w:pPr>
          </w:p>
        </w:tc>
        <w:tc>
          <w:tcPr>
            <w:tcW w:w="955" w:type="dxa"/>
            <w:tcBorders>
              <w:tl2br w:val="nil"/>
              <w:tr2bl w:val="nil"/>
            </w:tcBorders>
            <w:vAlign w:val="center"/>
          </w:tcPr>
          <w:p>
            <w:pPr>
              <w:spacing w:line="560" w:lineRule="exact"/>
              <w:jc w:val="center"/>
              <w:rPr>
                <w:rFonts w:ascii="宋体" w:hAnsi="宋体" w:cs="宋体"/>
                <w:szCs w:val="21"/>
              </w:rPr>
            </w:pPr>
            <w:r>
              <w:rPr>
                <w:rFonts w:hint="eastAsia" w:ascii="宋体" w:hAnsi="宋体" w:cs="宋体"/>
                <w:szCs w:val="21"/>
              </w:rPr>
              <w:t>大写</w:t>
            </w:r>
          </w:p>
        </w:tc>
        <w:tc>
          <w:tcPr>
            <w:tcW w:w="6308" w:type="dxa"/>
            <w:gridSpan w:val="3"/>
            <w:tcBorders>
              <w:tl2br w:val="nil"/>
              <w:tr2bl w:val="nil"/>
            </w:tcBorders>
            <w:vAlign w:val="center"/>
          </w:tcPr>
          <w:p>
            <w:pPr>
              <w:spacing w:line="560" w:lineRule="exact"/>
              <w:jc w:val="center"/>
              <w:rPr>
                <w:rFonts w:ascii="宋体" w:hAnsi="宋体" w:cs="宋体"/>
                <w:szCs w:val="21"/>
              </w:rPr>
            </w:pPr>
          </w:p>
        </w:tc>
      </w:tr>
    </w:tbl>
    <w:p>
      <w:pPr>
        <w:spacing w:line="560" w:lineRule="exact"/>
        <w:rPr>
          <w:rFonts w:ascii="宋体" w:hAnsi="宋体" w:cs="宋体"/>
          <w:szCs w:val="21"/>
        </w:rPr>
      </w:pPr>
      <w:r>
        <w:rPr>
          <w:rFonts w:hint="eastAsia" w:ascii="宋体" w:hAnsi="宋体" w:cs="宋体"/>
          <w:szCs w:val="21"/>
        </w:rPr>
        <w:t>注：1、本表价格应按投标总价填写，精确到小数点后两位，大小写不一致时，以大写为准。</w:t>
      </w:r>
    </w:p>
    <w:p>
      <w:pPr>
        <w:spacing w:line="560" w:lineRule="exact"/>
        <w:rPr>
          <w:rFonts w:ascii="宋体" w:hAnsi="宋体" w:cs="宋体"/>
          <w:szCs w:val="21"/>
        </w:rPr>
      </w:pPr>
      <w:r>
        <w:rPr>
          <w:rFonts w:hint="eastAsia" w:ascii="宋体" w:hAnsi="宋体" w:cs="宋体"/>
          <w:szCs w:val="21"/>
        </w:rPr>
        <w:t xml:space="preserve">    2、“开标一览表以包为单位填写”。</w:t>
      </w:r>
    </w:p>
    <w:p>
      <w:pPr>
        <w:spacing w:line="560" w:lineRule="exact"/>
        <w:ind w:firstLine="420"/>
        <w:rPr>
          <w:rFonts w:ascii="宋体" w:hAnsi="宋体" w:cs="宋体"/>
          <w:szCs w:val="21"/>
        </w:rPr>
      </w:pPr>
      <w:r>
        <w:rPr>
          <w:rFonts w:hint="eastAsia" w:ascii="宋体" w:hAnsi="宋体" w:cs="宋体"/>
          <w:szCs w:val="21"/>
        </w:rPr>
        <w:t>3、本表所列各项数据与投标文件其他地方表述不一致时，以本表为准。</w:t>
      </w:r>
    </w:p>
    <w:p>
      <w:pPr>
        <w:pStyle w:val="46"/>
        <w:ind w:left="0" w:leftChars="0"/>
      </w:pPr>
    </w:p>
    <w:p>
      <w:pPr>
        <w:pStyle w:val="46"/>
        <w:ind w:left="0" w:leftChars="0"/>
      </w:pPr>
    </w:p>
    <w:p>
      <w:pPr>
        <w:pStyle w:val="21"/>
      </w:pPr>
    </w:p>
    <w:p>
      <w:pPr>
        <w:pStyle w:val="21"/>
        <w:rPr>
          <w:rFonts w:cs="宋体"/>
          <w:b/>
        </w:rPr>
      </w:pPr>
      <w:r>
        <w:rPr>
          <w:rFonts w:hint="eastAsia" w:cs="宋体"/>
        </w:rPr>
        <w:t xml:space="preserve">                                            投标人：</w:t>
      </w:r>
      <w:r>
        <w:rPr>
          <w:rFonts w:hint="eastAsia" w:cs="宋体"/>
          <w:u w:val="single"/>
        </w:rPr>
        <w:t xml:space="preserve">               （单位全称、盖章）  </w:t>
      </w:r>
    </w:p>
    <w:p>
      <w:pPr>
        <w:pStyle w:val="21"/>
        <w:rPr>
          <w:rFonts w:cs="宋体"/>
          <w:b/>
        </w:rPr>
      </w:pPr>
      <w:r>
        <w:rPr>
          <w:rFonts w:hint="eastAsia" w:cs="宋体"/>
        </w:rPr>
        <w:t xml:space="preserve">                                            法定代表人或授权代表：</w:t>
      </w:r>
      <w:r>
        <w:rPr>
          <w:rFonts w:hint="eastAsia" w:cs="宋体"/>
          <w:u w:val="single"/>
        </w:rPr>
        <w:t xml:space="preserve">     （盖章或签字）   </w:t>
      </w:r>
    </w:p>
    <w:p>
      <w:pPr>
        <w:pStyle w:val="21"/>
        <w:rPr>
          <w:rFonts w:cs="宋体"/>
          <w:b/>
          <w:bCs/>
        </w:rPr>
      </w:pPr>
      <w:r>
        <w:rPr>
          <w:rFonts w:hint="eastAsia" w:cs="宋体"/>
        </w:rPr>
        <w:t xml:space="preserve">                                            投标日期：</w:t>
      </w:r>
      <w:r>
        <w:rPr>
          <w:rFonts w:hint="eastAsia" w:cs="宋体"/>
          <w:u w:val="single"/>
        </w:rPr>
        <w:t xml:space="preserve">        </w:t>
      </w:r>
      <w:r>
        <w:rPr>
          <w:rFonts w:hint="eastAsia" w:cs="宋体"/>
        </w:rPr>
        <w:t>年</w:t>
      </w:r>
      <w:r>
        <w:rPr>
          <w:rFonts w:hint="eastAsia" w:cs="宋体"/>
          <w:u w:val="single"/>
        </w:rPr>
        <w:t xml:space="preserve">    </w:t>
      </w:r>
      <w:r>
        <w:rPr>
          <w:rFonts w:hint="eastAsia" w:cs="宋体"/>
        </w:rPr>
        <w:t>月</w:t>
      </w:r>
      <w:r>
        <w:rPr>
          <w:rFonts w:hint="eastAsia" w:cs="宋体"/>
          <w:u w:val="single"/>
        </w:rPr>
        <w:t xml:space="preserve">    </w:t>
      </w:r>
      <w:r>
        <w:rPr>
          <w:rFonts w:hint="eastAsia" w:cs="宋体"/>
        </w:rPr>
        <w:t>日</w:t>
      </w:r>
    </w:p>
    <w:p>
      <w:pPr>
        <w:pStyle w:val="21"/>
      </w:pPr>
    </w:p>
    <w:p>
      <w:pPr>
        <w:pStyle w:val="21"/>
      </w:pPr>
    </w:p>
    <w:p>
      <w:pPr>
        <w:pStyle w:val="63"/>
        <w:ind w:firstLine="360"/>
      </w:pPr>
    </w:p>
    <w:p>
      <w:pPr>
        <w:pStyle w:val="63"/>
        <w:ind w:firstLine="360"/>
      </w:pPr>
      <w:r>
        <w:br w:type="page"/>
      </w:r>
    </w:p>
    <w:p>
      <w:pPr>
        <w:numPr>
          <w:ilvl w:val="0"/>
          <w:numId w:val="14"/>
        </w:numPr>
        <w:spacing w:line="560" w:lineRule="exact"/>
        <w:jc w:val="center"/>
        <w:rPr>
          <w:rFonts w:ascii="宋体" w:hAnsi="宋体" w:cs="宋体"/>
          <w:b/>
          <w:bCs/>
          <w:color w:val="000000"/>
          <w:sz w:val="36"/>
          <w:szCs w:val="36"/>
        </w:rPr>
      </w:pPr>
      <w:r>
        <w:rPr>
          <w:rFonts w:hint="eastAsia" w:ascii="宋体" w:hAnsi="宋体" w:cs="宋体"/>
          <w:b/>
          <w:bCs/>
          <w:color w:val="000000"/>
          <w:sz w:val="36"/>
          <w:szCs w:val="36"/>
        </w:rPr>
        <w:t>分项报价表</w:t>
      </w:r>
    </w:p>
    <w:p>
      <w:pPr>
        <w:spacing w:line="560" w:lineRule="exact"/>
        <w:rPr>
          <w:rFonts w:ascii="宋体" w:hAnsi="宋体" w:cs="宋体"/>
          <w:b/>
          <w:bCs/>
          <w:color w:val="000000"/>
          <w:sz w:val="36"/>
          <w:szCs w:val="36"/>
        </w:rPr>
      </w:pPr>
      <w:r>
        <w:rPr>
          <w:rFonts w:hint="eastAsia" w:ascii="宋体" w:hAnsi="宋体" w:cs="宋体"/>
          <w:szCs w:val="21"/>
        </w:rPr>
        <w:t>投标人名称：</w:t>
      </w:r>
      <w:r>
        <w:rPr>
          <w:rFonts w:hint="eastAsia" w:ascii="宋体" w:hAnsi="宋体" w:cs="宋体"/>
          <w:szCs w:val="21"/>
          <w:u w:val="single"/>
        </w:rPr>
        <w:t xml:space="preserve">                          </w:t>
      </w:r>
      <w:r>
        <w:rPr>
          <w:rFonts w:hint="eastAsia" w:ascii="宋体" w:hAnsi="宋体" w:cs="宋体"/>
          <w:szCs w:val="21"/>
        </w:rPr>
        <w:t xml:space="preserve">                         项目编号：</w:t>
      </w:r>
      <w:r>
        <w:rPr>
          <w:rFonts w:hint="eastAsia" w:ascii="宋体" w:hAnsi="宋体" w:cs="宋体"/>
          <w:szCs w:val="21"/>
          <w:u w:val="single"/>
        </w:rPr>
        <w:t xml:space="preserve">              </w:t>
      </w:r>
    </w:p>
    <w:tbl>
      <w:tblPr>
        <w:tblStyle w:val="37"/>
        <w:tblW w:w="10890" w:type="dxa"/>
        <w:tblInd w:w="-724"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10"/>
        <w:gridCol w:w="710"/>
        <w:gridCol w:w="710"/>
        <w:gridCol w:w="1305"/>
        <w:gridCol w:w="1065"/>
        <w:gridCol w:w="1260"/>
        <w:gridCol w:w="928"/>
        <w:gridCol w:w="932"/>
        <w:gridCol w:w="1065"/>
        <w:gridCol w:w="1500"/>
        <w:gridCol w:w="70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10" w:type="dxa"/>
            <w:tcBorders>
              <w:tl2br w:val="nil"/>
              <w:tr2bl w:val="nil"/>
            </w:tcBorders>
            <w:vAlign w:val="center"/>
          </w:tcPr>
          <w:p>
            <w:pPr>
              <w:spacing w:line="300" w:lineRule="exact"/>
              <w:jc w:val="center"/>
              <w:rPr>
                <w:rFonts w:ascii="宋体" w:hAnsi="宋体" w:cs="宋体"/>
                <w:b/>
                <w:bCs/>
                <w:position w:val="4"/>
                <w:sz w:val="32"/>
                <w:szCs w:val="32"/>
              </w:rPr>
            </w:pPr>
            <w:r>
              <w:rPr>
                <w:rFonts w:hint="eastAsia" w:ascii="宋体" w:hAnsi="宋体" w:cs="宋体"/>
                <w:b/>
              </w:rPr>
              <w:t>序号</w:t>
            </w:r>
          </w:p>
        </w:tc>
        <w:tc>
          <w:tcPr>
            <w:tcW w:w="710" w:type="dxa"/>
            <w:tcBorders>
              <w:tl2br w:val="nil"/>
              <w:tr2bl w:val="nil"/>
            </w:tcBorders>
            <w:vAlign w:val="center"/>
          </w:tcPr>
          <w:p>
            <w:pPr>
              <w:spacing w:line="300" w:lineRule="exact"/>
              <w:jc w:val="center"/>
              <w:rPr>
                <w:rFonts w:ascii="宋体" w:hAnsi="宋体" w:cs="宋体"/>
                <w:b/>
                <w:bCs/>
                <w:position w:val="4"/>
                <w:sz w:val="32"/>
                <w:szCs w:val="32"/>
              </w:rPr>
            </w:pPr>
            <w:r>
              <w:rPr>
                <w:rFonts w:hint="eastAsia" w:ascii="宋体" w:hAnsi="宋体" w:cs="宋体"/>
                <w:b/>
              </w:rPr>
              <w:t>名称</w:t>
            </w:r>
          </w:p>
        </w:tc>
        <w:tc>
          <w:tcPr>
            <w:tcW w:w="710" w:type="dxa"/>
            <w:tcBorders>
              <w:tl2br w:val="nil"/>
              <w:tr2bl w:val="nil"/>
            </w:tcBorders>
            <w:vAlign w:val="center"/>
          </w:tcPr>
          <w:p>
            <w:pPr>
              <w:spacing w:line="300" w:lineRule="exact"/>
              <w:jc w:val="center"/>
              <w:rPr>
                <w:rFonts w:ascii="宋体" w:hAnsi="宋体" w:cs="宋体"/>
                <w:b/>
                <w:bCs/>
                <w:position w:val="4"/>
                <w:sz w:val="32"/>
                <w:szCs w:val="32"/>
              </w:rPr>
            </w:pPr>
            <w:r>
              <w:rPr>
                <w:rFonts w:hint="eastAsia" w:ascii="宋体" w:hAnsi="宋体" w:cs="宋体"/>
                <w:b/>
              </w:rPr>
              <w:t>品牌</w:t>
            </w:r>
          </w:p>
        </w:tc>
        <w:tc>
          <w:tcPr>
            <w:tcW w:w="1305" w:type="dxa"/>
            <w:tcBorders>
              <w:tl2br w:val="nil"/>
              <w:tr2bl w:val="nil"/>
            </w:tcBorders>
            <w:vAlign w:val="center"/>
          </w:tcPr>
          <w:p>
            <w:pPr>
              <w:spacing w:line="300" w:lineRule="exact"/>
              <w:jc w:val="center"/>
              <w:rPr>
                <w:rFonts w:ascii="宋体" w:hAnsi="宋体" w:cs="宋体"/>
                <w:b/>
                <w:bCs/>
                <w:position w:val="4"/>
                <w:sz w:val="32"/>
                <w:szCs w:val="32"/>
              </w:rPr>
            </w:pPr>
            <w:r>
              <w:rPr>
                <w:rFonts w:hint="eastAsia" w:ascii="宋体" w:hAnsi="宋体" w:cs="宋体"/>
                <w:b/>
              </w:rPr>
              <w:t>型号和规格</w:t>
            </w:r>
          </w:p>
        </w:tc>
        <w:tc>
          <w:tcPr>
            <w:tcW w:w="1065" w:type="dxa"/>
            <w:tcBorders>
              <w:tl2br w:val="nil"/>
              <w:tr2bl w:val="nil"/>
            </w:tcBorders>
            <w:vAlign w:val="center"/>
          </w:tcPr>
          <w:p>
            <w:pPr>
              <w:spacing w:line="300" w:lineRule="exact"/>
              <w:jc w:val="center"/>
              <w:rPr>
                <w:rFonts w:ascii="宋体" w:hAnsi="宋体" w:cs="宋体"/>
                <w:b/>
                <w:bCs/>
                <w:position w:val="4"/>
                <w:sz w:val="32"/>
                <w:szCs w:val="32"/>
              </w:rPr>
            </w:pPr>
            <w:r>
              <w:rPr>
                <w:rFonts w:hint="eastAsia" w:ascii="宋体" w:hAnsi="宋体" w:cs="宋体"/>
                <w:b/>
              </w:rPr>
              <w:t>制造厂家</w:t>
            </w:r>
          </w:p>
        </w:tc>
        <w:tc>
          <w:tcPr>
            <w:tcW w:w="1260" w:type="dxa"/>
            <w:tcBorders>
              <w:tl2br w:val="nil"/>
              <w:tr2bl w:val="nil"/>
            </w:tcBorders>
            <w:vAlign w:val="center"/>
          </w:tcPr>
          <w:p>
            <w:pPr>
              <w:spacing w:line="300" w:lineRule="exact"/>
              <w:jc w:val="center"/>
              <w:rPr>
                <w:rFonts w:ascii="宋体" w:hAnsi="宋体" w:cs="宋体"/>
                <w:b/>
                <w:bCs/>
                <w:position w:val="4"/>
                <w:sz w:val="32"/>
                <w:szCs w:val="32"/>
              </w:rPr>
            </w:pPr>
            <w:r>
              <w:rPr>
                <w:rFonts w:hint="eastAsia" w:ascii="宋体" w:hAnsi="宋体" w:cs="宋体"/>
                <w:b/>
              </w:rPr>
              <w:t>单位/数量</w:t>
            </w:r>
          </w:p>
        </w:tc>
        <w:tc>
          <w:tcPr>
            <w:tcW w:w="928" w:type="dxa"/>
            <w:tcBorders>
              <w:tl2br w:val="nil"/>
              <w:tr2bl w:val="nil"/>
            </w:tcBorders>
            <w:vAlign w:val="center"/>
          </w:tcPr>
          <w:p>
            <w:pPr>
              <w:spacing w:line="300" w:lineRule="exact"/>
              <w:jc w:val="center"/>
              <w:rPr>
                <w:rFonts w:ascii="宋体" w:hAnsi="宋体" w:cs="宋体"/>
                <w:b/>
              </w:rPr>
            </w:pPr>
            <w:r>
              <w:rPr>
                <w:rFonts w:hint="eastAsia" w:ascii="宋体" w:hAnsi="宋体" w:cs="宋体"/>
                <w:b/>
              </w:rPr>
              <w:t>单价</w:t>
            </w:r>
          </w:p>
          <w:p>
            <w:pPr>
              <w:spacing w:line="300" w:lineRule="exact"/>
              <w:jc w:val="center"/>
              <w:rPr>
                <w:rFonts w:ascii="宋体" w:hAnsi="宋体" w:cs="宋体"/>
                <w:b/>
                <w:bCs/>
                <w:position w:val="4"/>
                <w:sz w:val="32"/>
                <w:szCs w:val="32"/>
              </w:rPr>
            </w:pPr>
            <w:r>
              <w:rPr>
                <w:rFonts w:hint="eastAsia" w:ascii="宋体" w:hAnsi="宋体" w:cs="宋体"/>
                <w:b/>
              </w:rPr>
              <w:t>（元）</w:t>
            </w:r>
          </w:p>
        </w:tc>
        <w:tc>
          <w:tcPr>
            <w:tcW w:w="932" w:type="dxa"/>
            <w:tcBorders>
              <w:tl2br w:val="nil"/>
              <w:tr2bl w:val="nil"/>
            </w:tcBorders>
            <w:vAlign w:val="center"/>
          </w:tcPr>
          <w:p>
            <w:pPr>
              <w:spacing w:line="300" w:lineRule="exact"/>
              <w:jc w:val="center"/>
              <w:rPr>
                <w:rFonts w:ascii="宋体" w:hAnsi="宋体" w:cs="宋体"/>
                <w:b/>
              </w:rPr>
            </w:pPr>
            <w:r>
              <w:rPr>
                <w:rFonts w:hint="eastAsia" w:ascii="宋体" w:hAnsi="宋体" w:cs="宋体"/>
                <w:b/>
              </w:rPr>
              <w:t>总价</w:t>
            </w:r>
          </w:p>
          <w:p>
            <w:pPr>
              <w:spacing w:line="300" w:lineRule="exact"/>
              <w:jc w:val="center"/>
              <w:rPr>
                <w:rFonts w:ascii="宋体" w:hAnsi="宋体" w:cs="宋体"/>
                <w:b/>
                <w:bCs/>
                <w:position w:val="4"/>
                <w:sz w:val="32"/>
                <w:szCs w:val="32"/>
              </w:rPr>
            </w:pPr>
            <w:r>
              <w:rPr>
                <w:rFonts w:hint="eastAsia" w:ascii="宋体" w:hAnsi="宋体" w:cs="宋体"/>
                <w:b/>
              </w:rPr>
              <w:t>（元）</w:t>
            </w:r>
          </w:p>
        </w:tc>
        <w:tc>
          <w:tcPr>
            <w:tcW w:w="1065" w:type="dxa"/>
            <w:tcBorders>
              <w:tl2br w:val="nil"/>
              <w:tr2bl w:val="nil"/>
            </w:tcBorders>
            <w:vAlign w:val="center"/>
          </w:tcPr>
          <w:p>
            <w:pPr>
              <w:spacing w:line="300" w:lineRule="exact"/>
              <w:jc w:val="center"/>
              <w:rPr>
                <w:rFonts w:ascii="宋体" w:hAnsi="宋体" w:cs="宋体"/>
                <w:b/>
                <w:bCs/>
                <w:position w:val="4"/>
                <w:sz w:val="32"/>
                <w:szCs w:val="32"/>
              </w:rPr>
            </w:pPr>
            <w:r>
              <w:rPr>
                <w:rFonts w:hint="eastAsia" w:ascii="宋体" w:hAnsi="宋体" w:cs="宋体"/>
                <w:b/>
              </w:rPr>
              <w:t>政策优惠企业类型</w:t>
            </w:r>
          </w:p>
        </w:tc>
        <w:tc>
          <w:tcPr>
            <w:tcW w:w="1500" w:type="dxa"/>
            <w:tcBorders>
              <w:tl2br w:val="nil"/>
              <w:tr2bl w:val="nil"/>
            </w:tcBorders>
            <w:vAlign w:val="center"/>
          </w:tcPr>
          <w:p>
            <w:pPr>
              <w:spacing w:line="300" w:lineRule="exact"/>
              <w:jc w:val="center"/>
              <w:rPr>
                <w:rFonts w:ascii="宋体" w:hAnsi="宋体" w:cs="宋体"/>
                <w:b/>
                <w:bCs/>
                <w:position w:val="4"/>
                <w:sz w:val="32"/>
                <w:szCs w:val="32"/>
              </w:rPr>
            </w:pPr>
            <w:r>
              <w:rPr>
                <w:rFonts w:hint="eastAsia" w:ascii="宋体" w:hAnsi="宋体" w:cs="宋体"/>
                <w:b/>
              </w:rPr>
              <w:t>政策功能编码</w:t>
            </w:r>
          </w:p>
        </w:tc>
        <w:tc>
          <w:tcPr>
            <w:tcW w:w="705" w:type="dxa"/>
            <w:tcBorders>
              <w:tl2br w:val="nil"/>
              <w:tr2bl w:val="nil"/>
            </w:tcBorders>
            <w:vAlign w:val="center"/>
          </w:tcPr>
          <w:p>
            <w:pPr>
              <w:spacing w:line="300" w:lineRule="exact"/>
              <w:jc w:val="center"/>
              <w:rPr>
                <w:rFonts w:ascii="宋体" w:hAnsi="宋体" w:cs="宋体"/>
                <w:b/>
                <w:bCs/>
                <w:position w:val="4"/>
                <w:sz w:val="32"/>
                <w:szCs w:val="32"/>
              </w:rPr>
            </w:pPr>
            <w:r>
              <w:rPr>
                <w:rFonts w:hint="eastAsia" w:ascii="宋体" w:hAnsi="宋体" w:cs="宋体"/>
                <w:b/>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10" w:type="dxa"/>
            <w:tcBorders>
              <w:tl2br w:val="nil"/>
              <w:tr2bl w:val="nil"/>
            </w:tcBorders>
          </w:tcPr>
          <w:p>
            <w:pPr>
              <w:spacing w:line="560" w:lineRule="exact"/>
              <w:rPr>
                <w:rFonts w:ascii="宋体" w:hAnsi="宋体" w:cs="宋体"/>
                <w:b/>
                <w:bCs/>
                <w:position w:val="4"/>
                <w:sz w:val="32"/>
                <w:szCs w:val="32"/>
              </w:rPr>
            </w:pPr>
          </w:p>
        </w:tc>
        <w:tc>
          <w:tcPr>
            <w:tcW w:w="710" w:type="dxa"/>
            <w:tcBorders>
              <w:tl2br w:val="nil"/>
              <w:tr2bl w:val="nil"/>
            </w:tcBorders>
          </w:tcPr>
          <w:p>
            <w:pPr>
              <w:spacing w:line="560" w:lineRule="exact"/>
              <w:rPr>
                <w:rFonts w:ascii="宋体" w:hAnsi="宋体" w:cs="宋体"/>
                <w:b/>
                <w:bCs/>
                <w:position w:val="4"/>
                <w:sz w:val="32"/>
                <w:szCs w:val="32"/>
              </w:rPr>
            </w:pPr>
          </w:p>
        </w:tc>
        <w:tc>
          <w:tcPr>
            <w:tcW w:w="710" w:type="dxa"/>
            <w:tcBorders>
              <w:tl2br w:val="nil"/>
              <w:tr2bl w:val="nil"/>
            </w:tcBorders>
          </w:tcPr>
          <w:p>
            <w:pPr>
              <w:spacing w:line="560" w:lineRule="exact"/>
              <w:rPr>
                <w:rFonts w:ascii="宋体" w:hAnsi="宋体" w:cs="宋体"/>
                <w:b/>
                <w:bCs/>
                <w:position w:val="4"/>
                <w:sz w:val="32"/>
                <w:szCs w:val="32"/>
              </w:rPr>
            </w:pPr>
          </w:p>
        </w:tc>
        <w:tc>
          <w:tcPr>
            <w:tcW w:w="1305" w:type="dxa"/>
            <w:tcBorders>
              <w:tl2br w:val="nil"/>
              <w:tr2bl w:val="nil"/>
            </w:tcBorders>
          </w:tcPr>
          <w:p>
            <w:pPr>
              <w:spacing w:line="560" w:lineRule="exact"/>
              <w:rPr>
                <w:rFonts w:ascii="宋体" w:hAnsi="宋体" w:cs="宋体"/>
                <w:b/>
                <w:bCs/>
                <w:position w:val="4"/>
                <w:sz w:val="32"/>
                <w:szCs w:val="32"/>
              </w:rPr>
            </w:pPr>
          </w:p>
        </w:tc>
        <w:tc>
          <w:tcPr>
            <w:tcW w:w="1065" w:type="dxa"/>
            <w:tcBorders>
              <w:tl2br w:val="nil"/>
              <w:tr2bl w:val="nil"/>
            </w:tcBorders>
          </w:tcPr>
          <w:p>
            <w:pPr>
              <w:spacing w:line="560" w:lineRule="exact"/>
              <w:rPr>
                <w:rFonts w:ascii="宋体" w:hAnsi="宋体" w:cs="宋体"/>
                <w:b/>
                <w:bCs/>
                <w:position w:val="4"/>
                <w:sz w:val="32"/>
                <w:szCs w:val="32"/>
              </w:rPr>
            </w:pPr>
          </w:p>
        </w:tc>
        <w:tc>
          <w:tcPr>
            <w:tcW w:w="1260" w:type="dxa"/>
            <w:tcBorders>
              <w:tl2br w:val="nil"/>
              <w:tr2bl w:val="nil"/>
            </w:tcBorders>
          </w:tcPr>
          <w:p>
            <w:pPr>
              <w:spacing w:line="560" w:lineRule="exact"/>
              <w:rPr>
                <w:rFonts w:ascii="宋体" w:hAnsi="宋体" w:cs="宋体"/>
                <w:b/>
                <w:bCs/>
                <w:position w:val="4"/>
                <w:sz w:val="32"/>
                <w:szCs w:val="32"/>
              </w:rPr>
            </w:pPr>
          </w:p>
        </w:tc>
        <w:tc>
          <w:tcPr>
            <w:tcW w:w="928" w:type="dxa"/>
            <w:tcBorders>
              <w:tl2br w:val="nil"/>
              <w:tr2bl w:val="nil"/>
            </w:tcBorders>
          </w:tcPr>
          <w:p>
            <w:pPr>
              <w:spacing w:line="560" w:lineRule="exact"/>
              <w:rPr>
                <w:rFonts w:ascii="宋体" w:hAnsi="宋体" w:cs="宋体"/>
                <w:b/>
                <w:bCs/>
                <w:position w:val="4"/>
                <w:sz w:val="32"/>
                <w:szCs w:val="32"/>
              </w:rPr>
            </w:pPr>
          </w:p>
        </w:tc>
        <w:tc>
          <w:tcPr>
            <w:tcW w:w="932" w:type="dxa"/>
            <w:tcBorders>
              <w:tl2br w:val="nil"/>
              <w:tr2bl w:val="nil"/>
            </w:tcBorders>
          </w:tcPr>
          <w:p>
            <w:pPr>
              <w:spacing w:line="560" w:lineRule="exact"/>
              <w:rPr>
                <w:rFonts w:ascii="宋体" w:hAnsi="宋体" w:cs="宋体"/>
                <w:b/>
                <w:bCs/>
                <w:position w:val="4"/>
                <w:sz w:val="32"/>
                <w:szCs w:val="32"/>
              </w:rPr>
            </w:pPr>
          </w:p>
        </w:tc>
        <w:tc>
          <w:tcPr>
            <w:tcW w:w="1065" w:type="dxa"/>
            <w:tcBorders>
              <w:tl2br w:val="nil"/>
              <w:tr2bl w:val="nil"/>
            </w:tcBorders>
          </w:tcPr>
          <w:p>
            <w:pPr>
              <w:spacing w:line="560" w:lineRule="exact"/>
              <w:rPr>
                <w:rFonts w:ascii="宋体" w:hAnsi="宋体" w:cs="宋体"/>
                <w:b/>
                <w:bCs/>
                <w:position w:val="4"/>
                <w:sz w:val="32"/>
                <w:szCs w:val="32"/>
              </w:rPr>
            </w:pPr>
          </w:p>
        </w:tc>
        <w:tc>
          <w:tcPr>
            <w:tcW w:w="1500" w:type="dxa"/>
            <w:tcBorders>
              <w:tl2br w:val="nil"/>
              <w:tr2bl w:val="nil"/>
            </w:tcBorders>
          </w:tcPr>
          <w:p>
            <w:pPr>
              <w:spacing w:line="560" w:lineRule="exact"/>
              <w:rPr>
                <w:rFonts w:ascii="宋体" w:hAnsi="宋体" w:cs="宋体"/>
                <w:b/>
                <w:bCs/>
                <w:position w:val="4"/>
                <w:sz w:val="32"/>
                <w:szCs w:val="32"/>
              </w:rPr>
            </w:pPr>
          </w:p>
        </w:tc>
        <w:tc>
          <w:tcPr>
            <w:tcW w:w="705" w:type="dxa"/>
            <w:tcBorders>
              <w:tl2br w:val="nil"/>
              <w:tr2bl w:val="nil"/>
            </w:tcBorders>
          </w:tcPr>
          <w:p>
            <w:pPr>
              <w:spacing w:line="560" w:lineRule="exact"/>
              <w:rPr>
                <w:rFonts w:ascii="宋体" w:hAnsi="宋体" w:cs="宋体"/>
                <w:b/>
                <w:bCs/>
                <w:position w:val="4"/>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10" w:type="dxa"/>
            <w:tcBorders>
              <w:tl2br w:val="nil"/>
              <w:tr2bl w:val="nil"/>
            </w:tcBorders>
          </w:tcPr>
          <w:p>
            <w:pPr>
              <w:spacing w:line="560" w:lineRule="exact"/>
              <w:rPr>
                <w:rFonts w:ascii="宋体" w:hAnsi="宋体" w:cs="宋体"/>
                <w:b/>
                <w:bCs/>
                <w:position w:val="4"/>
                <w:sz w:val="32"/>
                <w:szCs w:val="32"/>
              </w:rPr>
            </w:pPr>
          </w:p>
        </w:tc>
        <w:tc>
          <w:tcPr>
            <w:tcW w:w="710" w:type="dxa"/>
            <w:tcBorders>
              <w:tl2br w:val="nil"/>
              <w:tr2bl w:val="nil"/>
            </w:tcBorders>
          </w:tcPr>
          <w:p>
            <w:pPr>
              <w:spacing w:line="560" w:lineRule="exact"/>
              <w:rPr>
                <w:rFonts w:ascii="宋体" w:hAnsi="宋体" w:cs="宋体"/>
                <w:b/>
                <w:bCs/>
                <w:position w:val="4"/>
                <w:sz w:val="32"/>
                <w:szCs w:val="32"/>
              </w:rPr>
            </w:pPr>
          </w:p>
        </w:tc>
        <w:tc>
          <w:tcPr>
            <w:tcW w:w="710" w:type="dxa"/>
            <w:tcBorders>
              <w:tl2br w:val="nil"/>
              <w:tr2bl w:val="nil"/>
            </w:tcBorders>
          </w:tcPr>
          <w:p>
            <w:pPr>
              <w:spacing w:line="560" w:lineRule="exact"/>
              <w:rPr>
                <w:rFonts w:ascii="宋体" w:hAnsi="宋体" w:cs="宋体"/>
                <w:b/>
                <w:bCs/>
                <w:position w:val="4"/>
                <w:sz w:val="32"/>
                <w:szCs w:val="32"/>
              </w:rPr>
            </w:pPr>
          </w:p>
        </w:tc>
        <w:tc>
          <w:tcPr>
            <w:tcW w:w="1305" w:type="dxa"/>
            <w:tcBorders>
              <w:tl2br w:val="nil"/>
              <w:tr2bl w:val="nil"/>
            </w:tcBorders>
          </w:tcPr>
          <w:p>
            <w:pPr>
              <w:spacing w:line="560" w:lineRule="exact"/>
              <w:rPr>
                <w:rFonts w:ascii="宋体" w:hAnsi="宋体" w:cs="宋体"/>
                <w:b/>
                <w:bCs/>
                <w:position w:val="4"/>
                <w:sz w:val="32"/>
                <w:szCs w:val="32"/>
              </w:rPr>
            </w:pPr>
          </w:p>
        </w:tc>
        <w:tc>
          <w:tcPr>
            <w:tcW w:w="1065" w:type="dxa"/>
            <w:tcBorders>
              <w:tl2br w:val="nil"/>
              <w:tr2bl w:val="nil"/>
            </w:tcBorders>
          </w:tcPr>
          <w:p>
            <w:pPr>
              <w:spacing w:line="560" w:lineRule="exact"/>
              <w:rPr>
                <w:rFonts w:ascii="宋体" w:hAnsi="宋体" w:cs="宋体"/>
                <w:b/>
                <w:bCs/>
                <w:position w:val="4"/>
                <w:sz w:val="32"/>
                <w:szCs w:val="32"/>
              </w:rPr>
            </w:pPr>
          </w:p>
        </w:tc>
        <w:tc>
          <w:tcPr>
            <w:tcW w:w="1260" w:type="dxa"/>
            <w:tcBorders>
              <w:tl2br w:val="nil"/>
              <w:tr2bl w:val="nil"/>
            </w:tcBorders>
          </w:tcPr>
          <w:p>
            <w:pPr>
              <w:spacing w:line="560" w:lineRule="exact"/>
              <w:rPr>
                <w:rFonts w:ascii="宋体" w:hAnsi="宋体" w:cs="宋体"/>
                <w:b/>
                <w:bCs/>
                <w:position w:val="4"/>
                <w:sz w:val="32"/>
                <w:szCs w:val="32"/>
              </w:rPr>
            </w:pPr>
          </w:p>
        </w:tc>
        <w:tc>
          <w:tcPr>
            <w:tcW w:w="928" w:type="dxa"/>
            <w:tcBorders>
              <w:tl2br w:val="nil"/>
              <w:tr2bl w:val="nil"/>
            </w:tcBorders>
          </w:tcPr>
          <w:p>
            <w:pPr>
              <w:spacing w:line="560" w:lineRule="exact"/>
              <w:rPr>
                <w:rFonts w:ascii="宋体" w:hAnsi="宋体" w:cs="宋体"/>
                <w:b/>
                <w:bCs/>
                <w:position w:val="4"/>
                <w:sz w:val="32"/>
                <w:szCs w:val="32"/>
              </w:rPr>
            </w:pPr>
          </w:p>
        </w:tc>
        <w:tc>
          <w:tcPr>
            <w:tcW w:w="932" w:type="dxa"/>
            <w:tcBorders>
              <w:tl2br w:val="nil"/>
              <w:tr2bl w:val="nil"/>
            </w:tcBorders>
          </w:tcPr>
          <w:p>
            <w:pPr>
              <w:spacing w:line="560" w:lineRule="exact"/>
              <w:rPr>
                <w:rFonts w:ascii="宋体" w:hAnsi="宋体" w:cs="宋体"/>
                <w:b/>
                <w:bCs/>
                <w:position w:val="4"/>
                <w:sz w:val="32"/>
                <w:szCs w:val="32"/>
              </w:rPr>
            </w:pPr>
          </w:p>
        </w:tc>
        <w:tc>
          <w:tcPr>
            <w:tcW w:w="1065" w:type="dxa"/>
            <w:tcBorders>
              <w:tl2br w:val="nil"/>
              <w:tr2bl w:val="nil"/>
            </w:tcBorders>
          </w:tcPr>
          <w:p>
            <w:pPr>
              <w:spacing w:line="560" w:lineRule="exact"/>
              <w:rPr>
                <w:rFonts w:ascii="宋体" w:hAnsi="宋体" w:cs="宋体"/>
                <w:b/>
                <w:bCs/>
                <w:position w:val="4"/>
                <w:sz w:val="32"/>
                <w:szCs w:val="32"/>
              </w:rPr>
            </w:pPr>
          </w:p>
        </w:tc>
        <w:tc>
          <w:tcPr>
            <w:tcW w:w="1500" w:type="dxa"/>
            <w:tcBorders>
              <w:tl2br w:val="nil"/>
              <w:tr2bl w:val="nil"/>
            </w:tcBorders>
          </w:tcPr>
          <w:p>
            <w:pPr>
              <w:spacing w:line="560" w:lineRule="exact"/>
              <w:rPr>
                <w:rFonts w:ascii="宋体" w:hAnsi="宋体" w:cs="宋体"/>
                <w:b/>
                <w:bCs/>
                <w:position w:val="4"/>
                <w:sz w:val="32"/>
                <w:szCs w:val="32"/>
              </w:rPr>
            </w:pPr>
          </w:p>
        </w:tc>
        <w:tc>
          <w:tcPr>
            <w:tcW w:w="705" w:type="dxa"/>
            <w:tcBorders>
              <w:tl2br w:val="nil"/>
              <w:tr2bl w:val="nil"/>
            </w:tcBorders>
          </w:tcPr>
          <w:p>
            <w:pPr>
              <w:spacing w:line="560" w:lineRule="exact"/>
              <w:rPr>
                <w:rFonts w:ascii="宋体" w:hAnsi="宋体" w:cs="宋体"/>
                <w:b/>
                <w:bCs/>
                <w:position w:val="4"/>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710" w:type="dxa"/>
            <w:tcBorders>
              <w:tl2br w:val="nil"/>
              <w:tr2bl w:val="nil"/>
            </w:tcBorders>
          </w:tcPr>
          <w:p>
            <w:pPr>
              <w:spacing w:line="560" w:lineRule="exact"/>
              <w:rPr>
                <w:rFonts w:ascii="宋体" w:hAnsi="宋体" w:cs="宋体"/>
                <w:b/>
                <w:bCs/>
                <w:position w:val="4"/>
                <w:sz w:val="32"/>
                <w:szCs w:val="32"/>
              </w:rPr>
            </w:pPr>
          </w:p>
        </w:tc>
        <w:tc>
          <w:tcPr>
            <w:tcW w:w="710" w:type="dxa"/>
            <w:tcBorders>
              <w:tl2br w:val="nil"/>
              <w:tr2bl w:val="nil"/>
            </w:tcBorders>
          </w:tcPr>
          <w:p>
            <w:pPr>
              <w:spacing w:line="560" w:lineRule="exact"/>
              <w:rPr>
                <w:rFonts w:ascii="宋体" w:hAnsi="宋体" w:cs="宋体"/>
                <w:b/>
                <w:bCs/>
                <w:position w:val="4"/>
                <w:sz w:val="32"/>
                <w:szCs w:val="32"/>
              </w:rPr>
            </w:pPr>
          </w:p>
        </w:tc>
        <w:tc>
          <w:tcPr>
            <w:tcW w:w="710" w:type="dxa"/>
            <w:tcBorders>
              <w:tl2br w:val="nil"/>
              <w:tr2bl w:val="nil"/>
            </w:tcBorders>
          </w:tcPr>
          <w:p>
            <w:pPr>
              <w:spacing w:line="560" w:lineRule="exact"/>
              <w:rPr>
                <w:rFonts w:ascii="宋体" w:hAnsi="宋体" w:cs="宋体"/>
                <w:b/>
                <w:bCs/>
                <w:position w:val="4"/>
                <w:sz w:val="32"/>
                <w:szCs w:val="32"/>
              </w:rPr>
            </w:pPr>
          </w:p>
        </w:tc>
        <w:tc>
          <w:tcPr>
            <w:tcW w:w="1305" w:type="dxa"/>
            <w:tcBorders>
              <w:tl2br w:val="nil"/>
              <w:tr2bl w:val="nil"/>
            </w:tcBorders>
          </w:tcPr>
          <w:p>
            <w:pPr>
              <w:spacing w:line="560" w:lineRule="exact"/>
              <w:rPr>
                <w:rFonts w:ascii="宋体" w:hAnsi="宋体" w:cs="宋体"/>
                <w:b/>
                <w:bCs/>
                <w:position w:val="4"/>
                <w:sz w:val="32"/>
                <w:szCs w:val="32"/>
              </w:rPr>
            </w:pPr>
          </w:p>
        </w:tc>
        <w:tc>
          <w:tcPr>
            <w:tcW w:w="1065" w:type="dxa"/>
            <w:tcBorders>
              <w:tl2br w:val="nil"/>
              <w:tr2bl w:val="nil"/>
            </w:tcBorders>
          </w:tcPr>
          <w:p>
            <w:pPr>
              <w:spacing w:line="560" w:lineRule="exact"/>
              <w:rPr>
                <w:rFonts w:ascii="宋体" w:hAnsi="宋体" w:cs="宋体"/>
                <w:b/>
                <w:bCs/>
                <w:position w:val="4"/>
                <w:sz w:val="32"/>
                <w:szCs w:val="32"/>
              </w:rPr>
            </w:pPr>
          </w:p>
        </w:tc>
        <w:tc>
          <w:tcPr>
            <w:tcW w:w="1260" w:type="dxa"/>
            <w:tcBorders>
              <w:tl2br w:val="nil"/>
              <w:tr2bl w:val="nil"/>
            </w:tcBorders>
          </w:tcPr>
          <w:p>
            <w:pPr>
              <w:spacing w:line="560" w:lineRule="exact"/>
              <w:rPr>
                <w:rFonts w:ascii="宋体" w:hAnsi="宋体" w:cs="宋体"/>
                <w:b/>
                <w:bCs/>
                <w:position w:val="4"/>
                <w:sz w:val="32"/>
                <w:szCs w:val="32"/>
              </w:rPr>
            </w:pPr>
          </w:p>
        </w:tc>
        <w:tc>
          <w:tcPr>
            <w:tcW w:w="928" w:type="dxa"/>
            <w:tcBorders>
              <w:tl2br w:val="nil"/>
              <w:tr2bl w:val="nil"/>
            </w:tcBorders>
          </w:tcPr>
          <w:p>
            <w:pPr>
              <w:spacing w:line="560" w:lineRule="exact"/>
              <w:rPr>
                <w:rFonts w:ascii="宋体" w:hAnsi="宋体" w:cs="宋体"/>
                <w:b/>
                <w:bCs/>
                <w:position w:val="4"/>
                <w:sz w:val="32"/>
                <w:szCs w:val="32"/>
              </w:rPr>
            </w:pPr>
          </w:p>
        </w:tc>
        <w:tc>
          <w:tcPr>
            <w:tcW w:w="932" w:type="dxa"/>
            <w:tcBorders>
              <w:tl2br w:val="nil"/>
              <w:tr2bl w:val="nil"/>
            </w:tcBorders>
          </w:tcPr>
          <w:p>
            <w:pPr>
              <w:spacing w:line="560" w:lineRule="exact"/>
              <w:rPr>
                <w:rFonts w:ascii="宋体" w:hAnsi="宋体" w:cs="宋体"/>
                <w:b/>
                <w:bCs/>
                <w:position w:val="4"/>
                <w:sz w:val="32"/>
                <w:szCs w:val="32"/>
              </w:rPr>
            </w:pPr>
          </w:p>
        </w:tc>
        <w:tc>
          <w:tcPr>
            <w:tcW w:w="1065" w:type="dxa"/>
            <w:tcBorders>
              <w:tl2br w:val="nil"/>
              <w:tr2bl w:val="nil"/>
            </w:tcBorders>
          </w:tcPr>
          <w:p>
            <w:pPr>
              <w:spacing w:line="560" w:lineRule="exact"/>
              <w:rPr>
                <w:rFonts w:ascii="宋体" w:hAnsi="宋体" w:cs="宋体"/>
                <w:b/>
                <w:bCs/>
                <w:position w:val="4"/>
                <w:sz w:val="32"/>
                <w:szCs w:val="32"/>
              </w:rPr>
            </w:pPr>
          </w:p>
        </w:tc>
        <w:tc>
          <w:tcPr>
            <w:tcW w:w="1500" w:type="dxa"/>
            <w:tcBorders>
              <w:tl2br w:val="nil"/>
              <w:tr2bl w:val="nil"/>
            </w:tcBorders>
          </w:tcPr>
          <w:p>
            <w:pPr>
              <w:spacing w:line="560" w:lineRule="exact"/>
              <w:rPr>
                <w:rFonts w:ascii="宋体" w:hAnsi="宋体" w:cs="宋体"/>
                <w:b/>
                <w:bCs/>
                <w:position w:val="4"/>
                <w:sz w:val="32"/>
                <w:szCs w:val="32"/>
              </w:rPr>
            </w:pPr>
          </w:p>
        </w:tc>
        <w:tc>
          <w:tcPr>
            <w:tcW w:w="705" w:type="dxa"/>
            <w:tcBorders>
              <w:tl2br w:val="nil"/>
              <w:tr2bl w:val="nil"/>
            </w:tcBorders>
          </w:tcPr>
          <w:p>
            <w:pPr>
              <w:spacing w:line="560" w:lineRule="exact"/>
              <w:rPr>
                <w:rFonts w:ascii="宋体" w:hAnsi="宋体" w:cs="宋体"/>
                <w:b/>
                <w:bCs/>
                <w:position w:val="4"/>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tcBorders>
              <w:tl2br w:val="nil"/>
              <w:tr2bl w:val="nil"/>
            </w:tcBorders>
          </w:tcPr>
          <w:p>
            <w:pPr>
              <w:spacing w:line="560" w:lineRule="exact"/>
              <w:rPr>
                <w:rFonts w:ascii="宋体" w:hAnsi="宋体" w:cs="宋体"/>
                <w:b/>
                <w:bCs/>
                <w:position w:val="4"/>
                <w:sz w:val="32"/>
                <w:szCs w:val="32"/>
              </w:rPr>
            </w:pPr>
          </w:p>
        </w:tc>
        <w:tc>
          <w:tcPr>
            <w:tcW w:w="710" w:type="dxa"/>
            <w:tcBorders>
              <w:tl2br w:val="nil"/>
              <w:tr2bl w:val="nil"/>
            </w:tcBorders>
          </w:tcPr>
          <w:p>
            <w:pPr>
              <w:spacing w:line="560" w:lineRule="exact"/>
              <w:rPr>
                <w:rFonts w:ascii="宋体" w:hAnsi="宋体" w:cs="宋体"/>
                <w:b/>
                <w:bCs/>
                <w:position w:val="4"/>
                <w:sz w:val="32"/>
                <w:szCs w:val="32"/>
              </w:rPr>
            </w:pPr>
          </w:p>
        </w:tc>
        <w:tc>
          <w:tcPr>
            <w:tcW w:w="710" w:type="dxa"/>
            <w:tcBorders>
              <w:tl2br w:val="nil"/>
              <w:tr2bl w:val="nil"/>
            </w:tcBorders>
          </w:tcPr>
          <w:p>
            <w:pPr>
              <w:spacing w:line="560" w:lineRule="exact"/>
              <w:rPr>
                <w:rFonts w:ascii="宋体" w:hAnsi="宋体" w:cs="宋体"/>
                <w:b/>
                <w:bCs/>
                <w:position w:val="4"/>
                <w:sz w:val="32"/>
                <w:szCs w:val="32"/>
              </w:rPr>
            </w:pPr>
          </w:p>
        </w:tc>
        <w:tc>
          <w:tcPr>
            <w:tcW w:w="1305" w:type="dxa"/>
            <w:tcBorders>
              <w:tl2br w:val="nil"/>
              <w:tr2bl w:val="nil"/>
            </w:tcBorders>
          </w:tcPr>
          <w:p>
            <w:pPr>
              <w:spacing w:line="560" w:lineRule="exact"/>
              <w:rPr>
                <w:rFonts w:ascii="宋体" w:hAnsi="宋体" w:cs="宋体"/>
                <w:b/>
                <w:bCs/>
                <w:position w:val="4"/>
                <w:sz w:val="32"/>
                <w:szCs w:val="32"/>
              </w:rPr>
            </w:pPr>
          </w:p>
        </w:tc>
        <w:tc>
          <w:tcPr>
            <w:tcW w:w="1065" w:type="dxa"/>
            <w:tcBorders>
              <w:tl2br w:val="nil"/>
              <w:tr2bl w:val="nil"/>
            </w:tcBorders>
          </w:tcPr>
          <w:p>
            <w:pPr>
              <w:spacing w:line="560" w:lineRule="exact"/>
              <w:rPr>
                <w:rFonts w:ascii="宋体" w:hAnsi="宋体" w:cs="宋体"/>
                <w:b/>
                <w:bCs/>
                <w:position w:val="4"/>
                <w:sz w:val="32"/>
                <w:szCs w:val="32"/>
              </w:rPr>
            </w:pPr>
          </w:p>
        </w:tc>
        <w:tc>
          <w:tcPr>
            <w:tcW w:w="1260" w:type="dxa"/>
            <w:tcBorders>
              <w:tl2br w:val="nil"/>
              <w:tr2bl w:val="nil"/>
            </w:tcBorders>
          </w:tcPr>
          <w:p>
            <w:pPr>
              <w:spacing w:line="560" w:lineRule="exact"/>
              <w:rPr>
                <w:rFonts w:ascii="宋体" w:hAnsi="宋体" w:cs="宋体"/>
                <w:b/>
                <w:bCs/>
                <w:position w:val="4"/>
                <w:sz w:val="32"/>
                <w:szCs w:val="32"/>
              </w:rPr>
            </w:pPr>
          </w:p>
        </w:tc>
        <w:tc>
          <w:tcPr>
            <w:tcW w:w="928" w:type="dxa"/>
            <w:tcBorders>
              <w:tl2br w:val="nil"/>
              <w:tr2bl w:val="nil"/>
            </w:tcBorders>
          </w:tcPr>
          <w:p>
            <w:pPr>
              <w:spacing w:line="560" w:lineRule="exact"/>
              <w:rPr>
                <w:rFonts w:ascii="宋体" w:hAnsi="宋体" w:cs="宋体"/>
                <w:b/>
                <w:bCs/>
                <w:position w:val="4"/>
                <w:sz w:val="32"/>
                <w:szCs w:val="32"/>
              </w:rPr>
            </w:pPr>
          </w:p>
        </w:tc>
        <w:tc>
          <w:tcPr>
            <w:tcW w:w="932" w:type="dxa"/>
            <w:tcBorders>
              <w:tl2br w:val="nil"/>
              <w:tr2bl w:val="nil"/>
            </w:tcBorders>
          </w:tcPr>
          <w:p>
            <w:pPr>
              <w:spacing w:line="560" w:lineRule="exact"/>
              <w:rPr>
                <w:rFonts w:ascii="宋体" w:hAnsi="宋体" w:cs="宋体"/>
                <w:b/>
                <w:bCs/>
                <w:position w:val="4"/>
                <w:sz w:val="32"/>
                <w:szCs w:val="32"/>
              </w:rPr>
            </w:pPr>
          </w:p>
        </w:tc>
        <w:tc>
          <w:tcPr>
            <w:tcW w:w="1065" w:type="dxa"/>
            <w:tcBorders>
              <w:tl2br w:val="nil"/>
              <w:tr2bl w:val="nil"/>
            </w:tcBorders>
          </w:tcPr>
          <w:p>
            <w:pPr>
              <w:spacing w:line="560" w:lineRule="exact"/>
              <w:rPr>
                <w:rFonts w:ascii="宋体" w:hAnsi="宋体" w:cs="宋体"/>
                <w:b/>
                <w:bCs/>
                <w:position w:val="4"/>
                <w:sz w:val="32"/>
                <w:szCs w:val="32"/>
              </w:rPr>
            </w:pPr>
          </w:p>
        </w:tc>
        <w:tc>
          <w:tcPr>
            <w:tcW w:w="1500" w:type="dxa"/>
            <w:tcBorders>
              <w:tl2br w:val="nil"/>
              <w:tr2bl w:val="nil"/>
            </w:tcBorders>
          </w:tcPr>
          <w:p>
            <w:pPr>
              <w:spacing w:line="560" w:lineRule="exact"/>
              <w:rPr>
                <w:rFonts w:ascii="宋体" w:hAnsi="宋体" w:cs="宋体"/>
                <w:b/>
                <w:bCs/>
                <w:position w:val="4"/>
                <w:sz w:val="32"/>
                <w:szCs w:val="32"/>
              </w:rPr>
            </w:pPr>
          </w:p>
        </w:tc>
        <w:tc>
          <w:tcPr>
            <w:tcW w:w="705" w:type="dxa"/>
            <w:tcBorders>
              <w:tl2br w:val="nil"/>
              <w:tr2bl w:val="nil"/>
            </w:tcBorders>
          </w:tcPr>
          <w:p>
            <w:pPr>
              <w:spacing w:line="560" w:lineRule="exact"/>
              <w:rPr>
                <w:rFonts w:ascii="宋体" w:hAnsi="宋体" w:cs="宋体"/>
                <w:b/>
                <w:bCs/>
                <w:position w:val="4"/>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10" w:type="dxa"/>
            <w:tcBorders>
              <w:tl2br w:val="nil"/>
              <w:tr2bl w:val="nil"/>
            </w:tcBorders>
          </w:tcPr>
          <w:p>
            <w:pPr>
              <w:spacing w:line="560" w:lineRule="exact"/>
              <w:rPr>
                <w:rFonts w:ascii="宋体" w:hAnsi="宋体" w:cs="宋体"/>
                <w:b/>
                <w:bCs/>
                <w:position w:val="4"/>
                <w:sz w:val="32"/>
                <w:szCs w:val="32"/>
              </w:rPr>
            </w:pPr>
          </w:p>
        </w:tc>
        <w:tc>
          <w:tcPr>
            <w:tcW w:w="710" w:type="dxa"/>
            <w:tcBorders>
              <w:tl2br w:val="nil"/>
              <w:tr2bl w:val="nil"/>
            </w:tcBorders>
          </w:tcPr>
          <w:p>
            <w:pPr>
              <w:spacing w:line="560" w:lineRule="exact"/>
              <w:rPr>
                <w:rFonts w:ascii="宋体" w:hAnsi="宋体" w:cs="宋体"/>
                <w:b/>
                <w:bCs/>
                <w:position w:val="4"/>
                <w:sz w:val="32"/>
                <w:szCs w:val="32"/>
              </w:rPr>
            </w:pPr>
          </w:p>
        </w:tc>
        <w:tc>
          <w:tcPr>
            <w:tcW w:w="710" w:type="dxa"/>
            <w:tcBorders>
              <w:tl2br w:val="nil"/>
              <w:tr2bl w:val="nil"/>
            </w:tcBorders>
          </w:tcPr>
          <w:p>
            <w:pPr>
              <w:spacing w:line="560" w:lineRule="exact"/>
              <w:rPr>
                <w:rFonts w:ascii="宋体" w:hAnsi="宋体" w:cs="宋体"/>
                <w:b/>
                <w:bCs/>
                <w:position w:val="4"/>
                <w:sz w:val="32"/>
                <w:szCs w:val="32"/>
              </w:rPr>
            </w:pPr>
          </w:p>
        </w:tc>
        <w:tc>
          <w:tcPr>
            <w:tcW w:w="1305" w:type="dxa"/>
            <w:tcBorders>
              <w:tl2br w:val="nil"/>
              <w:tr2bl w:val="nil"/>
            </w:tcBorders>
          </w:tcPr>
          <w:p>
            <w:pPr>
              <w:spacing w:line="560" w:lineRule="exact"/>
              <w:rPr>
                <w:rFonts w:ascii="宋体" w:hAnsi="宋体" w:cs="宋体"/>
                <w:b/>
                <w:bCs/>
                <w:position w:val="4"/>
                <w:sz w:val="32"/>
                <w:szCs w:val="32"/>
              </w:rPr>
            </w:pPr>
          </w:p>
        </w:tc>
        <w:tc>
          <w:tcPr>
            <w:tcW w:w="1065" w:type="dxa"/>
            <w:tcBorders>
              <w:tl2br w:val="nil"/>
              <w:tr2bl w:val="nil"/>
            </w:tcBorders>
          </w:tcPr>
          <w:p>
            <w:pPr>
              <w:spacing w:line="560" w:lineRule="exact"/>
              <w:rPr>
                <w:rFonts w:ascii="宋体" w:hAnsi="宋体" w:cs="宋体"/>
                <w:b/>
                <w:bCs/>
                <w:position w:val="4"/>
                <w:sz w:val="32"/>
                <w:szCs w:val="32"/>
              </w:rPr>
            </w:pPr>
          </w:p>
        </w:tc>
        <w:tc>
          <w:tcPr>
            <w:tcW w:w="1260" w:type="dxa"/>
            <w:tcBorders>
              <w:tl2br w:val="nil"/>
              <w:tr2bl w:val="nil"/>
            </w:tcBorders>
          </w:tcPr>
          <w:p>
            <w:pPr>
              <w:spacing w:line="560" w:lineRule="exact"/>
              <w:rPr>
                <w:rFonts w:ascii="宋体" w:hAnsi="宋体" w:cs="宋体"/>
                <w:b/>
                <w:bCs/>
                <w:position w:val="4"/>
                <w:sz w:val="32"/>
                <w:szCs w:val="32"/>
              </w:rPr>
            </w:pPr>
          </w:p>
        </w:tc>
        <w:tc>
          <w:tcPr>
            <w:tcW w:w="928" w:type="dxa"/>
            <w:tcBorders>
              <w:tl2br w:val="nil"/>
              <w:tr2bl w:val="nil"/>
            </w:tcBorders>
          </w:tcPr>
          <w:p>
            <w:pPr>
              <w:spacing w:line="560" w:lineRule="exact"/>
              <w:rPr>
                <w:rFonts w:ascii="宋体" w:hAnsi="宋体" w:cs="宋体"/>
                <w:b/>
                <w:bCs/>
                <w:position w:val="4"/>
                <w:sz w:val="32"/>
                <w:szCs w:val="32"/>
              </w:rPr>
            </w:pPr>
          </w:p>
        </w:tc>
        <w:tc>
          <w:tcPr>
            <w:tcW w:w="932" w:type="dxa"/>
            <w:tcBorders>
              <w:tl2br w:val="nil"/>
              <w:tr2bl w:val="nil"/>
            </w:tcBorders>
          </w:tcPr>
          <w:p>
            <w:pPr>
              <w:spacing w:line="560" w:lineRule="exact"/>
              <w:rPr>
                <w:rFonts w:ascii="宋体" w:hAnsi="宋体" w:cs="宋体"/>
                <w:b/>
                <w:bCs/>
                <w:position w:val="4"/>
                <w:sz w:val="32"/>
                <w:szCs w:val="32"/>
              </w:rPr>
            </w:pPr>
          </w:p>
        </w:tc>
        <w:tc>
          <w:tcPr>
            <w:tcW w:w="1065" w:type="dxa"/>
            <w:tcBorders>
              <w:tl2br w:val="nil"/>
              <w:tr2bl w:val="nil"/>
            </w:tcBorders>
          </w:tcPr>
          <w:p>
            <w:pPr>
              <w:spacing w:line="560" w:lineRule="exact"/>
              <w:rPr>
                <w:rFonts w:ascii="宋体" w:hAnsi="宋体" w:cs="宋体"/>
                <w:b/>
                <w:bCs/>
                <w:position w:val="4"/>
                <w:sz w:val="32"/>
                <w:szCs w:val="32"/>
              </w:rPr>
            </w:pPr>
          </w:p>
        </w:tc>
        <w:tc>
          <w:tcPr>
            <w:tcW w:w="1500" w:type="dxa"/>
            <w:tcBorders>
              <w:tl2br w:val="nil"/>
              <w:tr2bl w:val="nil"/>
            </w:tcBorders>
          </w:tcPr>
          <w:p>
            <w:pPr>
              <w:spacing w:line="560" w:lineRule="exact"/>
              <w:rPr>
                <w:rFonts w:ascii="宋体" w:hAnsi="宋体" w:cs="宋体"/>
                <w:b/>
                <w:bCs/>
                <w:position w:val="4"/>
                <w:sz w:val="32"/>
                <w:szCs w:val="32"/>
              </w:rPr>
            </w:pPr>
          </w:p>
        </w:tc>
        <w:tc>
          <w:tcPr>
            <w:tcW w:w="705" w:type="dxa"/>
            <w:tcBorders>
              <w:tl2br w:val="nil"/>
              <w:tr2bl w:val="nil"/>
            </w:tcBorders>
          </w:tcPr>
          <w:p>
            <w:pPr>
              <w:spacing w:line="560" w:lineRule="exact"/>
              <w:rPr>
                <w:rFonts w:ascii="宋体" w:hAnsi="宋体" w:cs="宋体"/>
                <w:b/>
                <w:bCs/>
                <w:position w:val="4"/>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10" w:type="dxa"/>
            <w:tcBorders>
              <w:tl2br w:val="nil"/>
              <w:tr2bl w:val="nil"/>
            </w:tcBorders>
          </w:tcPr>
          <w:p>
            <w:pPr>
              <w:spacing w:line="560" w:lineRule="exact"/>
              <w:rPr>
                <w:rFonts w:ascii="宋体" w:hAnsi="宋体" w:cs="宋体"/>
                <w:b/>
                <w:bCs/>
                <w:position w:val="4"/>
                <w:sz w:val="32"/>
                <w:szCs w:val="32"/>
              </w:rPr>
            </w:pPr>
            <w:r>
              <w:rPr>
                <w:rFonts w:hint="eastAsia" w:ascii="宋体" w:hAnsi="宋体" w:cs="宋体"/>
                <w:b/>
              </w:rPr>
              <w:t>总计</w:t>
            </w:r>
          </w:p>
        </w:tc>
        <w:tc>
          <w:tcPr>
            <w:tcW w:w="5978" w:type="dxa"/>
            <w:gridSpan w:val="6"/>
            <w:tcBorders>
              <w:tl2br w:val="nil"/>
              <w:tr2bl w:val="nil"/>
            </w:tcBorders>
          </w:tcPr>
          <w:p>
            <w:pPr>
              <w:spacing w:line="560" w:lineRule="exact"/>
              <w:rPr>
                <w:rFonts w:ascii="宋体" w:hAnsi="宋体" w:cs="宋体"/>
                <w:b/>
              </w:rPr>
            </w:pPr>
            <w:r>
              <w:rPr>
                <w:rFonts w:hint="eastAsia" w:ascii="宋体" w:hAnsi="宋体" w:cs="宋体"/>
                <w:b/>
              </w:rPr>
              <w:t>大写：</w:t>
            </w:r>
          </w:p>
        </w:tc>
        <w:tc>
          <w:tcPr>
            <w:tcW w:w="4202" w:type="dxa"/>
            <w:gridSpan w:val="4"/>
            <w:tcBorders>
              <w:tl2br w:val="nil"/>
              <w:tr2bl w:val="nil"/>
            </w:tcBorders>
          </w:tcPr>
          <w:p>
            <w:pPr>
              <w:spacing w:line="560" w:lineRule="exact"/>
              <w:rPr>
                <w:rFonts w:ascii="宋体" w:hAnsi="宋体" w:cs="宋体"/>
                <w:b/>
              </w:rPr>
            </w:pPr>
            <w:r>
              <w:rPr>
                <w:rFonts w:hint="eastAsia" w:ascii="宋体" w:hAnsi="宋体" w:cs="宋体"/>
                <w:b/>
              </w:rPr>
              <w:t>小写：</w:t>
            </w:r>
            <w:r>
              <w:rPr>
                <w:rFonts w:hint="eastAsia" w:ascii="宋体" w:hAnsi="宋体" w:cs="宋体"/>
              </w:rPr>
              <w:t>¥：</w:t>
            </w:r>
          </w:p>
        </w:tc>
      </w:tr>
    </w:tbl>
    <w:p>
      <w:pPr>
        <w:spacing w:line="460" w:lineRule="exact"/>
        <w:rPr>
          <w:rFonts w:ascii="宋体" w:hAnsi="宋体" w:cs="宋体"/>
          <w:position w:val="4"/>
          <w:szCs w:val="21"/>
        </w:rPr>
      </w:pPr>
      <w:r>
        <w:rPr>
          <w:rFonts w:hint="eastAsia" w:ascii="宋体" w:hAnsi="宋体" w:cs="宋体"/>
          <w:position w:val="4"/>
          <w:szCs w:val="21"/>
        </w:rPr>
        <w:t>注：1、投标人须按照此表格式进行报价，上述货物并非本次采购货物的全部，投标人根据采购要求自行填加。</w:t>
      </w:r>
    </w:p>
    <w:p>
      <w:pPr>
        <w:spacing w:line="460" w:lineRule="exact"/>
        <w:rPr>
          <w:rFonts w:ascii="宋体" w:hAnsi="宋体" w:cs="宋体"/>
          <w:position w:val="4"/>
          <w:szCs w:val="21"/>
        </w:rPr>
      </w:pPr>
      <w:r>
        <w:rPr>
          <w:rFonts w:hint="eastAsia" w:ascii="宋体" w:hAnsi="宋体" w:cs="宋体"/>
          <w:position w:val="4"/>
          <w:szCs w:val="21"/>
        </w:rPr>
        <w:t xml:space="preserve">    2、“分项报价表”各分项报价合计应当与“开标一览表”投标报价相等，报价精确到小数点后两位。</w:t>
      </w:r>
    </w:p>
    <w:p>
      <w:pPr>
        <w:spacing w:line="460" w:lineRule="exact"/>
        <w:rPr>
          <w:rFonts w:ascii="宋体" w:hAnsi="宋体" w:cs="宋体"/>
          <w:position w:val="4"/>
          <w:szCs w:val="21"/>
        </w:rPr>
      </w:pPr>
      <w:r>
        <w:rPr>
          <w:rFonts w:hint="eastAsia" w:ascii="宋体" w:hAnsi="宋体" w:cs="宋体"/>
          <w:position w:val="4"/>
          <w:szCs w:val="21"/>
        </w:rPr>
        <w:t xml:space="preserve">    3、如果不提供详细分项报价将视为没有实质性响应招标文件。</w:t>
      </w:r>
    </w:p>
    <w:p>
      <w:pPr>
        <w:spacing w:line="460" w:lineRule="exact"/>
        <w:rPr>
          <w:rFonts w:ascii="宋体" w:hAnsi="宋体" w:cs="宋体"/>
          <w:position w:val="4"/>
          <w:szCs w:val="21"/>
        </w:rPr>
      </w:pPr>
      <w:r>
        <w:rPr>
          <w:rFonts w:hint="eastAsia" w:ascii="宋体" w:hAnsi="宋体" w:cs="宋体"/>
          <w:position w:val="4"/>
          <w:szCs w:val="21"/>
        </w:rPr>
        <w:t xml:space="preserve">    4、如果按单价计算的结果与总价不一致时，以单价为准修正总价。</w:t>
      </w:r>
    </w:p>
    <w:p>
      <w:pPr>
        <w:spacing w:line="460" w:lineRule="exact"/>
        <w:ind w:firstLine="420"/>
        <w:rPr>
          <w:rFonts w:ascii="宋体" w:hAnsi="宋体" w:cs="宋体"/>
          <w:position w:val="4"/>
          <w:szCs w:val="21"/>
        </w:rPr>
      </w:pPr>
      <w:r>
        <w:rPr>
          <w:rFonts w:hint="eastAsia" w:ascii="宋体" w:hAnsi="宋体" w:cs="宋体"/>
          <w:position w:val="4"/>
          <w:szCs w:val="21"/>
        </w:rPr>
        <w:t>5、品牌和制造厂商指产品的品牌和生产厂商；小微企业是指制造厂商为“小型、微型企业”。</w:t>
      </w:r>
    </w:p>
    <w:p>
      <w:pPr>
        <w:spacing w:line="460" w:lineRule="exact"/>
        <w:ind w:firstLine="420"/>
        <w:rPr>
          <w:rFonts w:ascii="宋体" w:hAnsi="宋体" w:cs="宋体"/>
          <w:position w:val="4"/>
          <w:szCs w:val="21"/>
        </w:rPr>
      </w:pPr>
      <w:r>
        <w:rPr>
          <w:rFonts w:hint="eastAsia" w:ascii="宋体" w:hAnsi="宋体" w:cs="宋体"/>
          <w:position w:val="4"/>
          <w:szCs w:val="21"/>
        </w:rPr>
        <w:t>6、政策优惠企业类型是指投标单位属于小型企业或微型企业或监狱戒毒企业或残疾人福利企业，按实际情况填报。7、符合（财库[2019]27号）文件规定的投标产品或供应商，按实际情况填报。</w:t>
      </w:r>
    </w:p>
    <w:p>
      <w:pPr>
        <w:spacing w:line="460" w:lineRule="exact"/>
        <w:rPr>
          <w:rFonts w:ascii="宋体" w:hAnsi="宋体" w:cs="宋体"/>
          <w:position w:val="4"/>
          <w:szCs w:val="21"/>
        </w:rPr>
      </w:pPr>
      <w:r>
        <w:rPr>
          <w:rFonts w:hint="eastAsia" w:ascii="宋体" w:hAnsi="宋体" w:cs="宋体"/>
          <w:position w:val="4"/>
          <w:szCs w:val="21"/>
        </w:rPr>
        <w:t xml:space="preserve">    8、政策功能编码是指产品的中国环境标志认证证书编号、节能标志认证证书号。</w:t>
      </w:r>
    </w:p>
    <w:p>
      <w:pPr>
        <w:spacing w:line="460" w:lineRule="exact"/>
        <w:rPr>
          <w:rFonts w:ascii="宋体" w:hAnsi="宋体" w:cs="宋体"/>
          <w:position w:val="4"/>
          <w:szCs w:val="21"/>
        </w:rPr>
      </w:pPr>
      <w:r>
        <w:rPr>
          <w:rFonts w:hint="eastAsia" w:ascii="宋体" w:hAnsi="宋体" w:cs="宋体"/>
          <w:position w:val="4"/>
          <w:szCs w:val="21"/>
        </w:rPr>
        <w:t xml:space="preserve">    9、本表为多页的，每页均需由法定代表人或授权代表签字并盖投标人印章。</w:t>
      </w:r>
    </w:p>
    <w:p>
      <w:pPr>
        <w:spacing w:line="460" w:lineRule="exact"/>
        <w:ind w:firstLine="420"/>
        <w:rPr>
          <w:rFonts w:ascii="宋体" w:hAnsi="宋体" w:cs="宋体"/>
          <w:position w:val="4"/>
          <w:szCs w:val="21"/>
        </w:rPr>
      </w:pPr>
      <w:r>
        <w:rPr>
          <w:rFonts w:hint="eastAsia" w:ascii="宋体" w:hAnsi="宋体" w:cs="宋体"/>
          <w:position w:val="4"/>
          <w:szCs w:val="21"/>
        </w:rPr>
        <w:t>10、属于政策性企业的不填报的，进入环境标志清单、节能或环保的产品不填报的，在评审时都不予价格折扣。</w:t>
      </w:r>
    </w:p>
    <w:p>
      <w:pPr>
        <w:pStyle w:val="67"/>
        <w:spacing w:line="500" w:lineRule="exact"/>
        <w:jc w:val="left"/>
        <w:rPr>
          <w:rFonts w:ascii="宋体" w:hAnsi="宋体" w:cs="宋体"/>
          <w:b w:val="0"/>
          <w:sz w:val="21"/>
          <w:szCs w:val="21"/>
        </w:rPr>
      </w:pPr>
      <w:r>
        <w:rPr>
          <w:rFonts w:hint="eastAsia" w:ascii="宋体" w:hAnsi="宋体" w:cs="宋体"/>
          <w:b w:val="0"/>
          <w:sz w:val="21"/>
          <w:szCs w:val="21"/>
        </w:rPr>
        <w:t xml:space="preserve">                                   </w:t>
      </w:r>
    </w:p>
    <w:p>
      <w:pPr>
        <w:pStyle w:val="28"/>
        <w:jc w:val="right"/>
        <w:rPr>
          <w:b/>
        </w:rPr>
      </w:pPr>
      <w:r>
        <w:rPr>
          <w:rFonts w:hint="eastAsia"/>
        </w:rPr>
        <w:t xml:space="preserve">  投标人：               （单位全称、盖章）   </w:t>
      </w:r>
    </w:p>
    <w:p>
      <w:pPr>
        <w:pStyle w:val="28"/>
        <w:jc w:val="right"/>
        <w:rPr>
          <w:b/>
        </w:rPr>
      </w:pPr>
      <w:r>
        <w:rPr>
          <w:rFonts w:hint="eastAsia"/>
        </w:rPr>
        <w:t xml:space="preserve">                                      法定代表人或授权代表：     （盖章或签字）    </w:t>
      </w:r>
    </w:p>
    <w:p>
      <w:pPr>
        <w:pStyle w:val="28"/>
        <w:jc w:val="right"/>
        <w:rPr>
          <w:b/>
          <w:bCs/>
          <w:color w:val="000000"/>
          <w:sz w:val="36"/>
          <w:szCs w:val="36"/>
        </w:rPr>
      </w:pPr>
      <w:r>
        <w:rPr>
          <w:rFonts w:hint="eastAsia"/>
        </w:rPr>
        <w:t xml:space="preserve">                                           投标日期：        年    月    日</w:t>
      </w:r>
    </w:p>
    <w:p>
      <w:pPr>
        <w:spacing w:line="600" w:lineRule="exact"/>
        <w:jc w:val="center"/>
        <w:rPr>
          <w:rFonts w:ascii="宋体" w:hAnsi="宋体" w:cs="宋体"/>
          <w:b/>
          <w:bCs/>
          <w:color w:val="000000"/>
          <w:sz w:val="36"/>
          <w:szCs w:val="36"/>
        </w:rPr>
      </w:pPr>
    </w:p>
    <w:p>
      <w:pPr>
        <w:spacing w:line="600" w:lineRule="exact"/>
        <w:jc w:val="center"/>
        <w:rPr>
          <w:rFonts w:ascii="宋体" w:hAnsi="宋体" w:cs="宋体"/>
          <w:b/>
          <w:bCs/>
          <w:color w:val="000000"/>
          <w:sz w:val="36"/>
          <w:szCs w:val="36"/>
        </w:rPr>
      </w:pPr>
      <w:r>
        <w:rPr>
          <w:rFonts w:hint="eastAsia" w:ascii="宋体" w:hAnsi="宋体" w:cs="宋体"/>
          <w:b/>
          <w:bCs/>
          <w:color w:val="000000"/>
          <w:sz w:val="36"/>
          <w:szCs w:val="36"/>
        </w:rPr>
        <w:t>四、选配件报价表（若有）</w:t>
      </w:r>
    </w:p>
    <w:p>
      <w:pPr>
        <w:spacing w:line="560" w:lineRule="exact"/>
        <w:rPr>
          <w:rFonts w:ascii="宋体" w:hAnsi="宋体" w:cs="宋体"/>
          <w:b/>
          <w:bCs/>
          <w:color w:val="000000"/>
          <w:sz w:val="36"/>
          <w:szCs w:val="36"/>
        </w:rPr>
      </w:pPr>
      <w:r>
        <w:rPr>
          <w:rFonts w:hint="eastAsia" w:ascii="宋体" w:hAnsi="宋体" w:cs="宋体"/>
          <w:szCs w:val="21"/>
        </w:rPr>
        <w:t>投标人名称：</w:t>
      </w:r>
      <w:r>
        <w:rPr>
          <w:rFonts w:hint="eastAsia" w:ascii="宋体" w:hAnsi="宋体" w:cs="宋体"/>
          <w:szCs w:val="21"/>
          <w:u w:val="single"/>
        </w:rPr>
        <w:t xml:space="preserve">                          </w:t>
      </w:r>
      <w:r>
        <w:rPr>
          <w:rFonts w:hint="eastAsia" w:ascii="宋体" w:hAnsi="宋体" w:cs="宋体"/>
          <w:szCs w:val="21"/>
        </w:rPr>
        <w:t xml:space="preserve">                         项目编号：</w:t>
      </w:r>
      <w:r>
        <w:rPr>
          <w:rFonts w:hint="eastAsia" w:ascii="宋体" w:hAnsi="宋体" w:cs="宋体"/>
          <w:szCs w:val="21"/>
          <w:u w:val="single"/>
        </w:rPr>
        <w:t xml:space="preserve">              </w:t>
      </w:r>
    </w:p>
    <w:tbl>
      <w:tblPr>
        <w:tblStyle w:val="37"/>
        <w:tblW w:w="9210" w:type="dxa"/>
        <w:tblInd w:w="61"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75"/>
        <w:gridCol w:w="775"/>
        <w:gridCol w:w="775"/>
        <w:gridCol w:w="1320"/>
        <w:gridCol w:w="1140"/>
        <w:gridCol w:w="1230"/>
        <w:gridCol w:w="1320"/>
        <w:gridCol w:w="1125"/>
        <w:gridCol w:w="75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775" w:type="dxa"/>
            <w:tcBorders>
              <w:tl2br w:val="nil"/>
              <w:tr2bl w:val="nil"/>
            </w:tcBorders>
            <w:vAlign w:val="center"/>
          </w:tcPr>
          <w:p>
            <w:pPr>
              <w:spacing w:line="300" w:lineRule="exact"/>
              <w:jc w:val="center"/>
              <w:rPr>
                <w:rFonts w:ascii="宋体" w:hAnsi="宋体" w:cs="宋体"/>
                <w:b/>
                <w:bCs/>
                <w:position w:val="4"/>
                <w:sz w:val="32"/>
                <w:szCs w:val="32"/>
              </w:rPr>
            </w:pPr>
            <w:r>
              <w:rPr>
                <w:rFonts w:hint="eastAsia" w:ascii="宋体" w:hAnsi="宋体" w:cs="宋体"/>
                <w:b/>
              </w:rPr>
              <w:t>序号</w:t>
            </w:r>
          </w:p>
        </w:tc>
        <w:tc>
          <w:tcPr>
            <w:tcW w:w="775" w:type="dxa"/>
            <w:tcBorders>
              <w:tl2br w:val="nil"/>
              <w:tr2bl w:val="nil"/>
            </w:tcBorders>
            <w:vAlign w:val="center"/>
          </w:tcPr>
          <w:p>
            <w:pPr>
              <w:spacing w:line="300" w:lineRule="exact"/>
              <w:jc w:val="center"/>
              <w:rPr>
                <w:rFonts w:ascii="宋体" w:hAnsi="宋体" w:cs="宋体"/>
                <w:b/>
                <w:bCs/>
                <w:position w:val="4"/>
                <w:sz w:val="32"/>
                <w:szCs w:val="32"/>
              </w:rPr>
            </w:pPr>
            <w:r>
              <w:rPr>
                <w:rFonts w:hint="eastAsia" w:ascii="宋体" w:hAnsi="宋体" w:cs="宋体"/>
                <w:b/>
              </w:rPr>
              <w:t>名称</w:t>
            </w:r>
          </w:p>
        </w:tc>
        <w:tc>
          <w:tcPr>
            <w:tcW w:w="775" w:type="dxa"/>
            <w:tcBorders>
              <w:tl2br w:val="nil"/>
              <w:tr2bl w:val="nil"/>
            </w:tcBorders>
            <w:vAlign w:val="center"/>
          </w:tcPr>
          <w:p>
            <w:pPr>
              <w:spacing w:line="300" w:lineRule="exact"/>
              <w:jc w:val="center"/>
              <w:rPr>
                <w:rFonts w:ascii="宋体" w:hAnsi="宋体" w:cs="宋体"/>
                <w:b/>
                <w:bCs/>
                <w:position w:val="4"/>
                <w:sz w:val="32"/>
                <w:szCs w:val="32"/>
              </w:rPr>
            </w:pPr>
            <w:r>
              <w:rPr>
                <w:rFonts w:hint="eastAsia" w:ascii="宋体" w:hAnsi="宋体" w:cs="宋体"/>
                <w:b/>
              </w:rPr>
              <w:t>品牌</w:t>
            </w:r>
          </w:p>
        </w:tc>
        <w:tc>
          <w:tcPr>
            <w:tcW w:w="1320" w:type="dxa"/>
            <w:tcBorders>
              <w:tl2br w:val="nil"/>
              <w:tr2bl w:val="nil"/>
            </w:tcBorders>
            <w:vAlign w:val="center"/>
          </w:tcPr>
          <w:p>
            <w:pPr>
              <w:spacing w:line="300" w:lineRule="exact"/>
              <w:jc w:val="center"/>
              <w:rPr>
                <w:rFonts w:ascii="宋体" w:hAnsi="宋体" w:cs="宋体"/>
                <w:b/>
                <w:bCs/>
                <w:position w:val="4"/>
                <w:sz w:val="32"/>
                <w:szCs w:val="32"/>
              </w:rPr>
            </w:pPr>
            <w:r>
              <w:rPr>
                <w:rFonts w:hint="eastAsia" w:ascii="宋体" w:hAnsi="宋体" w:cs="宋体"/>
                <w:b/>
              </w:rPr>
              <w:t>型号和规格</w:t>
            </w:r>
          </w:p>
        </w:tc>
        <w:tc>
          <w:tcPr>
            <w:tcW w:w="1140" w:type="dxa"/>
            <w:tcBorders>
              <w:tl2br w:val="nil"/>
              <w:tr2bl w:val="nil"/>
            </w:tcBorders>
            <w:vAlign w:val="center"/>
          </w:tcPr>
          <w:p>
            <w:pPr>
              <w:spacing w:line="300" w:lineRule="exact"/>
              <w:jc w:val="center"/>
              <w:rPr>
                <w:rFonts w:ascii="宋体" w:hAnsi="宋体" w:cs="宋体"/>
                <w:b/>
                <w:bCs/>
                <w:position w:val="4"/>
                <w:sz w:val="32"/>
                <w:szCs w:val="32"/>
              </w:rPr>
            </w:pPr>
            <w:r>
              <w:rPr>
                <w:rFonts w:hint="eastAsia" w:ascii="宋体" w:hAnsi="宋体" w:cs="宋体"/>
                <w:b/>
              </w:rPr>
              <w:t>制造厂家</w:t>
            </w:r>
          </w:p>
        </w:tc>
        <w:tc>
          <w:tcPr>
            <w:tcW w:w="1230" w:type="dxa"/>
            <w:tcBorders>
              <w:tl2br w:val="nil"/>
              <w:tr2bl w:val="nil"/>
            </w:tcBorders>
            <w:vAlign w:val="center"/>
          </w:tcPr>
          <w:p>
            <w:pPr>
              <w:spacing w:line="300" w:lineRule="exact"/>
              <w:jc w:val="center"/>
              <w:rPr>
                <w:rFonts w:ascii="宋体" w:hAnsi="宋体" w:cs="宋体"/>
                <w:b/>
                <w:bCs/>
                <w:position w:val="4"/>
                <w:sz w:val="32"/>
                <w:szCs w:val="32"/>
              </w:rPr>
            </w:pPr>
            <w:r>
              <w:rPr>
                <w:rFonts w:hint="eastAsia" w:ascii="宋体" w:hAnsi="宋体" w:cs="宋体"/>
                <w:b/>
              </w:rPr>
              <w:t>单位/数量</w:t>
            </w:r>
          </w:p>
        </w:tc>
        <w:tc>
          <w:tcPr>
            <w:tcW w:w="1320" w:type="dxa"/>
            <w:tcBorders>
              <w:tl2br w:val="nil"/>
              <w:tr2bl w:val="nil"/>
            </w:tcBorders>
            <w:vAlign w:val="center"/>
          </w:tcPr>
          <w:p>
            <w:pPr>
              <w:spacing w:line="300" w:lineRule="exact"/>
              <w:jc w:val="center"/>
              <w:rPr>
                <w:rFonts w:ascii="宋体" w:hAnsi="宋体" w:cs="宋体"/>
                <w:b/>
                <w:bCs/>
                <w:position w:val="4"/>
                <w:sz w:val="32"/>
                <w:szCs w:val="32"/>
              </w:rPr>
            </w:pPr>
            <w:r>
              <w:rPr>
                <w:rFonts w:hint="eastAsia" w:ascii="宋体" w:hAnsi="宋体" w:cs="宋体"/>
                <w:b/>
              </w:rPr>
              <w:t>单价（元）</w:t>
            </w:r>
          </w:p>
        </w:tc>
        <w:tc>
          <w:tcPr>
            <w:tcW w:w="1125" w:type="dxa"/>
            <w:tcBorders>
              <w:tl2br w:val="nil"/>
              <w:tr2bl w:val="nil"/>
            </w:tcBorders>
            <w:vAlign w:val="center"/>
          </w:tcPr>
          <w:p>
            <w:pPr>
              <w:spacing w:line="300" w:lineRule="exact"/>
              <w:jc w:val="center"/>
              <w:rPr>
                <w:rFonts w:ascii="宋体" w:hAnsi="宋体" w:cs="宋体"/>
                <w:b/>
                <w:bCs/>
                <w:position w:val="4"/>
                <w:sz w:val="32"/>
                <w:szCs w:val="32"/>
              </w:rPr>
            </w:pPr>
            <w:r>
              <w:rPr>
                <w:rFonts w:hint="eastAsia" w:ascii="宋体" w:hAnsi="宋体" w:cs="宋体"/>
                <w:b/>
              </w:rPr>
              <w:t>总价（元）</w:t>
            </w:r>
          </w:p>
        </w:tc>
        <w:tc>
          <w:tcPr>
            <w:tcW w:w="750" w:type="dxa"/>
            <w:tcBorders>
              <w:tl2br w:val="nil"/>
              <w:tr2bl w:val="nil"/>
            </w:tcBorders>
            <w:vAlign w:val="center"/>
          </w:tcPr>
          <w:p>
            <w:pPr>
              <w:spacing w:line="300" w:lineRule="exact"/>
              <w:jc w:val="center"/>
              <w:rPr>
                <w:rFonts w:ascii="宋体" w:hAnsi="宋体" w:cs="宋体"/>
                <w:b/>
                <w:bCs/>
                <w:position w:val="4"/>
                <w:sz w:val="32"/>
                <w:szCs w:val="32"/>
              </w:rPr>
            </w:pPr>
            <w:r>
              <w:rPr>
                <w:rFonts w:hint="eastAsia" w:ascii="宋体" w:hAnsi="宋体" w:cs="宋体"/>
                <w:b/>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75" w:type="dxa"/>
            <w:tcBorders>
              <w:tl2br w:val="nil"/>
              <w:tr2bl w:val="nil"/>
            </w:tcBorders>
          </w:tcPr>
          <w:p>
            <w:pPr>
              <w:spacing w:line="560" w:lineRule="exact"/>
              <w:rPr>
                <w:rFonts w:ascii="宋体" w:hAnsi="宋体" w:cs="宋体"/>
                <w:b/>
                <w:bCs/>
                <w:position w:val="4"/>
                <w:sz w:val="32"/>
                <w:szCs w:val="32"/>
              </w:rPr>
            </w:pPr>
          </w:p>
        </w:tc>
        <w:tc>
          <w:tcPr>
            <w:tcW w:w="775" w:type="dxa"/>
            <w:tcBorders>
              <w:tl2br w:val="nil"/>
              <w:tr2bl w:val="nil"/>
            </w:tcBorders>
          </w:tcPr>
          <w:p>
            <w:pPr>
              <w:spacing w:line="560" w:lineRule="exact"/>
              <w:rPr>
                <w:rFonts w:ascii="宋体" w:hAnsi="宋体" w:cs="宋体"/>
                <w:b/>
                <w:bCs/>
                <w:position w:val="4"/>
                <w:sz w:val="32"/>
                <w:szCs w:val="32"/>
              </w:rPr>
            </w:pPr>
          </w:p>
        </w:tc>
        <w:tc>
          <w:tcPr>
            <w:tcW w:w="775" w:type="dxa"/>
            <w:tcBorders>
              <w:tl2br w:val="nil"/>
              <w:tr2bl w:val="nil"/>
            </w:tcBorders>
          </w:tcPr>
          <w:p>
            <w:pPr>
              <w:spacing w:line="560" w:lineRule="exact"/>
              <w:rPr>
                <w:rFonts w:ascii="宋体" w:hAnsi="宋体" w:cs="宋体"/>
                <w:b/>
                <w:bCs/>
                <w:position w:val="4"/>
                <w:sz w:val="32"/>
                <w:szCs w:val="32"/>
              </w:rPr>
            </w:pPr>
          </w:p>
        </w:tc>
        <w:tc>
          <w:tcPr>
            <w:tcW w:w="1320" w:type="dxa"/>
            <w:tcBorders>
              <w:tl2br w:val="nil"/>
              <w:tr2bl w:val="nil"/>
            </w:tcBorders>
          </w:tcPr>
          <w:p>
            <w:pPr>
              <w:spacing w:line="560" w:lineRule="exact"/>
              <w:rPr>
                <w:rFonts w:ascii="宋体" w:hAnsi="宋体" w:cs="宋体"/>
                <w:b/>
                <w:bCs/>
                <w:position w:val="4"/>
                <w:sz w:val="32"/>
                <w:szCs w:val="32"/>
              </w:rPr>
            </w:pPr>
          </w:p>
        </w:tc>
        <w:tc>
          <w:tcPr>
            <w:tcW w:w="1140" w:type="dxa"/>
            <w:tcBorders>
              <w:tl2br w:val="nil"/>
              <w:tr2bl w:val="nil"/>
            </w:tcBorders>
          </w:tcPr>
          <w:p>
            <w:pPr>
              <w:spacing w:line="560" w:lineRule="exact"/>
              <w:rPr>
                <w:rFonts w:ascii="宋体" w:hAnsi="宋体" w:cs="宋体"/>
                <w:b/>
                <w:bCs/>
                <w:position w:val="4"/>
                <w:sz w:val="32"/>
                <w:szCs w:val="32"/>
              </w:rPr>
            </w:pPr>
          </w:p>
        </w:tc>
        <w:tc>
          <w:tcPr>
            <w:tcW w:w="1230" w:type="dxa"/>
            <w:tcBorders>
              <w:tl2br w:val="nil"/>
              <w:tr2bl w:val="nil"/>
            </w:tcBorders>
          </w:tcPr>
          <w:p>
            <w:pPr>
              <w:spacing w:line="560" w:lineRule="exact"/>
              <w:rPr>
                <w:rFonts w:ascii="宋体" w:hAnsi="宋体" w:cs="宋体"/>
                <w:b/>
                <w:bCs/>
                <w:position w:val="4"/>
                <w:sz w:val="32"/>
                <w:szCs w:val="32"/>
              </w:rPr>
            </w:pPr>
          </w:p>
        </w:tc>
        <w:tc>
          <w:tcPr>
            <w:tcW w:w="1320" w:type="dxa"/>
            <w:tcBorders>
              <w:tl2br w:val="nil"/>
              <w:tr2bl w:val="nil"/>
            </w:tcBorders>
          </w:tcPr>
          <w:p>
            <w:pPr>
              <w:spacing w:line="560" w:lineRule="exact"/>
              <w:rPr>
                <w:rFonts w:ascii="宋体" w:hAnsi="宋体" w:cs="宋体"/>
                <w:b/>
                <w:bCs/>
                <w:position w:val="4"/>
                <w:sz w:val="32"/>
                <w:szCs w:val="32"/>
              </w:rPr>
            </w:pPr>
          </w:p>
        </w:tc>
        <w:tc>
          <w:tcPr>
            <w:tcW w:w="1125" w:type="dxa"/>
            <w:tcBorders>
              <w:tl2br w:val="nil"/>
              <w:tr2bl w:val="nil"/>
            </w:tcBorders>
          </w:tcPr>
          <w:p>
            <w:pPr>
              <w:spacing w:line="560" w:lineRule="exact"/>
              <w:rPr>
                <w:rFonts w:ascii="宋体" w:hAnsi="宋体" w:cs="宋体"/>
                <w:b/>
                <w:bCs/>
                <w:position w:val="4"/>
                <w:sz w:val="32"/>
                <w:szCs w:val="32"/>
              </w:rPr>
            </w:pPr>
          </w:p>
        </w:tc>
        <w:tc>
          <w:tcPr>
            <w:tcW w:w="750" w:type="dxa"/>
            <w:tcBorders>
              <w:tl2br w:val="nil"/>
              <w:tr2bl w:val="nil"/>
            </w:tcBorders>
          </w:tcPr>
          <w:p>
            <w:pPr>
              <w:spacing w:line="560" w:lineRule="exact"/>
              <w:rPr>
                <w:rFonts w:ascii="宋体" w:hAnsi="宋体" w:cs="宋体"/>
                <w:b/>
                <w:bCs/>
                <w:position w:val="4"/>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75" w:type="dxa"/>
            <w:tcBorders>
              <w:tl2br w:val="nil"/>
              <w:tr2bl w:val="nil"/>
            </w:tcBorders>
          </w:tcPr>
          <w:p>
            <w:pPr>
              <w:spacing w:line="560" w:lineRule="exact"/>
              <w:rPr>
                <w:rFonts w:ascii="宋体" w:hAnsi="宋体" w:cs="宋体"/>
                <w:b/>
                <w:bCs/>
                <w:position w:val="4"/>
                <w:sz w:val="32"/>
                <w:szCs w:val="32"/>
              </w:rPr>
            </w:pPr>
          </w:p>
        </w:tc>
        <w:tc>
          <w:tcPr>
            <w:tcW w:w="775" w:type="dxa"/>
            <w:tcBorders>
              <w:tl2br w:val="nil"/>
              <w:tr2bl w:val="nil"/>
            </w:tcBorders>
          </w:tcPr>
          <w:p>
            <w:pPr>
              <w:spacing w:line="560" w:lineRule="exact"/>
              <w:rPr>
                <w:rFonts w:ascii="宋体" w:hAnsi="宋体" w:cs="宋体"/>
                <w:b/>
                <w:bCs/>
                <w:position w:val="4"/>
                <w:sz w:val="32"/>
                <w:szCs w:val="32"/>
              </w:rPr>
            </w:pPr>
          </w:p>
        </w:tc>
        <w:tc>
          <w:tcPr>
            <w:tcW w:w="775" w:type="dxa"/>
            <w:tcBorders>
              <w:tl2br w:val="nil"/>
              <w:tr2bl w:val="nil"/>
            </w:tcBorders>
          </w:tcPr>
          <w:p>
            <w:pPr>
              <w:spacing w:line="560" w:lineRule="exact"/>
              <w:rPr>
                <w:rFonts w:ascii="宋体" w:hAnsi="宋体" w:cs="宋体"/>
                <w:b/>
                <w:bCs/>
                <w:position w:val="4"/>
                <w:sz w:val="32"/>
                <w:szCs w:val="32"/>
              </w:rPr>
            </w:pPr>
          </w:p>
        </w:tc>
        <w:tc>
          <w:tcPr>
            <w:tcW w:w="1320" w:type="dxa"/>
            <w:tcBorders>
              <w:tl2br w:val="nil"/>
              <w:tr2bl w:val="nil"/>
            </w:tcBorders>
          </w:tcPr>
          <w:p>
            <w:pPr>
              <w:spacing w:line="560" w:lineRule="exact"/>
              <w:rPr>
                <w:rFonts w:ascii="宋体" w:hAnsi="宋体" w:cs="宋体"/>
                <w:b/>
                <w:bCs/>
                <w:position w:val="4"/>
                <w:sz w:val="32"/>
                <w:szCs w:val="32"/>
              </w:rPr>
            </w:pPr>
          </w:p>
        </w:tc>
        <w:tc>
          <w:tcPr>
            <w:tcW w:w="1140" w:type="dxa"/>
            <w:tcBorders>
              <w:tl2br w:val="nil"/>
              <w:tr2bl w:val="nil"/>
            </w:tcBorders>
          </w:tcPr>
          <w:p>
            <w:pPr>
              <w:spacing w:line="560" w:lineRule="exact"/>
              <w:rPr>
                <w:rFonts w:ascii="宋体" w:hAnsi="宋体" w:cs="宋体"/>
                <w:b/>
                <w:bCs/>
                <w:position w:val="4"/>
                <w:sz w:val="32"/>
                <w:szCs w:val="32"/>
              </w:rPr>
            </w:pPr>
          </w:p>
        </w:tc>
        <w:tc>
          <w:tcPr>
            <w:tcW w:w="1230" w:type="dxa"/>
            <w:tcBorders>
              <w:tl2br w:val="nil"/>
              <w:tr2bl w:val="nil"/>
            </w:tcBorders>
          </w:tcPr>
          <w:p>
            <w:pPr>
              <w:spacing w:line="560" w:lineRule="exact"/>
              <w:rPr>
                <w:rFonts w:ascii="宋体" w:hAnsi="宋体" w:cs="宋体"/>
                <w:b/>
                <w:bCs/>
                <w:position w:val="4"/>
                <w:sz w:val="32"/>
                <w:szCs w:val="32"/>
              </w:rPr>
            </w:pPr>
          </w:p>
        </w:tc>
        <w:tc>
          <w:tcPr>
            <w:tcW w:w="1320" w:type="dxa"/>
            <w:tcBorders>
              <w:tl2br w:val="nil"/>
              <w:tr2bl w:val="nil"/>
            </w:tcBorders>
          </w:tcPr>
          <w:p>
            <w:pPr>
              <w:spacing w:line="560" w:lineRule="exact"/>
              <w:rPr>
                <w:rFonts w:ascii="宋体" w:hAnsi="宋体" w:cs="宋体"/>
                <w:b/>
                <w:bCs/>
                <w:position w:val="4"/>
                <w:sz w:val="32"/>
                <w:szCs w:val="32"/>
              </w:rPr>
            </w:pPr>
          </w:p>
        </w:tc>
        <w:tc>
          <w:tcPr>
            <w:tcW w:w="1125" w:type="dxa"/>
            <w:tcBorders>
              <w:tl2br w:val="nil"/>
              <w:tr2bl w:val="nil"/>
            </w:tcBorders>
          </w:tcPr>
          <w:p>
            <w:pPr>
              <w:spacing w:line="560" w:lineRule="exact"/>
              <w:rPr>
                <w:rFonts w:ascii="宋体" w:hAnsi="宋体" w:cs="宋体"/>
                <w:b/>
                <w:bCs/>
                <w:position w:val="4"/>
                <w:sz w:val="32"/>
                <w:szCs w:val="32"/>
              </w:rPr>
            </w:pPr>
          </w:p>
        </w:tc>
        <w:tc>
          <w:tcPr>
            <w:tcW w:w="750" w:type="dxa"/>
            <w:tcBorders>
              <w:tl2br w:val="nil"/>
              <w:tr2bl w:val="nil"/>
            </w:tcBorders>
          </w:tcPr>
          <w:p>
            <w:pPr>
              <w:spacing w:line="560" w:lineRule="exact"/>
              <w:rPr>
                <w:rFonts w:ascii="宋体" w:hAnsi="宋体" w:cs="宋体"/>
                <w:b/>
                <w:bCs/>
                <w:position w:val="4"/>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75" w:type="dxa"/>
            <w:tcBorders>
              <w:tl2br w:val="nil"/>
              <w:tr2bl w:val="nil"/>
            </w:tcBorders>
          </w:tcPr>
          <w:p>
            <w:pPr>
              <w:spacing w:line="560" w:lineRule="exact"/>
              <w:rPr>
                <w:rFonts w:ascii="宋体" w:hAnsi="宋体" w:cs="宋体"/>
                <w:b/>
                <w:bCs/>
                <w:position w:val="4"/>
                <w:sz w:val="32"/>
                <w:szCs w:val="32"/>
              </w:rPr>
            </w:pPr>
          </w:p>
        </w:tc>
        <w:tc>
          <w:tcPr>
            <w:tcW w:w="775" w:type="dxa"/>
            <w:tcBorders>
              <w:tl2br w:val="nil"/>
              <w:tr2bl w:val="nil"/>
            </w:tcBorders>
          </w:tcPr>
          <w:p>
            <w:pPr>
              <w:spacing w:line="560" w:lineRule="exact"/>
              <w:rPr>
                <w:rFonts w:ascii="宋体" w:hAnsi="宋体" w:cs="宋体"/>
                <w:b/>
                <w:bCs/>
                <w:position w:val="4"/>
                <w:sz w:val="32"/>
                <w:szCs w:val="32"/>
              </w:rPr>
            </w:pPr>
          </w:p>
        </w:tc>
        <w:tc>
          <w:tcPr>
            <w:tcW w:w="775" w:type="dxa"/>
            <w:tcBorders>
              <w:tl2br w:val="nil"/>
              <w:tr2bl w:val="nil"/>
            </w:tcBorders>
          </w:tcPr>
          <w:p>
            <w:pPr>
              <w:spacing w:line="560" w:lineRule="exact"/>
              <w:rPr>
                <w:rFonts w:ascii="宋体" w:hAnsi="宋体" w:cs="宋体"/>
                <w:b/>
                <w:bCs/>
                <w:position w:val="4"/>
                <w:sz w:val="32"/>
                <w:szCs w:val="32"/>
              </w:rPr>
            </w:pPr>
          </w:p>
        </w:tc>
        <w:tc>
          <w:tcPr>
            <w:tcW w:w="1320" w:type="dxa"/>
            <w:tcBorders>
              <w:tl2br w:val="nil"/>
              <w:tr2bl w:val="nil"/>
            </w:tcBorders>
          </w:tcPr>
          <w:p>
            <w:pPr>
              <w:spacing w:line="560" w:lineRule="exact"/>
              <w:rPr>
                <w:rFonts w:ascii="宋体" w:hAnsi="宋体" w:cs="宋体"/>
                <w:b/>
                <w:bCs/>
                <w:position w:val="4"/>
                <w:sz w:val="32"/>
                <w:szCs w:val="32"/>
              </w:rPr>
            </w:pPr>
          </w:p>
        </w:tc>
        <w:tc>
          <w:tcPr>
            <w:tcW w:w="1140" w:type="dxa"/>
            <w:tcBorders>
              <w:tl2br w:val="nil"/>
              <w:tr2bl w:val="nil"/>
            </w:tcBorders>
          </w:tcPr>
          <w:p>
            <w:pPr>
              <w:spacing w:line="560" w:lineRule="exact"/>
              <w:rPr>
                <w:rFonts w:ascii="宋体" w:hAnsi="宋体" w:cs="宋体"/>
                <w:b/>
                <w:bCs/>
                <w:position w:val="4"/>
                <w:sz w:val="32"/>
                <w:szCs w:val="32"/>
              </w:rPr>
            </w:pPr>
          </w:p>
        </w:tc>
        <w:tc>
          <w:tcPr>
            <w:tcW w:w="1230" w:type="dxa"/>
            <w:tcBorders>
              <w:tl2br w:val="nil"/>
              <w:tr2bl w:val="nil"/>
            </w:tcBorders>
          </w:tcPr>
          <w:p>
            <w:pPr>
              <w:spacing w:line="560" w:lineRule="exact"/>
              <w:rPr>
                <w:rFonts w:ascii="宋体" w:hAnsi="宋体" w:cs="宋体"/>
                <w:b/>
                <w:bCs/>
                <w:position w:val="4"/>
                <w:sz w:val="32"/>
                <w:szCs w:val="32"/>
              </w:rPr>
            </w:pPr>
          </w:p>
        </w:tc>
        <w:tc>
          <w:tcPr>
            <w:tcW w:w="1320" w:type="dxa"/>
            <w:tcBorders>
              <w:tl2br w:val="nil"/>
              <w:tr2bl w:val="nil"/>
            </w:tcBorders>
          </w:tcPr>
          <w:p>
            <w:pPr>
              <w:spacing w:line="560" w:lineRule="exact"/>
              <w:rPr>
                <w:rFonts w:ascii="宋体" w:hAnsi="宋体" w:cs="宋体"/>
                <w:b/>
                <w:bCs/>
                <w:position w:val="4"/>
                <w:sz w:val="32"/>
                <w:szCs w:val="32"/>
              </w:rPr>
            </w:pPr>
          </w:p>
        </w:tc>
        <w:tc>
          <w:tcPr>
            <w:tcW w:w="1125" w:type="dxa"/>
            <w:tcBorders>
              <w:tl2br w:val="nil"/>
              <w:tr2bl w:val="nil"/>
            </w:tcBorders>
          </w:tcPr>
          <w:p>
            <w:pPr>
              <w:spacing w:line="560" w:lineRule="exact"/>
              <w:rPr>
                <w:rFonts w:ascii="宋体" w:hAnsi="宋体" w:cs="宋体"/>
                <w:b/>
                <w:bCs/>
                <w:position w:val="4"/>
                <w:sz w:val="32"/>
                <w:szCs w:val="32"/>
              </w:rPr>
            </w:pPr>
          </w:p>
        </w:tc>
        <w:tc>
          <w:tcPr>
            <w:tcW w:w="750" w:type="dxa"/>
            <w:tcBorders>
              <w:tl2br w:val="nil"/>
              <w:tr2bl w:val="nil"/>
            </w:tcBorders>
          </w:tcPr>
          <w:p>
            <w:pPr>
              <w:spacing w:line="560" w:lineRule="exact"/>
              <w:rPr>
                <w:rFonts w:ascii="宋体" w:hAnsi="宋体" w:cs="宋体"/>
                <w:b/>
                <w:bCs/>
                <w:position w:val="4"/>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75" w:type="dxa"/>
            <w:tcBorders>
              <w:tl2br w:val="nil"/>
              <w:tr2bl w:val="nil"/>
            </w:tcBorders>
          </w:tcPr>
          <w:p>
            <w:pPr>
              <w:spacing w:line="560" w:lineRule="exact"/>
              <w:rPr>
                <w:rFonts w:ascii="宋体" w:hAnsi="宋体" w:cs="宋体"/>
                <w:b/>
                <w:bCs/>
                <w:position w:val="4"/>
                <w:sz w:val="32"/>
                <w:szCs w:val="32"/>
              </w:rPr>
            </w:pPr>
          </w:p>
        </w:tc>
        <w:tc>
          <w:tcPr>
            <w:tcW w:w="775" w:type="dxa"/>
            <w:tcBorders>
              <w:tl2br w:val="nil"/>
              <w:tr2bl w:val="nil"/>
            </w:tcBorders>
          </w:tcPr>
          <w:p>
            <w:pPr>
              <w:spacing w:line="560" w:lineRule="exact"/>
              <w:rPr>
                <w:rFonts w:ascii="宋体" w:hAnsi="宋体" w:cs="宋体"/>
                <w:b/>
                <w:bCs/>
                <w:position w:val="4"/>
                <w:sz w:val="32"/>
                <w:szCs w:val="32"/>
              </w:rPr>
            </w:pPr>
          </w:p>
        </w:tc>
        <w:tc>
          <w:tcPr>
            <w:tcW w:w="775" w:type="dxa"/>
            <w:tcBorders>
              <w:tl2br w:val="nil"/>
              <w:tr2bl w:val="nil"/>
            </w:tcBorders>
          </w:tcPr>
          <w:p>
            <w:pPr>
              <w:spacing w:line="560" w:lineRule="exact"/>
              <w:rPr>
                <w:rFonts w:ascii="宋体" w:hAnsi="宋体" w:cs="宋体"/>
                <w:b/>
                <w:bCs/>
                <w:position w:val="4"/>
                <w:sz w:val="32"/>
                <w:szCs w:val="32"/>
              </w:rPr>
            </w:pPr>
          </w:p>
        </w:tc>
        <w:tc>
          <w:tcPr>
            <w:tcW w:w="1320" w:type="dxa"/>
            <w:tcBorders>
              <w:tl2br w:val="nil"/>
              <w:tr2bl w:val="nil"/>
            </w:tcBorders>
          </w:tcPr>
          <w:p>
            <w:pPr>
              <w:spacing w:line="560" w:lineRule="exact"/>
              <w:rPr>
                <w:rFonts w:ascii="宋体" w:hAnsi="宋体" w:cs="宋体"/>
                <w:b/>
                <w:bCs/>
                <w:position w:val="4"/>
                <w:sz w:val="32"/>
                <w:szCs w:val="32"/>
              </w:rPr>
            </w:pPr>
          </w:p>
        </w:tc>
        <w:tc>
          <w:tcPr>
            <w:tcW w:w="1140" w:type="dxa"/>
            <w:tcBorders>
              <w:tl2br w:val="nil"/>
              <w:tr2bl w:val="nil"/>
            </w:tcBorders>
          </w:tcPr>
          <w:p>
            <w:pPr>
              <w:spacing w:line="560" w:lineRule="exact"/>
              <w:rPr>
                <w:rFonts w:ascii="宋体" w:hAnsi="宋体" w:cs="宋体"/>
                <w:b/>
                <w:bCs/>
                <w:position w:val="4"/>
                <w:sz w:val="32"/>
                <w:szCs w:val="32"/>
              </w:rPr>
            </w:pPr>
          </w:p>
        </w:tc>
        <w:tc>
          <w:tcPr>
            <w:tcW w:w="1230" w:type="dxa"/>
            <w:tcBorders>
              <w:tl2br w:val="nil"/>
              <w:tr2bl w:val="nil"/>
            </w:tcBorders>
          </w:tcPr>
          <w:p>
            <w:pPr>
              <w:spacing w:line="560" w:lineRule="exact"/>
              <w:rPr>
                <w:rFonts w:ascii="宋体" w:hAnsi="宋体" w:cs="宋体"/>
                <w:b/>
                <w:bCs/>
                <w:position w:val="4"/>
                <w:sz w:val="32"/>
                <w:szCs w:val="32"/>
              </w:rPr>
            </w:pPr>
          </w:p>
        </w:tc>
        <w:tc>
          <w:tcPr>
            <w:tcW w:w="1320" w:type="dxa"/>
            <w:tcBorders>
              <w:tl2br w:val="nil"/>
              <w:tr2bl w:val="nil"/>
            </w:tcBorders>
          </w:tcPr>
          <w:p>
            <w:pPr>
              <w:spacing w:line="560" w:lineRule="exact"/>
              <w:rPr>
                <w:rFonts w:ascii="宋体" w:hAnsi="宋体" w:cs="宋体"/>
                <w:b/>
                <w:bCs/>
                <w:position w:val="4"/>
                <w:sz w:val="32"/>
                <w:szCs w:val="32"/>
              </w:rPr>
            </w:pPr>
          </w:p>
        </w:tc>
        <w:tc>
          <w:tcPr>
            <w:tcW w:w="1125" w:type="dxa"/>
            <w:tcBorders>
              <w:tl2br w:val="nil"/>
              <w:tr2bl w:val="nil"/>
            </w:tcBorders>
          </w:tcPr>
          <w:p>
            <w:pPr>
              <w:spacing w:line="560" w:lineRule="exact"/>
              <w:rPr>
                <w:rFonts w:ascii="宋体" w:hAnsi="宋体" w:cs="宋体"/>
                <w:b/>
                <w:bCs/>
                <w:position w:val="4"/>
                <w:sz w:val="32"/>
                <w:szCs w:val="32"/>
              </w:rPr>
            </w:pPr>
          </w:p>
        </w:tc>
        <w:tc>
          <w:tcPr>
            <w:tcW w:w="750" w:type="dxa"/>
            <w:tcBorders>
              <w:tl2br w:val="nil"/>
              <w:tr2bl w:val="nil"/>
            </w:tcBorders>
          </w:tcPr>
          <w:p>
            <w:pPr>
              <w:spacing w:line="560" w:lineRule="exact"/>
              <w:rPr>
                <w:rFonts w:ascii="宋体" w:hAnsi="宋体" w:cs="宋体"/>
                <w:b/>
                <w:bCs/>
                <w:position w:val="4"/>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75" w:type="dxa"/>
            <w:tcBorders>
              <w:tl2br w:val="nil"/>
              <w:tr2bl w:val="nil"/>
            </w:tcBorders>
          </w:tcPr>
          <w:p>
            <w:pPr>
              <w:spacing w:line="560" w:lineRule="exact"/>
              <w:rPr>
                <w:rFonts w:ascii="宋体" w:hAnsi="宋体" w:cs="宋体"/>
                <w:b/>
                <w:bCs/>
                <w:position w:val="4"/>
                <w:sz w:val="32"/>
                <w:szCs w:val="32"/>
              </w:rPr>
            </w:pPr>
          </w:p>
        </w:tc>
        <w:tc>
          <w:tcPr>
            <w:tcW w:w="775" w:type="dxa"/>
            <w:tcBorders>
              <w:tl2br w:val="nil"/>
              <w:tr2bl w:val="nil"/>
            </w:tcBorders>
          </w:tcPr>
          <w:p>
            <w:pPr>
              <w:spacing w:line="560" w:lineRule="exact"/>
              <w:rPr>
                <w:rFonts w:ascii="宋体" w:hAnsi="宋体" w:cs="宋体"/>
                <w:b/>
                <w:bCs/>
                <w:position w:val="4"/>
                <w:sz w:val="32"/>
                <w:szCs w:val="32"/>
              </w:rPr>
            </w:pPr>
          </w:p>
        </w:tc>
        <w:tc>
          <w:tcPr>
            <w:tcW w:w="775" w:type="dxa"/>
            <w:tcBorders>
              <w:tl2br w:val="nil"/>
              <w:tr2bl w:val="nil"/>
            </w:tcBorders>
          </w:tcPr>
          <w:p>
            <w:pPr>
              <w:spacing w:line="560" w:lineRule="exact"/>
              <w:rPr>
                <w:rFonts w:ascii="宋体" w:hAnsi="宋体" w:cs="宋体"/>
                <w:b/>
                <w:bCs/>
                <w:position w:val="4"/>
                <w:sz w:val="32"/>
                <w:szCs w:val="32"/>
              </w:rPr>
            </w:pPr>
          </w:p>
        </w:tc>
        <w:tc>
          <w:tcPr>
            <w:tcW w:w="1320" w:type="dxa"/>
            <w:tcBorders>
              <w:tl2br w:val="nil"/>
              <w:tr2bl w:val="nil"/>
            </w:tcBorders>
          </w:tcPr>
          <w:p>
            <w:pPr>
              <w:spacing w:line="560" w:lineRule="exact"/>
              <w:rPr>
                <w:rFonts w:ascii="宋体" w:hAnsi="宋体" w:cs="宋体"/>
                <w:b/>
                <w:bCs/>
                <w:position w:val="4"/>
                <w:sz w:val="32"/>
                <w:szCs w:val="32"/>
              </w:rPr>
            </w:pPr>
          </w:p>
        </w:tc>
        <w:tc>
          <w:tcPr>
            <w:tcW w:w="1140" w:type="dxa"/>
            <w:tcBorders>
              <w:tl2br w:val="nil"/>
              <w:tr2bl w:val="nil"/>
            </w:tcBorders>
          </w:tcPr>
          <w:p>
            <w:pPr>
              <w:spacing w:line="560" w:lineRule="exact"/>
              <w:rPr>
                <w:rFonts w:ascii="宋体" w:hAnsi="宋体" w:cs="宋体"/>
                <w:b/>
                <w:bCs/>
                <w:position w:val="4"/>
                <w:sz w:val="32"/>
                <w:szCs w:val="32"/>
              </w:rPr>
            </w:pPr>
          </w:p>
        </w:tc>
        <w:tc>
          <w:tcPr>
            <w:tcW w:w="1230" w:type="dxa"/>
            <w:tcBorders>
              <w:tl2br w:val="nil"/>
              <w:tr2bl w:val="nil"/>
            </w:tcBorders>
          </w:tcPr>
          <w:p>
            <w:pPr>
              <w:spacing w:line="560" w:lineRule="exact"/>
              <w:rPr>
                <w:rFonts w:ascii="宋体" w:hAnsi="宋体" w:cs="宋体"/>
                <w:b/>
                <w:bCs/>
                <w:position w:val="4"/>
                <w:sz w:val="32"/>
                <w:szCs w:val="32"/>
              </w:rPr>
            </w:pPr>
          </w:p>
        </w:tc>
        <w:tc>
          <w:tcPr>
            <w:tcW w:w="1320" w:type="dxa"/>
            <w:tcBorders>
              <w:tl2br w:val="nil"/>
              <w:tr2bl w:val="nil"/>
            </w:tcBorders>
          </w:tcPr>
          <w:p>
            <w:pPr>
              <w:spacing w:line="560" w:lineRule="exact"/>
              <w:rPr>
                <w:rFonts w:ascii="宋体" w:hAnsi="宋体" w:cs="宋体"/>
                <w:b/>
                <w:bCs/>
                <w:position w:val="4"/>
                <w:sz w:val="32"/>
                <w:szCs w:val="32"/>
              </w:rPr>
            </w:pPr>
          </w:p>
        </w:tc>
        <w:tc>
          <w:tcPr>
            <w:tcW w:w="1125" w:type="dxa"/>
            <w:tcBorders>
              <w:tl2br w:val="nil"/>
              <w:tr2bl w:val="nil"/>
            </w:tcBorders>
          </w:tcPr>
          <w:p>
            <w:pPr>
              <w:spacing w:line="560" w:lineRule="exact"/>
              <w:rPr>
                <w:rFonts w:ascii="宋体" w:hAnsi="宋体" w:cs="宋体"/>
                <w:b/>
                <w:bCs/>
                <w:position w:val="4"/>
                <w:sz w:val="32"/>
                <w:szCs w:val="32"/>
              </w:rPr>
            </w:pPr>
          </w:p>
        </w:tc>
        <w:tc>
          <w:tcPr>
            <w:tcW w:w="750" w:type="dxa"/>
            <w:tcBorders>
              <w:tl2br w:val="nil"/>
              <w:tr2bl w:val="nil"/>
            </w:tcBorders>
          </w:tcPr>
          <w:p>
            <w:pPr>
              <w:spacing w:line="560" w:lineRule="exact"/>
              <w:rPr>
                <w:rFonts w:ascii="宋体" w:hAnsi="宋体" w:cs="宋体"/>
                <w:b/>
                <w:bCs/>
                <w:position w:val="4"/>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75" w:type="dxa"/>
            <w:tcBorders>
              <w:tl2br w:val="nil"/>
              <w:tr2bl w:val="nil"/>
            </w:tcBorders>
          </w:tcPr>
          <w:p>
            <w:pPr>
              <w:spacing w:line="560" w:lineRule="exact"/>
              <w:rPr>
                <w:rFonts w:ascii="宋体" w:hAnsi="宋体" w:cs="宋体"/>
                <w:b/>
                <w:bCs/>
                <w:position w:val="4"/>
                <w:sz w:val="32"/>
                <w:szCs w:val="32"/>
              </w:rPr>
            </w:pPr>
          </w:p>
        </w:tc>
        <w:tc>
          <w:tcPr>
            <w:tcW w:w="775" w:type="dxa"/>
            <w:tcBorders>
              <w:tl2br w:val="nil"/>
              <w:tr2bl w:val="nil"/>
            </w:tcBorders>
          </w:tcPr>
          <w:p>
            <w:pPr>
              <w:spacing w:line="560" w:lineRule="exact"/>
              <w:rPr>
                <w:rFonts w:ascii="宋体" w:hAnsi="宋体" w:cs="宋体"/>
                <w:b/>
                <w:bCs/>
                <w:position w:val="4"/>
                <w:sz w:val="32"/>
                <w:szCs w:val="32"/>
              </w:rPr>
            </w:pPr>
          </w:p>
        </w:tc>
        <w:tc>
          <w:tcPr>
            <w:tcW w:w="775" w:type="dxa"/>
            <w:tcBorders>
              <w:tl2br w:val="nil"/>
              <w:tr2bl w:val="nil"/>
            </w:tcBorders>
          </w:tcPr>
          <w:p>
            <w:pPr>
              <w:spacing w:line="560" w:lineRule="exact"/>
              <w:rPr>
                <w:rFonts w:ascii="宋体" w:hAnsi="宋体" w:cs="宋体"/>
                <w:b/>
                <w:bCs/>
                <w:position w:val="4"/>
                <w:sz w:val="32"/>
                <w:szCs w:val="32"/>
              </w:rPr>
            </w:pPr>
          </w:p>
        </w:tc>
        <w:tc>
          <w:tcPr>
            <w:tcW w:w="1320" w:type="dxa"/>
            <w:tcBorders>
              <w:tl2br w:val="nil"/>
              <w:tr2bl w:val="nil"/>
            </w:tcBorders>
          </w:tcPr>
          <w:p>
            <w:pPr>
              <w:spacing w:line="560" w:lineRule="exact"/>
              <w:rPr>
                <w:rFonts w:ascii="宋体" w:hAnsi="宋体" w:cs="宋体"/>
                <w:b/>
                <w:bCs/>
                <w:position w:val="4"/>
                <w:sz w:val="32"/>
                <w:szCs w:val="32"/>
              </w:rPr>
            </w:pPr>
          </w:p>
        </w:tc>
        <w:tc>
          <w:tcPr>
            <w:tcW w:w="1140" w:type="dxa"/>
            <w:tcBorders>
              <w:tl2br w:val="nil"/>
              <w:tr2bl w:val="nil"/>
            </w:tcBorders>
          </w:tcPr>
          <w:p>
            <w:pPr>
              <w:spacing w:line="560" w:lineRule="exact"/>
              <w:rPr>
                <w:rFonts w:ascii="宋体" w:hAnsi="宋体" w:cs="宋体"/>
                <w:b/>
                <w:bCs/>
                <w:position w:val="4"/>
                <w:sz w:val="32"/>
                <w:szCs w:val="32"/>
              </w:rPr>
            </w:pPr>
          </w:p>
        </w:tc>
        <w:tc>
          <w:tcPr>
            <w:tcW w:w="1230" w:type="dxa"/>
            <w:tcBorders>
              <w:tl2br w:val="nil"/>
              <w:tr2bl w:val="nil"/>
            </w:tcBorders>
          </w:tcPr>
          <w:p>
            <w:pPr>
              <w:spacing w:line="560" w:lineRule="exact"/>
              <w:rPr>
                <w:rFonts w:ascii="宋体" w:hAnsi="宋体" w:cs="宋体"/>
                <w:b/>
                <w:bCs/>
                <w:position w:val="4"/>
                <w:sz w:val="32"/>
                <w:szCs w:val="32"/>
              </w:rPr>
            </w:pPr>
          </w:p>
        </w:tc>
        <w:tc>
          <w:tcPr>
            <w:tcW w:w="1320" w:type="dxa"/>
            <w:tcBorders>
              <w:tl2br w:val="nil"/>
              <w:tr2bl w:val="nil"/>
            </w:tcBorders>
          </w:tcPr>
          <w:p>
            <w:pPr>
              <w:spacing w:line="560" w:lineRule="exact"/>
              <w:rPr>
                <w:rFonts w:ascii="宋体" w:hAnsi="宋体" w:cs="宋体"/>
                <w:b/>
                <w:bCs/>
                <w:position w:val="4"/>
                <w:sz w:val="32"/>
                <w:szCs w:val="32"/>
              </w:rPr>
            </w:pPr>
          </w:p>
        </w:tc>
        <w:tc>
          <w:tcPr>
            <w:tcW w:w="1125" w:type="dxa"/>
            <w:tcBorders>
              <w:tl2br w:val="nil"/>
              <w:tr2bl w:val="nil"/>
            </w:tcBorders>
          </w:tcPr>
          <w:p>
            <w:pPr>
              <w:spacing w:line="560" w:lineRule="exact"/>
              <w:rPr>
                <w:rFonts w:ascii="宋体" w:hAnsi="宋体" w:cs="宋体"/>
                <w:b/>
                <w:bCs/>
                <w:position w:val="4"/>
                <w:sz w:val="32"/>
                <w:szCs w:val="32"/>
              </w:rPr>
            </w:pPr>
          </w:p>
        </w:tc>
        <w:tc>
          <w:tcPr>
            <w:tcW w:w="750" w:type="dxa"/>
            <w:tcBorders>
              <w:tl2br w:val="nil"/>
              <w:tr2bl w:val="nil"/>
            </w:tcBorders>
          </w:tcPr>
          <w:p>
            <w:pPr>
              <w:spacing w:line="560" w:lineRule="exact"/>
              <w:rPr>
                <w:rFonts w:ascii="宋体" w:hAnsi="宋体" w:cs="宋体"/>
                <w:b/>
                <w:bCs/>
                <w:position w:val="4"/>
                <w:sz w:val="32"/>
                <w:szCs w:val="32"/>
              </w:rPr>
            </w:pPr>
          </w:p>
        </w:tc>
      </w:tr>
    </w:tbl>
    <w:p>
      <w:pPr>
        <w:spacing w:line="500" w:lineRule="exact"/>
        <w:ind w:firstLine="420"/>
        <w:rPr>
          <w:rFonts w:ascii="宋体" w:hAnsi="宋体" w:cs="宋体"/>
          <w:position w:val="4"/>
          <w:szCs w:val="21"/>
        </w:rPr>
      </w:pPr>
      <w:r>
        <w:rPr>
          <w:rFonts w:hint="eastAsia" w:ascii="宋体" w:hAnsi="宋体" w:cs="宋体"/>
          <w:position w:val="4"/>
          <w:szCs w:val="21"/>
        </w:rPr>
        <w:t>注：投标人需填写所有设备的备品备件清单。</w:t>
      </w:r>
    </w:p>
    <w:p>
      <w:pPr>
        <w:spacing w:line="500" w:lineRule="exact"/>
        <w:ind w:firstLine="420"/>
        <w:rPr>
          <w:rFonts w:ascii="宋体" w:hAnsi="宋体" w:cs="宋体"/>
          <w:position w:val="4"/>
          <w:szCs w:val="21"/>
        </w:rPr>
      </w:pPr>
    </w:p>
    <w:p>
      <w:pPr>
        <w:pStyle w:val="21"/>
      </w:pPr>
    </w:p>
    <w:p>
      <w:pPr>
        <w:pStyle w:val="21"/>
        <w:rPr>
          <w:b/>
        </w:rPr>
      </w:pPr>
      <w:r>
        <w:rPr>
          <w:rFonts w:hint="eastAsia"/>
        </w:rPr>
        <w:t xml:space="preserve">                                            投标人：</w:t>
      </w:r>
      <w:r>
        <w:rPr>
          <w:rFonts w:hint="eastAsia"/>
          <w:u w:val="single"/>
        </w:rPr>
        <w:t xml:space="preserve">               （单位全称、盖章）   </w:t>
      </w:r>
    </w:p>
    <w:p>
      <w:pPr>
        <w:pStyle w:val="21"/>
        <w:rPr>
          <w:b/>
        </w:rPr>
      </w:pPr>
      <w:r>
        <w:rPr>
          <w:rFonts w:hint="eastAsia"/>
        </w:rPr>
        <w:t xml:space="preserve">                                            法定代表人或授权代表：</w:t>
      </w:r>
      <w:r>
        <w:rPr>
          <w:rFonts w:hint="eastAsia"/>
          <w:u w:val="single"/>
        </w:rPr>
        <w:t xml:space="preserve">     （盖章或签字）    </w:t>
      </w:r>
    </w:p>
    <w:p>
      <w:pPr>
        <w:pStyle w:val="21"/>
        <w:rPr>
          <w:b/>
          <w:bCs/>
        </w:rPr>
      </w:pPr>
      <w:r>
        <w:rPr>
          <w:rFonts w:hint="eastAsia"/>
        </w:rPr>
        <w:t xml:space="preserve">                                            投标日期：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bookmarkEnd w:id="18"/>
    <w:p>
      <w:pPr>
        <w:pStyle w:val="21"/>
        <w:ind w:firstLine="0"/>
        <w:rPr>
          <w:b/>
          <w:bCs/>
          <w:color w:val="000000"/>
          <w:sz w:val="36"/>
          <w:szCs w:val="36"/>
        </w:rPr>
      </w:pPr>
      <w:r>
        <w:rPr>
          <w:b/>
          <w:bCs/>
          <w:color w:val="000000"/>
          <w:sz w:val="36"/>
          <w:szCs w:val="36"/>
        </w:rPr>
        <w:br w:type="page"/>
      </w:r>
    </w:p>
    <w:p>
      <w:pPr>
        <w:spacing w:line="560" w:lineRule="exact"/>
        <w:jc w:val="center"/>
        <w:rPr>
          <w:rFonts w:ascii="宋体" w:hAnsi="宋体" w:cs="宋体"/>
          <w:b/>
          <w:bCs/>
          <w:color w:val="000000"/>
          <w:sz w:val="36"/>
          <w:szCs w:val="36"/>
        </w:rPr>
      </w:pPr>
      <w:r>
        <w:rPr>
          <w:rFonts w:hint="eastAsia" w:ascii="宋体" w:hAnsi="宋体" w:cs="宋体"/>
          <w:b/>
          <w:bCs/>
          <w:color w:val="000000"/>
          <w:sz w:val="36"/>
          <w:szCs w:val="36"/>
        </w:rPr>
        <w:t>五、资格文件</w:t>
      </w:r>
    </w:p>
    <w:p>
      <w:pPr>
        <w:spacing w:line="440" w:lineRule="exact"/>
        <w:rPr>
          <w:rFonts w:ascii="宋体" w:hAnsi="宋体" w:cs="宋体"/>
          <w:szCs w:val="21"/>
        </w:rPr>
      </w:pPr>
      <w:r>
        <w:rPr>
          <w:rFonts w:hint="eastAsia" w:ascii="宋体" w:hAnsi="宋体" w:cs="宋体"/>
          <w:b/>
          <w:sz w:val="28"/>
          <w:szCs w:val="28"/>
        </w:rPr>
        <w:t>1、投标人基本情况表</w:t>
      </w:r>
    </w:p>
    <w:tbl>
      <w:tblPr>
        <w:tblStyle w:val="37"/>
        <w:tblW w:w="940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11"/>
        <w:gridCol w:w="2049"/>
        <w:gridCol w:w="1880"/>
        <w:gridCol w:w="1880"/>
        <w:gridCol w:w="188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711" w:type="dxa"/>
            <w:tcBorders>
              <w:tl2br w:val="nil"/>
              <w:tr2bl w:val="nil"/>
            </w:tcBorders>
            <w:vAlign w:val="center"/>
          </w:tcPr>
          <w:p>
            <w:pPr>
              <w:autoSpaceDE w:val="0"/>
              <w:autoSpaceDN w:val="0"/>
              <w:adjustRightInd w:val="0"/>
              <w:spacing w:line="400" w:lineRule="exact"/>
              <w:jc w:val="center"/>
              <w:rPr>
                <w:rFonts w:ascii="宋体" w:hAnsi="宋体" w:cs="宋体"/>
                <w:szCs w:val="21"/>
              </w:rPr>
            </w:pPr>
            <w:r>
              <w:rPr>
                <w:rFonts w:hint="eastAsia" w:ascii="宋体" w:hAnsi="宋体" w:cs="宋体"/>
                <w:szCs w:val="21"/>
              </w:rPr>
              <w:t>投标人名称</w:t>
            </w:r>
          </w:p>
        </w:tc>
        <w:tc>
          <w:tcPr>
            <w:tcW w:w="7690" w:type="dxa"/>
            <w:gridSpan w:val="4"/>
            <w:tcBorders>
              <w:tl2br w:val="nil"/>
              <w:tr2bl w:val="nil"/>
            </w:tcBorders>
            <w:vAlign w:val="center"/>
          </w:tcPr>
          <w:p>
            <w:pPr>
              <w:autoSpaceDE w:val="0"/>
              <w:autoSpaceDN w:val="0"/>
              <w:adjustRightInd w:val="0"/>
              <w:spacing w:line="400" w:lineRule="exact"/>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711" w:type="dxa"/>
            <w:tcBorders>
              <w:tl2br w:val="nil"/>
              <w:tr2bl w:val="nil"/>
            </w:tcBorders>
            <w:vAlign w:val="center"/>
          </w:tcPr>
          <w:p>
            <w:pPr>
              <w:autoSpaceDE w:val="0"/>
              <w:autoSpaceDN w:val="0"/>
              <w:adjustRightInd w:val="0"/>
              <w:spacing w:line="400" w:lineRule="exact"/>
              <w:jc w:val="center"/>
              <w:rPr>
                <w:rFonts w:ascii="宋体" w:hAnsi="宋体" w:cs="宋体"/>
                <w:szCs w:val="21"/>
              </w:rPr>
            </w:pPr>
            <w:r>
              <w:rPr>
                <w:rFonts w:hint="eastAsia" w:ascii="宋体" w:hAnsi="宋体" w:cs="宋体"/>
                <w:szCs w:val="21"/>
              </w:rPr>
              <w:t>注册地址</w:t>
            </w:r>
          </w:p>
        </w:tc>
        <w:tc>
          <w:tcPr>
            <w:tcW w:w="3929" w:type="dxa"/>
            <w:gridSpan w:val="2"/>
            <w:tcBorders>
              <w:tl2br w:val="nil"/>
              <w:tr2bl w:val="nil"/>
            </w:tcBorders>
            <w:vAlign w:val="center"/>
          </w:tcPr>
          <w:p>
            <w:pPr>
              <w:autoSpaceDE w:val="0"/>
              <w:autoSpaceDN w:val="0"/>
              <w:adjustRightInd w:val="0"/>
              <w:spacing w:line="400" w:lineRule="exact"/>
              <w:jc w:val="center"/>
              <w:rPr>
                <w:rFonts w:ascii="宋体" w:hAnsi="宋体" w:cs="宋体"/>
                <w:szCs w:val="21"/>
              </w:rPr>
            </w:pPr>
          </w:p>
        </w:tc>
        <w:tc>
          <w:tcPr>
            <w:tcW w:w="1880" w:type="dxa"/>
            <w:tcBorders>
              <w:tl2br w:val="nil"/>
              <w:tr2bl w:val="nil"/>
            </w:tcBorders>
            <w:vAlign w:val="center"/>
          </w:tcPr>
          <w:p>
            <w:pPr>
              <w:autoSpaceDE w:val="0"/>
              <w:autoSpaceDN w:val="0"/>
              <w:adjustRightInd w:val="0"/>
              <w:spacing w:line="400" w:lineRule="exact"/>
              <w:jc w:val="center"/>
              <w:rPr>
                <w:rFonts w:ascii="宋体" w:hAnsi="宋体" w:cs="宋体"/>
                <w:szCs w:val="21"/>
              </w:rPr>
            </w:pPr>
            <w:r>
              <w:rPr>
                <w:rFonts w:hint="eastAsia" w:ascii="宋体" w:hAnsi="宋体" w:cs="宋体"/>
                <w:szCs w:val="21"/>
              </w:rPr>
              <w:t>邮政编码</w:t>
            </w:r>
          </w:p>
        </w:tc>
        <w:tc>
          <w:tcPr>
            <w:tcW w:w="1881" w:type="dxa"/>
            <w:tcBorders>
              <w:tl2br w:val="nil"/>
              <w:tr2bl w:val="nil"/>
            </w:tcBorders>
            <w:vAlign w:val="center"/>
          </w:tcPr>
          <w:p>
            <w:pPr>
              <w:spacing w:line="440" w:lineRule="exact"/>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711" w:type="dxa"/>
            <w:vMerge w:val="restart"/>
            <w:tcBorders>
              <w:tl2br w:val="nil"/>
              <w:tr2bl w:val="nil"/>
            </w:tcBorders>
            <w:vAlign w:val="center"/>
          </w:tcPr>
          <w:p>
            <w:pPr>
              <w:spacing w:line="440" w:lineRule="exact"/>
              <w:jc w:val="center"/>
              <w:rPr>
                <w:rFonts w:ascii="宋体" w:hAnsi="宋体" w:cs="宋体"/>
                <w:szCs w:val="21"/>
              </w:rPr>
            </w:pPr>
            <w:r>
              <w:rPr>
                <w:rFonts w:hint="eastAsia" w:ascii="宋体" w:hAnsi="宋体" w:cs="宋体"/>
                <w:szCs w:val="21"/>
              </w:rPr>
              <w:t>联系方式</w:t>
            </w:r>
          </w:p>
        </w:tc>
        <w:tc>
          <w:tcPr>
            <w:tcW w:w="2049" w:type="dxa"/>
            <w:tcBorders>
              <w:tl2br w:val="nil"/>
              <w:tr2bl w:val="nil"/>
            </w:tcBorders>
            <w:vAlign w:val="center"/>
          </w:tcPr>
          <w:p>
            <w:pPr>
              <w:autoSpaceDE w:val="0"/>
              <w:autoSpaceDN w:val="0"/>
              <w:adjustRightInd w:val="0"/>
              <w:spacing w:line="400" w:lineRule="exact"/>
              <w:jc w:val="center"/>
              <w:rPr>
                <w:rFonts w:ascii="宋体" w:hAnsi="宋体" w:cs="宋体"/>
                <w:szCs w:val="21"/>
              </w:rPr>
            </w:pPr>
            <w:r>
              <w:rPr>
                <w:rFonts w:hint="eastAsia" w:ascii="宋体" w:hAnsi="宋体" w:cs="宋体"/>
                <w:szCs w:val="21"/>
              </w:rPr>
              <w:t>联系人</w:t>
            </w:r>
          </w:p>
        </w:tc>
        <w:tc>
          <w:tcPr>
            <w:tcW w:w="1880" w:type="dxa"/>
            <w:tcBorders>
              <w:tl2br w:val="nil"/>
              <w:tr2bl w:val="nil"/>
            </w:tcBorders>
            <w:vAlign w:val="center"/>
          </w:tcPr>
          <w:p>
            <w:pPr>
              <w:autoSpaceDE w:val="0"/>
              <w:autoSpaceDN w:val="0"/>
              <w:adjustRightInd w:val="0"/>
              <w:spacing w:line="400" w:lineRule="exact"/>
              <w:jc w:val="center"/>
              <w:rPr>
                <w:rFonts w:ascii="宋体" w:hAnsi="宋体" w:cs="宋体"/>
                <w:szCs w:val="21"/>
              </w:rPr>
            </w:pPr>
          </w:p>
        </w:tc>
        <w:tc>
          <w:tcPr>
            <w:tcW w:w="1880" w:type="dxa"/>
            <w:tcBorders>
              <w:tl2br w:val="nil"/>
              <w:tr2bl w:val="nil"/>
            </w:tcBorders>
            <w:vAlign w:val="center"/>
          </w:tcPr>
          <w:p>
            <w:pPr>
              <w:autoSpaceDE w:val="0"/>
              <w:autoSpaceDN w:val="0"/>
              <w:adjustRightInd w:val="0"/>
              <w:spacing w:line="400" w:lineRule="exact"/>
              <w:jc w:val="center"/>
              <w:rPr>
                <w:rFonts w:ascii="宋体" w:hAnsi="宋体" w:cs="宋体"/>
                <w:szCs w:val="21"/>
              </w:rPr>
            </w:pPr>
            <w:r>
              <w:rPr>
                <w:rFonts w:hint="eastAsia" w:ascii="宋体" w:hAnsi="宋体" w:cs="宋体"/>
                <w:szCs w:val="21"/>
              </w:rPr>
              <w:t>电话</w:t>
            </w:r>
          </w:p>
        </w:tc>
        <w:tc>
          <w:tcPr>
            <w:tcW w:w="1881" w:type="dxa"/>
            <w:tcBorders>
              <w:tl2br w:val="nil"/>
              <w:tr2bl w:val="nil"/>
            </w:tcBorders>
            <w:vAlign w:val="center"/>
          </w:tcPr>
          <w:p>
            <w:pPr>
              <w:spacing w:line="440" w:lineRule="exact"/>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711" w:type="dxa"/>
            <w:vMerge w:val="continue"/>
            <w:tcBorders>
              <w:tl2br w:val="nil"/>
              <w:tr2bl w:val="nil"/>
            </w:tcBorders>
            <w:vAlign w:val="center"/>
          </w:tcPr>
          <w:p>
            <w:pPr>
              <w:spacing w:line="440" w:lineRule="exact"/>
              <w:jc w:val="center"/>
              <w:rPr>
                <w:rFonts w:ascii="宋体" w:hAnsi="宋体" w:cs="宋体"/>
                <w:szCs w:val="21"/>
              </w:rPr>
            </w:pPr>
          </w:p>
        </w:tc>
        <w:tc>
          <w:tcPr>
            <w:tcW w:w="2049" w:type="dxa"/>
            <w:tcBorders>
              <w:tl2br w:val="nil"/>
              <w:tr2bl w:val="nil"/>
            </w:tcBorders>
            <w:vAlign w:val="center"/>
          </w:tcPr>
          <w:p>
            <w:pPr>
              <w:autoSpaceDE w:val="0"/>
              <w:autoSpaceDN w:val="0"/>
              <w:adjustRightInd w:val="0"/>
              <w:spacing w:line="400" w:lineRule="exact"/>
              <w:jc w:val="center"/>
              <w:rPr>
                <w:rFonts w:ascii="宋体" w:hAnsi="宋体" w:cs="宋体"/>
                <w:szCs w:val="21"/>
              </w:rPr>
            </w:pPr>
            <w:r>
              <w:rPr>
                <w:rFonts w:hint="eastAsia" w:ascii="宋体" w:hAnsi="宋体" w:cs="宋体"/>
                <w:szCs w:val="21"/>
              </w:rPr>
              <w:t>传真</w:t>
            </w:r>
          </w:p>
        </w:tc>
        <w:tc>
          <w:tcPr>
            <w:tcW w:w="1880" w:type="dxa"/>
            <w:tcBorders>
              <w:tl2br w:val="nil"/>
              <w:tr2bl w:val="nil"/>
            </w:tcBorders>
            <w:vAlign w:val="center"/>
          </w:tcPr>
          <w:p>
            <w:pPr>
              <w:autoSpaceDE w:val="0"/>
              <w:autoSpaceDN w:val="0"/>
              <w:adjustRightInd w:val="0"/>
              <w:spacing w:line="400" w:lineRule="exact"/>
              <w:jc w:val="center"/>
              <w:rPr>
                <w:rFonts w:ascii="宋体" w:hAnsi="宋体" w:cs="宋体"/>
                <w:szCs w:val="21"/>
              </w:rPr>
            </w:pPr>
          </w:p>
        </w:tc>
        <w:tc>
          <w:tcPr>
            <w:tcW w:w="1880" w:type="dxa"/>
            <w:tcBorders>
              <w:tl2br w:val="nil"/>
              <w:tr2bl w:val="nil"/>
            </w:tcBorders>
            <w:vAlign w:val="center"/>
          </w:tcPr>
          <w:p>
            <w:pPr>
              <w:autoSpaceDE w:val="0"/>
              <w:autoSpaceDN w:val="0"/>
              <w:adjustRightInd w:val="0"/>
              <w:spacing w:line="400" w:lineRule="exact"/>
              <w:jc w:val="center"/>
              <w:rPr>
                <w:rFonts w:ascii="宋体" w:hAnsi="宋体" w:cs="宋体"/>
                <w:szCs w:val="21"/>
              </w:rPr>
            </w:pPr>
            <w:r>
              <w:rPr>
                <w:rFonts w:hint="eastAsia" w:ascii="宋体" w:hAnsi="宋体" w:cs="宋体"/>
                <w:szCs w:val="21"/>
              </w:rPr>
              <w:t>网址</w:t>
            </w:r>
          </w:p>
        </w:tc>
        <w:tc>
          <w:tcPr>
            <w:tcW w:w="1881" w:type="dxa"/>
            <w:tcBorders>
              <w:tl2br w:val="nil"/>
              <w:tr2bl w:val="nil"/>
            </w:tcBorders>
            <w:vAlign w:val="center"/>
          </w:tcPr>
          <w:p>
            <w:pPr>
              <w:spacing w:line="440" w:lineRule="exact"/>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711" w:type="dxa"/>
            <w:tcBorders>
              <w:tl2br w:val="nil"/>
              <w:tr2bl w:val="nil"/>
            </w:tcBorders>
            <w:vAlign w:val="center"/>
          </w:tcPr>
          <w:p>
            <w:pPr>
              <w:spacing w:line="440" w:lineRule="exact"/>
              <w:jc w:val="center"/>
              <w:rPr>
                <w:rFonts w:ascii="宋体" w:hAnsi="宋体" w:cs="宋体"/>
                <w:szCs w:val="21"/>
              </w:rPr>
            </w:pPr>
            <w:r>
              <w:rPr>
                <w:rFonts w:hint="eastAsia" w:ascii="宋体" w:hAnsi="宋体" w:cs="宋体"/>
                <w:szCs w:val="21"/>
              </w:rPr>
              <w:t>单位性质</w:t>
            </w:r>
          </w:p>
        </w:tc>
        <w:tc>
          <w:tcPr>
            <w:tcW w:w="7690" w:type="dxa"/>
            <w:gridSpan w:val="4"/>
            <w:tcBorders>
              <w:tl2br w:val="nil"/>
              <w:tr2bl w:val="nil"/>
            </w:tcBorders>
            <w:vAlign w:val="center"/>
          </w:tcPr>
          <w:p>
            <w:pPr>
              <w:spacing w:line="440" w:lineRule="exact"/>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711" w:type="dxa"/>
            <w:tcBorders>
              <w:tl2br w:val="nil"/>
              <w:tr2bl w:val="nil"/>
            </w:tcBorders>
            <w:vAlign w:val="center"/>
          </w:tcPr>
          <w:p>
            <w:pPr>
              <w:autoSpaceDE w:val="0"/>
              <w:autoSpaceDN w:val="0"/>
              <w:adjustRightInd w:val="0"/>
              <w:spacing w:line="400" w:lineRule="exact"/>
              <w:jc w:val="center"/>
              <w:rPr>
                <w:rFonts w:ascii="宋体" w:hAnsi="宋体" w:cs="宋体"/>
                <w:szCs w:val="21"/>
              </w:rPr>
            </w:pPr>
            <w:r>
              <w:rPr>
                <w:rFonts w:hint="eastAsia" w:ascii="宋体" w:hAnsi="宋体" w:cs="宋体"/>
                <w:szCs w:val="21"/>
              </w:rPr>
              <w:t>法定代表人</w:t>
            </w:r>
          </w:p>
        </w:tc>
        <w:tc>
          <w:tcPr>
            <w:tcW w:w="2049" w:type="dxa"/>
            <w:tcBorders>
              <w:tl2br w:val="nil"/>
              <w:tr2bl w:val="nil"/>
            </w:tcBorders>
            <w:vAlign w:val="center"/>
          </w:tcPr>
          <w:p>
            <w:pPr>
              <w:autoSpaceDE w:val="0"/>
              <w:autoSpaceDN w:val="0"/>
              <w:adjustRightInd w:val="0"/>
              <w:spacing w:line="400" w:lineRule="exact"/>
              <w:jc w:val="center"/>
              <w:rPr>
                <w:rFonts w:ascii="宋体" w:hAnsi="宋体" w:cs="宋体"/>
                <w:szCs w:val="21"/>
              </w:rPr>
            </w:pPr>
            <w:r>
              <w:rPr>
                <w:rFonts w:hint="eastAsia" w:ascii="宋体" w:hAnsi="宋体" w:cs="宋体"/>
                <w:szCs w:val="21"/>
              </w:rPr>
              <w:t>姓名</w:t>
            </w:r>
          </w:p>
        </w:tc>
        <w:tc>
          <w:tcPr>
            <w:tcW w:w="1880" w:type="dxa"/>
            <w:tcBorders>
              <w:tl2br w:val="nil"/>
              <w:tr2bl w:val="nil"/>
            </w:tcBorders>
            <w:vAlign w:val="center"/>
          </w:tcPr>
          <w:p>
            <w:pPr>
              <w:spacing w:line="440" w:lineRule="exact"/>
              <w:jc w:val="center"/>
              <w:rPr>
                <w:rFonts w:ascii="宋体" w:hAnsi="宋体" w:cs="宋体"/>
                <w:szCs w:val="21"/>
              </w:rPr>
            </w:pPr>
          </w:p>
        </w:tc>
        <w:tc>
          <w:tcPr>
            <w:tcW w:w="1880" w:type="dxa"/>
            <w:tcBorders>
              <w:tl2br w:val="nil"/>
              <w:tr2bl w:val="nil"/>
            </w:tcBorders>
            <w:vAlign w:val="center"/>
          </w:tcPr>
          <w:p>
            <w:pPr>
              <w:autoSpaceDE w:val="0"/>
              <w:autoSpaceDN w:val="0"/>
              <w:adjustRightInd w:val="0"/>
              <w:spacing w:line="400" w:lineRule="exact"/>
              <w:jc w:val="center"/>
              <w:rPr>
                <w:rFonts w:ascii="宋体" w:hAnsi="宋体" w:cs="宋体"/>
                <w:szCs w:val="21"/>
              </w:rPr>
            </w:pPr>
            <w:r>
              <w:rPr>
                <w:rFonts w:hint="eastAsia" w:ascii="宋体" w:hAnsi="宋体" w:cs="宋体"/>
                <w:szCs w:val="21"/>
              </w:rPr>
              <w:t>电话</w:t>
            </w:r>
          </w:p>
        </w:tc>
        <w:tc>
          <w:tcPr>
            <w:tcW w:w="1881" w:type="dxa"/>
            <w:tcBorders>
              <w:tl2br w:val="nil"/>
              <w:tr2bl w:val="nil"/>
            </w:tcBorders>
            <w:vAlign w:val="center"/>
          </w:tcPr>
          <w:p>
            <w:pPr>
              <w:spacing w:line="440" w:lineRule="exact"/>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711" w:type="dxa"/>
            <w:tcBorders>
              <w:tl2br w:val="nil"/>
              <w:tr2bl w:val="nil"/>
            </w:tcBorders>
            <w:vAlign w:val="center"/>
          </w:tcPr>
          <w:p>
            <w:pPr>
              <w:autoSpaceDE w:val="0"/>
              <w:autoSpaceDN w:val="0"/>
              <w:adjustRightInd w:val="0"/>
              <w:spacing w:line="400" w:lineRule="exact"/>
              <w:jc w:val="center"/>
              <w:rPr>
                <w:rFonts w:ascii="宋体" w:hAnsi="宋体" w:cs="宋体"/>
                <w:szCs w:val="21"/>
              </w:rPr>
            </w:pPr>
            <w:r>
              <w:rPr>
                <w:rFonts w:hint="eastAsia" w:ascii="宋体" w:hAnsi="宋体" w:cs="宋体"/>
                <w:szCs w:val="21"/>
              </w:rPr>
              <w:t>技术负责人</w:t>
            </w:r>
          </w:p>
        </w:tc>
        <w:tc>
          <w:tcPr>
            <w:tcW w:w="2049" w:type="dxa"/>
            <w:tcBorders>
              <w:tl2br w:val="nil"/>
              <w:tr2bl w:val="nil"/>
            </w:tcBorders>
            <w:vAlign w:val="center"/>
          </w:tcPr>
          <w:p>
            <w:pPr>
              <w:autoSpaceDE w:val="0"/>
              <w:autoSpaceDN w:val="0"/>
              <w:adjustRightInd w:val="0"/>
              <w:spacing w:line="400" w:lineRule="exact"/>
              <w:jc w:val="center"/>
              <w:rPr>
                <w:rFonts w:ascii="宋体" w:hAnsi="宋体" w:cs="宋体"/>
                <w:szCs w:val="21"/>
              </w:rPr>
            </w:pPr>
            <w:r>
              <w:rPr>
                <w:rFonts w:hint="eastAsia" w:ascii="宋体" w:hAnsi="宋体" w:cs="宋体"/>
                <w:szCs w:val="21"/>
              </w:rPr>
              <w:t>姓名</w:t>
            </w:r>
          </w:p>
        </w:tc>
        <w:tc>
          <w:tcPr>
            <w:tcW w:w="1880" w:type="dxa"/>
            <w:tcBorders>
              <w:tl2br w:val="nil"/>
              <w:tr2bl w:val="nil"/>
            </w:tcBorders>
            <w:vAlign w:val="center"/>
          </w:tcPr>
          <w:p>
            <w:pPr>
              <w:spacing w:line="440" w:lineRule="exact"/>
              <w:jc w:val="center"/>
              <w:rPr>
                <w:rFonts w:ascii="宋体" w:hAnsi="宋体" w:cs="宋体"/>
                <w:szCs w:val="21"/>
              </w:rPr>
            </w:pPr>
          </w:p>
        </w:tc>
        <w:tc>
          <w:tcPr>
            <w:tcW w:w="1880" w:type="dxa"/>
            <w:tcBorders>
              <w:tl2br w:val="nil"/>
              <w:tr2bl w:val="nil"/>
            </w:tcBorders>
            <w:vAlign w:val="center"/>
          </w:tcPr>
          <w:p>
            <w:pPr>
              <w:autoSpaceDE w:val="0"/>
              <w:autoSpaceDN w:val="0"/>
              <w:adjustRightInd w:val="0"/>
              <w:spacing w:line="400" w:lineRule="exact"/>
              <w:jc w:val="center"/>
              <w:rPr>
                <w:rFonts w:ascii="宋体" w:hAnsi="宋体" w:cs="宋体"/>
                <w:szCs w:val="21"/>
              </w:rPr>
            </w:pPr>
            <w:r>
              <w:rPr>
                <w:rFonts w:hint="eastAsia" w:ascii="宋体" w:hAnsi="宋体" w:cs="宋体"/>
                <w:szCs w:val="21"/>
              </w:rPr>
              <w:t>电话</w:t>
            </w:r>
          </w:p>
        </w:tc>
        <w:tc>
          <w:tcPr>
            <w:tcW w:w="1881" w:type="dxa"/>
            <w:tcBorders>
              <w:tl2br w:val="nil"/>
              <w:tr2bl w:val="nil"/>
            </w:tcBorders>
            <w:vAlign w:val="center"/>
          </w:tcPr>
          <w:p>
            <w:pPr>
              <w:spacing w:line="440" w:lineRule="exact"/>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711" w:type="dxa"/>
            <w:tcBorders>
              <w:tl2br w:val="nil"/>
              <w:tr2bl w:val="nil"/>
            </w:tcBorders>
            <w:vAlign w:val="center"/>
          </w:tcPr>
          <w:p>
            <w:pPr>
              <w:autoSpaceDE w:val="0"/>
              <w:autoSpaceDN w:val="0"/>
              <w:adjustRightInd w:val="0"/>
              <w:spacing w:line="400" w:lineRule="exact"/>
              <w:jc w:val="center"/>
              <w:rPr>
                <w:rFonts w:ascii="宋体" w:hAnsi="宋体" w:cs="宋体"/>
                <w:szCs w:val="21"/>
              </w:rPr>
            </w:pPr>
            <w:r>
              <w:rPr>
                <w:rFonts w:hint="eastAsia" w:ascii="宋体" w:hAnsi="宋体" w:cs="宋体"/>
                <w:szCs w:val="21"/>
              </w:rPr>
              <w:t>企业资质等级</w:t>
            </w:r>
          </w:p>
        </w:tc>
        <w:tc>
          <w:tcPr>
            <w:tcW w:w="3929" w:type="dxa"/>
            <w:gridSpan w:val="2"/>
            <w:tcBorders>
              <w:tl2br w:val="nil"/>
              <w:tr2bl w:val="nil"/>
            </w:tcBorders>
            <w:vAlign w:val="center"/>
          </w:tcPr>
          <w:p>
            <w:pPr>
              <w:autoSpaceDE w:val="0"/>
              <w:autoSpaceDN w:val="0"/>
              <w:adjustRightInd w:val="0"/>
              <w:spacing w:line="400" w:lineRule="exact"/>
              <w:jc w:val="center"/>
              <w:rPr>
                <w:rFonts w:ascii="宋体" w:hAnsi="宋体" w:cs="宋体"/>
                <w:szCs w:val="21"/>
              </w:rPr>
            </w:pPr>
          </w:p>
        </w:tc>
        <w:tc>
          <w:tcPr>
            <w:tcW w:w="1880" w:type="dxa"/>
            <w:tcBorders>
              <w:tl2br w:val="nil"/>
              <w:tr2bl w:val="nil"/>
            </w:tcBorders>
            <w:vAlign w:val="center"/>
          </w:tcPr>
          <w:p>
            <w:pPr>
              <w:autoSpaceDE w:val="0"/>
              <w:autoSpaceDN w:val="0"/>
              <w:adjustRightInd w:val="0"/>
              <w:spacing w:line="400" w:lineRule="exact"/>
              <w:jc w:val="center"/>
              <w:rPr>
                <w:rFonts w:ascii="宋体" w:hAnsi="宋体" w:cs="宋体"/>
                <w:szCs w:val="21"/>
              </w:rPr>
            </w:pPr>
            <w:r>
              <w:rPr>
                <w:rFonts w:hint="eastAsia" w:ascii="宋体" w:hAnsi="宋体" w:cs="宋体"/>
                <w:szCs w:val="21"/>
              </w:rPr>
              <w:t>成立时间</w:t>
            </w:r>
          </w:p>
        </w:tc>
        <w:tc>
          <w:tcPr>
            <w:tcW w:w="1881" w:type="dxa"/>
            <w:tcBorders>
              <w:tl2br w:val="nil"/>
              <w:tr2bl w:val="nil"/>
            </w:tcBorders>
            <w:vAlign w:val="center"/>
          </w:tcPr>
          <w:p>
            <w:pPr>
              <w:spacing w:line="440" w:lineRule="exact"/>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711" w:type="dxa"/>
            <w:tcBorders>
              <w:tl2br w:val="nil"/>
              <w:tr2bl w:val="nil"/>
            </w:tcBorders>
            <w:vAlign w:val="center"/>
          </w:tcPr>
          <w:p>
            <w:pPr>
              <w:autoSpaceDE w:val="0"/>
              <w:autoSpaceDN w:val="0"/>
              <w:adjustRightInd w:val="0"/>
              <w:spacing w:line="400" w:lineRule="exact"/>
              <w:jc w:val="center"/>
              <w:rPr>
                <w:rFonts w:ascii="宋体" w:hAnsi="宋体" w:cs="宋体"/>
                <w:szCs w:val="21"/>
              </w:rPr>
            </w:pPr>
            <w:r>
              <w:rPr>
                <w:rFonts w:hint="eastAsia" w:ascii="宋体" w:hAnsi="宋体" w:cs="宋体"/>
                <w:szCs w:val="21"/>
              </w:rPr>
              <w:t>注册资金</w:t>
            </w:r>
          </w:p>
        </w:tc>
        <w:tc>
          <w:tcPr>
            <w:tcW w:w="2049" w:type="dxa"/>
            <w:tcBorders>
              <w:tl2br w:val="nil"/>
              <w:tr2bl w:val="nil"/>
            </w:tcBorders>
            <w:vAlign w:val="center"/>
          </w:tcPr>
          <w:p>
            <w:pPr>
              <w:autoSpaceDE w:val="0"/>
              <w:autoSpaceDN w:val="0"/>
              <w:adjustRightInd w:val="0"/>
              <w:spacing w:line="400" w:lineRule="exact"/>
              <w:jc w:val="right"/>
              <w:rPr>
                <w:rFonts w:ascii="宋体" w:hAnsi="宋体" w:cs="宋体"/>
                <w:szCs w:val="21"/>
              </w:rPr>
            </w:pP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万元</w:t>
            </w:r>
          </w:p>
        </w:tc>
        <w:tc>
          <w:tcPr>
            <w:tcW w:w="1880" w:type="dxa"/>
            <w:vMerge w:val="restart"/>
            <w:tcBorders>
              <w:tl2br w:val="nil"/>
              <w:tr2bl w:val="nil"/>
            </w:tcBorders>
            <w:vAlign w:val="center"/>
          </w:tcPr>
          <w:p>
            <w:pPr>
              <w:spacing w:line="440" w:lineRule="exact"/>
              <w:jc w:val="center"/>
              <w:rPr>
                <w:rFonts w:ascii="宋体" w:hAnsi="宋体" w:cs="宋体"/>
                <w:szCs w:val="21"/>
              </w:rPr>
            </w:pPr>
            <w:r>
              <w:rPr>
                <w:rFonts w:hint="eastAsia" w:ascii="宋体" w:hAnsi="宋体" w:cs="宋体"/>
                <w:szCs w:val="21"/>
              </w:rPr>
              <w:t>固定资产</w:t>
            </w:r>
          </w:p>
        </w:tc>
        <w:tc>
          <w:tcPr>
            <w:tcW w:w="1880" w:type="dxa"/>
            <w:tcBorders>
              <w:tl2br w:val="nil"/>
              <w:tr2bl w:val="nil"/>
            </w:tcBorders>
            <w:vAlign w:val="center"/>
          </w:tcPr>
          <w:p>
            <w:pPr>
              <w:autoSpaceDE w:val="0"/>
              <w:autoSpaceDN w:val="0"/>
              <w:adjustRightInd w:val="0"/>
              <w:spacing w:line="400" w:lineRule="exact"/>
              <w:jc w:val="center"/>
              <w:rPr>
                <w:rFonts w:ascii="宋体" w:hAnsi="宋体" w:cs="宋体"/>
                <w:szCs w:val="21"/>
              </w:rPr>
            </w:pPr>
            <w:r>
              <w:rPr>
                <w:rFonts w:hint="eastAsia" w:ascii="宋体" w:hAnsi="宋体" w:cs="宋体"/>
                <w:szCs w:val="21"/>
              </w:rPr>
              <w:t>原值</w:t>
            </w:r>
          </w:p>
        </w:tc>
        <w:tc>
          <w:tcPr>
            <w:tcW w:w="1881" w:type="dxa"/>
            <w:tcBorders>
              <w:tl2br w:val="nil"/>
              <w:tr2bl w:val="nil"/>
            </w:tcBorders>
            <w:vAlign w:val="center"/>
          </w:tcPr>
          <w:p>
            <w:pPr>
              <w:autoSpaceDE w:val="0"/>
              <w:autoSpaceDN w:val="0"/>
              <w:adjustRightInd w:val="0"/>
              <w:spacing w:line="400" w:lineRule="exact"/>
              <w:jc w:val="right"/>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711" w:type="dxa"/>
            <w:tcBorders>
              <w:tl2br w:val="nil"/>
              <w:tr2bl w:val="nil"/>
            </w:tcBorders>
            <w:vAlign w:val="center"/>
          </w:tcPr>
          <w:p>
            <w:pPr>
              <w:autoSpaceDE w:val="0"/>
              <w:autoSpaceDN w:val="0"/>
              <w:adjustRightInd w:val="0"/>
              <w:spacing w:line="400" w:lineRule="exact"/>
              <w:jc w:val="center"/>
              <w:rPr>
                <w:rFonts w:ascii="宋体" w:hAnsi="宋体" w:cs="宋体"/>
                <w:szCs w:val="21"/>
              </w:rPr>
            </w:pPr>
            <w:r>
              <w:rPr>
                <w:rFonts w:hint="eastAsia" w:ascii="宋体" w:hAnsi="宋体" w:cs="宋体"/>
                <w:szCs w:val="21"/>
              </w:rPr>
              <w:t>流动资金</w:t>
            </w:r>
          </w:p>
        </w:tc>
        <w:tc>
          <w:tcPr>
            <w:tcW w:w="2049" w:type="dxa"/>
            <w:tcBorders>
              <w:tl2br w:val="nil"/>
              <w:tr2bl w:val="nil"/>
            </w:tcBorders>
            <w:vAlign w:val="center"/>
          </w:tcPr>
          <w:p>
            <w:pPr>
              <w:autoSpaceDE w:val="0"/>
              <w:autoSpaceDN w:val="0"/>
              <w:adjustRightInd w:val="0"/>
              <w:spacing w:line="400" w:lineRule="exact"/>
              <w:jc w:val="right"/>
              <w:rPr>
                <w:rFonts w:ascii="宋体" w:hAnsi="宋体" w:cs="宋体"/>
                <w:szCs w:val="21"/>
              </w:rPr>
            </w:pP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万元</w:t>
            </w:r>
          </w:p>
        </w:tc>
        <w:tc>
          <w:tcPr>
            <w:tcW w:w="1880" w:type="dxa"/>
            <w:vMerge w:val="continue"/>
            <w:tcBorders>
              <w:tl2br w:val="nil"/>
              <w:tr2bl w:val="nil"/>
            </w:tcBorders>
            <w:vAlign w:val="center"/>
          </w:tcPr>
          <w:p>
            <w:pPr>
              <w:spacing w:line="440" w:lineRule="exact"/>
              <w:jc w:val="center"/>
              <w:rPr>
                <w:rFonts w:ascii="宋体" w:hAnsi="宋体" w:cs="宋体"/>
                <w:szCs w:val="21"/>
              </w:rPr>
            </w:pPr>
          </w:p>
        </w:tc>
        <w:tc>
          <w:tcPr>
            <w:tcW w:w="1880" w:type="dxa"/>
            <w:tcBorders>
              <w:tl2br w:val="nil"/>
              <w:tr2bl w:val="nil"/>
            </w:tcBorders>
            <w:vAlign w:val="center"/>
          </w:tcPr>
          <w:p>
            <w:pPr>
              <w:autoSpaceDE w:val="0"/>
              <w:autoSpaceDN w:val="0"/>
              <w:adjustRightInd w:val="0"/>
              <w:spacing w:line="400" w:lineRule="exact"/>
              <w:jc w:val="center"/>
              <w:rPr>
                <w:rFonts w:ascii="宋体" w:hAnsi="宋体" w:cs="宋体"/>
                <w:szCs w:val="21"/>
              </w:rPr>
            </w:pPr>
            <w:r>
              <w:rPr>
                <w:rFonts w:hint="eastAsia" w:ascii="宋体" w:hAnsi="宋体" w:cs="宋体"/>
                <w:szCs w:val="21"/>
              </w:rPr>
              <w:t>净值</w:t>
            </w:r>
          </w:p>
        </w:tc>
        <w:tc>
          <w:tcPr>
            <w:tcW w:w="1881" w:type="dxa"/>
            <w:tcBorders>
              <w:tl2br w:val="nil"/>
              <w:tr2bl w:val="nil"/>
            </w:tcBorders>
            <w:vAlign w:val="center"/>
          </w:tcPr>
          <w:p>
            <w:pPr>
              <w:autoSpaceDE w:val="0"/>
              <w:autoSpaceDN w:val="0"/>
              <w:adjustRightInd w:val="0"/>
              <w:spacing w:line="400" w:lineRule="exact"/>
              <w:jc w:val="right"/>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711" w:type="dxa"/>
            <w:tcBorders>
              <w:tl2br w:val="nil"/>
              <w:tr2bl w:val="nil"/>
            </w:tcBorders>
            <w:vAlign w:val="center"/>
          </w:tcPr>
          <w:p>
            <w:pPr>
              <w:autoSpaceDE w:val="0"/>
              <w:autoSpaceDN w:val="0"/>
              <w:adjustRightInd w:val="0"/>
              <w:spacing w:line="400" w:lineRule="exact"/>
              <w:jc w:val="center"/>
              <w:rPr>
                <w:rFonts w:ascii="宋体" w:hAnsi="宋体" w:cs="宋体"/>
                <w:szCs w:val="21"/>
              </w:rPr>
            </w:pPr>
            <w:r>
              <w:rPr>
                <w:rFonts w:hint="eastAsia" w:ascii="宋体" w:hAnsi="宋体" w:cs="宋体"/>
                <w:szCs w:val="21"/>
              </w:rPr>
              <w:t>开户银行</w:t>
            </w:r>
          </w:p>
        </w:tc>
        <w:tc>
          <w:tcPr>
            <w:tcW w:w="2049" w:type="dxa"/>
            <w:tcBorders>
              <w:tl2br w:val="nil"/>
              <w:tr2bl w:val="nil"/>
            </w:tcBorders>
            <w:vAlign w:val="center"/>
          </w:tcPr>
          <w:p>
            <w:pPr>
              <w:autoSpaceDE w:val="0"/>
              <w:autoSpaceDN w:val="0"/>
              <w:adjustRightInd w:val="0"/>
              <w:spacing w:line="400" w:lineRule="exact"/>
              <w:jc w:val="center"/>
              <w:rPr>
                <w:rFonts w:ascii="宋体" w:hAnsi="宋体" w:cs="宋体"/>
                <w:szCs w:val="21"/>
              </w:rPr>
            </w:pPr>
          </w:p>
        </w:tc>
        <w:tc>
          <w:tcPr>
            <w:tcW w:w="1880" w:type="dxa"/>
            <w:vMerge w:val="restart"/>
            <w:tcBorders>
              <w:tl2br w:val="nil"/>
              <w:tr2bl w:val="nil"/>
            </w:tcBorders>
            <w:vAlign w:val="center"/>
          </w:tcPr>
          <w:p>
            <w:pPr>
              <w:spacing w:line="440" w:lineRule="exact"/>
              <w:jc w:val="center"/>
              <w:rPr>
                <w:rFonts w:ascii="宋体" w:hAnsi="宋体" w:cs="宋体"/>
                <w:szCs w:val="21"/>
              </w:rPr>
            </w:pPr>
            <w:r>
              <w:rPr>
                <w:rFonts w:hint="eastAsia" w:ascii="宋体" w:hAnsi="宋体" w:cs="宋体"/>
                <w:szCs w:val="21"/>
              </w:rPr>
              <w:t>职工人数</w:t>
            </w:r>
          </w:p>
        </w:tc>
        <w:tc>
          <w:tcPr>
            <w:tcW w:w="1880" w:type="dxa"/>
            <w:tcBorders>
              <w:tl2br w:val="nil"/>
              <w:tr2bl w:val="nil"/>
            </w:tcBorders>
            <w:vAlign w:val="center"/>
          </w:tcPr>
          <w:p>
            <w:pPr>
              <w:autoSpaceDE w:val="0"/>
              <w:autoSpaceDN w:val="0"/>
              <w:adjustRightInd w:val="0"/>
              <w:spacing w:line="400" w:lineRule="exact"/>
              <w:jc w:val="center"/>
              <w:rPr>
                <w:rFonts w:ascii="宋体" w:hAnsi="宋体" w:cs="宋体"/>
                <w:szCs w:val="21"/>
              </w:rPr>
            </w:pPr>
            <w:r>
              <w:rPr>
                <w:rFonts w:hint="eastAsia" w:ascii="宋体" w:hAnsi="宋体" w:cs="宋体"/>
                <w:szCs w:val="21"/>
              </w:rPr>
              <w:t>生产工人</w:t>
            </w:r>
          </w:p>
        </w:tc>
        <w:tc>
          <w:tcPr>
            <w:tcW w:w="1881" w:type="dxa"/>
            <w:tcBorders>
              <w:tl2br w:val="nil"/>
              <w:tr2bl w:val="nil"/>
            </w:tcBorders>
            <w:vAlign w:val="center"/>
          </w:tcPr>
          <w:p>
            <w:pPr>
              <w:autoSpaceDE w:val="0"/>
              <w:autoSpaceDN w:val="0"/>
              <w:adjustRightInd w:val="0"/>
              <w:spacing w:line="400" w:lineRule="exact"/>
              <w:jc w:val="right"/>
              <w:rPr>
                <w:rFonts w:ascii="宋体" w:hAnsi="宋体" w:cs="宋体"/>
                <w:szCs w:val="21"/>
              </w:rPr>
            </w:pPr>
            <w:r>
              <w:rPr>
                <w:rFonts w:hint="eastAsia" w:ascii="宋体" w:hAnsi="宋体" w:cs="宋体"/>
                <w:bCs/>
                <w:szCs w:val="21"/>
              </w:rPr>
              <w:t xml:space="preserve">    </w:t>
            </w:r>
            <w:r>
              <w:rPr>
                <w:rFonts w:hint="eastAsia" w:ascii="宋体" w:hAnsi="宋体" w:cs="宋体"/>
                <w:szCs w:val="21"/>
                <w:u w:val="single"/>
              </w:rPr>
              <w:t xml:space="preserve">         </w:t>
            </w:r>
            <w:r>
              <w:rPr>
                <w:rFonts w:hint="eastAsia" w:ascii="宋体" w:hAnsi="宋体" w:cs="宋体"/>
                <w:bCs/>
                <w:szCs w:val="21"/>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711" w:type="dxa"/>
            <w:tcBorders>
              <w:tl2br w:val="nil"/>
              <w:tr2bl w:val="nil"/>
            </w:tcBorders>
            <w:vAlign w:val="center"/>
          </w:tcPr>
          <w:p>
            <w:pPr>
              <w:autoSpaceDE w:val="0"/>
              <w:autoSpaceDN w:val="0"/>
              <w:adjustRightInd w:val="0"/>
              <w:spacing w:line="400" w:lineRule="exact"/>
              <w:jc w:val="center"/>
              <w:rPr>
                <w:rFonts w:ascii="宋体" w:hAnsi="宋体" w:cs="宋体"/>
                <w:szCs w:val="21"/>
              </w:rPr>
            </w:pPr>
            <w:r>
              <w:rPr>
                <w:rFonts w:hint="eastAsia" w:ascii="宋体" w:hAnsi="宋体" w:cs="宋体"/>
                <w:szCs w:val="21"/>
              </w:rPr>
              <w:t>账号</w:t>
            </w:r>
          </w:p>
        </w:tc>
        <w:tc>
          <w:tcPr>
            <w:tcW w:w="2049" w:type="dxa"/>
            <w:tcBorders>
              <w:tl2br w:val="nil"/>
              <w:tr2bl w:val="nil"/>
            </w:tcBorders>
            <w:vAlign w:val="center"/>
          </w:tcPr>
          <w:p>
            <w:pPr>
              <w:autoSpaceDE w:val="0"/>
              <w:autoSpaceDN w:val="0"/>
              <w:adjustRightInd w:val="0"/>
              <w:spacing w:line="400" w:lineRule="exact"/>
              <w:jc w:val="center"/>
              <w:rPr>
                <w:rFonts w:ascii="宋体" w:hAnsi="宋体" w:cs="宋体"/>
                <w:szCs w:val="21"/>
              </w:rPr>
            </w:pPr>
            <w:r>
              <w:rPr>
                <w:rFonts w:hint="eastAsia" w:ascii="宋体" w:hAnsi="宋体" w:cs="宋体"/>
                <w:szCs w:val="21"/>
              </w:rPr>
              <w:t>基本银行账号</w:t>
            </w:r>
          </w:p>
        </w:tc>
        <w:tc>
          <w:tcPr>
            <w:tcW w:w="1880" w:type="dxa"/>
            <w:vMerge w:val="continue"/>
            <w:tcBorders>
              <w:tl2br w:val="nil"/>
              <w:tr2bl w:val="nil"/>
            </w:tcBorders>
            <w:vAlign w:val="center"/>
          </w:tcPr>
          <w:p>
            <w:pPr>
              <w:spacing w:line="440" w:lineRule="exact"/>
              <w:jc w:val="center"/>
              <w:rPr>
                <w:rFonts w:ascii="宋体" w:hAnsi="宋体" w:cs="宋体"/>
                <w:szCs w:val="21"/>
              </w:rPr>
            </w:pPr>
          </w:p>
        </w:tc>
        <w:tc>
          <w:tcPr>
            <w:tcW w:w="1880" w:type="dxa"/>
            <w:tcBorders>
              <w:tl2br w:val="nil"/>
              <w:tr2bl w:val="nil"/>
            </w:tcBorders>
            <w:vAlign w:val="center"/>
          </w:tcPr>
          <w:p>
            <w:pPr>
              <w:autoSpaceDE w:val="0"/>
              <w:autoSpaceDN w:val="0"/>
              <w:adjustRightInd w:val="0"/>
              <w:spacing w:line="400" w:lineRule="exact"/>
              <w:jc w:val="center"/>
              <w:rPr>
                <w:rFonts w:ascii="宋体" w:hAnsi="宋体" w:cs="宋体"/>
                <w:szCs w:val="21"/>
              </w:rPr>
            </w:pPr>
            <w:r>
              <w:rPr>
                <w:rFonts w:hint="eastAsia" w:ascii="宋体" w:hAnsi="宋体" w:cs="宋体"/>
                <w:szCs w:val="21"/>
              </w:rPr>
              <w:t>技术人员</w:t>
            </w:r>
          </w:p>
        </w:tc>
        <w:tc>
          <w:tcPr>
            <w:tcW w:w="1881" w:type="dxa"/>
            <w:tcBorders>
              <w:tl2br w:val="nil"/>
              <w:tr2bl w:val="nil"/>
            </w:tcBorders>
            <w:vAlign w:val="center"/>
          </w:tcPr>
          <w:p>
            <w:pPr>
              <w:autoSpaceDE w:val="0"/>
              <w:autoSpaceDN w:val="0"/>
              <w:adjustRightInd w:val="0"/>
              <w:spacing w:line="400" w:lineRule="exact"/>
              <w:jc w:val="right"/>
              <w:rPr>
                <w:rFonts w:ascii="宋体" w:hAnsi="宋体" w:cs="宋体"/>
                <w:szCs w:val="21"/>
              </w:rPr>
            </w:pPr>
            <w:r>
              <w:rPr>
                <w:rFonts w:hint="eastAsia" w:ascii="宋体" w:hAnsi="宋体" w:cs="宋体"/>
                <w:bCs/>
                <w:szCs w:val="21"/>
              </w:rPr>
              <w:t xml:space="preserve">    </w:t>
            </w:r>
            <w:r>
              <w:rPr>
                <w:rFonts w:hint="eastAsia" w:ascii="宋体" w:hAnsi="宋体" w:cs="宋体"/>
                <w:szCs w:val="21"/>
                <w:u w:val="single"/>
              </w:rPr>
              <w:t xml:space="preserve">         </w:t>
            </w:r>
            <w:r>
              <w:rPr>
                <w:rFonts w:hint="eastAsia" w:ascii="宋体" w:hAnsi="宋体" w:cs="宋体"/>
                <w:bCs/>
                <w:szCs w:val="21"/>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65" w:hRule="atLeast"/>
        </w:trPr>
        <w:tc>
          <w:tcPr>
            <w:tcW w:w="1711" w:type="dxa"/>
            <w:tcBorders>
              <w:tl2br w:val="nil"/>
              <w:tr2bl w:val="nil"/>
            </w:tcBorders>
            <w:vAlign w:val="center"/>
          </w:tcPr>
          <w:p>
            <w:pPr>
              <w:autoSpaceDE w:val="0"/>
              <w:autoSpaceDN w:val="0"/>
              <w:adjustRightInd w:val="0"/>
              <w:spacing w:line="400" w:lineRule="exact"/>
              <w:jc w:val="center"/>
              <w:rPr>
                <w:rFonts w:ascii="宋体" w:hAnsi="宋体" w:cs="宋体"/>
                <w:szCs w:val="21"/>
              </w:rPr>
            </w:pPr>
            <w:r>
              <w:rPr>
                <w:rFonts w:hint="eastAsia" w:ascii="宋体" w:hAnsi="宋体" w:cs="宋体"/>
                <w:szCs w:val="21"/>
              </w:rPr>
              <w:t>经营范围</w:t>
            </w:r>
          </w:p>
        </w:tc>
        <w:tc>
          <w:tcPr>
            <w:tcW w:w="7690" w:type="dxa"/>
            <w:gridSpan w:val="4"/>
            <w:tcBorders>
              <w:tl2br w:val="nil"/>
              <w:tr2bl w:val="nil"/>
            </w:tcBorders>
            <w:vAlign w:val="center"/>
          </w:tcPr>
          <w:p>
            <w:pPr>
              <w:autoSpaceDE w:val="0"/>
              <w:autoSpaceDN w:val="0"/>
              <w:adjustRightInd w:val="0"/>
              <w:spacing w:line="400" w:lineRule="exact"/>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15" w:hRule="atLeast"/>
        </w:trPr>
        <w:tc>
          <w:tcPr>
            <w:tcW w:w="1711" w:type="dxa"/>
            <w:tcBorders>
              <w:tl2br w:val="nil"/>
              <w:tr2bl w:val="nil"/>
            </w:tcBorders>
            <w:vAlign w:val="center"/>
          </w:tcPr>
          <w:p>
            <w:pPr>
              <w:autoSpaceDE w:val="0"/>
              <w:autoSpaceDN w:val="0"/>
              <w:adjustRightInd w:val="0"/>
              <w:spacing w:line="400" w:lineRule="exact"/>
              <w:jc w:val="center"/>
              <w:rPr>
                <w:rFonts w:ascii="宋体" w:hAnsi="宋体" w:cs="宋体"/>
                <w:szCs w:val="21"/>
              </w:rPr>
            </w:pPr>
            <w:r>
              <w:rPr>
                <w:rFonts w:hint="eastAsia" w:ascii="宋体" w:hAnsi="宋体" w:cs="宋体"/>
                <w:szCs w:val="21"/>
              </w:rPr>
              <w:t>备注</w:t>
            </w:r>
          </w:p>
        </w:tc>
        <w:tc>
          <w:tcPr>
            <w:tcW w:w="7690" w:type="dxa"/>
            <w:gridSpan w:val="4"/>
            <w:tcBorders>
              <w:tl2br w:val="nil"/>
              <w:tr2bl w:val="nil"/>
            </w:tcBorders>
            <w:vAlign w:val="center"/>
          </w:tcPr>
          <w:p>
            <w:pPr>
              <w:autoSpaceDE w:val="0"/>
              <w:autoSpaceDN w:val="0"/>
              <w:adjustRightInd w:val="0"/>
              <w:spacing w:line="400" w:lineRule="exact"/>
              <w:jc w:val="center"/>
              <w:rPr>
                <w:rFonts w:ascii="宋体" w:hAnsi="宋体" w:cs="宋体"/>
                <w:szCs w:val="21"/>
              </w:rPr>
            </w:pPr>
          </w:p>
        </w:tc>
      </w:tr>
    </w:tbl>
    <w:p>
      <w:pPr>
        <w:spacing w:line="440" w:lineRule="exact"/>
        <w:rPr>
          <w:rFonts w:ascii="宋体" w:hAnsi="宋体" w:cs="宋体"/>
          <w:szCs w:val="21"/>
        </w:rPr>
      </w:pPr>
    </w:p>
    <w:p>
      <w:pPr>
        <w:pStyle w:val="67"/>
        <w:spacing w:line="500" w:lineRule="exact"/>
        <w:jc w:val="left"/>
        <w:rPr>
          <w:rFonts w:ascii="宋体" w:hAnsi="宋体" w:cs="宋体"/>
          <w:b w:val="0"/>
          <w:sz w:val="21"/>
          <w:szCs w:val="21"/>
        </w:rPr>
      </w:pPr>
      <w:r>
        <w:rPr>
          <w:rFonts w:hint="eastAsia" w:ascii="宋体" w:hAnsi="宋体" w:cs="宋体"/>
          <w:b w:val="0"/>
          <w:sz w:val="21"/>
          <w:szCs w:val="21"/>
        </w:rPr>
        <w:t xml:space="preserve">                                             投标人：</w:t>
      </w:r>
      <w:r>
        <w:rPr>
          <w:rFonts w:hint="eastAsia" w:ascii="宋体" w:hAnsi="宋体" w:cs="宋体"/>
          <w:b w:val="0"/>
          <w:sz w:val="21"/>
          <w:szCs w:val="21"/>
          <w:u w:val="single"/>
        </w:rPr>
        <w:t xml:space="preserve">               （单位全称、盖章）   </w:t>
      </w:r>
    </w:p>
    <w:p>
      <w:pPr>
        <w:pStyle w:val="67"/>
        <w:spacing w:line="500" w:lineRule="exact"/>
        <w:jc w:val="left"/>
        <w:rPr>
          <w:rFonts w:ascii="宋体" w:hAnsi="宋体" w:cs="宋体"/>
          <w:b w:val="0"/>
          <w:sz w:val="21"/>
          <w:szCs w:val="21"/>
        </w:rPr>
      </w:pPr>
      <w:r>
        <w:rPr>
          <w:rFonts w:hint="eastAsia" w:ascii="宋体" w:hAnsi="宋体" w:cs="宋体"/>
          <w:b w:val="0"/>
          <w:sz w:val="21"/>
          <w:szCs w:val="21"/>
        </w:rPr>
        <w:t xml:space="preserve">                                             法定代表人或授权代表：</w:t>
      </w:r>
      <w:r>
        <w:rPr>
          <w:rFonts w:hint="eastAsia" w:ascii="宋体" w:hAnsi="宋体" w:cs="宋体"/>
          <w:b w:val="0"/>
          <w:sz w:val="21"/>
          <w:szCs w:val="21"/>
          <w:u w:val="single"/>
        </w:rPr>
        <w:t xml:space="preserve">     （盖章或签字）    </w:t>
      </w:r>
    </w:p>
    <w:p>
      <w:pPr>
        <w:spacing w:line="440" w:lineRule="exact"/>
        <w:rPr>
          <w:rFonts w:ascii="宋体" w:hAnsi="宋体" w:cs="宋体"/>
          <w:szCs w:val="21"/>
        </w:rPr>
      </w:pPr>
      <w:r>
        <w:rPr>
          <w:rFonts w:hint="eastAsia" w:ascii="宋体" w:hAnsi="宋体" w:cs="宋体"/>
          <w:szCs w:val="21"/>
        </w:rPr>
        <w:t xml:space="preserve">                                             投标日期：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spacing w:line="440" w:lineRule="exact"/>
        <w:rPr>
          <w:rFonts w:ascii="宋体" w:hAnsi="宋体" w:cs="宋体"/>
          <w:szCs w:val="21"/>
        </w:rPr>
      </w:pPr>
    </w:p>
    <w:p>
      <w:pPr>
        <w:numPr>
          <w:ilvl w:val="0"/>
          <w:numId w:val="15"/>
        </w:numPr>
        <w:spacing w:line="440" w:lineRule="exact"/>
        <w:rPr>
          <w:rFonts w:ascii="宋体" w:hAnsi="宋体" w:cs="宋体"/>
          <w:b/>
          <w:sz w:val="28"/>
          <w:szCs w:val="28"/>
        </w:rPr>
      </w:pPr>
      <w:r>
        <w:rPr>
          <w:rFonts w:hint="eastAsia" w:ascii="宋体" w:hAnsi="宋体" w:cs="宋体"/>
          <w:b/>
          <w:sz w:val="28"/>
          <w:szCs w:val="28"/>
        </w:rPr>
        <w:t>投标人资格文件</w:t>
      </w:r>
    </w:p>
    <w:p>
      <w:pPr>
        <w:spacing w:line="440" w:lineRule="exact"/>
        <w:rPr>
          <w:rFonts w:ascii="宋体" w:hAnsi="宋体" w:cs="宋体"/>
          <w:b/>
          <w:szCs w:val="21"/>
        </w:rPr>
      </w:pPr>
      <w:r>
        <w:rPr>
          <w:rFonts w:hint="eastAsia" w:ascii="宋体" w:hAnsi="宋体" w:cs="宋体"/>
          <w:b/>
          <w:szCs w:val="21"/>
        </w:rPr>
        <w:t>2.1资质（以下文件可将复印件直接装订，复印件加盖投标人公章 ）</w:t>
      </w:r>
    </w:p>
    <w:p>
      <w:pPr>
        <w:spacing w:line="500" w:lineRule="exact"/>
        <w:ind w:firstLine="420"/>
        <w:rPr>
          <w:rFonts w:ascii="宋体" w:hAnsi="宋体" w:cs="宋体"/>
          <w:bCs/>
          <w:szCs w:val="21"/>
        </w:rPr>
      </w:pPr>
      <w:r>
        <w:rPr>
          <w:rFonts w:hint="eastAsia" w:ascii="宋体" w:hAnsi="宋体" w:cs="宋体"/>
          <w:bCs/>
          <w:szCs w:val="21"/>
        </w:rPr>
        <w:t>2.1.1投标人须符合《中华人民共和国政府采购法》第二十二条有关规定：</w:t>
      </w:r>
    </w:p>
    <w:p>
      <w:pPr>
        <w:spacing w:line="500" w:lineRule="exact"/>
        <w:ind w:firstLine="420" w:firstLineChars="200"/>
        <w:rPr>
          <w:rFonts w:ascii="宋体" w:hAnsi="宋体" w:cs="宋体"/>
          <w:bCs/>
          <w:szCs w:val="21"/>
        </w:rPr>
      </w:pPr>
      <w:r>
        <w:rPr>
          <w:rFonts w:hint="eastAsia" w:ascii="宋体" w:hAnsi="宋体" w:cs="宋体"/>
          <w:bCs/>
          <w:szCs w:val="21"/>
        </w:rPr>
        <w:t>（1）财务状况报告：提供202</w:t>
      </w:r>
      <w:r>
        <w:rPr>
          <w:rFonts w:hint="eastAsia" w:ascii="宋体" w:hAnsi="宋体" w:cs="宋体"/>
          <w:bCs/>
          <w:szCs w:val="21"/>
          <w:lang w:val="en-US" w:eastAsia="zh-CN"/>
        </w:rPr>
        <w:t>0</w:t>
      </w:r>
      <w:r>
        <w:rPr>
          <w:rFonts w:hint="eastAsia" w:ascii="宋体" w:hAnsi="宋体" w:cs="宋体"/>
          <w:bCs/>
          <w:szCs w:val="21"/>
        </w:rPr>
        <w:t>年度经审计的财务报告（成立时间至提交响应文件截止时间不足一年的可提供成立后任意时段的资产负债表），或其基本存款账户开户银行出具的资信证明及基本存款账户开户许可证；</w:t>
      </w:r>
    </w:p>
    <w:p>
      <w:pPr>
        <w:spacing w:line="500" w:lineRule="exact"/>
        <w:ind w:firstLine="420" w:firstLineChars="200"/>
        <w:rPr>
          <w:rFonts w:ascii="宋体" w:hAnsi="宋体" w:cs="宋体"/>
          <w:bCs/>
          <w:szCs w:val="21"/>
        </w:rPr>
      </w:pPr>
      <w:r>
        <w:rPr>
          <w:rFonts w:hint="eastAsia" w:ascii="宋体" w:hAnsi="宋体" w:cs="宋体"/>
          <w:bCs/>
          <w:szCs w:val="21"/>
        </w:rPr>
        <w:t>（2）完税证明：提供2021年度至今已缴纳的至少连续六个月的纳税证明或完税证明，依法免税的单位应提供相关证明材料；</w:t>
      </w:r>
    </w:p>
    <w:p>
      <w:pPr>
        <w:spacing w:line="500" w:lineRule="exact"/>
        <w:ind w:firstLine="420" w:firstLineChars="200"/>
        <w:rPr>
          <w:rFonts w:ascii="宋体" w:hAnsi="宋体" w:cs="宋体"/>
          <w:bCs/>
          <w:szCs w:val="21"/>
        </w:rPr>
      </w:pPr>
      <w:r>
        <w:rPr>
          <w:rFonts w:hint="eastAsia" w:ascii="宋体" w:hAnsi="宋体" w:cs="宋体"/>
          <w:bCs/>
          <w:szCs w:val="21"/>
        </w:rPr>
        <w:t>（3）社保缴纳情况：提供2021年度至今已缴存的至少连续六个月的社会保障资金缴存单据或社保机构开具的社会保险参保缴费情况证明，依法不需要缴纳社会保障资金的单位应提供相关证明材料；</w:t>
      </w:r>
    </w:p>
    <w:p>
      <w:pPr>
        <w:spacing w:line="500" w:lineRule="exact"/>
        <w:ind w:firstLine="420" w:firstLineChars="200"/>
        <w:rPr>
          <w:rFonts w:ascii="宋体" w:hAnsi="宋体" w:cs="宋体"/>
          <w:bCs/>
          <w:szCs w:val="21"/>
        </w:rPr>
      </w:pPr>
      <w:r>
        <w:rPr>
          <w:rFonts w:hint="eastAsia" w:ascii="宋体" w:hAnsi="宋体" w:cs="宋体"/>
          <w:bCs/>
          <w:szCs w:val="21"/>
        </w:rPr>
        <w:t>2.1.2具有独立承担民事责任能力的法人、其他组织或自然人，并出具合法有效的营业执照或事业单位法人证书等国家规定的相关证明，自然人参与的提供其身份证明；</w:t>
      </w:r>
    </w:p>
    <w:p>
      <w:pPr>
        <w:spacing w:line="500" w:lineRule="exact"/>
        <w:ind w:firstLine="420" w:firstLineChars="200"/>
        <w:rPr>
          <w:rFonts w:ascii="宋体" w:hAnsi="宋体" w:cs="宋体"/>
          <w:bCs/>
          <w:szCs w:val="21"/>
        </w:rPr>
      </w:pPr>
      <w:r>
        <w:rPr>
          <w:rFonts w:hint="eastAsia" w:ascii="宋体" w:hAnsi="宋体" w:cs="宋体"/>
          <w:bCs/>
          <w:szCs w:val="21"/>
        </w:rPr>
        <w:t>2.1.3投标人应授权合法的人员参加投标全过程，其中法定代表人直接参加投标的，须出具法人身份证，并与营业执照上信息一致。法定代表人授权代表参加投标的，须出具法定代表人授权书及授权代表身份证；</w:t>
      </w:r>
    </w:p>
    <w:p>
      <w:pPr>
        <w:spacing w:line="500" w:lineRule="exact"/>
        <w:ind w:firstLine="420" w:firstLineChars="200"/>
        <w:rPr>
          <w:rFonts w:ascii="宋体" w:hAnsi="宋体" w:cs="宋体"/>
          <w:bCs/>
          <w:szCs w:val="21"/>
        </w:rPr>
      </w:pPr>
      <w:r>
        <w:rPr>
          <w:rFonts w:hint="eastAsia" w:ascii="宋体" w:hAnsi="宋体" w:cs="宋体"/>
          <w:bCs/>
          <w:szCs w:val="21"/>
        </w:rPr>
        <w:t>2.1.4供应商须提供“中国裁判文书网”查询近三年企业、法定代表人无行贿犯罪记录截图；不得在“国家企业信用信息公示系统”列入严重违法失信企业名单（黑名单）；“信用中国查询”被列入失信被执行人名单、有重大税收违法案件的供应商不得参与，且提供信用报告（带水印）；不得为“中国政府采购网(www.ccgp.gov.cn”）政府采购严重违法失信行为记录名单中被财政部门禁止参加政府采购活动的供应商； </w:t>
      </w:r>
    </w:p>
    <w:p>
      <w:pPr>
        <w:spacing w:line="500" w:lineRule="exact"/>
        <w:ind w:firstLine="420"/>
        <w:rPr>
          <w:rFonts w:ascii="宋体" w:hAnsi="宋体" w:cs="宋体"/>
          <w:szCs w:val="21"/>
        </w:rPr>
      </w:pPr>
      <w:r>
        <w:rPr>
          <w:rFonts w:hint="eastAsia" w:ascii="宋体" w:hAnsi="宋体" w:cs="宋体"/>
          <w:bCs/>
          <w:szCs w:val="21"/>
        </w:rPr>
        <w:t>2.1.5</w:t>
      </w:r>
      <w:r>
        <w:rPr>
          <w:rFonts w:hint="eastAsia" w:ascii="宋体" w:hAnsi="宋体" w:cs="宋体"/>
          <w:szCs w:val="21"/>
        </w:rPr>
        <w:t>提供具有履行合同所必需的设备和专业技术能力的承诺函；</w:t>
      </w:r>
    </w:p>
    <w:p>
      <w:pPr>
        <w:spacing w:line="500" w:lineRule="exact"/>
        <w:ind w:firstLine="420"/>
        <w:rPr>
          <w:rFonts w:ascii="宋体" w:hAnsi="宋体" w:cs="宋体"/>
          <w:bCs/>
          <w:szCs w:val="21"/>
        </w:rPr>
      </w:pPr>
      <w:r>
        <w:rPr>
          <w:rFonts w:hint="eastAsia" w:ascii="宋体" w:hAnsi="宋体" w:cs="宋体"/>
          <w:bCs/>
          <w:szCs w:val="21"/>
        </w:rPr>
        <w:t>2.1.6参加政府采购活动前3年内，在经营活动中没有重大违法记录的书面声明；</w:t>
      </w:r>
    </w:p>
    <w:p>
      <w:pPr>
        <w:spacing w:line="500" w:lineRule="exact"/>
        <w:ind w:firstLine="420"/>
        <w:rPr>
          <w:rFonts w:ascii="宋体" w:hAnsi="宋体" w:cs="宋体"/>
          <w:bCs/>
          <w:szCs w:val="21"/>
        </w:rPr>
      </w:pPr>
      <w:r>
        <w:rPr>
          <w:rFonts w:hint="eastAsia" w:ascii="宋体" w:hAnsi="宋体" w:cs="宋体"/>
          <w:bCs/>
          <w:szCs w:val="21"/>
        </w:rPr>
        <w:t>2.1.7单位负责人为同一人或者存在直接控股、管理关系的不同单位，不得同时参加本项目投标。</w:t>
      </w:r>
    </w:p>
    <w:p>
      <w:pPr>
        <w:spacing w:line="440" w:lineRule="exact"/>
        <w:ind w:firstLine="422" w:firstLineChars="200"/>
        <w:rPr>
          <w:rFonts w:ascii="宋体" w:hAnsi="宋体" w:cs="宋体"/>
          <w:b/>
          <w:szCs w:val="21"/>
        </w:rPr>
      </w:pPr>
      <w:r>
        <w:rPr>
          <w:rFonts w:hint="eastAsia" w:ascii="宋体" w:hAnsi="宋体" w:cs="宋体"/>
          <w:b/>
          <w:szCs w:val="21"/>
        </w:rPr>
        <w:t>注：</w:t>
      </w:r>
      <w:r>
        <w:rPr>
          <w:rFonts w:hint="eastAsia" w:ascii="宋体" w:hAnsi="宋体" w:cs="宋体"/>
          <w:szCs w:val="21"/>
        </w:rPr>
        <w:t>上述资格证明文件为必备资质，欠缺其中任何一项或某项达不到要求，按无效投标文件处理；</w:t>
      </w:r>
    </w:p>
    <w:p>
      <w:pPr>
        <w:spacing w:line="440" w:lineRule="exact"/>
        <w:ind w:left="1"/>
        <w:rPr>
          <w:rFonts w:ascii="宋体" w:hAnsi="宋体" w:cs="宋体"/>
          <w:b/>
          <w:szCs w:val="21"/>
        </w:rPr>
      </w:pPr>
    </w:p>
    <w:p>
      <w:pPr>
        <w:spacing w:line="440" w:lineRule="exact"/>
        <w:ind w:left="1"/>
        <w:rPr>
          <w:rFonts w:ascii="宋体" w:hAnsi="宋体" w:cs="宋体"/>
          <w:b/>
          <w:szCs w:val="21"/>
        </w:rPr>
      </w:pPr>
    </w:p>
    <w:p>
      <w:pPr>
        <w:spacing w:line="440" w:lineRule="exact"/>
        <w:ind w:left="1"/>
        <w:rPr>
          <w:rFonts w:ascii="宋体" w:hAnsi="宋体" w:cs="宋体"/>
          <w:b/>
          <w:szCs w:val="21"/>
        </w:rPr>
      </w:pPr>
    </w:p>
    <w:p>
      <w:pPr>
        <w:spacing w:line="440" w:lineRule="exact"/>
        <w:ind w:left="1"/>
        <w:rPr>
          <w:rFonts w:ascii="宋体" w:hAnsi="宋体" w:cs="宋体"/>
          <w:b/>
          <w:szCs w:val="21"/>
        </w:rPr>
      </w:pPr>
      <w:r>
        <w:rPr>
          <w:rFonts w:hint="eastAsia" w:ascii="宋体" w:hAnsi="宋体" w:cs="宋体"/>
          <w:b/>
          <w:szCs w:val="21"/>
        </w:rPr>
        <w:t>2.2 投标保证金：转账、电汇凭证请打印或者复印后，粘贴或装订在此处。提供担保函的请将担保函复印件装订在此处。</w:t>
      </w:r>
    </w:p>
    <w:p>
      <w:pPr>
        <w:spacing w:line="440" w:lineRule="exact"/>
        <w:rPr>
          <w:rFonts w:ascii="宋体" w:hAnsi="宋体" w:cs="宋体"/>
          <w:b/>
          <w:szCs w:val="21"/>
        </w:rPr>
      </w:pPr>
    </w:p>
    <w:p>
      <w:pPr>
        <w:spacing w:line="440" w:lineRule="exact"/>
        <w:rPr>
          <w:rFonts w:ascii="宋体" w:hAnsi="宋体" w:cs="宋体"/>
          <w:b/>
          <w:szCs w:val="21"/>
        </w:rPr>
      </w:pPr>
    </w:p>
    <w:p>
      <w:pPr>
        <w:spacing w:line="440" w:lineRule="exact"/>
        <w:rPr>
          <w:rFonts w:ascii="宋体" w:hAnsi="宋体" w:cs="宋体"/>
          <w:b/>
          <w:szCs w:val="21"/>
        </w:rPr>
      </w:pPr>
    </w:p>
    <w:p>
      <w:pPr>
        <w:spacing w:line="440" w:lineRule="exact"/>
        <w:rPr>
          <w:rFonts w:ascii="宋体" w:hAnsi="宋体" w:cs="宋体"/>
          <w:b/>
          <w:szCs w:val="21"/>
        </w:rPr>
      </w:pPr>
    </w:p>
    <w:p>
      <w:pPr>
        <w:spacing w:line="440" w:lineRule="exact"/>
        <w:rPr>
          <w:rFonts w:ascii="宋体" w:hAnsi="宋体" w:cs="宋体"/>
          <w:b/>
          <w:szCs w:val="21"/>
        </w:rPr>
      </w:pPr>
    </w:p>
    <w:p>
      <w:pPr>
        <w:spacing w:line="440" w:lineRule="exact"/>
        <w:rPr>
          <w:rFonts w:ascii="宋体" w:hAnsi="宋体" w:cs="宋体"/>
          <w:b/>
          <w:szCs w:val="21"/>
        </w:rPr>
      </w:pPr>
    </w:p>
    <w:p>
      <w:pPr>
        <w:spacing w:line="440" w:lineRule="exact"/>
        <w:rPr>
          <w:rFonts w:ascii="宋体" w:hAnsi="宋体" w:cs="宋体"/>
          <w:b/>
          <w:szCs w:val="21"/>
        </w:rPr>
      </w:pPr>
    </w:p>
    <w:p>
      <w:pPr>
        <w:spacing w:line="440" w:lineRule="exact"/>
        <w:rPr>
          <w:rFonts w:ascii="宋体" w:hAnsi="宋体" w:cs="宋体"/>
          <w:b/>
          <w:szCs w:val="21"/>
        </w:rPr>
      </w:pPr>
    </w:p>
    <w:p>
      <w:pPr>
        <w:spacing w:line="440" w:lineRule="exact"/>
        <w:rPr>
          <w:rFonts w:ascii="宋体" w:hAnsi="宋体" w:cs="宋体"/>
          <w:b/>
          <w:szCs w:val="21"/>
        </w:rPr>
      </w:pPr>
    </w:p>
    <w:p>
      <w:pPr>
        <w:spacing w:line="440" w:lineRule="exact"/>
        <w:rPr>
          <w:rFonts w:ascii="宋体" w:hAnsi="宋体" w:cs="宋体"/>
          <w:b/>
          <w:szCs w:val="21"/>
        </w:rPr>
      </w:pPr>
    </w:p>
    <w:p>
      <w:pPr>
        <w:spacing w:line="440" w:lineRule="exact"/>
        <w:rPr>
          <w:rFonts w:ascii="宋体" w:hAnsi="宋体" w:cs="宋体"/>
          <w:b/>
          <w:szCs w:val="21"/>
        </w:rPr>
      </w:pPr>
    </w:p>
    <w:p>
      <w:pPr>
        <w:spacing w:line="440" w:lineRule="exact"/>
        <w:rPr>
          <w:rFonts w:ascii="宋体" w:hAnsi="宋体" w:cs="宋体"/>
          <w:b/>
          <w:szCs w:val="21"/>
        </w:rPr>
      </w:pPr>
    </w:p>
    <w:p>
      <w:pPr>
        <w:spacing w:line="440" w:lineRule="exact"/>
        <w:rPr>
          <w:rFonts w:ascii="宋体" w:hAnsi="宋体" w:cs="宋体"/>
          <w:b/>
          <w:szCs w:val="21"/>
        </w:rPr>
      </w:pPr>
    </w:p>
    <w:p>
      <w:pPr>
        <w:spacing w:line="440" w:lineRule="exact"/>
        <w:rPr>
          <w:rFonts w:ascii="宋体" w:hAnsi="宋体" w:cs="宋体"/>
          <w:b/>
          <w:szCs w:val="21"/>
        </w:rPr>
      </w:pPr>
    </w:p>
    <w:p>
      <w:pPr>
        <w:spacing w:line="440" w:lineRule="exact"/>
        <w:rPr>
          <w:rFonts w:ascii="宋体" w:hAnsi="宋体" w:cs="宋体"/>
          <w:b/>
          <w:szCs w:val="21"/>
        </w:rPr>
      </w:pPr>
    </w:p>
    <w:p>
      <w:pPr>
        <w:spacing w:line="440" w:lineRule="exact"/>
        <w:rPr>
          <w:rFonts w:ascii="宋体" w:hAnsi="宋体" w:cs="宋体"/>
          <w:b/>
          <w:szCs w:val="21"/>
        </w:rPr>
      </w:pPr>
    </w:p>
    <w:p>
      <w:pPr>
        <w:spacing w:line="440" w:lineRule="exact"/>
        <w:rPr>
          <w:rFonts w:ascii="宋体" w:hAnsi="宋体" w:cs="宋体"/>
          <w:b/>
          <w:szCs w:val="21"/>
        </w:rPr>
      </w:pPr>
    </w:p>
    <w:p>
      <w:pPr>
        <w:spacing w:line="440" w:lineRule="exact"/>
        <w:rPr>
          <w:rFonts w:ascii="宋体" w:hAnsi="宋体" w:cs="宋体"/>
          <w:b/>
          <w:szCs w:val="21"/>
        </w:rPr>
      </w:pPr>
    </w:p>
    <w:p>
      <w:pPr>
        <w:spacing w:line="440" w:lineRule="exact"/>
        <w:rPr>
          <w:rFonts w:ascii="宋体" w:hAnsi="宋体" w:cs="宋体"/>
          <w:b/>
          <w:szCs w:val="21"/>
        </w:rPr>
      </w:pPr>
    </w:p>
    <w:p>
      <w:pPr>
        <w:spacing w:line="440" w:lineRule="exact"/>
        <w:rPr>
          <w:rFonts w:ascii="宋体" w:hAnsi="宋体" w:cs="宋体"/>
          <w:b/>
          <w:szCs w:val="21"/>
        </w:rPr>
      </w:pPr>
    </w:p>
    <w:p>
      <w:pPr>
        <w:spacing w:line="440" w:lineRule="exact"/>
        <w:rPr>
          <w:rFonts w:ascii="宋体" w:hAnsi="宋体" w:cs="宋体"/>
          <w:b/>
          <w:szCs w:val="21"/>
        </w:rPr>
      </w:pPr>
    </w:p>
    <w:p>
      <w:pPr>
        <w:spacing w:line="440" w:lineRule="exact"/>
        <w:rPr>
          <w:rFonts w:ascii="宋体" w:hAnsi="宋体" w:cs="宋体"/>
          <w:b/>
          <w:szCs w:val="21"/>
        </w:rPr>
      </w:pPr>
    </w:p>
    <w:p>
      <w:pPr>
        <w:spacing w:line="440" w:lineRule="exact"/>
        <w:rPr>
          <w:rFonts w:ascii="宋体" w:hAnsi="宋体" w:cs="宋体"/>
          <w:b/>
          <w:szCs w:val="21"/>
        </w:rPr>
      </w:pPr>
    </w:p>
    <w:p>
      <w:pPr>
        <w:spacing w:line="440" w:lineRule="exact"/>
        <w:rPr>
          <w:rFonts w:ascii="宋体" w:hAnsi="宋体" w:cs="宋体"/>
          <w:b/>
          <w:szCs w:val="21"/>
        </w:rPr>
      </w:pPr>
    </w:p>
    <w:p>
      <w:pPr>
        <w:spacing w:line="440" w:lineRule="exact"/>
        <w:rPr>
          <w:rFonts w:ascii="宋体" w:hAnsi="宋体" w:cs="宋体"/>
          <w:b/>
          <w:szCs w:val="21"/>
        </w:rPr>
      </w:pPr>
    </w:p>
    <w:p>
      <w:pPr>
        <w:spacing w:line="440" w:lineRule="exact"/>
        <w:rPr>
          <w:rFonts w:ascii="宋体" w:hAnsi="宋体" w:cs="宋体"/>
          <w:b/>
          <w:szCs w:val="21"/>
        </w:rPr>
      </w:pPr>
    </w:p>
    <w:p>
      <w:pPr>
        <w:spacing w:line="440" w:lineRule="exact"/>
        <w:rPr>
          <w:rFonts w:ascii="宋体" w:hAnsi="宋体" w:cs="宋体"/>
          <w:b/>
          <w:szCs w:val="21"/>
        </w:rPr>
      </w:pPr>
    </w:p>
    <w:p>
      <w:pPr>
        <w:spacing w:line="440" w:lineRule="exact"/>
        <w:rPr>
          <w:rFonts w:ascii="宋体" w:hAnsi="宋体" w:cs="宋体"/>
          <w:b/>
          <w:szCs w:val="21"/>
        </w:rPr>
      </w:pPr>
    </w:p>
    <w:p>
      <w:pPr>
        <w:spacing w:line="440" w:lineRule="exact"/>
        <w:rPr>
          <w:rFonts w:ascii="宋体" w:hAnsi="宋体" w:cs="宋体"/>
          <w:b/>
          <w:szCs w:val="21"/>
        </w:rPr>
      </w:pPr>
    </w:p>
    <w:p>
      <w:pPr>
        <w:spacing w:line="440" w:lineRule="exact"/>
        <w:rPr>
          <w:rFonts w:ascii="宋体" w:hAnsi="宋体" w:cs="宋体"/>
          <w:b/>
          <w:szCs w:val="21"/>
        </w:rPr>
      </w:pPr>
      <w:r>
        <w:rPr>
          <w:rFonts w:hint="eastAsia" w:ascii="宋体" w:hAnsi="宋体" w:cs="宋体"/>
          <w:b/>
          <w:szCs w:val="21"/>
        </w:rPr>
        <w:t>2.3投标声明</w:t>
      </w:r>
    </w:p>
    <w:p>
      <w:pPr>
        <w:spacing w:line="440" w:lineRule="exact"/>
        <w:rPr>
          <w:rFonts w:ascii="宋体" w:hAnsi="宋体" w:cs="宋体"/>
          <w:b/>
          <w:szCs w:val="21"/>
        </w:rPr>
      </w:pPr>
    </w:p>
    <w:p>
      <w:pPr>
        <w:pStyle w:val="11"/>
        <w:spacing w:after="240" w:afterLines="100"/>
        <w:ind w:firstLine="0"/>
        <w:jc w:val="center"/>
        <w:rPr>
          <w:rFonts w:ascii="宋体" w:hAnsi="宋体" w:cs="宋体"/>
          <w:b/>
          <w:szCs w:val="21"/>
        </w:rPr>
      </w:pPr>
      <w:r>
        <w:rPr>
          <w:rFonts w:hint="eastAsia" w:ascii="宋体" w:hAnsi="宋体" w:cs="宋体"/>
          <w:b/>
          <w:szCs w:val="21"/>
        </w:rPr>
        <w:t>（1）投标声明书</w:t>
      </w:r>
    </w:p>
    <w:p>
      <w:pPr>
        <w:pStyle w:val="11"/>
        <w:spacing w:after="120" w:afterLines="50" w:line="360" w:lineRule="auto"/>
        <w:ind w:firstLine="0"/>
        <w:rPr>
          <w:rFonts w:ascii="宋体" w:hAnsi="宋体" w:cs="宋体"/>
          <w:b/>
          <w:szCs w:val="21"/>
        </w:rPr>
      </w:pPr>
      <w:r>
        <w:rPr>
          <w:rFonts w:hint="eastAsia" w:ascii="宋体" w:hAnsi="宋体" w:cs="宋体"/>
          <w:b/>
          <w:szCs w:val="21"/>
        </w:rPr>
        <w:t>陕西鼎祥越工程造价咨询有限公司：</w:t>
      </w:r>
    </w:p>
    <w:p>
      <w:pPr>
        <w:pStyle w:val="11"/>
        <w:spacing w:line="500" w:lineRule="exact"/>
        <w:ind w:firstLine="0"/>
        <w:rPr>
          <w:rFonts w:ascii="宋体" w:hAnsi="宋体" w:cs="宋体"/>
          <w:szCs w:val="21"/>
        </w:rPr>
      </w:pPr>
      <w:r>
        <w:rPr>
          <w:rFonts w:hint="eastAsia" w:ascii="宋体" w:hAnsi="宋体" w:cs="宋体"/>
          <w:szCs w:val="21"/>
        </w:rPr>
        <w:t xml:space="preserve">    我公司</w:t>
      </w:r>
      <w:r>
        <w:rPr>
          <w:rFonts w:hint="eastAsia" w:ascii="宋体" w:hAnsi="宋体" w:cs="宋体"/>
          <w:szCs w:val="21"/>
          <w:u w:val="single"/>
        </w:rPr>
        <w:t xml:space="preserve">           </w:t>
      </w:r>
      <w:r>
        <w:rPr>
          <w:rFonts w:hint="eastAsia" w:ascii="宋体" w:hAnsi="宋体" w:cs="宋体"/>
          <w:szCs w:val="21"/>
        </w:rPr>
        <w:t xml:space="preserve">（投标人名称），就参加 </w:t>
      </w:r>
      <w:r>
        <w:rPr>
          <w:rFonts w:hint="eastAsia" w:ascii="宋体" w:hAnsi="宋体" w:cs="宋体"/>
          <w:szCs w:val="21"/>
          <w:u w:val="single"/>
        </w:rPr>
        <w:t xml:space="preserve">       </w:t>
      </w:r>
      <w:r>
        <w:rPr>
          <w:rFonts w:hint="eastAsia" w:ascii="宋体" w:hAnsi="宋体" w:cs="宋体"/>
          <w:szCs w:val="21"/>
        </w:rPr>
        <w:t>采购项目（采购项目编号：DXY2022-0010）投标事宜，在此郑重声明：</w:t>
      </w:r>
    </w:p>
    <w:p>
      <w:pPr>
        <w:pStyle w:val="11"/>
        <w:spacing w:line="500" w:lineRule="exact"/>
        <w:ind w:firstLine="573"/>
        <w:rPr>
          <w:rFonts w:ascii="宋体" w:hAnsi="宋体" w:cs="宋体"/>
          <w:szCs w:val="21"/>
        </w:rPr>
      </w:pPr>
      <w:r>
        <w:rPr>
          <w:rFonts w:hint="eastAsia" w:ascii="宋体" w:hAnsi="宋体" w:cs="宋体"/>
          <w:szCs w:val="21"/>
        </w:rPr>
        <w:t>1、我公司所提交的所有证明文件及投标文件全部真实有效；</w:t>
      </w:r>
    </w:p>
    <w:p>
      <w:pPr>
        <w:pStyle w:val="11"/>
        <w:spacing w:line="500" w:lineRule="exact"/>
        <w:ind w:firstLine="573"/>
        <w:rPr>
          <w:rFonts w:ascii="宋体" w:hAnsi="宋体" w:cs="宋体"/>
          <w:szCs w:val="21"/>
        </w:rPr>
      </w:pPr>
      <w:r>
        <w:rPr>
          <w:rFonts w:hint="eastAsia" w:ascii="宋体" w:hAnsi="宋体" w:cs="宋体"/>
          <w:szCs w:val="21"/>
        </w:rPr>
        <w:t>2、我公司近3年来无因安全事故、质量事故、投标违规等不良记录被政府有关部门处罚或仍在处罚期限内的情形存在；</w:t>
      </w:r>
    </w:p>
    <w:p>
      <w:pPr>
        <w:pStyle w:val="11"/>
        <w:spacing w:line="500" w:lineRule="exact"/>
        <w:ind w:firstLine="573"/>
        <w:rPr>
          <w:rFonts w:ascii="宋体" w:hAnsi="宋体" w:cs="宋体"/>
          <w:szCs w:val="21"/>
        </w:rPr>
      </w:pPr>
      <w:r>
        <w:rPr>
          <w:rFonts w:hint="eastAsia" w:ascii="宋体" w:hAnsi="宋体" w:cs="宋体"/>
          <w:szCs w:val="21"/>
        </w:rPr>
        <w:t>3、我公司近3年来无违规违法经营受到责令停产(或停止经营)、吊销生产许可证（或经营许可证）、较大数额罚款等行政处罚的情形存在；</w:t>
      </w:r>
    </w:p>
    <w:p>
      <w:pPr>
        <w:pStyle w:val="11"/>
        <w:spacing w:line="500" w:lineRule="exact"/>
        <w:ind w:firstLine="573"/>
        <w:rPr>
          <w:rFonts w:ascii="宋体" w:hAnsi="宋体" w:cs="宋体"/>
          <w:szCs w:val="21"/>
        </w:rPr>
      </w:pPr>
      <w:r>
        <w:rPr>
          <w:rFonts w:hint="eastAsia" w:ascii="宋体" w:hAnsi="宋体" w:cs="宋体"/>
          <w:szCs w:val="21"/>
        </w:rPr>
        <w:t>4、我公司无企业财产被查封、冻结或处于破产状态或严重亏损状态等情形存在；</w:t>
      </w:r>
    </w:p>
    <w:p>
      <w:pPr>
        <w:pStyle w:val="11"/>
        <w:spacing w:line="500" w:lineRule="exact"/>
        <w:ind w:firstLine="573"/>
        <w:rPr>
          <w:rFonts w:ascii="宋体" w:hAnsi="宋体" w:cs="宋体"/>
          <w:szCs w:val="21"/>
        </w:rPr>
      </w:pPr>
      <w:r>
        <w:rPr>
          <w:rFonts w:hint="eastAsia" w:ascii="宋体" w:hAnsi="宋体" w:cs="宋体"/>
          <w:szCs w:val="21"/>
        </w:rPr>
        <w:t>5、我公司承诺在投标过程中，保证不予其他单位围标、串标，不出让谈判资格，不采取不正当手段诋毁、排挤其他投标人，不向采购人、采购代理机构、评标委员会成员行贿；</w:t>
      </w:r>
    </w:p>
    <w:p>
      <w:pPr>
        <w:pStyle w:val="11"/>
        <w:spacing w:line="500" w:lineRule="exact"/>
        <w:ind w:firstLine="573"/>
        <w:rPr>
          <w:rFonts w:ascii="宋体" w:hAnsi="宋体" w:cs="宋体"/>
          <w:szCs w:val="21"/>
        </w:rPr>
      </w:pPr>
      <w:r>
        <w:rPr>
          <w:rFonts w:hint="eastAsia" w:ascii="宋体" w:hAnsi="宋体" w:cs="宋体"/>
          <w:szCs w:val="21"/>
        </w:rPr>
        <w:t>6、我公司参加政府采购活动近3年内，在经营活动中没有重大违法记录。</w:t>
      </w:r>
    </w:p>
    <w:p>
      <w:pPr>
        <w:pStyle w:val="11"/>
        <w:spacing w:line="500" w:lineRule="exact"/>
        <w:ind w:firstLine="573"/>
        <w:rPr>
          <w:rFonts w:ascii="宋体" w:hAnsi="宋体" w:cs="宋体"/>
          <w:szCs w:val="21"/>
        </w:rPr>
      </w:pPr>
      <w:r>
        <w:rPr>
          <w:rFonts w:hint="eastAsia" w:ascii="宋体" w:hAnsi="宋体" w:cs="宋体"/>
          <w:szCs w:val="21"/>
        </w:rPr>
        <w:t>以上声明若有违反，一经查实，我公司愿意接受政府有关部门的相应处罚，并愿意承担由此带来的法律后果。</w:t>
      </w:r>
    </w:p>
    <w:p>
      <w:pPr>
        <w:pStyle w:val="11"/>
        <w:spacing w:line="500" w:lineRule="exact"/>
        <w:ind w:firstLine="570"/>
        <w:rPr>
          <w:rFonts w:ascii="宋体" w:hAnsi="宋体" w:cs="宋体"/>
          <w:szCs w:val="21"/>
        </w:rPr>
      </w:pPr>
      <w:r>
        <w:rPr>
          <w:rFonts w:hint="eastAsia" w:ascii="宋体" w:hAnsi="宋体" w:cs="宋体"/>
          <w:szCs w:val="21"/>
        </w:rPr>
        <w:t>特此声明！</w:t>
      </w:r>
    </w:p>
    <w:p>
      <w:pPr>
        <w:pStyle w:val="11"/>
        <w:spacing w:line="500" w:lineRule="exact"/>
        <w:ind w:firstLine="570"/>
        <w:rPr>
          <w:rFonts w:ascii="宋体" w:hAnsi="宋体" w:cs="宋体"/>
          <w:szCs w:val="21"/>
        </w:rPr>
      </w:pPr>
    </w:p>
    <w:p>
      <w:pPr>
        <w:pStyle w:val="11"/>
        <w:spacing w:line="500" w:lineRule="exact"/>
        <w:ind w:firstLine="570"/>
        <w:rPr>
          <w:rFonts w:ascii="宋体" w:hAnsi="宋体" w:cs="宋体"/>
          <w:szCs w:val="21"/>
        </w:rPr>
      </w:pPr>
      <w:r>
        <w:rPr>
          <w:rFonts w:hint="eastAsia" w:ascii="宋体" w:hAnsi="宋体" w:cs="宋体"/>
          <w:szCs w:val="21"/>
        </w:rPr>
        <w:t>声  明  人：</w:t>
      </w:r>
      <w:r>
        <w:rPr>
          <w:rFonts w:hint="eastAsia" w:ascii="宋体" w:hAnsi="宋体" w:cs="宋体"/>
          <w:szCs w:val="21"/>
          <w:u w:val="single"/>
        </w:rPr>
        <w:t xml:space="preserve">                      </w:t>
      </w:r>
      <w:r>
        <w:rPr>
          <w:rFonts w:hint="eastAsia" w:ascii="宋体" w:hAnsi="宋体" w:cs="宋体"/>
          <w:szCs w:val="21"/>
        </w:rPr>
        <w:t>（投标人名称、公章）</w:t>
      </w:r>
    </w:p>
    <w:p>
      <w:pPr>
        <w:pStyle w:val="11"/>
        <w:spacing w:line="500" w:lineRule="exact"/>
        <w:ind w:firstLine="573"/>
        <w:rPr>
          <w:rFonts w:ascii="宋体" w:hAnsi="宋体" w:cs="宋体"/>
          <w:szCs w:val="21"/>
        </w:rPr>
      </w:pPr>
      <w:r>
        <w:rPr>
          <w:rFonts w:hint="eastAsia" w:ascii="宋体" w:hAnsi="宋体" w:cs="宋体"/>
          <w:szCs w:val="21"/>
        </w:rPr>
        <w:t>法定代表人：</w:t>
      </w:r>
      <w:r>
        <w:rPr>
          <w:rFonts w:hint="eastAsia" w:ascii="宋体" w:hAnsi="宋体" w:cs="宋体"/>
          <w:szCs w:val="21"/>
          <w:u w:val="single"/>
        </w:rPr>
        <w:t xml:space="preserve">                       </w:t>
      </w:r>
      <w:r>
        <w:rPr>
          <w:rFonts w:hint="eastAsia" w:ascii="宋体" w:hAnsi="宋体" w:cs="宋体"/>
          <w:szCs w:val="21"/>
        </w:rPr>
        <w:t>（盖章或签字）</w:t>
      </w:r>
    </w:p>
    <w:p>
      <w:pPr>
        <w:pStyle w:val="11"/>
        <w:spacing w:line="500" w:lineRule="exact"/>
        <w:ind w:firstLine="573"/>
        <w:rPr>
          <w:rFonts w:ascii="宋体" w:hAnsi="宋体" w:cs="宋体"/>
          <w:szCs w:val="21"/>
        </w:rPr>
      </w:pPr>
      <w:r>
        <w:rPr>
          <w:rFonts w:hint="eastAsia" w:ascii="宋体" w:hAnsi="宋体" w:cs="宋体"/>
          <w:szCs w:val="21"/>
        </w:rPr>
        <w:t xml:space="preserve">日      期： </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pStyle w:val="11"/>
        <w:spacing w:line="500" w:lineRule="exact"/>
        <w:ind w:firstLine="573"/>
        <w:rPr>
          <w:rFonts w:ascii="宋体" w:hAnsi="宋体" w:cs="宋体"/>
          <w:szCs w:val="21"/>
        </w:rPr>
      </w:pPr>
    </w:p>
    <w:p>
      <w:pPr>
        <w:spacing w:line="440" w:lineRule="exact"/>
        <w:rPr>
          <w:rFonts w:ascii="宋体" w:hAnsi="宋体" w:cs="宋体"/>
          <w:szCs w:val="21"/>
        </w:rPr>
      </w:pPr>
    </w:p>
    <w:p>
      <w:pPr>
        <w:pStyle w:val="15"/>
        <w:rPr>
          <w:rFonts w:ascii="宋体" w:hAnsi="宋体" w:cs="宋体"/>
          <w:szCs w:val="21"/>
        </w:rPr>
      </w:pPr>
    </w:p>
    <w:p>
      <w:pPr>
        <w:rPr>
          <w:rFonts w:ascii="宋体" w:hAnsi="宋体" w:cs="宋体"/>
          <w:szCs w:val="21"/>
        </w:rPr>
      </w:pPr>
    </w:p>
    <w:p>
      <w:pPr>
        <w:pStyle w:val="15"/>
        <w:rPr>
          <w:rFonts w:ascii="宋体" w:hAnsi="宋体" w:cs="宋体"/>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jc w:val="center"/>
        <w:rPr>
          <w:rFonts w:ascii="宋体" w:hAnsi="宋体" w:cs="宋体"/>
          <w:b/>
          <w:szCs w:val="21"/>
        </w:rPr>
      </w:pPr>
      <w:r>
        <w:rPr>
          <w:rFonts w:hint="eastAsia" w:ascii="宋体" w:hAnsi="宋体" w:cs="宋体"/>
          <w:b/>
          <w:szCs w:val="21"/>
        </w:rPr>
        <w:t>（2）投标人具有履行本合同所必需的设备和专业技术能力的说明及承诺</w:t>
      </w:r>
    </w:p>
    <w:p>
      <w:pPr>
        <w:spacing w:line="440" w:lineRule="exact"/>
        <w:rPr>
          <w:rFonts w:ascii="宋体" w:hAnsi="宋体" w:cs="宋体"/>
          <w:szCs w:val="21"/>
        </w:rPr>
      </w:pPr>
    </w:p>
    <w:p>
      <w:pPr>
        <w:spacing w:line="440" w:lineRule="exact"/>
        <w:rPr>
          <w:rFonts w:ascii="宋体" w:hAnsi="宋体" w:cs="宋体"/>
          <w:szCs w:val="21"/>
        </w:rPr>
      </w:pPr>
      <w:r>
        <w:rPr>
          <w:rFonts w:hint="eastAsia" w:ascii="宋体" w:hAnsi="宋体" w:cs="宋体"/>
          <w:szCs w:val="21"/>
        </w:rPr>
        <w:t>致：</w:t>
      </w:r>
      <w:r>
        <w:rPr>
          <w:rFonts w:hint="eastAsia" w:ascii="宋体" w:hAnsi="宋体" w:cs="宋体"/>
          <w:szCs w:val="21"/>
          <w:u w:val="single"/>
        </w:rPr>
        <w:t xml:space="preserve">     （采购人名称）     </w:t>
      </w:r>
      <w:r>
        <w:rPr>
          <w:rFonts w:hint="eastAsia" w:ascii="宋体" w:hAnsi="宋体" w:cs="宋体"/>
          <w:szCs w:val="21"/>
        </w:rPr>
        <w:t>：</w:t>
      </w:r>
    </w:p>
    <w:p>
      <w:pPr>
        <w:spacing w:line="440" w:lineRule="exact"/>
        <w:ind w:firstLine="420"/>
        <w:rPr>
          <w:rFonts w:ascii="宋体" w:hAnsi="宋体" w:cs="宋体"/>
          <w:szCs w:val="21"/>
        </w:rPr>
      </w:pPr>
      <w:r>
        <w:rPr>
          <w:rFonts w:hint="eastAsia" w:ascii="宋体" w:hAnsi="宋体" w:cs="宋体"/>
          <w:szCs w:val="21"/>
        </w:rPr>
        <w:t>我公司</w:t>
      </w:r>
      <w:r>
        <w:rPr>
          <w:rFonts w:hint="eastAsia" w:ascii="宋体" w:hAnsi="宋体" w:cs="宋体"/>
          <w:szCs w:val="21"/>
          <w:u w:val="single"/>
        </w:rPr>
        <w:t xml:space="preserve">               </w:t>
      </w:r>
      <w:r>
        <w:rPr>
          <w:rFonts w:hint="eastAsia" w:ascii="宋体" w:hAnsi="宋体" w:cs="宋体"/>
          <w:szCs w:val="21"/>
        </w:rPr>
        <w:t>（投标人名称）于</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日在中华人民共和国境内</w:t>
      </w:r>
      <w:r>
        <w:rPr>
          <w:rFonts w:hint="eastAsia" w:ascii="宋体" w:hAnsi="宋体" w:cs="宋体"/>
          <w:szCs w:val="21"/>
          <w:u w:val="single"/>
        </w:rPr>
        <w:t xml:space="preserve">     （详细注册地址）    </w:t>
      </w:r>
      <w:r>
        <w:rPr>
          <w:rFonts w:hint="eastAsia" w:ascii="宋体" w:hAnsi="宋体" w:cs="宋体"/>
          <w:szCs w:val="21"/>
        </w:rPr>
        <w:t>合法注册并经营，公司主营业务为</w:t>
      </w:r>
      <w:r>
        <w:rPr>
          <w:rFonts w:hint="eastAsia" w:ascii="宋体" w:hAnsi="宋体" w:cs="宋体"/>
          <w:szCs w:val="21"/>
          <w:u w:val="single"/>
        </w:rPr>
        <w:t xml:space="preserve">                  </w:t>
      </w:r>
      <w:r>
        <w:rPr>
          <w:rFonts w:hint="eastAsia" w:ascii="宋体" w:hAnsi="宋体" w:cs="宋体"/>
          <w:szCs w:val="21"/>
        </w:rPr>
        <w:t>，营业（生产经营）面积为</w:t>
      </w:r>
      <w:r>
        <w:rPr>
          <w:rFonts w:hint="eastAsia" w:ascii="宋体" w:hAnsi="宋体" w:cs="宋体"/>
          <w:szCs w:val="21"/>
          <w:u w:val="single"/>
        </w:rPr>
        <w:t xml:space="preserve">               </w:t>
      </w:r>
      <w:r>
        <w:rPr>
          <w:rFonts w:hint="eastAsia" w:ascii="宋体" w:hAnsi="宋体" w:cs="宋体"/>
          <w:szCs w:val="21"/>
        </w:rPr>
        <w:t>，现有员工数量为</w:t>
      </w:r>
      <w:r>
        <w:rPr>
          <w:rFonts w:hint="eastAsia" w:ascii="宋体" w:hAnsi="宋体" w:cs="宋体"/>
          <w:szCs w:val="21"/>
          <w:u w:val="single"/>
        </w:rPr>
        <w:t xml:space="preserve">               </w:t>
      </w:r>
      <w:r>
        <w:rPr>
          <w:rFonts w:hint="eastAsia" w:ascii="宋体" w:hAnsi="宋体" w:cs="宋体"/>
          <w:szCs w:val="21"/>
        </w:rPr>
        <w:t>，其中与履行本合同相关的专业技术人员有</w:t>
      </w:r>
      <w:r>
        <w:rPr>
          <w:rFonts w:hint="eastAsia" w:ascii="宋体" w:hAnsi="宋体" w:cs="宋体"/>
          <w:szCs w:val="21"/>
          <w:u w:val="single"/>
        </w:rPr>
        <w:t xml:space="preserve">      （专业能力、数量）      </w:t>
      </w:r>
      <w:r>
        <w:rPr>
          <w:rFonts w:hint="eastAsia" w:ascii="宋体" w:hAnsi="宋体" w:cs="宋体"/>
          <w:szCs w:val="21"/>
        </w:rPr>
        <w:t>，本公司郑重承诺，具有履行本合同所必需的设备和专业技术能力。</w:t>
      </w:r>
    </w:p>
    <w:p>
      <w:pPr>
        <w:spacing w:line="440" w:lineRule="exact"/>
        <w:ind w:firstLine="420"/>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pStyle w:val="11"/>
        <w:spacing w:line="500" w:lineRule="exact"/>
        <w:ind w:firstLine="570"/>
        <w:rPr>
          <w:rFonts w:ascii="宋体" w:hAnsi="宋体" w:cs="宋体"/>
          <w:szCs w:val="21"/>
        </w:rPr>
      </w:pPr>
      <w:r>
        <w:rPr>
          <w:rFonts w:hint="eastAsia" w:ascii="宋体" w:hAnsi="宋体" w:cs="宋体"/>
          <w:szCs w:val="21"/>
        </w:rPr>
        <w:t>承  诺  人：</w:t>
      </w:r>
      <w:r>
        <w:rPr>
          <w:rFonts w:hint="eastAsia" w:ascii="宋体" w:hAnsi="宋体" w:cs="宋体"/>
          <w:szCs w:val="21"/>
          <w:u w:val="single"/>
        </w:rPr>
        <w:t xml:space="preserve">                       </w:t>
      </w:r>
      <w:r>
        <w:rPr>
          <w:rFonts w:hint="eastAsia" w:ascii="宋体" w:hAnsi="宋体" w:cs="宋体"/>
          <w:szCs w:val="21"/>
        </w:rPr>
        <w:t>（投标人名称、公章）</w:t>
      </w:r>
    </w:p>
    <w:p>
      <w:pPr>
        <w:pStyle w:val="11"/>
        <w:spacing w:line="500" w:lineRule="exact"/>
        <w:ind w:firstLine="573"/>
        <w:rPr>
          <w:rFonts w:ascii="宋体" w:hAnsi="宋体" w:cs="宋体"/>
          <w:szCs w:val="21"/>
        </w:rPr>
      </w:pPr>
      <w:r>
        <w:rPr>
          <w:rFonts w:hint="eastAsia" w:ascii="宋体" w:hAnsi="宋体" w:cs="宋体"/>
          <w:szCs w:val="21"/>
        </w:rPr>
        <w:t>法定代表人：</w:t>
      </w:r>
      <w:r>
        <w:rPr>
          <w:rFonts w:hint="eastAsia" w:ascii="宋体" w:hAnsi="宋体" w:cs="宋体"/>
          <w:szCs w:val="21"/>
          <w:u w:val="single"/>
        </w:rPr>
        <w:t xml:space="preserve">                       </w:t>
      </w:r>
      <w:r>
        <w:rPr>
          <w:rFonts w:hint="eastAsia" w:ascii="宋体" w:hAnsi="宋体" w:cs="宋体"/>
          <w:szCs w:val="21"/>
        </w:rPr>
        <w:t>（盖章或签字）</w:t>
      </w:r>
    </w:p>
    <w:p>
      <w:pPr>
        <w:pStyle w:val="11"/>
        <w:spacing w:line="500" w:lineRule="exact"/>
        <w:ind w:firstLine="573"/>
        <w:rPr>
          <w:rFonts w:ascii="宋体" w:hAnsi="宋体" w:cs="宋体"/>
          <w:szCs w:val="21"/>
        </w:rPr>
      </w:pPr>
      <w:r>
        <w:rPr>
          <w:rFonts w:hint="eastAsia" w:ascii="宋体" w:hAnsi="宋体" w:cs="宋体"/>
          <w:szCs w:val="21"/>
        </w:rPr>
        <w:t xml:space="preserve">日      期： </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b/>
          <w:szCs w:val="21"/>
        </w:rPr>
      </w:pPr>
      <w:r>
        <w:rPr>
          <w:rFonts w:hint="eastAsia" w:ascii="宋体" w:hAnsi="宋体" w:cs="宋体"/>
          <w:b/>
          <w:szCs w:val="21"/>
        </w:rPr>
        <w:t>2.4其他证明材料：享受政府采购优惠政策产品的证明材料（如有）</w:t>
      </w:r>
    </w:p>
    <w:p>
      <w:pPr>
        <w:pStyle w:val="19"/>
        <w:adjustRightInd w:val="0"/>
        <w:snapToGrid w:val="0"/>
        <w:spacing w:before="120" w:beforeLines="50" w:line="440" w:lineRule="exact"/>
        <w:rPr>
          <w:rFonts w:hAnsi="宋体" w:cs="宋体"/>
        </w:rPr>
      </w:pPr>
      <w:r>
        <w:rPr>
          <w:rFonts w:hint="eastAsia" w:hAnsi="宋体" w:cs="宋体"/>
        </w:rPr>
        <w:t>附件4：中小企业声明函</w:t>
      </w:r>
    </w:p>
    <w:p>
      <w:pPr>
        <w:adjustRightInd w:val="0"/>
        <w:snapToGrid w:val="0"/>
        <w:spacing w:before="50" w:line="440" w:lineRule="exact"/>
        <w:rPr>
          <w:rFonts w:ascii="宋体" w:hAnsi="宋体" w:cs="宋体"/>
          <w:szCs w:val="21"/>
        </w:rPr>
      </w:pPr>
      <w:r>
        <w:rPr>
          <w:rFonts w:hint="eastAsia" w:ascii="宋体" w:hAnsi="宋体" w:cs="宋体"/>
          <w:szCs w:val="21"/>
        </w:rPr>
        <w:t>附件5：“节能</w:t>
      </w:r>
      <w:r>
        <w:rPr>
          <w:rFonts w:hint="eastAsia" w:ascii="宋体" w:hAnsi="宋体" w:cs="宋体"/>
          <w:bCs/>
          <w:szCs w:val="21"/>
        </w:rPr>
        <w:t>产品</w:t>
      </w:r>
      <w:r>
        <w:rPr>
          <w:rFonts w:hint="eastAsia" w:ascii="宋体" w:hAnsi="宋体" w:cs="宋体"/>
          <w:szCs w:val="21"/>
        </w:rPr>
        <w:t>”、“环境标志</w:t>
      </w:r>
      <w:r>
        <w:rPr>
          <w:rFonts w:hint="eastAsia" w:ascii="宋体" w:hAnsi="宋体" w:cs="宋体"/>
          <w:bCs/>
          <w:szCs w:val="21"/>
        </w:rPr>
        <w:t>产品</w:t>
      </w:r>
      <w:r>
        <w:rPr>
          <w:rFonts w:hint="eastAsia" w:ascii="宋体" w:hAnsi="宋体" w:cs="宋体"/>
          <w:szCs w:val="21"/>
        </w:rPr>
        <w:t>”证明材料</w:t>
      </w:r>
    </w:p>
    <w:p>
      <w:pPr>
        <w:spacing w:line="588" w:lineRule="exact"/>
        <w:jc w:val="left"/>
        <w:rPr>
          <w:rFonts w:ascii="宋体" w:hAnsi="宋体" w:cs="宋体"/>
          <w:b/>
          <w:spacing w:val="6"/>
          <w:szCs w:val="21"/>
        </w:rPr>
      </w:pPr>
      <w:r>
        <w:rPr>
          <w:rFonts w:hint="eastAsia" w:ascii="宋体" w:hAnsi="宋体" w:cs="宋体"/>
          <w:szCs w:val="21"/>
        </w:rPr>
        <w:t>附件6：</w:t>
      </w:r>
      <w:r>
        <w:rPr>
          <w:rFonts w:hint="eastAsia" w:ascii="宋体" w:hAnsi="宋体" w:cs="宋体"/>
          <w:bCs/>
          <w:spacing w:val="6"/>
          <w:szCs w:val="21"/>
        </w:rPr>
        <w:t>残疾人福利性单位声明函</w:t>
      </w:r>
    </w:p>
    <w:p>
      <w:pPr>
        <w:pStyle w:val="54"/>
        <w:spacing w:line="500" w:lineRule="exact"/>
        <w:rPr>
          <w:rFonts w:ascii="宋体" w:hAnsi="宋体" w:eastAsia="宋体" w:cs="宋体"/>
          <w:sz w:val="21"/>
          <w:szCs w:val="21"/>
        </w:rPr>
      </w:pPr>
    </w:p>
    <w:p>
      <w:pPr>
        <w:adjustRightInd w:val="0"/>
        <w:snapToGrid w:val="0"/>
        <w:spacing w:before="50" w:line="440" w:lineRule="exact"/>
        <w:rPr>
          <w:rFonts w:ascii="宋体" w:hAnsi="宋体" w:cs="宋体"/>
          <w:szCs w:val="21"/>
        </w:rPr>
      </w:pPr>
    </w:p>
    <w:p>
      <w:pPr>
        <w:pStyle w:val="11"/>
        <w:spacing w:line="440" w:lineRule="exact"/>
        <w:ind w:firstLine="0"/>
        <w:rPr>
          <w:rFonts w:ascii="宋体" w:hAnsi="宋体" w:cs="宋体"/>
          <w:sz w:val="28"/>
          <w:szCs w:val="28"/>
        </w:rPr>
      </w:pPr>
    </w:p>
    <w:p>
      <w:pPr>
        <w:pStyle w:val="11"/>
        <w:spacing w:line="440" w:lineRule="exact"/>
        <w:ind w:firstLine="0"/>
        <w:rPr>
          <w:rFonts w:ascii="宋体" w:hAnsi="宋体" w:cs="宋体"/>
          <w:sz w:val="28"/>
          <w:szCs w:val="28"/>
        </w:rPr>
      </w:pPr>
    </w:p>
    <w:p>
      <w:pPr>
        <w:pStyle w:val="11"/>
        <w:spacing w:line="440" w:lineRule="exact"/>
        <w:ind w:firstLine="0"/>
        <w:rPr>
          <w:rFonts w:ascii="宋体" w:hAnsi="宋体" w:cs="宋体"/>
          <w:sz w:val="28"/>
          <w:szCs w:val="28"/>
        </w:rPr>
      </w:pPr>
    </w:p>
    <w:p>
      <w:pPr>
        <w:pStyle w:val="11"/>
        <w:spacing w:line="440" w:lineRule="exact"/>
        <w:ind w:firstLine="0"/>
        <w:rPr>
          <w:rFonts w:ascii="宋体" w:hAnsi="宋体" w:cs="宋体"/>
          <w:sz w:val="28"/>
          <w:szCs w:val="28"/>
        </w:rPr>
      </w:pPr>
    </w:p>
    <w:p>
      <w:pPr>
        <w:pStyle w:val="11"/>
        <w:spacing w:line="440" w:lineRule="exact"/>
        <w:ind w:firstLine="0"/>
        <w:rPr>
          <w:rFonts w:ascii="宋体" w:hAnsi="宋体" w:cs="宋体"/>
          <w:sz w:val="28"/>
          <w:szCs w:val="28"/>
        </w:rPr>
      </w:pPr>
    </w:p>
    <w:p>
      <w:pPr>
        <w:pStyle w:val="11"/>
        <w:spacing w:line="440" w:lineRule="exact"/>
        <w:ind w:firstLine="0"/>
        <w:rPr>
          <w:rFonts w:ascii="宋体" w:hAnsi="宋体" w:cs="宋体"/>
          <w:sz w:val="28"/>
          <w:szCs w:val="28"/>
        </w:rPr>
      </w:pPr>
    </w:p>
    <w:p>
      <w:pPr>
        <w:pStyle w:val="11"/>
        <w:spacing w:line="440" w:lineRule="exact"/>
        <w:ind w:firstLine="0"/>
        <w:rPr>
          <w:rFonts w:ascii="宋体" w:hAnsi="宋体" w:cs="宋体"/>
          <w:sz w:val="28"/>
          <w:szCs w:val="28"/>
        </w:rPr>
      </w:pPr>
    </w:p>
    <w:p>
      <w:pPr>
        <w:pStyle w:val="11"/>
        <w:spacing w:line="440" w:lineRule="exact"/>
        <w:ind w:firstLine="0"/>
        <w:rPr>
          <w:rFonts w:ascii="宋体" w:hAnsi="宋体" w:cs="宋体"/>
          <w:sz w:val="28"/>
          <w:szCs w:val="28"/>
        </w:rPr>
      </w:pPr>
    </w:p>
    <w:p>
      <w:pPr>
        <w:pStyle w:val="11"/>
        <w:spacing w:line="440" w:lineRule="exact"/>
        <w:ind w:firstLine="0"/>
        <w:rPr>
          <w:rFonts w:ascii="宋体" w:hAnsi="宋体" w:cs="宋体"/>
          <w:sz w:val="28"/>
          <w:szCs w:val="28"/>
        </w:rPr>
      </w:pPr>
    </w:p>
    <w:p>
      <w:pPr>
        <w:pStyle w:val="11"/>
        <w:spacing w:line="440" w:lineRule="exact"/>
        <w:ind w:firstLine="0"/>
        <w:rPr>
          <w:rFonts w:ascii="宋体" w:hAnsi="宋体" w:cs="宋体"/>
          <w:sz w:val="28"/>
          <w:szCs w:val="28"/>
        </w:rPr>
      </w:pPr>
    </w:p>
    <w:p>
      <w:pPr>
        <w:pStyle w:val="11"/>
        <w:spacing w:line="440" w:lineRule="exact"/>
        <w:ind w:firstLine="0"/>
        <w:rPr>
          <w:rFonts w:ascii="宋体" w:hAnsi="宋体" w:cs="宋体"/>
          <w:sz w:val="28"/>
          <w:szCs w:val="28"/>
        </w:rPr>
      </w:pPr>
    </w:p>
    <w:p>
      <w:pPr>
        <w:pStyle w:val="11"/>
        <w:spacing w:line="440" w:lineRule="exact"/>
        <w:ind w:firstLine="0"/>
        <w:rPr>
          <w:rFonts w:ascii="宋体" w:hAnsi="宋体" w:cs="宋体"/>
          <w:sz w:val="28"/>
          <w:szCs w:val="28"/>
        </w:rPr>
      </w:pPr>
    </w:p>
    <w:p>
      <w:pPr>
        <w:pStyle w:val="11"/>
        <w:spacing w:line="440" w:lineRule="exact"/>
        <w:ind w:firstLine="0"/>
        <w:rPr>
          <w:rFonts w:ascii="宋体" w:hAnsi="宋体" w:cs="宋体"/>
          <w:sz w:val="28"/>
          <w:szCs w:val="28"/>
        </w:rPr>
      </w:pPr>
    </w:p>
    <w:p>
      <w:pPr>
        <w:pStyle w:val="11"/>
        <w:spacing w:line="440" w:lineRule="exact"/>
        <w:ind w:firstLine="0"/>
        <w:rPr>
          <w:rFonts w:ascii="宋体" w:hAnsi="宋体" w:cs="宋体"/>
          <w:sz w:val="28"/>
          <w:szCs w:val="28"/>
        </w:rPr>
      </w:pPr>
    </w:p>
    <w:p>
      <w:pPr>
        <w:pStyle w:val="11"/>
        <w:spacing w:line="440" w:lineRule="exact"/>
        <w:ind w:firstLine="0"/>
        <w:rPr>
          <w:rFonts w:ascii="宋体" w:hAnsi="宋体" w:cs="宋体"/>
          <w:sz w:val="28"/>
          <w:szCs w:val="28"/>
        </w:rPr>
      </w:pPr>
    </w:p>
    <w:p>
      <w:pPr>
        <w:pStyle w:val="11"/>
        <w:spacing w:line="440" w:lineRule="exact"/>
        <w:ind w:firstLine="0"/>
        <w:rPr>
          <w:rFonts w:ascii="宋体" w:hAnsi="宋体" w:cs="宋体"/>
          <w:sz w:val="28"/>
          <w:szCs w:val="28"/>
        </w:rPr>
      </w:pPr>
    </w:p>
    <w:p>
      <w:pPr>
        <w:pStyle w:val="11"/>
        <w:spacing w:line="440" w:lineRule="exact"/>
        <w:ind w:firstLine="0"/>
        <w:rPr>
          <w:rFonts w:ascii="宋体" w:hAnsi="宋体" w:cs="宋体"/>
          <w:sz w:val="28"/>
          <w:szCs w:val="28"/>
        </w:rPr>
      </w:pPr>
    </w:p>
    <w:p>
      <w:pPr>
        <w:pStyle w:val="11"/>
        <w:spacing w:line="440" w:lineRule="exact"/>
        <w:ind w:firstLine="0"/>
        <w:rPr>
          <w:rFonts w:ascii="宋体" w:hAnsi="宋体" w:cs="宋体"/>
          <w:sz w:val="28"/>
          <w:szCs w:val="28"/>
        </w:rPr>
      </w:pPr>
    </w:p>
    <w:p>
      <w:pPr>
        <w:pStyle w:val="11"/>
        <w:spacing w:line="440" w:lineRule="exact"/>
        <w:ind w:firstLine="0"/>
        <w:rPr>
          <w:rFonts w:ascii="宋体" w:hAnsi="宋体" w:cs="宋体"/>
          <w:sz w:val="28"/>
          <w:szCs w:val="28"/>
        </w:rPr>
      </w:pPr>
    </w:p>
    <w:p>
      <w:pPr>
        <w:pStyle w:val="11"/>
        <w:spacing w:line="440" w:lineRule="exact"/>
        <w:ind w:firstLine="0"/>
        <w:rPr>
          <w:rFonts w:ascii="宋体" w:hAnsi="宋体" w:cs="宋体"/>
          <w:sz w:val="28"/>
          <w:szCs w:val="28"/>
        </w:rPr>
      </w:pPr>
    </w:p>
    <w:p>
      <w:pPr>
        <w:pStyle w:val="11"/>
        <w:spacing w:line="440" w:lineRule="exact"/>
        <w:ind w:firstLine="0"/>
        <w:rPr>
          <w:rFonts w:ascii="宋体" w:hAnsi="宋体" w:cs="宋体"/>
          <w:sz w:val="28"/>
          <w:szCs w:val="28"/>
        </w:rPr>
      </w:pPr>
    </w:p>
    <w:p>
      <w:pPr>
        <w:pStyle w:val="11"/>
        <w:spacing w:line="440" w:lineRule="exact"/>
        <w:ind w:firstLine="0"/>
        <w:rPr>
          <w:rFonts w:ascii="宋体" w:hAnsi="宋体" w:cs="宋体"/>
          <w:sz w:val="28"/>
          <w:szCs w:val="28"/>
        </w:rPr>
      </w:pPr>
    </w:p>
    <w:p>
      <w:pPr>
        <w:pStyle w:val="11"/>
        <w:spacing w:line="440" w:lineRule="exact"/>
        <w:ind w:firstLine="0"/>
        <w:rPr>
          <w:rFonts w:ascii="宋体" w:hAnsi="宋体" w:cs="宋体"/>
          <w:sz w:val="28"/>
          <w:szCs w:val="28"/>
        </w:rPr>
      </w:pPr>
    </w:p>
    <w:p>
      <w:pPr>
        <w:pStyle w:val="11"/>
        <w:spacing w:line="440" w:lineRule="exact"/>
        <w:ind w:firstLine="0"/>
        <w:rPr>
          <w:rFonts w:ascii="宋体" w:hAnsi="宋体" w:cs="宋体"/>
          <w:sz w:val="28"/>
          <w:szCs w:val="28"/>
        </w:rPr>
      </w:pPr>
    </w:p>
    <w:p>
      <w:pPr>
        <w:spacing w:line="440" w:lineRule="exact"/>
        <w:rPr>
          <w:rFonts w:ascii="宋体" w:hAnsi="宋体" w:cs="宋体"/>
          <w:b/>
          <w:szCs w:val="21"/>
        </w:rPr>
      </w:pPr>
      <w:r>
        <w:rPr>
          <w:rFonts w:hint="eastAsia" w:ascii="宋体" w:hAnsi="宋体" w:cs="宋体"/>
          <w:b/>
          <w:szCs w:val="21"/>
        </w:rPr>
        <w:t>2.5投标人近三年类似项目业绩一览表</w:t>
      </w:r>
    </w:p>
    <w:p>
      <w:pPr>
        <w:spacing w:line="440" w:lineRule="exact"/>
        <w:jc w:val="center"/>
        <w:rPr>
          <w:rFonts w:ascii="宋体" w:hAnsi="宋体" w:cs="宋体"/>
          <w:b/>
          <w:szCs w:val="21"/>
        </w:rPr>
      </w:pPr>
      <w:r>
        <w:rPr>
          <w:rFonts w:hint="eastAsia" w:ascii="宋体" w:hAnsi="宋体" w:cs="宋体"/>
          <w:b/>
          <w:szCs w:val="21"/>
        </w:rPr>
        <w:t>近三年类似项目业绩一览表</w:t>
      </w:r>
    </w:p>
    <w:p>
      <w:pPr>
        <w:spacing w:line="440" w:lineRule="exact"/>
        <w:rPr>
          <w:rFonts w:ascii="宋体" w:hAnsi="宋体" w:cs="宋体"/>
          <w:szCs w:val="21"/>
        </w:rPr>
      </w:pPr>
      <w:r>
        <w:rPr>
          <w:rFonts w:hint="eastAsia" w:ascii="宋体" w:hAnsi="宋体" w:cs="宋体"/>
          <w:szCs w:val="21"/>
        </w:rPr>
        <w:t>投标人名称：</w:t>
      </w:r>
      <w:r>
        <w:rPr>
          <w:rFonts w:hint="eastAsia" w:ascii="宋体" w:hAnsi="宋体" w:cs="宋体"/>
          <w:szCs w:val="21"/>
          <w:u w:val="single"/>
        </w:rPr>
        <w:t xml:space="preserve">                </w:t>
      </w:r>
      <w:r>
        <w:rPr>
          <w:rFonts w:hint="eastAsia" w:ascii="宋体" w:hAnsi="宋体" w:cs="宋体"/>
          <w:szCs w:val="21"/>
        </w:rPr>
        <w:t xml:space="preserve">                              项目编号：</w:t>
      </w:r>
      <w:r>
        <w:rPr>
          <w:rFonts w:hint="eastAsia" w:ascii="宋体" w:hAnsi="宋体" w:cs="宋体"/>
          <w:szCs w:val="21"/>
          <w:u w:val="single"/>
        </w:rPr>
        <w:t xml:space="preserve">                   </w:t>
      </w:r>
    </w:p>
    <w:tbl>
      <w:tblPr>
        <w:tblStyle w:val="36"/>
        <w:tblW w:w="926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620"/>
        <w:gridCol w:w="1596"/>
        <w:gridCol w:w="1288"/>
        <w:gridCol w:w="1436"/>
        <w:gridCol w:w="1440"/>
        <w:gridCol w:w="98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00" w:type="dxa"/>
            <w:vAlign w:val="center"/>
          </w:tcPr>
          <w:p>
            <w:pPr>
              <w:pStyle w:val="11"/>
              <w:ind w:firstLine="0"/>
              <w:jc w:val="center"/>
              <w:rPr>
                <w:rFonts w:ascii="宋体" w:hAnsi="宋体" w:cs="宋体"/>
                <w:b/>
                <w:szCs w:val="21"/>
              </w:rPr>
            </w:pPr>
            <w:r>
              <w:rPr>
                <w:rFonts w:hint="eastAsia" w:ascii="宋体" w:hAnsi="宋体" w:cs="宋体"/>
                <w:b/>
                <w:szCs w:val="21"/>
              </w:rPr>
              <w:t>年份</w:t>
            </w:r>
          </w:p>
        </w:tc>
        <w:tc>
          <w:tcPr>
            <w:tcW w:w="1620" w:type="dxa"/>
            <w:vAlign w:val="center"/>
          </w:tcPr>
          <w:p>
            <w:pPr>
              <w:pStyle w:val="11"/>
              <w:ind w:firstLine="0"/>
              <w:jc w:val="center"/>
              <w:rPr>
                <w:rFonts w:ascii="宋体" w:hAnsi="宋体" w:cs="宋体"/>
                <w:b/>
                <w:szCs w:val="21"/>
              </w:rPr>
            </w:pPr>
            <w:r>
              <w:rPr>
                <w:rFonts w:hint="eastAsia" w:ascii="宋体" w:hAnsi="宋体" w:cs="宋体"/>
                <w:b/>
                <w:szCs w:val="21"/>
              </w:rPr>
              <w:t>用户名称</w:t>
            </w:r>
          </w:p>
        </w:tc>
        <w:tc>
          <w:tcPr>
            <w:tcW w:w="1596" w:type="dxa"/>
            <w:vAlign w:val="center"/>
          </w:tcPr>
          <w:p>
            <w:pPr>
              <w:pStyle w:val="11"/>
              <w:ind w:firstLine="0"/>
              <w:jc w:val="center"/>
              <w:rPr>
                <w:rFonts w:ascii="宋体" w:hAnsi="宋体" w:cs="宋体"/>
                <w:b/>
                <w:szCs w:val="21"/>
              </w:rPr>
            </w:pPr>
            <w:r>
              <w:rPr>
                <w:rFonts w:hint="eastAsia" w:ascii="宋体" w:hAnsi="宋体" w:cs="宋体"/>
                <w:b/>
                <w:szCs w:val="21"/>
              </w:rPr>
              <w:t>项目名称</w:t>
            </w:r>
          </w:p>
        </w:tc>
        <w:tc>
          <w:tcPr>
            <w:tcW w:w="1288" w:type="dxa"/>
            <w:vAlign w:val="center"/>
          </w:tcPr>
          <w:p>
            <w:pPr>
              <w:pStyle w:val="11"/>
              <w:ind w:firstLine="0"/>
              <w:jc w:val="center"/>
              <w:rPr>
                <w:rFonts w:ascii="宋体" w:hAnsi="宋体" w:cs="宋体"/>
                <w:b/>
                <w:szCs w:val="21"/>
              </w:rPr>
            </w:pPr>
            <w:r>
              <w:rPr>
                <w:rFonts w:hint="eastAsia" w:ascii="宋体" w:hAnsi="宋体" w:cs="宋体"/>
                <w:b/>
                <w:szCs w:val="21"/>
              </w:rPr>
              <w:t>合同金额</w:t>
            </w:r>
          </w:p>
        </w:tc>
        <w:tc>
          <w:tcPr>
            <w:tcW w:w="1436" w:type="dxa"/>
            <w:vAlign w:val="center"/>
          </w:tcPr>
          <w:p>
            <w:pPr>
              <w:pStyle w:val="11"/>
              <w:ind w:firstLine="0"/>
              <w:jc w:val="center"/>
              <w:rPr>
                <w:rFonts w:ascii="宋体" w:hAnsi="宋体" w:cs="宋体"/>
                <w:b/>
                <w:szCs w:val="21"/>
              </w:rPr>
            </w:pPr>
            <w:r>
              <w:rPr>
                <w:rFonts w:hint="eastAsia" w:ascii="宋体" w:hAnsi="宋体" w:cs="宋体"/>
                <w:b/>
                <w:szCs w:val="21"/>
              </w:rPr>
              <w:t>完成时间</w:t>
            </w:r>
          </w:p>
        </w:tc>
        <w:tc>
          <w:tcPr>
            <w:tcW w:w="1440" w:type="dxa"/>
            <w:vAlign w:val="center"/>
          </w:tcPr>
          <w:p>
            <w:pPr>
              <w:pStyle w:val="11"/>
              <w:ind w:firstLine="0"/>
              <w:jc w:val="center"/>
              <w:rPr>
                <w:rFonts w:ascii="宋体" w:hAnsi="宋体" w:cs="宋体"/>
                <w:b/>
                <w:szCs w:val="21"/>
              </w:rPr>
            </w:pPr>
            <w:r>
              <w:rPr>
                <w:rFonts w:hint="eastAsia" w:ascii="宋体" w:hAnsi="宋体" w:cs="宋体"/>
                <w:b/>
                <w:szCs w:val="21"/>
              </w:rPr>
              <w:t>完成质量</w:t>
            </w:r>
          </w:p>
        </w:tc>
        <w:tc>
          <w:tcPr>
            <w:tcW w:w="988" w:type="dxa"/>
            <w:vAlign w:val="center"/>
          </w:tcPr>
          <w:p>
            <w:pPr>
              <w:pStyle w:val="11"/>
              <w:ind w:firstLine="0"/>
              <w:jc w:val="center"/>
              <w:rPr>
                <w:rFonts w:ascii="宋体" w:hAnsi="宋体" w:cs="宋体"/>
                <w:b/>
                <w:szCs w:val="21"/>
              </w:rPr>
            </w:pPr>
            <w:r>
              <w:rPr>
                <w:rFonts w:hint="eastAsia" w:ascii="宋体" w:hAnsi="宋体" w:cs="宋体"/>
                <w:b/>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tcPr>
          <w:p>
            <w:pPr>
              <w:pStyle w:val="11"/>
              <w:ind w:firstLine="0"/>
              <w:rPr>
                <w:rFonts w:ascii="宋体" w:hAnsi="宋体" w:cs="宋体"/>
                <w:szCs w:val="21"/>
              </w:rPr>
            </w:pPr>
          </w:p>
        </w:tc>
        <w:tc>
          <w:tcPr>
            <w:tcW w:w="1620" w:type="dxa"/>
          </w:tcPr>
          <w:p>
            <w:pPr>
              <w:pStyle w:val="11"/>
              <w:ind w:firstLine="0"/>
              <w:rPr>
                <w:rFonts w:ascii="宋体" w:hAnsi="宋体" w:cs="宋体"/>
                <w:szCs w:val="21"/>
              </w:rPr>
            </w:pPr>
          </w:p>
        </w:tc>
        <w:tc>
          <w:tcPr>
            <w:tcW w:w="1596" w:type="dxa"/>
          </w:tcPr>
          <w:p>
            <w:pPr>
              <w:pStyle w:val="11"/>
              <w:ind w:firstLine="0"/>
              <w:rPr>
                <w:rFonts w:ascii="宋体" w:hAnsi="宋体" w:cs="宋体"/>
                <w:szCs w:val="21"/>
              </w:rPr>
            </w:pPr>
          </w:p>
        </w:tc>
        <w:tc>
          <w:tcPr>
            <w:tcW w:w="1288" w:type="dxa"/>
          </w:tcPr>
          <w:p>
            <w:pPr>
              <w:pStyle w:val="11"/>
              <w:ind w:firstLine="0"/>
              <w:rPr>
                <w:rFonts w:ascii="宋体" w:hAnsi="宋体" w:cs="宋体"/>
                <w:szCs w:val="21"/>
              </w:rPr>
            </w:pPr>
          </w:p>
        </w:tc>
        <w:tc>
          <w:tcPr>
            <w:tcW w:w="1436" w:type="dxa"/>
          </w:tcPr>
          <w:p>
            <w:pPr>
              <w:pStyle w:val="11"/>
              <w:ind w:firstLine="0"/>
              <w:rPr>
                <w:rFonts w:ascii="宋体" w:hAnsi="宋体" w:cs="宋体"/>
                <w:szCs w:val="21"/>
              </w:rPr>
            </w:pPr>
          </w:p>
        </w:tc>
        <w:tc>
          <w:tcPr>
            <w:tcW w:w="1440" w:type="dxa"/>
          </w:tcPr>
          <w:p>
            <w:pPr>
              <w:pStyle w:val="11"/>
              <w:ind w:firstLine="0"/>
              <w:rPr>
                <w:rFonts w:ascii="宋体" w:hAnsi="宋体" w:cs="宋体"/>
                <w:szCs w:val="21"/>
              </w:rPr>
            </w:pPr>
          </w:p>
        </w:tc>
        <w:tc>
          <w:tcPr>
            <w:tcW w:w="988" w:type="dxa"/>
          </w:tcPr>
          <w:p>
            <w:pPr>
              <w:pStyle w:val="11"/>
              <w:ind w:firstLine="0"/>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tcPr>
          <w:p>
            <w:pPr>
              <w:pStyle w:val="11"/>
              <w:ind w:firstLine="0"/>
              <w:rPr>
                <w:rFonts w:ascii="宋体" w:hAnsi="宋体" w:cs="宋体"/>
                <w:szCs w:val="21"/>
              </w:rPr>
            </w:pPr>
          </w:p>
        </w:tc>
        <w:tc>
          <w:tcPr>
            <w:tcW w:w="1620" w:type="dxa"/>
          </w:tcPr>
          <w:p>
            <w:pPr>
              <w:pStyle w:val="11"/>
              <w:ind w:firstLine="0"/>
              <w:rPr>
                <w:rFonts w:ascii="宋体" w:hAnsi="宋体" w:cs="宋体"/>
                <w:szCs w:val="21"/>
              </w:rPr>
            </w:pPr>
          </w:p>
        </w:tc>
        <w:tc>
          <w:tcPr>
            <w:tcW w:w="1596" w:type="dxa"/>
          </w:tcPr>
          <w:p>
            <w:pPr>
              <w:pStyle w:val="11"/>
              <w:ind w:firstLine="0"/>
              <w:rPr>
                <w:rFonts w:ascii="宋体" w:hAnsi="宋体" w:cs="宋体"/>
                <w:szCs w:val="21"/>
              </w:rPr>
            </w:pPr>
          </w:p>
        </w:tc>
        <w:tc>
          <w:tcPr>
            <w:tcW w:w="1288" w:type="dxa"/>
          </w:tcPr>
          <w:p>
            <w:pPr>
              <w:pStyle w:val="11"/>
              <w:ind w:firstLine="0"/>
              <w:rPr>
                <w:rFonts w:ascii="宋体" w:hAnsi="宋体" w:cs="宋体"/>
                <w:szCs w:val="21"/>
              </w:rPr>
            </w:pPr>
          </w:p>
        </w:tc>
        <w:tc>
          <w:tcPr>
            <w:tcW w:w="1436" w:type="dxa"/>
          </w:tcPr>
          <w:p>
            <w:pPr>
              <w:pStyle w:val="11"/>
              <w:ind w:firstLine="0"/>
              <w:rPr>
                <w:rFonts w:ascii="宋体" w:hAnsi="宋体" w:cs="宋体"/>
                <w:szCs w:val="21"/>
              </w:rPr>
            </w:pPr>
          </w:p>
        </w:tc>
        <w:tc>
          <w:tcPr>
            <w:tcW w:w="1440" w:type="dxa"/>
          </w:tcPr>
          <w:p>
            <w:pPr>
              <w:pStyle w:val="11"/>
              <w:ind w:firstLine="0"/>
              <w:rPr>
                <w:rFonts w:ascii="宋体" w:hAnsi="宋体" w:cs="宋体"/>
                <w:szCs w:val="21"/>
              </w:rPr>
            </w:pPr>
          </w:p>
        </w:tc>
        <w:tc>
          <w:tcPr>
            <w:tcW w:w="988" w:type="dxa"/>
          </w:tcPr>
          <w:p>
            <w:pPr>
              <w:pStyle w:val="11"/>
              <w:ind w:firstLine="0"/>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900" w:type="dxa"/>
          </w:tcPr>
          <w:p>
            <w:pPr>
              <w:pStyle w:val="11"/>
              <w:ind w:firstLine="0"/>
              <w:rPr>
                <w:rFonts w:ascii="宋体" w:hAnsi="宋体" w:cs="宋体"/>
                <w:szCs w:val="21"/>
              </w:rPr>
            </w:pPr>
          </w:p>
        </w:tc>
        <w:tc>
          <w:tcPr>
            <w:tcW w:w="1620" w:type="dxa"/>
          </w:tcPr>
          <w:p>
            <w:pPr>
              <w:pStyle w:val="11"/>
              <w:ind w:firstLine="0"/>
              <w:rPr>
                <w:rFonts w:ascii="宋体" w:hAnsi="宋体" w:cs="宋体"/>
                <w:szCs w:val="21"/>
              </w:rPr>
            </w:pPr>
          </w:p>
        </w:tc>
        <w:tc>
          <w:tcPr>
            <w:tcW w:w="1596" w:type="dxa"/>
          </w:tcPr>
          <w:p>
            <w:pPr>
              <w:pStyle w:val="11"/>
              <w:ind w:firstLine="0"/>
              <w:rPr>
                <w:rFonts w:ascii="宋体" w:hAnsi="宋体" w:cs="宋体"/>
                <w:szCs w:val="21"/>
              </w:rPr>
            </w:pPr>
          </w:p>
        </w:tc>
        <w:tc>
          <w:tcPr>
            <w:tcW w:w="1288" w:type="dxa"/>
          </w:tcPr>
          <w:p>
            <w:pPr>
              <w:pStyle w:val="11"/>
              <w:ind w:firstLine="0"/>
              <w:rPr>
                <w:rFonts w:ascii="宋体" w:hAnsi="宋体" w:cs="宋体"/>
                <w:szCs w:val="21"/>
              </w:rPr>
            </w:pPr>
          </w:p>
        </w:tc>
        <w:tc>
          <w:tcPr>
            <w:tcW w:w="1436" w:type="dxa"/>
          </w:tcPr>
          <w:p>
            <w:pPr>
              <w:pStyle w:val="11"/>
              <w:ind w:firstLine="0"/>
              <w:rPr>
                <w:rFonts w:ascii="宋体" w:hAnsi="宋体" w:cs="宋体"/>
                <w:szCs w:val="21"/>
              </w:rPr>
            </w:pPr>
          </w:p>
        </w:tc>
        <w:tc>
          <w:tcPr>
            <w:tcW w:w="1440" w:type="dxa"/>
          </w:tcPr>
          <w:p>
            <w:pPr>
              <w:pStyle w:val="11"/>
              <w:ind w:firstLine="0"/>
              <w:rPr>
                <w:rFonts w:ascii="宋体" w:hAnsi="宋体" w:cs="宋体"/>
                <w:szCs w:val="21"/>
              </w:rPr>
            </w:pPr>
          </w:p>
        </w:tc>
        <w:tc>
          <w:tcPr>
            <w:tcW w:w="988" w:type="dxa"/>
          </w:tcPr>
          <w:p>
            <w:pPr>
              <w:pStyle w:val="11"/>
              <w:ind w:firstLine="0"/>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tcPr>
          <w:p>
            <w:pPr>
              <w:pStyle w:val="11"/>
              <w:ind w:firstLine="0"/>
              <w:rPr>
                <w:rFonts w:ascii="宋体" w:hAnsi="宋体" w:cs="宋体"/>
                <w:szCs w:val="21"/>
              </w:rPr>
            </w:pPr>
          </w:p>
        </w:tc>
        <w:tc>
          <w:tcPr>
            <w:tcW w:w="1620" w:type="dxa"/>
          </w:tcPr>
          <w:p>
            <w:pPr>
              <w:pStyle w:val="11"/>
              <w:ind w:firstLine="0"/>
              <w:rPr>
                <w:rFonts w:ascii="宋体" w:hAnsi="宋体" w:cs="宋体"/>
                <w:szCs w:val="21"/>
              </w:rPr>
            </w:pPr>
          </w:p>
        </w:tc>
        <w:tc>
          <w:tcPr>
            <w:tcW w:w="1596" w:type="dxa"/>
          </w:tcPr>
          <w:p>
            <w:pPr>
              <w:pStyle w:val="11"/>
              <w:ind w:firstLine="0"/>
              <w:rPr>
                <w:rFonts w:ascii="宋体" w:hAnsi="宋体" w:cs="宋体"/>
                <w:szCs w:val="21"/>
              </w:rPr>
            </w:pPr>
          </w:p>
        </w:tc>
        <w:tc>
          <w:tcPr>
            <w:tcW w:w="1288" w:type="dxa"/>
          </w:tcPr>
          <w:p>
            <w:pPr>
              <w:pStyle w:val="11"/>
              <w:ind w:firstLine="0"/>
              <w:rPr>
                <w:rFonts w:ascii="宋体" w:hAnsi="宋体" w:cs="宋体"/>
                <w:szCs w:val="21"/>
              </w:rPr>
            </w:pPr>
          </w:p>
        </w:tc>
        <w:tc>
          <w:tcPr>
            <w:tcW w:w="1436" w:type="dxa"/>
          </w:tcPr>
          <w:p>
            <w:pPr>
              <w:pStyle w:val="11"/>
              <w:ind w:firstLine="0"/>
              <w:rPr>
                <w:rFonts w:ascii="宋体" w:hAnsi="宋体" w:cs="宋体"/>
                <w:szCs w:val="21"/>
              </w:rPr>
            </w:pPr>
          </w:p>
        </w:tc>
        <w:tc>
          <w:tcPr>
            <w:tcW w:w="1440" w:type="dxa"/>
          </w:tcPr>
          <w:p>
            <w:pPr>
              <w:pStyle w:val="11"/>
              <w:ind w:firstLine="0"/>
              <w:rPr>
                <w:rFonts w:ascii="宋体" w:hAnsi="宋体" w:cs="宋体"/>
                <w:szCs w:val="21"/>
              </w:rPr>
            </w:pPr>
          </w:p>
        </w:tc>
        <w:tc>
          <w:tcPr>
            <w:tcW w:w="988" w:type="dxa"/>
          </w:tcPr>
          <w:p>
            <w:pPr>
              <w:pStyle w:val="11"/>
              <w:ind w:firstLine="0"/>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tcPr>
          <w:p>
            <w:pPr>
              <w:pStyle w:val="11"/>
              <w:ind w:firstLine="0"/>
              <w:rPr>
                <w:rFonts w:ascii="宋体" w:hAnsi="宋体" w:cs="宋体"/>
                <w:szCs w:val="21"/>
              </w:rPr>
            </w:pPr>
          </w:p>
        </w:tc>
        <w:tc>
          <w:tcPr>
            <w:tcW w:w="1620" w:type="dxa"/>
          </w:tcPr>
          <w:p>
            <w:pPr>
              <w:pStyle w:val="11"/>
              <w:ind w:firstLine="0"/>
              <w:rPr>
                <w:rFonts w:ascii="宋体" w:hAnsi="宋体" w:cs="宋体"/>
                <w:szCs w:val="21"/>
              </w:rPr>
            </w:pPr>
          </w:p>
        </w:tc>
        <w:tc>
          <w:tcPr>
            <w:tcW w:w="1596" w:type="dxa"/>
          </w:tcPr>
          <w:p>
            <w:pPr>
              <w:pStyle w:val="11"/>
              <w:ind w:firstLine="0"/>
              <w:rPr>
                <w:rFonts w:ascii="宋体" w:hAnsi="宋体" w:cs="宋体"/>
                <w:szCs w:val="21"/>
              </w:rPr>
            </w:pPr>
          </w:p>
        </w:tc>
        <w:tc>
          <w:tcPr>
            <w:tcW w:w="1288" w:type="dxa"/>
          </w:tcPr>
          <w:p>
            <w:pPr>
              <w:pStyle w:val="11"/>
              <w:ind w:firstLine="0"/>
              <w:rPr>
                <w:rFonts w:ascii="宋体" w:hAnsi="宋体" w:cs="宋体"/>
                <w:szCs w:val="21"/>
              </w:rPr>
            </w:pPr>
          </w:p>
        </w:tc>
        <w:tc>
          <w:tcPr>
            <w:tcW w:w="1436" w:type="dxa"/>
          </w:tcPr>
          <w:p>
            <w:pPr>
              <w:pStyle w:val="11"/>
              <w:ind w:firstLine="0"/>
              <w:rPr>
                <w:rFonts w:ascii="宋体" w:hAnsi="宋体" w:cs="宋体"/>
                <w:szCs w:val="21"/>
              </w:rPr>
            </w:pPr>
          </w:p>
        </w:tc>
        <w:tc>
          <w:tcPr>
            <w:tcW w:w="1440" w:type="dxa"/>
          </w:tcPr>
          <w:p>
            <w:pPr>
              <w:pStyle w:val="11"/>
              <w:ind w:firstLine="0"/>
              <w:rPr>
                <w:rFonts w:ascii="宋体" w:hAnsi="宋体" w:cs="宋体"/>
                <w:szCs w:val="21"/>
              </w:rPr>
            </w:pPr>
          </w:p>
        </w:tc>
        <w:tc>
          <w:tcPr>
            <w:tcW w:w="988" w:type="dxa"/>
          </w:tcPr>
          <w:p>
            <w:pPr>
              <w:pStyle w:val="11"/>
              <w:ind w:firstLine="0"/>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tcPr>
          <w:p>
            <w:pPr>
              <w:pStyle w:val="11"/>
              <w:ind w:firstLine="0"/>
              <w:rPr>
                <w:rFonts w:ascii="宋体" w:hAnsi="宋体" w:cs="宋体"/>
                <w:szCs w:val="21"/>
              </w:rPr>
            </w:pPr>
          </w:p>
        </w:tc>
        <w:tc>
          <w:tcPr>
            <w:tcW w:w="1620" w:type="dxa"/>
          </w:tcPr>
          <w:p>
            <w:pPr>
              <w:pStyle w:val="11"/>
              <w:ind w:firstLine="0"/>
              <w:rPr>
                <w:rFonts w:ascii="宋体" w:hAnsi="宋体" w:cs="宋体"/>
                <w:szCs w:val="21"/>
              </w:rPr>
            </w:pPr>
          </w:p>
        </w:tc>
        <w:tc>
          <w:tcPr>
            <w:tcW w:w="1596" w:type="dxa"/>
          </w:tcPr>
          <w:p>
            <w:pPr>
              <w:pStyle w:val="11"/>
              <w:ind w:firstLine="0"/>
              <w:rPr>
                <w:rFonts w:ascii="宋体" w:hAnsi="宋体" w:cs="宋体"/>
                <w:szCs w:val="21"/>
              </w:rPr>
            </w:pPr>
          </w:p>
        </w:tc>
        <w:tc>
          <w:tcPr>
            <w:tcW w:w="1288" w:type="dxa"/>
          </w:tcPr>
          <w:p>
            <w:pPr>
              <w:pStyle w:val="11"/>
              <w:ind w:firstLine="0"/>
              <w:rPr>
                <w:rFonts w:ascii="宋体" w:hAnsi="宋体" w:cs="宋体"/>
                <w:szCs w:val="21"/>
              </w:rPr>
            </w:pPr>
          </w:p>
        </w:tc>
        <w:tc>
          <w:tcPr>
            <w:tcW w:w="1436" w:type="dxa"/>
          </w:tcPr>
          <w:p>
            <w:pPr>
              <w:pStyle w:val="11"/>
              <w:ind w:firstLine="0"/>
              <w:rPr>
                <w:rFonts w:ascii="宋体" w:hAnsi="宋体" w:cs="宋体"/>
                <w:szCs w:val="21"/>
              </w:rPr>
            </w:pPr>
          </w:p>
        </w:tc>
        <w:tc>
          <w:tcPr>
            <w:tcW w:w="1440" w:type="dxa"/>
          </w:tcPr>
          <w:p>
            <w:pPr>
              <w:pStyle w:val="11"/>
              <w:ind w:firstLine="0"/>
              <w:rPr>
                <w:rFonts w:ascii="宋体" w:hAnsi="宋体" w:cs="宋体"/>
                <w:szCs w:val="21"/>
              </w:rPr>
            </w:pPr>
          </w:p>
        </w:tc>
        <w:tc>
          <w:tcPr>
            <w:tcW w:w="988" w:type="dxa"/>
          </w:tcPr>
          <w:p>
            <w:pPr>
              <w:pStyle w:val="11"/>
              <w:ind w:firstLine="0"/>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900" w:type="dxa"/>
          </w:tcPr>
          <w:p>
            <w:pPr>
              <w:pStyle w:val="11"/>
              <w:ind w:firstLine="0"/>
              <w:rPr>
                <w:rFonts w:ascii="宋体" w:hAnsi="宋体" w:cs="宋体"/>
                <w:szCs w:val="21"/>
              </w:rPr>
            </w:pPr>
          </w:p>
        </w:tc>
        <w:tc>
          <w:tcPr>
            <w:tcW w:w="1620" w:type="dxa"/>
          </w:tcPr>
          <w:p>
            <w:pPr>
              <w:pStyle w:val="11"/>
              <w:ind w:firstLine="0"/>
              <w:rPr>
                <w:rFonts w:ascii="宋体" w:hAnsi="宋体" w:cs="宋体"/>
                <w:szCs w:val="21"/>
              </w:rPr>
            </w:pPr>
          </w:p>
        </w:tc>
        <w:tc>
          <w:tcPr>
            <w:tcW w:w="1596" w:type="dxa"/>
          </w:tcPr>
          <w:p>
            <w:pPr>
              <w:pStyle w:val="11"/>
              <w:ind w:firstLine="0"/>
              <w:rPr>
                <w:rFonts w:ascii="宋体" w:hAnsi="宋体" w:cs="宋体"/>
                <w:szCs w:val="21"/>
              </w:rPr>
            </w:pPr>
          </w:p>
        </w:tc>
        <w:tc>
          <w:tcPr>
            <w:tcW w:w="1288" w:type="dxa"/>
          </w:tcPr>
          <w:p>
            <w:pPr>
              <w:pStyle w:val="11"/>
              <w:ind w:firstLine="0"/>
              <w:rPr>
                <w:rFonts w:ascii="宋体" w:hAnsi="宋体" w:cs="宋体"/>
                <w:szCs w:val="21"/>
              </w:rPr>
            </w:pPr>
          </w:p>
        </w:tc>
        <w:tc>
          <w:tcPr>
            <w:tcW w:w="1436" w:type="dxa"/>
          </w:tcPr>
          <w:p>
            <w:pPr>
              <w:pStyle w:val="11"/>
              <w:ind w:firstLine="0"/>
              <w:rPr>
                <w:rFonts w:ascii="宋体" w:hAnsi="宋体" w:cs="宋体"/>
                <w:szCs w:val="21"/>
              </w:rPr>
            </w:pPr>
          </w:p>
        </w:tc>
        <w:tc>
          <w:tcPr>
            <w:tcW w:w="1440" w:type="dxa"/>
          </w:tcPr>
          <w:p>
            <w:pPr>
              <w:pStyle w:val="11"/>
              <w:ind w:firstLine="0"/>
              <w:rPr>
                <w:rFonts w:ascii="宋体" w:hAnsi="宋体" w:cs="宋体"/>
                <w:szCs w:val="21"/>
              </w:rPr>
            </w:pPr>
          </w:p>
        </w:tc>
        <w:tc>
          <w:tcPr>
            <w:tcW w:w="988" w:type="dxa"/>
          </w:tcPr>
          <w:p>
            <w:pPr>
              <w:pStyle w:val="11"/>
              <w:ind w:firstLine="0"/>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tcPr>
          <w:p>
            <w:pPr>
              <w:pStyle w:val="11"/>
              <w:ind w:firstLine="0"/>
              <w:rPr>
                <w:rFonts w:ascii="宋体" w:hAnsi="宋体" w:cs="宋体"/>
                <w:szCs w:val="21"/>
              </w:rPr>
            </w:pPr>
          </w:p>
        </w:tc>
        <w:tc>
          <w:tcPr>
            <w:tcW w:w="1620" w:type="dxa"/>
          </w:tcPr>
          <w:p>
            <w:pPr>
              <w:pStyle w:val="11"/>
              <w:ind w:firstLine="0"/>
              <w:rPr>
                <w:rFonts w:ascii="宋体" w:hAnsi="宋体" w:cs="宋体"/>
                <w:szCs w:val="21"/>
              </w:rPr>
            </w:pPr>
          </w:p>
        </w:tc>
        <w:tc>
          <w:tcPr>
            <w:tcW w:w="1596" w:type="dxa"/>
          </w:tcPr>
          <w:p>
            <w:pPr>
              <w:pStyle w:val="11"/>
              <w:ind w:firstLine="0"/>
              <w:rPr>
                <w:rFonts w:ascii="宋体" w:hAnsi="宋体" w:cs="宋体"/>
                <w:szCs w:val="21"/>
              </w:rPr>
            </w:pPr>
          </w:p>
        </w:tc>
        <w:tc>
          <w:tcPr>
            <w:tcW w:w="1288" w:type="dxa"/>
          </w:tcPr>
          <w:p>
            <w:pPr>
              <w:pStyle w:val="11"/>
              <w:ind w:firstLine="0"/>
              <w:rPr>
                <w:rFonts w:ascii="宋体" w:hAnsi="宋体" w:cs="宋体"/>
                <w:szCs w:val="21"/>
              </w:rPr>
            </w:pPr>
          </w:p>
        </w:tc>
        <w:tc>
          <w:tcPr>
            <w:tcW w:w="1436" w:type="dxa"/>
          </w:tcPr>
          <w:p>
            <w:pPr>
              <w:pStyle w:val="11"/>
              <w:ind w:firstLine="0"/>
              <w:rPr>
                <w:rFonts w:ascii="宋体" w:hAnsi="宋体" w:cs="宋体"/>
                <w:szCs w:val="21"/>
              </w:rPr>
            </w:pPr>
          </w:p>
        </w:tc>
        <w:tc>
          <w:tcPr>
            <w:tcW w:w="1440" w:type="dxa"/>
          </w:tcPr>
          <w:p>
            <w:pPr>
              <w:pStyle w:val="11"/>
              <w:ind w:firstLine="0"/>
              <w:rPr>
                <w:rFonts w:ascii="宋体" w:hAnsi="宋体" w:cs="宋体"/>
                <w:szCs w:val="21"/>
              </w:rPr>
            </w:pPr>
          </w:p>
        </w:tc>
        <w:tc>
          <w:tcPr>
            <w:tcW w:w="988" w:type="dxa"/>
          </w:tcPr>
          <w:p>
            <w:pPr>
              <w:pStyle w:val="11"/>
              <w:ind w:firstLine="0"/>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tcPr>
          <w:p>
            <w:pPr>
              <w:pStyle w:val="11"/>
              <w:ind w:firstLine="0"/>
              <w:rPr>
                <w:rFonts w:ascii="宋体" w:hAnsi="宋体" w:cs="宋体"/>
                <w:szCs w:val="21"/>
              </w:rPr>
            </w:pPr>
          </w:p>
        </w:tc>
        <w:tc>
          <w:tcPr>
            <w:tcW w:w="1620" w:type="dxa"/>
          </w:tcPr>
          <w:p>
            <w:pPr>
              <w:pStyle w:val="11"/>
              <w:ind w:firstLine="0"/>
              <w:rPr>
                <w:rFonts w:ascii="宋体" w:hAnsi="宋体" w:cs="宋体"/>
                <w:szCs w:val="21"/>
              </w:rPr>
            </w:pPr>
          </w:p>
        </w:tc>
        <w:tc>
          <w:tcPr>
            <w:tcW w:w="1596" w:type="dxa"/>
          </w:tcPr>
          <w:p>
            <w:pPr>
              <w:pStyle w:val="11"/>
              <w:ind w:firstLine="0"/>
              <w:rPr>
                <w:rFonts w:ascii="宋体" w:hAnsi="宋体" w:cs="宋体"/>
                <w:szCs w:val="21"/>
              </w:rPr>
            </w:pPr>
          </w:p>
        </w:tc>
        <w:tc>
          <w:tcPr>
            <w:tcW w:w="1288" w:type="dxa"/>
          </w:tcPr>
          <w:p>
            <w:pPr>
              <w:pStyle w:val="11"/>
              <w:ind w:firstLine="0"/>
              <w:rPr>
                <w:rFonts w:ascii="宋体" w:hAnsi="宋体" w:cs="宋体"/>
                <w:szCs w:val="21"/>
              </w:rPr>
            </w:pPr>
          </w:p>
        </w:tc>
        <w:tc>
          <w:tcPr>
            <w:tcW w:w="1436" w:type="dxa"/>
          </w:tcPr>
          <w:p>
            <w:pPr>
              <w:pStyle w:val="11"/>
              <w:ind w:firstLine="0"/>
              <w:rPr>
                <w:rFonts w:ascii="宋体" w:hAnsi="宋体" w:cs="宋体"/>
                <w:szCs w:val="21"/>
              </w:rPr>
            </w:pPr>
          </w:p>
        </w:tc>
        <w:tc>
          <w:tcPr>
            <w:tcW w:w="1440" w:type="dxa"/>
          </w:tcPr>
          <w:p>
            <w:pPr>
              <w:pStyle w:val="11"/>
              <w:ind w:firstLine="0"/>
              <w:rPr>
                <w:rFonts w:ascii="宋体" w:hAnsi="宋体" w:cs="宋体"/>
                <w:szCs w:val="21"/>
              </w:rPr>
            </w:pPr>
          </w:p>
        </w:tc>
        <w:tc>
          <w:tcPr>
            <w:tcW w:w="988" w:type="dxa"/>
          </w:tcPr>
          <w:p>
            <w:pPr>
              <w:pStyle w:val="11"/>
              <w:ind w:firstLine="0"/>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tcPr>
          <w:p>
            <w:pPr>
              <w:pStyle w:val="11"/>
              <w:ind w:firstLine="0"/>
              <w:rPr>
                <w:rFonts w:ascii="宋体" w:hAnsi="宋体" w:cs="宋体"/>
                <w:szCs w:val="21"/>
              </w:rPr>
            </w:pPr>
          </w:p>
        </w:tc>
        <w:tc>
          <w:tcPr>
            <w:tcW w:w="1620" w:type="dxa"/>
          </w:tcPr>
          <w:p>
            <w:pPr>
              <w:pStyle w:val="11"/>
              <w:ind w:firstLine="0"/>
              <w:rPr>
                <w:rFonts w:ascii="宋体" w:hAnsi="宋体" w:cs="宋体"/>
                <w:szCs w:val="21"/>
              </w:rPr>
            </w:pPr>
          </w:p>
        </w:tc>
        <w:tc>
          <w:tcPr>
            <w:tcW w:w="1596" w:type="dxa"/>
          </w:tcPr>
          <w:p>
            <w:pPr>
              <w:pStyle w:val="11"/>
              <w:ind w:firstLine="0"/>
              <w:rPr>
                <w:rFonts w:ascii="宋体" w:hAnsi="宋体" w:cs="宋体"/>
                <w:szCs w:val="21"/>
              </w:rPr>
            </w:pPr>
          </w:p>
        </w:tc>
        <w:tc>
          <w:tcPr>
            <w:tcW w:w="1288" w:type="dxa"/>
          </w:tcPr>
          <w:p>
            <w:pPr>
              <w:pStyle w:val="11"/>
              <w:ind w:firstLine="0"/>
              <w:rPr>
                <w:rFonts w:ascii="宋体" w:hAnsi="宋体" w:cs="宋体"/>
                <w:szCs w:val="21"/>
              </w:rPr>
            </w:pPr>
          </w:p>
        </w:tc>
        <w:tc>
          <w:tcPr>
            <w:tcW w:w="1436" w:type="dxa"/>
          </w:tcPr>
          <w:p>
            <w:pPr>
              <w:pStyle w:val="11"/>
              <w:ind w:firstLine="0"/>
              <w:rPr>
                <w:rFonts w:ascii="宋体" w:hAnsi="宋体" w:cs="宋体"/>
                <w:szCs w:val="21"/>
              </w:rPr>
            </w:pPr>
          </w:p>
        </w:tc>
        <w:tc>
          <w:tcPr>
            <w:tcW w:w="1440" w:type="dxa"/>
          </w:tcPr>
          <w:p>
            <w:pPr>
              <w:pStyle w:val="11"/>
              <w:ind w:firstLine="0"/>
              <w:rPr>
                <w:rFonts w:ascii="宋体" w:hAnsi="宋体" w:cs="宋体"/>
                <w:szCs w:val="21"/>
              </w:rPr>
            </w:pPr>
          </w:p>
        </w:tc>
        <w:tc>
          <w:tcPr>
            <w:tcW w:w="988" w:type="dxa"/>
          </w:tcPr>
          <w:p>
            <w:pPr>
              <w:pStyle w:val="11"/>
              <w:ind w:firstLine="0"/>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tcPr>
          <w:p>
            <w:pPr>
              <w:pStyle w:val="11"/>
              <w:ind w:firstLine="0"/>
              <w:rPr>
                <w:rFonts w:ascii="宋体" w:hAnsi="宋体" w:cs="宋体"/>
                <w:szCs w:val="21"/>
              </w:rPr>
            </w:pPr>
          </w:p>
        </w:tc>
        <w:tc>
          <w:tcPr>
            <w:tcW w:w="1620" w:type="dxa"/>
          </w:tcPr>
          <w:p>
            <w:pPr>
              <w:pStyle w:val="11"/>
              <w:ind w:firstLine="0"/>
              <w:rPr>
                <w:rFonts w:ascii="宋体" w:hAnsi="宋体" w:cs="宋体"/>
                <w:szCs w:val="21"/>
              </w:rPr>
            </w:pPr>
          </w:p>
        </w:tc>
        <w:tc>
          <w:tcPr>
            <w:tcW w:w="1596" w:type="dxa"/>
          </w:tcPr>
          <w:p>
            <w:pPr>
              <w:pStyle w:val="11"/>
              <w:ind w:firstLine="0"/>
              <w:rPr>
                <w:rFonts w:ascii="宋体" w:hAnsi="宋体" w:cs="宋体"/>
                <w:szCs w:val="21"/>
              </w:rPr>
            </w:pPr>
          </w:p>
        </w:tc>
        <w:tc>
          <w:tcPr>
            <w:tcW w:w="1288" w:type="dxa"/>
          </w:tcPr>
          <w:p>
            <w:pPr>
              <w:pStyle w:val="11"/>
              <w:ind w:firstLine="0"/>
              <w:rPr>
                <w:rFonts w:ascii="宋体" w:hAnsi="宋体" w:cs="宋体"/>
                <w:szCs w:val="21"/>
              </w:rPr>
            </w:pPr>
          </w:p>
        </w:tc>
        <w:tc>
          <w:tcPr>
            <w:tcW w:w="1436" w:type="dxa"/>
          </w:tcPr>
          <w:p>
            <w:pPr>
              <w:pStyle w:val="11"/>
              <w:ind w:firstLine="0"/>
              <w:rPr>
                <w:rFonts w:ascii="宋体" w:hAnsi="宋体" w:cs="宋体"/>
                <w:szCs w:val="21"/>
              </w:rPr>
            </w:pPr>
          </w:p>
        </w:tc>
        <w:tc>
          <w:tcPr>
            <w:tcW w:w="1440" w:type="dxa"/>
          </w:tcPr>
          <w:p>
            <w:pPr>
              <w:pStyle w:val="11"/>
              <w:ind w:firstLine="0"/>
              <w:rPr>
                <w:rFonts w:ascii="宋体" w:hAnsi="宋体" w:cs="宋体"/>
                <w:szCs w:val="21"/>
              </w:rPr>
            </w:pPr>
          </w:p>
        </w:tc>
        <w:tc>
          <w:tcPr>
            <w:tcW w:w="988" w:type="dxa"/>
          </w:tcPr>
          <w:p>
            <w:pPr>
              <w:pStyle w:val="11"/>
              <w:ind w:firstLine="0"/>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900" w:type="dxa"/>
          </w:tcPr>
          <w:p>
            <w:pPr>
              <w:pStyle w:val="11"/>
              <w:ind w:firstLine="0"/>
              <w:rPr>
                <w:rFonts w:ascii="宋体" w:hAnsi="宋体" w:cs="宋体"/>
                <w:szCs w:val="21"/>
              </w:rPr>
            </w:pPr>
          </w:p>
        </w:tc>
        <w:tc>
          <w:tcPr>
            <w:tcW w:w="1620" w:type="dxa"/>
          </w:tcPr>
          <w:p>
            <w:pPr>
              <w:pStyle w:val="11"/>
              <w:ind w:firstLine="0"/>
              <w:rPr>
                <w:rFonts w:ascii="宋体" w:hAnsi="宋体" w:cs="宋体"/>
                <w:szCs w:val="21"/>
              </w:rPr>
            </w:pPr>
          </w:p>
        </w:tc>
        <w:tc>
          <w:tcPr>
            <w:tcW w:w="1596" w:type="dxa"/>
          </w:tcPr>
          <w:p>
            <w:pPr>
              <w:pStyle w:val="11"/>
              <w:ind w:firstLine="0"/>
              <w:rPr>
                <w:rFonts w:ascii="宋体" w:hAnsi="宋体" w:cs="宋体"/>
                <w:szCs w:val="21"/>
              </w:rPr>
            </w:pPr>
          </w:p>
        </w:tc>
        <w:tc>
          <w:tcPr>
            <w:tcW w:w="1288" w:type="dxa"/>
          </w:tcPr>
          <w:p>
            <w:pPr>
              <w:pStyle w:val="11"/>
              <w:ind w:firstLine="0"/>
              <w:rPr>
                <w:rFonts w:ascii="宋体" w:hAnsi="宋体" w:cs="宋体"/>
                <w:szCs w:val="21"/>
              </w:rPr>
            </w:pPr>
          </w:p>
        </w:tc>
        <w:tc>
          <w:tcPr>
            <w:tcW w:w="1436" w:type="dxa"/>
          </w:tcPr>
          <w:p>
            <w:pPr>
              <w:pStyle w:val="11"/>
              <w:ind w:firstLine="0"/>
              <w:rPr>
                <w:rFonts w:ascii="宋体" w:hAnsi="宋体" w:cs="宋体"/>
                <w:szCs w:val="21"/>
              </w:rPr>
            </w:pPr>
          </w:p>
        </w:tc>
        <w:tc>
          <w:tcPr>
            <w:tcW w:w="1440" w:type="dxa"/>
          </w:tcPr>
          <w:p>
            <w:pPr>
              <w:pStyle w:val="11"/>
              <w:ind w:firstLine="0"/>
              <w:rPr>
                <w:rFonts w:ascii="宋体" w:hAnsi="宋体" w:cs="宋体"/>
                <w:szCs w:val="21"/>
              </w:rPr>
            </w:pPr>
          </w:p>
        </w:tc>
        <w:tc>
          <w:tcPr>
            <w:tcW w:w="988" w:type="dxa"/>
          </w:tcPr>
          <w:p>
            <w:pPr>
              <w:pStyle w:val="11"/>
              <w:ind w:firstLine="0"/>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900" w:type="dxa"/>
          </w:tcPr>
          <w:p>
            <w:pPr>
              <w:pStyle w:val="11"/>
              <w:ind w:firstLine="0"/>
              <w:rPr>
                <w:rFonts w:ascii="宋体" w:hAnsi="宋体" w:cs="宋体"/>
                <w:szCs w:val="21"/>
              </w:rPr>
            </w:pPr>
          </w:p>
        </w:tc>
        <w:tc>
          <w:tcPr>
            <w:tcW w:w="1620" w:type="dxa"/>
          </w:tcPr>
          <w:p>
            <w:pPr>
              <w:pStyle w:val="11"/>
              <w:ind w:firstLine="0"/>
              <w:rPr>
                <w:rFonts w:ascii="宋体" w:hAnsi="宋体" w:cs="宋体"/>
                <w:szCs w:val="21"/>
              </w:rPr>
            </w:pPr>
          </w:p>
        </w:tc>
        <w:tc>
          <w:tcPr>
            <w:tcW w:w="1596" w:type="dxa"/>
          </w:tcPr>
          <w:p>
            <w:pPr>
              <w:pStyle w:val="11"/>
              <w:ind w:firstLine="0"/>
              <w:rPr>
                <w:rFonts w:ascii="宋体" w:hAnsi="宋体" w:cs="宋体"/>
                <w:szCs w:val="21"/>
              </w:rPr>
            </w:pPr>
          </w:p>
        </w:tc>
        <w:tc>
          <w:tcPr>
            <w:tcW w:w="1288" w:type="dxa"/>
          </w:tcPr>
          <w:p>
            <w:pPr>
              <w:pStyle w:val="11"/>
              <w:ind w:firstLine="0"/>
              <w:rPr>
                <w:rFonts w:ascii="宋体" w:hAnsi="宋体" w:cs="宋体"/>
                <w:szCs w:val="21"/>
              </w:rPr>
            </w:pPr>
          </w:p>
        </w:tc>
        <w:tc>
          <w:tcPr>
            <w:tcW w:w="1436" w:type="dxa"/>
          </w:tcPr>
          <w:p>
            <w:pPr>
              <w:pStyle w:val="11"/>
              <w:ind w:firstLine="0"/>
              <w:rPr>
                <w:rFonts w:ascii="宋体" w:hAnsi="宋体" w:cs="宋体"/>
                <w:szCs w:val="21"/>
              </w:rPr>
            </w:pPr>
          </w:p>
        </w:tc>
        <w:tc>
          <w:tcPr>
            <w:tcW w:w="1440" w:type="dxa"/>
          </w:tcPr>
          <w:p>
            <w:pPr>
              <w:pStyle w:val="11"/>
              <w:ind w:firstLine="0"/>
              <w:rPr>
                <w:rFonts w:ascii="宋体" w:hAnsi="宋体" w:cs="宋体"/>
                <w:szCs w:val="21"/>
              </w:rPr>
            </w:pPr>
          </w:p>
        </w:tc>
        <w:tc>
          <w:tcPr>
            <w:tcW w:w="988" w:type="dxa"/>
          </w:tcPr>
          <w:p>
            <w:pPr>
              <w:pStyle w:val="11"/>
              <w:ind w:firstLine="0"/>
              <w:rPr>
                <w:rFonts w:ascii="宋体" w:hAnsi="宋体" w:cs="宋体"/>
                <w:szCs w:val="21"/>
              </w:rPr>
            </w:pPr>
          </w:p>
        </w:tc>
      </w:tr>
    </w:tbl>
    <w:p>
      <w:pPr>
        <w:tabs>
          <w:tab w:val="left" w:pos="1680"/>
        </w:tabs>
        <w:snapToGrid w:val="0"/>
        <w:spacing w:line="360" w:lineRule="exact"/>
        <w:ind w:left="420" w:right="-42" w:rightChars="-20" w:hanging="420" w:hangingChars="200"/>
        <w:rPr>
          <w:rFonts w:ascii="宋体" w:hAnsi="宋体" w:cs="宋体"/>
          <w:caps/>
          <w:szCs w:val="21"/>
        </w:rPr>
      </w:pPr>
      <w:r>
        <w:rPr>
          <w:rFonts w:hint="eastAsia" w:ascii="宋体" w:hAnsi="宋体" w:cs="宋体"/>
          <w:caps/>
          <w:szCs w:val="21"/>
        </w:rPr>
        <w:t>注：1、投标人应随此表后附相关的业绩证明（中标通知书、合同的复印件加盖投标人鲜章）</w:t>
      </w:r>
    </w:p>
    <w:p>
      <w:pPr>
        <w:tabs>
          <w:tab w:val="left" w:pos="1680"/>
        </w:tabs>
        <w:snapToGrid w:val="0"/>
        <w:spacing w:line="360" w:lineRule="exact"/>
        <w:rPr>
          <w:rFonts w:ascii="宋体" w:hAnsi="宋体" w:cs="宋体"/>
          <w:caps/>
          <w:szCs w:val="21"/>
        </w:rPr>
      </w:pPr>
      <w:r>
        <w:rPr>
          <w:rFonts w:hint="eastAsia" w:ascii="宋体" w:hAnsi="宋体" w:cs="宋体"/>
          <w:caps/>
          <w:szCs w:val="21"/>
        </w:rPr>
        <w:t xml:space="preserve">    2、如有多个同类项目，可按此表格扩展。</w:t>
      </w:r>
    </w:p>
    <w:p>
      <w:pPr>
        <w:spacing w:line="440" w:lineRule="exact"/>
        <w:rPr>
          <w:rFonts w:ascii="宋体" w:hAnsi="宋体" w:cs="宋体"/>
          <w:szCs w:val="21"/>
        </w:rPr>
      </w:pPr>
    </w:p>
    <w:p>
      <w:pPr>
        <w:spacing w:before="240" w:beforeLines="100" w:after="240" w:afterLines="100" w:line="480" w:lineRule="exact"/>
        <w:rPr>
          <w:rFonts w:ascii="宋体" w:hAnsi="宋体" w:cs="宋体"/>
          <w:szCs w:val="21"/>
        </w:rPr>
      </w:pPr>
      <w:r>
        <w:rPr>
          <w:rFonts w:hint="eastAsia" w:ascii="宋体" w:hAnsi="宋体" w:cs="宋体"/>
          <w:szCs w:val="21"/>
        </w:rPr>
        <w:t xml:space="preserve">                           投标人：</w:t>
      </w:r>
      <w:r>
        <w:rPr>
          <w:rFonts w:hint="eastAsia" w:ascii="宋体" w:hAnsi="宋体" w:cs="宋体"/>
          <w:szCs w:val="21"/>
          <w:u w:val="single"/>
        </w:rPr>
        <w:t xml:space="preserve">                      （单位全称、盖章）</w:t>
      </w:r>
    </w:p>
    <w:p>
      <w:pPr>
        <w:spacing w:before="240" w:beforeLines="100" w:after="240" w:afterLines="100" w:line="480" w:lineRule="exact"/>
        <w:rPr>
          <w:rFonts w:ascii="宋体" w:hAnsi="宋体" w:cs="宋体"/>
          <w:szCs w:val="21"/>
        </w:rPr>
      </w:pPr>
      <w:r>
        <w:rPr>
          <w:rFonts w:hint="eastAsia" w:ascii="宋体" w:hAnsi="宋体" w:cs="宋体"/>
          <w:szCs w:val="21"/>
        </w:rPr>
        <w:t xml:space="preserve">                           法定代表人或授权代表：</w:t>
      </w:r>
      <w:r>
        <w:rPr>
          <w:rFonts w:hint="eastAsia" w:ascii="宋体" w:hAnsi="宋体" w:cs="宋体"/>
          <w:szCs w:val="21"/>
          <w:u w:val="single"/>
        </w:rPr>
        <w:t xml:space="preserve">   （盖章或签字）           </w:t>
      </w:r>
    </w:p>
    <w:p>
      <w:pPr>
        <w:spacing w:before="240" w:beforeLines="100" w:after="120" w:afterLines="50" w:line="480" w:lineRule="exact"/>
        <w:rPr>
          <w:rFonts w:ascii="宋体" w:hAnsi="宋体" w:cs="宋体"/>
          <w:szCs w:val="21"/>
        </w:rPr>
      </w:pPr>
      <w:r>
        <w:rPr>
          <w:rFonts w:hint="eastAsia" w:ascii="宋体" w:hAnsi="宋体" w:cs="宋体"/>
          <w:szCs w:val="21"/>
        </w:rPr>
        <w:t xml:space="preserve">                           投标日期：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rPr>
          <w:rFonts w:ascii="宋体" w:hAnsi="宋体" w:cs="宋体"/>
          <w:b/>
          <w:bCs/>
          <w:sz w:val="28"/>
          <w:szCs w:val="28"/>
        </w:rPr>
      </w:pPr>
    </w:p>
    <w:p>
      <w:pPr>
        <w:rPr>
          <w:rFonts w:ascii="宋体" w:hAnsi="宋体" w:cs="宋体"/>
          <w:b/>
          <w:bCs/>
          <w:sz w:val="28"/>
          <w:szCs w:val="28"/>
        </w:rPr>
      </w:pPr>
    </w:p>
    <w:p>
      <w:pPr>
        <w:spacing w:line="440" w:lineRule="exact"/>
        <w:rPr>
          <w:rFonts w:ascii="宋体" w:hAnsi="宋体" w:cs="宋体"/>
          <w:b/>
          <w:szCs w:val="21"/>
        </w:rPr>
      </w:pPr>
    </w:p>
    <w:p>
      <w:pPr>
        <w:spacing w:line="440" w:lineRule="exact"/>
        <w:rPr>
          <w:rFonts w:ascii="宋体" w:hAnsi="宋体" w:cs="宋体"/>
          <w:b/>
          <w:szCs w:val="21"/>
        </w:rPr>
      </w:pPr>
      <w:r>
        <w:rPr>
          <w:rFonts w:hint="eastAsia" w:ascii="宋体" w:hAnsi="宋体" w:cs="宋体"/>
          <w:b/>
          <w:szCs w:val="21"/>
        </w:rPr>
        <w:t>2.6项目实施(安装、调试)的主要组成人员简历表（每人填写一份）</w:t>
      </w:r>
    </w:p>
    <w:p>
      <w:pPr>
        <w:spacing w:line="480" w:lineRule="exact"/>
        <w:jc w:val="center"/>
        <w:rPr>
          <w:rFonts w:ascii="宋体" w:hAnsi="宋体" w:cs="宋体"/>
          <w:b/>
          <w:bCs/>
          <w:szCs w:val="21"/>
        </w:rPr>
      </w:pPr>
      <w:r>
        <w:rPr>
          <w:rFonts w:hint="eastAsia" w:ascii="宋体" w:hAnsi="宋体" w:cs="宋体"/>
          <w:b/>
          <w:bCs/>
          <w:szCs w:val="21"/>
        </w:rPr>
        <w:t>项目组成人员简历表</w:t>
      </w:r>
    </w:p>
    <w:tbl>
      <w:tblPr>
        <w:tblStyle w:val="36"/>
        <w:tblW w:w="9119"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2321"/>
        <w:gridCol w:w="1419"/>
        <w:gridCol w:w="900"/>
        <w:gridCol w:w="1070"/>
        <w:gridCol w:w="900"/>
        <w:gridCol w:w="585"/>
        <w:gridCol w:w="1924"/>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321" w:type="dxa"/>
            <w:tcBorders>
              <w:tl2br w:val="nil"/>
              <w:tr2bl w:val="nil"/>
            </w:tcBorders>
            <w:tcMar>
              <w:top w:w="57" w:type="dxa"/>
              <w:left w:w="28" w:type="dxa"/>
              <w:bottom w:w="57" w:type="dxa"/>
              <w:right w:w="28" w:type="dxa"/>
            </w:tcMar>
            <w:vAlign w:val="center"/>
          </w:tcPr>
          <w:p>
            <w:pPr>
              <w:spacing w:line="480" w:lineRule="exact"/>
              <w:jc w:val="center"/>
              <w:rPr>
                <w:rFonts w:ascii="宋体" w:hAnsi="宋体" w:cs="宋体"/>
                <w:caps/>
                <w:szCs w:val="21"/>
              </w:rPr>
            </w:pPr>
            <w:r>
              <w:rPr>
                <w:rFonts w:hint="eastAsia" w:ascii="宋体" w:hAnsi="宋体" w:cs="宋体"/>
                <w:caps/>
                <w:szCs w:val="21"/>
              </w:rPr>
              <w:t>姓名</w:t>
            </w:r>
          </w:p>
        </w:tc>
        <w:tc>
          <w:tcPr>
            <w:tcW w:w="1419" w:type="dxa"/>
            <w:tcBorders>
              <w:tl2br w:val="nil"/>
              <w:tr2bl w:val="nil"/>
            </w:tcBorders>
            <w:tcMar>
              <w:top w:w="57" w:type="dxa"/>
              <w:left w:w="28" w:type="dxa"/>
              <w:bottom w:w="57" w:type="dxa"/>
              <w:right w:w="28" w:type="dxa"/>
            </w:tcMar>
            <w:vAlign w:val="center"/>
          </w:tcPr>
          <w:p>
            <w:pPr>
              <w:spacing w:line="480" w:lineRule="exact"/>
              <w:jc w:val="center"/>
              <w:rPr>
                <w:rFonts w:ascii="宋体" w:hAnsi="宋体" w:cs="宋体"/>
                <w:caps/>
                <w:szCs w:val="21"/>
              </w:rPr>
            </w:pPr>
          </w:p>
        </w:tc>
        <w:tc>
          <w:tcPr>
            <w:tcW w:w="900" w:type="dxa"/>
            <w:tcBorders>
              <w:tl2br w:val="nil"/>
              <w:tr2bl w:val="nil"/>
            </w:tcBorders>
            <w:tcMar>
              <w:top w:w="57" w:type="dxa"/>
              <w:left w:w="28" w:type="dxa"/>
              <w:bottom w:w="57" w:type="dxa"/>
              <w:right w:w="28" w:type="dxa"/>
            </w:tcMar>
            <w:vAlign w:val="center"/>
          </w:tcPr>
          <w:p>
            <w:pPr>
              <w:spacing w:line="480" w:lineRule="exact"/>
              <w:jc w:val="center"/>
              <w:rPr>
                <w:rFonts w:ascii="宋体" w:hAnsi="宋体" w:cs="宋体"/>
                <w:caps/>
                <w:szCs w:val="21"/>
              </w:rPr>
            </w:pPr>
            <w:r>
              <w:rPr>
                <w:rFonts w:hint="eastAsia" w:ascii="宋体" w:hAnsi="宋体" w:cs="宋体"/>
                <w:caps/>
                <w:szCs w:val="21"/>
              </w:rPr>
              <w:t>年龄</w:t>
            </w:r>
          </w:p>
        </w:tc>
        <w:tc>
          <w:tcPr>
            <w:tcW w:w="1070" w:type="dxa"/>
            <w:tcBorders>
              <w:tl2br w:val="nil"/>
              <w:tr2bl w:val="nil"/>
            </w:tcBorders>
            <w:tcMar>
              <w:top w:w="57" w:type="dxa"/>
              <w:left w:w="28" w:type="dxa"/>
              <w:bottom w:w="57" w:type="dxa"/>
              <w:right w:w="28" w:type="dxa"/>
            </w:tcMar>
            <w:vAlign w:val="center"/>
          </w:tcPr>
          <w:p>
            <w:pPr>
              <w:spacing w:line="480" w:lineRule="exact"/>
              <w:jc w:val="center"/>
              <w:rPr>
                <w:rFonts w:ascii="宋体" w:hAnsi="宋体" w:cs="宋体"/>
                <w:caps/>
                <w:szCs w:val="21"/>
              </w:rPr>
            </w:pPr>
          </w:p>
        </w:tc>
        <w:tc>
          <w:tcPr>
            <w:tcW w:w="1485" w:type="dxa"/>
            <w:gridSpan w:val="2"/>
            <w:tcBorders>
              <w:tl2br w:val="nil"/>
              <w:tr2bl w:val="nil"/>
            </w:tcBorders>
            <w:tcMar>
              <w:top w:w="57" w:type="dxa"/>
              <w:left w:w="28" w:type="dxa"/>
              <w:bottom w:w="57" w:type="dxa"/>
              <w:right w:w="28" w:type="dxa"/>
            </w:tcMar>
            <w:vAlign w:val="center"/>
          </w:tcPr>
          <w:p>
            <w:pPr>
              <w:spacing w:line="480" w:lineRule="exact"/>
              <w:jc w:val="center"/>
              <w:rPr>
                <w:rFonts w:ascii="宋体" w:hAnsi="宋体" w:cs="宋体"/>
                <w:caps/>
                <w:szCs w:val="21"/>
              </w:rPr>
            </w:pPr>
            <w:r>
              <w:rPr>
                <w:rFonts w:hint="eastAsia" w:ascii="宋体" w:hAnsi="宋体" w:cs="宋体"/>
                <w:caps/>
                <w:szCs w:val="21"/>
              </w:rPr>
              <w:t>身份证号码</w:t>
            </w:r>
          </w:p>
        </w:tc>
        <w:tc>
          <w:tcPr>
            <w:tcW w:w="1924" w:type="dxa"/>
            <w:tcBorders>
              <w:tl2br w:val="nil"/>
              <w:tr2bl w:val="nil"/>
            </w:tcBorders>
            <w:tcMar>
              <w:top w:w="57" w:type="dxa"/>
              <w:left w:w="28" w:type="dxa"/>
              <w:bottom w:w="57" w:type="dxa"/>
              <w:right w:w="28" w:type="dxa"/>
            </w:tcMar>
            <w:vAlign w:val="center"/>
          </w:tcPr>
          <w:p>
            <w:pPr>
              <w:spacing w:line="480" w:lineRule="exact"/>
              <w:jc w:val="center"/>
              <w:rPr>
                <w:rFonts w:ascii="宋体" w:hAnsi="宋体" w:cs="宋体"/>
                <w:caps/>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321" w:type="dxa"/>
            <w:tcBorders>
              <w:tl2br w:val="nil"/>
              <w:tr2bl w:val="nil"/>
            </w:tcBorders>
            <w:tcMar>
              <w:top w:w="57" w:type="dxa"/>
              <w:left w:w="28" w:type="dxa"/>
              <w:bottom w:w="57" w:type="dxa"/>
              <w:right w:w="28" w:type="dxa"/>
            </w:tcMar>
            <w:vAlign w:val="center"/>
          </w:tcPr>
          <w:p>
            <w:pPr>
              <w:spacing w:line="480" w:lineRule="exact"/>
              <w:jc w:val="center"/>
              <w:rPr>
                <w:rFonts w:ascii="宋体" w:hAnsi="宋体" w:cs="宋体"/>
                <w:szCs w:val="21"/>
              </w:rPr>
            </w:pPr>
            <w:r>
              <w:rPr>
                <w:rFonts w:hint="eastAsia" w:ascii="宋体" w:hAnsi="宋体" w:cs="宋体"/>
                <w:szCs w:val="21"/>
              </w:rPr>
              <w:t>毕业院校</w:t>
            </w:r>
          </w:p>
        </w:tc>
        <w:tc>
          <w:tcPr>
            <w:tcW w:w="3389" w:type="dxa"/>
            <w:gridSpan w:val="3"/>
            <w:tcBorders>
              <w:tl2br w:val="nil"/>
              <w:tr2bl w:val="nil"/>
            </w:tcBorders>
            <w:tcMar>
              <w:top w:w="57" w:type="dxa"/>
              <w:left w:w="28" w:type="dxa"/>
              <w:bottom w:w="57" w:type="dxa"/>
              <w:right w:w="28" w:type="dxa"/>
            </w:tcMar>
            <w:vAlign w:val="center"/>
          </w:tcPr>
          <w:p>
            <w:pPr>
              <w:spacing w:line="480" w:lineRule="exact"/>
              <w:jc w:val="center"/>
              <w:rPr>
                <w:rFonts w:ascii="宋体" w:hAnsi="宋体" w:cs="宋体"/>
                <w:szCs w:val="21"/>
              </w:rPr>
            </w:pPr>
          </w:p>
        </w:tc>
        <w:tc>
          <w:tcPr>
            <w:tcW w:w="1485" w:type="dxa"/>
            <w:gridSpan w:val="2"/>
            <w:tcBorders>
              <w:tl2br w:val="nil"/>
              <w:tr2bl w:val="nil"/>
            </w:tcBorders>
            <w:tcMar>
              <w:top w:w="57" w:type="dxa"/>
              <w:left w:w="28" w:type="dxa"/>
              <w:bottom w:w="57" w:type="dxa"/>
              <w:right w:w="28" w:type="dxa"/>
            </w:tcMar>
            <w:vAlign w:val="center"/>
          </w:tcPr>
          <w:p>
            <w:pPr>
              <w:spacing w:line="480" w:lineRule="exact"/>
              <w:jc w:val="center"/>
              <w:rPr>
                <w:rFonts w:ascii="宋体" w:hAnsi="宋体" w:cs="宋体"/>
                <w:szCs w:val="21"/>
              </w:rPr>
            </w:pPr>
            <w:r>
              <w:rPr>
                <w:rFonts w:hint="eastAsia" w:ascii="宋体" w:hAnsi="宋体" w:cs="宋体"/>
                <w:szCs w:val="21"/>
              </w:rPr>
              <w:t>专业</w:t>
            </w:r>
          </w:p>
        </w:tc>
        <w:tc>
          <w:tcPr>
            <w:tcW w:w="1924" w:type="dxa"/>
            <w:tcBorders>
              <w:tl2br w:val="nil"/>
              <w:tr2bl w:val="nil"/>
            </w:tcBorders>
            <w:tcMar>
              <w:top w:w="57" w:type="dxa"/>
              <w:left w:w="28" w:type="dxa"/>
              <w:bottom w:w="57" w:type="dxa"/>
              <w:right w:w="28" w:type="dxa"/>
            </w:tcMar>
            <w:vAlign w:val="center"/>
          </w:tcPr>
          <w:p>
            <w:pPr>
              <w:spacing w:line="480" w:lineRule="exact"/>
              <w:jc w:val="center"/>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321" w:type="dxa"/>
            <w:tcBorders>
              <w:tl2br w:val="nil"/>
              <w:tr2bl w:val="nil"/>
            </w:tcBorders>
            <w:tcMar>
              <w:top w:w="57" w:type="dxa"/>
              <w:left w:w="28" w:type="dxa"/>
              <w:bottom w:w="57" w:type="dxa"/>
              <w:right w:w="28" w:type="dxa"/>
            </w:tcMar>
            <w:vAlign w:val="center"/>
          </w:tcPr>
          <w:p>
            <w:pPr>
              <w:spacing w:line="480" w:lineRule="exact"/>
              <w:jc w:val="center"/>
              <w:rPr>
                <w:rFonts w:ascii="宋体" w:hAnsi="宋体" w:cs="宋体"/>
                <w:szCs w:val="21"/>
              </w:rPr>
            </w:pPr>
            <w:r>
              <w:rPr>
                <w:rFonts w:hint="eastAsia" w:ascii="宋体" w:hAnsi="宋体" w:cs="宋体"/>
                <w:szCs w:val="21"/>
              </w:rPr>
              <w:t>学位</w:t>
            </w:r>
          </w:p>
        </w:tc>
        <w:tc>
          <w:tcPr>
            <w:tcW w:w="1419" w:type="dxa"/>
            <w:tcBorders>
              <w:tl2br w:val="nil"/>
              <w:tr2bl w:val="nil"/>
            </w:tcBorders>
            <w:tcMar>
              <w:top w:w="57" w:type="dxa"/>
              <w:left w:w="28" w:type="dxa"/>
              <w:bottom w:w="57" w:type="dxa"/>
              <w:right w:w="28" w:type="dxa"/>
            </w:tcMar>
            <w:vAlign w:val="center"/>
          </w:tcPr>
          <w:p>
            <w:pPr>
              <w:spacing w:line="480" w:lineRule="exact"/>
              <w:jc w:val="center"/>
              <w:rPr>
                <w:rFonts w:ascii="宋体" w:hAnsi="宋体" w:cs="宋体"/>
                <w:szCs w:val="21"/>
              </w:rPr>
            </w:pPr>
          </w:p>
        </w:tc>
        <w:tc>
          <w:tcPr>
            <w:tcW w:w="900" w:type="dxa"/>
            <w:tcBorders>
              <w:tl2br w:val="nil"/>
              <w:tr2bl w:val="nil"/>
            </w:tcBorders>
            <w:tcMar>
              <w:top w:w="57" w:type="dxa"/>
              <w:left w:w="28" w:type="dxa"/>
              <w:bottom w:w="57" w:type="dxa"/>
              <w:right w:w="28" w:type="dxa"/>
            </w:tcMar>
            <w:vAlign w:val="center"/>
          </w:tcPr>
          <w:p>
            <w:pPr>
              <w:spacing w:line="480" w:lineRule="exact"/>
              <w:jc w:val="center"/>
              <w:rPr>
                <w:rFonts w:ascii="宋体" w:hAnsi="宋体" w:cs="宋体"/>
                <w:szCs w:val="21"/>
              </w:rPr>
            </w:pPr>
            <w:r>
              <w:rPr>
                <w:rFonts w:hint="eastAsia" w:ascii="宋体" w:hAnsi="宋体" w:cs="宋体"/>
                <w:szCs w:val="21"/>
              </w:rPr>
              <w:t>职称</w:t>
            </w:r>
          </w:p>
        </w:tc>
        <w:tc>
          <w:tcPr>
            <w:tcW w:w="1070" w:type="dxa"/>
            <w:tcBorders>
              <w:tl2br w:val="nil"/>
              <w:tr2bl w:val="nil"/>
            </w:tcBorders>
            <w:tcMar>
              <w:top w:w="57" w:type="dxa"/>
              <w:left w:w="28" w:type="dxa"/>
              <w:bottom w:w="57" w:type="dxa"/>
              <w:right w:w="28" w:type="dxa"/>
            </w:tcMar>
            <w:vAlign w:val="center"/>
          </w:tcPr>
          <w:p>
            <w:pPr>
              <w:spacing w:line="480" w:lineRule="exact"/>
              <w:jc w:val="center"/>
              <w:rPr>
                <w:rFonts w:ascii="宋体" w:hAnsi="宋体" w:cs="宋体"/>
                <w:szCs w:val="21"/>
              </w:rPr>
            </w:pPr>
          </w:p>
        </w:tc>
        <w:tc>
          <w:tcPr>
            <w:tcW w:w="1485" w:type="dxa"/>
            <w:gridSpan w:val="2"/>
            <w:tcBorders>
              <w:tl2br w:val="nil"/>
              <w:tr2bl w:val="nil"/>
            </w:tcBorders>
            <w:tcMar>
              <w:top w:w="57" w:type="dxa"/>
              <w:left w:w="28" w:type="dxa"/>
              <w:bottom w:w="57" w:type="dxa"/>
              <w:right w:w="28" w:type="dxa"/>
            </w:tcMar>
            <w:vAlign w:val="center"/>
          </w:tcPr>
          <w:p>
            <w:pPr>
              <w:spacing w:line="480" w:lineRule="exact"/>
              <w:jc w:val="center"/>
              <w:rPr>
                <w:rFonts w:ascii="宋体" w:hAnsi="宋体" w:cs="宋体"/>
                <w:szCs w:val="21"/>
              </w:rPr>
            </w:pPr>
            <w:r>
              <w:rPr>
                <w:rFonts w:hint="eastAsia" w:ascii="宋体" w:hAnsi="宋体" w:cs="宋体"/>
                <w:szCs w:val="21"/>
              </w:rPr>
              <w:t>职务</w:t>
            </w:r>
          </w:p>
        </w:tc>
        <w:tc>
          <w:tcPr>
            <w:tcW w:w="1924" w:type="dxa"/>
            <w:tcBorders>
              <w:tl2br w:val="nil"/>
              <w:tr2bl w:val="nil"/>
            </w:tcBorders>
            <w:tcMar>
              <w:top w:w="57" w:type="dxa"/>
              <w:left w:w="28" w:type="dxa"/>
              <w:bottom w:w="57" w:type="dxa"/>
              <w:right w:w="28" w:type="dxa"/>
            </w:tcMar>
            <w:vAlign w:val="center"/>
          </w:tcPr>
          <w:p>
            <w:pPr>
              <w:spacing w:line="480" w:lineRule="exact"/>
              <w:jc w:val="center"/>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321" w:type="dxa"/>
            <w:tcBorders>
              <w:tl2br w:val="nil"/>
              <w:tr2bl w:val="nil"/>
            </w:tcBorders>
            <w:tcMar>
              <w:top w:w="57" w:type="dxa"/>
              <w:left w:w="28" w:type="dxa"/>
              <w:bottom w:w="57" w:type="dxa"/>
              <w:right w:w="28" w:type="dxa"/>
            </w:tcMar>
            <w:vAlign w:val="center"/>
          </w:tcPr>
          <w:p>
            <w:pPr>
              <w:spacing w:line="480" w:lineRule="exact"/>
              <w:jc w:val="center"/>
              <w:rPr>
                <w:rFonts w:ascii="宋体" w:hAnsi="宋体" w:cs="宋体"/>
                <w:szCs w:val="21"/>
              </w:rPr>
            </w:pPr>
            <w:r>
              <w:rPr>
                <w:rFonts w:hint="eastAsia" w:ascii="宋体" w:hAnsi="宋体" w:cs="宋体"/>
                <w:szCs w:val="21"/>
              </w:rPr>
              <w:t>现所在机构或部门</w:t>
            </w:r>
          </w:p>
        </w:tc>
        <w:tc>
          <w:tcPr>
            <w:tcW w:w="3389" w:type="dxa"/>
            <w:gridSpan w:val="3"/>
            <w:tcBorders>
              <w:tl2br w:val="nil"/>
              <w:tr2bl w:val="nil"/>
            </w:tcBorders>
            <w:tcMar>
              <w:top w:w="57" w:type="dxa"/>
              <w:left w:w="28" w:type="dxa"/>
              <w:bottom w:w="57" w:type="dxa"/>
              <w:right w:w="28" w:type="dxa"/>
            </w:tcMar>
            <w:vAlign w:val="center"/>
          </w:tcPr>
          <w:p>
            <w:pPr>
              <w:spacing w:line="480" w:lineRule="exact"/>
              <w:jc w:val="center"/>
              <w:rPr>
                <w:rFonts w:ascii="宋体" w:hAnsi="宋体" w:cs="宋体"/>
                <w:szCs w:val="21"/>
              </w:rPr>
            </w:pPr>
          </w:p>
        </w:tc>
        <w:tc>
          <w:tcPr>
            <w:tcW w:w="1485" w:type="dxa"/>
            <w:gridSpan w:val="2"/>
            <w:tcBorders>
              <w:tl2br w:val="nil"/>
              <w:tr2bl w:val="nil"/>
            </w:tcBorders>
            <w:tcMar>
              <w:top w:w="57" w:type="dxa"/>
              <w:left w:w="28" w:type="dxa"/>
              <w:bottom w:w="57" w:type="dxa"/>
              <w:right w:w="28" w:type="dxa"/>
            </w:tcMar>
            <w:vAlign w:val="center"/>
          </w:tcPr>
          <w:p>
            <w:pPr>
              <w:spacing w:line="480" w:lineRule="exact"/>
              <w:jc w:val="center"/>
              <w:rPr>
                <w:rFonts w:ascii="宋体" w:hAnsi="宋体" w:cs="宋体"/>
                <w:szCs w:val="21"/>
              </w:rPr>
            </w:pPr>
            <w:r>
              <w:rPr>
                <w:rFonts w:hint="eastAsia" w:ascii="宋体" w:hAnsi="宋体" w:cs="宋体"/>
                <w:szCs w:val="21"/>
              </w:rPr>
              <w:t>服务时间</w:t>
            </w:r>
          </w:p>
        </w:tc>
        <w:tc>
          <w:tcPr>
            <w:tcW w:w="1924" w:type="dxa"/>
            <w:tcBorders>
              <w:tl2br w:val="nil"/>
              <w:tr2bl w:val="nil"/>
            </w:tcBorders>
            <w:tcMar>
              <w:top w:w="57" w:type="dxa"/>
              <w:left w:w="28" w:type="dxa"/>
              <w:bottom w:w="57" w:type="dxa"/>
              <w:right w:w="28" w:type="dxa"/>
            </w:tcMar>
            <w:vAlign w:val="center"/>
          </w:tcPr>
          <w:p>
            <w:pPr>
              <w:spacing w:line="480" w:lineRule="exact"/>
              <w:jc w:val="center"/>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119" w:type="dxa"/>
            <w:gridSpan w:val="7"/>
            <w:tcBorders>
              <w:tl2br w:val="nil"/>
              <w:tr2bl w:val="nil"/>
            </w:tcBorders>
            <w:tcMar>
              <w:top w:w="57" w:type="dxa"/>
              <w:left w:w="28" w:type="dxa"/>
              <w:bottom w:w="57" w:type="dxa"/>
              <w:right w:w="28" w:type="dxa"/>
            </w:tcMar>
            <w:vAlign w:val="center"/>
          </w:tcPr>
          <w:p>
            <w:pPr>
              <w:spacing w:line="480" w:lineRule="exact"/>
              <w:jc w:val="center"/>
              <w:rPr>
                <w:rFonts w:ascii="宋体" w:hAnsi="宋体" w:cs="宋体"/>
                <w:szCs w:val="21"/>
              </w:rPr>
            </w:pPr>
            <w:r>
              <w:rPr>
                <w:rFonts w:hint="eastAsia" w:ascii="宋体" w:hAnsi="宋体" w:cs="宋体"/>
                <w:szCs w:val="21"/>
              </w:rPr>
              <w:t>主要经历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321" w:type="dxa"/>
            <w:tcBorders>
              <w:tl2br w:val="nil"/>
              <w:tr2bl w:val="nil"/>
            </w:tcBorders>
            <w:tcMar>
              <w:top w:w="57" w:type="dxa"/>
              <w:left w:w="28" w:type="dxa"/>
              <w:bottom w:w="57" w:type="dxa"/>
              <w:right w:w="28" w:type="dxa"/>
            </w:tcMar>
            <w:vAlign w:val="center"/>
          </w:tcPr>
          <w:p>
            <w:pPr>
              <w:spacing w:line="480" w:lineRule="exact"/>
              <w:jc w:val="center"/>
              <w:rPr>
                <w:rFonts w:ascii="宋体" w:hAnsi="宋体" w:cs="宋体"/>
                <w:szCs w:val="21"/>
              </w:rPr>
            </w:pPr>
            <w:r>
              <w:rPr>
                <w:rFonts w:hint="eastAsia" w:ascii="宋体" w:hAnsi="宋体" w:cs="宋体"/>
                <w:szCs w:val="21"/>
              </w:rPr>
              <w:t>日期</w:t>
            </w:r>
          </w:p>
        </w:tc>
        <w:tc>
          <w:tcPr>
            <w:tcW w:w="2319" w:type="dxa"/>
            <w:gridSpan w:val="2"/>
            <w:tcBorders>
              <w:tl2br w:val="nil"/>
              <w:tr2bl w:val="nil"/>
            </w:tcBorders>
            <w:tcMar>
              <w:top w:w="57" w:type="dxa"/>
              <w:left w:w="28" w:type="dxa"/>
              <w:bottom w:w="57" w:type="dxa"/>
              <w:right w:w="28" w:type="dxa"/>
            </w:tcMar>
            <w:vAlign w:val="center"/>
          </w:tcPr>
          <w:p>
            <w:pPr>
              <w:spacing w:line="480" w:lineRule="exact"/>
              <w:jc w:val="center"/>
              <w:rPr>
                <w:rFonts w:ascii="宋体" w:hAnsi="宋体" w:cs="宋体"/>
                <w:szCs w:val="21"/>
              </w:rPr>
            </w:pPr>
            <w:r>
              <w:rPr>
                <w:rFonts w:hint="eastAsia" w:ascii="宋体" w:hAnsi="宋体" w:cs="宋体"/>
                <w:szCs w:val="21"/>
              </w:rPr>
              <w:t>参加过的项目名称</w:t>
            </w:r>
          </w:p>
        </w:tc>
        <w:tc>
          <w:tcPr>
            <w:tcW w:w="1970" w:type="dxa"/>
            <w:gridSpan w:val="2"/>
            <w:tcBorders>
              <w:tl2br w:val="nil"/>
              <w:tr2bl w:val="nil"/>
            </w:tcBorders>
            <w:tcMar>
              <w:top w:w="57" w:type="dxa"/>
              <w:left w:w="28" w:type="dxa"/>
              <w:bottom w:w="57" w:type="dxa"/>
              <w:right w:w="28" w:type="dxa"/>
            </w:tcMar>
            <w:vAlign w:val="center"/>
          </w:tcPr>
          <w:p>
            <w:pPr>
              <w:spacing w:line="480" w:lineRule="exact"/>
              <w:jc w:val="center"/>
              <w:rPr>
                <w:rFonts w:ascii="宋体" w:hAnsi="宋体" w:cs="宋体"/>
                <w:szCs w:val="21"/>
              </w:rPr>
            </w:pPr>
            <w:r>
              <w:rPr>
                <w:rFonts w:hint="eastAsia" w:ascii="宋体" w:hAnsi="宋体" w:cs="宋体"/>
                <w:szCs w:val="21"/>
              </w:rPr>
              <w:t>担任何职</w:t>
            </w:r>
          </w:p>
        </w:tc>
        <w:tc>
          <w:tcPr>
            <w:tcW w:w="2509" w:type="dxa"/>
            <w:gridSpan w:val="2"/>
            <w:tcBorders>
              <w:tl2br w:val="nil"/>
              <w:tr2bl w:val="nil"/>
            </w:tcBorders>
            <w:tcMar>
              <w:top w:w="57" w:type="dxa"/>
              <w:left w:w="28" w:type="dxa"/>
              <w:bottom w:w="57" w:type="dxa"/>
              <w:right w:w="28" w:type="dxa"/>
            </w:tcMar>
            <w:vAlign w:val="center"/>
          </w:tcPr>
          <w:p>
            <w:pPr>
              <w:spacing w:line="480" w:lineRule="exact"/>
              <w:jc w:val="center"/>
              <w:rPr>
                <w:rFonts w:ascii="宋体" w:hAnsi="宋体" w:cs="宋体"/>
                <w:szCs w:val="21"/>
              </w:rPr>
            </w:pPr>
            <w:r>
              <w:rPr>
                <w:rFonts w:hint="eastAsia" w:ascii="宋体" w:hAnsi="宋体" w:cs="宋体"/>
                <w:szCs w:val="21"/>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321" w:type="dxa"/>
            <w:tcBorders>
              <w:tl2br w:val="nil"/>
              <w:tr2bl w:val="nil"/>
            </w:tcBorders>
            <w:tcMar>
              <w:top w:w="57" w:type="dxa"/>
              <w:left w:w="28" w:type="dxa"/>
              <w:bottom w:w="57" w:type="dxa"/>
              <w:right w:w="28" w:type="dxa"/>
            </w:tcMar>
            <w:vAlign w:val="center"/>
          </w:tcPr>
          <w:p>
            <w:pPr>
              <w:spacing w:line="480" w:lineRule="exact"/>
              <w:jc w:val="center"/>
              <w:rPr>
                <w:rFonts w:ascii="宋体" w:hAnsi="宋体" w:cs="宋体"/>
                <w:szCs w:val="21"/>
              </w:rPr>
            </w:pPr>
          </w:p>
        </w:tc>
        <w:tc>
          <w:tcPr>
            <w:tcW w:w="2319" w:type="dxa"/>
            <w:gridSpan w:val="2"/>
            <w:tcBorders>
              <w:tl2br w:val="nil"/>
              <w:tr2bl w:val="nil"/>
            </w:tcBorders>
            <w:tcMar>
              <w:top w:w="57" w:type="dxa"/>
              <w:left w:w="28" w:type="dxa"/>
              <w:bottom w:w="57" w:type="dxa"/>
              <w:right w:w="28" w:type="dxa"/>
            </w:tcMar>
            <w:vAlign w:val="center"/>
          </w:tcPr>
          <w:p>
            <w:pPr>
              <w:spacing w:line="480" w:lineRule="exact"/>
              <w:jc w:val="center"/>
              <w:rPr>
                <w:rFonts w:ascii="宋体" w:hAnsi="宋体" w:cs="宋体"/>
                <w:szCs w:val="21"/>
              </w:rPr>
            </w:pPr>
          </w:p>
        </w:tc>
        <w:tc>
          <w:tcPr>
            <w:tcW w:w="1970" w:type="dxa"/>
            <w:gridSpan w:val="2"/>
            <w:tcBorders>
              <w:tl2br w:val="nil"/>
              <w:tr2bl w:val="nil"/>
            </w:tcBorders>
            <w:tcMar>
              <w:top w:w="57" w:type="dxa"/>
              <w:left w:w="28" w:type="dxa"/>
              <w:bottom w:w="57" w:type="dxa"/>
              <w:right w:w="28" w:type="dxa"/>
            </w:tcMar>
            <w:vAlign w:val="center"/>
          </w:tcPr>
          <w:p>
            <w:pPr>
              <w:spacing w:line="480" w:lineRule="exact"/>
              <w:jc w:val="center"/>
              <w:rPr>
                <w:rFonts w:ascii="宋体" w:hAnsi="宋体" w:cs="宋体"/>
                <w:szCs w:val="21"/>
              </w:rPr>
            </w:pPr>
          </w:p>
        </w:tc>
        <w:tc>
          <w:tcPr>
            <w:tcW w:w="2509" w:type="dxa"/>
            <w:gridSpan w:val="2"/>
            <w:tcBorders>
              <w:tl2br w:val="nil"/>
              <w:tr2bl w:val="nil"/>
            </w:tcBorders>
            <w:tcMar>
              <w:top w:w="57" w:type="dxa"/>
              <w:left w:w="28" w:type="dxa"/>
              <w:bottom w:w="57" w:type="dxa"/>
              <w:right w:w="28" w:type="dxa"/>
            </w:tcMar>
            <w:vAlign w:val="center"/>
          </w:tcPr>
          <w:p>
            <w:pPr>
              <w:spacing w:line="480" w:lineRule="exact"/>
              <w:jc w:val="center"/>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321" w:type="dxa"/>
            <w:tcBorders>
              <w:tl2br w:val="nil"/>
              <w:tr2bl w:val="nil"/>
            </w:tcBorders>
            <w:tcMar>
              <w:top w:w="57" w:type="dxa"/>
              <w:left w:w="28" w:type="dxa"/>
              <w:bottom w:w="57" w:type="dxa"/>
              <w:right w:w="28" w:type="dxa"/>
            </w:tcMar>
            <w:vAlign w:val="center"/>
          </w:tcPr>
          <w:p>
            <w:pPr>
              <w:spacing w:line="480" w:lineRule="exact"/>
              <w:jc w:val="center"/>
              <w:rPr>
                <w:rFonts w:ascii="宋体" w:hAnsi="宋体" w:cs="宋体"/>
                <w:szCs w:val="21"/>
              </w:rPr>
            </w:pPr>
          </w:p>
        </w:tc>
        <w:tc>
          <w:tcPr>
            <w:tcW w:w="2319" w:type="dxa"/>
            <w:gridSpan w:val="2"/>
            <w:tcBorders>
              <w:tl2br w:val="nil"/>
              <w:tr2bl w:val="nil"/>
            </w:tcBorders>
            <w:tcMar>
              <w:top w:w="57" w:type="dxa"/>
              <w:left w:w="28" w:type="dxa"/>
              <w:bottom w:w="57" w:type="dxa"/>
              <w:right w:w="28" w:type="dxa"/>
            </w:tcMar>
            <w:vAlign w:val="center"/>
          </w:tcPr>
          <w:p>
            <w:pPr>
              <w:spacing w:line="480" w:lineRule="exact"/>
              <w:jc w:val="center"/>
              <w:rPr>
                <w:rFonts w:ascii="宋体" w:hAnsi="宋体" w:cs="宋体"/>
                <w:szCs w:val="21"/>
              </w:rPr>
            </w:pPr>
          </w:p>
        </w:tc>
        <w:tc>
          <w:tcPr>
            <w:tcW w:w="1970" w:type="dxa"/>
            <w:gridSpan w:val="2"/>
            <w:tcBorders>
              <w:tl2br w:val="nil"/>
              <w:tr2bl w:val="nil"/>
            </w:tcBorders>
            <w:tcMar>
              <w:top w:w="57" w:type="dxa"/>
              <w:left w:w="28" w:type="dxa"/>
              <w:bottom w:w="57" w:type="dxa"/>
              <w:right w:w="28" w:type="dxa"/>
            </w:tcMar>
            <w:vAlign w:val="center"/>
          </w:tcPr>
          <w:p>
            <w:pPr>
              <w:spacing w:line="480" w:lineRule="exact"/>
              <w:jc w:val="center"/>
              <w:rPr>
                <w:rFonts w:ascii="宋体" w:hAnsi="宋体" w:cs="宋体"/>
                <w:szCs w:val="21"/>
              </w:rPr>
            </w:pPr>
          </w:p>
        </w:tc>
        <w:tc>
          <w:tcPr>
            <w:tcW w:w="2509" w:type="dxa"/>
            <w:gridSpan w:val="2"/>
            <w:tcBorders>
              <w:tl2br w:val="nil"/>
              <w:tr2bl w:val="nil"/>
            </w:tcBorders>
            <w:tcMar>
              <w:top w:w="57" w:type="dxa"/>
              <w:left w:w="28" w:type="dxa"/>
              <w:bottom w:w="57" w:type="dxa"/>
              <w:right w:w="28" w:type="dxa"/>
            </w:tcMar>
            <w:vAlign w:val="center"/>
          </w:tcPr>
          <w:p>
            <w:pPr>
              <w:spacing w:line="480" w:lineRule="exact"/>
              <w:jc w:val="center"/>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321" w:type="dxa"/>
            <w:tcBorders>
              <w:tl2br w:val="nil"/>
              <w:tr2bl w:val="nil"/>
            </w:tcBorders>
            <w:tcMar>
              <w:top w:w="57" w:type="dxa"/>
              <w:left w:w="28" w:type="dxa"/>
              <w:bottom w:w="57" w:type="dxa"/>
              <w:right w:w="28" w:type="dxa"/>
            </w:tcMar>
            <w:vAlign w:val="center"/>
          </w:tcPr>
          <w:p>
            <w:pPr>
              <w:spacing w:line="480" w:lineRule="exact"/>
              <w:jc w:val="center"/>
              <w:rPr>
                <w:rFonts w:ascii="宋体" w:hAnsi="宋体" w:cs="宋体"/>
                <w:szCs w:val="21"/>
              </w:rPr>
            </w:pPr>
          </w:p>
        </w:tc>
        <w:tc>
          <w:tcPr>
            <w:tcW w:w="2319" w:type="dxa"/>
            <w:gridSpan w:val="2"/>
            <w:tcBorders>
              <w:tl2br w:val="nil"/>
              <w:tr2bl w:val="nil"/>
            </w:tcBorders>
            <w:tcMar>
              <w:top w:w="57" w:type="dxa"/>
              <w:left w:w="28" w:type="dxa"/>
              <w:bottom w:w="57" w:type="dxa"/>
              <w:right w:w="28" w:type="dxa"/>
            </w:tcMar>
            <w:vAlign w:val="center"/>
          </w:tcPr>
          <w:p>
            <w:pPr>
              <w:spacing w:line="480" w:lineRule="exact"/>
              <w:jc w:val="center"/>
              <w:rPr>
                <w:rFonts w:ascii="宋体" w:hAnsi="宋体" w:cs="宋体"/>
                <w:szCs w:val="21"/>
              </w:rPr>
            </w:pPr>
          </w:p>
        </w:tc>
        <w:tc>
          <w:tcPr>
            <w:tcW w:w="1970" w:type="dxa"/>
            <w:gridSpan w:val="2"/>
            <w:tcBorders>
              <w:tl2br w:val="nil"/>
              <w:tr2bl w:val="nil"/>
            </w:tcBorders>
            <w:tcMar>
              <w:top w:w="57" w:type="dxa"/>
              <w:left w:w="28" w:type="dxa"/>
              <w:bottom w:w="57" w:type="dxa"/>
              <w:right w:w="28" w:type="dxa"/>
            </w:tcMar>
            <w:vAlign w:val="center"/>
          </w:tcPr>
          <w:p>
            <w:pPr>
              <w:spacing w:line="480" w:lineRule="exact"/>
              <w:jc w:val="center"/>
              <w:rPr>
                <w:rFonts w:ascii="宋体" w:hAnsi="宋体" w:cs="宋体"/>
                <w:szCs w:val="21"/>
              </w:rPr>
            </w:pPr>
          </w:p>
        </w:tc>
        <w:tc>
          <w:tcPr>
            <w:tcW w:w="2509" w:type="dxa"/>
            <w:gridSpan w:val="2"/>
            <w:tcBorders>
              <w:tl2br w:val="nil"/>
              <w:tr2bl w:val="nil"/>
            </w:tcBorders>
            <w:tcMar>
              <w:top w:w="57" w:type="dxa"/>
              <w:left w:w="28" w:type="dxa"/>
              <w:bottom w:w="57" w:type="dxa"/>
              <w:right w:w="28" w:type="dxa"/>
            </w:tcMar>
            <w:vAlign w:val="center"/>
          </w:tcPr>
          <w:p>
            <w:pPr>
              <w:spacing w:line="480" w:lineRule="exact"/>
              <w:jc w:val="center"/>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321" w:type="dxa"/>
            <w:tcBorders>
              <w:tl2br w:val="nil"/>
              <w:tr2bl w:val="nil"/>
            </w:tcBorders>
            <w:tcMar>
              <w:top w:w="57" w:type="dxa"/>
              <w:left w:w="28" w:type="dxa"/>
              <w:bottom w:w="57" w:type="dxa"/>
              <w:right w:w="28" w:type="dxa"/>
            </w:tcMar>
            <w:vAlign w:val="center"/>
          </w:tcPr>
          <w:p>
            <w:pPr>
              <w:spacing w:line="480" w:lineRule="exact"/>
              <w:jc w:val="center"/>
              <w:rPr>
                <w:rFonts w:ascii="宋体" w:hAnsi="宋体" w:cs="宋体"/>
                <w:szCs w:val="21"/>
              </w:rPr>
            </w:pPr>
          </w:p>
        </w:tc>
        <w:tc>
          <w:tcPr>
            <w:tcW w:w="2319" w:type="dxa"/>
            <w:gridSpan w:val="2"/>
            <w:tcBorders>
              <w:tl2br w:val="nil"/>
              <w:tr2bl w:val="nil"/>
            </w:tcBorders>
            <w:tcMar>
              <w:top w:w="57" w:type="dxa"/>
              <w:left w:w="28" w:type="dxa"/>
              <w:bottom w:w="57" w:type="dxa"/>
              <w:right w:w="28" w:type="dxa"/>
            </w:tcMar>
            <w:vAlign w:val="center"/>
          </w:tcPr>
          <w:p>
            <w:pPr>
              <w:spacing w:line="480" w:lineRule="exact"/>
              <w:jc w:val="center"/>
              <w:rPr>
                <w:rFonts w:ascii="宋体" w:hAnsi="宋体" w:cs="宋体"/>
                <w:szCs w:val="21"/>
              </w:rPr>
            </w:pPr>
          </w:p>
        </w:tc>
        <w:tc>
          <w:tcPr>
            <w:tcW w:w="1970" w:type="dxa"/>
            <w:gridSpan w:val="2"/>
            <w:tcBorders>
              <w:tl2br w:val="nil"/>
              <w:tr2bl w:val="nil"/>
            </w:tcBorders>
            <w:tcMar>
              <w:top w:w="57" w:type="dxa"/>
              <w:left w:w="28" w:type="dxa"/>
              <w:bottom w:w="57" w:type="dxa"/>
              <w:right w:w="28" w:type="dxa"/>
            </w:tcMar>
            <w:vAlign w:val="center"/>
          </w:tcPr>
          <w:p>
            <w:pPr>
              <w:spacing w:line="480" w:lineRule="exact"/>
              <w:jc w:val="center"/>
              <w:rPr>
                <w:rFonts w:ascii="宋体" w:hAnsi="宋体" w:cs="宋体"/>
                <w:szCs w:val="21"/>
              </w:rPr>
            </w:pPr>
          </w:p>
        </w:tc>
        <w:tc>
          <w:tcPr>
            <w:tcW w:w="2509" w:type="dxa"/>
            <w:gridSpan w:val="2"/>
            <w:tcBorders>
              <w:tl2br w:val="nil"/>
              <w:tr2bl w:val="nil"/>
            </w:tcBorders>
            <w:tcMar>
              <w:top w:w="57" w:type="dxa"/>
              <w:left w:w="28" w:type="dxa"/>
              <w:bottom w:w="57" w:type="dxa"/>
              <w:right w:w="28" w:type="dxa"/>
            </w:tcMar>
            <w:vAlign w:val="center"/>
          </w:tcPr>
          <w:p>
            <w:pPr>
              <w:spacing w:line="480" w:lineRule="exact"/>
              <w:jc w:val="center"/>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321" w:type="dxa"/>
            <w:tcBorders>
              <w:tl2br w:val="nil"/>
              <w:tr2bl w:val="nil"/>
            </w:tcBorders>
            <w:tcMar>
              <w:top w:w="57" w:type="dxa"/>
              <w:left w:w="28" w:type="dxa"/>
              <w:bottom w:w="57" w:type="dxa"/>
              <w:right w:w="28" w:type="dxa"/>
            </w:tcMar>
            <w:vAlign w:val="center"/>
          </w:tcPr>
          <w:p>
            <w:pPr>
              <w:spacing w:line="480" w:lineRule="exact"/>
              <w:jc w:val="center"/>
              <w:rPr>
                <w:rFonts w:ascii="宋体" w:hAnsi="宋体" w:cs="宋体"/>
                <w:szCs w:val="21"/>
              </w:rPr>
            </w:pPr>
          </w:p>
        </w:tc>
        <w:tc>
          <w:tcPr>
            <w:tcW w:w="2319" w:type="dxa"/>
            <w:gridSpan w:val="2"/>
            <w:tcBorders>
              <w:tl2br w:val="nil"/>
              <w:tr2bl w:val="nil"/>
            </w:tcBorders>
            <w:tcMar>
              <w:top w:w="57" w:type="dxa"/>
              <w:left w:w="28" w:type="dxa"/>
              <w:bottom w:w="57" w:type="dxa"/>
              <w:right w:w="28" w:type="dxa"/>
            </w:tcMar>
            <w:vAlign w:val="center"/>
          </w:tcPr>
          <w:p>
            <w:pPr>
              <w:spacing w:line="480" w:lineRule="exact"/>
              <w:jc w:val="center"/>
              <w:rPr>
                <w:rFonts w:ascii="宋体" w:hAnsi="宋体" w:cs="宋体"/>
                <w:szCs w:val="21"/>
              </w:rPr>
            </w:pPr>
          </w:p>
        </w:tc>
        <w:tc>
          <w:tcPr>
            <w:tcW w:w="1970" w:type="dxa"/>
            <w:gridSpan w:val="2"/>
            <w:tcBorders>
              <w:tl2br w:val="nil"/>
              <w:tr2bl w:val="nil"/>
            </w:tcBorders>
            <w:tcMar>
              <w:top w:w="57" w:type="dxa"/>
              <w:left w:w="28" w:type="dxa"/>
              <w:bottom w:w="57" w:type="dxa"/>
              <w:right w:w="28" w:type="dxa"/>
            </w:tcMar>
            <w:vAlign w:val="center"/>
          </w:tcPr>
          <w:p>
            <w:pPr>
              <w:spacing w:line="480" w:lineRule="exact"/>
              <w:jc w:val="center"/>
              <w:rPr>
                <w:rFonts w:ascii="宋体" w:hAnsi="宋体" w:cs="宋体"/>
                <w:szCs w:val="21"/>
              </w:rPr>
            </w:pPr>
          </w:p>
        </w:tc>
        <w:tc>
          <w:tcPr>
            <w:tcW w:w="2509" w:type="dxa"/>
            <w:gridSpan w:val="2"/>
            <w:tcBorders>
              <w:tl2br w:val="nil"/>
              <w:tr2bl w:val="nil"/>
            </w:tcBorders>
            <w:tcMar>
              <w:top w:w="57" w:type="dxa"/>
              <w:left w:w="28" w:type="dxa"/>
              <w:bottom w:w="57" w:type="dxa"/>
              <w:right w:w="28" w:type="dxa"/>
            </w:tcMar>
            <w:vAlign w:val="center"/>
          </w:tcPr>
          <w:p>
            <w:pPr>
              <w:spacing w:line="480" w:lineRule="exact"/>
              <w:jc w:val="center"/>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321" w:type="dxa"/>
            <w:tcBorders>
              <w:tl2br w:val="nil"/>
              <w:tr2bl w:val="nil"/>
            </w:tcBorders>
            <w:tcMar>
              <w:top w:w="57" w:type="dxa"/>
              <w:left w:w="28" w:type="dxa"/>
              <w:bottom w:w="57" w:type="dxa"/>
              <w:right w:w="28" w:type="dxa"/>
            </w:tcMar>
            <w:vAlign w:val="center"/>
          </w:tcPr>
          <w:p>
            <w:pPr>
              <w:spacing w:line="480" w:lineRule="exact"/>
              <w:jc w:val="center"/>
              <w:rPr>
                <w:rFonts w:ascii="宋体" w:hAnsi="宋体" w:cs="宋体"/>
                <w:szCs w:val="21"/>
              </w:rPr>
            </w:pPr>
          </w:p>
        </w:tc>
        <w:tc>
          <w:tcPr>
            <w:tcW w:w="2319" w:type="dxa"/>
            <w:gridSpan w:val="2"/>
            <w:tcBorders>
              <w:tl2br w:val="nil"/>
              <w:tr2bl w:val="nil"/>
            </w:tcBorders>
            <w:tcMar>
              <w:top w:w="57" w:type="dxa"/>
              <w:left w:w="28" w:type="dxa"/>
              <w:bottom w:w="57" w:type="dxa"/>
              <w:right w:w="28" w:type="dxa"/>
            </w:tcMar>
            <w:vAlign w:val="center"/>
          </w:tcPr>
          <w:p>
            <w:pPr>
              <w:spacing w:line="480" w:lineRule="exact"/>
              <w:jc w:val="center"/>
              <w:rPr>
                <w:rFonts w:ascii="宋体" w:hAnsi="宋体" w:cs="宋体"/>
                <w:szCs w:val="21"/>
              </w:rPr>
            </w:pPr>
          </w:p>
        </w:tc>
        <w:tc>
          <w:tcPr>
            <w:tcW w:w="1970" w:type="dxa"/>
            <w:gridSpan w:val="2"/>
            <w:tcBorders>
              <w:tl2br w:val="nil"/>
              <w:tr2bl w:val="nil"/>
            </w:tcBorders>
            <w:tcMar>
              <w:top w:w="57" w:type="dxa"/>
              <w:left w:w="28" w:type="dxa"/>
              <w:bottom w:w="57" w:type="dxa"/>
              <w:right w:w="28" w:type="dxa"/>
            </w:tcMar>
            <w:vAlign w:val="center"/>
          </w:tcPr>
          <w:p>
            <w:pPr>
              <w:spacing w:line="480" w:lineRule="exact"/>
              <w:jc w:val="center"/>
              <w:rPr>
                <w:rFonts w:ascii="宋体" w:hAnsi="宋体" w:cs="宋体"/>
                <w:szCs w:val="21"/>
              </w:rPr>
            </w:pPr>
          </w:p>
        </w:tc>
        <w:tc>
          <w:tcPr>
            <w:tcW w:w="2509" w:type="dxa"/>
            <w:gridSpan w:val="2"/>
            <w:tcBorders>
              <w:tl2br w:val="nil"/>
              <w:tr2bl w:val="nil"/>
            </w:tcBorders>
            <w:tcMar>
              <w:top w:w="57" w:type="dxa"/>
              <w:left w:w="28" w:type="dxa"/>
              <w:bottom w:w="57" w:type="dxa"/>
              <w:right w:w="28" w:type="dxa"/>
            </w:tcMar>
            <w:vAlign w:val="center"/>
          </w:tcPr>
          <w:p>
            <w:pPr>
              <w:spacing w:line="480" w:lineRule="exact"/>
              <w:jc w:val="center"/>
              <w:rPr>
                <w:rFonts w:ascii="宋体" w:hAnsi="宋体" w:cs="宋体"/>
                <w:szCs w:val="21"/>
              </w:rPr>
            </w:pPr>
          </w:p>
        </w:tc>
      </w:tr>
    </w:tbl>
    <w:p>
      <w:pPr>
        <w:rPr>
          <w:rFonts w:ascii="宋体" w:hAnsi="宋体" w:cs="宋体"/>
          <w:szCs w:val="21"/>
        </w:rPr>
      </w:pPr>
      <w:r>
        <w:rPr>
          <w:rFonts w:hint="eastAsia" w:ascii="宋体" w:hAnsi="宋体" w:cs="宋体"/>
          <w:szCs w:val="21"/>
        </w:rPr>
        <w:t>注：投标人需随此表附上主要组成人员的相关证件资料的复印件。</w:t>
      </w: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spacing w:line="560" w:lineRule="exact"/>
        <w:jc w:val="center"/>
        <w:rPr>
          <w:rFonts w:ascii="宋体" w:hAnsi="宋体" w:cs="宋体"/>
          <w:b/>
          <w:bCs/>
          <w:color w:val="000000"/>
          <w:sz w:val="36"/>
          <w:szCs w:val="36"/>
        </w:rPr>
      </w:pPr>
      <w:bookmarkStart w:id="46" w:name="_Toc28712"/>
      <w:bookmarkStart w:id="47" w:name="_Toc30379"/>
      <w:r>
        <w:rPr>
          <w:rFonts w:hint="eastAsia" w:ascii="宋体" w:hAnsi="宋体" w:cs="宋体"/>
          <w:b/>
          <w:bCs/>
          <w:sz w:val="36"/>
          <w:szCs w:val="36"/>
        </w:rPr>
        <w:t>六、</w:t>
      </w:r>
      <w:bookmarkEnd w:id="46"/>
      <w:bookmarkEnd w:id="47"/>
      <w:r>
        <w:rPr>
          <w:rFonts w:hint="eastAsia" w:ascii="宋体" w:hAnsi="宋体" w:cs="宋体"/>
          <w:b/>
          <w:bCs/>
          <w:sz w:val="36"/>
          <w:szCs w:val="36"/>
        </w:rPr>
        <w:t>投标方案说明书</w:t>
      </w:r>
    </w:p>
    <w:p>
      <w:pPr>
        <w:rPr>
          <w:rFonts w:ascii="宋体" w:hAnsi="宋体" w:cs="宋体"/>
        </w:rPr>
      </w:pPr>
    </w:p>
    <w:p>
      <w:pPr>
        <w:pStyle w:val="11"/>
        <w:spacing w:line="500" w:lineRule="exact"/>
        <w:ind w:firstLine="0"/>
        <w:rPr>
          <w:rFonts w:ascii="宋体" w:hAnsi="宋体" w:cs="宋体"/>
          <w:szCs w:val="21"/>
        </w:rPr>
      </w:pPr>
      <w:r>
        <w:rPr>
          <w:rFonts w:hint="eastAsia" w:ascii="宋体" w:hAnsi="宋体" w:cs="宋体"/>
          <w:szCs w:val="21"/>
        </w:rPr>
        <w:t xml:space="preserve">    按照招标文件的要求编制投标方案说明书，内容应包括所投标货物（设备）和/或服务的详细说明、质量保证和售后服务承诺、交货期、付款条件和付款方式、交货地点及运输方式、验收依据等，格式自拟，至少应包括如下：</w:t>
      </w:r>
    </w:p>
    <w:p>
      <w:pPr>
        <w:pStyle w:val="11"/>
        <w:spacing w:line="500" w:lineRule="exact"/>
        <w:rPr>
          <w:rFonts w:ascii="宋体" w:hAnsi="宋体" w:cs="宋体"/>
          <w:b/>
          <w:color w:val="000000" w:themeColor="text1"/>
          <w:szCs w:val="21"/>
          <w14:textFill>
            <w14:solidFill>
              <w14:schemeClr w14:val="tx1"/>
            </w14:solidFill>
          </w14:textFill>
        </w:rPr>
      </w:pPr>
      <w:r>
        <w:rPr>
          <w:rFonts w:hint="eastAsia" w:ascii="宋体" w:hAnsi="宋体" w:cs="宋体"/>
          <w:b/>
          <w:szCs w:val="21"/>
        </w:rPr>
        <w:t>1、投标货物有效的证明文件</w:t>
      </w:r>
      <w:r>
        <w:rPr>
          <w:rFonts w:hint="eastAsia" w:ascii="宋体" w:hAnsi="宋体" w:cs="宋体"/>
          <w:szCs w:val="21"/>
        </w:rPr>
        <w:t>（如主要设备的各</w:t>
      </w:r>
      <w:r>
        <w:rPr>
          <w:rFonts w:hint="eastAsia" w:ascii="宋体" w:hAnsi="宋体" w:cs="宋体"/>
          <w:color w:val="000000" w:themeColor="text1"/>
          <w:szCs w:val="21"/>
          <w14:textFill>
            <w14:solidFill>
              <w14:schemeClr w14:val="tx1"/>
            </w14:solidFill>
          </w14:textFill>
        </w:rPr>
        <w:t>种检验、测试报告、其他资质证明文件等，复印件加盖公章）</w:t>
      </w:r>
    </w:p>
    <w:p>
      <w:pPr>
        <w:pStyle w:val="11"/>
        <w:spacing w:line="500" w:lineRule="exact"/>
        <w:ind w:firstLine="422" w:firstLineChars="200"/>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2、技术说明书</w:t>
      </w:r>
    </w:p>
    <w:p>
      <w:pPr>
        <w:pStyle w:val="11"/>
        <w:spacing w:line="500" w:lineRule="exact"/>
        <w:ind w:firstLine="0"/>
        <w:rPr>
          <w:rFonts w:ascii="宋体" w:hAnsi="宋体" w:cs="宋体"/>
          <w:szCs w:val="21"/>
        </w:rPr>
      </w:pPr>
      <w:r>
        <w:rPr>
          <w:rFonts w:hint="eastAsia" w:ascii="宋体" w:hAnsi="宋体" w:cs="宋体"/>
          <w:szCs w:val="21"/>
        </w:rPr>
        <w:t xml:space="preserve">    2.1所投货物（设备）的商标、型号、功能、技术规格、详细的供货配置清单；货物（设备）制造商及原产地。</w:t>
      </w:r>
    </w:p>
    <w:p>
      <w:pPr>
        <w:pStyle w:val="11"/>
        <w:spacing w:line="500" w:lineRule="exact"/>
        <w:rPr>
          <w:rFonts w:ascii="宋体" w:hAnsi="宋体" w:cs="宋体"/>
          <w:szCs w:val="21"/>
        </w:rPr>
      </w:pPr>
      <w:r>
        <w:rPr>
          <w:rFonts w:hint="eastAsia" w:ascii="宋体" w:hAnsi="宋体" w:cs="宋体"/>
          <w:szCs w:val="21"/>
        </w:rPr>
        <w:t>2.2填写技术规格偏离表（见附表1）并提供支持文件。</w:t>
      </w:r>
    </w:p>
    <w:p>
      <w:pPr>
        <w:pStyle w:val="11"/>
        <w:spacing w:line="500" w:lineRule="exact"/>
        <w:rPr>
          <w:rFonts w:ascii="宋体" w:hAnsi="宋体" w:cs="宋体"/>
          <w:szCs w:val="21"/>
        </w:rPr>
      </w:pPr>
      <w:r>
        <w:rPr>
          <w:rFonts w:hint="eastAsia" w:ascii="宋体" w:hAnsi="宋体" w:cs="宋体"/>
          <w:szCs w:val="21"/>
        </w:rPr>
        <w:t>2.3说明技术规格优于或偏离招标要求的指标（如果有的话）。</w:t>
      </w:r>
    </w:p>
    <w:p>
      <w:pPr>
        <w:pStyle w:val="11"/>
        <w:spacing w:line="500" w:lineRule="exact"/>
        <w:rPr>
          <w:rFonts w:ascii="宋体" w:hAnsi="宋体" w:cs="宋体"/>
          <w:szCs w:val="21"/>
        </w:rPr>
      </w:pPr>
      <w:r>
        <w:rPr>
          <w:rFonts w:hint="eastAsia" w:ascii="宋体" w:hAnsi="宋体" w:cs="宋体"/>
          <w:szCs w:val="21"/>
        </w:rPr>
        <w:t>2.4货物（设备）的质量标准、检测标准、是否符合国家规范及相关认证等。</w:t>
      </w:r>
    </w:p>
    <w:p>
      <w:pPr>
        <w:pStyle w:val="11"/>
        <w:spacing w:line="500" w:lineRule="exact"/>
        <w:rPr>
          <w:rFonts w:ascii="宋体" w:hAnsi="宋体" w:cs="宋体"/>
          <w:szCs w:val="21"/>
        </w:rPr>
      </w:pPr>
      <w:r>
        <w:rPr>
          <w:rFonts w:hint="eastAsia" w:ascii="宋体" w:hAnsi="宋体" w:cs="宋体"/>
          <w:szCs w:val="21"/>
        </w:rPr>
        <w:t>2.5货物（设备）的技术文件（产品技术资料或彩色图片、使用说明书）及相应的技术方案。</w:t>
      </w:r>
    </w:p>
    <w:p>
      <w:pPr>
        <w:pStyle w:val="11"/>
        <w:spacing w:line="500" w:lineRule="exact"/>
        <w:rPr>
          <w:rFonts w:ascii="宋体" w:hAnsi="宋体" w:cs="宋体"/>
          <w:b/>
          <w:szCs w:val="21"/>
        </w:rPr>
      </w:pPr>
      <w:r>
        <w:rPr>
          <w:rFonts w:hint="eastAsia" w:ascii="宋体" w:hAnsi="宋体" w:cs="宋体"/>
          <w:b/>
          <w:szCs w:val="21"/>
        </w:rPr>
        <w:t>3、填写货物说明一览表（见附表2）并详细说明投标报价所包含的全部供货内容和服务内容。</w:t>
      </w:r>
    </w:p>
    <w:p>
      <w:pPr>
        <w:pStyle w:val="11"/>
        <w:spacing w:line="500" w:lineRule="exact"/>
        <w:rPr>
          <w:rFonts w:ascii="宋体" w:hAnsi="宋体" w:cs="宋体"/>
          <w:b/>
          <w:szCs w:val="21"/>
        </w:rPr>
      </w:pPr>
      <w:r>
        <w:rPr>
          <w:rFonts w:hint="eastAsia" w:ascii="宋体" w:hAnsi="宋体" w:cs="宋体"/>
          <w:b/>
          <w:szCs w:val="21"/>
        </w:rPr>
        <w:t>4、质量保证承诺（依据产品特性和需求，按招标文件要求自拟，至少包括质量保证期、质量保证措施等）。</w:t>
      </w:r>
    </w:p>
    <w:p>
      <w:pPr>
        <w:pStyle w:val="11"/>
        <w:spacing w:line="500" w:lineRule="exact"/>
        <w:rPr>
          <w:rFonts w:ascii="宋体" w:hAnsi="宋体" w:cs="宋体"/>
          <w:b/>
          <w:szCs w:val="21"/>
        </w:rPr>
      </w:pPr>
      <w:r>
        <w:rPr>
          <w:rFonts w:hint="eastAsia" w:ascii="宋体" w:hAnsi="宋体" w:cs="宋体"/>
          <w:b/>
          <w:szCs w:val="21"/>
        </w:rPr>
        <w:t>5、售后服务的内容及承诺：</w:t>
      </w:r>
    </w:p>
    <w:p>
      <w:pPr>
        <w:spacing w:line="500" w:lineRule="exact"/>
        <w:rPr>
          <w:rFonts w:ascii="宋体" w:hAnsi="宋体" w:cs="宋体"/>
          <w:szCs w:val="21"/>
        </w:rPr>
      </w:pPr>
      <w:r>
        <w:rPr>
          <w:rFonts w:hint="eastAsia" w:ascii="宋体" w:hAnsi="宋体" w:cs="宋体"/>
          <w:szCs w:val="21"/>
        </w:rPr>
        <w:t xml:space="preserve">    5.1投标人依据产品特性和需求，按招标文件要求自拟。</w:t>
      </w:r>
    </w:p>
    <w:p>
      <w:pPr>
        <w:spacing w:line="500" w:lineRule="exact"/>
        <w:rPr>
          <w:rFonts w:ascii="宋体" w:hAnsi="宋体" w:cs="宋体"/>
          <w:szCs w:val="21"/>
        </w:rPr>
      </w:pPr>
      <w:r>
        <w:rPr>
          <w:rFonts w:hint="eastAsia" w:ascii="宋体" w:hAnsi="宋体" w:cs="宋体"/>
          <w:szCs w:val="21"/>
        </w:rPr>
        <w:t xml:space="preserve">    5.2投标人须提供在宝鸡地区的售后服务中心相关证明材料或与合作方的协议书（详见本招标文件投标人须知），这些服务中心和特约维修服务点的名称、地址、电话、联系人应在投标文件中一一列出（参考样式如下）。</w:t>
      </w:r>
    </w:p>
    <w:tbl>
      <w:tblPr>
        <w:tblStyle w:val="36"/>
        <w:tblW w:w="883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434"/>
        <w:gridCol w:w="1080"/>
        <w:gridCol w:w="1260"/>
        <w:gridCol w:w="1516"/>
        <w:gridCol w:w="254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434" w:type="dxa"/>
            <w:tcBorders>
              <w:tl2br w:val="nil"/>
              <w:tr2bl w:val="nil"/>
            </w:tcBorders>
            <w:vAlign w:val="center"/>
          </w:tcPr>
          <w:p>
            <w:pPr>
              <w:spacing w:line="500" w:lineRule="exact"/>
              <w:jc w:val="center"/>
              <w:rPr>
                <w:rFonts w:ascii="宋体" w:hAnsi="宋体" w:cs="宋体"/>
                <w:szCs w:val="21"/>
              </w:rPr>
            </w:pPr>
            <w:r>
              <w:rPr>
                <w:rFonts w:hint="eastAsia" w:ascii="宋体" w:hAnsi="宋体" w:cs="宋体"/>
                <w:szCs w:val="21"/>
              </w:rPr>
              <w:t>服务机构名称</w:t>
            </w:r>
          </w:p>
        </w:tc>
        <w:tc>
          <w:tcPr>
            <w:tcW w:w="1080" w:type="dxa"/>
            <w:tcBorders>
              <w:tl2br w:val="nil"/>
              <w:tr2bl w:val="nil"/>
            </w:tcBorders>
            <w:vAlign w:val="center"/>
          </w:tcPr>
          <w:p>
            <w:pPr>
              <w:spacing w:line="500" w:lineRule="exact"/>
              <w:jc w:val="center"/>
              <w:rPr>
                <w:rFonts w:ascii="宋体" w:hAnsi="宋体" w:cs="宋体"/>
                <w:szCs w:val="21"/>
              </w:rPr>
            </w:pPr>
            <w:r>
              <w:rPr>
                <w:rFonts w:hint="eastAsia" w:ascii="宋体" w:hAnsi="宋体" w:cs="宋体"/>
                <w:szCs w:val="21"/>
              </w:rPr>
              <w:t>所在地</w:t>
            </w:r>
          </w:p>
        </w:tc>
        <w:tc>
          <w:tcPr>
            <w:tcW w:w="1260" w:type="dxa"/>
            <w:tcBorders>
              <w:tl2br w:val="nil"/>
              <w:tr2bl w:val="nil"/>
            </w:tcBorders>
            <w:vAlign w:val="center"/>
          </w:tcPr>
          <w:p>
            <w:pPr>
              <w:spacing w:line="500" w:lineRule="exact"/>
              <w:jc w:val="center"/>
              <w:rPr>
                <w:rFonts w:ascii="宋体" w:hAnsi="宋体" w:cs="宋体"/>
                <w:szCs w:val="21"/>
              </w:rPr>
            </w:pPr>
            <w:r>
              <w:rPr>
                <w:rFonts w:hint="eastAsia" w:ascii="宋体" w:hAnsi="宋体" w:cs="宋体"/>
                <w:szCs w:val="21"/>
              </w:rPr>
              <w:t>联系人</w:t>
            </w:r>
          </w:p>
        </w:tc>
        <w:tc>
          <w:tcPr>
            <w:tcW w:w="1516" w:type="dxa"/>
            <w:tcBorders>
              <w:tl2br w:val="nil"/>
              <w:tr2bl w:val="nil"/>
            </w:tcBorders>
            <w:vAlign w:val="center"/>
          </w:tcPr>
          <w:p>
            <w:pPr>
              <w:spacing w:line="500" w:lineRule="exact"/>
              <w:jc w:val="center"/>
              <w:rPr>
                <w:rFonts w:ascii="宋体" w:hAnsi="宋体" w:cs="宋体"/>
                <w:szCs w:val="21"/>
              </w:rPr>
            </w:pPr>
            <w:r>
              <w:rPr>
                <w:rFonts w:hint="eastAsia" w:ascii="宋体" w:hAnsi="宋体" w:cs="宋体"/>
                <w:szCs w:val="21"/>
              </w:rPr>
              <w:t>联系电话</w:t>
            </w:r>
          </w:p>
        </w:tc>
        <w:tc>
          <w:tcPr>
            <w:tcW w:w="2548" w:type="dxa"/>
            <w:tcBorders>
              <w:tl2br w:val="nil"/>
              <w:tr2bl w:val="nil"/>
            </w:tcBorders>
            <w:vAlign w:val="center"/>
          </w:tcPr>
          <w:p>
            <w:pPr>
              <w:spacing w:line="500" w:lineRule="exact"/>
              <w:jc w:val="center"/>
              <w:rPr>
                <w:rFonts w:ascii="宋体" w:hAnsi="宋体" w:cs="宋体"/>
                <w:szCs w:val="21"/>
              </w:rPr>
            </w:pPr>
            <w:r>
              <w:rPr>
                <w:rFonts w:hint="eastAsia" w:ascii="宋体" w:hAnsi="宋体" w:cs="宋体"/>
                <w:szCs w:val="21"/>
              </w:rPr>
              <w:t>地址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2434" w:type="dxa"/>
            <w:tcBorders>
              <w:tl2br w:val="nil"/>
              <w:tr2bl w:val="nil"/>
            </w:tcBorders>
            <w:vAlign w:val="center"/>
          </w:tcPr>
          <w:p>
            <w:pPr>
              <w:spacing w:line="500" w:lineRule="exact"/>
              <w:jc w:val="center"/>
              <w:rPr>
                <w:rFonts w:ascii="宋体" w:hAnsi="宋体" w:cs="宋体"/>
                <w:szCs w:val="21"/>
              </w:rPr>
            </w:pPr>
          </w:p>
        </w:tc>
        <w:tc>
          <w:tcPr>
            <w:tcW w:w="1080" w:type="dxa"/>
            <w:tcBorders>
              <w:tl2br w:val="nil"/>
              <w:tr2bl w:val="nil"/>
            </w:tcBorders>
            <w:vAlign w:val="center"/>
          </w:tcPr>
          <w:p>
            <w:pPr>
              <w:spacing w:line="500" w:lineRule="exact"/>
              <w:jc w:val="center"/>
              <w:rPr>
                <w:rFonts w:ascii="宋体" w:hAnsi="宋体" w:cs="宋体"/>
                <w:szCs w:val="21"/>
              </w:rPr>
            </w:pPr>
          </w:p>
        </w:tc>
        <w:tc>
          <w:tcPr>
            <w:tcW w:w="1260" w:type="dxa"/>
            <w:tcBorders>
              <w:tl2br w:val="nil"/>
              <w:tr2bl w:val="nil"/>
            </w:tcBorders>
            <w:vAlign w:val="center"/>
          </w:tcPr>
          <w:p>
            <w:pPr>
              <w:spacing w:line="500" w:lineRule="exact"/>
              <w:jc w:val="center"/>
              <w:rPr>
                <w:rFonts w:ascii="宋体" w:hAnsi="宋体" w:cs="宋体"/>
                <w:szCs w:val="21"/>
              </w:rPr>
            </w:pPr>
          </w:p>
        </w:tc>
        <w:tc>
          <w:tcPr>
            <w:tcW w:w="1516" w:type="dxa"/>
            <w:tcBorders>
              <w:tl2br w:val="nil"/>
              <w:tr2bl w:val="nil"/>
            </w:tcBorders>
            <w:vAlign w:val="center"/>
          </w:tcPr>
          <w:p>
            <w:pPr>
              <w:spacing w:line="500" w:lineRule="exact"/>
              <w:jc w:val="center"/>
              <w:rPr>
                <w:rFonts w:ascii="宋体" w:hAnsi="宋体" w:cs="宋体"/>
                <w:szCs w:val="21"/>
              </w:rPr>
            </w:pPr>
          </w:p>
        </w:tc>
        <w:tc>
          <w:tcPr>
            <w:tcW w:w="2548" w:type="dxa"/>
            <w:tcBorders>
              <w:tl2br w:val="nil"/>
              <w:tr2bl w:val="nil"/>
            </w:tcBorders>
            <w:vAlign w:val="center"/>
          </w:tcPr>
          <w:p>
            <w:pPr>
              <w:spacing w:line="500" w:lineRule="exact"/>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2434" w:type="dxa"/>
            <w:tcBorders>
              <w:tl2br w:val="nil"/>
              <w:tr2bl w:val="nil"/>
            </w:tcBorders>
            <w:vAlign w:val="center"/>
          </w:tcPr>
          <w:p>
            <w:pPr>
              <w:spacing w:line="500" w:lineRule="exact"/>
              <w:jc w:val="center"/>
              <w:rPr>
                <w:rFonts w:ascii="宋体" w:hAnsi="宋体" w:cs="宋体"/>
                <w:szCs w:val="21"/>
              </w:rPr>
            </w:pPr>
          </w:p>
        </w:tc>
        <w:tc>
          <w:tcPr>
            <w:tcW w:w="1080" w:type="dxa"/>
            <w:tcBorders>
              <w:tl2br w:val="nil"/>
              <w:tr2bl w:val="nil"/>
            </w:tcBorders>
            <w:vAlign w:val="center"/>
          </w:tcPr>
          <w:p>
            <w:pPr>
              <w:spacing w:line="500" w:lineRule="exact"/>
              <w:jc w:val="center"/>
              <w:rPr>
                <w:rFonts w:ascii="宋体" w:hAnsi="宋体" w:cs="宋体"/>
                <w:szCs w:val="21"/>
              </w:rPr>
            </w:pPr>
          </w:p>
        </w:tc>
        <w:tc>
          <w:tcPr>
            <w:tcW w:w="1260" w:type="dxa"/>
            <w:tcBorders>
              <w:tl2br w:val="nil"/>
              <w:tr2bl w:val="nil"/>
            </w:tcBorders>
            <w:vAlign w:val="center"/>
          </w:tcPr>
          <w:p>
            <w:pPr>
              <w:spacing w:line="500" w:lineRule="exact"/>
              <w:jc w:val="center"/>
              <w:rPr>
                <w:rFonts w:ascii="宋体" w:hAnsi="宋体" w:cs="宋体"/>
                <w:szCs w:val="21"/>
              </w:rPr>
            </w:pPr>
          </w:p>
        </w:tc>
        <w:tc>
          <w:tcPr>
            <w:tcW w:w="1516" w:type="dxa"/>
            <w:tcBorders>
              <w:tl2br w:val="nil"/>
              <w:tr2bl w:val="nil"/>
            </w:tcBorders>
            <w:vAlign w:val="center"/>
          </w:tcPr>
          <w:p>
            <w:pPr>
              <w:spacing w:line="500" w:lineRule="exact"/>
              <w:jc w:val="center"/>
              <w:rPr>
                <w:rFonts w:ascii="宋体" w:hAnsi="宋体" w:cs="宋体"/>
                <w:szCs w:val="21"/>
              </w:rPr>
            </w:pPr>
          </w:p>
        </w:tc>
        <w:tc>
          <w:tcPr>
            <w:tcW w:w="2548" w:type="dxa"/>
            <w:tcBorders>
              <w:tl2br w:val="nil"/>
              <w:tr2bl w:val="nil"/>
            </w:tcBorders>
            <w:vAlign w:val="center"/>
          </w:tcPr>
          <w:p>
            <w:pPr>
              <w:spacing w:line="500" w:lineRule="exact"/>
              <w:jc w:val="center"/>
              <w:rPr>
                <w:rFonts w:ascii="宋体" w:hAnsi="宋体" w:cs="宋体"/>
                <w:szCs w:val="21"/>
              </w:rPr>
            </w:pPr>
          </w:p>
        </w:tc>
      </w:tr>
    </w:tbl>
    <w:p>
      <w:pPr>
        <w:spacing w:line="500" w:lineRule="exact"/>
        <w:ind w:firstLine="409" w:firstLineChars="195"/>
        <w:rPr>
          <w:rFonts w:ascii="宋体" w:hAnsi="宋体" w:cs="宋体"/>
          <w:b/>
          <w:szCs w:val="21"/>
        </w:rPr>
      </w:pPr>
      <w:r>
        <w:rPr>
          <w:rFonts w:hint="eastAsia" w:ascii="宋体" w:hAnsi="宋体" w:cs="宋体"/>
          <w:bCs/>
          <w:iCs/>
          <w:szCs w:val="21"/>
        </w:rPr>
        <w:t>采购人将核实中标人承诺的售后服务机构，如果不属实，则从扣除合同总额的2%作为违约处罚。</w:t>
      </w:r>
    </w:p>
    <w:p>
      <w:pPr>
        <w:pStyle w:val="11"/>
        <w:spacing w:line="500" w:lineRule="exact"/>
        <w:rPr>
          <w:rFonts w:ascii="宋体" w:hAnsi="宋体" w:cs="宋体"/>
          <w:b/>
          <w:szCs w:val="21"/>
        </w:rPr>
      </w:pPr>
      <w:r>
        <w:rPr>
          <w:rFonts w:hint="eastAsia" w:ascii="宋体" w:hAnsi="宋体" w:cs="宋体"/>
          <w:b/>
          <w:szCs w:val="21"/>
        </w:rPr>
        <w:t>6、培训方案（依据产品特性和需求，按招标文件要求自拟）。</w:t>
      </w:r>
    </w:p>
    <w:p>
      <w:pPr>
        <w:pStyle w:val="11"/>
        <w:spacing w:line="500" w:lineRule="exact"/>
        <w:rPr>
          <w:rFonts w:ascii="宋体" w:hAnsi="宋体" w:cs="宋体"/>
          <w:b/>
          <w:szCs w:val="21"/>
        </w:rPr>
      </w:pPr>
      <w:r>
        <w:rPr>
          <w:rFonts w:hint="eastAsia" w:ascii="宋体" w:hAnsi="宋体" w:cs="宋体"/>
          <w:b/>
          <w:szCs w:val="21"/>
        </w:rPr>
        <w:t>7、交货期；启运和交货地点及运输方式。</w:t>
      </w:r>
    </w:p>
    <w:p>
      <w:pPr>
        <w:pStyle w:val="11"/>
        <w:spacing w:line="500" w:lineRule="exact"/>
        <w:rPr>
          <w:rFonts w:ascii="宋体" w:hAnsi="宋体" w:cs="宋体"/>
          <w:b/>
          <w:szCs w:val="21"/>
        </w:rPr>
      </w:pPr>
      <w:r>
        <w:rPr>
          <w:rFonts w:hint="eastAsia" w:ascii="宋体" w:hAnsi="宋体" w:cs="宋体"/>
          <w:b/>
          <w:szCs w:val="21"/>
        </w:rPr>
        <w:t>8、付款条件和付款方式。</w:t>
      </w:r>
    </w:p>
    <w:p>
      <w:pPr>
        <w:pStyle w:val="11"/>
        <w:spacing w:line="500" w:lineRule="exact"/>
        <w:rPr>
          <w:rFonts w:ascii="宋体" w:hAnsi="宋体" w:cs="宋体"/>
          <w:b/>
          <w:szCs w:val="21"/>
        </w:rPr>
      </w:pPr>
      <w:r>
        <w:rPr>
          <w:rFonts w:hint="eastAsia" w:ascii="宋体" w:hAnsi="宋体" w:cs="宋体"/>
          <w:b/>
          <w:szCs w:val="21"/>
        </w:rPr>
        <w:t>9、验收标准或者验收程序。</w:t>
      </w:r>
    </w:p>
    <w:p>
      <w:pPr>
        <w:pStyle w:val="11"/>
        <w:spacing w:line="500" w:lineRule="exact"/>
        <w:rPr>
          <w:rFonts w:ascii="宋体" w:hAnsi="宋体" w:cs="宋体"/>
          <w:b/>
          <w:szCs w:val="21"/>
        </w:rPr>
      </w:pPr>
      <w:r>
        <w:rPr>
          <w:rFonts w:hint="eastAsia" w:ascii="宋体" w:hAnsi="宋体" w:cs="宋体"/>
          <w:b/>
          <w:szCs w:val="21"/>
        </w:rPr>
        <w:t>10、其他。</w:t>
      </w:r>
    </w:p>
    <w:p>
      <w:pPr>
        <w:pStyle w:val="11"/>
        <w:spacing w:line="500" w:lineRule="exact"/>
        <w:ind w:firstLine="573"/>
        <w:rPr>
          <w:rFonts w:ascii="宋体" w:hAnsi="宋体" w:cs="宋体"/>
          <w:szCs w:val="21"/>
        </w:rPr>
      </w:pPr>
    </w:p>
    <w:p>
      <w:pPr>
        <w:pStyle w:val="11"/>
        <w:spacing w:line="500" w:lineRule="exact"/>
        <w:ind w:firstLine="573"/>
        <w:rPr>
          <w:rFonts w:ascii="宋体" w:hAnsi="宋体" w:cs="宋体"/>
          <w:szCs w:val="21"/>
        </w:rPr>
      </w:pPr>
    </w:p>
    <w:p>
      <w:pPr>
        <w:pStyle w:val="11"/>
        <w:spacing w:line="500" w:lineRule="exact"/>
        <w:ind w:firstLine="573"/>
        <w:rPr>
          <w:rFonts w:ascii="宋体" w:hAnsi="宋体" w:cs="宋体"/>
          <w:szCs w:val="21"/>
        </w:rPr>
      </w:pPr>
    </w:p>
    <w:p>
      <w:pPr>
        <w:rPr>
          <w:rFonts w:ascii="宋体" w:hAnsi="宋体" w:cs="宋体"/>
          <w:sz w:val="30"/>
          <w:szCs w:val="30"/>
        </w:rPr>
      </w:pPr>
    </w:p>
    <w:p>
      <w:pPr>
        <w:rPr>
          <w:rFonts w:ascii="宋体" w:hAnsi="宋体" w:cs="宋体"/>
          <w:sz w:val="30"/>
          <w:szCs w:val="30"/>
        </w:rPr>
      </w:pPr>
    </w:p>
    <w:p>
      <w:pPr>
        <w:rPr>
          <w:rFonts w:ascii="宋体" w:hAnsi="宋体" w:cs="宋体"/>
          <w:sz w:val="30"/>
          <w:szCs w:val="30"/>
        </w:rPr>
      </w:pPr>
    </w:p>
    <w:p>
      <w:pPr>
        <w:rPr>
          <w:rFonts w:ascii="宋体" w:hAnsi="宋体" w:cs="宋体"/>
          <w:sz w:val="30"/>
          <w:szCs w:val="30"/>
        </w:rPr>
      </w:pPr>
    </w:p>
    <w:p>
      <w:pPr>
        <w:rPr>
          <w:rFonts w:ascii="宋体" w:hAnsi="宋体" w:cs="宋体"/>
          <w:sz w:val="30"/>
          <w:szCs w:val="30"/>
        </w:rPr>
      </w:pPr>
    </w:p>
    <w:p>
      <w:pPr>
        <w:rPr>
          <w:rFonts w:ascii="宋体" w:hAnsi="宋体" w:cs="宋体"/>
          <w:sz w:val="30"/>
          <w:szCs w:val="30"/>
        </w:rPr>
      </w:pPr>
    </w:p>
    <w:p>
      <w:pPr>
        <w:rPr>
          <w:rFonts w:ascii="宋体" w:hAnsi="宋体" w:cs="宋体"/>
          <w:sz w:val="30"/>
          <w:szCs w:val="30"/>
        </w:rPr>
      </w:pPr>
    </w:p>
    <w:p>
      <w:pPr>
        <w:rPr>
          <w:rFonts w:ascii="宋体" w:hAnsi="宋体" w:cs="宋体"/>
          <w:sz w:val="30"/>
          <w:szCs w:val="30"/>
        </w:rPr>
      </w:pPr>
    </w:p>
    <w:p>
      <w:pPr>
        <w:rPr>
          <w:rFonts w:ascii="宋体" w:hAnsi="宋体" w:cs="宋体"/>
          <w:sz w:val="30"/>
          <w:szCs w:val="30"/>
        </w:rPr>
      </w:pPr>
    </w:p>
    <w:p>
      <w:pPr>
        <w:rPr>
          <w:rFonts w:ascii="宋体" w:hAnsi="宋体" w:cs="宋体"/>
          <w:sz w:val="30"/>
          <w:szCs w:val="30"/>
        </w:rPr>
      </w:pPr>
    </w:p>
    <w:p>
      <w:pPr>
        <w:rPr>
          <w:rFonts w:ascii="宋体" w:hAnsi="宋体" w:cs="宋体"/>
          <w:sz w:val="30"/>
          <w:szCs w:val="30"/>
        </w:rPr>
      </w:pPr>
    </w:p>
    <w:p>
      <w:pPr>
        <w:rPr>
          <w:rFonts w:ascii="宋体" w:hAnsi="宋体" w:cs="宋体"/>
          <w:sz w:val="30"/>
          <w:szCs w:val="30"/>
        </w:rPr>
      </w:pPr>
    </w:p>
    <w:p>
      <w:pPr>
        <w:rPr>
          <w:rFonts w:ascii="宋体" w:hAnsi="宋体" w:cs="宋体"/>
          <w:sz w:val="30"/>
          <w:szCs w:val="30"/>
        </w:rPr>
      </w:pPr>
    </w:p>
    <w:p>
      <w:pPr>
        <w:rPr>
          <w:rFonts w:ascii="宋体" w:hAnsi="宋体" w:cs="宋体"/>
          <w:sz w:val="30"/>
          <w:szCs w:val="30"/>
        </w:rPr>
      </w:pPr>
    </w:p>
    <w:p>
      <w:pPr>
        <w:rPr>
          <w:rFonts w:ascii="宋体" w:hAnsi="宋体" w:cs="宋体"/>
          <w:sz w:val="30"/>
          <w:szCs w:val="30"/>
        </w:rPr>
      </w:pPr>
    </w:p>
    <w:p>
      <w:pPr>
        <w:rPr>
          <w:rFonts w:ascii="宋体" w:hAnsi="宋体" w:cs="宋体"/>
          <w:sz w:val="30"/>
          <w:szCs w:val="30"/>
        </w:rPr>
      </w:pPr>
    </w:p>
    <w:p>
      <w:pPr>
        <w:rPr>
          <w:rFonts w:ascii="宋体" w:hAnsi="宋体" w:cs="宋体"/>
          <w:sz w:val="30"/>
          <w:szCs w:val="30"/>
        </w:rPr>
      </w:pPr>
    </w:p>
    <w:p>
      <w:pPr>
        <w:rPr>
          <w:rFonts w:ascii="宋体" w:hAnsi="宋体" w:cs="宋体"/>
          <w:sz w:val="30"/>
          <w:szCs w:val="30"/>
        </w:rPr>
      </w:pPr>
    </w:p>
    <w:p>
      <w:pPr>
        <w:rPr>
          <w:rFonts w:ascii="宋体" w:hAnsi="宋体" w:cs="宋体"/>
          <w:sz w:val="30"/>
          <w:szCs w:val="30"/>
        </w:rPr>
      </w:pPr>
    </w:p>
    <w:p>
      <w:pPr>
        <w:rPr>
          <w:rFonts w:ascii="宋体" w:hAnsi="宋体" w:cs="宋体"/>
          <w:sz w:val="30"/>
          <w:szCs w:val="30"/>
        </w:rPr>
      </w:pPr>
    </w:p>
    <w:p>
      <w:pPr>
        <w:rPr>
          <w:rFonts w:ascii="宋体" w:hAnsi="宋体" w:cs="宋体"/>
        </w:rPr>
      </w:pPr>
    </w:p>
    <w:p>
      <w:pPr>
        <w:spacing w:line="440" w:lineRule="exact"/>
        <w:rPr>
          <w:rFonts w:ascii="宋体" w:hAnsi="宋体" w:cs="宋体"/>
          <w:b/>
          <w:bCs/>
          <w:szCs w:val="21"/>
        </w:rPr>
      </w:pPr>
    </w:p>
    <w:p>
      <w:pPr>
        <w:spacing w:line="440" w:lineRule="exact"/>
        <w:rPr>
          <w:rFonts w:ascii="宋体" w:hAnsi="宋体" w:cs="宋体"/>
          <w:b/>
          <w:bCs/>
          <w:szCs w:val="21"/>
        </w:rPr>
      </w:pPr>
    </w:p>
    <w:p>
      <w:pPr>
        <w:spacing w:line="440" w:lineRule="exact"/>
        <w:rPr>
          <w:rFonts w:ascii="宋体" w:hAnsi="宋体" w:cs="宋体"/>
          <w:b/>
          <w:bCs/>
          <w:szCs w:val="21"/>
        </w:rPr>
      </w:pPr>
    </w:p>
    <w:p>
      <w:pPr>
        <w:spacing w:line="440" w:lineRule="exact"/>
        <w:rPr>
          <w:rFonts w:ascii="宋体" w:hAnsi="宋体" w:cs="宋体"/>
          <w:b/>
          <w:bCs/>
          <w:szCs w:val="21"/>
        </w:rPr>
      </w:pPr>
    </w:p>
    <w:p>
      <w:pPr>
        <w:spacing w:line="440" w:lineRule="exact"/>
        <w:rPr>
          <w:rFonts w:ascii="宋体" w:hAnsi="宋体" w:cs="宋体"/>
          <w:b/>
          <w:bCs/>
          <w:szCs w:val="21"/>
        </w:rPr>
      </w:pPr>
    </w:p>
    <w:p>
      <w:pPr>
        <w:spacing w:line="440" w:lineRule="exact"/>
        <w:rPr>
          <w:rFonts w:ascii="宋体" w:hAnsi="宋体" w:cs="宋体"/>
          <w:b/>
          <w:bCs/>
          <w:szCs w:val="21"/>
        </w:rPr>
      </w:pPr>
      <w:r>
        <w:rPr>
          <w:rFonts w:hint="eastAsia" w:ascii="宋体" w:hAnsi="宋体" w:cs="宋体"/>
          <w:b/>
          <w:bCs/>
          <w:szCs w:val="21"/>
        </w:rPr>
        <w:t>附表1：</w:t>
      </w:r>
    </w:p>
    <w:p>
      <w:pPr>
        <w:spacing w:line="440" w:lineRule="exact"/>
        <w:rPr>
          <w:rFonts w:ascii="宋体" w:hAnsi="宋体" w:cs="宋体"/>
          <w:szCs w:val="21"/>
        </w:rPr>
      </w:pPr>
    </w:p>
    <w:p>
      <w:pPr>
        <w:spacing w:after="120" w:afterLines="50" w:line="560" w:lineRule="exact"/>
        <w:jc w:val="center"/>
        <w:rPr>
          <w:rFonts w:ascii="宋体" w:hAnsi="宋体" w:cs="宋体"/>
          <w:b/>
          <w:bCs/>
          <w:color w:val="000000"/>
          <w:sz w:val="36"/>
          <w:szCs w:val="36"/>
        </w:rPr>
      </w:pPr>
      <w:r>
        <w:rPr>
          <w:rFonts w:hint="eastAsia" w:ascii="宋体" w:hAnsi="宋体" w:cs="宋体"/>
          <w:b/>
          <w:bCs/>
          <w:color w:val="000000"/>
          <w:sz w:val="36"/>
          <w:szCs w:val="36"/>
        </w:rPr>
        <w:t>技术规格偏离表</w:t>
      </w:r>
    </w:p>
    <w:p>
      <w:pPr>
        <w:spacing w:line="560" w:lineRule="exact"/>
        <w:rPr>
          <w:rFonts w:ascii="宋体" w:hAnsi="宋体" w:cs="宋体"/>
          <w:b/>
          <w:bCs/>
          <w:color w:val="000000"/>
          <w:sz w:val="36"/>
          <w:szCs w:val="36"/>
        </w:rPr>
      </w:pPr>
      <w:r>
        <w:rPr>
          <w:rFonts w:hint="eastAsia" w:ascii="宋体" w:hAnsi="宋体" w:cs="宋体"/>
          <w:szCs w:val="21"/>
        </w:rPr>
        <w:t>投标人名称：</w:t>
      </w:r>
      <w:r>
        <w:rPr>
          <w:rFonts w:hint="eastAsia" w:ascii="宋体" w:hAnsi="宋体" w:cs="宋体"/>
          <w:szCs w:val="21"/>
          <w:u w:val="single"/>
        </w:rPr>
        <w:t xml:space="preserve">                          </w:t>
      </w:r>
      <w:r>
        <w:rPr>
          <w:rFonts w:hint="eastAsia" w:ascii="宋体" w:hAnsi="宋体" w:cs="宋体"/>
          <w:szCs w:val="21"/>
        </w:rPr>
        <w:t xml:space="preserve">                         项目编号：</w:t>
      </w:r>
      <w:r>
        <w:rPr>
          <w:rFonts w:hint="eastAsia" w:ascii="宋体" w:hAnsi="宋体" w:cs="宋体"/>
          <w:szCs w:val="21"/>
          <w:u w:val="single"/>
        </w:rPr>
        <w:t xml:space="preserve">              </w:t>
      </w:r>
    </w:p>
    <w:tbl>
      <w:tblPr>
        <w:tblStyle w:val="37"/>
        <w:tblW w:w="10155" w:type="dxa"/>
        <w:tblInd w:w="-404"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095"/>
        <w:gridCol w:w="2520"/>
        <w:gridCol w:w="3510"/>
        <w:gridCol w:w="1065"/>
        <w:gridCol w:w="127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690" w:type="dxa"/>
            <w:tcBorders>
              <w:tl2br w:val="nil"/>
              <w:tr2bl w:val="nil"/>
            </w:tcBorders>
            <w:vAlign w:val="center"/>
          </w:tcPr>
          <w:p>
            <w:pPr>
              <w:spacing w:line="280" w:lineRule="exact"/>
              <w:jc w:val="center"/>
              <w:rPr>
                <w:rFonts w:ascii="宋体" w:hAnsi="宋体" w:cs="宋体"/>
                <w:b/>
                <w:bCs/>
                <w:position w:val="4"/>
                <w:szCs w:val="21"/>
              </w:rPr>
            </w:pPr>
            <w:r>
              <w:rPr>
                <w:rFonts w:hint="eastAsia" w:ascii="宋体" w:hAnsi="宋体" w:cs="宋体"/>
                <w:b/>
                <w:szCs w:val="21"/>
              </w:rPr>
              <w:t>序号</w:t>
            </w:r>
          </w:p>
        </w:tc>
        <w:tc>
          <w:tcPr>
            <w:tcW w:w="1095" w:type="dxa"/>
            <w:tcBorders>
              <w:tl2br w:val="nil"/>
              <w:tr2bl w:val="nil"/>
            </w:tcBorders>
            <w:vAlign w:val="center"/>
          </w:tcPr>
          <w:p>
            <w:pPr>
              <w:spacing w:line="280" w:lineRule="exact"/>
              <w:jc w:val="center"/>
              <w:rPr>
                <w:rFonts w:ascii="宋体" w:hAnsi="宋体" w:cs="宋体"/>
                <w:b/>
                <w:bCs/>
                <w:position w:val="4"/>
                <w:szCs w:val="21"/>
              </w:rPr>
            </w:pPr>
            <w:r>
              <w:rPr>
                <w:rFonts w:hint="eastAsia" w:ascii="宋体" w:hAnsi="宋体" w:cs="宋体"/>
                <w:b/>
                <w:szCs w:val="21"/>
              </w:rPr>
              <w:t>产品名称</w:t>
            </w:r>
          </w:p>
        </w:tc>
        <w:tc>
          <w:tcPr>
            <w:tcW w:w="2520" w:type="dxa"/>
            <w:tcBorders>
              <w:tl2br w:val="nil"/>
              <w:tr2bl w:val="nil"/>
            </w:tcBorders>
            <w:vAlign w:val="center"/>
          </w:tcPr>
          <w:p>
            <w:pPr>
              <w:spacing w:line="280" w:lineRule="exact"/>
              <w:jc w:val="center"/>
              <w:rPr>
                <w:rFonts w:ascii="宋体" w:hAnsi="宋体" w:cs="宋体"/>
                <w:b/>
                <w:bCs/>
                <w:position w:val="4"/>
                <w:szCs w:val="21"/>
              </w:rPr>
            </w:pPr>
            <w:r>
              <w:rPr>
                <w:rFonts w:hint="eastAsia" w:ascii="宋体" w:hAnsi="宋体" w:cs="宋体"/>
                <w:b/>
                <w:szCs w:val="21"/>
              </w:rPr>
              <w:t>招标文件要求</w:t>
            </w:r>
          </w:p>
        </w:tc>
        <w:tc>
          <w:tcPr>
            <w:tcW w:w="3510" w:type="dxa"/>
            <w:tcBorders>
              <w:tl2br w:val="nil"/>
              <w:tr2bl w:val="nil"/>
            </w:tcBorders>
            <w:vAlign w:val="center"/>
          </w:tcPr>
          <w:p>
            <w:pPr>
              <w:spacing w:line="280" w:lineRule="exact"/>
              <w:jc w:val="center"/>
              <w:rPr>
                <w:rFonts w:ascii="宋体" w:hAnsi="宋体" w:cs="宋体"/>
                <w:b/>
                <w:bCs/>
                <w:position w:val="4"/>
                <w:szCs w:val="21"/>
              </w:rPr>
            </w:pPr>
            <w:r>
              <w:rPr>
                <w:rFonts w:hint="eastAsia" w:ascii="宋体" w:hAnsi="宋体" w:cs="宋体"/>
                <w:b/>
                <w:szCs w:val="21"/>
              </w:rPr>
              <w:t>投标文件配置、规格及主要技术参数</w:t>
            </w:r>
          </w:p>
        </w:tc>
        <w:tc>
          <w:tcPr>
            <w:tcW w:w="1065" w:type="dxa"/>
            <w:tcBorders>
              <w:tl2br w:val="nil"/>
              <w:tr2bl w:val="nil"/>
            </w:tcBorders>
            <w:vAlign w:val="center"/>
          </w:tcPr>
          <w:p>
            <w:pPr>
              <w:spacing w:line="280" w:lineRule="exact"/>
              <w:jc w:val="center"/>
              <w:rPr>
                <w:rFonts w:ascii="宋体" w:hAnsi="宋体" w:cs="宋体"/>
                <w:b/>
                <w:bCs/>
                <w:position w:val="4"/>
                <w:szCs w:val="21"/>
              </w:rPr>
            </w:pPr>
            <w:r>
              <w:rPr>
                <w:rFonts w:hint="eastAsia" w:ascii="宋体" w:hAnsi="宋体" w:cs="宋体"/>
                <w:b/>
                <w:szCs w:val="21"/>
              </w:rPr>
              <w:t>偏离情况</w:t>
            </w:r>
          </w:p>
        </w:tc>
        <w:tc>
          <w:tcPr>
            <w:tcW w:w="1275" w:type="dxa"/>
            <w:tcBorders>
              <w:tl2br w:val="nil"/>
              <w:tr2bl w:val="nil"/>
            </w:tcBorders>
            <w:vAlign w:val="center"/>
          </w:tcPr>
          <w:p>
            <w:pPr>
              <w:spacing w:line="280" w:lineRule="exact"/>
              <w:jc w:val="center"/>
              <w:rPr>
                <w:rFonts w:ascii="宋体" w:hAnsi="宋体" w:cs="宋体"/>
                <w:b/>
                <w:bCs/>
                <w:position w:val="4"/>
                <w:szCs w:val="21"/>
              </w:rPr>
            </w:pPr>
            <w:r>
              <w:rPr>
                <w:rFonts w:hint="eastAsia" w:ascii="宋体" w:hAnsi="宋体" w:cs="宋体"/>
                <w:b/>
                <w:szCs w:val="21"/>
              </w:rPr>
              <w:t>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90" w:type="dxa"/>
            <w:tcBorders>
              <w:tl2br w:val="nil"/>
              <w:tr2bl w:val="nil"/>
            </w:tcBorders>
          </w:tcPr>
          <w:p>
            <w:pPr>
              <w:spacing w:line="560" w:lineRule="exact"/>
              <w:rPr>
                <w:rFonts w:ascii="宋体" w:hAnsi="宋体" w:cs="宋体"/>
                <w:b/>
                <w:bCs/>
                <w:position w:val="4"/>
                <w:sz w:val="32"/>
                <w:szCs w:val="32"/>
              </w:rPr>
            </w:pPr>
          </w:p>
        </w:tc>
        <w:tc>
          <w:tcPr>
            <w:tcW w:w="1095" w:type="dxa"/>
            <w:tcBorders>
              <w:tl2br w:val="nil"/>
              <w:tr2bl w:val="nil"/>
            </w:tcBorders>
          </w:tcPr>
          <w:p>
            <w:pPr>
              <w:spacing w:line="560" w:lineRule="exact"/>
              <w:rPr>
                <w:rFonts w:ascii="宋体" w:hAnsi="宋体" w:cs="宋体"/>
                <w:b/>
                <w:bCs/>
                <w:position w:val="4"/>
                <w:sz w:val="32"/>
                <w:szCs w:val="32"/>
              </w:rPr>
            </w:pPr>
          </w:p>
        </w:tc>
        <w:tc>
          <w:tcPr>
            <w:tcW w:w="2520" w:type="dxa"/>
            <w:tcBorders>
              <w:tl2br w:val="nil"/>
              <w:tr2bl w:val="nil"/>
            </w:tcBorders>
          </w:tcPr>
          <w:p>
            <w:pPr>
              <w:spacing w:line="560" w:lineRule="exact"/>
              <w:rPr>
                <w:rFonts w:ascii="宋体" w:hAnsi="宋体" w:cs="宋体"/>
                <w:b/>
                <w:bCs/>
                <w:position w:val="4"/>
                <w:sz w:val="32"/>
                <w:szCs w:val="32"/>
              </w:rPr>
            </w:pPr>
          </w:p>
        </w:tc>
        <w:tc>
          <w:tcPr>
            <w:tcW w:w="3510" w:type="dxa"/>
            <w:tcBorders>
              <w:tl2br w:val="nil"/>
              <w:tr2bl w:val="nil"/>
            </w:tcBorders>
          </w:tcPr>
          <w:p>
            <w:pPr>
              <w:spacing w:line="560" w:lineRule="exact"/>
              <w:rPr>
                <w:rFonts w:ascii="宋体" w:hAnsi="宋体" w:cs="宋体"/>
                <w:b/>
                <w:bCs/>
                <w:position w:val="4"/>
                <w:sz w:val="32"/>
                <w:szCs w:val="32"/>
              </w:rPr>
            </w:pPr>
          </w:p>
        </w:tc>
        <w:tc>
          <w:tcPr>
            <w:tcW w:w="1065" w:type="dxa"/>
            <w:tcBorders>
              <w:tl2br w:val="nil"/>
              <w:tr2bl w:val="nil"/>
            </w:tcBorders>
          </w:tcPr>
          <w:p>
            <w:pPr>
              <w:spacing w:line="560" w:lineRule="exact"/>
              <w:rPr>
                <w:rFonts w:ascii="宋体" w:hAnsi="宋体" w:cs="宋体"/>
                <w:b/>
                <w:bCs/>
                <w:position w:val="4"/>
                <w:sz w:val="32"/>
                <w:szCs w:val="32"/>
              </w:rPr>
            </w:pPr>
          </w:p>
        </w:tc>
        <w:tc>
          <w:tcPr>
            <w:tcW w:w="1275" w:type="dxa"/>
            <w:tcBorders>
              <w:tl2br w:val="nil"/>
              <w:tr2bl w:val="nil"/>
            </w:tcBorders>
          </w:tcPr>
          <w:p>
            <w:pPr>
              <w:spacing w:line="560" w:lineRule="exact"/>
              <w:rPr>
                <w:rFonts w:ascii="宋体" w:hAnsi="宋体" w:cs="宋体"/>
                <w:b/>
                <w:bCs/>
                <w:position w:val="4"/>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90" w:type="dxa"/>
            <w:tcBorders>
              <w:tl2br w:val="nil"/>
              <w:tr2bl w:val="nil"/>
            </w:tcBorders>
          </w:tcPr>
          <w:p>
            <w:pPr>
              <w:spacing w:line="560" w:lineRule="exact"/>
              <w:rPr>
                <w:rFonts w:ascii="宋体" w:hAnsi="宋体" w:cs="宋体"/>
                <w:b/>
                <w:bCs/>
                <w:position w:val="4"/>
                <w:sz w:val="32"/>
                <w:szCs w:val="32"/>
              </w:rPr>
            </w:pPr>
          </w:p>
        </w:tc>
        <w:tc>
          <w:tcPr>
            <w:tcW w:w="1095" w:type="dxa"/>
            <w:tcBorders>
              <w:tl2br w:val="nil"/>
              <w:tr2bl w:val="nil"/>
            </w:tcBorders>
          </w:tcPr>
          <w:p>
            <w:pPr>
              <w:spacing w:line="560" w:lineRule="exact"/>
              <w:rPr>
                <w:rFonts w:ascii="宋体" w:hAnsi="宋体" w:cs="宋体"/>
                <w:b/>
                <w:bCs/>
                <w:position w:val="4"/>
                <w:sz w:val="32"/>
                <w:szCs w:val="32"/>
              </w:rPr>
            </w:pPr>
          </w:p>
        </w:tc>
        <w:tc>
          <w:tcPr>
            <w:tcW w:w="2520" w:type="dxa"/>
            <w:tcBorders>
              <w:tl2br w:val="nil"/>
              <w:tr2bl w:val="nil"/>
            </w:tcBorders>
          </w:tcPr>
          <w:p>
            <w:pPr>
              <w:spacing w:line="560" w:lineRule="exact"/>
              <w:rPr>
                <w:rFonts w:ascii="宋体" w:hAnsi="宋体" w:cs="宋体"/>
                <w:b/>
                <w:bCs/>
                <w:position w:val="4"/>
                <w:sz w:val="32"/>
                <w:szCs w:val="32"/>
              </w:rPr>
            </w:pPr>
          </w:p>
        </w:tc>
        <w:tc>
          <w:tcPr>
            <w:tcW w:w="3510" w:type="dxa"/>
            <w:tcBorders>
              <w:tl2br w:val="nil"/>
              <w:tr2bl w:val="nil"/>
            </w:tcBorders>
          </w:tcPr>
          <w:p>
            <w:pPr>
              <w:spacing w:line="560" w:lineRule="exact"/>
              <w:rPr>
                <w:rFonts w:ascii="宋体" w:hAnsi="宋体" w:cs="宋体"/>
                <w:b/>
                <w:bCs/>
                <w:position w:val="4"/>
                <w:sz w:val="32"/>
                <w:szCs w:val="32"/>
              </w:rPr>
            </w:pPr>
          </w:p>
        </w:tc>
        <w:tc>
          <w:tcPr>
            <w:tcW w:w="1065" w:type="dxa"/>
            <w:tcBorders>
              <w:tl2br w:val="nil"/>
              <w:tr2bl w:val="nil"/>
            </w:tcBorders>
          </w:tcPr>
          <w:p>
            <w:pPr>
              <w:spacing w:line="560" w:lineRule="exact"/>
              <w:rPr>
                <w:rFonts w:ascii="宋体" w:hAnsi="宋体" w:cs="宋体"/>
                <w:b/>
                <w:bCs/>
                <w:position w:val="4"/>
                <w:sz w:val="32"/>
                <w:szCs w:val="32"/>
              </w:rPr>
            </w:pPr>
          </w:p>
        </w:tc>
        <w:tc>
          <w:tcPr>
            <w:tcW w:w="1275" w:type="dxa"/>
            <w:tcBorders>
              <w:tl2br w:val="nil"/>
              <w:tr2bl w:val="nil"/>
            </w:tcBorders>
          </w:tcPr>
          <w:p>
            <w:pPr>
              <w:spacing w:line="560" w:lineRule="exact"/>
              <w:rPr>
                <w:rFonts w:ascii="宋体" w:hAnsi="宋体" w:cs="宋体"/>
                <w:b/>
                <w:bCs/>
                <w:position w:val="4"/>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90" w:type="dxa"/>
            <w:tcBorders>
              <w:tl2br w:val="nil"/>
              <w:tr2bl w:val="nil"/>
            </w:tcBorders>
          </w:tcPr>
          <w:p>
            <w:pPr>
              <w:spacing w:line="560" w:lineRule="exact"/>
              <w:rPr>
                <w:rFonts w:ascii="宋体" w:hAnsi="宋体" w:cs="宋体"/>
                <w:b/>
                <w:bCs/>
                <w:position w:val="4"/>
                <w:sz w:val="32"/>
                <w:szCs w:val="32"/>
              </w:rPr>
            </w:pPr>
          </w:p>
        </w:tc>
        <w:tc>
          <w:tcPr>
            <w:tcW w:w="1095" w:type="dxa"/>
            <w:tcBorders>
              <w:tl2br w:val="nil"/>
              <w:tr2bl w:val="nil"/>
            </w:tcBorders>
          </w:tcPr>
          <w:p>
            <w:pPr>
              <w:spacing w:line="560" w:lineRule="exact"/>
              <w:rPr>
                <w:rFonts w:ascii="宋体" w:hAnsi="宋体" w:cs="宋体"/>
                <w:b/>
                <w:bCs/>
                <w:position w:val="4"/>
                <w:sz w:val="32"/>
                <w:szCs w:val="32"/>
              </w:rPr>
            </w:pPr>
          </w:p>
        </w:tc>
        <w:tc>
          <w:tcPr>
            <w:tcW w:w="2520" w:type="dxa"/>
            <w:tcBorders>
              <w:tl2br w:val="nil"/>
              <w:tr2bl w:val="nil"/>
            </w:tcBorders>
          </w:tcPr>
          <w:p>
            <w:pPr>
              <w:spacing w:line="560" w:lineRule="exact"/>
              <w:rPr>
                <w:rFonts w:ascii="宋体" w:hAnsi="宋体" w:cs="宋体"/>
                <w:b/>
                <w:bCs/>
                <w:position w:val="4"/>
                <w:sz w:val="32"/>
                <w:szCs w:val="32"/>
              </w:rPr>
            </w:pPr>
          </w:p>
        </w:tc>
        <w:tc>
          <w:tcPr>
            <w:tcW w:w="3510" w:type="dxa"/>
            <w:tcBorders>
              <w:tl2br w:val="nil"/>
              <w:tr2bl w:val="nil"/>
            </w:tcBorders>
          </w:tcPr>
          <w:p>
            <w:pPr>
              <w:spacing w:line="560" w:lineRule="exact"/>
              <w:rPr>
                <w:rFonts w:ascii="宋体" w:hAnsi="宋体" w:cs="宋体"/>
                <w:b/>
                <w:bCs/>
                <w:position w:val="4"/>
                <w:sz w:val="32"/>
                <w:szCs w:val="32"/>
              </w:rPr>
            </w:pPr>
          </w:p>
        </w:tc>
        <w:tc>
          <w:tcPr>
            <w:tcW w:w="1065" w:type="dxa"/>
            <w:tcBorders>
              <w:tl2br w:val="nil"/>
              <w:tr2bl w:val="nil"/>
            </w:tcBorders>
          </w:tcPr>
          <w:p>
            <w:pPr>
              <w:spacing w:line="560" w:lineRule="exact"/>
              <w:rPr>
                <w:rFonts w:ascii="宋体" w:hAnsi="宋体" w:cs="宋体"/>
                <w:b/>
                <w:bCs/>
                <w:position w:val="4"/>
                <w:sz w:val="32"/>
                <w:szCs w:val="32"/>
              </w:rPr>
            </w:pPr>
          </w:p>
        </w:tc>
        <w:tc>
          <w:tcPr>
            <w:tcW w:w="1275" w:type="dxa"/>
            <w:tcBorders>
              <w:tl2br w:val="nil"/>
              <w:tr2bl w:val="nil"/>
            </w:tcBorders>
          </w:tcPr>
          <w:p>
            <w:pPr>
              <w:spacing w:line="560" w:lineRule="exact"/>
              <w:rPr>
                <w:rFonts w:ascii="宋体" w:hAnsi="宋体" w:cs="宋体"/>
                <w:b/>
                <w:bCs/>
                <w:position w:val="4"/>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90" w:type="dxa"/>
            <w:tcBorders>
              <w:tl2br w:val="nil"/>
              <w:tr2bl w:val="nil"/>
            </w:tcBorders>
          </w:tcPr>
          <w:p>
            <w:pPr>
              <w:spacing w:line="560" w:lineRule="exact"/>
              <w:rPr>
                <w:rFonts w:ascii="宋体" w:hAnsi="宋体" w:cs="宋体"/>
                <w:b/>
                <w:bCs/>
                <w:position w:val="4"/>
                <w:sz w:val="32"/>
                <w:szCs w:val="32"/>
              </w:rPr>
            </w:pPr>
          </w:p>
        </w:tc>
        <w:tc>
          <w:tcPr>
            <w:tcW w:w="1095" w:type="dxa"/>
            <w:tcBorders>
              <w:tl2br w:val="nil"/>
              <w:tr2bl w:val="nil"/>
            </w:tcBorders>
          </w:tcPr>
          <w:p>
            <w:pPr>
              <w:spacing w:line="560" w:lineRule="exact"/>
              <w:rPr>
                <w:rFonts w:ascii="宋体" w:hAnsi="宋体" w:cs="宋体"/>
                <w:b/>
                <w:bCs/>
                <w:position w:val="4"/>
                <w:sz w:val="32"/>
                <w:szCs w:val="32"/>
              </w:rPr>
            </w:pPr>
          </w:p>
        </w:tc>
        <w:tc>
          <w:tcPr>
            <w:tcW w:w="2520" w:type="dxa"/>
            <w:tcBorders>
              <w:tl2br w:val="nil"/>
              <w:tr2bl w:val="nil"/>
            </w:tcBorders>
          </w:tcPr>
          <w:p>
            <w:pPr>
              <w:spacing w:line="560" w:lineRule="exact"/>
              <w:rPr>
                <w:rFonts w:ascii="宋体" w:hAnsi="宋体" w:cs="宋体"/>
                <w:b/>
                <w:bCs/>
                <w:position w:val="4"/>
                <w:sz w:val="32"/>
                <w:szCs w:val="32"/>
              </w:rPr>
            </w:pPr>
          </w:p>
        </w:tc>
        <w:tc>
          <w:tcPr>
            <w:tcW w:w="3510" w:type="dxa"/>
            <w:tcBorders>
              <w:tl2br w:val="nil"/>
              <w:tr2bl w:val="nil"/>
            </w:tcBorders>
          </w:tcPr>
          <w:p>
            <w:pPr>
              <w:spacing w:line="560" w:lineRule="exact"/>
              <w:rPr>
                <w:rFonts w:ascii="宋体" w:hAnsi="宋体" w:cs="宋体"/>
                <w:b/>
                <w:bCs/>
                <w:position w:val="4"/>
                <w:sz w:val="32"/>
                <w:szCs w:val="32"/>
              </w:rPr>
            </w:pPr>
          </w:p>
        </w:tc>
        <w:tc>
          <w:tcPr>
            <w:tcW w:w="1065" w:type="dxa"/>
            <w:tcBorders>
              <w:tl2br w:val="nil"/>
              <w:tr2bl w:val="nil"/>
            </w:tcBorders>
          </w:tcPr>
          <w:p>
            <w:pPr>
              <w:spacing w:line="560" w:lineRule="exact"/>
              <w:rPr>
                <w:rFonts w:ascii="宋体" w:hAnsi="宋体" w:cs="宋体"/>
                <w:b/>
                <w:bCs/>
                <w:position w:val="4"/>
                <w:sz w:val="32"/>
                <w:szCs w:val="32"/>
              </w:rPr>
            </w:pPr>
          </w:p>
        </w:tc>
        <w:tc>
          <w:tcPr>
            <w:tcW w:w="1275" w:type="dxa"/>
            <w:tcBorders>
              <w:tl2br w:val="nil"/>
              <w:tr2bl w:val="nil"/>
            </w:tcBorders>
          </w:tcPr>
          <w:p>
            <w:pPr>
              <w:spacing w:line="560" w:lineRule="exact"/>
              <w:rPr>
                <w:rFonts w:ascii="宋体" w:hAnsi="宋体" w:cs="宋体"/>
                <w:b/>
                <w:bCs/>
                <w:position w:val="4"/>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90" w:type="dxa"/>
            <w:tcBorders>
              <w:tl2br w:val="nil"/>
              <w:tr2bl w:val="nil"/>
            </w:tcBorders>
          </w:tcPr>
          <w:p>
            <w:pPr>
              <w:spacing w:line="560" w:lineRule="exact"/>
              <w:rPr>
                <w:rFonts w:ascii="宋体" w:hAnsi="宋体" w:cs="宋体"/>
                <w:b/>
                <w:bCs/>
                <w:position w:val="4"/>
                <w:sz w:val="32"/>
                <w:szCs w:val="32"/>
              </w:rPr>
            </w:pPr>
          </w:p>
        </w:tc>
        <w:tc>
          <w:tcPr>
            <w:tcW w:w="1095" w:type="dxa"/>
            <w:tcBorders>
              <w:tl2br w:val="nil"/>
              <w:tr2bl w:val="nil"/>
            </w:tcBorders>
          </w:tcPr>
          <w:p>
            <w:pPr>
              <w:spacing w:line="560" w:lineRule="exact"/>
              <w:rPr>
                <w:rFonts w:ascii="宋体" w:hAnsi="宋体" w:cs="宋体"/>
                <w:b/>
                <w:bCs/>
                <w:position w:val="4"/>
                <w:sz w:val="32"/>
                <w:szCs w:val="32"/>
              </w:rPr>
            </w:pPr>
          </w:p>
        </w:tc>
        <w:tc>
          <w:tcPr>
            <w:tcW w:w="2520" w:type="dxa"/>
            <w:tcBorders>
              <w:tl2br w:val="nil"/>
              <w:tr2bl w:val="nil"/>
            </w:tcBorders>
          </w:tcPr>
          <w:p>
            <w:pPr>
              <w:spacing w:line="560" w:lineRule="exact"/>
              <w:rPr>
                <w:rFonts w:ascii="宋体" w:hAnsi="宋体" w:cs="宋体"/>
                <w:b/>
                <w:bCs/>
                <w:position w:val="4"/>
                <w:sz w:val="32"/>
                <w:szCs w:val="32"/>
              </w:rPr>
            </w:pPr>
          </w:p>
        </w:tc>
        <w:tc>
          <w:tcPr>
            <w:tcW w:w="3510" w:type="dxa"/>
            <w:tcBorders>
              <w:tl2br w:val="nil"/>
              <w:tr2bl w:val="nil"/>
            </w:tcBorders>
          </w:tcPr>
          <w:p>
            <w:pPr>
              <w:spacing w:line="560" w:lineRule="exact"/>
              <w:rPr>
                <w:rFonts w:ascii="宋体" w:hAnsi="宋体" w:cs="宋体"/>
                <w:b/>
                <w:bCs/>
                <w:position w:val="4"/>
                <w:sz w:val="32"/>
                <w:szCs w:val="32"/>
              </w:rPr>
            </w:pPr>
          </w:p>
        </w:tc>
        <w:tc>
          <w:tcPr>
            <w:tcW w:w="1065" w:type="dxa"/>
            <w:tcBorders>
              <w:tl2br w:val="nil"/>
              <w:tr2bl w:val="nil"/>
            </w:tcBorders>
          </w:tcPr>
          <w:p>
            <w:pPr>
              <w:spacing w:line="560" w:lineRule="exact"/>
              <w:rPr>
                <w:rFonts w:ascii="宋体" w:hAnsi="宋体" w:cs="宋体"/>
                <w:b/>
                <w:bCs/>
                <w:position w:val="4"/>
                <w:sz w:val="32"/>
                <w:szCs w:val="32"/>
              </w:rPr>
            </w:pPr>
          </w:p>
        </w:tc>
        <w:tc>
          <w:tcPr>
            <w:tcW w:w="1275" w:type="dxa"/>
            <w:tcBorders>
              <w:tl2br w:val="nil"/>
              <w:tr2bl w:val="nil"/>
            </w:tcBorders>
          </w:tcPr>
          <w:p>
            <w:pPr>
              <w:spacing w:line="560" w:lineRule="exact"/>
              <w:rPr>
                <w:rFonts w:ascii="宋体" w:hAnsi="宋体" w:cs="宋体"/>
                <w:b/>
                <w:bCs/>
                <w:position w:val="4"/>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90" w:type="dxa"/>
            <w:tcBorders>
              <w:tl2br w:val="nil"/>
              <w:tr2bl w:val="nil"/>
            </w:tcBorders>
          </w:tcPr>
          <w:p>
            <w:pPr>
              <w:spacing w:line="560" w:lineRule="exact"/>
              <w:rPr>
                <w:rFonts w:ascii="宋体" w:hAnsi="宋体" w:cs="宋体"/>
                <w:b/>
                <w:bCs/>
                <w:position w:val="4"/>
                <w:sz w:val="32"/>
                <w:szCs w:val="32"/>
              </w:rPr>
            </w:pPr>
          </w:p>
        </w:tc>
        <w:tc>
          <w:tcPr>
            <w:tcW w:w="1095" w:type="dxa"/>
            <w:tcBorders>
              <w:tl2br w:val="nil"/>
              <w:tr2bl w:val="nil"/>
            </w:tcBorders>
          </w:tcPr>
          <w:p>
            <w:pPr>
              <w:spacing w:line="560" w:lineRule="exact"/>
              <w:rPr>
                <w:rFonts w:ascii="宋体" w:hAnsi="宋体" w:cs="宋体"/>
                <w:b/>
                <w:bCs/>
                <w:position w:val="4"/>
                <w:sz w:val="32"/>
                <w:szCs w:val="32"/>
              </w:rPr>
            </w:pPr>
          </w:p>
        </w:tc>
        <w:tc>
          <w:tcPr>
            <w:tcW w:w="2520" w:type="dxa"/>
            <w:tcBorders>
              <w:tl2br w:val="nil"/>
              <w:tr2bl w:val="nil"/>
            </w:tcBorders>
          </w:tcPr>
          <w:p>
            <w:pPr>
              <w:spacing w:line="560" w:lineRule="exact"/>
              <w:rPr>
                <w:rFonts w:ascii="宋体" w:hAnsi="宋体" w:cs="宋体"/>
                <w:b/>
                <w:bCs/>
                <w:position w:val="4"/>
                <w:sz w:val="32"/>
                <w:szCs w:val="32"/>
              </w:rPr>
            </w:pPr>
          </w:p>
        </w:tc>
        <w:tc>
          <w:tcPr>
            <w:tcW w:w="3510" w:type="dxa"/>
            <w:tcBorders>
              <w:tl2br w:val="nil"/>
              <w:tr2bl w:val="nil"/>
            </w:tcBorders>
          </w:tcPr>
          <w:p>
            <w:pPr>
              <w:spacing w:line="560" w:lineRule="exact"/>
              <w:rPr>
                <w:rFonts w:ascii="宋体" w:hAnsi="宋体" w:cs="宋体"/>
                <w:b/>
                <w:bCs/>
                <w:position w:val="4"/>
                <w:sz w:val="32"/>
                <w:szCs w:val="32"/>
              </w:rPr>
            </w:pPr>
          </w:p>
        </w:tc>
        <w:tc>
          <w:tcPr>
            <w:tcW w:w="1065" w:type="dxa"/>
            <w:tcBorders>
              <w:tl2br w:val="nil"/>
              <w:tr2bl w:val="nil"/>
            </w:tcBorders>
          </w:tcPr>
          <w:p>
            <w:pPr>
              <w:spacing w:line="560" w:lineRule="exact"/>
              <w:rPr>
                <w:rFonts w:ascii="宋体" w:hAnsi="宋体" w:cs="宋体"/>
                <w:b/>
                <w:bCs/>
                <w:position w:val="4"/>
                <w:sz w:val="32"/>
                <w:szCs w:val="32"/>
              </w:rPr>
            </w:pPr>
          </w:p>
        </w:tc>
        <w:tc>
          <w:tcPr>
            <w:tcW w:w="1275" w:type="dxa"/>
            <w:tcBorders>
              <w:tl2br w:val="nil"/>
              <w:tr2bl w:val="nil"/>
            </w:tcBorders>
          </w:tcPr>
          <w:p>
            <w:pPr>
              <w:spacing w:line="560" w:lineRule="exact"/>
              <w:rPr>
                <w:rFonts w:ascii="宋体" w:hAnsi="宋体" w:cs="宋体"/>
                <w:b/>
                <w:bCs/>
                <w:position w:val="4"/>
                <w:sz w:val="32"/>
                <w:szCs w:val="32"/>
              </w:rPr>
            </w:pPr>
          </w:p>
        </w:tc>
      </w:tr>
    </w:tbl>
    <w:p>
      <w:pPr>
        <w:spacing w:line="440" w:lineRule="exact"/>
        <w:rPr>
          <w:rFonts w:ascii="宋体" w:hAnsi="宋体" w:cs="宋体"/>
          <w:szCs w:val="21"/>
        </w:rPr>
      </w:pPr>
      <w:r>
        <w:rPr>
          <w:rFonts w:hint="eastAsia" w:ascii="宋体" w:hAnsi="宋体" w:cs="宋体"/>
          <w:szCs w:val="21"/>
        </w:rPr>
        <w:t>注：1、除本规格、技术偏离表所列的偏离指标外，其他所有规格、技术参数均完全响应“招标文件”中的要求。投标人按照采购内容要求及所报价内容如实填写。</w:t>
      </w:r>
    </w:p>
    <w:p>
      <w:pPr>
        <w:spacing w:line="440" w:lineRule="exact"/>
        <w:ind w:firstLine="420"/>
        <w:rPr>
          <w:rFonts w:ascii="宋体" w:hAnsi="宋体" w:cs="宋体"/>
          <w:szCs w:val="21"/>
        </w:rPr>
      </w:pPr>
      <w:r>
        <w:rPr>
          <w:rFonts w:hint="eastAsia" w:ascii="宋体" w:hAnsi="宋体" w:cs="宋体"/>
          <w:szCs w:val="21"/>
        </w:rPr>
        <w:t>2、投标人必须据实填写，不得虚假响应，否则将取消其投标或中标资格，并按有关规定进行处罚。</w:t>
      </w:r>
    </w:p>
    <w:p/>
    <w:p/>
    <w:p>
      <w:pPr>
        <w:rPr>
          <w:b/>
        </w:rPr>
      </w:pPr>
      <w:r>
        <w:rPr>
          <w:rFonts w:hint="eastAsia"/>
        </w:rPr>
        <w:t xml:space="preserve">                                             投标人：</w:t>
      </w:r>
      <w:r>
        <w:rPr>
          <w:rFonts w:hint="eastAsia"/>
          <w:u w:val="single"/>
        </w:rPr>
        <w:t xml:space="preserve">               （单位全称、盖章）   </w:t>
      </w:r>
    </w:p>
    <w:p>
      <w:pPr>
        <w:rPr>
          <w:b/>
        </w:rPr>
      </w:pPr>
      <w:r>
        <w:rPr>
          <w:rFonts w:hint="eastAsia"/>
        </w:rPr>
        <w:t xml:space="preserve">                                             法定代表人或授权代表：</w:t>
      </w:r>
      <w:r>
        <w:rPr>
          <w:rFonts w:hint="eastAsia"/>
          <w:u w:val="single"/>
        </w:rPr>
        <w:t xml:space="preserve">     （盖章或签字）    </w:t>
      </w:r>
    </w:p>
    <w:p>
      <w:pPr>
        <w:rPr>
          <w:b/>
          <w:bCs/>
        </w:rPr>
      </w:pPr>
      <w:r>
        <w:rPr>
          <w:rFonts w:hint="eastAsia"/>
        </w:rPr>
        <w:t xml:space="preserve">                                             投标日期：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pacing w:line="440" w:lineRule="exact"/>
      </w:pPr>
      <w:r>
        <w:br w:type="page"/>
      </w:r>
    </w:p>
    <w:p>
      <w:pPr>
        <w:spacing w:line="440" w:lineRule="exact"/>
        <w:rPr>
          <w:rFonts w:ascii="宋体" w:hAnsi="宋体" w:cs="宋体"/>
          <w:szCs w:val="21"/>
        </w:rPr>
      </w:pPr>
      <w:r>
        <w:rPr>
          <w:rFonts w:hint="eastAsia" w:ascii="宋体" w:hAnsi="宋体" w:cs="宋体"/>
          <w:b/>
          <w:bCs/>
          <w:szCs w:val="21"/>
        </w:rPr>
        <w:t>附表2：</w:t>
      </w:r>
    </w:p>
    <w:p>
      <w:pPr>
        <w:spacing w:line="440" w:lineRule="exact"/>
        <w:rPr>
          <w:rFonts w:ascii="宋体" w:hAnsi="宋体" w:cs="宋体"/>
          <w:szCs w:val="21"/>
        </w:rPr>
      </w:pPr>
    </w:p>
    <w:p>
      <w:pPr>
        <w:spacing w:after="120" w:afterLines="50" w:line="560" w:lineRule="exact"/>
        <w:jc w:val="center"/>
        <w:rPr>
          <w:rFonts w:ascii="宋体" w:hAnsi="宋体" w:cs="宋体"/>
          <w:b/>
          <w:bCs/>
          <w:color w:val="000000"/>
          <w:sz w:val="36"/>
          <w:szCs w:val="36"/>
        </w:rPr>
      </w:pPr>
      <w:r>
        <w:rPr>
          <w:rFonts w:hint="eastAsia" w:ascii="宋体" w:hAnsi="宋体" w:cs="宋体"/>
          <w:b/>
          <w:bCs/>
          <w:color w:val="000000"/>
          <w:sz w:val="36"/>
          <w:szCs w:val="36"/>
        </w:rPr>
        <w:t>货物（产品）说明一览表</w:t>
      </w:r>
    </w:p>
    <w:p>
      <w:pPr>
        <w:spacing w:line="560" w:lineRule="exact"/>
        <w:rPr>
          <w:rFonts w:ascii="宋体" w:hAnsi="宋体" w:cs="宋体"/>
          <w:b/>
          <w:bCs/>
          <w:color w:val="000000"/>
          <w:sz w:val="36"/>
          <w:szCs w:val="36"/>
        </w:rPr>
      </w:pPr>
      <w:r>
        <w:rPr>
          <w:rFonts w:hint="eastAsia" w:ascii="宋体" w:hAnsi="宋体" w:cs="宋体"/>
          <w:szCs w:val="21"/>
        </w:rPr>
        <w:t>投标人名称：</w:t>
      </w:r>
      <w:r>
        <w:rPr>
          <w:rFonts w:hint="eastAsia" w:ascii="宋体" w:hAnsi="宋体" w:cs="宋体"/>
          <w:szCs w:val="21"/>
          <w:u w:val="single"/>
        </w:rPr>
        <w:t xml:space="preserve">                          </w:t>
      </w:r>
      <w:r>
        <w:rPr>
          <w:rFonts w:hint="eastAsia" w:ascii="宋体" w:hAnsi="宋体" w:cs="宋体"/>
          <w:szCs w:val="21"/>
        </w:rPr>
        <w:t xml:space="preserve">                         项目编号：</w:t>
      </w:r>
      <w:r>
        <w:rPr>
          <w:rFonts w:hint="eastAsia" w:ascii="宋体" w:hAnsi="宋体" w:cs="宋体"/>
          <w:szCs w:val="21"/>
          <w:u w:val="single"/>
        </w:rPr>
        <w:t xml:space="preserve">              </w:t>
      </w:r>
    </w:p>
    <w:tbl>
      <w:tblPr>
        <w:tblStyle w:val="37"/>
        <w:tblW w:w="9235" w:type="dxa"/>
        <w:tblInd w:w="61"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5"/>
        <w:gridCol w:w="1080"/>
        <w:gridCol w:w="1170"/>
        <w:gridCol w:w="2690"/>
        <w:gridCol w:w="1080"/>
        <w:gridCol w:w="750"/>
        <w:gridCol w:w="885"/>
        <w:gridCol w:w="89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685" w:type="dxa"/>
            <w:tcBorders>
              <w:tl2br w:val="nil"/>
              <w:tr2bl w:val="nil"/>
            </w:tcBorders>
            <w:vAlign w:val="center"/>
          </w:tcPr>
          <w:p>
            <w:pPr>
              <w:spacing w:line="320" w:lineRule="exact"/>
              <w:jc w:val="center"/>
              <w:rPr>
                <w:rFonts w:ascii="宋体" w:hAnsi="宋体" w:cs="宋体"/>
                <w:b/>
                <w:bCs/>
                <w:position w:val="4"/>
                <w:szCs w:val="21"/>
              </w:rPr>
            </w:pPr>
            <w:r>
              <w:rPr>
                <w:rFonts w:hint="eastAsia" w:ascii="宋体" w:hAnsi="宋体" w:cs="宋体"/>
                <w:b/>
                <w:szCs w:val="21"/>
              </w:rPr>
              <w:t>序号</w:t>
            </w:r>
          </w:p>
        </w:tc>
        <w:tc>
          <w:tcPr>
            <w:tcW w:w="1080" w:type="dxa"/>
            <w:tcBorders>
              <w:tl2br w:val="nil"/>
              <w:tr2bl w:val="nil"/>
            </w:tcBorders>
            <w:vAlign w:val="center"/>
          </w:tcPr>
          <w:p>
            <w:pPr>
              <w:spacing w:line="320" w:lineRule="exact"/>
              <w:jc w:val="center"/>
              <w:rPr>
                <w:rFonts w:ascii="宋体" w:hAnsi="宋体" w:cs="宋体"/>
                <w:b/>
                <w:bCs/>
                <w:position w:val="4"/>
                <w:szCs w:val="21"/>
              </w:rPr>
            </w:pPr>
            <w:r>
              <w:rPr>
                <w:rFonts w:hint="eastAsia" w:ascii="宋体" w:hAnsi="宋体" w:cs="宋体"/>
                <w:b/>
                <w:szCs w:val="21"/>
              </w:rPr>
              <w:t>产品名称</w:t>
            </w:r>
          </w:p>
        </w:tc>
        <w:tc>
          <w:tcPr>
            <w:tcW w:w="1170" w:type="dxa"/>
            <w:tcBorders>
              <w:tl2br w:val="nil"/>
              <w:tr2bl w:val="nil"/>
            </w:tcBorders>
            <w:vAlign w:val="center"/>
          </w:tcPr>
          <w:p>
            <w:pPr>
              <w:spacing w:line="320" w:lineRule="exact"/>
              <w:jc w:val="center"/>
              <w:rPr>
                <w:rFonts w:ascii="宋体" w:hAnsi="宋体" w:cs="宋体"/>
                <w:b/>
                <w:bCs/>
                <w:position w:val="4"/>
                <w:szCs w:val="21"/>
              </w:rPr>
            </w:pPr>
            <w:r>
              <w:rPr>
                <w:rFonts w:hint="eastAsia" w:ascii="宋体" w:hAnsi="宋体" w:cs="宋体"/>
                <w:b/>
                <w:szCs w:val="21"/>
              </w:rPr>
              <w:t>品牌/型号</w:t>
            </w:r>
          </w:p>
        </w:tc>
        <w:tc>
          <w:tcPr>
            <w:tcW w:w="2690" w:type="dxa"/>
            <w:tcBorders>
              <w:tl2br w:val="nil"/>
              <w:tr2bl w:val="nil"/>
            </w:tcBorders>
            <w:vAlign w:val="center"/>
          </w:tcPr>
          <w:p>
            <w:pPr>
              <w:spacing w:line="320" w:lineRule="exact"/>
              <w:jc w:val="center"/>
              <w:rPr>
                <w:rFonts w:ascii="宋体" w:hAnsi="宋体" w:cs="宋体"/>
                <w:b/>
                <w:bCs/>
                <w:position w:val="4"/>
                <w:szCs w:val="21"/>
              </w:rPr>
            </w:pPr>
            <w:r>
              <w:rPr>
                <w:rFonts w:hint="eastAsia" w:ascii="宋体" w:hAnsi="宋体" w:cs="宋体"/>
                <w:b/>
                <w:szCs w:val="21"/>
              </w:rPr>
              <w:t>规格、配置及主要技术参数</w:t>
            </w:r>
          </w:p>
        </w:tc>
        <w:tc>
          <w:tcPr>
            <w:tcW w:w="1080" w:type="dxa"/>
            <w:tcBorders>
              <w:tl2br w:val="nil"/>
              <w:tr2bl w:val="nil"/>
            </w:tcBorders>
            <w:vAlign w:val="center"/>
          </w:tcPr>
          <w:p>
            <w:pPr>
              <w:spacing w:line="320" w:lineRule="exact"/>
              <w:jc w:val="center"/>
              <w:rPr>
                <w:rFonts w:ascii="宋体" w:hAnsi="宋体" w:cs="宋体"/>
                <w:b/>
                <w:bCs/>
                <w:position w:val="4"/>
                <w:szCs w:val="21"/>
              </w:rPr>
            </w:pPr>
            <w:r>
              <w:rPr>
                <w:rFonts w:hint="eastAsia" w:ascii="宋体" w:hAnsi="宋体" w:cs="宋体"/>
                <w:b/>
                <w:szCs w:val="21"/>
              </w:rPr>
              <w:t>制造厂家</w:t>
            </w:r>
          </w:p>
        </w:tc>
        <w:tc>
          <w:tcPr>
            <w:tcW w:w="750" w:type="dxa"/>
            <w:tcBorders>
              <w:tl2br w:val="nil"/>
              <w:tr2bl w:val="nil"/>
            </w:tcBorders>
            <w:vAlign w:val="center"/>
          </w:tcPr>
          <w:p>
            <w:pPr>
              <w:spacing w:line="320" w:lineRule="exact"/>
              <w:jc w:val="center"/>
              <w:rPr>
                <w:rFonts w:ascii="宋体" w:hAnsi="宋体" w:cs="宋体"/>
                <w:b/>
                <w:bCs/>
                <w:position w:val="4"/>
                <w:szCs w:val="21"/>
              </w:rPr>
            </w:pPr>
            <w:r>
              <w:rPr>
                <w:rFonts w:hint="eastAsia" w:ascii="宋体" w:hAnsi="宋体" w:cs="宋体"/>
                <w:b/>
                <w:szCs w:val="21"/>
              </w:rPr>
              <w:t>数量</w:t>
            </w:r>
          </w:p>
        </w:tc>
        <w:tc>
          <w:tcPr>
            <w:tcW w:w="885" w:type="dxa"/>
            <w:tcBorders>
              <w:tl2br w:val="nil"/>
              <w:tr2bl w:val="nil"/>
            </w:tcBorders>
            <w:vAlign w:val="center"/>
          </w:tcPr>
          <w:p>
            <w:pPr>
              <w:spacing w:line="320" w:lineRule="exact"/>
              <w:jc w:val="center"/>
              <w:rPr>
                <w:rFonts w:ascii="宋体" w:hAnsi="宋体" w:cs="宋体"/>
                <w:b/>
                <w:bCs/>
                <w:position w:val="4"/>
                <w:szCs w:val="21"/>
              </w:rPr>
            </w:pPr>
            <w:r>
              <w:rPr>
                <w:rFonts w:hint="eastAsia" w:ascii="宋体" w:hAnsi="宋体" w:cs="宋体"/>
                <w:b/>
                <w:szCs w:val="21"/>
              </w:rPr>
              <w:t>交货期</w:t>
            </w:r>
          </w:p>
        </w:tc>
        <w:tc>
          <w:tcPr>
            <w:tcW w:w="895" w:type="dxa"/>
            <w:tcBorders>
              <w:tl2br w:val="nil"/>
              <w:tr2bl w:val="nil"/>
            </w:tcBorders>
            <w:vAlign w:val="center"/>
          </w:tcPr>
          <w:p>
            <w:pPr>
              <w:spacing w:line="320" w:lineRule="exact"/>
              <w:jc w:val="center"/>
              <w:rPr>
                <w:rFonts w:ascii="宋体" w:hAnsi="宋体" w:cs="宋体"/>
                <w:b/>
                <w:bCs/>
                <w:position w:val="4"/>
                <w:szCs w:val="21"/>
              </w:rPr>
            </w:pPr>
            <w:r>
              <w:rPr>
                <w:rFonts w:hint="eastAsia" w:ascii="宋体" w:hAnsi="宋体" w:cs="宋体"/>
                <w:b/>
                <w:bCs/>
                <w:position w:val="4"/>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85" w:type="dxa"/>
            <w:tcBorders>
              <w:tl2br w:val="nil"/>
              <w:tr2bl w:val="nil"/>
            </w:tcBorders>
          </w:tcPr>
          <w:p>
            <w:pPr>
              <w:spacing w:line="560" w:lineRule="exact"/>
              <w:rPr>
                <w:rFonts w:ascii="宋体" w:hAnsi="宋体" w:cs="宋体"/>
                <w:b/>
                <w:bCs/>
                <w:position w:val="4"/>
                <w:sz w:val="32"/>
                <w:szCs w:val="32"/>
              </w:rPr>
            </w:pPr>
          </w:p>
        </w:tc>
        <w:tc>
          <w:tcPr>
            <w:tcW w:w="1080" w:type="dxa"/>
            <w:tcBorders>
              <w:tl2br w:val="nil"/>
              <w:tr2bl w:val="nil"/>
            </w:tcBorders>
          </w:tcPr>
          <w:p>
            <w:pPr>
              <w:spacing w:line="560" w:lineRule="exact"/>
              <w:rPr>
                <w:rFonts w:ascii="宋体" w:hAnsi="宋体" w:cs="宋体"/>
                <w:b/>
                <w:bCs/>
                <w:position w:val="4"/>
                <w:sz w:val="32"/>
                <w:szCs w:val="32"/>
              </w:rPr>
            </w:pPr>
          </w:p>
        </w:tc>
        <w:tc>
          <w:tcPr>
            <w:tcW w:w="1170" w:type="dxa"/>
            <w:tcBorders>
              <w:tl2br w:val="nil"/>
              <w:tr2bl w:val="nil"/>
            </w:tcBorders>
          </w:tcPr>
          <w:p>
            <w:pPr>
              <w:spacing w:line="560" w:lineRule="exact"/>
              <w:rPr>
                <w:rFonts w:ascii="宋体" w:hAnsi="宋体" w:cs="宋体"/>
                <w:b/>
                <w:bCs/>
                <w:position w:val="4"/>
                <w:sz w:val="32"/>
                <w:szCs w:val="32"/>
              </w:rPr>
            </w:pPr>
          </w:p>
        </w:tc>
        <w:tc>
          <w:tcPr>
            <w:tcW w:w="2690" w:type="dxa"/>
            <w:tcBorders>
              <w:tl2br w:val="nil"/>
              <w:tr2bl w:val="nil"/>
            </w:tcBorders>
          </w:tcPr>
          <w:p>
            <w:pPr>
              <w:spacing w:line="560" w:lineRule="exact"/>
              <w:rPr>
                <w:rFonts w:ascii="宋体" w:hAnsi="宋体" w:cs="宋体"/>
                <w:b/>
                <w:bCs/>
                <w:position w:val="4"/>
                <w:sz w:val="32"/>
                <w:szCs w:val="32"/>
              </w:rPr>
            </w:pPr>
          </w:p>
        </w:tc>
        <w:tc>
          <w:tcPr>
            <w:tcW w:w="1080" w:type="dxa"/>
            <w:tcBorders>
              <w:tl2br w:val="nil"/>
              <w:tr2bl w:val="nil"/>
            </w:tcBorders>
          </w:tcPr>
          <w:p>
            <w:pPr>
              <w:spacing w:line="560" w:lineRule="exact"/>
              <w:rPr>
                <w:rFonts w:ascii="宋体" w:hAnsi="宋体" w:cs="宋体"/>
                <w:b/>
                <w:bCs/>
                <w:position w:val="4"/>
                <w:sz w:val="32"/>
                <w:szCs w:val="32"/>
              </w:rPr>
            </w:pPr>
          </w:p>
        </w:tc>
        <w:tc>
          <w:tcPr>
            <w:tcW w:w="750" w:type="dxa"/>
            <w:tcBorders>
              <w:tl2br w:val="nil"/>
              <w:tr2bl w:val="nil"/>
            </w:tcBorders>
          </w:tcPr>
          <w:p>
            <w:pPr>
              <w:spacing w:line="560" w:lineRule="exact"/>
              <w:rPr>
                <w:rFonts w:ascii="宋体" w:hAnsi="宋体" w:cs="宋体"/>
                <w:b/>
                <w:bCs/>
                <w:position w:val="4"/>
                <w:sz w:val="32"/>
                <w:szCs w:val="32"/>
              </w:rPr>
            </w:pPr>
          </w:p>
        </w:tc>
        <w:tc>
          <w:tcPr>
            <w:tcW w:w="885" w:type="dxa"/>
            <w:tcBorders>
              <w:tl2br w:val="nil"/>
              <w:tr2bl w:val="nil"/>
            </w:tcBorders>
          </w:tcPr>
          <w:p>
            <w:pPr>
              <w:spacing w:line="560" w:lineRule="exact"/>
              <w:rPr>
                <w:rFonts w:ascii="宋体" w:hAnsi="宋体" w:cs="宋体"/>
                <w:b/>
                <w:bCs/>
                <w:position w:val="4"/>
                <w:sz w:val="32"/>
                <w:szCs w:val="32"/>
              </w:rPr>
            </w:pPr>
          </w:p>
        </w:tc>
        <w:tc>
          <w:tcPr>
            <w:tcW w:w="895" w:type="dxa"/>
            <w:tcBorders>
              <w:tl2br w:val="nil"/>
              <w:tr2bl w:val="nil"/>
            </w:tcBorders>
          </w:tcPr>
          <w:p>
            <w:pPr>
              <w:spacing w:line="560" w:lineRule="exact"/>
              <w:rPr>
                <w:rFonts w:ascii="宋体" w:hAnsi="宋体" w:cs="宋体"/>
                <w:b/>
                <w:bCs/>
                <w:position w:val="4"/>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85" w:type="dxa"/>
            <w:tcBorders>
              <w:tl2br w:val="nil"/>
              <w:tr2bl w:val="nil"/>
            </w:tcBorders>
          </w:tcPr>
          <w:p>
            <w:pPr>
              <w:spacing w:line="560" w:lineRule="exact"/>
              <w:rPr>
                <w:rFonts w:ascii="宋体" w:hAnsi="宋体" w:cs="宋体"/>
                <w:b/>
                <w:bCs/>
                <w:position w:val="4"/>
                <w:sz w:val="32"/>
                <w:szCs w:val="32"/>
              </w:rPr>
            </w:pPr>
          </w:p>
        </w:tc>
        <w:tc>
          <w:tcPr>
            <w:tcW w:w="1080" w:type="dxa"/>
            <w:tcBorders>
              <w:tl2br w:val="nil"/>
              <w:tr2bl w:val="nil"/>
            </w:tcBorders>
          </w:tcPr>
          <w:p>
            <w:pPr>
              <w:spacing w:line="560" w:lineRule="exact"/>
              <w:rPr>
                <w:rFonts w:ascii="宋体" w:hAnsi="宋体" w:cs="宋体"/>
                <w:b/>
                <w:bCs/>
                <w:position w:val="4"/>
                <w:sz w:val="32"/>
                <w:szCs w:val="32"/>
              </w:rPr>
            </w:pPr>
          </w:p>
        </w:tc>
        <w:tc>
          <w:tcPr>
            <w:tcW w:w="1170" w:type="dxa"/>
            <w:tcBorders>
              <w:tl2br w:val="nil"/>
              <w:tr2bl w:val="nil"/>
            </w:tcBorders>
          </w:tcPr>
          <w:p>
            <w:pPr>
              <w:spacing w:line="560" w:lineRule="exact"/>
              <w:rPr>
                <w:rFonts w:ascii="宋体" w:hAnsi="宋体" w:cs="宋体"/>
                <w:b/>
                <w:bCs/>
                <w:position w:val="4"/>
                <w:sz w:val="32"/>
                <w:szCs w:val="32"/>
              </w:rPr>
            </w:pPr>
          </w:p>
        </w:tc>
        <w:tc>
          <w:tcPr>
            <w:tcW w:w="2690" w:type="dxa"/>
            <w:tcBorders>
              <w:tl2br w:val="nil"/>
              <w:tr2bl w:val="nil"/>
            </w:tcBorders>
          </w:tcPr>
          <w:p>
            <w:pPr>
              <w:spacing w:line="560" w:lineRule="exact"/>
              <w:rPr>
                <w:rFonts w:ascii="宋体" w:hAnsi="宋体" w:cs="宋体"/>
                <w:b/>
                <w:bCs/>
                <w:position w:val="4"/>
                <w:sz w:val="32"/>
                <w:szCs w:val="32"/>
              </w:rPr>
            </w:pPr>
          </w:p>
        </w:tc>
        <w:tc>
          <w:tcPr>
            <w:tcW w:w="1080" w:type="dxa"/>
            <w:tcBorders>
              <w:tl2br w:val="nil"/>
              <w:tr2bl w:val="nil"/>
            </w:tcBorders>
          </w:tcPr>
          <w:p>
            <w:pPr>
              <w:spacing w:line="560" w:lineRule="exact"/>
              <w:rPr>
                <w:rFonts w:ascii="宋体" w:hAnsi="宋体" w:cs="宋体"/>
                <w:b/>
                <w:bCs/>
                <w:position w:val="4"/>
                <w:sz w:val="32"/>
                <w:szCs w:val="32"/>
              </w:rPr>
            </w:pPr>
          </w:p>
        </w:tc>
        <w:tc>
          <w:tcPr>
            <w:tcW w:w="750" w:type="dxa"/>
            <w:tcBorders>
              <w:tl2br w:val="nil"/>
              <w:tr2bl w:val="nil"/>
            </w:tcBorders>
          </w:tcPr>
          <w:p>
            <w:pPr>
              <w:spacing w:line="560" w:lineRule="exact"/>
              <w:rPr>
                <w:rFonts w:ascii="宋体" w:hAnsi="宋体" w:cs="宋体"/>
                <w:b/>
                <w:bCs/>
                <w:position w:val="4"/>
                <w:sz w:val="32"/>
                <w:szCs w:val="32"/>
              </w:rPr>
            </w:pPr>
          </w:p>
        </w:tc>
        <w:tc>
          <w:tcPr>
            <w:tcW w:w="885" w:type="dxa"/>
            <w:tcBorders>
              <w:tl2br w:val="nil"/>
              <w:tr2bl w:val="nil"/>
            </w:tcBorders>
          </w:tcPr>
          <w:p>
            <w:pPr>
              <w:spacing w:line="560" w:lineRule="exact"/>
              <w:rPr>
                <w:rFonts w:ascii="宋体" w:hAnsi="宋体" w:cs="宋体"/>
                <w:b/>
                <w:bCs/>
                <w:position w:val="4"/>
                <w:sz w:val="32"/>
                <w:szCs w:val="32"/>
              </w:rPr>
            </w:pPr>
          </w:p>
        </w:tc>
        <w:tc>
          <w:tcPr>
            <w:tcW w:w="895" w:type="dxa"/>
            <w:tcBorders>
              <w:tl2br w:val="nil"/>
              <w:tr2bl w:val="nil"/>
            </w:tcBorders>
          </w:tcPr>
          <w:p>
            <w:pPr>
              <w:spacing w:line="560" w:lineRule="exact"/>
              <w:rPr>
                <w:rFonts w:ascii="宋体" w:hAnsi="宋体" w:cs="宋体"/>
                <w:b/>
                <w:bCs/>
                <w:position w:val="4"/>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85" w:type="dxa"/>
            <w:tcBorders>
              <w:tl2br w:val="nil"/>
              <w:tr2bl w:val="nil"/>
            </w:tcBorders>
          </w:tcPr>
          <w:p>
            <w:pPr>
              <w:spacing w:line="560" w:lineRule="exact"/>
              <w:rPr>
                <w:rFonts w:ascii="宋体" w:hAnsi="宋体" w:cs="宋体"/>
                <w:b/>
                <w:bCs/>
                <w:position w:val="4"/>
                <w:sz w:val="32"/>
                <w:szCs w:val="32"/>
              </w:rPr>
            </w:pPr>
          </w:p>
        </w:tc>
        <w:tc>
          <w:tcPr>
            <w:tcW w:w="1080" w:type="dxa"/>
            <w:tcBorders>
              <w:tl2br w:val="nil"/>
              <w:tr2bl w:val="nil"/>
            </w:tcBorders>
          </w:tcPr>
          <w:p>
            <w:pPr>
              <w:spacing w:line="560" w:lineRule="exact"/>
              <w:rPr>
                <w:rFonts w:ascii="宋体" w:hAnsi="宋体" w:cs="宋体"/>
                <w:b/>
                <w:bCs/>
                <w:position w:val="4"/>
                <w:sz w:val="32"/>
                <w:szCs w:val="32"/>
              </w:rPr>
            </w:pPr>
          </w:p>
        </w:tc>
        <w:tc>
          <w:tcPr>
            <w:tcW w:w="1170" w:type="dxa"/>
            <w:tcBorders>
              <w:tl2br w:val="nil"/>
              <w:tr2bl w:val="nil"/>
            </w:tcBorders>
          </w:tcPr>
          <w:p>
            <w:pPr>
              <w:spacing w:line="560" w:lineRule="exact"/>
              <w:rPr>
                <w:rFonts w:ascii="宋体" w:hAnsi="宋体" w:cs="宋体"/>
                <w:b/>
                <w:bCs/>
                <w:position w:val="4"/>
                <w:sz w:val="32"/>
                <w:szCs w:val="32"/>
              </w:rPr>
            </w:pPr>
          </w:p>
        </w:tc>
        <w:tc>
          <w:tcPr>
            <w:tcW w:w="2690" w:type="dxa"/>
            <w:tcBorders>
              <w:tl2br w:val="nil"/>
              <w:tr2bl w:val="nil"/>
            </w:tcBorders>
          </w:tcPr>
          <w:p>
            <w:pPr>
              <w:spacing w:line="560" w:lineRule="exact"/>
              <w:rPr>
                <w:rFonts w:ascii="宋体" w:hAnsi="宋体" w:cs="宋体"/>
                <w:b/>
                <w:bCs/>
                <w:position w:val="4"/>
                <w:sz w:val="32"/>
                <w:szCs w:val="32"/>
              </w:rPr>
            </w:pPr>
          </w:p>
        </w:tc>
        <w:tc>
          <w:tcPr>
            <w:tcW w:w="1080" w:type="dxa"/>
            <w:tcBorders>
              <w:tl2br w:val="nil"/>
              <w:tr2bl w:val="nil"/>
            </w:tcBorders>
          </w:tcPr>
          <w:p>
            <w:pPr>
              <w:spacing w:line="560" w:lineRule="exact"/>
              <w:rPr>
                <w:rFonts w:ascii="宋体" w:hAnsi="宋体" w:cs="宋体"/>
                <w:b/>
                <w:bCs/>
                <w:position w:val="4"/>
                <w:sz w:val="32"/>
                <w:szCs w:val="32"/>
              </w:rPr>
            </w:pPr>
          </w:p>
        </w:tc>
        <w:tc>
          <w:tcPr>
            <w:tcW w:w="750" w:type="dxa"/>
            <w:tcBorders>
              <w:tl2br w:val="nil"/>
              <w:tr2bl w:val="nil"/>
            </w:tcBorders>
          </w:tcPr>
          <w:p>
            <w:pPr>
              <w:spacing w:line="560" w:lineRule="exact"/>
              <w:rPr>
                <w:rFonts w:ascii="宋体" w:hAnsi="宋体" w:cs="宋体"/>
                <w:b/>
                <w:bCs/>
                <w:position w:val="4"/>
                <w:sz w:val="32"/>
                <w:szCs w:val="32"/>
              </w:rPr>
            </w:pPr>
          </w:p>
        </w:tc>
        <w:tc>
          <w:tcPr>
            <w:tcW w:w="885" w:type="dxa"/>
            <w:tcBorders>
              <w:tl2br w:val="nil"/>
              <w:tr2bl w:val="nil"/>
            </w:tcBorders>
          </w:tcPr>
          <w:p>
            <w:pPr>
              <w:spacing w:line="560" w:lineRule="exact"/>
              <w:rPr>
                <w:rFonts w:ascii="宋体" w:hAnsi="宋体" w:cs="宋体"/>
                <w:b/>
                <w:bCs/>
                <w:position w:val="4"/>
                <w:sz w:val="32"/>
                <w:szCs w:val="32"/>
              </w:rPr>
            </w:pPr>
          </w:p>
        </w:tc>
        <w:tc>
          <w:tcPr>
            <w:tcW w:w="895" w:type="dxa"/>
            <w:tcBorders>
              <w:tl2br w:val="nil"/>
              <w:tr2bl w:val="nil"/>
            </w:tcBorders>
          </w:tcPr>
          <w:p>
            <w:pPr>
              <w:spacing w:line="560" w:lineRule="exact"/>
              <w:rPr>
                <w:rFonts w:ascii="宋体" w:hAnsi="宋体" w:cs="宋体"/>
                <w:b/>
                <w:bCs/>
                <w:position w:val="4"/>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85" w:type="dxa"/>
            <w:tcBorders>
              <w:tl2br w:val="nil"/>
              <w:tr2bl w:val="nil"/>
            </w:tcBorders>
          </w:tcPr>
          <w:p>
            <w:pPr>
              <w:spacing w:line="560" w:lineRule="exact"/>
              <w:rPr>
                <w:rFonts w:ascii="宋体" w:hAnsi="宋体" w:cs="宋体"/>
                <w:b/>
                <w:bCs/>
                <w:position w:val="4"/>
                <w:sz w:val="32"/>
                <w:szCs w:val="32"/>
              </w:rPr>
            </w:pPr>
          </w:p>
        </w:tc>
        <w:tc>
          <w:tcPr>
            <w:tcW w:w="1080" w:type="dxa"/>
            <w:tcBorders>
              <w:tl2br w:val="nil"/>
              <w:tr2bl w:val="nil"/>
            </w:tcBorders>
          </w:tcPr>
          <w:p>
            <w:pPr>
              <w:spacing w:line="560" w:lineRule="exact"/>
              <w:rPr>
                <w:rFonts w:ascii="宋体" w:hAnsi="宋体" w:cs="宋体"/>
                <w:b/>
                <w:bCs/>
                <w:position w:val="4"/>
                <w:sz w:val="32"/>
                <w:szCs w:val="32"/>
              </w:rPr>
            </w:pPr>
          </w:p>
        </w:tc>
        <w:tc>
          <w:tcPr>
            <w:tcW w:w="1170" w:type="dxa"/>
            <w:tcBorders>
              <w:tl2br w:val="nil"/>
              <w:tr2bl w:val="nil"/>
            </w:tcBorders>
          </w:tcPr>
          <w:p>
            <w:pPr>
              <w:spacing w:line="560" w:lineRule="exact"/>
              <w:rPr>
                <w:rFonts w:ascii="宋体" w:hAnsi="宋体" w:cs="宋体"/>
                <w:b/>
                <w:bCs/>
                <w:position w:val="4"/>
                <w:sz w:val="32"/>
                <w:szCs w:val="32"/>
              </w:rPr>
            </w:pPr>
          </w:p>
        </w:tc>
        <w:tc>
          <w:tcPr>
            <w:tcW w:w="2690" w:type="dxa"/>
            <w:tcBorders>
              <w:tl2br w:val="nil"/>
              <w:tr2bl w:val="nil"/>
            </w:tcBorders>
          </w:tcPr>
          <w:p>
            <w:pPr>
              <w:spacing w:line="560" w:lineRule="exact"/>
              <w:rPr>
                <w:rFonts w:ascii="宋体" w:hAnsi="宋体" w:cs="宋体"/>
                <w:b/>
                <w:bCs/>
                <w:position w:val="4"/>
                <w:sz w:val="32"/>
                <w:szCs w:val="32"/>
              </w:rPr>
            </w:pPr>
          </w:p>
        </w:tc>
        <w:tc>
          <w:tcPr>
            <w:tcW w:w="1080" w:type="dxa"/>
            <w:tcBorders>
              <w:tl2br w:val="nil"/>
              <w:tr2bl w:val="nil"/>
            </w:tcBorders>
          </w:tcPr>
          <w:p>
            <w:pPr>
              <w:spacing w:line="560" w:lineRule="exact"/>
              <w:rPr>
                <w:rFonts w:ascii="宋体" w:hAnsi="宋体" w:cs="宋体"/>
                <w:b/>
                <w:bCs/>
                <w:position w:val="4"/>
                <w:sz w:val="32"/>
                <w:szCs w:val="32"/>
              </w:rPr>
            </w:pPr>
          </w:p>
        </w:tc>
        <w:tc>
          <w:tcPr>
            <w:tcW w:w="750" w:type="dxa"/>
            <w:tcBorders>
              <w:tl2br w:val="nil"/>
              <w:tr2bl w:val="nil"/>
            </w:tcBorders>
          </w:tcPr>
          <w:p>
            <w:pPr>
              <w:spacing w:line="560" w:lineRule="exact"/>
              <w:rPr>
                <w:rFonts w:ascii="宋体" w:hAnsi="宋体" w:cs="宋体"/>
                <w:b/>
                <w:bCs/>
                <w:position w:val="4"/>
                <w:sz w:val="32"/>
                <w:szCs w:val="32"/>
              </w:rPr>
            </w:pPr>
          </w:p>
        </w:tc>
        <w:tc>
          <w:tcPr>
            <w:tcW w:w="885" w:type="dxa"/>
            <w:tcBorders>
              <w:tl2br w:val="nil"/>
              <w:tr2bl w:val="nil"/>
            </w:tcBorders>
          </w:tcPr>
          <w:p>
            <w:pPr>
              <w:spacing w:line="560" w:lineRule="exact"/>
              <w:rPr>
                <w:rFonts w:ascii="宋体" w:hAnsi="宋体" w:cs="宋体"/>
                <w:b/>
                <w:bCs/>
                <w:position w:val="4"/>
                <w:sz w:val="32"/>
                <w:szCs w:val="32"/>
              </w:rPr>
            </w:pPr>
          </w:p>
        </w:tc>
        <w:tc>
          <w:tcPr>
            <w:tcW w:w="895" w:type="dxa"/>
            <w:tcBorders>
              <w:tl2br w:val="nil"/>
              <w:tr2bl w:val="nil"/>
            </w:tcBorders>
          </w:tcPr>
          <w:p>
            <w:pPr>
              <w:spacing w:line="560" w:lineRule="exact"/>
              <w:rPr>
                <w:rFonts w:ascii="宋体" w:hAnsi="宋体" w:cs="宋体"/>
                <w:b/>
                <w:bCs/>
                <w:position w:val="4"/>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85" w:type="dxa"/>
            <w:tcBorders>
              <w:tl2br w:val="nil"/>
              <w:tr2bl w:val="nil"/>
            </w:tcBorders>
          </w:tcPr>
          <w:p>
            <w:pPr>
              <w:spacing w:line="560" w:lineRule="exact"/>
              <w:rPr>
                <w:rFonts w:ascii="宋体" w:hAnsi="宋体" w:cs="宋体"/>
                <w:b/>
                <w:bCs/>
                <w:position w:val="4"/>
                <w:sz w:val="32"/>
                <w:szCs w:val="32"/>
              </w:rPr>
            </w:pPr>
          </w:p>
        </w:tc>
        <w:tc>
          <w:tcPr>
            <w:tcW w:w="1080" w:type="dxa"/>
            <w:tcBorders>
              <w:tl2br w:val="nil"/>
              <w:tr2bl w:val="nil"/>
            </w:tcBorders>
          </w:tcPr>
          <w:p>
            <w:pPr>
              <w:spacing w:line="560" w:lineRule="exact"/>
              <w:rPr>
                <w:rFonts w:ascii="宋体" w:hAnsi="宋体" w:cs="宋体"/>
                <w:b/>
                <w:bCs/>
                <w:position w:val="4"/>
                <w:sz w:val="32"/>
                <w:szCs w:val="32"/>
              </w:rPr>
            </w:pPr>
          </w:p>
        </w:tc>
        <w:tc>
          <w:tcPr>
            <w:tcW w:w="1170" w:type="dxa"/>
            <w:tcBorders>
              <w:tl2br w:val="nil"/>
              <w:tr2bl w:val="nil"/>
            </w:tcBorders>
          </w:tcPr>
          <w:p>
            <w:pPr>
              <w:spacing w:line="560" w:lineRule="exact"/>
              <w:rPr>
                <w:rFonts w:ascii="宋体" w:hAnsi="宋体" w:cs="宋体"/>
                <w:b/>
                <w:bCs/>
                <w:position w:val="4"/>
                <w:sz w:val="32"/>
                <w:szCs w:val="32"/>
              </w:rPr>
            </w:pPr>
          </w:p>
        </w:tc>
        <w:tc>
          <w:tcPr>
            <w:tcW w:w="2690" w:type="dxa"/>
            <w:tcBorders>
              <w:tl2br w:val="nil"/>
              <w:tr2bl w:val="nil"/>
            </w:tcBorders>
          </w:tcPr>
          <w:p>
            <w:pPr>
              <w:spacing w:line="560" w:lineRule="exact"/>
              <w:rPr>
                <w:rFonts w:ascii="宋体" w:hAnsi="宋体" w:cs="宋体"/>
                <w:b/>
                <w:bCs/>
                <w:position w:val="4"/>
                <w:sz w:val="32"/>
                <w:szCs w:val="32"/>
              </w:rPr>
            </w:pPr>
          </w:p>
        </w:tc>
        <w:tc>
          <w:tcPr>
            <w:tcW w:w="1080" w:type="dxa"/>
            <w:tcBorders>
              <w:tl2br w:val="nil"/>
              <w:tr2bl w:val="nil"/>
            </w:tcBorders>
          </w:tcPr>
          <w:p>
            <w:pPr>
              <w:spacing w:line="560" w:lineRule="exact"/>
              <w:rPr>
                <w:rFonts w:ascii="宋体" w:hAnsi="宋体" w:cs="宋体"/>
                <w:b/>
                <w:bCs/>
                <w:position w:val="4"/>
                <w:sz w:val="32"/>
                <w:szCs w:val="32"/>
              </w:rPr>
            </w:pPr>
          </w:p>
        </w:tc>
        <w:tc>
          <w:tcPr>
            <w:tcW w:w="750" w:type="dxa"/>
            <w:tcBorders>
              <w:tl2br w:val="nil"/>
              <w:tr2bl w:val="nil"/>
            </w:tcBorders>
          </w:tcPr>
          <w:p>
            <w:pPr>
              <w:spacing w:line="560" w:lineRule="exact"/>
              <w:rPr>
                <w:rFonts w:ascii="宋体" w:hAnsi="宋体" w:cs="宋体"/>
                <w:b/>
                <w:bCs/>
                <w:position w:val="4"/>
                <w:sz w:val="32"/>
                <w:szCs w:val="32"/>
              </w:rPr>
            </w:pPr>
          </w:p>
        </w:tc>
        <w:tc>
          <w:tcPr>
            <w:tcW w:w="885" w:type="dxa"/>
            <w:tcBorders>
              <w:tl2br w:val="nil"/>
              <w:tr2bl w:val="nil"/>
            </w:tcBorders>
          </w:tcPr>
          <w:p>
            <w:pPr>
              <w:spacing w:line="560" w:lineRule="exact"/>
              <w:rPr>
                <w:rFonts w:ascii="宋体" w:hAnsi="宋体" w:cs="宋体"/>
                <w:b/>
                <w:bCs/>
                <w:position w:val="4"/>
                <w:sz w:val="32"/>
                <w:szCs w:val="32"/>
              </w:rPr>
            </w:pPr>
          </w:p>
        </w:tc>
        <w:tc>
          <w:tcPr>
            <w:tcW w:w="895" w:type="dxa"/>
            <w:tcBorders>
              <w:tl2br w:val="nil"/>
              <w:tr2bl w:val="nil"/>
            </w:tcBorders>
          </w:tcPr>
          <w:p>
            <w:pPr>
              <w:spacing w:line="560" w:lineRule="exact"/>
              <w:rPr>
                <w:rFonts w:ascii="宋体" w:hAnsi="宋体" w:cs="宋体"/>
                <w:b/>
                <w:bCs/>
                <w:position w:val="4"/>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85" w:type="dxa"/>
            <w:tcBorders>
              <w:tl2br w:val="nil"/>
              <w:tr2bl w:val="nil"/>
            </w:tcBorders>
          </w:tcPr>
          <w:p>
            <w:pPr>
              <w:spacing w:line="560" w:lineRule="exact"/>
              <w:rPr>
                <w:rFonts w:ascii="宋体" w:hAnsi="宋体" w:cs="宋体"/>
                <w:b/>
                <w:bCs/>
                <w:position w:val="4"/>
                <w:sz w:val="32"/>
                <w:szCs w:val="32"/>
              </w:rPr>
            </w:pPr>
          </w:p>
        </w:tc>
        <w:tc>
          <w:tcPr>
            <w:tcW w:w="1080" w:type="dxa"/>
            <w:tcBorders>
              <w:tl2br w:val="nil"/>
              <w:tr2bl w:val="nil"/>
            </w:tcBorders>
          </w:tcPr>
          <w:p>
            <w:pPr>
              <w:spacing w:line="560" w:lineRule="exact"/>
              <w:rPr>
                <w:rFonts w:ascii="宋体" w:hAnsi="宋体" w:cs="宋体"/>
                <w:b/>
                <w:bCs/>
                <w:position w:val="4"/>
                <w:sz w:val="32"/>
                <w:szCs w:val="32"/>
              </w:rPr>
            </w:pPr>
          </w:p>
        </w:tc>
        <w:tc>
          <w:tcPr>
            <w:tcW w:w="1170" w:type="dxa"/>
            <w:tcBorders>
              <w:tl2br w:val="nil"/>
              <w:tr2bl w:val="nil"/>
            </w:tcBorders>
          </w:tcPr>
          <w:p>
            <w:pPr>
              <w:spacing w:line="560" w:lineRule="exact"/>
              <w:rPr>
                <w:rFonts w:ascii="宋体" w:hAnsi="宋体" w:cs="宋体"/>
                <w:b/>
                <w:bCs/>
                <w:position w:val="4"/>
                <w:sz w:val="32"/>
                <w:szCs w:val="32"/>
              </w:rPr>
            </w:pPr>
          </w:p>
        </w:tc>
        <w:tc>
          <w:tcPr>
            <w:tcW w:w="2690" w:type="dxa"/>
            <w:tcBorders>
              <w:tl2br w:val="nil"/>
              <w:tr2bl w:val="nil"/>
            </w:tcBorders>
          </w:tcPr>
          <w:p>
            <w:pPr>
              <w:spacing w:line="560" w:lineRule="exact"/>
              <w:rPr>
                <w:rFonts w:ascii="宋体" w:hAnsi="宋体" w:cs="宋体"/>
                <w:b/>
                <w:bCs/>
                <w:position w:val="4"/>
                <w:sz w:val="32"/>
                <w:szCs w:val="32"/>
              </w:rPr>
            </w:pPr>
          </w:p>
        </w:tc>
        <w:tc>
          <w:tcPr>
            <w:tcW w:w="1080" w:type="dxa"/>
            <w:tcBorders>
              <w:tl2br w:val="nil"/>
              <w:tr2bl w:val="nil"/>
            </w:tcBorders>
          </w:tcPr>
          <w:p>
            <w:pPr>
              <w:spacing w:line="560" w:lineRule="exact"/>
              <w:rPr>
                <w:rFonts w:ascii="宋体" w:hAnsi="宋体" w:cs="宋体"/>
                <w:b/>
                <w:bCs/>
                <w:position w:val="4"/>
                <w:sz w:val="32"/>
                <w:szCs w:val="32"/>
              </w:rPr>
            </w:pPr>
          </w:p>
        </w:tc>
        <w:tc>
          <w:tcPr>
            <w:tcW w:w="750" w:type="dxa"/>
            <w:tcBorders>
              <w:tl2br w:val="nil"/>
              <w:tr2bl w:val="nil"/>
            </w:tcBorders>
          </w:tcPr>
          <w:p>
            <w:pPr>
              <w:spacing w:line="560" w:lineRule="exact"/>
              <w:rPr>
                <w:rFonts w:ascii="宋体" w:hAnsi="宋体" w:cs="宋体"/>
                <w:b/>
                <w:bCs/>
                <w:position w:val="4"/>
                <w:sz w:val="32"/>
                <w:szCs w:val="32"/>
              </w:rPr>
            </w:pPr>
          </w:p>
        </w:tc>
        <w:tc>
          <w:tcPr>
            <w:tcW w:w="885" w:type="dxa"/>
            <w:tcBorders>
              <w:tl2br w:val="nil"/>
              <w:tr2bl w:val="nil"/>
            </w:tcBorders>
          </w:tcPr>
          <w:p>
            <w:pPr>
              <w:spacing w:line="560" w:lineRule="exact"/>
              <w:rPr>
                <w:rFonts w:ascii="宋体" w:hAnsi="宋体" w:cs="宋体"/>
                <w:b/>
                <w:bCs/>
                <w:position w:val="4"/>
                <w:sz w:val="32"/>
                <w:szCs w:val="32"/>
              </w:rPr>
            </w:pPr>
          </w:p>
        </w:tc>
        <w:tc>
          <w:tcPr>
            <w:tcW w:w="895" w:type="dxa"/>
            <w:tcBorders>
              <w:tl2br w:val="nil"/>
              <w:tr2bl w:val="nil"/>
            </w:tcBorders>
          </w:tcPr>
          <w:p>
            <w:pPr>
              <w:spacing w:line="560" w:lineRule="exact"/>
              <w:rPr>
                <w:rFonts w:ascii="宋体" w:hAnsi="宋体" w:cs="宋体"/>
                <w:b/>
                <w:bCs/>
                <w:position w:val="4"/>
                <w:sz w:val="32"/>
                <w:szCs w:val="32"/>
              </w:rPr>
            </w:pPr>
          </w:p>
        </w:tc>
      </w:tr>
    </w:tbl>
    <w:p>
      <w:pPr>
        <w:spacing w:line="500" w:lineRule="exact"/>
        <w:rPr>
          <w:rFonts w:ascii="宋体" w:hAnsi="宋体" w:cs="宋体"/>
          <w:position w:val="4"/>
          <w:szCs w:val="21"/>
        </w:rPr>
      </w:pPr>
      <w:r>
        <w:rPr>
          <w:rFonts w:hint="eastAsia" w:ascii="宋体" w:hAnsi="宋体" w:cs="宋体"/>
          <w:position w:val="4"/>
          <w:szCs w:val="21"/>
        </w:rPr>
        <w:t>注：1、本表须如实逐项填写，不得空缺。如空缺将视为没有实质性响应招标文件。</w:t>
      </w:r>
    </w:p>
    <w:p>
      <w:pPr>
        <w:spacing w:line="500" w:lineRule="exact"/>
        <w:ind w:firstLine="420"/>
        <w:rPr>
          <w:rFonts w:ascii="宋体" w:hAnsi="宋体" w:cs="宋体"/>
          <w:position w:val="4"/>
          <w:szCs w:val="21"/>
        </w:rPr>
      </w:pPr>
      <w:r>
        <w:rPr>
          <w:rFonts w:hint="eastAsia" w:ascii="宋体" w:hAnsi="宋体" w:cs="宋体"/>
          <w:position w:val="4"/>
          <w:szCs w:val="21"/>
        </w:rPr>
        <w:t>2、若货物没有具体型号和注册商标的须注明。各项货物详细技术性能可另页描述。</w:t>
      </w:r>
    </w:p>
    <w:p>
      <w:pPr>
        <w:spacing w:line="500" w:lineRule="exact"/>
        <w:ind w:firstLine="420"/>
        <w:rPr>
          <w:rFonts w:ascii="宋体" w:hAnsi="宋体" w:cs="宋体"/>
          <w:position w:val="4"/>
          <w:szCs w:val="21"/>
        </w:rPr>
      </w:pPr>
    </w:p>
    <w:p/>
    <w:p>
      <w:pPr>
        <w:rPr>
          <w:b/>
        </w:rPr>
      </w:pPr>
      <w:r>
        <w:rPr>
          <w:rFonts w:hint="eastAsia"/>
        </w:rPr>
        <w:t xml:space="preserve">                                             投标人：</w:t>
      </w:r>
      <w:r>
        <w:rPr>
          <w:rFonts w:hint="eastAsia"/>
          <w:u w:val="single"/>
        </w:rPr>
        <w:t xml:space="preserve">               （单位全称、盖章）   </w:t>
      </w:r>
    </w:p>
    <w:p>
      <w:pPr>
        <w:rPr>
          <w:b/>
        </w:rPr>
      </w:pPr>
      <w:r>
        <w:rPr>
          <w:rFonts w:hint="eastAsia"/>
        </w:rPr>
        <w:t xml:space="preserve">                                             法定代表人或授权代表：</w:t>
      </w:r>
      <w:r>
        <w:rPr>
          <w:rFonts w:hint="eastAsia"/>
          <w:u w:val="single"/>
        </w:rPr>
        <w:t xml:space="preserve">     （盖章或签字）    </w:t>
      </w:r>
    </w:p>
    <w:p>
      <w:pPr>
        <w:rPr>
          <w:b/>
          <w:bCs/>
        </w:rPr>
      </w:pPr>
      <w:r>
        <w:rPr>
          <w:rFonts w:hint="eastAsia"/>
        </w:rPr>
        <w:t xml:space="preserve">                                             投标日期：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rPr>
          <w:b/>
          <w:bCs/>
          <w:color w:val="000000"/>
          <w:sz w:val="36"/>
          <w:szCs w:val="36"/>
        </w:rPr>
      </w:pPr>
      <w:r>
        <w:rPr>
          <w:b/>
          <w:bCs/>
          <w:color w:val="000000"/>
          <w:sz w:val="36"/>
          <w:szCs w:val="36"/>
        </w:rPr>
        <w:br w:type="page"/>
      </w:r>
    </w:p>
    <w:p>
      <w:pPr>
        <w:spacing w:line="560" w:lineRule="exact"/>
        <w:rPr>
          <w:rFonts w:ascii="宋体" w:hAnsi="宋体" w:cs="宋体"/>
          <w:b/>
          <w:bCs/>
          <w:szCs w:val="21"/>
        </w:rPr>
      </w:pPr>
      <w:r>
        <w:rPr>
          <w:rFonts w:hint="eastAsia" w:ascii="宋体" w:hAnsi="宋体" w:cs="宋体"/>
          <w:b/>
          <w:bCs/>
          <w:szCs w:val="21"/>
        </w:rPr>
        <w:t>附表3：</w:t>
      </w:r>
    </w:p>
    <w:p>
      <w:pPr>
        <w:spacing w:before="240" w:beforeLines="100" w:after="120" w:afterLines="50" w:line="560" w:lineRule="exact"/>
        <w:jc w:val="center"/>
        <w:rPr>
          <w:rFonts w:ascii="宋体" w:hAnsi="宋体" w:cs="宋体"/>
          <w:b/>
          <w:bCs/>
          <w:color w:val="000000"/>
          <w:sz w:val="36"/>
          <w:szCs w:val="36"/>
        </w:rPr>
      </w:pPr>
      <w:r>
        <w:rPr>
          <w:rFonts w:hint="eastAsia" w:ascii="宋体" w:hAnsi="宋体" w:cs="宋体"/>
          <w:b/>
          <w:bCs/>
          <w:color w:val="000000"/>
          <w:sz w:val="36"/>
          <w:szCs w:val="36"/>
        </w:rPr>
        <w:t>商务条款偏离表</w:t>
      </w:r>
    </w:p>
    <w:p>
      <w:pPr>
        <w:spacing w:line="560" w:lineRule="exact"/>
        <w:rPr>
          <w:rFonts w:ascii="宋体" w:hAnsi="宋体" w:cs="宋体"/>
          <w:b/>
          <w:bCs/>
          <w:color w:val="000000"/>
          <w:sz w:val="36"/>
          <w:szCs w:val="36"/>
        </w:rPr>
      </w:pPr>
      <w:r>
        <w:rPr>
          <w:rFonts w:hint="eastAsia" w:ascii="宋体" w:hAnsi="宋体" w:cs="宋体"/>
          <w:szCs w:val="21"/>
        </w:rPr>
        <w:t>投标人名称：</w:t>
      </w:r>
      <w:r>
        <w:rPr>
          <w:rFonts w:hint="eastAsia" w:ascii="宋体" w:hAnsi="宋体" w:cs="宋体"/>
          <w:szCs w:val="21"/>
          <w:u w:val="single"/>
        </w:rPr>
        <w:t xml:space="preserve">                          </w:t>
      </w:r>
      <w:r>
        <w:rPr>
          <w:rFonts w:hint="eastAsia" w:ascii="宋体" w:hAnsi="宋体" w:cs="宋体"/>
          <w:szCs w:val="21"/>
        </w:rPr>
        <w:t xml:space="preserve">                         项目编号：</w:t>
      </w:r>
      <w:r>
        <w:rPr>
          <w:rFonts w:hint="eastAsia" w:ascii="宋体" w:hAnsi="宋体" w:cs="宋体"/>
          <w:szCs w:val="21"/>
          <w:u w:val="single"/>
        </w:rPr>
        <w:t xml:space="preserve">              </w:t>
      </w:r>
    </w:p>
    <w:tbl>
      <w:tblPr>
        <w:tblStyle w:val="37"/>
        <w:tblW w:w="9210" w:type="dxa"/>
        <w:tblInd w:w="131"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910"/>
        <w:gridCol w:w="2625"/>
        <w:gridCol w:w="1590"/>
        <w:gridCol w:w="124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840" w:type="dxa"/>
            <w:tcBorders>
              <w:tl2br w:val="nil"/>
              <w:tr2bl w:val="nil"/>
            </w:tcBorders>
            <w:vAlign w:val="center"/>
          </w:tcPr>
          <w:p>
            <w:pPr>
              <w:spacing w:line="320" w:lineRule="exact"/>
              <w:ind w:left="-97" w:leftChars="-46"/>
              <w:jc w:val="center"/>
              <w:rPr>
                <w:rFonts w:ascii="宋体" w:hAnsi="宋体" w:cs="宋体"/>
                <w:b/>
                <w:bCs/>
                <w:position w:val="4"/>
                <w:szCs w:val="21"/>
              </w:rPr>
            </w:pPr>
            <w:r>
              <w:rPr>
                <w:rFonts w:hint="eastAsia" w:ascii="宋体" w:hAnsi="宋体" w:cs="宋体"/>
                <w:b/>
                <w:szCs w:val="21"/>
              </w:rPr>
              <w:t>序号</w:t>
            </w:r>
          </w:p>
        </w:tc>
        <w:tc>
          <w:tcPr>
            <w:tcW w:w="2910" w:type="dxa"/>
            <w:tcBorders>
              <w:tl2br w:val="nil"/>
              <w:tr2bl w:val="nil"/>
            </w:tcBorders>
            <w:vAlign w:val="center"/>
          </w:tcPr>
          <w:p>
            <w:pPr>
              <w:spacing w:line="320" w:lineRule="exact"/>
              <w:jc w:val="center"/>
              <w:rPr>
                <w:rFonts w:ascii="宋体" w:hAnsi="宋体" w:cs="宋体"/>
                <w:b/>
                <w:bCs/>
                <w:position w:val="4"/>
                <w:szCs w:val="21"/>
              </w:rPr>
            </w:pPr>
            <w:r>
              <w:rPr>
                <w:rFonts w:hint="eastAsia" w:ascii="宋体" w:hAnsi="宋体" w:cs="宋体"/>
                <w:b/>
                <w:szCs w:val="21"/>
              </w:rPr>
              <w:t>招标文件商务要求</w:t>
            </w:r>
          </w:p>
        </w:tc>
        <w:tc>
          <w:tcPr>
            <w:tcW w:w="2625" w:type="dxa"/>
            <w:tcBorders>
              <w:tl2br w:val="nil"/>
              <w:tr2bl w:val="nil"/>
            </w:tcBorders>
            <w:vAlign w:val="center"/>
          </w:tcPr>
          <w:p>
            <w:pPr>
              <w:spacing w:line="320" w:lineRule="exact"/>
              <w:jc w:val="center"/>
              <w:rPr>
                <w:rFonts w:ascii="宋体" w:hAnsi="宋体" w:cs="宋体"/>
                <w:b/>
                <w:bCs/>
                <w:position w:val="4"/>
                <w:szCs w:val="21"/>
              </w:rPr>
            </w:pPr>
            <w:r>
              <w:rPr>
                <w:rFonts w:hint="eastAsia" w:ascii="宋体" w:hAnsi="宋体" w:cs="宋体"/>
                <w:b/>
                <w:szCs w:val="21"/>
              </w:rPr>
              <w:t>投标文件商务响应</w:t>
            </w:r>
          </w:p>
        </w:tc>
        <w:tc>
          <w:tcPr>
            <w:tcW w:w="1590" w:type="dxa"/>
            <w:tcBorders>
              <w:tl2br w:val="nil"/>
              <w:tr2bl w:val="nil"/>
            </w:tcBorders>
            <w:vAlign w:val="center"/>
          </w:tcPr>
          <w:p>
            <w:pPr>
              <w:spacing w:line="320" w:lineRule="exact"/>
              <w:jc w:val="center"/>
              <w:rPr>
                <w:rFonts w:ascii="宋体" w:hAnsi="宋体" w:cs="宋体"/>
                <w:b/>
                <w:bCs/>
                <w:position w:val="4"/>
                <w:szCs w:val="21"/>
              </w:rPr>
            </w:pPr>
            <w:r>
              <w:rPr>
                <w:rFonts w:hint="eastAsia" w:ascii="宋体" w:hAnsi="宋体" w:cs="宋体"/>
                <w:b/>
                <w:szCs w:val="21"/>
              </w:rPr>
              <w:t>偏离情况</w:t>
            </w:r>
          </w:p>
        </w:tc>
        <w:tc>
          <w:tcPr>
            <w:tcW w:w="1245" w:type="dxa"/>
            <w:tcBorders>
              <w:tl2br w:val="nil"/>
              <w:tr2bl w:val="nil"/>
            </w:tcBorders>
            <w:vAlign w:val="center"/>
          </w:tcPr>
          <w:p>
            <w:pPr>
              <w:spacing w:line="320" w:lineRule="exact"/>
              <w:jc w:val="center"/>
              <w:rPr>
                <w:rFonts w:ascii="宋体" w:hAnsi="宋体" w:cs="宋体"/>
                <w:b/>
                <w:bCs/>
                <w:position w:val="4"/>
                <w:szCs w:val="21"/>
              </w:rPr>
            </w:pPr>
            <w:r>
              <w:rPr>
                <w:rFonts w:hint="eastAsia" w:ascii="宋体" w:hAnsi="宋体" w:cs="宋体"/>
                <w:b/>
                <w:szCs w:val="21"/>
              </w:rPr>
              <w:t>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0" w:type="dxa"/>
            <w:tcBorders>
              <w:tl2br w:val="nil"/>
              <w:tr2bl w:val="nil"/>
            </w:tcBorders>
          </w:tcPr>
          <w:p>
            <w:pPr>
              <w:spacing w:line="560" w:lineRule="exact"/>
              <w:rPr>
                <w:rFonts w:ascii="宋体" w:hAnsi="宋体" w:cs="宋体"/>
                <w:b/>
                <w:bCs/>
                <w:position w:val="4"/>
                <w:sz w:val="32"/>
                <w:szCs w:val="32"/>
              </w:rPr>
            </w:pPr>
          </w:p>
        </w:tc>
        <w:tc>
          <w:tcPr>
            <w:tcW w:w="2910" w:type="dxa"/>
            <w:tcBorders>
              <w:tl2br w:val="nil"/>
              <w:tr2bl w:val="nil"/>
            </w:tcBorders>
          </w:tcPr>
          <w:p>
            <w:pPr>
              <w:spacing w:line="560" w:lineRule="exact"/>
              <w:rPr>
                <w:rFonts w:ascii="宋体" w:hAnsi="宋体" w:cs="宋体"/>
                <w:b/>
                <w:bCs/>
                <w:position w:val="4"/>
                <w:sz w:val="32"/>
                <w:szCs w:val="32"/>
              </w:rPr>
            </w:pPr>
          </w:p>
        </w:tc>
        <w:tc>
          <w:tcPr>
            <w:tcW w:w="2625" w:type="dxa"/>
            <w:tcBorders>
              <w:tl2br w:val="nil"/>
              <w:tr2bl w:val="nil"/>
            </w:tcBorders>
          </w:tcPr>
          <w:p>
            <w:pPr>
              <w:spacing w:line="560" w:lineRule="exact"/>
              <w:rPr>
                <w:rFonts w:ascii="宋体" w:hAnsi="宋体" w:cs="宋体"/>
                <w:b/>
                <w:bCs/>
                <w:position w:val="4"/>
                <w:sz w:val="32"/>
                <w:szCs w:val="32"/>
              </w:rPr>
            </w:pPr>
          </w:p>
        </w:tc>
        <w:tc>
          <w:tcPr>
            <w:tcW w:w="1590" w:type="dxa"/>
            <w:tcBorders>
              <w:tl2br w:val="nil"/>
              <w:tr2bl w:val="nil"/>
            </w:tcBorders>
          </w:tcPr>
          <w:p>
            <w:pPr>
              <w:spacing w:line="560" w:lineRule="exact"/>
              <w:rPr>
                <w:rFonts w:ascii="宋体" w:hAnsi="宋体" w:cs="宋体"/>
                <w:b/>
                <w:bCs/>
                <w:position w:val="4"/>
                <w:sz w:val="32"/>
                <w:szCs w:val="32"/>
              </w:rPr>
            </w:pPr>
          </w:p>
        </w:tc>
        <w:tc>
          <w:tcPr>
            <w:tcW w:w="1245" w:type="dxa"/>
            <w:tcBorders>
              <w:tl2br w:val="nil"/>
              <w:tr2bl w:val="nil"/>
            </w:tcBorders>
          </w:tcPr>
          <w:p>
            <w:pPr>
              <w:spacing w:line="560" w:lineRule="exact"/>
              <w:rPr>
                <w:rFonts w:ascii="宋体" w:hAnsi="宋体" w:cs="宋体"/>
                <w:b/>
                <w:bCs/>
                <w:position w:val="4"/>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0" w:type="dxa"/>
            <w:tcBorders>
              <w:tl2br w:val="nil"/>
              <w:tr2bl w:val="nil"/>
            </w:tcBorders>
          </w:tcPr>
          <w:p>
            <w:pPr>
              <w:spacing w:line="560" w:lineRule="exact"/>
              <w:rPr>
                <w:rFonts w:ascii="宋体" w:hAnsi="宋体" w:cs="宋体"/>
                <w:b/>
                <w:bCs/>
                <w:position w:val="4"/>
                <w:sz w:val="32"/>
                <w:szCs w:val="32"/>
              </w:rPr>
            </w:pPr>
          </w:p>
        </w:tc>
        <w:tc>
          <w:tcPr>
            <w:tcW w:w="2910" w:type="dxa"/>
            <w:tcBorders>
              <w:tl2br w:val="nil"/>
              <w:tr2bl w:val="nil"/>
            </w:tcBorders>
          </w:tcPr>
          <w:p>
            <w:pPr>
              <w:spacing w:line="560" w:lineRule="exact"/>
              <w:rPr>
                <w:rFonts w:ascii="宋体" w:hAnsi="宋体" w:cs="宋体"/>
                <w:b/>
                <w:bCs/>
                <w:position w:val="4"/>
                <w:sz w:val="32"/>
                <w:szCs w:val="32"/>
              </w:rPr>
            </w:pPr>
          </w:p>
        </w:tc>
        <w:tc>
          <w:tcPr>
            <w:tcW w:w="2625" w:type="dxa"/>
            <w:tcBorders>
              <w:tl2br w:val="nil"/>
              <w:tr2bl w:val="nil"/>
            </w:tcBorders>
          </w:tcPr>
          <w:p>
            <w:pPr>
              <w:spacing w:line="560" w:lineRule="exact"/>
              <w:rPr>
                <w:rFonts w:ascii="宋体" w:hAnsi="宋体" w:cs="宋体"/>
                <w:b/>
                <w:bCs/>
                <w:position w:val="4"/>
                <w:sz w:val="32"/>
                <w:szCs w:val="32"/>
              </w:rPr>
            </w:pPr>
          </w:p>
        </w:tc>
        <w:tc>
          <w:tcPr>
            <w:tcW w:w="1590" w:type="dxa"/>
            <w:tcBorders>
              <w:tl2br w:val="nil"/>
              <w:tr2bl w:val="nil"/>
            </w:tcBorders>
          </w:tcPr>
          <w:p>
            <w:pPr>
              <w:spacing w:line="560" w:lineRule="exact"/>
              <w:rPr>
                <w:rFonts w:ascii="宋体" w:hAnsi="宋体" w:cs="宋体"/>
                <w:b/>
                <w:bCs/>
                <w:position w:val="4"/>
                <w:sz w:val="32"/>
                <w:szCs w:val="32"/>
              </w:rPr>
            </w:pPr>
          </w:p>
        </w:tc>
        <w:tc>
          <w:tcPr>
            <w:tcW w:w="1245" w:type="dxa"/>
            <w:tcBorders>
              <w:tl2br w:val="nil"/>
              <w:tr2bl w:val="nil"/>
            </w:tcBorders>
          </w:tcPr>
          <w:p>
            <w:pPr>
              <w:spacing w:line="560" w:lineRule="exact"/>
              <w:rPr>
                <w:rFonts w:ascii="宋体" w:hAnsi="宋体" w:cs="宋体"/>
                <w:b/>
                <w:bCs/>
                <w:position w:val="4"/>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0" w:type="dxa"/>
            <w:tcBorders>
              <w:tl2br w:val="nil"/>
              <w:tr2bl w:val="nil"/>
            </w:tcBorders>
          </w:tcPr>
          <w:p>
            <w:pPr>
              <w:spacing w:line="560" w:lineRule="exact"/>
              <w:rPr>
                <w:rFonts w:ascii="宋体" w:hAnsi="宋体" w:cs="宋体"/>
                <w:b/>
                <w:bCs/>
                <w:position w:val="4"/>
                <w:sz w:val="32"/>
                <w:szCs w:val="32"/>
              </w:rPr>
            </w:pPr>
          </w:p>
        </w:tc>
        <w:tc>
          <w:tcPr>
            <w:tcW w:w="2910" w:type="dxa"/>
            <w:tcBorders>
              <w:tl2br w:val="nil"/>
              <w:tr2bl w:val="nil"/>
            </w:tcBorders>
          </w:tcPr>
          <w:p>
            <w:pPr>
              <w:spacing w:line="560" w:lineRule="exact"/>
              <w:rPr>
                <w:rFonts w:ascii="宋体" w:hAnsi="宋体" w:cs="宋体"/>
                <w:b/>
                <w:bCs/>
                <w:position w:val="4"/>
                <w:sz w:val="32"/>
                <w:szCs w:val="32"/>
              </w:rPr>
            </w:pPr>
          </w:p>
        </w:tc>
        <w:tc>
          <w:tcPr>
            <w:tcW w:w="2625" w:type="dxa"/>
            <w:tcBorders>
              <w:tl2br w:val="nil"/>
              <w:tr2bl w:val="nil"/>
            </w:tcBorders>
          </w:tcPr>
          <w:p>
            <w:pPr>
              <w:spacing w:line="560" w:lineRule="exact"/>
              <w:rPr>
                <w:rFonts w:ascii="宋体" w:hAnsi="宋体" w:cs="宋体"/>
                <w:b/>
                <w:bCs/>
                <w:position w:val="4"/>
                <w:sz w:val="32"/>
                <w:szCs w:val="32"/>
              </w:rPr>
            </w:pPr>
          </w:p>
        </w:tc>
        <w:tc>
          <w:tcPr>
            <w:tcW w:w="1590" w:type="dxa"/>
            <w:tcBorders>
              <w:tl2br w:val="nil"/>
              <w:tr2bl w:val="nil"/>
            </w:tcBorders>
          </w:tcPr>
          <w:p>
            <w:pPr>
              <w:spacing w:line="560" w:lineRule="exact"/>
              <w:rPr>
                <w:rFonts w:ascii="宋体" w:hAnsi="宋体" w:cs="宋体"/>
                <w:b/>
                <w:bCs/>
                <w:position w:val="4"/>
                <w:sz w:val="32"/>
                <w:szCs w:val="32"/>
              </w:rPr>
            </w:pPr>
          </w:p>
        </w:tc>
        <w:tc>
          <w:tcPr>
            <w:tcW w:w="1245" w:type="dxa"/>
            <w:tcBorders>
              <w:tl2br w:val="nil"/>
              <w:tr2bl w:val="nil"/>
            </w:tcBorders>
          </w:tcPr>
          <w:p>
            <w:pPr>
              <w:spacing w:line="560" w:lineRule="exact"/>
              <w:rPr>
                <w:rFonts w:ascii="宋体" w:hAnsi="宋体" w:cs="宋体"/>
                <w:b/>
                <w:bCs/>
                <w:position w:val="4"/>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0" w:type="dxa"/>
            <w:tcBorders>
              <w:tl2br w:val="nil"/>
              <w:tr2bl w:val="nil"/>
            </w:tcBorders>
          </w:tcPr>
          <w:p>
            <w:pPr>
              <w:spacing w:line="560" w:lineRule="exact"/>
              <w:rPr>
                <w:rFonts w:ascii="宋体" w:hAnsi="宋体" w:cs="宋体"/>
                <w:b/>
                <w:bCs/>
                <w:position w:val="4"/>
                <w:sz w:val="32"/>
                <w:szCs w:val="32"/>
              </w:rPr>
            </w:pPr>
          </w:p>
        </w:tc>
        <w:tc>
          <w:tcPr>
            <w:tcW w:w="2910" w:type="dxa"/>
            <w:tcBorders>
              <w:tl2br w:val="nil"/>
              <w:tr2bl w:val="nil"/>
            </w:tcBorders>
          </w:tcPr>
          <w:p>
            <w:pPr>
              <w:spacing w:line="560" w:lineRule="exact"/>
              <w:rPr>
                <w:rFonts w:ascii="宋体" w:hAnsi="宋体" w:cs="宋体"/>
                <w:b/>
                <w:bCs/>
                <w:position w:val="4"/>
                <w:sz w:val="32"/>
                <w:szCs w:val="32"/>
              </w:rPr>
            </w:pPr>
          </w:p>
        </w:tc>
        <w:tc>
          <w:tcPr>
            <w:tcW w:w="2625" w:type="dxa"/>
            <w:tcBorders>
              <w:tl2br w:val="nil"/>
              <w:tr2bl w:val="nil"/>
            </w:tcBorders>
          </w:tcPr>
          <w:p>
            <w:pPr>
              <w:spacing w:line="560" w:lineRule="exact"/>
              <w:rPr>
                <w:rFonts w:ascii="宋体" w:hAnsi="宋体" w:cs="宋体"/>
                <w:b/>
                <w:bCs/>
                <w:position w:val="4"/>
                <w:sz w:val="32"/>
                <w:szCs w:val="32"/>
              </w:rPr>
            </w:pPr>
          </w:p>
        </w:tc>
        <w:tc>
          <w:tcPr>
            <w:tcW w:w="1590" w:type="dxa"/>
            <w:tcBorders>
              <w:tl2br w:val="nil"/>
              <w:tr2bl w:val="nil"/>
            </w:tcBorders>
          </w:tcPr>
          <w:p>
            <w:pPr>
              <w:spacing w:line="560" w:lineRule="exact"/>
              <w:rPr>
                <w:rFonts w:ascii="宋体" w:hAnsi="宋体" w:cs="宋体"/>
                <w:b/>
                <w:bCs/>
                <w:position w:val="4"/>
                <w:sz w:val="32"/>
                <w:szCs w:val="32"/>
              </w:rPr>
            </w:pPr>
          </w:p>
        </w:tc>
        <w:tc>
          <w:tcPr>
            <w:tcW w:w="1245" w:type="dxa"/>
            <w:tcBorders>
              <w:tl2br w:val="nil"/>
              <w:tr2bl w:val="nil"/>
            </w:tcBorders>
          </w:tcPr>
          <w:p>
            <w:pPr>
              <w:spacing w:line="560" w:lineRule="exact"/>
              <w:rPr>
                <w:rFonts w:ascii="宋体" w:hAnsi="宋体" w:cs="宋体"/>
                <w:b/>
                <w:bCs/>
                <w:position w:val="4"/>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0" w:type="dxa"/>
            <w:tcBorders>
              <w:tl2br w:val="nil"/>
              <w:tr2bl w:val="nil"/>
            </w:tcBorders>
          </w:tcPr>
          <w:p>
            <w:pPr>
              <w:spacing w:line="560" w:lineRule="exact"/>
              <w:rPr>
                <w:rFonts w:ascii="宋体" w:hAnsi="宋体" w:cs="宋体"/>
                <w:b/>
                <w:bCs/>
                <w:position w:val="4"/>
                <w:sz w:val="32"/>
                <w:szCs w:val="32"/>
              </w:rPr>
            </w:pPr>
          </w:p>
        </w:tc>
        <w:tc>
          <w:tcPr>
            <w:tcW w:w="2910" w:type="dxa"/>
            <w:tcBorders>
              <w:tl2br w:val="nil"/>
              <w:tr2bl w:val="nil"/>
            </w:tcBorders>
          </w:tcPr>
          <w:p>
            <w:pPr>
              <w:spacing w:line="560" w:lineRule="exact"/>
              <w:rPr>
                <w:rFonts w:ascii="宋体" w:hAnsi="宋体" w:cs="宋体"/>
                <w:b/>
                <w:bCs/>
                <w:position w:val="4"/>
                <w:sz w:val="32"/>
                <w:szCs w:val="32"/>
              </w:rPr>
            </w:pPr>
          </w:p>
        </w:tc>
        <w:tc>
          <w:tcPr>
            <w:tcW w:w="2625" w:type="dxa"/>
            <w:tcBorders>
              <w:tl2br w:val="nil"/>
              <w:tr2bl w:val="nil"/>
            </w:tcBorders>
          </w:tcPr>
          <w:p>
            <w:pPr>
              <w:spacing w:line="560" w:lineRule="exact"/>
              <w:rPr>
                <w:rFonts w:ascii="宋体" w:hAnsi="宋体" w:cs="宋体"/>
                <w:b/>
                <w:bCs/>
                <w:position w:val="4"/>
                <w:sz w:val="32"/>
                <w:szCs w:val="32"/>
              </w:rPr>
            </w:pPr>
          </w:p>
        </w:tc>
        <w:tc>
          <w:tcPr>
            <w:tcW w:w="1590" w:type="dxa"/>
            <w:tcBorders>
              <w:tl2br w:val="nil"/>
              <w:tr2bl w:val="nil"/>
            </w:tcBorders>
          </w:tcPr>
          <w:p>
            <w:pPr>
              <w:spacing w:line="560" w:lineRule="exact"/>
              <w:rPr>
                <w:rFonts w:ascii="宋体" w:hAnsi="宋体" w:cs="宋体"/>
                <w:b/>
                <w:bCs/>
                <w:position w:val="4"/>
                <w:sz w:val="32"/>
                <w:szCs w:val="32"/>
              </w:rPr>
            </w:pPr>
          </w:p>
        </w:tc>
        <w:tc>
          <w:tcPr>
            <w:tcW w:w="1245" w:type="dxa"/>
            <w:tcBorders>
              <w:tl2br w:val="nil"/>
              <w:tr2bl w:val="nil"/>
            </w:tcBorders>
          </w:tcPr>
          <w:p>
            <w:pPr>
              <w:spacing w:line="560" w:lineRule="exact"/>
              <w:rPr>
                <w:rFonts w:ascii="宋体" w:hAnsi="宋体" w:cs="宋体"/>
                <w:b/>
                <w:bCs/>
                <w:position w:val="4"/>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0" w:type="dxa"/>
            <w:tcBorders>
              <w:tl2br w:val="nil"/>
              <w:tr2bl w:val="nil"/>
            </w:tcBorders>
          </w:tcPr>
          <w:p>
            <w:pPr>
              <w:spacing w:line="560" w:lineRule="exact"/>
              <w:rPr>
                <w:rFonts w:ascii="宋体" w:hAnsi="宋体" w:cs="宋体"/>
                <w:b/>
                <w:bCs/>
                <w:position w:val="4"/>
                <w:sz w:val="32"/>
                <w:szCs w:val="32"/>
              </w:rPr>
            </w:pPr>
          </w:p>
        </w:tc>
        <w:tc>
          <w:tcPr>
            <w:tcW w:w="2910" w:type="dxa"/>
            <w:tcBorders>
              <w:tl2br w:val="nil"/>
              <w:tr2bl w:val="nil"/>
            </w:tcBorders>
          </w:tcPr>
          <w:p>
            <w:pPr>
              <w:spacing w:line="560" w:lineRule="exact"/>
              <w:rPr>
                <w:rFonts w:ascii="宋体" w:hAnsi="宋体" w:cs="宋体"/>
                <w:b/>
                <w:bCs/>
                <w:position w:val="4"/>
                <w:sz w:val="32"/>
                <w:szCs w:val="32"/>
              </w:rPr>
            </w:pPr>
          </w:p>
        </w:tc>
        <w:tc>
          <w:tcPr>
            <w:tcW w:w="2625" w:type="dxa"/>
            <w:tcBorders>
              <w:tl2br w:val="nil"/>
              <w:tr2bl w:val="nil"/>
            </w:tcBorders>
          </w:tcPr>
          <w:p>
            <w:pPr>
              <w:spacing w:line="560" w:lineRule="exact"/>
              <w:rPr>
                <w:rFonts w:ascii="宋体" w:hAnsi="宋体" w:cs="宋体"/>
                <w:b/>
                <w:bCs/>
                <w:position w:val="4"/>
                <w:sz w:val="32"/>
                <w:szCs w:val="32"/>
              </w:rPr>
            </w:pPr>
          </w:p>
        </w:tc>
        <w:tc>
          <w:tcPr>
            <w:tcW w:w="1590" w:type="dxa"/>
            <w:tcBorders>
              <w:tl2br w:val="nil"/>
              <w:tr2bl w:val="nil"/>
            </w:tcBorders>
          </w:tcPr>
          <w:p>
            <w:pPr>
              <w:spacing w:line="560" w:lineRule="exact"/>
              <w:rPr>
                <w:rFonts w:ascii="宋体" w:hAnsi="宋体" w:cs="宋体"/>
                <w:b/>
                <w:bCs/>
                <w:position w:val="4"/>
                <w:sz w:val="32"/>
                <w:szCs w:val="32"/>
              </w:rPr>
            </w:pPr>
          </w:p>
        </w:tc>
        <w:tc>
          <w:tcPr>
            <w:tcW w:w="1245" w:type="dxa"/>
            <w:tcBorders>
              <w:tl2br w:val="nil"/>
              <w:tr2bl w:val="nil"/>
            </w:tcBorders>
          </w:tcPr>
          <w:p>
            <w:pPr>
              <w:spacing w:line="560" w:lineRule="exact"/>
              <w:rPr>
                <w:rFonts w:ascii="宋体" w:hAnsi="宋体" w:cs="宋体"/>
                <w:b/>
                <w:bCs/>
                <w:position w:val="4"/>
                <w:sz w:val="32"/>
                <w:szCs w:val="32"/>
              </w:rPr>
            </w:pPr>
          </w:p>
        </w:tc>
      </w:tr>
    </w:tbl>
    <w:p>
      <w:pPr>
        <w:spacing w:line="440" w:lineRule="exact"/>
        <w:rPr>
          <w:rFonts w:ascii="宋体" w:hAnsi="宋体" w:cs="宋体"/>
          <w:szCs w:val="21"/>
        </w:rPr>
      </w:pPr>
      <w:r>
        <w:rPr>
          <w:rFonts w:hint="eastAsia" w:ascii="宋体" w:hAnsi="宋体" w:cs="宋体"/>
          <w:szCs w:val="21"/>
        </w:rPr>
        <w:t xml:space="preserve">注：1、除本商务条款偏离表中所列的偏离项目外，其他所有商务均完全响应“招标文件”中的要求。 </w:t>
      </w:r>
    </w:p>
    <w:p>
      <w:pPr>
        <w:numPr>
          <w:ilvl w:val="0"/>
          <w:numId w:val="16"/>
        </w:numPr>
        <w:spacing w:line="440" w:lineRule="exact"/>
        <w:ind w:firstLine="420" w:firstLineChars="200"/>
        <w:rPr>
          <w:rFonts w:ascii="宋体" w:hAnsi="宋体" w:cs="宋体"/>
          <w:szCs w:val="21"/>
        </w:rPr>
      </w:pPr>
      <w:r>
        <w:rPr>
          <w:rFonts w:hint="eastAsia" w:ascii="宋体" w:hAnsi="宋体" w:cs="宋体"/>
          <w:szCs w:val="21"/>
        </w:rPr>
        <w:t>投标人必须据实填写，不得虚假响应，否则将取消其投标或中标资格，并按有关规定进行处罚。</w:t>
      </w:r>
    </w:p>
    <w:p>
      <w:pPr>
        <w:spacing w:line="440" w:lineRule="exact"/>
        <w:rPr>
          <w:rFonts w:ascii="宋体" w:hAnsi="宋体" w:cs="宋体"/>
          <w:szCs w:val="21"/>
        </w:rPr>
      </w:pPr>
    </w:p>
    <w:p>
      <w:pPr>
        <w:spacing w:line="440" w:lineRule="exact"/>
        <w:rPr>
          <w:rFonts w:ascii="宋体" w:hAnsi="宋体" w:cs="宋体"/>
          <w:szCs w:val="21"/>
        </w:rPr>
      </w:pPr>
    </w:p>
    <w:p>
      <w:pPr>
        <w:pStyle w:val="67"/>
        <w:spacing w:line="500" w:lineRule="exact"/>
        <w:jc w:val="left"/>
        <w:rPr>
          <w:rFonts w:ascii="宋体" w:hAnsi="宋体" w:cs="宋体"/>
          <w:b w:val="0"/>
          <w:sz w:val="21"/>
          <w:szCs w:val="21"/>
        </w:rPr>
      </w:pPr>
      <w:r>
        <w:rPr>
          <w:rFonts w:hint="eastAsia" w:ascii="宋体" w:hAnsi="宋体" w:cs="宋体"/>
          <w:b w:val="0"/>
          <w:sz w:val="21"/>
          <w:szCs w:val="21"/>
        </w:rPr>
        <w:t xml:space="preserve">                                             投标人：</w:t>
      </w:r>
      <w:r>
        <w:rPr>
          <w:rFonts w:hint="eastAsia" w:ascii="宋体" w:hAnsi="宋体" w:cs="宋体"/>
          <w:b w:val="0"/>
          <w:sz w:val="21"/>
          <w:szCs w:val="21"/>
          <w:u w:val="single"/>
        </w:rPr>
        <w:t xml:space="preserve">               （单位全称、盖章）   </w:t>
      </w:r>
    </w:p>
    <w:p>
      <w:pPr>
        <w:pStyle w:val="67"/>
        <w:spacing w:line="500" w:lineRule="exact"/>
        <w:jc w:val="left"/>
        <w:rPr>
          <w:rFonts w:ascii="宋体" w:hAnsi="宋体" w:cs="宋体"/>
          <w:b w:val="0"/>
          <w:sz w:val="21"/>
          <w:szCs w:val="21"/>
        </w:rPr>
      </w:pPr>
      <w:r>
        <w:rPr>
          <w:rFonts w:hint="eastAsia" w:ascii="宋体" w:hAnsi="宋体" w:cs="宋体"/>
          <w:b w:val="0"/>
          <w:sz w:val="21"/>
          <w:szCs w:val="21"/>
        </w:rPr>
        <w:t xml:space="preserve">                                             法定代表人或授权代表：</w:t>
      </w:r>
      <w:r>
        <w:rPr>
          <w:rFonts w:hint="eastAsia" w:ascii="宋体" w:hAnsi="宋体" w:cs="宋体"/>
          <w:b w:val="0"/>
          <w:sz w:val="21"/>
          <w:szCs w:val="21"/>
          <w:u w:val="single"/>
        </w:rPr>
        <w:t xml:space="preserve">     （盖章或签字）    </w:t>
      </w:r>
    </w:p>
    <w:p>
      <w:pPr>
        <w:spacing w:line="440" w:lineRule="exact"/>
        <w:rPr>
          <w:rFonts w:ascii="宋体" w:hAnsi="宋体" w:cs="宋体"/>
          <w:szCs w:val="21"/>
        </w:rPr>
      </w:pPr>
      <w:r>
        <w:rPr>
          <w:rFonts w:hint="eastAsia" w:ascii="宋体" w:hAnsi="宋体" w:cs="宋体"/>
          <w:szCs w:val="21"/>
        </w:rPr>
        <w:t xml:space="preserve">                                             投标日期：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560" w:lineRule="atLeast"/>
        <w:jc w:val="center"/>
        <w:rPr>
          <w:rFonts w:ascii="宋体" w:hAnsi="宋体" w:cs="宋体"/>
        </w:rPr>
      </w:pPr>
      <w:bookmarkStart w:id="48" w:name="_Toc3536"/>
      <w:bookmarkStart w:id="49" w:name="_Toc4043"/>
      <w:bookmarkStart w:id="50" w:name="_Toc193126905"/>
      <w:bookmarkStart w:id="51" w:name="_Toc194663942"/>
      <w:bookmarkStart w:id="52" w:name="_Toc188808855"/>
      <w:bookmarkStart w:id="53" w:name="_Toc193187111"/>
      <w:bookmarkStart w:id="54" w:name="_Toc193126891"/>
      <w:bookmarkStart w:id="55" w:name="_Toc188808842"/>
      <w:r>
        <w:rPr>
          <w:rFonts w:hint="eastAsia" w:ascii="宋体" w:hAnsi="宋体" w:cs="宋体"/>
          <w:b/>
          <w:bCs/>
          <w:sz w:val="36"/>
          <w:szCs w:val="36"/>
        </w:rPr>
        <w:t>七、投标人认为有必要补充说明的事宜</w:t>
      </w:r>
      <w:bookmarkEnd w:id="48"/>
      <w:bookmarkEnd w:id="49"/>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pStyle w:val="15"/>
        <w:rPr>
          <w:rFonts w:ascii="宋体" w:hAnsi="宋体" w:cs="宋体"/>
        </w:rPr>
      </w:pPr>
    </w:p>
    <w:p>
      <w:pPr>
        <w:rPr>
          <w:rFonts w:ascii="宋体" w:hAnsi="宋体" w:cs="宋体"/>
        </w:rPr>
      </w:pPr>
    </w:p>
    <w:p>
      <w:pPr>
        <w:pStyle w:val="15"/>
        <w:rPr>
          <w:rFonts w:ascii="宋体" w:hAnsi="宋体" w:cs="宋体"/>
        </w:rPr>
      </w:pPr>
    </w:p>
    <w:p>
      <w:pPr>
        <w:rPr>
          <w:rFonts w:ascii="宋体" w:hAnsi="宋体" w:cs="宋体"/>
        </w:rPr>
      </w:pPr>
    </w:p>
    <w:p>
      <w:pPr>
        <w:pStyle w:val="15"/>
        <w:rPr>
          <w:rFonts w:ascii="宋体" w:hAnsi="宋体" w:cs="宋体"/>
        </w:rPr>
      </w:pPr>
    </w:p>
    <w:p>
      <w:pPr>
        <w:rPr>
          <w:rFonts w:ascii="宋体" w:hAnsi="宋体" w:cs="宋体"/>
        </w:rPr>
      </w:pPr>
    </w:p>
    <w:p>
      <w:pPr>
        <w:pStyle w:val="15"/>
        <w:rPr>
          <w:rFonts w:ascii="宋体" w:hAnsi="宋体" w:cs="宋体"/>
        </w:rPr>
      </w:pPr>
    </w:p>
    <w:p>
      <w:pPr>
        <w:rPr>
          <w:rFonts w:ascii="宋体" w:hAnsi="宋体" w:cs="宋体"/>
        </w:rPr>
      </w:pPr>
    </w:p>
    <w:p>
      <w:pPr>
        <w:pStyle w:val="15"/>
        <w:rPr>
          <w:rFonts w:ascii="宋体" w:hAnsi="宋体" w:cs="宋体"/>
        </w:rPr>
      </w:pPr>
    </w:p>
    <w:p>
      <w:pPr>
        <w:rPr>
          <w:rFonts w:ascii="宋体" w:hAnsi="宋体" w:cs="宋体"/>
        </w:rPr>
      </w:pPr>
    </w:p>
    <w:p>
      <w:pPr>
        <w:pStyle w:val="15"/>
        <w:rPr>
          <w:rFonts w:ascii="宋体" w:hAnsi="宋体" w:cs="宋体"/>
        </w:rPr>
      </w:pPr>
    </w:p>
    <w:p>
      <w:pPr>
        <w:rPr>
          <w:rFonts w:ascii="宋体" w:hAnsi="宋体" w:cs="宋体"/>
        </w:rPr>
      </w:pPr>
    </w:p>
    <w:p>
      <w:pPr>
        <w:pStyle w:val="15"/>
        <w:rPr>
          <w:rFonts w:ascii="宋体" w:hAnsi="宋体" w:cs="宋体"/>
        </w:rPr>
      </w:pPr>
    </w:p>
    <w:p>
      <w:pPr>
        <w:rPr>
          <w:rFonts w:ascii="宋体" w:hAnsi="宋体" w:cs="宋体"/>
        </w:rPr>
      </w:pPr>
    </w:p>
    <w:p>
      <w:pPr>
        <w:pStyle w:val="15"/>
        <w:rPr>
          <w:rFonts w:ascii="宋体" w:hAnsi="宋体" w:cs="宋体"/>
        </w:rPr>
      </w:pPr>
    </w:p>
    <w:p>
      <w:pPr>
        <w:rPr>
          <w:rFonts w:ascii="宋体" w:hAnsi="宋体" w:cs="宋体"/>
        </w:rPr>
      </w:pPr>
    </w:p>
    <w:p>
      <w:pPr>
        <w:pStyle w:val="15"/>
        <w:rPr>
          <w:rFonts w:ascii="宋体" w:hAnsi="宋体" w:cs="宋体"/>
        </w:rPr>
      </w:pPr>
    </w:p>
    <w:p>
      <w:pPr>
        <w:rPr>
          <w:rFonts w:ascii="宋体" w:hAnsi="宋体" w:cs="宋体"/>
        </w:rPr>
      </w:pPr>
    </w:p>
    <w:p>
      <w:pPr>
        <w:pStyle w:val="15"/>
        <w:rPr>
          <w:rFonts w:ascii="宋体" w:hAnsi="宋体" w:cs="宋体"/>
        </w:rPr>
      </w:pPr>
    </w:p>
    <w:p>
      <w:pPr>
        <w:rPr>
          <w:rFonts w:ascii="宋体" w:hAnsi="宋体" w:cs="宋体"/>
        </w:rPr>
      </w:pPr>
    </w:p>
    <w:p>
      <w:pPr>
        <w:pStyle w:val="15"/>
        <w:rPr>
          <w:rFonts w:ascii="宋体" w:hAnsi="宋体" w:cs="宋体"/>
        </w:rPr>
      </w:pPr>
    </w:p>
    <w:p>
      <w:pPr>
        <w:rPr>
          <w:rFonts w:ascii="宋体" w:hAnsi="宋体" w:cs="宋体"/>
        </w:rPr>
      </w:pPr>
    </w:p>
    <w:p>
      <w:pPr>
        <w:pStyle w:val="15"/>
        <w:rPr>
          <w:rFonts w:ascii="宋体" w:hAnsi="宋体" w:cs="宋体"/>
        </w:rPr>
      </w:pPr>
    </w:p>
    <w:p>
      <w:pPr>
        <w:rPr>
          <w:rFonts w:ascii="宋体" w:hAnsi="宋体" w:cs="宋体"/>
        </w:rPr>
      </w:pPr>
    </w:p>
    <w:p>
      <w:pPr>
        <w:spacing w:line="560" w:lineRule="exact"/>
        <w:jc w:val="center"/>
        <w:rPr>
          <w:rFonts w:ascii="宋体" w:hAnsi="宋体" w:cs="宋体"/>
          <w:b/>
          <w:bCs/>
          <w:sz w:val="36"/>
          <w:szCs w:val="36"/>
        </w:rPr>
      </w:pPr>
      <w:bookmarkStart w:id="56" w:name="_Toc22572"/>
      <w:bookmarkStart w:id="57" w:name="_Toc27"/>
      <w:r>
        <w:rPr>
          <w:rFonts w:hint="eastAsia" w:ascii="宋体" w:hAnsi="宋体" w:cs="宋体"/>
          <w:b/>
          <w:bCs/>
          <w:sz w:val="36"/>
          <w:szCs w:val="36"/>
        </w:rPr>
        <w:t>八、《拒绝政府采购领域商业贿赂承诺书》</w:t>
      </w:r>
      <w:bookmarkEnd w:id="50"/>
      <w:bookmarkEnd w:id="51"/>
      <w:bookmarkEnd w:id="52"/>
      <w:bookmarkEnd w:id="53"/>
      <w:bookmarkEnd w:id="56"/>
      <w:bookmarkEnd w:id="57"/>
    </w:p>
    <w:p>
      <w:pPr>
        <w:widowControl/>
        <w:spacing w:line="480" w:lineRule="exact"/>
        <w:jc w:val="center"/>
        <w:rPr>
          <w:rFonts w:ascii="宋体" w:hAnsi="宋体" w:cs="宋体"/>
          <w:b/>
          <w:bCs/>
          <w:szCs w:val="21"/>
        </w:rPr>
      </w:pPr>
    </w:p>
    <w:p>
      <w:pPr>
        <w:widowControl/>
        <w:spacing w:line="480" w:lineRule="exact"/>
        <w:jc w:val="center"/>
        <w:rPr>
          <w:rFonts w:ascii="宋体" w:hAnsi="宋体" w:cs="宋体"/>
          <w:b/>
          <w:bCs/>
          <w:szCs w:val="21"/>
        </w:rPr>
      </w:pPr>
      <w:r>
        <w:rPr>
          <w:rFonts w:hint="eastAsia" w:ascii="宋体" w:hAnsi="宋体" w:cs="宋体"/>
          <w:b/>
          <w:bCs/>
          <w:szCs w:val="21"/>
        </w:rPr>
        <w:t>陕西省政府采购投标人拒绝政府采购领域商业贿赂承诺书</w:t>
      </w:r>
    </w:p>
    <w:p>
      <w:pPr>
        <w:widowControl/>
        <w:spacing w:line="240" w:lineRule="exact"/>
        <w:ind w:firstLine="420" w:firstLineChars="200"/>
        <w:jc w:val="left"/>
        <w:rPr>
          <w:rFonts w:ascii="宋体" w:hAnsi="宋体" w:cs="宋体"/>
          <w:szCs w:val="21"/>
        </w:rPr>
      </w:pPr>
    </w:p>
    <w:p>
      <w:pPr>
        <w:widowControl/>
        <w:spacing w:line="440" w:lineRule="exact"/>
        <w:rPr>
          <w:rFonts w:ascii="宋体" w:hAnsi="宋体" w:cs="宋体"/>
          <w:szCs w:val="21"/>
        </w:rPr>
      </w:pPr>
      <w:r>
        <w:rPr>
          <w:rFonts w:hint="eastAsia" w:ascii="宋体" w:hAnsi="宋体" w:cs="宋体"/>
          <w:szCs w:val="21"/>
        </w:rPr>
        <w:t xml:space="preserve">    为响应党中央、国务院关于治理政府采购领域商业贿赂行为的号召，我单位在此庄严承诺： </w:t>
      </w:r>
    </w:p>
    <w:p>
      <w:pPr>
        <w:widowControl/>
        <w:spacing w:line="440" w:lineRule="exact"/>
        <w:ind w:left="420" w:hanging="420" w:hangingChars="200"/>
        <w:rPr>
          <w:rFonts w:ascii="宋体" w:hAnsi="宋体" w:cs="宋体"/>
          <w:szCs w:val="21"/>
        </w:rPr>
      </w:pPr>
      <w:r>
        <w:rPr>
          <w:rFonts w:hint="eastAsia" w:ascii="宋体" w:hAnsi="宋体" w:cs="宋体"/>
          <w:szCs w:val="21"/>
        </w:rPr>
        <w:t xml:space="preserve">    1、在参与政府采购活动中遵纪守法、诚信经营、公平竞标。 </w:t>
      </w:r>
      <w:r>
        <w:rPr>
          <w:rFonts w:hint="eastAsia" w:ascii="宋体" w:hAnsi="宋体" w:cs="宋体"/>
          <w:szCs w:val="21"/>
        </w:rPr>
        <w:br w:type="textWrapping"/>
      </w:r>
      <w:r>
        <w:rPr>
          <w:rFonts w:hint="eastAsia" w:ascii="宋体" w:hAnsi="宋体" w:cs="宋体"/>
          <w:szCs w:val="21"/>
        </w:rPr>
        <w:t xml:space="preserve">2、不向采购人、采购代理机构和政府采购评审专家进行任何形式的商业贿赂以谋取交易机会。 </w:t>
      </w:r>
    </w:p>
    <w:p>
      <w:pPr>
        <w:widowControl/>
        <w:spacing w:line="440" w:lineRule="exact"/>
        <w:ind w:firstLine="420" w:firstLineChars="200"/>
        <w:rPr>
          <w:rFonts w:ascii="宋体" w:hAnsi="宋体" w:cs="宋体"/>
          <w:szCs w:val="21"/>
        </w:rPr>
      </w:pPr>
      <w:r>
        <w:rPr>
          <w:rFonts w:hint="eastAsia" w:ascii="宋体" w:hAnsi="宋体" w:cs="宋体"/>
          <w:szCs w:val="21"/>
        </w:rPr>
        <w:t>3、不向政府采购代理机构和采购人提供虚假资质文件或采用虚假应标方式参与政府采购市场竞争并谋取中标、成交。</w:t>
      </w:r>
    </w:p>
    <w:p>
      <w:pPr>
        <w:widowControl/>
        <w:spacing w:line="440" w:lineRule="exact"/>
        <w:ind w:firstLine="420" w:firstLineChars="200"/>
        <w:rPr>
          <w:rFonts w:ascii="宋体" w:hAnsi="宋体" w:cs="宋体"/>
          <w:szCs w:val="21"/>
        </w:rPr>
      </w:pPr>
      <w:r>
        <w:rPr>
          <w:rFonts w:hint="eastAsia" w:ascii="宋体" w:hAnsi="宋体" w:cs="宋体"/>
          <w:szCs w:val="21"/>
        </w:rPr>
        <w:t xml:space="preserve">4、不采取“围标、陪标”等商业欺诈手段获得政府采购定单。 </w:t>
      </w:r>
    </w:p>
    <w:p>
      <w:pPr>
        <w:widowControl/>
        <w:spacing w:line="440" w:lineRule="exact"/>
        <w:ind w:firstLine="420" w:firstLineChars="200"/>
        <w:rPr>
          <w:rFonts w:ascii="宋体" w:hAnsi="宋体" w:cs="宋体"/>
          <w:szCs w:val="21"/>
        </w:rPr>
      </w:pPr>
      <w:r>
        <w:rPr>
          <w:rFonts w:hint="eastAsia" w:ascii="宋体" w:hAnsi="宋体" w:cs="宋体"/>
          <w:szCs w:val="21"/>
        </w:rPr>
        <w:t xml:space="preserve">5、不采取不正当手段抵毁、排挤其他投标人。 </w:t>
      </w:r>
    </w:p>
    <w:p>
      <w:pPr>
        <w:widowControl/>
        <w:spacing w:line="440" w:lineRule="exact"/>
        <w:ind w:firstLine="420" w:firstLineChars="200"/>
        <w:rPr>
          <w:rFonts w:ascii="宋体" w:hAnsi="宋体" w:cs="宋体"/>
          <w:szCs w:val="21"/>
        </w:rPr>
      </w:pPr>
      <w:r>
        <w:rPr>
          <w:rFonts w:hint="eastAsia" w:ascii="宋体" w:hAnsi="宋体" w:cs="宋体"/>
          <w:szCs w:val="21"/>
        </w:rPr>
        <w:t>6、不在提供商品和服务时“偷梁换柱、以次充好”损害采购人的合法权益。</w:t>
      </w:r>
    </w:p>
    <w:p>
      <w:pPr>
        <w:widowControl/>
        <w:spacing w:line="440" w:lineRule="exact"/>
        <w:ind w:firstLine="420" w:firstLineChars="200"/>
        <w:rPr>
          <w:rFonts w:ascii="宋体" w:hAnsi="宋体" w:cs="宋体"/>
          <w:szCs w:val="21"/>
        </w:rPr>
      </w:pPr>
      <w:r>
        <w:rPr>
          <w:rFonts w:hint="eastAsia" w:ascii="宋体" w:hAnsi="宋体" w:cs="宋体"/>
          <w:szCs w:val="21"/>
        </w:rPr>
        <w:t xml:space="preserve">7、不与采购人、采购代理机构政府采购评审专家或其它投标人恶意串通，进行质疑和投诉，维护政府采购市场秩序。 </w:t>
      </w:r>
    </w:p>
    <w:p>
      <w:pPr>
        <w:widowControl/>
        <w:spacing w:line="440" w:lineRule="exact"/>
        <w:ind w:firstLine="420" w:firstLineChars="200"/>
        <w:rPr>
          <w:rFonts w:ascii="宋体" w:hAnsi="宋体" w:cs="宋体"/>
          <w:szCs w:val="21"/>
        </w:rPr>
      </w:pPr>
      <w:r>
        <w:rPr>
          <w:rFonts w:hint="eastAsia" w:ascii="宋体" w:hAnsi="宋体" w:cs="宋体"/>
          <w:szCs w:val="21"/>
        </w:rPr>
        <w:t xml:space="preserve">8、尊重和接受政府采购监督管理部门的监督和政府采购代理机构招标要求，承担因违约行为给采购人造成的损失。 </w:t>
      </w:r>
    </w:p>
    <w:p>
      <w:pPr>
        <w:widowControl/>
        <w:spacing w:line="440" w:lineRule="exact"/>
        <w:ind w:firstLine="420" w:firstLineChars="200"/>
        <w:rPr>
          <w:rFonts w:ascii="宋体" w:hAnsi="宋体" w:cs="宋体"/>
          <w:szCs w:val="21"/>
        </w:rPr>
      </w:pPr>
      <w:r>
        <w:rPr>
          <w:rFonts w:hint="eastAsia" w:ascii="宋体" w:hAnsi="宋体" w:cs="宋体"/>
          <w:szCs w:val="21"/>
        </w:rPr>
        <w:t>9、不发生其他有悖于政府采购公开、公平、公正和诚信原则的行为。</w:t>
      </w:r>
    </w:p>
    <w:p>
      <w:pPr>
        <w:widowControl/>
        <w:spacing w:line="440" w:lineRule="exact"/>
        <w:ind w:firstLine="420" w:firstLineChars="200"/>
        <w:rPr>
          <w:rFonts w:ascii="宋体" w:hAnsi="宋体" w:cs="宋体"/>
          <w:szCs w:val="21"/>
        </w:rPr>
      </w:pPr>
    </w:p>
    <w:p>
      <w:pPr>
        <w:widowControl/>
        <w:spacing w:line="440" w:lineRule="exact"/>
        <w:ind w:firstLine="420" w:firstLineChars="200"/>
        <w:rPr>
          <w:rFonts w:ascii="宋体" w:hAnsi="宋体" w:cs="宋体"/>
          <w:szCs w:val="21"/>
        </w:rPr>
      </w:pPr>
      <w:r>
        <w:rPr>
          <w:rFonts w:hint="eastAsia" w:ascii="宋体" w:hAnsi="宋体" w:cs="宋体"/>
          <w:szCs w:val="21"/>
        </w:rPr>
        <w:t>承诺单位：</w:t>
      </w:r>
      <w:r>
        <w:rPr>
          <w:rFonts w:hint="eastAsia" w:ascii="宋体" w:hAnsi="宋体" w:cs="宋体"/>
          <w:szCs w:val="21"/>
          <w:u w:val="single"/>
        </w:rPr>
        <w:t xml:space="preserve">                             （</w:t>
      </w:r>
      <w:r>
        <w:rPr>
          <w:rFonts w:hint="eastAsia" w:ascii="宋体" w:hAnsi="宋体" w:cs="宋体"/>
          <w:szCs w:val="21"/>
        </w:rPr>
        <w:t>盖章）</w:t>
      </w:r>
    </w:p>
    <w:p>
      <w:pPr>
        <w:widowControl/>
        <w:spacing w:line="440" w:lineRule="exact"/>
        <w:ind w:firstLine="420" w:firstLineChars="200"/>
        <w:rPr>
          <w:rFonts w:ascii="宋体" w:hAnsi="宋体" w:cs="宋体"/>
          <w:szCs w:val="21"/>
        </w:rPr>
      </w:pPr>
      <w:r>
        <w:rPr>
          <w:rFonts w:hint="eastAsia" w:ascii="宋体" w:hAnsi="宋体" w:cs="宋体"/>
          <w:szCs w:val="21"/>
        </w:rPr>
        <w:t>全权代表：</w:t>
      </w:r>
      <w:r>
        <w:rPr>
          <w:rFonts w:hint="eastAsia" w:ascii="宋体" w:hAnsi="宋体" w:cs="宋体"/>
          <w:szCs w:val="21"/>
          <w:u w:val="single"/>
        </w:rPr>
        <w:t xml:space="preserve">                             </w:t>
      </w:r>
      <w:r>
        <w:rPr>
          <w:rFonts w:hint="eastAsia" w:ascii="宋体" w:hAnsi="宋体" w:cs="宋体"/>
          <w:szCs w:val="21"/>
        </w:rPr>
        <w:t>（签字）</w:t>
      </w:r>
    </w:p>
    <w:p>
      <w:pPr>
        <w:widowControl/>
        <w:spacing w:line="520" w:lineRule="exact"/>
        <w:ind w:firstLine="420"/>
        <w:rPr>
          <w:rFonts w:ascii="宋体" w:hAnsi="宋体" w:cs="宋体"/>
          <w:szCs w:val="21"/>
          <w:u w:val="single"/>
        </w:rPr>
      </w:pPr>
      <w:r>
        <w:rPr>
          <w:rFonts w:hint="eastAsia" w:ascii="宋体" w:hAnsi="宋体" w:cs="宋体"/>
          <w:szCs w:val="21"/>
        </w:rPr>
        <w:t>地    址：</w:t>
      </w:r>
      <w:r>
        <w:rPr>
          <w:rFonts w:hint="eastAsia" w:ascii="宋体" w:hAnsi="宋体" w:cs="宋体"/>
          <w:szCs w:val="21"/>
          <w:u w:val="single"/>
        </w:rPr>
        <w:t xml:space="preserve">                               </w:t>
      </w:r>
    </w:p>
    <w:p>
      <w:pPr>
        <w:widowControl/>
        <w:spacing w:line="520" w:lineRule="exact"/>
        <w:rPr>
          <w:rFonts w:ascii="宋体" w:hAnsi="宋体" w:cs="宋体"/>
          <w:szCs w:val="21"/>
          <w:u w:val="single"/>
        </w:rPr>
      </w:pPr>
      <w:r>
        <w:rPr>
          <w:rFonts w:hint="eastAsia" w:ascii="宋体" w:hAnsi="宋体" w:cs="宋体"/>
          <w:szCs w:val="21"/>
        </w:rPr>
        <w:t xml:space="preserve">    邮    编：</w:t>
      </w:r>
      <w:r>
        <w:rPr>
          <w:rFonts w:hint="eastAsia" w:ascii="宋体" w:hAnsi="宋体" w:cs="宋体"/>
          <w:szCs w:val="21"/>
          <w:u w:val="single"/>
        </w:rPr>
        <w:t xml:space="preserve">                               </w:t>
      </w:r>
    </w:p>
    <w:p>
      <w:pPr>
        <w:widowControl/>
        <w:spacing w:line="520" w:lineRule="exact"/>
        <w:rPr>
          <w:rFonts w:ascii="宋体" w:hAnsi="宋体" w:cs="宋体"/>
          <w:szCs w:val="21"/>
        </w:rPr>
      </w:pPr>
      <w:r>
        <w:rPr>
          <w:rFonts w:hint="eastAsia" w:ascii="宋体" w:hAnsi="宋体" w:cs="宋体"/>
          <w:szCs w:val="21"/>
        </w:rPr>
        <w:t xml:space="preserve">    电    话：</w:t>
      </w:r>
      <w:r>
        <w:rPr>
          <w:rFonts w:hint="eastAsia" w:ascii="宋体" w:hAnsi="宋体" w:cs="宋体"/>
          <w:szCs w:val="21"/>
          <w:u w:val="single"/>
        </w:rPr>
        <w:t xml:space="preserve">                                </w:t>
      </w:r>
    </w:p>
    <w:p>
      <w:pPr>
        <w:widowControl/>
        <w:spacing w:line="440" w:lineRule="exact"/>
        <w:ind w:firstLine="420" w:firstLineChars="200"/>
        <w:rPr>
          <w:rFonts w:ascii="宋体" w:hAnsi="宋体" w:cs="宋体"/>
          <w:szCs w:val="21"/>
        </w:rPr>
      </w:pPr>
    </w:p>
    <w:p>
      <w:pPr>
        <w:spacing w:line="340" w:lineRule="exact"/>
        <w:ind w:firstLine="4305" w:firstLineChars="2050"/>
        <w:rPr>
          <w:rFonts w:ascii="宋体" w:hAnsi="宋体" w:cs="宋体"/>
          <w:sz w:val="28"/>
          <w:szCs w:val="28"/>
        </w:rPr>
      </w:pP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bookmarkEnd w:id="54"/>
      <w:bookmarkEnd w:id="55"/>
    </w:p>
    <w:p>
      <w:pPr>
        <w:pStyle w:val="11"/>
        <w:spacing w:line="440" w:lineRule="exact"/>
        <w:ind w:firstLine="0"/>
        <w:rPr>
          <w:rFonts w:ascii="宋体" w:hAnsi="宋体" w:cs="宋体"/>
          <w:sz w:val="28"/>
          <w:szCs w:val="28"/>
        </w:rPr>
      </w:pPr>
    </w:p>
    <w:p>
      <w:pPr>
        <w:pStyle w:val="11"/>
        <w:spacing w:line="440" w:lineRule="exact"/>
        <w:ind w:firstLine="0"/>
        <w:rPr>
          <w:rFonts w:ascii="宋体" w:hAnsi="宋体" w:cs="宋体"/>
          <w:sz w:val="28"/>
          <w:szCs w:val="28"/>
        </w:rPr>
      </w:pPr>
    </w:p>
    <w:p>
      <w:pPr>
        <w:pStyle w:val="11"/>
        <w:spacing w:line="440" w:lineRule="exact"/>
        <w:ind w:firstLine="0"/>
        <w:rPr>
          <w:rFonts w:ascii="宋体" w:hAnsi="宋体" w:cs="宋体"/>
          <w:sz w:val="28"/>
          <w:szCs w:val="28"/>
        </w:rPr>
      </w:pPr>
    </w:p>
    <w:p>
      <w:pPr>
        <w:pStyle w:val="11"/>
        <w:spacing w:line="440" w:lineRule="exact"/>
        <w:ind w:firstLine="0"/>
        <w:rPr>
          <w:rFonts w:ascii="宋体" w:hAnsi="宋体" w:cs="宋体"/>
          <w:sz w:val="28"/>
          <w:szCs w:val="28"/>
        </w:rPr>
      </w:pPr>
    </w:p>
    <w:p>
      <w:pPr>
        <w:pStyle w:val="11"/>
        <w:spacing w:line="440" w:lineRule="exact"/>
        <w:ind w:firstLine="0"/>
        <w:rPr>
          <w:rFonts w:ascii="宋体" w:hAnsi="宋体" w:cs="宋体"/>
          <w:sz w:val="28"/>
          <w:szCs w:val="28"/>
        </w:rPr>
      </w:pPr>
    </w:p>
    <w:p>
      <w:pPr>
        <w:pStyle w:val="11"/>
        <w:spacing w:line="440" w:lineRule="exact"/>
        <w:ind w:firstLine="0"/>
        <w:rPr>
          <w:rFonts w:ascii="宋体" w:hAnsi="宋体" w:cs="宋体"/>
          <w:sz w:val="28"/>
          <w:szCs w:val="28"/>
        </w:rPr>
      </w:pPr>
    </w:p>
    <w:p>
      <w:pPr>
        <w:widowControl/>
        <w:spacing w:line="440" w:lineRule="exact"/>
        <w:ind w:firstLine="562" w:firstLineChars="200"/>
        <w:jc w:val="center"/>
        <w:rPr>
          <w:rFonts w:ascii="宋体" w:hAnsi="宋体" w:cs="宋体"/>
          <w:b/>
          <w:bCs/>
          <w:kern w:val="0"/>
          <w:sz w:val="28"/>
          <w:szCs w:val="28"/>
        </w:rPr>
      </w:pPr>
      <w:r>
        <w:rPr>
          <w:rFonts w:hint="eastAsia" w:ascii="宋体" w:hAnsi="宋体" w:cs="宋体"/>
          <w:b/>
          <w:bCs/>
          <w:kern w:val="0"/>
          <w:sz w:val="28"/>
          <w:szCs w:val="28"/>
        </w:rPr>
        <w:t>宝鸡市政府采购供应商诚信承诺书</w:t>
      </w:r>
    </w:p>
    <w:p>
      <w:pPr>
        <w:widowControl/>
        <w:spacing w:line="440" w:lineRule="exact"/>
        <w:rPr>
          <w:rFonts w:ascii="宋体" w:hAnsi="宋体" w:cs="宋体"/>
          <w:color w:val="000000"/>
          <w:kern w:val="0"/>
          <w:sz w:val="24"/>
        </w:rPr>
      </w:pPr>
      <w:r>
        <w:rPr>
          <w:rFonts w:hint="eastAsia" w:ascii="宋体" w:hAnsi="宋体" w:cs="宋体"/>
          <w:color w:val="000000"/>
          <w:kern w:val="0"/>
          <w:sz w:val="24"/>
        </w:rPr>
        <w:t xml:space="preserve">致： </w:t>
      </w:r>
      <w:r>
        <w:rPr>
          <w:rFonts w:hint="eastAsia" w:ascii="宋体" w:hAnsi="宋体" w:cs="宋体"/>
          <w:color w:val="000000"/>
          <w:kern w:val="0"/>
          <w:sz w:val="24"/>
          <w:u w:val="single"/>
        </w:rPr>
        <w:t xml:space="preserve">（采购人或采购代理机构名称） </w:t>
      </w:r>
    </w:p>
    <w:p>
      <w:pPr>
        <w:widowControl/>
        <w:spacing w:line="440" w:lineRule="exact"/>
        <w:ind w:firstLine="480" w:firstLineChars="200"/>
        <w:rPr>
          <w:rFonts w:ascii="宋体" w:hAnsi="宋体" w:cs="宋体"/>
          <w:color w:val="000000"/>
          <w:kern w:val="0"/>
          <w:sz w:val="24"/>
        </w:rPr>
      </w:pPr>
      <w:r>
        <w:rPr>
          <w:rFonts w:hint="eastAsia" w:ascii="宋体" w:hAnsi="宋体" w:cs="宋体"/>
          <w:color w:val="000000"/>
          <w:kern w:val="0"/>
          <w:sz w:val="24"/>
        </w:rPr>
        <w:t>统一社会信用代码为</w:t>
      </w:r>
      <w:r>
        <w:rPr>
          <w:rFonts w:hint="eastAsia" w:ascii="宋体" w:hAnsi="宋体" w:cs="宋体"/>
          <w:color w:val="000000"/>
          <w:kern w:val="0"/>
          <w:sz w:val="24"/>
          <w:u w:val="single"/>
        </w:rPr>
        <w:t xml:space="preserve">      </w:t>
      </w:r>
      <w:r>
        <w:rPr>
          <w:rFonts w:hint="eastAsia" w:ascii="宋体" w:hAnsi="宋体" w:cs="宋体"/>
          <w:color w:val="000000"/>
          <w:kern w:val="0"/>
          <w:sz w:val="24"/>
        </w:rPr>
        <w:t>的我方</w:t>
      </w:r>
      <w:r>
        <w:rPr>
          <w:rFonts w:hint="eastAsia" w:ascii="宋体" w:hAnsi="宋体" w:cs="宋体"/>
          <w:color w:val="000000"/>
          <w:kern w:val="0"/>
          <w:sz w:val="24"/>
          <w:u w:val="single"/>
        </w:rPr>
        <w:t xml:space="preserve">       </w:t>
      </w:r>
      <w:r>
        <w:rPr>
          <w:rFonts w:hint="eastAsia" w:ascii="宋体" w:hAnsi="宋体" w:cs="宋体"/>
          <w:color w:val="000000"/>
          <w:kern w:val="0"/>
          <w:sz w:val="24"/>
        </w:rPr>
        <w:t>（供应商名称）自愿参加贵单位组织的编号为</w:t>
      </w:r>
      <w:r>
        <w:rPr>
          <w:rFonts w:hint="eastAsia" w:ascii="宋体" w:hAnsi="宋体" w:cs="宋体"/>
          <w:color w:val="000000"/>
          <w:kern w:val="0"/>
          <w:sz w:val="24"/>
          <w:u w:val="single"/>
        </w:rPr>
        <w:t xml:space="preserve">        </w:t>
      </w:r>
      <w:r>
        <w:rPr>
          <w:rFonts w:hint="eastAsia" w:ascii="宋体" w:hAnsi="宋体" w:cs="宋体"/>
          <w:color w:val="000000"/>
          <w:kern w:val="0"/>
          <w:sz w:val="24"/>
        </w:rPr>
        <w:t>（采购项目编号）</w:t>
      </w:r>
      <w:r>
        <w:rPr>
          <w:rFonts w:hint="eastAsia" w:ascii="宋体" w:hAnsi="宋体" w:cs="宋体"/>
          <w:color w:val="000000"/>
          <w:kern w:val="0"/>
          <w:sz w:val="24"/>
          <w:u w:val="single"/>
        </w:rPr>
        <w:t xml:space="preserve">          </w:t>
      </w:r>
      <w:r>
        <w:rPr>
          <w:rFonts w:hint="eastAsia" w:ascii="宋体" w:hAnsi="宋体" w:cs="宋体"/>
          <w:color w:val="000000"/>
          <w:kern w:val="0"/>
          <w:sz w:val="24"/>
        </w:rPr>
        <w:t xml:space="preserve">的项目（采购项目名称）的政府采购活动，我方已知悉并理解本项目采购文件的各项要求。为贯彻公开、公平、公正和诚实信用的政府采购原则，共同维护宝鸡市政府采购市场良好秩序，我方郑重声明和承诺如下： </w:t>
      </w:r>
    </w:p>
    <w:p>
      <w:pPr>
        <w:widowControl/>
        <w:spacing w:line="440" w:lineRule="exact"/>
        <w:ind w:firstLine="480" w:firstLineChars="200"/>
        <w:rPr>
          <w:rFonts w:ascii="宋体" w:hAnsi="宋体" w:cs="宋体"/>
          <w:color w:val="000000"/>
          <w:kern w:val="0"/>
          <w:sz w:val="24"/>
        </w:rPr>
      </w:pPr>
      <w:r>
        <w:rPr>
          <w:rFonts w:hint="eastAsia" w:ascii="宋体" w:hAnsi="宋体" w:cs="宋体"/>
          <w:color w:val="000000"/>
          <w:kern w:val="0"/>
          <w:sz w:val="24"/>
        </w:rPr>
        <w:t xml:space="preserve">一、在参加本次政府采购活动中严格遵守《中国人民共和国政府采购法》等法律、法规、规章及宝鸡市有关规定。 </w:t>
      </w:r>
    </w:p>
    <w:p>
      <w:pPr>
        <w:widowControl/>
        <w:spacing w:line="440" w:lineRule="exact"/>
        <w:ind w:firstLine="480" w:firstLineChars="200"/>
        <w:rPr>
          <w:rFonts w:ascii="宋体" w:hAnsi="宋体" w:cs="宋体"/>
          <w:color w:val="000000"/>
          <w:kern w:val="0"/>
          <w:sz w:val="24"/>
        </w:rPr>
      </w:pPr>
      <w:r>
        <w:rPr>
          <w:rFonts w:hint="eastAsia" w:ascii="宋体" w:hAnsi="宋体" w:cs="宋体"/>
          <w:color w:val="000000"/>
          <w:kern w:val="0"/>
          <w:sz w:val="24"/>
        </w:rPr>
        <w:t xml:space="preserve">二、我方郑重声明，在参加本次政府采购活动前三年内，无因违法经营受到刑事处罚或者责令停产停业、吊销许可证或者执照、较大数额罚款等重大违法记录。 </w:t>
      </w:r>
    </w:p>
    <w:p>
      <w:pPr>
        <w:widowControl/>
        <w:spacing w:line="440" w:lineRule="exact"/>
        <w:ind w:firstLine="480" w:firstLineChars="200"/>
        <w:rPr>
          <w:rFonts w:ascii="宋体" w:hAnsi="宋体" w:cs="宋体"/>
          <w:color w:val="000000"/>
          <w:kern w:val="0"/>
          <w:sz w:val="24"/>
        </w:rPr>
      </w:pPr>
      <w:r>
        <w:rPr>
          <w:rFonts w:hint="eastAsia" w:ascii="宋体" w:hAnsi="宋体" w:cs="宋体"/>
          <w:color w:val="000000"/>
          <w:kern w:val="0"/>
          <w:sz w:val="24"/>
        </w:rPr>
        <w:t xml:space="preserve">我方同时声明，在参加本次政府采购活动前，未被列入失信被执行人、重大税收违法案件当事人名单、政府采购严重违法失信行为记录名单。 </w:t>
      </w:r>
    </w:p>
    <w:p>
      <w:pPr>
        <w:widowControl/>
        <w:spacing w:line="440" w:lineRule="exact"/>
        <w:ind w:firstLine="480" w:firstLineChars="200"/>
        <w:rPr>
          <w:rFonts w:ascii="宋体" w:hAnsi="宋体" w:cs="宋体"/>
          <w:color w:val="000000"/>
          <w:kern w:val="0"/>
          <w:sz w:val="24"/>
        </w:rPr>
      </w:pPr>
      <w:r>
        <w:rPr>
          <w:rFonts w:hint="eastAsia" w:ascii="宋体" w:hAnsi="宋体" w:cs="宋体"/>
          <w:color w:val="000000"/>
          <w:kern w:val="0"/>
          <w:sz w:val="24"/>
        </w:rPr>
        <w:t>我方对以上声明的真实性负责，接受采购人、采购代理机构根据相关政策规定进行的信用记录查询。如发现以上声明不实，我方承担相应后果。</w:t>
      </w:r>
    </w:p>
    <w:p>
      <w:pPr>
        <w:widowControl/>
        <w:spacing w:line="440" w:lineRule="exact"/>
        <w:ind w:firstLine="480" w:firstLineChars="200"/>
        <w:rPr>
          <w:rFonts w:ascii="宋体" w:hAnsi="宋体" w:cs="宋体"/>
          <w:color w:val="000000"/>
          <w:kern w:val="0"/>
          <w:sz w:val="24"/>
        </w:rPr>
      </w:pPr>
      <w:r>
        <w:rPr>
          <w:rFonts w:hint="eastAsia" w:ascii="宋体" w:hAnsi="宋体" w:cs="宋体"/>
          <w:color w:val="000000"/>
          <w:kern w:val="0"/>
          <w:sz w:val="24"/>
        </w:rPr>
        <w:t xml:space="preserve">三、我方郑重承诺，在参加本次政府采购活动中： </w:t>
      </w:r>
    </w:p>
    <w:p>
      <w:pPr>
        <w:widowControl/>
        <w:spacing w:line="440" w:lineRule="exact"/>
        <w:ind w:firstLine="480" w:firstLineChars="200"/>
        <w:rPr>
          <w:rFonts w:ascii="宋体" w:hAnsi="宋体" w:cs="宋体"/>
          <w:color w:val="000000"/>
          <w:kern w:val="0"/>
          <w:sz w:val="24"/>
        </w:rPr>
      </w:pPr>
      <w:r>
        <w:rPr>
          <w:rFonts w:hint="eastAsia" w:ascii="宋体" w:hAnsi="宋体" w:cs="宋体"/>
          <w:color w:val="000000"/>
          <w:kern w:val="0"/>
          <w:sz w:val="24"/>
        </w:rPr>
        <w:t xml:space="preserve">（1）不向采购人、采购代理机构和评审专家提供任何形式的商业贿赂或者提供其他不正当利益。对索取或接受商业贿赂的单位和个人，及时向财政部门和监察机关举报； </w:t>
      </w:r>
    </w:p>
    <w:p>
      <w:pPr>
        <w:widowControl/>
        <w:spacing w:line="440" w:lineRule="exact"/>
        <w:ind w:firstLine="480" w:firstLineChars="200"/>
        <w:rPr>
          <w:rFonts w:ascii="宋体" w:hAnsi="宋体" w:cs="宋体"/>
          <w:color w:val="000000"/>
          <w:kern w:val="0"/>
          <w:sz w:val="24"/>
        </w:rPr>
      </w:pPr>
      <w:r>
        <w:rPr>
          <w:rFonts w:hint="eastAsia" w:ascii="宋体" w:hAnsi="宋体" w:cs="宋体"/>
          <w:color w:val="000000"/>
          <w:kern w:val="0"/>
          <w:sz w:val="24"/>
        </w:rPr>
        <w:t xml:space="preserve">（2）不与其它供应商串通采取围标、陪标等商业欺诈手段谋取中标（成交）； </w:t>
      </w:r>
    </w:p>
    <w:p>
      <w:pPr>
        <w:widowControl/>
        <w:spacing w:line="440" w:lineRule="exact"/>
        <w:ind w:firstLine="480" w:firstLineChars="200"/>
        <w:rPr>
          <w:rFonts w:ascii="宋体" w:hAnsi="宋体" w:cs="宋体"/>
          <w:color w:val="000000"/>
          <w:kern w:val="0"/>
          <w:sz w:val="24"/>
        </w:rPr>
      </w:pPr>
      <w:r>
        <w:rPr>
          <w:rFonts w:hint="eastAsia" w:ascii="宋体" w:hAnsi="宋体" w:cs="宋体"/>
          <w:color w:val="000000"/>
          <w:kern w:val="0"/>
          <w:sz w:val="24"/>
        </w:rPr>
        <w:t xml:space="preserve">（3）不出借或借用资质； </w:t>
      </w:r>
    </w:p>
    <w:p>
      <w:pPr>
        <w:widowControl/>
        <w:spacing w:line="440" w:lineRule="exact"/>
        <w:ind w:firstLine="480" w:firstLineChars="200"/>
        <w:rPr>
          <w:rFonts w:ascii="宋体" w:hAnsi="宋体" w:cs="宋体"/>
          <w:color w:val="000000"/>
          <w:kern w:val="0"/>
          <w:sz w:val="24"/>
        </w:rPr>
      </w:pPr>
      <w:r>
        <w:rPr>
          <w:rFonts w:hint="eastAsia" w:ascii="宋体" w:hAnsi="宋体" w:cs="宋体"/>
          <w:color w:val="000000"/>
          <w:kern w:val="0"/>
          <w:sz w:val="24"/>
        </w:rPr>
        <w:t xml:space="preserve">（4）不与采购人、采购代理机构、评审专家恶意串通； </w:t>
      </w:r>
    </w:p>
    <w:p>
      <w:pPr>
        <w:widowControl/>
        <w:spacing w:line="440" w:lineRule="exact"/>
        <w:ind w:firstLine="480" w:firstLineChars="200"/>
        <w:rPr>
          <w:rFonts w:ascii="宋体" w:hAnsi="宋体" w:cs="宋体"/>
          <w:color w:val="000000"/>
          <w:kern w:val="0"/>
          <w:sz w:val="24"/>
        </w:rPr>
      </w:pPr>
      <w:r>
        <w:rPr>
          <w:rFonts w:hint="eastAsia" w:ascii="宋体" w:hAnsi="宋体" w:cs="宋体"/>
          <w:color w:val="000000"/>
          <w:kern w:val="0"/>
          <w:sz w:val="24"/>
        </w:rPr>
        <w:t xml:space="preserve">（5）不采取不正当手段诋毁、排挤其他供应商； </w:t>
      </w:r>
    </w:p>
    <w:p>
      <w:pPr>
        <w:widowControl/>
        <w:spacing w:line="440" w:lineRule="exact"/>
        <w:ind w:firstLine="480" w:firstLineChars="200"/>
        <w:rPr>
          <w:rFonts w:ascii="宋体" w:hAnsi="宋体" w:cs="宋体"/>
          <w:color w:val="000000"/>
          <w:kern w:val="0"/>
          <w:sz w:val="24"/>
        </w:rPr>
      </w:pPr>
      <w:r>
        <w:rPr>
          <w:rFonts w:hint="eastAsia" w:ascii="宋体" w:hAnsi="宋体" w:cs="宋体"/>
          <w:color w:val="000000"/>
          <w:kern w:val="0"/>
          <w:sz w:val="24"/>
        </w:rPr>
        <w:t xml:space="preserve">（6）不以虚假材料谋取中标（成交）； </w:t>
      </w:r>
    </w:p>
    <w:p>
      <w:pPr>
        <w:widowControl/>
        <w:spacing w:line="440" w:lineRule="exact"/>
        <w:ind w:firstLine="480" w:firstLineChars="200"/>
        <w:rPr>
          <w:rFonts w:ascii="宋体" w:hAnsi="宋体" w:cs="宋体"/>
          <w:color w:val="000000"/>
          <w:kern w:val="0"/>
          <w:sz w:val="24"/>
        </w:rPr>
      </w:pPr>
      <w:r>
        <w:rPr>
          <w:rFonts w:hint="eastAsia" w:ascii="宋体" w:hAnsi="宋体" w:cs="宋体"/>
          <w:color w:val="000000"/>
          <w:kern w:val="0"/>
          <w:sz w:val="24"/>
        </w:rPr>
        <w:t xml:space="preserve">（7）不以低于成本价或恶意低价竞争； </w:t>
      </w:r>
    </w:p>
    <w:p>
      <w:pPr>
        <w:widowControl/>
        <w:spacing w:line="440" w:lineRule="exact"/>
        <w:ind w:firstLine="480" w:firstLineChars="200"/>
        <w:rPr>
          <w:rFonts w:ascii="宋体" w:hAnsi="宋体" w:cs="宋体"/>
          <w:color w:val="000000"/>
          <w:kern w:val="0"/>
          <w:sz w:val="24"/>
        </w:rPr>
      </w:pPr>
      <w:r>
        <w:rPr>
          <w:rFonts w:hint="eastAsia" w:ascii="宋体" w:hAnsi="宋体" w:cs="宋体"/>
          <w:color w:val="000000"/>
          <w:kern w:val="0"/>
          <w:sz w:val="24"/>
        </w:rPr>
        <w:t xml:space="preserve">（8）不与采购人在招标采购过程中进行协商谈判； </w:t>
      </w:r>
    </w:p>
    <w:p>
      <w:pPr>
        <w:widowControl/>
        <w:spacing w:line="440" w:lineRule="exact"/>
        <w:ind w:firstLine="480" w:firstLineChars="200"/>
        <w:rPr>
          <w:rFonts w:ascii="宋体" w:hAnsi="宋体" w:cs="宋体"/>
          <w:color w:val="000000"/>
          <w:kern w:val="0"/>
          <w:sz w:val="24"/>
        </w:rPr>
      </w:pPr>
      <w:r>
        <w:rPr>
          <w:rFonts w:hint="eastAsia" w:ascii="宋体" w:hAnsi="宋体" w:cs="宋体"/>
          <w:color w:val="000000"/>
          <w:kern w:val="0"/>
          <w:sz w:val="24"/>
        </w:rPr>
        <w:t xml:space="preserve">（9）中标或者成交后不得提供假冒伪劣产品； </w:t>
      </w:r>
    </w:p>
    <w:p>
      <w:pPr>
        <w:widowControl/>
        <w:spacing w:line="440" w:lineRule="exact"/>
        <w:ind w:firstLine="480" w:firstLineChars="200"/>
        <w:rPr>
          <w:rFonts w:ascii="宋体" w:hAnsi="宋体" w:cs="宋体"/>
          <w:color w:val="000000"/>
          <w:kern w:val="0"/>
          <w:sz w:val="24"/>
        </w:rPr>
      </w:pPr>
      <w:r>
        <w:rPr>
          <w:rFonts w:hint="eastAsia" w:ascii="宋体" w:hAnsi="宋体" w:cs="宋体"/>
          <w:color w:val="000000"/>
          <w:kern w:val="0"/>
          <w:sz w:val="24"/>
        </w:rPr>
        <w:t xml:space="preserve">（10）中标或者成交后非因不可抗力不得变更投标（响应）文件中承诺的项目管理实施人员； </w:t>
      </w:r>
    </w:p>
    <w:p>
      <w:pPr>
        <w:widowControl/>
        <w:spacing w:line="440" w:lineRule="exact"/>
        <w:ind w:firstLine="480" w:firstLineChars="200"/>
        <w:rPr>
          <w:rFonts w:ascii="宋体" w:hAnsi="宋体" w:cs="宋体"/>
          <w:color w:val="000000"/>
          <w:kern w:val="0"/>
          <w:sz w:val="24"/>
        </w:rPr>
      </w:pPr>
      <w:r>
        <w:rPr>
          <w:rFonts w:hint="eastAsia" w:ascii="宋体" w:hAnsi="宋体" w:cs="宋体"/>
          <w:color w:val="000000"/>
          <w:kern w:val="0"/>
          <w:sz w:val="24"/>
        </w:rPr>
        <w:t xml:space="preserve">（11）中标或者成交后无正当理由不得拒不与采购人签订政府采购合同； </w:t>
      </w:r>
    </w:p>
    <w:p>
      <w:pPr>
        <w:widowControl/>
        <w:spacing w:line="440" w:lineRule="exact"/>
        <w:ind w:firstLine="480" w:firstLineChars="200"/>
        <w:rPr>
          <w:rFonts w:ascii="宋体" w:hAnsi="宋体" w:cs="宋体"/>
          <w:color w:val="000000"/>
          <w:kern w:val="0"/>
          <w:sz w:val="24"/>
        </w:rPr>
      </w:pPr>
      <w:r>
        <w:rPr>
          <w:rFonts w:hint="eastAsia" w:ascii="宋体" w:hAnsi="宋体" w:cs="宋体"/>
          <w:color w:val="000000"/>
          <w:kern w:val="0"/>
          <w:sz w:val="24"/>
        </w:rPr>
        <w:t>（12）不得有未按照采购文件确定的事项与采购人签订政府采购合同，或者与采购人另行订立背离合同实质性内容协议的行为；</w:t>
      </w:r>
    </w:p>
    <w:p>
      <w:pPr>
        <w:widowControl/>
        <w:spacing w:line="440" w:lineRule="exact"/>
        <w:ind w:firstLine="480" w:firstLineChars="200"/>
        <w:rPr>
          <w:rFonts w:ascii="宋体" w:hAnsi="宋体" w:cs="宋体"/>
          <w:color w:val="000000"/>
          <w:kern w:val="0"/>
          <w:sz w:val="24"/>
        </w:rPr>
      </w:pPr>
      <w:r>
        <w:rPr>
          <w:rFonts w:hint="eastAsia" w:ascii="宋体" w:hAnsi="宋体" w:cs="宋体"/>
          <w:color w:val="000000"/>
          <w:kern w:val="0"/>
          <w:sz w:val="24"/>
        </w:rPr>
        <w:t xml:space="preserve">（13）不转包或违法分包政府采购合同，不擅自变更、中止或者终止政府采购合同； </w:t>
      </w:r>
    </w:p>
    <w:p>
      <w:pPr>
        <w:widowControl/>
        <w:spacing w:line="440" w:lineRule="exact"/>
        <w:ind w:firstLine="480" w:firstLineChars="200"/>
        <w:rPr>
          <w:rFonts w:ascii="宋体" w:hAnsi="宋体" w:cs="宋体"/>
          <w:color w:val="000000"/>
          <w:kern w:val="0"/>
          <w:sz w:val="24"/>
        </w:rPr>
      </w:pPr>
      <w:r>
        <w:rPr>
          <w:rFonts w:hint="eastAsia" w:ascii="宋体" w:hAnsi="宋体" w:cs="宋体"/>
          <w:color w:val="000000"/>
          <w:kern w:val="0"/>
          <w:sz w:val="24"/>
        </w:rPr>
        <w:t xml:space="preserve">（14）不捏造事实、提供虚假材料或者以非法手段取得证明材料进行质疑、投诉； </w:t>
      </w:r>
    </w:p>
    <w:p>
      <w:pPr>
        <w:widowControl/>
        <w:spacing w:line="440" w:lineRule="exact"/>
        <w:ind w:firstLine="480" w:firstLineChars="200"/>
        <w:rPr>
          <w:rFonts w:ascii="宋体" w:hAnsi="宋体" w:cs="宋体"/>
          <w:color w:val="000000"/>
          <w:kern w:val="0"/>
          <w:sz w:val="24"/>
        </w:rPr>
      </w:pPr>
      <w:r>
        <w:rPr>
          <w:rFonts w:hint="eastAsia" w:ascii="宋体" w:hAnsi="宋体" w:cs="宋体"/>
          <w:color w:val="000000"/>
          <w:kern w:val="0"/>
          <w:sz w:val="24"/>
        </w:rPr>
        <w:t>（15）不得有拒绝有关部门监督检查或者提供虚假情况的行为；</w:t>
      </w:r>
    </w:p>
    <w:p>
      <w:pPr>
        <w:widowControl/>
        <w:spacing w:line="440" w:lineRule="exact"/>
        <w:ind w:firstLine="480" w:firstLineChars="200"/>
        <w:rPr>
          <w:rFonts w:ascii="宋体" w:hAnsi="宋体" w:cs="宋体"/>
          <w:color w:val="000000"/>
          <w:kern w:val="0"/>
          <w:sz w:val="24"/>
        </w:rPr>
      </w:pPr>
      <w:r>
        <w:rPr>
          <w:rFonts w:hint="eastAsia" w:ascii="宋体" w:hAnsi="宋体" w:cs="宋体"/>
          <w:color w:val="000000"/>
          <w:kern w:val="0"/>
          <w:sz w:val="24"/>
        </w:rPr>
        <w:t xml:space="preserve">（16）不得有其他违反国家法律法规和规章要求的违法犯罪或者失信行为。 </w:t>
      </w:r>
    </w:p>
    <w:p>
      <w:pPr>
        <w:widowControl/>
        <w:spacing w:line="440" w:lineRule="exact"/>
        <w:ind w:firstLine="480" w:firstLineChars="200"/>
        <w:rPr>
          <w:rFonts w:ascii="宋体" w:hAnsi="宋体" w:cs="宋体"/>
          <w:color w:val="000000"/>
          <w:kern w:val="0"/>
          <w:sz w:val="24"/>
        </w:rPr>
      </w:pPr>
      <w:r>
        <w:rPr>
          <w:rFonts w:hint="eastAsia" w:ascii="宋体" w:hAnsi="宋体" w:cs="宋体"/>
          <w:color w:val="000000"/>
          <w:kern w:val="0"/>
          <w:sz w:val="24"/>
        </w:rPr>
        <w:t xml:space="preserve">四、如有违反以上声明或者承诺之一情形的，我方知悉并接受采购人、采购代理机构和政府采购监督管理部门等政府职能部门将采取以下一种或几种方式追究我方责任： </w:t>
      </w:r>
    </w:p>
    <w:p>
      <w:pPr>
        <w:widowControl/>
        <w:spacing w:line="440" w:lineRule="exact"/>
        <w:ind w:firstLine="480" w:firstLineChars="200"/>
        <w:rPr>
          <w:rFonts w:ascii="宋体" w:hAnsi="宋体" w:cs="宋体"/>
          <w:color w:val="000000"/>
          <w:kern w:val="0"/>
          <w:sz w:val="24"/>
        </w:rPr>
      </w:pPr>
      <w:r>
        <w:rPr>
          <w:rFonts w:hint="eastAsia" w:ascii="宋体" w:hAnsi="宋体" w:cs="宋体"/>
          <w:color w:val="000000"/>
          <w:kern w:val="0"/>
          <w:sz w:val="24"/>
        </w:rPr>
        <w:t xml:space="preserve">1、投标（响应）无效； </w:t>
      </w:r>
    </w:p>
    <w:p>
      <w:pPr>
        <w:widowControl/>
        <w:spacing w:line="440" w:lineRule="exact"/>
        <w:ind w:firstLine="480" w:firstLineChars="200"/>
        <w:rPr>
          <w:rFonts w:ascii="宋体" w:hAnsi="宋体" w:cs="宋体"/>
          <w:color w:val="000000"/>
          <w:kern w:val="0"/>
          <w:sz w:val="24"/>
        </w:rPr>
      </w:pPr>
      <w:r>
        <w:rPr>
          <w:rFonts w:hint="eastAsia" w:ascii="宋体" w:hAnsi="宋体" w:cs="宋体"/>
          <w:color w:val="000000"/>
          <w:kern w:val="0"/>
          <w:sz w:val="24"/>
        </w:rPr>
        <w:t xml:space="preserve">2、不予退还投标保证金或者履约保证金； </w:t>
      </w:r>
    </w:p>
    <w:p>
      <w:pPr>
        <w:widowControl/>
        <w:spacing w:line="440" w:lineRule="exact"/>
        <w:ind w:firstLine="480" w:firstLineChars="200"/>
        <w:rPr>
          <w:rFonts w:ascii="宋体" w:hAnsi="宋体" w:cs="宋体"/>
          <w:color w:val="000000"/>
          <w:kern w:val="0"/>
          <w:sz w:val="24"/>
        </w:rPr>
      </w:pPr>
      <w:r>
        <w:rPr>
          <w:rFonts w:hint="eastAsia" w:ascii="宋体" w:hAnsi="宋体" w:cs="宋体"/>
          <w:color w:val="000000"/>
          <w:kern w:val="0"/>
          <w:sz w:val="24"/>
        </w:rPr>
        <w:t xml:space="preserve">3、约谈法人代表或者主要负责人，责令整改； </w:t>
      </w:r>
    </w:p>
    <w:p>
      <w:pPr>
        <w:widowControl/>
        <w:spacing w:line="440" w:lineRule="exact"/>
        <w:ind w:firstLine="480" w:firstLineChars="200"/>
        <w:rPr>
          <w:rFonts w:ascii="宋体" w:hAnsi="宋体" w:cs="宋体"/>
          <w:color w:val="000000"/>
          <w:kern w:val="0"/>
          <w:sz w:val="24"/>
        </w:rPr>
      </w:pPr>
      <w:r>
        <w:rPr>
          <w:rFonts w:hint="eastAsia" w:ascii="宋体" w:hAnsi="宋体" w:cs="宋体"/>
          <w:color w:val="000000"/>
          <w:kern w:val="0"/>
          <w:sz w:val="24"/>
        </w:rPr>
        <w:t xml:space="preserve">4、中标（成交）无效； </w:t>
      </w:r>
    </w:p>
    <w:p>
      <w:pPr>
        <w:widowControl/>
        <w:spacing w:line="440" w:lineRule="exact"/>
        <w:ind w:firstLine="480" w:firstLineChars="200"/>
        <w:rPr>
          <w:rFonts w:ascii="宋体" w:hAnsi="宋体" w:cs="宋体"/>
          <w:color w:val="000000"/>
          <w:kern w:val="0"/>
          <w:sz w:val="24"/>
        </w:rPr>
      </w:pPr>
      <w:r>
        <w:rPr>
          <w:rFonts w:hint="eastAsia" w:ascii="宋体" w:hAnsi="宋体" w:cs="宋体"/>
          <w:color w:val="000000"/>
          <w:kern w:val="0"/>
          <w:sz w:val="24"/>
        </w:rPr>
        <w:t xml:space="preserve">5、处以采购金额千分之五以上千分之十以下的罚款，列入不良行为记录名单，在一至三年内禁止参加政府采购活动； </w:t>
      </w:r>
    </w:p>
    <w:p>
      <w:pPr>
        <w:widowControl/>
        <w:spacing w:line="440" w:lineRule="exact"/>
        <w:ind w:firstLine="480" w:firstLineChars="200"/>
        <w:rPr>
          <w:rFonts w:ascii="宋体" w:hAnsi="宋体" w:cs="宋体"/>
          <w:color w:val="000000"/>
          <w:kern w:val="0"/>
          <w:sz w:val="24"/>
        </w:rPr>
      </w:pPr>
      <w:r>
        <w:rPr>
          <w:rFonts w:hint="eastAsia" w:ascii="宋体" w:hAnsi="宋体" w:cs="宋体"/>
          <w:color w:val="000000"/>
          <w:kern w:val="0"/>
          <w:sz w:val="24"/>
        </w:rPr>
        <w:t xml:space="preserve">6、没收违法得所得； </w:t>
      </w:r>
    </w:p>
    <w:p>
      <w:pPr>
        <w:widowControl/>
        <w:spacing w:line="440" w:lineRule="exact"/>
        <w:ind w:firstLine="480" w:firstLineChars="200"/>
        <w:rPr>
          <w:rFonts w:ascii="宋体" w:hAnsi="宋体" w:cs="宋体"/>
          <w:color w:val="000000"/>
          <w:kern w:val="0"/>
          <w:sz w:val="24"/>
        </w:rPr>
      </w:pPr>
      <w:r>
        <w:rPr>
          <w:rFonts w:hint="eastAsia" w:ascii="宋体" w:hAnsi="宋体" w:cs="宋体"/>
          <w:color w:val="000000"/>
          <w:kern w:val="0"/>
          <w:sz w:val="24"/>
        </w:rPr>
        <w:t xml:space="preserve">7、吊销营业执照； </w:t>
      </w:r>
    </w:p>
    <w:p>
      <w:pPr>
        <w:widowControl/>
        <w:spacing w:line="440" w:lineRule="exact"/>
        <w:ind w:firstLine="480" w:firstLineChars="200"/>
        <w:rPr>
          <w:rFonts w:ascii="宋体" w:hAnsi="宋体" w:cs="宋体"/>
          <w:color w:val="000000"/>
          <w:kern w:val="0"/>
          <w:sz w:val="24"/>
        </w:rPr>
      </w:pPr>
      <w:r>
        <w:rPr>
          <w:rFonts w:hint="eastAsia" w:ascii="宋体" w:hAnsi="宋体" w:cs="宋体"/>
          <w:color w:val="000000"/>
          <w:kern w:val="0"/>
          <w:sz w:val="24"/>
        </w:rPr>
        <w:t xml:space="preserve">8、政府相关部门的联合惩戒措施； </w:t>
      </w:r>
    </w:p>
    <w:p>
      <w:pPr>
        <w:widowControl/>
        <w:spacing w:line="440" w:lineRule="exact"/>
        <w:ind w:firstLine="480" w:firstLineChars="200"/>
        <w:rPr>
          <w:rFonts w:ascii="宋体" w:hAnsi="宋体" w:cs="宋体"/>
          <w:color w:val="000000"/>
          <w:kern w:val="0"/>
          <w:sz w:val="24"/>
        </w:rPr>
      </w:pPr>
      <w:r>
        <w:rPr>
          <w:rFonts w:hint="eastAsia" w:ascii="宋体" w:hAnsi="宋体" w:cs="宋体"/>
          <w:color w:val="000000"/>
          <w:kern w:val="0"/>
          <w:sz w:val="24"/>
        </w:rPr>
        <w:t xml:space="preserve">9、追究民事责任； </w:t>
      </w:r>
    </w:p>
    <w:p>
      <w:pPr>
        <w:widowControl/>
        <w:spacing w:line="440" w:lineRule="exact"/>
        <w:ind w:firstLine="480" w:firstLineChars="200"/>
        <w:rPr>
          <w:rFonts w:ascii="宋体" w:hAnsi="宋体" w:cs="宋体"/>
          <w:color w:val="000000"/>
          <w:kern w:val="0"/>
          <w:sz w:val="24"/>
        </w:rPr>
      </w:pPr>
      <w:r>
        <w:rPr>
          <w:rFonts w:hint="eastAsia" w:ascii="宋体" w:hAnsi="宋体" w:cs="宋体"/>
          <w:color w:val="000000"/>
          <w:kern w:val="0"/>
          <w:sz w:val="24"/>
        </w:rPr>
        <w:t xml:space="preserve">10、追究刑事责任； </w:t>
      </w:r>
    </w:p>
    <w:p>
      <w:pPr>
        <w:widowControl/>
        <w:spacing w:line="440" w:lineRule="exact"/>
        <w:ind w:firstLine="480" w:firstLineChars="200"/>
        <w:rPr>
          <w:rFonts w:ascii="宋体" w:hAnsi="宋体" w:cs="宋体"/>
          <w:color w:val="000000"/>
          <w:kern w:val="0"/>
          <w:sz w:val="24"/>
        </w:rPr>
      </w:pPr>
      <w:r>
        <w:rPr>
          <w:rFonts w:hint="eastAsia" w:ascii="宋体" w:hAnsi="宋体" w:cs="宋体"/>
          <w:color w:val="000000"/>
          <w:kern w:val="0"/>
          <w:sz w:val="24"/>
        </w:rPr>
        <w:t xml:space="preserve">11、法律法规规定的其他处理处罚措施。 </w:t>
      </w:r>
    </w:p>
    <w:p>
      <w:pPr>
        <w:pStyle w:val="24"/>
        <w:rPr>
          <w:rFonts w:ascii="宋体" w:hAnsi="宋体" w:cs="宋体"/>
          <w:color w:val="000000"/>
          <w:kern w:val="0"/>
          <w:sz w:val="24"/>
        </w:rPr>
      </w:pPr>
    </w:p>
    <w:p>
      <w:pPr>
        <w:pStyle w:val="24"/>
        <w:rPr>
          <w:rFonts w:ascii="宋体" w:hAnsi="宋体" w:cs="宋体"/>
          <w:color w:val="000000"/>
          <w:kern w:val="0"/>
          <w:sz w:val="24"/>
        </w:rPr>
      </w:pPr>
    </w:p>
    <w:p>
      <w:pPr>
        <w:pStyle w:val="24"/>
        <w:rPr>
          <w:rFonts w:ascii="宋体" w:hAnsi="宋体" w:cs="宋体"/>
          <w:color w:val="000000"/>
          <w:kern w:val="0"/>
          <w:sz w:val="24"/>
        </w:rPr>
      </w:pPr>
    </w:p>
    <w:p>
      <w:pPr>
        <w:widowControl/>
        <w:spacing w:line="480" w:lineRule="auto"/>
        <w:ind w:firstLine="480" w:firstLineChars="200"/>
        <w:rPr>
          <w:rFonts w:ascii="宋体" w:hAnsi="宋体" w:cs="宋体"/>
          <w:color w:val="000000"/>
          <w:kern w:val="0"/>
          <w:sz w:val="24"/>
        </w:rPr>
      </w:pPr>
      <w:r>
        <w:rPr>
          <w:rFonts w:hint="eastAsia" w:ascii="宋体" w:hAnsi="宋体" w:cs="宋体"/>
          <w:color w:val="000000"/>
          <w:kern w:val="0"/>
          <w:sz w:val="24"/>
        </w:rPr>
        <w:t xml:space="preserve">单位名称（公章）： </w:t>
      </w:r>
    </w:p>
    <w:p>
      <w:pPr>
        <w:widowControl/>
        <w:spacing w:line="480" w:lineRule="auto"/>
        <w:ind w:firstLine="480" w:firstLineChars="200"/>
        <w:rPr>
          <w:rFonts w:ascii="宋体" w:hAnsi="宋体" w:cs="宋体"/>
          <w:color w:val="000000"/>
          <w:kern w:val="0"/>
          <w:sz w:val="24"/>
        </w:rPr>
      </w:pPr>
      <w:r>
        <w:rPr>
          <w:rFonts w:hint="eastAsia" w:ascii="宋体" w:hAnsi="宋体" w:cs="宋体"/>
          <w:color w:val="000000"/>
          <w:kern w:val="0"/>
          <w:sz w:val="24"/>
        </w:rPr>
        <w:t xml:space="preserve">法定代表人或主要负责人签字： </w:t>
      </w:r>
    </w:p>
    <w:p>
      <w:pPr>
        <w:widowControl/>
        <w:spacing w:line="480" w:lineRule="auto"/>
        <w:ind w:firstLine="480" w:firstLineChars="200"/>
        <w:rPr>
          <w:rFonts w:ascii="宋体" w:hAnsi="宋体" w:cs="宋体"/>
          <w:color w:val="000000"/>
          <w:kern w:val="0"/>
          <w:sz w:val="24"/>
        </w:rPr>
      </w:pPr>
      <w:r>
        <w:rPr>
          <w:rFonts w:hint="eastAsia" w:ascii="宋体" w:hAnsi="宋体" w:cs="宋体"/>
          <w:color w:val="000000"/>
          <w:kern w:val="0"/>
          <w:sz w:val="24"/>
        </w:rPr>
        <w:t xml:space="preserve">法定代表人或主要负责人身份证复印件： </w:t>
      </w:r>
    </w:p>
    <w:p>
      <w:pPr>
        <w:widowControl/>
        <w:spacing w:line="480" w:lineRule="auto"/>
        <w:ind w:firstLine="480" w:firstLineChars="200"/>
        <w:rPr>
          <w:rFonts w:ascii="宋体" w:hAnsi="宋体" w:cs="宋体"/>
          <w:color w:val="000000"/>
          <w:kern w:val="0"/>
          <w:sz w:val="24"/>
        </w:rPr>
      </w:pPr>
      <w:r>
        <w:rPr>
          <w:rFonts w:hint="eastAsia" w:ascii="宋体" w:hAnsi="宋体" w:cs="宋体"/>
          <w:color w:val="000000"/>
          <w:kern w:val="0"/>
          <w:sz w:val="24"/>
        </w:rPr>
        <w:t xml:space="preserve">法定代表人或主要负责人联系电话： </w:t>
      </w:r>
    </w:p>
    <w:p>
      <w:pPr>
        <w:widowControl/>
        <w:spacing w:line="480" w:lineRule="auto"/>
        <w:ind w:firstLine="480" w:firstLineChars="200"/>
        <w:rPr>
          <w:rFonts w:ascii="宋体" w:hAnsi="宋体" w:cs="宋体"/>
          <w:color w:val="000000"/>
          <w:kern w:val="0"/>
          <w:sz w:val="24"/>
        </w:rPr>
      </w:pPr>
      <w:r>
        <w:rPr>
          <w:rFonts w:hint="eastAsia" w:ascii="宋体" w:hAnsi="宋体" w:cs="宋体"/>
          <w:color w:val="000000"/>
          <w:kern w:val="0"/>
          <w:sz w:val="24"/>
        </w:rPr>
        <w:t xml:space="preserve">法定代表人或主要负责人传真： </w:t>
      </w:r>
    </w:p>
    <w:p>
      <w:pPr>
        <w:widowControl/>
        <w:spacing w:line="480" w:lineRule="auto"/>
        <w:ind w:firstLine="480" w:firstLineChars="200"/>
        <w:jc w:val="right"/>
        <w:rPr>
          <w:rFonts w:ascii="宋体" w:hAnsi="宋体" w:cs="宋体"/>
          <w:color w:val="000000"/>
          <w:kern w:val="0"/>
          <w:sz w:val="24"/>
        </w:rPr>
      </w:pPr>
      <w:r>
        <w:rPr>
          <w:rFonts w:hint="eastAsia" w:ascii="宋体" w:hAnsi="宋体" w:cs="宋体"/>
          <w:color w:val="000000"/>
          <w:kern w:val="0"/>
          <w:sz w:val="24"/>
        </w:rPr>
        <w:t>年     月    日</w:t>
      </w:r>
    </w:p>
    <w:p>
      <w:pPr>
        <w:spacing w:before="120" w:beforeLines="50" w:line="440" w:lineRule="exact"/>
        <w:jc w:val="left"/>
        <w:rPr>
          <w:rFonts w:ascii="宋体" w:hAnsi="宋体" w:cs="宋体"/>
          <w:b/>
          <w:szCs w:val="21"/>
        </w:rPr>
      </w:pPr>
    </w:p>
    <w:p>
      <w:pPr>
        <w:spacing w:before="120" w:beforeLines="50" w:line="440" w:lineRule="exact"/>
        <w:jc w:val="left"/>
        <w:rPr>
          <w:rFonts w:ascii="宋体" w:hAnsi="宋体" w:cs="宋体"/>
          <w:b/>
          <w:szCs w:val="21"/>
        </w:rPr>
      </w:pPr>
    </w:p>
    <w:p>
      <w:pPr>
        <w:spacing w:before="120" w:beforeLines="50" w:line="440" w:lineRule="exact"/>
        <w:jc w:val="left"/>
        <w:rPr>
          <w:rFonts w:ascii="宋体" w:hAnsi="宋体" w:cs="宋体"/>
          <w:b/>
          <w:szCs w:val="21"/>
        </w:rPr>
      </w:pPr>
    </w:p>
    <w:p>
      <w:pPr>
        <w:spacing w:before="120" w:beforeLines="50" w:line="440" w:lineRule="exact"/>
        <w:jc w:val="left"/>
        <w:rPr>
          <w:rFonts w:ascii="宋体" w:hAnsi="宋体" w:cs="宋体"/>
          <w:b/>
          <w:szCs w:val="21"/>
        </w:rPr>
      </w:pPr>
      <w:r>
        <w:rPr>
          <w:rFonts w:hint="eastAsia" w:ascii="宋体" w:hAnsi="宋体" w:cs="宋体"/>
          <w:b/>
          <w:szCs w:val="21"/>
        </w:rPr>
        <w:t>附件1：</w:t>
      </w:r>
    </w:p>
    <w:p>
      <w:pPr>
        <w:spacing w:after="120" w:afterLines="50" w:line="440" w:lineRule="exact"/>
        <w:jc w:val="center"/>
        <w:rPr>
          <w:rFonts w:ascii="宋体" w:hAnsi="宋体" w:cs="宋体"/>
          <w:b/>
          <w:szCs w:val="21"/>
        </w:rPr>
      </w:pPr>
      <w:r>
        <w:rPr>
          <w:rFonts w:hint="eastAsia" w:ascii="宋体" w:hAnsi="宋体" w:cs="宋体"/>
          <w:b/>
          <w:szCs w:val="21"/>
        </w:rPr>
        <w:t>法定代表人授权书（格式）</w:t>
      </w:r>
    </w:p>
    <w:p>
      <w:pPr>
        <w:spacing w:before="120" w:beforeLines="50" w:line="440" w:lineRule="exact"/>
        <w:rPr>
          <w:rFonts w:ascii="宋体" w:hAnsi="宋体" w:cs="宋体"/>
          <w:b/>
          <w:szCs w:val="21"/>
        </w:rPr>
      </w:pPr>
      <w:r>
        <w:rPr>
          <w:rFonts w:hint="eastAsia" w:ascii="宋体" w:hAnsi="宋体" w:cs="宋体"/>
          <w:b/>
          <w:szCs w:val="21"/>
        </w:rPr>
        <w:t>致：陕西鼎祥越工程造价咨询有限公司</w:t>
      </w:r>
    </w:p>
    <w:p>
      <w:pPr>
        <w:spacing w:line="440" w:lineRule="exact"/>
        <w:ind w:firstLine="420" w:firstLineChars="200"/>
        <w:rPr>
          <w:rFonts w:ascii="宋体" w:hAnsi="宋体" w:cs="宋体"/>
          <w:szCs w:val="21"/>
        </w:rPr>
      </w:pPr>
      <w:r>
        <w:rPr>
          <w:rFonts w:hint="eastAsia" w:ascii="宋体" w:hAnsi="宋体" w:cs="宋体"/>
          <w:szCs w:val="21"/>
        </w:rPr>
        <w:t>本授权声明：</w:t>
      </w:r>
      <w:r>
        <w:rPr>
          <w:rFonts w:hint="eastAsia" w:ascii="宋体" w:hAnsi="宋体" w:cs="宋体"/>
          <w:szCs w:val="21"/>
          <w:u w:val="single"/>
        </w:rPr>
        <w:t xml:space="preserve">              </w:t>
      </w:r>
      <w:r>
        <w:rPr>
          <w:rFonts w:hint="eastAsia" w:ascii="宋体" w:hAnsi="宋体" w:cs="宋体"/>
          <w:szCs w:val="21"/>
        </w:rPr>
        <w:t>（投标人名称）按中华人民共和国法律于</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日成立。</w:t>
      </w:r>
      <w:r>
        <w:rPr>
          <w:rFonts w:hint="eastAsia" w:ascii="宋体" w:hAnsi="宋体" w:cs="宋体"/>
          <w:szCs w:val="21"/>
          <w:u w:val="single"/>
        </w:rPr>
        <w:t xml:space="preserve">          </w:t>
      </w:r>
      <w:r>
        <w:rPr>
          <w:rFonts w:hint="eastAsia" w:ascii="宋体" w:hAnsi="宋体" w:cs="宋体"/>
          <w:szCs w:val="21"/>
        </w:rPr>
        <w:t>（法定代表人姓名、职务）特授权</w:t>
      </w:r>
      <w:r>
        <w:rPr>
          <w:rFonts w:hint="eastAsia" w:ascii="宋体" w:hAnsi="宋体" w:cs="宋体"/>
          <w:szCs w:val="21"/>
          <w:u w:val="single"/>
        </w:rPr>
        <w:t xml:space="preserve">      </w:t>
      </w:r>
      <w:r>
        <w:rPr>
          <w:rFonts w:hint="eastAsia" w:ascii="宋体" w:hAnsi="宋体" w:cs="宋体"/>
          <w:szCs w:val="21"/>
        </w:rPr>
        <w:t>（被授权人姓名、职务、）为我方“</w:t>
      </w:r>
      <w:r>
        <w:rPr>
          <w:rFonts w:hint="eastAsia" w:ascii="宋体" w:hAnsi="宋体" w:cs="宋体"/>
          <w:szCs w:val="21"/>
          <w:u w:val="single"/>
        </w:rPr>
        <w:t xml:space="preserve">        </w:t>
      </w:r>
      <w:r>
        <w:rPr>
          <w:rFonts w:hint="eastAsia" w:ascii="宋体" w:hAnsi="宋体" w:cs="宋体"/>
          <w:szCs w:val="21"/>
        </w:rPr>
        <w:t>”项目（DXY2022-0</w:t>
      </w:r>
      <w:r>
        <w:rPr>
          <w:rFonts w:hint="eastAsia" w:ascii="宋体" w:hAnsi="宋体" w:cs="宋体"/>
          <w:szCs w:val="21"/>
          <w:lang w:val="en-US" w:eastAsia="zh-CN"/>
        </w:rPr>
        <w:t>0</w:t>
      </w:r>
      <w:r>
        <w:rPr>
          <w:rFonts w:hint="eastAsia" w:ascii="宋体" w:hAnsi="宋体" w:cs="宋体"/>
          <w:szCs w:val="21"/>
        </w:rPr>
        <w:t>10）投标活动的合法代表，以我方名义全权处理该项目有关投标、签订合同以及执行合同等一切事宜，本单位均予承认并负全部责任。</w:t>
      </w:r>
    </w:p>
    <w:p>
      <w:pPr>
        <w:spacing w:line="440" w:lineRule="exact"/>
        <w:ind w:firstLine="420" w:firstLineChars="200"/>
        <w:rPr>
          <w:rFonts w:ascii="宋体" w:hAnsi="宋体" w:cs="宋体"/>
          <w:szCs w:val="21"/>
        </w:rPr>
      </w:pPr>
      <w:r>
        <w:rPr>
          <w:rFonts w:hint="eastAsia" w:ascii="宋体" w:hAnsi="宋体" w:cs="宋体"/>
          <w:szCs w:val="21"/>
        </w:rPr>
        <w:t>本授权有效期自开标之日起不得少于90天</w:t>
      </w:r>
    </w:p>
    <w:p>
      <w:pPr>
        <w:spacing w:line="440" w:lineRule="exact"/>
        <w:rPr>
          <w:rFonts w:ascii="宋体" w:hAnsi="宋体" w:cs="宋体"/>
          <w:szCs w:val="21"/>
        </w:rPr>
      </w:pPr>
      <w:r>
        <w:rPr>
          <w:rFonts w:hint="eastAsia" w:ascii="宋体" w:hAnsi="宋体" w:cs="宋体"/>
          <w:szCs w:val="21"/>
        </w:rPr>
        <w:t>附：1、授权代表信息：</w:t>
      </w:r>
    </w:p>
    <w:p>
      <w:pPr>
        <w:spacing w:line="440" w:lineRule="exact"/>
        <w:ind w:firstLine="735" w:firstLineChars="350"/>
        <w:rPr>
          <w:rFonts w:ascii="宋体" w:hAnsi="宋体" w:cs="宋体"/>
          <w:szCs w:val="21"/>
        </w:rPr>
      </w:pPr>
      <w:r>
        <w:rPr>
          <w:rFonts w:hint="eastAsia" w:ascii="宋体" w:hAnsi="宋体" w:cs="宋体"/>
          <w:szCs w:val="21"/>
        </w:rPr>
        <w:t>授权代表姓名：</w:t>
      </w:r>
      <w:r>
        <w:rPr>
          <w:rFonts w:hint="eastAsia" w:ascii="宋体" w:hAnsi="宋体" w:cs="宋体"/>
          <w:szCs w:val="21"/>
          <w:u w:val="single"/>
        </w:rPr>
        <w:t xml:space="preserve">            </w:t>
      </w:r>
      <w:r>
        <w:rPr>
          <w:rFonts w:hint="eastAsia" w:ascii="宋体" w:hAnsi="宋体" w:cs="宋体"/>
          <w:szCs w:val="21"/>
        </w:rPr>
        <w:t xml:space="preserve">  性别：</w:t>
      </w:r>
      <w:r>
        <w:rPr>
          <w:rFonts w:hint="eastAsia" w:ascii="宋体" w:hAnsi="宋体" w:cs="宋体"/>
          <w:szCs w:val="21"/>
          <w:u w:val="single"/>
        </w:rPr>
        <w:t xml:space="preserve">            </w:t>
      </w:r>
      <w:r>
        <w:rPr>
          <w:rFonts w:hint="eastAsia" w:ascii="宋体" w:hAnsi="宋体" w:cs="宋体"/>
          <w:szCs w:val="21"/>
        </w:rPr>
        <w:t xml:space="preserve">   年龄：</w:t>
      </w:r>
      <w:r>
        <w:rPr>
          <w:rFonts w:hint="eastAsia" w:ascii="宋体" w:hAnsi="宋体" w:cs="宋体"/>
          <w:szCs w:val="21"/>
          <w:u w:val="single"/>
        </w:rPr>
        <w:t xml:space="preserve">      </w:t>
      </w:r>
    </w:p>
    <w:p>
      <w:pPr>
        <w:spacing w:line="440" w:lineRule="exact"/>
        <w:ind w:firstLine="555"/>
        <w:rPr>
          <w:rFonts w:ascii="宋体" w:hAnsi="宋体" w:cs="宋体"/>
          <w:szCs w:val="21"/>
          <w:u w:val="single"/>
        </w:rPr>
      </w:pPr>
      <w:r>
        <w:rPr>
          <w:rFonts w:hint="eastAsia" w:ascii="宋体" w:hAnsi="宋体" w:cs="宋体"/>
          <w:szCs w:val="21"/>
        </w:rPr>
        <w:t xml:space="preserve">  身份证号码：</w:t>
      </w:r>
      <w:r>
        <w:rPr>
          <w:rFonts w:hint="eastAsia" w:ascii="宋体" w:hAnsi="宋体" w:cs="宋体"/>
          <w:szCs w:val="21"/>
          <w:u w:val="single"/>
        </w:rPr>
        <w:t xml:space="preserve">              </w:t>
      </w:r>
      <w:r>
        <w:rPr>
          <w:rFonts w:hint="eastAsia" w:ascii="宋体" w:hAnsi="宋体" w:cs="宋体"/>
          <w:szCs w:val="21"/>
        </w:rPr>
        <w:t xml:space="preserve">  职务：</w:t>
      </w:r>
      <w:r>
        <w:rPr>
          <w:rFonts w:hint="eastAsia" w:ascii="宋体" w:hAnsi="宋体" w:cs="宋体"/>
          <w:szCs w:val="21"/>
          <w:u w:val="single"/>
        </w:rPr>
        <w:t xml:space="preserve">            </w:t>
      </w:r>
    </w:p>
    <w:p>
      <w:pPr>
        <w:spacing w:line="440" w:lineRule="exact"/>
        <w:ind w:firstLine="555"/>
        <w:rPr>
          <w:rFonts w:ascii="宋体" w:hAnsi="宋体" w:cs="宋体"/>
          <w:szCs w:val="21"/>
        </w:rPr>
      </w:pPr>
      <w:r>
        <w:rPr>
          <w:rFonts w:hint="eastAsia" w:ascii="宋体" w:hAnsi="宋体" w:cs="宋体"/>
          <w:szCs w:val="21"/>
        </w:rPr>
        <w:t xml:space="preserve">  通讯地址：</w:t>
      </w:r>
      <w:r>
        <w:rPr>
          <w:rFonts w:hint="eastAsia" w:ascii="宋体" w:hAnsi="宋体" w:cs="宋体"/>
          <w:szCs w:val="21"/>
          <w:u w:val="single"/>
        </w:rPr>
        <w:t xml:space="preserve">                                    </w:t>
      </w:r>
    </w:p>
    <w:p>
      <w:pPr>
        <w:spacing w:line="440" w:lineRule="exact"/>
        <w:ind w:firstLine="555"/>
        <w:rPr>
          <w:rFonts w:ascii="宋体" w:hAnsi="宋体" w:cs="宋体"/>
          <w:b/>
          <w:szCs w:val="21"/>
        </w:rPr>
      </w:pPr>
      <w:r>
        <w:rPr>
          <w:rFonts w:hint="eastAsia" w:ascii="宋体" w:hAnsi="宋体" w:cs="宋体"/>
          <w:szCs w:val="21"/>
        </w:rPr>
        <w:t xml:space="preserve">  邮政编码：</w:t>
      </w:r>
      <w:r>
        <w:rPr>
          <w:rFonts w:hint="eastAsia" w:ascii="宋体" w:hAnsi="宋体" w:cs="宋体"/>
          <w:szCs w:val="21"/>
          <w:u w:val="single"/>
        </w:rPr>
        <w:t xml:space="preserve">        </w:t>
      </w:r>
      <w:r>
        <w:rPr>
          <w:rFonts w:hint="eastAsia" w:ascii="宋体" w:hAnsi="宋体" w:cs="宋体"/>
          <w:szCs w:val="21"/>
        </w:rPr>
        <w:t xml:space="preserve"> 电话：</w:t>
      </w:r>
      <w:r>
        <w:rPr>
          <w:rFonts w:hint="eastAsia" w:ascii="宋体" w:hAnsi="宋体" w:cs="宋体"/>
          <w:szCs w:val="21"/>
          <w:u w:val="single"/>
        </w:rPr>
        <w:t xml:space="preserve">        </w:t>
      </w:r>
      <w:r>
        <w:rPr>
          <w:rFonts w:hint="eastAsia" w:ascii="宋体" w:hAnsi="宋体" w:cs="宋体"/>
          <w:szCs w:val="21"/>
        </w:rPr>
        <w:t xml:space="preserve"> 传真：</w:t>
      </w:r>
      <w:r>
        <w:rPr>
          <w:rFonts w:hint="eastAsia" w:ascii="宋体" w:hAnsi="宋体" w:cs="宋体"/>
          <w:szCs w:val="21"/>
          <w:u w:val="single"/>
        </w:rPr>
        <w:t xml:space="preserve">      </w:t>
      </w:r>
    </w:p>
    <w:p>
      <w:pPr>
        <w:spacing w:line="440" w:lineRule="exact"/>
        <w:rPr>
          <w:rFonts w:ascii="宋体" w:hAnsi="宋体" w:cs="宋体"/>
          <w:szCs w:val="21"/>
        </w:rPr>
      </w:pPr>
      <w:r>
        <w:rPr>
          <w:rFonts w:hint="eastAsia" w:ascii="宋体" w:hAnsi="宋体" w:cs="宋体"/>
          <w:b/>
          <w:szCs w:val="21"/>
        </w:rPr>
        <w:t xml:space="preserve">    </w:t>
      </w:r>
      <w:r>
        <w:rPr>
          <w:rFonts w:hint="eastAsia" w:ascii="宋体" w:hAnsi="宋体" w:cs="宋体"/>
          <w:szCs w:val="21"/>
        </w:rPr>
        <w:t>2、法定代表人身份证复印件、授权代表身份证复印件（正反两面）</w:t>
      </w:r>
    </w:p>
    <w:tbl>
      <w:tblPr>
        <w:tblStyle w:val="36"/>
        <w:tblW w:w="930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650"/>
        <w:gridCol w:w="465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19" w:hRule="atLeast"/>
        </w:trPr>
        <w:tc>
          <w:tcPr>
            <w:tcW w:w="4650" w:type="dxa"/>
            <w:tcBorders>
              <w:tl2br w:val="nil"/>
              <w:tr2bl w:val="nil"/>
            </w:tcBorders>
          </w:tcPr>
          <w:p>
            <w:pPr>
              <w:spacing w:line="480" w:lineRule="exact"/>
              <w:rPr>
                <w:rFonts w:ascii="宋体" w:hAnsi="宋体" w:cs="宋体"/>
                <w:szCs w:val="21"/>
              </w:rPr>
            </w:pPr>
          </w:p>
        </w:tc>
        <w:tc>
          <w:tcPr>
            <w:tcW w:w="4650" w:type="dxa"/>
            <w:tcBorders>
              <w:tl2br w:val="nil"/>
              <w:tr2bl w:val="nil"/>
            </w:tcBorders>
          </w:tcPr>
          <w:p>
            <w:pPr>
              <w:spacing w:line="480" w:lineRule="exact"/>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29" w:hRule="atLeast"/>
        </w:trPr>
        <w:tc>
          <w:tcPr>
            <w:tcW w:w="4650" w:type="dxa"/>
            <w:tcBorders>
              <w:tl2br w:val="nil"/>
              <w:tr2bl w:val="nil"/>
            </w:tcBorders>
          </w:tcPr>
          <w:p>
            <w:pPr>
              <w:spacing w:line="480" w:lineRule="exact"/>
              <w:rPr>
                <w:rFonts w:ascii="宋体" w:hAnsi="宋体" w:cs="宋体"/>
                <w:szCs w:val="21"/>
              </w:rPr>
            </w:pPr>
          </w:p>
        </w:tc>
        <w:tc>
          <w:tcPr>
            <w:tcW w:w="4650" w:type="dxa"/>
            <w:tcBorders>
              <w:tl2br w:val="nil"/>
              <w:tr2bl w:val="nil"/>
            </w:tcBorders>
          </w:tcPr>
          <w:p>
            <w:pPr>
              <w:spacing w:line="480" w:lineRule="exact"/>
              <w:rPr>
                <w:rFonts w:ascii="宋体" w:hAnsi="宋体" w:cs="宋体"/>
                <w:szCs w:val="21"/>
              </w:rPr>
            </w:pPr>
          </w:p>
        </w:tc>
      </w:tr>
    </w:tbl>
    <w:p>
      <w:pPr>
        <w:spacing w:before="120" w:beforeLines="50" w:after="120" w:afterLines="50" w:line="480" w:lineRule="exact"/>
        <w:rPr>
          <w:rFonts w:ascii="宋体" w:hAnsi="宋体" w:cs="宋体"/>
          <w:szCs w:val="21"/>
          <w:u w:val="single"/>
        </w:rPr>
      </w:pPr>
      <w:r>
        <w:rPr>
          <w:rFonts w:hint="eastAsia" w:ascii="宋体" w:hAnsi="宋体" w:cs="宋体"/>
          <w:szCs w:val="21"/>
        </w:rPr>
        <w:t xml:space="preserve">                                             法定代表人签字：</w:t>
      </w:r>
      <w:r>
        <w:rPr>
          <w:rFonts w:hint="eastAsia" w:ascii="宋体" w:hAnsi="宋体" w:cs="宋体"/>
          <w:szCs w:val="21"/>
          <w:u w:val="single"/>
        </w:rPr>
        <w:t xml:space="preserve">               </w:t>
      </w:r>
    </w:p>
    <w:p>
      <w:pPr>
        <w:spacing w:before="120" w:beforeLines="50" w:after="120" w:afterLines="50" w:line="480" w:lineRule="exact"/>
        <w:ind w:firstLine="420" w:firstLineChars="200"/>
        <w:rPr>
          <w:rFonts w:ascii="宋体" w:hAnsi="宋体" w:cs="宋体"/>
          <w:szCs w:val="21"/>
          <w:u w:val="single"/>
        </w:rPr>
      </w:pPr>
      <w:r>
        <w:rPr>
          <w:rFonts w:hint="eastAsia" w:ascii="宋体" w:hAnsi="宋体" w:cs="宋体"/>
          <w:szCs w:val="21"/>
        </w:rPr>
        <w:t xml:space="preserve">                                         授权代表签字：</w:t>
      </w:r>
      <w:r>
        <w:rPr>
          <w:rFonts w:hint="eastAsia" w:ascii="宋体" w:hAnsi="宋体" w:cs="宋体"/>
          <w:szCs w:val="21"/>
          <w:u w:val="single"/>
        </w:rPr>
        <w:t xml:space="preserve">                 </w:t>
      </w:r>
    </w:p>
    <w:p>
      <w:pPr>
        <w:spacing w:before="120" w:beforeLines="50" w:after="120" w:afterLines="50" w:line="480" w:lineRule="exact"/>
        <w:ind w:firstLine="420" w:firstLineChars="200"/>
        <w:rPr>
          <w:rFonts w:ascii="宋体" w:hAnsi="宋体" w:cs="宋体"/>
          <w:szCs w:val="21"/>
        </w:rPr>
      </w:pPr>
      <w:r>
        <w:rPr>
          <w:rFonts w:hint="eastAsia" w:ascii="宋体" w:hAnsi="宋体" w:cs="宋体"/>
          <w:szCs w:val="21"/>
        </w:rPr>
        <w:t xml:space="preserve">                                         投标人名称：</w:t>
      </w:r>
      <w:r>
        <w:rPr>
          <w:rFonts w:hint="eastAsia" w:ascii="宋体" w:hAnsi="宋体" w:cs="宋体"/>
          <w:szCs w:val="21"/>
          <w:u w:val="single"/>
        </w:rPr>
        <w:t xml:space="preserve">                   </w:t>
      </w:r>
      <w:r>
        <w:rPr>
          <w:rFonts w:hint="eastAsia" w:ascii="宋体" w:hAnsi="宋体" w:cs="宋体"/>
          <w:szCs w:val="21"/>
        </w:rPr>
        <w:t>（盖章）</w:t>
      </w:r>
    </w:p>
    <w:p>
      <w:pPr>
        <w:spacing w:before="120" w:beforeLines="50" w:after="120" w:afterLines="50" w:line="480" w:lineRule="exact"/>
        <w:ind w:firstLine="420" w:firstLineChars="200"/>
        <w:rPr>
          <w:rFonts w:ascii="宋体" w:hAnsi="宋体" w:cs="宋体"/>
          <w:szCs w:val="21"/>
        </w:rPr>
      </w:pPr>
      <w:r>
        <w:rPr>
          <w:rFonts w:hint="eastAsia" w:ascii="宋体" w:hAnsi="宋体" w:cs="宋体"/>
          <w:szCs w:val="21"/>
        </w:rPr>
        <w:t xml:space="preserve">                                     </w:t>
      </w:r>
      <w:r>
        <w:rPr>
          <w:rFonts w:hint="eastAsia" w:ascii="宋体" w:hAnsi="宋体" w:cs="宋体"/>
          <w:color w:val="FF0000"/>
          <w:szCs w:val="21"/>
        </w:rPr>
        <w:t>　　</w:t>
      </w:r>
      <w:r>
        <w:rPr>
          <w:rFonts w:hint="eastAsia" w:ascii="宋体" w:hAnsi="宋体" w:cs="宋体"/>
          <w:szCs w:val="21"/>
        </w:rPr>
        <w:t>日      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spacing w:before="120" w:beforeLines="50" w:after="120" w:afterLines="50" w:line="480" w:lineRule="exact"/>
        <w:rPr>
          <w:rFonts w:ascii="宋体" w:hAnsi="宋体" w:cs="宋体"/>
          <w:b/>
          <w:szCs w:val="21"/>
        </w:rPr>
      </w:pPr>
      <w:r>
        <w:rPr>
          <w:rFonts w:hint="eastAsia" w:ascii="宋体" w:hAnsi="宋体" w:cs="宋体"/>
          <w:b/>
          <w:szCs w:val="21"/>
        </w:rPr>
        <w:t>附件2：</w:t>
      </w:r>
    </w:p>
    <w:p>
      <w:pPr>
        <w:pStyle w:val="31"/>
        <w:widowControl w:val="0"/>
        <w:snapToGrid w:val="0"/>
        <w:spacing w:after="240" w:afterLines="100" w:line="312" w:lineRule="auto"/>
        <w:jc w:val="center"/>
        <w:rPr>
          <w:b/>
          <w:bCs/>
          <w:sz w:val="21"/>
          <w:szCs w:val="21"/>
        </w:rPr>
      </w:pPr>
      <w:r>
        <w:rPr>
          <w:rFonts w:hint="eastAsia"/>
          <w:b/>
          <w:bCs/>
          <w:sz w:val="21"/>
          <w:szCs w:val="21"/>
        </w:rPr>
        <w:t>关于信用担保的说明</w:t>
      </w:r>
    </w:p>
    <w:p>
      <w:pPr>
        <w:snapToGrid w:val="0"/>
        <w:spacing w:line="500" w:lineRule="exact"/>
        <w:rPr>
          <w:rFonts w:ascii="宋体" w:hAnsi="宋体" w:cs="宋体"/>
          <w:szCs w:val="21"/>
        </w:rPr>
      </w:pPr>
      <w:r>
        <w:rPr>
          <w:rFonts w:hint="eastAsia" w:ascii="宋体" w:hAnsi="宋体" w:cs="宋体"/>
          <w:szCs w:val="21"/>
        </w:rPr>
        <w:t xml:space="preserve">    1、投标人在投标、履约、融资等环节可自愿选择采取信用担保的形式。</w:t>
      </w:r>
    </w:p>
    <w:p>
      <w:pPr>
        <w:snapToGrid w:val="0"/>
        <w:spacing w:line="500" w:lineRule="exact"/>
        <w:ind w:firstLine="420" w:firstLineChars="200"/>
        <w:rPr>
          <w:rFonts w:ascii="宋体" w:hAnsi="宋体" w:cs="宋体"/>
          <w:szCs w:val="21"/>
        </w:rPr>
      </w:pPr>
      <w:r>
        <w:rPr>
          <w:rFonts w:hint="eastAsia" w:ascii="宋体" w:hAnsi="宋体" w:cs="宋体"/>
          <w:szCs w:val="21"/>
        </w:rPr>
        <w:t>2、投标人可以自愿选择是否采取投标担保函的形式交纳投标保证金，也可以自愿选择是否采取履约担保函的形式交纳履约保证金。</w:t>
      </w:r>
    </w:p>
    <w:p>
      <w:pPr>
        <w:snapToGrid w:val="0"/>
        <w:spacing w:line="500" w:lineRule="exact"/>
        <w:ind w:firstLine="420" w:firstLineChars="200"/>
        <w:rPr>
          <w:rFonts w:ascii="宋体" w:hAnsi="宋体" w:cs="宋体"/>
          <w:szCs w:val="21"/>
        </w:rPr>
      </w:pPr>
      <w:r>
        <w:rPr>
          <w:rFonts w:hint="eastAsia" w:ascii="宋体" w:hAnsi="宋体" w:cs="宋体"/>
          <w:szCs w:val="21"/>
        </w:rPr>
        <w:t>3、具体详见西安市财政局关于印发《西安市政府采购信用担保及信用融资工作实施方案（试行）》的通知（市财发[2014]167号）及西安市财政局关于贯彻落实《西安市政府采购信用担保及信用融资工作实施方案（试行）》有关事宜的通知（市财发）[2017]4号）。</w:t>
      </w:r>
    </w:p>
    <w:p>
      <w:pPr>
        <w:snapToGrid w:val="0"/>
        <w:spacing w:line="500" w:lineRule="exact"/>
        <w:ind w:firstLine="420" w:firstLineChars="200"/>
        <w:rPr>
          <w:rFonts w:ascii="宋体" w:hAnsi="宋体" w:cs="宋体"/>
          <w:szCs w:val="21"/>
        </w:rPr>
      </w:pPr>
      <w:r>
        <w:rPr>
          <w:rFonts w:hint="eastAsia" w:ascii="宋体" w:hAnsi="宋体" w:cs="宋体"/>
          <w:szCs w:val="21"/>
        </w:rPr>
        <w:t>联系方式如下：</w:t>
      </w:r>
    </w:p>
    <w:p>
      <w:pPr>
        <w:snapToGrid w:val="0"/>
        <w:spacing w:line="500" w:lineRule="exact"/>
        <w:rPr>
          <w:rFonts w:ascii="宋体" w:hAnsi="宋体" w:cs="宋体"/>
          <w:b/>
          <w:bCs/>
          <w:sz w:val="28"/>
          <w:szCs w:val="28"/>
        </w:rPr>
      </w:pPr>
      <w:r>
        <w:rPr>
          <w:rFonts w:hint="eastAsia" w:ascii="宋体" w:hAnsi="宋体" w:cs="宋体"/>
          <w:b/>
          <w:bCs/>
          <w:sz w:val="28"/>
          <w:szCs w:val="28"/>
        </w:rPr>
        <w:t>2017年度西安市政府采购信用担保及信用融资合作机构联系名单</w:t>
      </w:r>
    </w:p>
    <w:tbl>
      <w:tblPr>
        <w:tblStyle w:val="36"/>
        <w:tblW w:w="931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65"/>
        <w:gridCol w:w="1555"/>
        <w:gridCol w:w="1866"/>
        <w:gridCol w:w="1524"/>
        <w:gridCol w:w="936"/>
        <w:gridCol w:w="1764"/>
        <w:gridCol w:w="120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465" w:type="dxa"/>
            <w:vAlign w:val="center"/>
          </w:tcPr>
          <w:p>
            <w:pPr>
              <w:snapToGrid w:val="0"/>
              <w:spacing w:line="440" w:lineRule="exact"/>
              <w:jc w:val="center"/>
              <w:rPr>
                <w:rFonts w:ascii="宋体" w:hAnsi="宋体" w:cs="宋体"/>
                <w:b/>
                <w:bCs/>
                <w:kern w:val="0"/>
                <w:szCs w:val="21"/>
              </w:rPr>
            </w:pPr>
            <w:r>
              <w:rPr>
                <w:rFonts w:hint="eastAsia" w:ascii="宋体" w:hAnsi="宋体" w:cs="宋体"/>
                <w:b/>
                <w:bCs/>
                <w:kern w:val="0"/>
                <w:szCs w:val="21"/>
              </w:rPr>
              <w:t>序号</w:t>
            </w:r>
          </w:p>
        </w:tc>
        <w:tc>
          <w:tcPr>
            <w:tcW w:w="1555" w:type="dxa"/>
            <w:vAlign w:val="center"/>
          </w:tcPr>
          <w:p>
            <w:pPr>
              <w:snapToGrid w:val="0"/>
              <w:spacing w:line="440" w:lineRule="exact"/>
              <w:jc w:val="center"/>
              <w:rPr>
                <w:rFonts w:ascii="宋体" w:hAnsi="宋体" w:cs="宋体"/>
                <w:b/>
                <w:bCs/>
                <w:kern w:val="0"/>
                <w:szCs w:val="21"/>
              </w:rPr>
            </w:pPr>
            <w:r>
              <w:rPr>
                <w:rFonts w:hint="eastAsia" w:ascii="宋体" w:hAnsi="宋体" w:cs="宋体"/>
                <w:b/>
                <w:bCs/>
                <w:kern w:val="0"/>
                <w:szCs w:val="21"/>
              </w:rPr>
              <w:t>合作单位名称</w:t>
            </w:r>
          </w:p>
        </w:tc>
        <w:tc>
          <w:tcPr>
            <w:tcW w:w="1866" w:type="dxa"/>
            <w:vAlign w:val="center"/>
          </w:tcPr>
          <w:p>
            <w:pPr>
              <w:snapToGrid w:val="0"/>
              <w:spacing w:line="440" w:lineRule="exact"/>
              <w:jc w:val="center"/>
              <w:rPr>
                <w:rFonts w:ascii="宋体" w:hAnsi="宋体" w:cs="宋体"/>
                <w:b/>
                <w:bCs/>
                <w:kern w:val="0"/>
                <w:szCs w:val="21"/>
              </w:rPr>
            </w:pPr>
            <w:r>
              <w:rPr>
                <w:rFonts w:hint="eastAsia" w:ascii="宋体" w:hAnsi="宋体" w:cs="宋体"/>
                <w:b/>
                <w:bCs/>
                <w:kern w:val="0"/>
                <w:szCs w:val="21"/>
              </w:rPr>
              <w:t>主办单位名称</w:t>
            </w:r>
          </w:p>
        </w:tc>
        <w:tc>
          <w:tcPr>
            <w:tcW w:w="1524" w:type="dxa"/>
            <w:vAlign w:val="center"/>
          </w:tcPr>
          <w:p>
            <w:pPr>
              <w:snapToGrid w:val="0"/>
              <w:spacing w:line="440" w:lineRule="exact"/>
              <w:jc w:val="center"/>
              <w:rPr>
                <w:rFonts w:ascii="宋体" w:hAnsi="宋体" w:cs="宋体"/>
                <w:b/>
                <w:bCs/>
                <w:kern w:val="0"/>
                <w:szCs w:val="21"/>
              </w:rPr>
            </w:pPr>
            <w:r>
              <w:rPr>
                <w:rFonts w:hint="eastAsia" w:ascii="宋体" w:hAnsi="宋体" w:cs="宋体"/>
                <w:b/>
                <w:bCs/>
                <w:kern w:val="0"/>
                <w:szCs w:val="21"/>
              </w:rPr>
              <w:t>联系部门</w:t>
            </w:r>
          </w:p>
        </w:tc>
        <w:tc>
          <w:tcPr>
            <w:tcW w:w="936" w:type="dxa"/>
            <w:vAlign w:val="center"/>
          </w:tcPr>
          <w:p>
            <w:pPr>
              <w:snapToGrid w:val="0"/>
              <w:spacing w:line="440" w:lineRule="exact"/>
              <w:jc w:val="center"/>
              <w:rPr>
                <w:rFonts w:ascii="宋体" w:hAnsi="宋体" w:cs="宋体"/>
                <w:b/>
                <w:bCs/>
                <w:kern w:val="0"/>
                <w:szCs w:val="21"/>
              </w:rPr>
            </w:pPr>
            <w:r>
              <w:rPr>
                <w:rFonts w:hint="eastAsia" w:ascii="宋体" w:hAnsi="宋体" w:cs="宋体"/>
                <w:b/>
                <w:bCs/>
                <w:kern w:val="0"/>
                <w:szCs w:val="21"/>
              </w:rPr>
              <w:t>联系人员</w:t>
            </w:r>
          </w:p>
        </w:tc>
        <w:tc>
          <w:tcPr>
            <w:tcW w:w="1764" w:type="dxa"/>
            <w:vAlign w:val="center"/>
          </w:tcPr>
          <w:p>
            <w:pPr>
              <w:snapToGrid w:val="0"/>
              <w:spacing w:line="440" w:lineRule="exact"/>
              <w:jc w:val="center"/>
              <w:rPr>
                <w:rFonts w:ascii="宋体" w:hAnsi="宋体" w:cs="宋体"/>
                <w:b/>
                <w:bCs/>
                <w:kern w:val="0"/>
                <w:szCs w:val="21"/>
              </w:rPr>
            </w:pPr>
            <w:r>
              <w:rPr>
                <w:rFonts w:hint="eastAsia" w:ascii="宋体" w:hAnsi="宋体" w:cs="宋体"/>
                <w:b/>
                <w:bCs/>
                <w:szCs w:val="21"/>
              </w:rPr>
              <w:t>联系电话</w:t>
            </w:r>
          </w:p>
        </w:tc>
        <w:tc>
          <w:tcPr>
            <w:tcW w:w="1206" w:type="dxa"/>
            <w:vAlign w:val="center"/>
          </w:tcPr>
          <w:p>
            <w:pPr>
              <w:snapToGrid w:val="0"/>
              <w:spacing w:line="440" w:lineRule="exact"/>
              <w:jc w:val="center"/>
              <w:rPr>
                <w:rFonts w:ascii="宋体" w:hAnsi="宋体" w:cs="宋体"/>
                <w:b/>
                <w:bCs/>
                <w:szCs w:val="21"/>
              </w:rPr>
            </w:pPr>
            <w:r>
              <w:rPr>
                <w:rFonts w:hint="eastAsia" w:ascii="宋体" w:hAnsi="宋体" w:cs="宋体"/>
                <w:b/>
                <w:bCs/>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5"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1</w:t>
            </w:r>
          </w:p>
        </w:tc>
        <w:tc>
          <w:tcPr>
            <w:tcW w:w="1555"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陕西省信用再担保有限责任公司</w:t>
            </w:r>
          </w:p>
        </w:tc>
        <w:tc>
          <w:tcPr>
            <w:tcW w:w="1866"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陕西省信用再担保有限责任公司</w:t>
            </w:r>
          </w:p>
        </w:tc>
        <w:tc>
          <w:tcPr>
            <w:tcW w:w="1524"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业务三部</w:t>
            </w:r>
          </w:p>
        </w:tc>
        <w:tc>
          <w:tcPr>
            <w:tcW w:w="936"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夏靖颜</w:t>
            </w:r>
          </w:p>
          <w:p>
            <w:pPr>
              <w:snapToGrid w:val="0"/>
              <w:spacing w:line="440" w:lineRule="exact"/>
              <w:jc w:val="center"/>
              <w:rPr>
                <w:rFonts w:ascii="宋体" w:hAnsi="宋体" w:cs="宋体"/>
                <w:kern w:val="0"/>
                <w:szCs w:val="21"/>
              </w:rPr>
            </w:pPr>
            <w:r>
              <w:rPr>
                <w:rFonts w:hint="eastAsia" w:ascii="宋体" w:hAnsi="宋体" w:cs="宋体"/>
                <w:kern w:val="0"/>
                <w:szCs w:val="21"/>
              </w:rPr>
              <w:t>朱筠响</w:t>
            </w:r>
          </w:p>
        </w:tc>
        <w:tc>
          <w:tcPr>
            <w:tcW w:w="1764"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88606038-6320</w:t>
            </w:r>
          </w:p>
          <w:p>
            <w:pPr>
              <w:snapToGrid w:val="0"/>
              <w:spacing w:line="440" w:lineRule="exact"/>
              <w:jc w:val="center"/>
              <w:rPr>
                <w:rFonts w:ascii="宋体" w:hAnsi="宋体" w:cs="宋体"/>
                <w:kern w:val="0"/>
                <w:szCs w:val="21"/>
              </w:rPr>
            </w:pPr>
            <w:r>
              <w:rPr>
                <w:rFonts w:hint="eastAsia" w:ascii="宋体" w:hAnsi="宋体" w:cs="宋体"/>
                <w:kern w:val="0"/>
                <w:szCs w:val="21"/>
              </w:rPr>
              <w:t>18591406320</w:t>
            </w:r>
          </w:p>
          <w:p>
            <w:pPr>
              <w:snapToGrid w:val="0"/>
              <w:spacing w:line="440" w:lineRule="exact"/>
              <w:jc w:val="center"/>
              <w:rPr>
                <w:rFonts w:ascii="宋体" w:hAnsi="宋体" w:cs="宋体"/>
                <w:kern w:val="0"/>
                <w:szCs w:val="21"/>
              </w:rPr>
            </w:pPr>
            <w:r>
              <w:rPr>
                <w:rFonts w:hint="eastAsia" w:ascii="宋体" w:hAnsi="宋体" w:cs="宋体"/>
                <w:kern w:val="0"/>
                <w:szCs w:val="21"/>
              </w:rPr>
              <w:t>18629282228</w:t>
            </w:r>
          </w:p>
        </w:tc>
        <w:tc>
          <w:tcPr>
            <w:tcW w:w="1206" w:type="dxa"/>
            <w:vAlign w:val="center"/>
          </w:tcPr>
          <w:p>
            <w:pPr>
              <w:snapToGrid w:val="0"/>
              <w:spacing w:line="440" w:lineRule="exact"/>
              <w:jc w:val="center"/>
              <w:rPr>
                <w:rFonts w:ascii="宋体" w:hAnsi="宋体" w:cs="宋体"/>
                <w:szCs w:val="21"/>
              </w:rPr>
            </w:pPr>
            <w:r>
              <w:rPr>
                <w:rFonts w:hint="eastAsia" w:ascii="宋体" w:hAnsi="宋体" w:cs="宋体"/>
                <w:szCs w:val="21"/>
              </w:rPr>
              <w:t>信用担保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465"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2</w:t>
            </w:r>
          </w:p>
        </w:tc>
        <w:tc>
          <w:tcPr>
            <w:tcW w:w="1555"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西安投融资担保有限公司</w:t>
            </w:r>
          </w:p>
        </w:tc>
        <w:tc>
          <w:tcPr>
            <w:tcW w:w="1866"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西安投融资担保有限公司</w:t>
            </w:r>
          </w:p>
        </w:tc>
        <w:tc>
          <w:tcPr>
            <w:tcW w:w="1524"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业务四部</w:t>
            </w:r>
          </w:p>
        </w:tc>
        <w:tc>
          <w:tcPr>
            <w:tcW w:w="936"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王蓉</w:t>
            </w:r>
          </w:p>
          <w:p>
            <w:pPr>
              <w:snapToGrid w:val="0"/>
              <w:spacing w:line="440" w:lineRule="exact"/>
              <w:jc w:val="center"/>
              <w:rPr>
                <w:rFonts w:ascii="宋体" w:hAnsi="宋体" w:cs="宋体"/>
                <w:kern w:val="0"/>
                <w:szCs w:val="21"/>
              </w:rPr>
            </w:pPr>
            <w:r>
              <w:rPr>
                <w:rFonts w:hint="eastAsia" w:ascii="宋体" w:hAnsi="宋体" w:cs="宋体"/>
                <w:kern w:val="0"/>
                <w:szCs w:val="21"/>
              </w:rPr>
              <w:t>汪晓宇</w:t>
            </w:r>
          </w:p>
        </w:tc>
        <w:tc>
          <w:tcPr>
            <w:tcW w:w="1764"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88480371</w:t>
            </w:r>
          </w:p>
          <w:p>
            <w:pPr>
              <w:snapToGrid w:val="0"/>
              <w:spacing w:line="440" w:lineRule="exact"/>
              <w:jc w:val="center"/>
              <w:rPr>
                <w:rFonts w:ascii="宋体" w:hAnsi="宋体" w:cs="宋体"/>
                <w:kern w:val="0"/>
                <w:szCs w:val="21"/>
              </w:rPr>
            </w:pPr>
            <w:r>
              <w:rPr>
                <w:rFonts w:hint="eastAsia" w:ascii="宋体" w:hAnsi="宋体" w:cs="宋体"/>
                <w:kern w:val="0"/>
                <w:szCs w:val="21"/>
              </w:rPr>
              <w:t>13110423743</w:t>
            </w:r>
          </w:p>
          <w:p>
            <w:pPr>
              <w:snapToGrid w:val="0"/>
              <w:spacing w:line="440" w:lineRule="exact"/>
              <w:jc w:val="center"/>
              <w:rPr>
                <w:rFonts w:ascii="宋体" w:hAnsi="宋体" w:cs="宋体"/>
                <w:kern w:val="0"/>
                <w:szCs w:val="21"/>
              </w:rPr>
            </w:pPr>
            <w:r>
              <w:rPr>
                <w:rFonts w:hint="eastAsia" w:ascii="宋体" w:hAnsi="宋体" w:cs="宋体"/>
                <w:kern w:val="0"/>
                <w:szCs w:val="21"/>
              </w:rPr>
              <w:t>88489590</w:t>
            </w:r>
          </w:p>
          <w:p>
            <w:pPr>
              <w:snapToGrid w:val="0"/>
              <w:spacing w:line="440" w:lineRule="exact"/>
              <w:jc w:val="center"/>
              <w:rPr>
                <w:rFonts w:ascii="宋体" w:hAnsi="宋体" w:cs="宋体"/>
                <w:kern w:val="0"/>
                <w:szCs w:val="21"/>
              </w:rPr>
            </w:pPr>
            <w:r>
              <w:rPr>
                <w:rFonts w:hint="eastAsia" w:ascii="宋体" w:hAnsi="宋体" w:cs="宋体"/>
                <w:kern w:val="0"/>
                <w:szCs w:val="21"/>
              </w:rPr>
              <w:t>13629260305</w:t>
            </w:r>
          </w:p>
        </w:tc>
        <w:tc>
          <w:tcPr>
            <w:tcW w:w="1206" w:type="dxa"/>
            <w:vAlign w:val="center"/>
          </w:tcPr>
          <w:p>
            <w:pPr>
              <w:snapToGrid w:val="0"/>
              <w:spacing w:line="440" w:lineRule="exact"/>
              <w:jc w:val="center"/>
              <w:rPr>
                <w:rFonts w:ascii="宋体" w:hAnsi="宋体" w:cs="宋体"/>
                <w:kern w:val="0"/>
                <w:szCs w:val="21"/>
              </w:rPr>
            </w:pPr>
            <w:r>
              <w:rPr>
                <w:rFonts w:hint="eastAsia" w:ascii="宋体" w:hAnsi="宋体" w:cs="宋体"/>
                <w:szCs w:val="21"/>
              </w:rPr>
              <w:t>信用担保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465"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3</w:t>
            </w:r>
          </w:p>
        </w:tc>
        <w:tc>
          <w:tcPr>
            <w:tcW w:w="1555"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中国银行股份有限公司陕西省分行</w:t>
            </w:r>
          </w:p>
        </w:tc>
        <w:tc>
          <w:tcPr>
            <w:tcW w:w="1866"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中国银行西安二环世纪星支行</w:t>
            </w:r>
          </w:p>
        </w:tc>
        <w:tc>
          <w:tcPr>
            <w:tcW w:w="1524"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公司业务部</w:t>
            </w:r>
          </w:p>
        </w:tc>
        <w:tc>
          <w:tcPr>
            <w:tcW w:w="936"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胡涛</w:t>
            </w:r>
          </w:p>
          <w:p>
            <w:pPr>
              <w:snapToGrid w:val="0"/>
              <w:spacing w:line="440" w:lineRule="exact"/>
              <w:jc w:val="center"/>
              <w:rPr>
                <w:rFonts w:ascii="宋体" w:hAnsi="宋体" w:cs="宋体"/>
                <w:kern w:val="0"/>
                <w:szCs w:val="21"/>
              </w:rPr>
            </w:pPr>
            <w:r>
              <w:rPr>
                <w:rFonts w:hint="eastAsia" w:ascii="宋体" w:hAnsi="宋体" w:cs="宋体"/>
                <w:kern w:val="0"/>
                <w:szCs w:val="21"/>
              </w:rPr>
              <w:t>叶楚莎</w:t>
            </w:r>
          </w:p>
        </w:tc>
        <w:tc>
          <w:tcPr>
            <w:tcW w:w="1764"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88360743</w:t>
            </w:r>
          </w:p>
          <w:p>
            <w:pPr>
              <w:snapToGrid w:val="0"/>
              <w:spacing w:line="440" w:lineRule="exact"/>
              <w:jc w:val="center"/>
              <w:rPr>
                <w:rFonts w:ascii="宋体" w:hAnsi="宋体" w:cs="宋体"/>
                <w:kern w:val="0"/>
                <w:szCs w:val="21"/>
              </w:rPr>
            </w:pPr>
            <w:r>
              <w:rPr>
                <w:rFonts w:hint="eastAsia" w:ascii="宋体" w:hAnsi="宋体" w:cs="宋体"/>
                <w:kern w:val="0"/>
                <w:szCs w:val="21"/>
              </w:rPr>
              <w:t>18629048822</w:t>
            </w:r>
          </w:p>
          <w:p>
            <w:pPr>
              <w:snapToGrid w:val="0"/>
              <w:spacing w:line="440" w:lineRule="exact"/>
              <w:jc w:val="center"/>
              <w:rPr>
                <w:rFonts w:ascii="宋体" w:hAnsi="宋体" w:cs="宋体"/>
                <w:kern w:val="0"/>
                <w:szCs w:val="21"/>
              </w:rPr>
            </w:pPr>
            <w:r>
              <w:rPr>
                <w:rFonts w:hint="eastAsia" w:ascii="宋体" w:hAnsi="宋体" w:cs="宋体"/>
                <w:kern w:val="0"/>
                <w:szCs w:val="21"/>
              </w:rPr>
              <w:t>88360749</w:t>
            </w:r>
          </w:p>
          <w:p>
            <w:pPr>
              <w:snapToGrid w:val="0"/>
              <w:spacing w:line="440" w:lineRule="exact"/>
              <w:jc w:val="center"/>
              <w:rPr>
                <w:rFonts w:ascii="宋体" w:hAnsi="宋体" w:cs="宋体"/>
                <w:kern w:val="0"/>
                <w:szCs w:val="21"/>
              </w:rPr>
            </w:pPr>
            <w:r>
              <w:rPr>
                <w:rFonts w:hint="eastAsia" w:ascii="宋体" w:hAnsi="宋体" w:cs="宋体"/>
                <w:kern w:val="0"/>
                <w:szCs w:val="21"/>
              </w:rPr>
              <w:t>13772153612</w:t>
            </w:r>
          </w:p>
        </w:tc>
        <w:tc>
          <w:tcPr>
            <w:tcW w:w="1206" w:type="dxa"/>
            <w:vAlign w:val="center"/>
          </w:tcPr>
          <w:p>
            <w:pPr>
              <w:snapToGrid w:val="0"/>
              <w:spacing w:line="440" w:lineRule="exact"/>
              <w:jc w:val="center"/>
              <w:rPr>
                <w:rFonts w:ascii="宋体" w:hAnsi="宋体" w:cs="宋体"/>
                <w:kern w:val="0"/>
                <w:szCs w:val="21"/>
              </w:rPr>
            </w:pPr>
            <w:r>
              <w:rPr>
                <w:rFonts w:hint="eastAsia" w:ascii="宋体" w:hAnsi="宋体" w:cs="宋体"/>
                <w:szCs w:val="21"/>
              </w:rPr>
              <w:t>信用融资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465"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4</w:t>
            </w:r>
          </w:p>
        </w:tc>
        <w:tc>
          <w:tcPr>
            <w:tcW w:w="1555"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中国建设银行股份有限公司陕西省分行</w:t>
            </w:r>
          </w:p>
        </w:tc>
        <w:tc>
          <w:tcPr>
            <w:tcW w:w="1866"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建设银行西安市南大街支行</w:t>
            </w:r>
          </w:p>
        </w:tc>
        <w:tc>
          <w:tcPr>
            <w:tcW w:w="1524"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公司部</w:t>
            </w:r>
          </w:p>
        </w:tc>
        <w:tc>
          <w:tcPr>
            <w:tcW w:w="936"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杨向晖</w:t>
            </w:r>
          </w:p>
        </w:tc>
        <w:tc>
          <w:tcPr>
            <w:tcW w:w="1764"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87281468</w:t>
            </w:r>
          </w:p>
          <w:p>
            <w:pPr>
              <w:snapToGrid w:val="0"/>
              <w:spacing w:line="440" w:lineRule="exact"/>
              <w:jc w:val="center"/>
              <w:rPr>
                <w:rFonts w:ascii="宋体" w:hAnsi="宋体" w:cs="宋体"/>
                <w:kern w:val="0"/>
                <w:szCs w:val="21"/>
              </w:rPr>
            </w:pPr>
            <w:r>
              <w:rPr>
                <w:rFonts w:hint="eastAsia" w:ascii="宋体" w:hAnsi="宋体" w:cs="宋体"/>
                <w:kern w:val="0"/>
                <w:szCs w:val="21"/>
              </w:rPr>
              <w:t>13379229383</w:t>
            </w:r>
          </w:p>
        </w:tc>
        <w:tc>
          <w:tcPr>
            <w:tcW w:w="1206" w:type="dxa"/>
            <w:vAlign w:val="center"/>
          </w:tcPr>
          <w:p>
            <w:pPr>
              <w:snapToGrid w:val="0"/>
              <w:spacing w:line="440" w:lineRule="exact"/>
              <w:jc w:val="center"/>
              <w:rPr>
                <w:rFonts w:ascii="宋体" w:hAnsi="宋体" w:cs="宋体"/>
                <w:kern w:val="0"/>
                <w:szCs w:val="21"/>
              </w:rPr>
            </w:pPr>
            <w:r>
              <w:rPr>
                <w:rFonts w:hint="eastAsia" w:ascii="宋体" w:hAnsi="宋体" w:cs="宋体"/>
                <w:szCs w:val="21"/>
              </w:rPr>
              <w:t>信用融资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465"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5</w:t>
            </w:r>
          </w:p>
        </w:tc>
        <w:tc>
          <w:tcPr>
            <w:tcW w:w="1555"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中国工商银行股份有限公司陕西省分行营业部</w:t>
            </w:r>
          </w:p>
        </w:tc>
        <w:tc>
          <w:tcPr>
            <w:tcW w:w="1866"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工商银行陕西分行营业部</w:t>
            </w:r>
          </w:p>
        </w:tc>
        <w:tc>
          <w:tcPr>
            <w:tcW w:w="1524"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小企业金融业务部</w:t>
            </w:r>
          </w:p>
        </w:tc>
        <w:tc>
          <w:tcPr>
            <w:tcW w:w="936"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牛国群</w:t>
            </w:r>
          </w:p>
          <w:p>
            <w:pPr>
              <w:snapToGrid w:val="0"/>
              <w:spacing w:line="440" w:lineRule="exact"/>
              <w:jc w:val="center"/>
              <w:rPr>
                <w:rFonts w:ascii="宋体" w:hAnsi="宋体" w:cs="宋体"/>
                <w:kern w:val="0"/>
                <w:szCs w:val="21"/>
              </w:rPr>
            </w:pPr>
            <w:r>
              <w:rPr>
                <w:rFonts w:hint="eastAsia" w:ascii="宋体" w:hAnsi="宋体" w:cs="宋体"/>
                <w:kern w:val="0"/>
                <w:szCs w:val="21"/>
              </w:rPr>
              <w:t>张航</w:t>
            </w:r>
          </w:p>
        </w:tc>
        <w:tc>
          <w:tcPr>
            <w:tcW w:w="1764"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87609569</w:t>
            </w:r>
          </w:p>
          <w:p>
            <w:pPr>
              <w:snapToGrid w:val="0"/>
              <w:spacing w:line="440" w:lineRule="exact"/>
              <w:jc w:val="center"/>
              <w:rPr>
                <w:rFonts w:ascii="宋体" w:hAnsi="宋体" w:cs="宋体"/>
                <w:kern w:val="0"/>
                <w:szCs w:val="21"/>
              </w:rPr>
            </w:pPr>
            <w:r>
              <w:rPr>
                <w:rFonts w:hint="eastAsia" w:ascii="宋体" w:hAnsi="宋体" w:cs="宋体"/>
                <w:kern w:val="0"/>
                <w:szCs w:val="21"/>
              </w:rPr>
              <w:t>18992851811</w:t>
            </w:r>
          </w:p>
          <w:p>
            <w:pPr>
              <w:snapToGrid w:val="0"/>
              <w:spacing w:line="440" w:lineRule="exact"/>
              <w:jc w:val="center"/>
              <w:rPr>
                <w:rFonts w:ascii="宋体" w:hAnsi="宋体" w:cs="宋体"/>
                <w:kern w:val="0"/>
                <w:szCs w:val="21"/>
              </w:rPr>
            </w:pPr>
            <w:r>
              <w:rPr>
                <w:rFonts w:hint="eastAsia" w:ascii="宋体" w:hAnsi="宋体" w:cs="宋体"/>
                <w:kern w:val="0"/>
                <w:szCs w:val="21"/>
              </w:rPr>
              <w:t>87609761</w:t>
            </w:r>
          </w:p>
          <w:p>
            <w:pPr>
              <w:snapToGrid w:val="0"/>
              <w:spacing w:line="440" w:lineRule="exact"/>
              <w:jc w:val="center"/>
              <w:rPr>
                <w:rFonts w:ascii="宋体" w:hAnsi="宋体" w:cs="宋体"/>
                <w:kern w:val="0"/>
                <w:szCs w:val="21"/>
              </w:rPr>
            </w:pPr>
            <w:r>
              <w:rPr>
                <w:rFonts w:hint="eastAsia" w:ascii="宋体" w:hAnsi="宋体" w:cs="宋体"/>
                <w:kern w:val="0"/>
                <w:szCs w:val="21"/>
              </w:rPr>
              <w:t>13891883334</w:t>
            </w:r>
          </w:p>
        </w:tc>
        <w:tc>
          <w:tcPr>
            <w:tcW w:w="1206" w:type="dxa"/>
            <w:vAlign w:val="center"/>
          </w:tcPr>
          <w:p>
            <w:pPr>
              <w:snapToGrid w:val="0"/>
              <w:spacing w:line="440" w:lineRule="exact"/>
              <w:jc w:val="center"/>
              <w:rPr>
                <w:rFonts w:ascii="宋体" w:hAnsi="宋体" w:cs="宋体"/>
                <w:kern w:val="0"/>
                <w:szCs w:val="21"/>
              </w:rPr>
            </w:pPr>
            <w:r>
              <w:rPr>
                <w:rFonts w:hint="eastAsia" w:ascii="宋体" w:hAnsi="宋体" w:cs="宋体"/>
                <w:szCs w:val="21"/>
              </w:rPr>
              <w:t>信用融资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465"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6</w:t>
            </w:r>
          </w:p>
        </w:tc>
        <w:tc>
          <w:tcPr>
            <w:tcW w:w="1555"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中国农业银行股份有限公司陕西省分行营业部</w:t>
            </w:r>
          </w:p>
        </w:tc>
        <w:tc>
          <w:tcPr>
            <w:tcW w:w="1866"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农业银行西安西大街支行</w:t>
            </w:r>
          </w:p>
        </w:tc>
        <w:tc>
          <w:tcPr>
            <w:tcW w:w="1524"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公司业务部</w:t>
            </w:r>
          </w:p>
        </w:tc>
        <w:tc>
          <w:tcPr>
            <w:tcW w:w="936"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贾珊</w:t>
            </w:r>
          </w:p>
          <w:p>
            <w:pPr>
              <w:snapToGrid w:val="0"/>
              <w:spacing w:line="440" w:lineRule="exact"/>
              <w:jc w:val="center"/>
              <w:rPr>
                <w:rFonts w:ascii="宋体" w:hAnsi="宋体" w:cs="宋体"/>
                <w:kern w:val="0"/>
                <w:szCs w:val="21"/>
              </w:rPr>
            </w:pPr>
            <w:r>
              <w:rPr>
                <w:rFonts w:hint="eastAsia" w:ascii="宋体" w:hAnsi="宋体" w:cs="宋体"/>
                <w:kern w:val="0"/>
                <w:szCs w:val="21"/>
              </w:rPr>
              <w:t>高雅</w:t>
            </w:r>
          </w:p>
        </w:tc>
        <w:tc>
          <w:tcPr>
            <w:tcW w:w="1764"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87617245</w:t>
            </w:r>
          </w:p>
          <w:p>
            <w:pPr>
              <w:snapToGrid w:val="0"/>
              <w:spacing w:line="440" w:lineRule="exact"/>
              <w:jc w:val="center"/>
              <w:rPr>
                <w:rFonts w:ascii="宋体" w:hAnsi="宋体" w:cs="宋体"/>
                <w:kern w:val="0"/>
                <w:szCs w:val="21"/>
              </w:rPr>
            </w:pPr>
            <w:r>
              <w:rPr>
                <w:rFonts w:hint="eastAsia" w:ascii="宋体" w:hAnsi="宋体" w:cs="宋体"/>
                <w:kern w:val="0"/>
                <w:szCs w:val="21"/>
              </w:rPr>
              <w:t>13891957123</w:t>
            </w:r>
          </w:p>
          <w:p>
            <w:pPr>
              <w:snapToGrid w:val="0"/>
              <w:spacing w:line="440" w:lineRule="exact"/>
              <w:jc w:val="center"/>
              <w:rPr>
                <w:rFonts w:ascii="宋体" w:hAnsi="宋体" w:cs="宋体"/>
                <w:kern w:val="0"/>
                <w:szCs w:val="21"/>
              </w:rPr>
            </w:pPr>
            <w:r>
              <w:rPr>
                <w:rFonts w:hint="eastAsia" w:ascii="宋体" w:hAnsi="宋体" w:cs="宋体"/>
                <w:kern w:val="0"/>
                <w:szCs w:val="21"/>
              </w:rPr>
              <w:t>87613444</w:t>
            </w:r>
          </w:p>
          <w:p>
            <w:pPr>
              <w:snapToGrid w:val="0"/>
              <w:spacing w:line="440" w:lineRule="exact"/>
              <w:jc w:val="center"/>
              <w:rPr>
                <w:rFonts w:ascii="宋体" w:hAnsi="宋体" w:cs="宋体"/>
                <w:kern w:val="0"/>
                <w:szCs w:val="21"/>
              </w:rPr>
            </w:pPr>
            <w:r>
              <w:rPr>
                <w:rFonts w:hint="eastAsia" w:ascii="宋体" w:hAnsi="宋体" w:cs="宋体"/>
                <w:kern w:val="0"/>
                <w:szCs w:val="21"/>
              </w:rPr>
              <w:t>13659192425</w:t>
            </w:r>
          </w:p>
        </w:tc>
        <w:tc>
          <w:tcPr>
            <w:tcW w:w="1206" w:type="dxa"/>
            <w:vAlign w:val="center"/>
          </w:tcPr>
          <w:p>
            <w:pPr>
              <w:snapToGrid w:val="0"/>
              <w:spacing w:line="440" w:lineRule="exact"/>
              <w:jc w:val="center"/>
              <w:rPr>
                <w:rFonts w:ascii="宋体" w:hAnsi="宋体" w:cs="宋体"/>
                <w:kern w:val="0"/>
                <w:szCs w:val="21"/>
              </w:rPr>
            </w:pPr>
            <w:r>
              <w:rPr>
                <w:rFonts w:hint="eastAsia" w:ascii="宋体" w:hAnsi="宋体" w:cs="宋体"/>
                <w:szCs w:val="21"/>
              </w:rPr>
              <w:t>信用融资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465"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7</w:t>
            </w:r>
          </w:p>
        </w:tc>
        <w:tc>
          <w:tcPr>
            <w:tcW w:w="1555"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交通银行股份有限公司陕西省分行</w:t>
            </w:r>
          </w:p>
        </w:tc>
        <w:tc>
          <w:tcPr>
            <w:tcW w:w="1866"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交通银行西安西五路支行</w:t>
            </w:r>
          </w:p>
        </w:tc>
        <w:tc>
          <w:tcPr>
            <w:tcW w:w="1524"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个人贷款中心</w:t>
            </w:r>
          </w:p>
        </w:tc>
        <w:tc>
          <w:tcPr>
            <w:tcW w:w="936"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李卫公</w:t>
            </w:r>
          </w:p>
          <w:p>
            <w:pPr>
              <w:snapToGrid w:val="0"/>
              <w:spacing w:line="440" w:lineRule="exact"/>
              <w:jc w:val="center"/>
              <w:rPr>
                <w:rFonts w:ascii="宋体" w:hAnsi="宋体" w:cs="宋体"/>
                <w:kern w:val="0"/>
                <w:szCs w:val="21"/>
              </w:rPr>
            </w:pPr>
            <w:r>
              <w:rPr>
                <w:rFonts w:hint="eastAsia" w:ascii="宋体" w:hAnsi="宋体" w:cs="宋体"/>
                <w:kern w:val="0"/>
                <w:szCs w:val="21"/>
              </w:rPr>
              <w:t>雷强</w:t>
            </w:r>
          </w:p>
        </w:tc>
        <w:tc>
          <w:tcPr>
            <w:tcW w:w="1764"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87297632</w:t>
            </w:r>
          </w:p>
          <w:p>
            <w:pPr>
              <w:snapToGrid w:val="0"/>
              <w:spacing w:line="440" w:lineRule="exact"/>
              <w:jc w:val="center"/>
              <w:rPr>
                <w:rFonts w:ascii="宋体" w:hAnsi="宋体" w:cs="宋体"/>
                <w:kern w:val="0"/>
                <w:szCs w:val="21"/>
              </w:rPr>
            </w:pPr>
            <w:r>
              <w:rPr>
                <w:rFonts w:hint="eastAsia" w:ascii="宋体" w:hAnsi="宋体" w:cs="宋体"/>
                <w:kern w:val="0"/>
                <w:szCs w:val="21"/>
              </w:rPr>
              <w:t>13991290525</w:t>
            </w:r>
          </w:p>
          <w:p>
            <w:pPr>
              <w:snapToGrid w:val="0"/>
              <w:spacing w:line="440" w:lineRule="exact"/>
              <w:jc w:val="center"/>
              <w:rPr>
                <w:rFonts w:ascii="宋体" w:hAnsi="宋体" w:cs="宋体"/>
                <w:kern w:val="0"/>
                <w:szCs w:val="21"/>
              </w:rPr>
            </w:pPr>
            <w:r>
              <w:rPr>
                <w:rFonts w:hint="eastAsia" w:ascii="宋体" w:hAnsi="宋体" w:cs="宋体"/>
                <w:kern w:val="0"/>
                <w:szCs w:val="21"/>
              </w:rPr>
              <w:t>87272444</w:t>
            </w:r>
          </w:p>
          <w:p>
            <w:pPr>
              <w:snapToGrid w:val="0"/>
              <w:spacing w:line="440" w:lineRule="exact"/>
              <w:jc w:val="center"/>
              <w:rPr>
                <w:rFonts w:ascii="宋体" w:hAnsi="宋体" w:cs="宋体"/>
                <w:kern w:val="0"/>
                <w:szCs w:val="21"/>
              </w:rPr>
            </w:pPr>
            <w:r>
              <w:rPr>
                <w:rFonts w:hint="eastAsia" w:ascii="宋体" w:hAnsi="宋体" w:cs="宋体"/>
                <w:kern w:val="0"/>
                <w:szCs w:val="21"/>
              </w:rPr>
              <w:t>18629362690</w:t>
            </w:r>
          </w:p>
        </w:tc>
        <w:tc>
          <w:tcPr>
            <w:tcW w:w="1206" w:type="dxa"/>
            <w:vAlign w:val="center"/>
          </w:tcPr>
          <w:p>
            <w:pPr>
              <w:snapToGrid w:val="0"/>
              <w:spacing w:line="440" w:lineRule="exact"/>
              <w:jc w:val="center"/>
              <w:rPr>
                <w:rFonts w:ascii="宋体" w:hAnsi="宋体" w:cs="宋体"/>
                <w:kern w:val="0"/>
                <w:szCs w:val="21"/>
              </w:rPr>
            </w:pPr>
            <w:r>
              <w:rPr>
                <w:rFonts w:hint="eastAsia" w:ascii="宋体" w:hAnsi="宋体" w:cs="宋体"/>
                <w:szCs w:val="21"/>
              </w:rPr>
              <w:t>信用融资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465"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8</w:t>
            </w:r>
          </w:p>
        </w:tc>
        <w:tc>
          <w:tcPr>
            <w:tcW w:w="1555"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招商银行股份有限公司西安分行</w:t>
            </w:r>
          </w:p>
        </w:tc>
        <w:tc>
          <w:tcPr>
            <w:tcW w:w="1866"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招商银行西安未央路支行</w:t>
            </w:r>
          </w:p>
        </w:tc>
        <w:tc>
          <w:tcPr>
            <w:tcW w:w="1524"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公司银行部</w:t>
            </w:r>
          </w:p>
        </w:tc>
        <w:tc>
          <w:tcPr>
            <w:tcW w:w="936"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杨皓</w:t>
            </w:r>
          </w:p>
          <w:p>
            <w:pPr>
              <w:snapToGrid w:val="0"/>
              <w:spacing w:line="440" w:lineRule="exact"/>
              <w:jc w:val="center"/>
              <w:rPr>
                <w:rFonts w:ascii="宋体" w:hAnsi="宋体" w:cs="宋体"/>
                <w:kern w:val="0"/>
                <w:szCs w:val="21"/>
              </w:rPr>
            </w:pPr>
            <w:r>
              <w:rPr>
                <w:rFonts w:hint="eastAsia" w:ascii="宋体" w:hAnsi="宋体" w:cs="宋体"/>
                <w:kern w:val="0"/>
                <w:szCs w:val="21"/>
              </w:rPr>
              <w:t>马秦香</w:t>
            </w:r>
          </w:p>
        </w:tc>
        <w:tc>
          <w:tcPr>
            <w:tcW w:w="1764"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62811553</w:t>
            </w:r>
          </w:p>
          <w:p>
            <w:pPr>
              <w:snapToGrid w:val="0"/>
              <w:spacing w:line="440" w:lineRule="exact"/>
              <w:jc w:val="center"/>
              <w:rPr>
                <w:rFonts w:ascii="宋体" w:hAnsi="宋体" w:cs="宋体"/>
                <w:kern w:val="0"/>
                <w:szCs w:val="21"/>
              </w:rPr>
            </w:pPr>
            <w:r>
              <w:rPr>
                <w:rFonts w:hint="eastAsia" w:ascii="宋体" w:hAnsi="宋体" w:cs="宋体"/>
                <w:kern w:val="0"/>
                <w:szCs w:val="21"/>
              </w:rPr>
              <w:t>15002905553</w:t>
            </w:r>
          </w:p>
          <w:p>
            <w:pPr>
              <w:snapToGrid w:val="0"/>
              <w:spacing w:line="440" w:lineRule="exact"/>
              <w:jc w:val="center"/>
              <w:rPr>
                <w:rFonts w:ascii="宋体" w:hAnsi="宋体" w:cs="宋体"/>
                <w:kern w:val="0"/>
                <w:szCs w:val="21"/>
              </w:rPr>
            </w:pPr>
            <w:r>
              <w:rPr>
                <w:rFonts w:hint="eastAsia" w:ascii="宋体" w:hAnsi="宋体" w:cs="宋体"/>
                <w:kern w:val="0"/>
                <w:szCs w:val="21"/>
              </w:rPr>
              <w:t>62811553</w:t>
            </w:r>
          </w:p>
          <w:p>
            <w:pPr>
              <w:snapToGrid w:val="0"/>
              <w:spacing w:line="440" w:lineRule="exact"/>
              <w:jc w:val="center"/>
              <w:rPr>
                <w:rFonts w:ascii="宋体" w:hAnsi="宋体" w:cs="宋体"/>
                <w:kern w:val="0"/>
                <w:szCs w:val="21"/>
              </w:rPr>
            </w:pPr>
            <w:r>
              <w:rPr>
                <w:rFonts w:hint="eastAsia" w:ascii="宋体" w:hAnsi="宋体" w:cs="宋体"/>
                <w:kern w:val="0"/>
                <w:szCs w:val="21"/>
              </w:rPr>
              <w:t>13609183259</w:t>
            </w:r>
          </w:p>
        </w:tc>
        <w:tc>
          <w:tcPr>
            <w:tcW w:w="1206" w:type="dxa"/>
            <w:vAlign w:val="center"/>
          </w:tcPr>
          <w:p>
            <w:pPr>
              <w:snapToGrid w:val="0"/>
              <w:spacing w:line="440" w:lineRule="exact"/>
              <w:jc w:val="center"/>
              <w:rPr>
                <w:rFonts w:ascii="宋体" w:hAnsi="宋体" w:cs="宋体"/>
                <w:kern w:val="0"/>
                <w:szCs w:val="21"/>
              </w:rPr>
            </w:pPr>
            <w:r>
              <w:rPr>
                <w:rFonts w:hint="eastAsia" w:ascii="宋体" w:hAnsi="宋体" w:cs="宋体"/>
                <w:szCs w:val="21"/>
              </w:rPr>
              <w:t>信用融资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465"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9</w:t>
            </w:r>
          </w:p>
        </w:tc>
        <w:tc>
          <w:tcPr>
            <w:tcW w:w="1555"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中国民生银行股份有限公司西安分行</w:t>
            </w:r>
          </w:p>
        </w:tc>
        <w:tc>
          <w:tcPr>
            <w:tcW w:w="1866"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民生银行西安分行</w:t>
            </w:r>
          </w:p>
        </w:tc>
        <w:tc>
          <w:tcPr>
            <w:tcW w:w="1524"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城建金融部</w:t>
            </w:r>
          </w:p>
        </w:tc>
        <w:tc>
          <w:tcPr>
            <w:tcW w:w="936"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李楠</w:t>
            </w:r>
          </w:p>
        </w:tc>
        <w:tc>
          <w:tcPr>
            <w:tcW w:w="1764"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88266088-8450</w:t>
            </w:r>
          </w:p>
          <w:p>
            <w:pPr>
              <w:snapToGrid w:val="0"/>
              <w:spacing w:line="440" w:lineRule="exact"/>
              <w:jc w:val="center"/>
              <w:rPr>
                <w:rFonts w:ascii="宋体" w:hAnsi="宋体" w:cs="宋体"/>
                <w:kern w:val="0"/>
                <w:szCs w:val="21"/>
              </w:rPr>
            </w:pPr>
            <w:r>
              <w:rPr>
                <w:rFonts w:hint="eastAsia" w:ascii="宋体" w:hAnsi="宋体" w:cs="宋体"/>
                <w:kern w:val="0"/>
                <w:szCs w:val="21"/>
              </w:rPr>
              <w:t>13572058213</w:t>
            </w:r>
          </w:p>
        </w:tc>
        <w:tc>
          <w:tcPr>
            <w:tcW w:w="1206" w:type="dxa"/>
            <w:vAlign w:val="center"/>
          </w:tcPr>
          <w:p>
            <w:pPr>
              <w:snapToGrid w:val="0"/>
              <w:spacing w:line="440" w:lineRule="exact"/>
              <w:jc w:val="center"/>
              <w:rPr>
                <w:rFonts w:ascii="宋体" w:hAnsi="宋体" w:cs="宋体"/>
                <w:kern w:val="0"/>
                <w:szCs w:val="21"/>
              </w:rPr>
            </w:pPr>
            <w:r>
              <w:rPr>
                <w:rFonts w:hint="eastAsia" w:ascii="宋体" w:hAnsi="宋体" w:cs="宋体"/>
                <w:szCs w:val="21"/>
              </w:rPr>
              <w:t>信用融资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465"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10</w:t>
            </w:r>
          </w:p>
        </w:tc>
        <w:tc>
          <w:tcPr>
            <w:tcW w:w="1555"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中国光大银行股份有限公司西安分行</w:t>
            </w:r>
          </w:p>
        </w:tc>
        <w:tc>
          <w:tcPr>
            <w:tcW w:w="1866"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光大银行经济技术开发区支行</w:t>
            </w:r>
          </w:p>
        </w:tc>
        <w:tc>
          <w:tcPr>
            <w:tcW w:w="1524"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对公客户经理部</w:t>
            </w:r>
          </w:p>
        </w:tc>
        <w:tc>
          <w:tcPr>
            <w:tcW w:w="936"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高艺瑄</w:t>
            </w:r>
          </w:p>
        </w:tc>
        <w:tc>
          <w:tcPr>
            <w:tcW w:w="1764"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15619006186</w:t>
            </w:r>
          </w:p>
        </w:tc>
        <w:tc>
          <w:tcPr>
            <w:tcW w:w="1206" w:type="dxa"/>
            <w:vAlign w:val="center"/>
          </w:tcPr>
          <w:p>
            <w:pPr>
              <w:snapToGrid w:val="0"/>
              <w:spacing w:line="440" w:lineRule="exact"/>
              <w:jc w:val="center"/>
              <w:rPr>
                <w:rFonts w:ascii="宋体" w:hAnsi="宋体" w:cs="宋体"/>
                <w:kern w:val="0"/>
                <w:szCs w:val="21"/>
              </w:rPr>
            </w:pPr>
            <w:r>
              <w:rPr>
                <w:rFonts w:hint="eastAsia" w:ascii="宋体" w:hAnsi="宋体" w:cs="宋体"/>
                <w:szCs w:val="21"/>
              </w:rPr>
              <w:t>信用融资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465"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11</w:t>
            </w:r>
          </w:p>
        </w:tc>
        <w:tc>
          <w:tcPr>
            <w:tcW w:w="1555"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昆仑银行股份有限公司西安分行</w:t>
            </w:r>
          </w:p>
        </w:tc>
        <w:tc>
          <w:tcPr>
            <w:tcW w:w="1866"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昆仑银行西安分行</w:t>
            </w:r>
          </w:p>
        </w:tc>
        <w:tc>
          <w:tcPr>
            <w:tcW w:w="1524"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机构投行部</w:t>
            </w:r>
          </w:p>
        </w:tc>
        <w:tc>
          <w:tcPr>
            <w:tcW w:w="936"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韩天清</w:t>
            </w:r>
          </w:p>
        </w:tc>
        <w:tc>
          <w:tcPr>
            <w:tcW w:w="1764"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86978975</w:t>
            </w:r>
          </w:p>
          <w:p>
            <w:pPr>
              <w:snapToGrid w:val="0"/>
              <w:spacing w:line="440" w:lineRule="exact"/>
              <w:jc w:val="center"/>
              <w:rPr>
                <w:rFonts w:ascii="宋体" w:hAnsi="宋体" w:cs="宋体"/>
                <w:kern w:val="0"/>
                <w:szCs w:val="21"/>
              </w:rPr>
            </w:pPr>
            <w:r>
              <w:rPr>
                <w:rFonts w:hint="eastAsia" w:ascii="宋体" w:hAnsi="宋体" w:cs="宋体"/>
                <w:kern w:val="0"/>
                <w:szCs w:val="21"/>
              </w:rPr>
              <w:t>15609108028</w:t>
            </w:r>
          </w:p>
        </w:tc>
        <w:tc>
          <w:tcPr>
            <w:tcW w:w="1206" w:type="dxa"/>
            <w:vAlign w:val="center"/>
          </w:tcPr>
          <w:p>
            <w:pPr>
              <w:snapToGrid w:val="0"/>
              <w:spacing w:line="440" w:lineRule="exact"/>
              <w:jc w:val="center"/>
              <w:rPr>
                <w:rFonts w:ascii="宋体" w:hAnsi="宋体" w:cs="宋体"/>
                <w:kern w:val="0"/>
                <w:szCs w:val="21"/>
              </w:rPr>
            </w:pPr>
            <w:r>
              <w:rPr>
                <w:rFonts w:hint="eastAsia" w:ascii="宋体" w:hAnsi="宋体" w:cs="宋体"/>
                <w:szCs w:val="21"/>
              </w:rPr>
              <w:t>信用融资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465"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12</w:t>
            </w:r>
          </w:p>
        </w:tc>
        <w:tc>
          <w:tcPr>
            <w:tcW w:w="1555"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平安银行股份有限公司西安分行</w:t>
            </w:r>
          </w:p>
        </w:tc>
        <w:tc>
          <w:tcPr>
            <w:tcW w:w="1866"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平安银行西安分行</w:t>
            </w:r>
          </w:p>
        </w:tc>
        <w:tc>
          <w:tcPr>
            <w:tcW w:w="1524"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业务发展七部</w:t>
            </w:r>
          </w:p>
        </w:tc>
        <w:tc>
          <w:tcPr>
            <w:tcW w:w="936"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祝捷</w:t>
            </w:r>
          </w:p>
          <w:p>
            <w:pPr>
              <w:snapToGrid w:val="0"/>
              <w:spacing w:line="440" w:lineRule="exact"/>
              <w:jc w:val="center"/>
              <w:rPr>
                <w:rFonts w:ascii="宋体" w:hAnsi="宋体" w:cs="宋体"/>
                <w:kern w:val="0"/>
                <w:szCs w:val="21"/>
              </w:rPr>
            </w:pPr>
            <w:r>
              <w:rPr>
                <w:rFonts w:hint="eastAsia" w:ascii="宋体" w:hAnsi="宋体" w:cs="宋体"/>
                <w:kern w:val="0"/>
                <w:szCs w:val="21"/>
              </w:rPr>
              <w:t>王尧</w:t>
            </w:r>
          </w:p>
        </w:tc>
        <w:tc>
          <w:tcPr>
            <w:tcW w:w="1764"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18629505188</w:t>
            </w:r>
          </w:p>
          <w:p>
            <w:pPr>
              <w:snapToGrid w:val="0"/>
              <w:spacing w:line="440" w:lineRule="exact"/>
              <w:jc w:val="center"/>
              <w:rPr>
                <w:rFonts w:ascii="宋体" w:hAnsi="宋体" w:cs="宋体"/>
                <w:kern w:val="0"/>
                <w:szCs w:val="21"/>
              </w:rPr>
            </w:pPr>
            <w:r>
              <w:rPr>
                <w:rFonts w:hint="eastAsia" w:ascii="宋体" w:hAnsi="宋体" w:cs="宋体"/>
                <w:kern w:val="0"/>
                <w:szCs w:val="21"/>
              </w:rPr>
              <w:t>18591767577</w:t>
            </w:r>
          </w:p>
        </w:tc>
        <w:tc>
          <w:tcPr>
            <w:tcW w:w="1206" w:type="dxa"/>
            <w:vAlign w:val="center"/>
          </w:tcPr>
          <w:p>
            <w:pPr>
              <w:snapToGrid w:val="0"/>
              <w:spacing w:line="440" w:lineRule="exact"/>
              <w:jc w:val="center"/>
              <w:rPr>
                <w:rFonts w:ascii="宋体" w:hAnsi="宋体" w:cs="宋体"/>
                <w:kern w:val="0"/>
                <w:szCs w:val="21"/>
              </w:rPr>
            </w:pPr>
            <w:r>
              <w:rPr>
                <w:rFonts w:hint="eastAsia" w:ascii="宋体" w:hAnsi="宋体" w:cs="宋体"/>
                <w:szCs w:val="21"/>
              </w:rPr>
              <w:t>信用融资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465"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13</w:t>
            </w:r>
          </w:p>
        </w:tc>
        <w:tc>
          <w:tcPr>
            <w:tcW w:w="1555"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北京银行股份有限公司西安分行</w:t>
            </w:r>
          </w:p>
        </w:tc>
        <w:tc>
          <w:tcPr>
            <w:tcW w:w="1866"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北京银行西安分行</w:t>
            </w:r>
          </w:p>
        </w:tc>
        <w:tc>
          <w:tcPr>
            <w:tcW w:w="1524"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营业部</w:t>
            </w:r>
          </w:p>
        </w:tc>
        <w:tc>
          <w:tcPr>
            <w:tcW w:w="936"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范诗阳</w:t>
            </w:r>
          </w:p>
          <w:p>
            <w:pPr>
              <w:snapToGrid w:val="0"/>
              <w:spacing w:line="440" w:lineRule="exact"/>
              <w:jc w:val="center"/>
              <w:rPr>
                <w:rFonts w:ascii="宋体" w:hAnsi="宋体" w:cs="宋体"/>
                <w:kern w:val="0"/>
                <w:szCs w:val="21"/>
              </w:rPr>
            </w:pPr>
            <w:r>
              <w:rPr>
                <w:rFonts w:hint="eastAsia" w:ascii="宋体" w:hAnsi="宋体" w:cs="宋体"/>
                <w:kern w:val="0"/>
                <w:szCs w:val="21"/>
              </w:rPr>
              <w:t>曹英</w:t>
            </w:r>
          </w:p>
        </w:tc>
        <w:tc>
          <w:tcPr>
            <w:tcW w:w="1764"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13991945764</w:t>
            </w:r>
          </w:p>
          <w:p>
            <w:pPr>
              <w:snapToGrid w:val="0"/>
              <w:spacing w:line="440" w:lineRule="exact"/>
              <w:jc w:val="center"/>
              <w:rPr>
                <w:rFonts w:ascii="宋体" w:hAnsi="宋体" w:cs="宋体"/>
                <w:kern w:val="0"/>
                <w:szCs w:val="21"/>
              </w:rPr>
            </w:pPr>
            <w:r>
              <w:rPr>
                <w:rFonts w:hint="eastAsia" w:ascii="宋体" w:hAnsi="宋体" w:cs="宋体"/>
                <w:kern w:val="0"/>
                <w:szCs w:val="21"/>
              </w:rPr>
              <w:t>18691892195</w:t>
            </w:r>
          </w:p>
        </w:tc>
        <w:tc>
          <w:tcPr>
            <w:tcW w:w="1206" w:type="dxa"/>
            <w:vAlign w:val="center"/>
          </w:tcPr>
          <w:p>
            <w:pPr>
              <w:snapToGrid w:val="0"/>
              <w:spacing w:line="440" w:lineRule="exact"/>
              <w:jc w:val="center"/>
              <w:rPr>
                <w:rFonts w:ascii="宋体" w:hAnsi="宋体" w:cs="宋体"/>
                <w:kern w:val="0"/>
                <w:szCs w:val="21"/>
              </w:rPr>
            </w:pPr>
            <w:r>
              <w:rPr>
                <w:rFonts w:hint="eastAsia" w:ascii="宋体" w:hAnsi="宋体" w:cs="宋体"/>
                <w:szCs w:val="21"/>
              </w:rPr>
              <w:t>信用融资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465"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14</w:t>
            </w:r>
          </w:p>
        </w:tc>
        <w:tc>
          <w:tcPr>
            <w:tcW w:w="1555"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兴业银行股份有限公司西安分行</w:t>
            </w:r>
          </w:p>
        </w:tc>
        <w:tc>
          <w:tcPr>
            <w:tcW w:w="1866"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兴业银行西安分行</w:t>
            </w:r>
          </w:p>
        </w:tc>
        <w:tc>
          <w:tcPr>
            <w:tcW w:w="1524"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新城业务总部</w:t>
            </w:r>
          </w:p>
        </w:tc>
        <w:tc>
          <w:tcPr>
            <w:tcW w:w="936"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徐常磊</w:t>
            </w:r>
          </w:p>
          <w:p>
            <w:pPr>
              <w:snapToGrid w:val="0"/>
              <w:spacing w:line="440" w:lineRule="exact"/>
              <w:jc w:val="center"/>
              <w:rPr>
                <w:rFonts w:ascii="宋体" w:hAnsi="宋体" w:cs="宋体"/>
                <w:kern w:val="0"/>
                <w:szCs w:val="21"/>
              </w:rPr>
            </w:pPr>
            <w:r>
              <w:rPr>
                <w:rFonts w:hint="eastAsia" w:ascii="宋体" w:hAnsi="宋体" w:cs="宋体"/>
                <w:kern w:val="0"/>
                <w:szCs w:val="21"/>
              </w:rPr>
              <w:t>鲁旸</w:t>
            </w:r>
          </w:p>
        </w:tc>
        <w:tc>
          <w:tcPr>
            <w:tcW w:w="1764"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15991623666</w:t>
            </w:r>
          </w:p>
          <w:p>
            <w:pPr>
              <w:snapToGrid w:val="0"/>
              <w:spacing w:line="440" w:lineRule="exact"/>
              <w:jc w:val="center"/>
              <w:rPr>
                <w:rFonts w:ascii="宋体" w:hAnsi="宋体" w:cs="宋体"/>
                <w:kern w:val="0"/>
                <w:szCs w:val="21"/>
              </w:rPr>
            </w:pPr>
            <w:r>
              <w:rPr>
                <w:rFonts w:hint="eastAsia" w:ascii="宋体" w:hAnsi="宋体" w:cs="宋体"/>
                <w:kern w:val="0"/>
                <w:szCs w:val="21"/>
              </w:rPr>
              <w:t>15389081886</w:t>
            </w:r>
          </w:p>
        </w:tc>
        <w:tc>
          <w:tcPr>
            <w:tcW w:w="1206" w:type="dxa"/>
            <w:vAlign w:val="center"/>
          </w:tcPr>
          <w:p>
            <w:pPr>
              <w:snapToGrid w:val="0"/>
              <w:spacing w:line="440" w:lineRule="exact"/>
              <w:jc w:val="center"/>
              <w:rPr>
                <w:rFonts w:ascii="宋体" w:hAnsi="宋体" w:cs="宋体"/>
                <w:kern w:val="0"/>
                <w:szCs w:val="21"/>
              </w:rPr>
            </w:pPr>
            <w:r>
              <w:rPr>
                <w:rFonts w:hint="eastAsia" w:ascii="宋体" w:hAnsi="宋体" w:cs="宋体"/>
                <w:szCs w:val="21"/>
              </w:rPr>
              <w:t>信用融资</w:t>
            </w:r>
          </w:p>
        </w:tc>
      </w:tr>
    </w:tbl>
    <w:p>
      <w:pPr>
        <w:pStyle w:val="31"/>
        <w:snapToGrid w:val="0"/>
        <w:spacing w:line="312" w:lineRule="auto"/>
        <w:ind w:firstLine="420" w:firstLineChars="200"/>
        <w:jc w:val="both"/>
        <w:rPr>
          <w:sz w:val="21"/>
          <w:szCs w:val="21"/>
        </w:rPr>
      </w:pPr>
      <w:r>
        <w:rPr>
          <w:rFonts w:hint="eastAsia"/>
          <w:sz w:val="21"/>
          <w:szCs w:val="21"/>
        </w:rPr>
        <w:t>注：本项工作依据西安市财政局门户网站“政府采购”专栏中《陕西省信用再担保有限责任公司》《西安市政府采购信用担保及融资工作实施方案（试行）》（市财发[2017]4号）组织开展，本表信息如有变动，请信息报送单位在发生变更之日起3个工作日内向西安市财政局备案，否则责任自负。</w:t>
      </w:r>
    </w:p>
    <w:p>
      <w:pPr>
        <w:pStyle w:val="31"/>
        <w:snapToGrid w:val="0"/>
        <w:spacing w:line="312" w:lineRule="auto"/>
        <w:jc w:val="both"/>
        <w:rPr>
          <w:b/>
          <w:bCs/>
          <w:sz w:val="21"/>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before="120" w:beforeLines="50" w:after="120" w:afterLines="50" w:line="440" w:lineRule="exact"/>
        <w:jc w:val="left"/>
        <w:rPr>
          <w:rFonts w:ascii="宋体" w:hAnsi="宋体" w:cs="宋体"/>
          <w:b/>
          <w:szCs w:val="21"/>
        </w:rPr>
      </w:pPr>
      <w:r>
        <w:rPr>
          <w:rFonts w:hint="eastAsia" w:ascii="宋体" w:hAnsi="宋体" w:cs="宋体"/>
          <w:b/>
          <w:szCs w:val="21"/>
        </w:rPr>
        <w:t>附件3：</w:t>
      </w:r>
    </w:p>
    <w:p>
      <w:pPr>
        <w:pStyle w:val="31"/>
        <w:snapToGrid w:val="0"/>
        <w:spacing w:before="0" w:beforeAutospacing="0" w:after="120" w:afterLines="50" w:afterAutospacing="0" w:line="560" w:lineRule="exact"/>
        <w:jc w:val="center"/>
        <w:rPr>
          <w:sz w:val="21"/>
          <w:szCs w:val="21"/>
        </w:rPr>
      </w:pPr>
      <w:r>
        <w:rPr>
          <w:rFonts w:hint="eastAsia"/>
          <w:b/>
          <w:bCs/>
          <w:sz w:val="21"/>
          <w:szCs w:val="21"/>
        </w:rPr>
        <w:t>政府采购投标担保函（项目用）</w:t>
      </w:r>
    </w:p>
    <w:p>
      <w:pPr>
        <w:pStyle w:val="31"/>
        <w:snapToGrid w:val="0"/>
        <w:spacing w:line="440" w:lineRule="exact"/>
        <w:jc w:val="right"/>
        <w:rPr>
          <w:sz w:val="21"/>
          <w:szCs w:val="21"/>
        </w:rPr>
      </w:pPr>
      <w:r>
        <w:rPr>
          <w:rFonts w:hint="eastAsia"/>
          <w:sz w:val="21"/>
          <w:szCs w:val="21"/>
        </w:rPr>
        <w:t xml:space="preserve">                                       项目编号：DXY2022-0010 </w:t>
      </w:r>
    </w:p>
    <w:p>
      <w:pPr>
        <w:pStyle w:val="31"/>
        <w:snapToGrid w:val="0"/>
        <w:spacing w:before="0" w:beforeAutospacing="0" w:after="0" w:afterAutospacing="0" w:line="500" w:lineRule="exact"/>
        <w:rPr>
          <w:sz w:val="21"/>
          <w:szCs w:val="21"/>
        </w:rPr>
      </w:pPr>
      <w:r>
        <w:rPr>
          <w:rFonts w:hint="eastAsia"/>
          <w:sz w:val="21"/>
          <w:szCs w:val="21"/>
          <w:u w:val="single"/>
        </w:rPr>
        <w:t xml:space="preserve">               </w:t>
      </w:r>
      <w:r>
        <w:rPr>
          <w:rFonts w:hint="eastAsia"/>
          <w:sz w:val="21"/>
          <w:szCs w:val="21"/>
        </w:rPr>
        <w:t xml:space="preserve">（采购人或采购代理机构）： </w:t>
      </w:r>
    </w:p>
    <w:p>
      <w:pPr>
        <w:pStyle w:val="31"/>
        <w:snapToGrid w:val="0"/>
        <w:spacing w:before="0" w:beforeAutospacing="0" w:after="0" w:afterAutospacing="0" w:line="500" w:lineRule="exact"/>
        <w:rPr>
          <w:sz w:val="21"/>
          <w:szCs w:val="21"/>
        </w:rPr>
      </w:pPr>
      <w:r>
        <w:rPr>
          <w:rFonts w:hint="eastAsia"/>
          <w:sz w:val="21"/>
          <w:szCs w:val="21"/>
        </w:rPr>
        <w:t xml:space="preserve">    鉴于</w:t>
      </w:r>
      <w:r>
        <w:rPr>
          <w:rFonts w:hint="eastAsia"/>
          <w:sz w:val="21"/>
          <w:szCs w:val="21"/>
          <w:u w:val="single"/>
        </w:rPr>
        <w:t xml:space="preserve">        </w:t>
      </w:r>
      <w:r>
        <w:rPr>
          <w:rFonts w:hint="eastAsia"/>
          <w:sz w:val="21"/>
          <w:szCs w:val="21"/>
        </w:rPr>
        <w:t>（以下简称“投标人”）拟参加编号DXY2022-0010的</w:t>
      </w:r>
      <w:r>
        <w:rPr>
          <w:rFonts w:hint="eastAsia"/>
          <w:sz w:val="21"/>
          <w:szCs w:val="21"/>
          <w:u w:val="single"/>
        </w:rPr>
        <w:t xml:space="preserve">         </w:t>
      </w:r>
      <w:r>
        <w:rPr>
          <w:rFonts w:hint="eastAsia"/>
          <w:sz w:val="21"/>
          <w:szCs w:val="21"/>
        </w:rPr>
        <w:t xml:space="preserve">项目（以下简称“本项目”）投标，根据本项目招标文件，投标人参加投标时应向你方交纳投标保证金，且可以投标担保函的形式交纳投标保证金。应投标人的申请，我方以保证的方式向你方提供如下投标保证金担保： </w:t>
      </w:r>
    </w:p>
    <w:p>
      <w:pPr>
        <w:pStyle w:val="31"/>
        <w:snapToGrid w:val="0"/>
        <w:spacing w:before="0" w:beforeAutospacing="0" w:after="0" w:afterAutospacing="0" w:line="500" w:lineRule="exact"/>
        <w:rPr>
          <w:sz w:val="21"/>
          <w:szCs w:val="21"/>
        </w:rPr>
      </w:pPr>
      <w:r>
        <w:rPr>
          <w:rFonts w:hint="eastAsia"/>
          <w:sz w:val="21"/>
          <w:szCs w:val="21"/>
        </w:rPr>
        <w:t xml:space="preserve">    一、保证责任的情形及保证金额 </w:t>
      </w:r>
    </w:p>
    <w:p>
      <w:pPr>
        <w:pStyle w:val="31"/>
        <w:snapToGrid w:val="0"/>
        <w:spacing w:before="0" w:beforeAutospacing="0" w:after="0" w:afterAutospacing="0" w:line="500" w:lineRule="exact"/>
        <w:rPr>
          <w:sz w:val="21"/>
          <w:szCs w:val="21"/>
        </w:rPr>
      </w:pPr>
      <w:r>
        <w:rPr>
          <w:rFonts w:hint="eastAsia"/>
          <w:sz w:val="21"/>
          <w:szCs w:val="21"/>
        </w:rPr>
        <w:t xml:space="preserve">    （一）在投标人出现下列情形之一时，我方承担保证责任：</w:t>
      </w:r>
    </w:p>
    <w:p>
      <w:pPr>
        <w:pStyle w:val="31"/>
        <w:snapToGrid w:val="0"/>
        <w:spacing w:before="0" w:beforeAutospacing="0" w:after="0" w:afterAutospacing="0" w:line="500" w:lineRule="exact"/>
        <w:rPr>
          <w:sz w:val="21"/>
          <w:szCs w:val="21"/>
        </w:rPr>
      </w:pPr>
      <w:r>
        <w:rPr>
          <w:rFonts w:hint="eastAsia"/>
          <w:sz w:val="21"/>
          <w:szCs w:val="21"/>
        </w:rPr>
        <w:t xml:space="preserve">    1、中标后投标人无正当理由不与采购人或者采购代理机构签订《政府采购合同》；</w:t>
      </w:r>
    </w:p>
    <w:p>
      <w:pPr>
        <w:pStyle w:val="31"/>
        <w:snapToGrid w:val="0"/>
        <w:spacing w:before="0" w:beforeAutospacing="0" w:after="0" w:afterAutospacing="0" w:line="500" w:lineRule="exact"/>
        <w:rPr>
          <w:sz w:val="21"/>
          <w:szCs w:val="21"/>
        </w:rPr>
      </w:pPr>
      <w:r>
        <w:rPr>
          <w:rFonts w:hint="eastAsia"/>
          <w:sz w:val="21"/>
          <w:szCs w:val="21"/>
        </w:rPr>
        <w:t xml:space="preserve">    2、招标文件规定的投标人应当缴纳保证金的其他情形。</w:t>
      </w:r>
    </w:p>
    <w:p>
      <w:pPr>
        <w:pStyle w:val="31"/>
        <w:snapToGrid w:val="0"/>
        <w:spacing w:before="0" w:beforeAutospacing="0" w:after="0" w:afterAutospacing="0" w:line="500" w:lineRule="exact"/>
        <w:ind w:firstLine="210"/>
        <w:rPr>
          <w:sz w:val="21"/>
          <w:szCs w:val="21"/>
        </w:rPr>
      </w:pPr>
      <w:r>
        <w:rPr>
          <w:rFonts w:hint="eastAsia"/>
          <w:sz w:val="21"/>
          <w:szCs w:val="21"/>
        </w:rPr>
        <w:t xml:space="preserve">  （二）我方承担保证责任的最高金额为人民币</w:t>
      </w:r>
      <w:r>
        <w:rPr>
          <w:rFonts w:hint="eastAsia"/>
          <w:sz w:val="21"/>
          <w:szCs w:val="21"/>
          <w:u w:val="single"/>
        </w:rPr>
        <w:t xml:space="preserve">    </w:t>
      </w:r>
      <w:r>
        <w:rPr>
          <w:rFonts w:hint="eastAsia"/>
          <w:sz w:val="21"/>
          <w:szCs w:val="21"/>
        </w:rPr>
        <w:t>元（大写</w:t>
      </w:r>
      <w:r>
        <w:rPr>
          <w:rFonts w:hint="eastAsia"/>
          <w:sz w:val="21"/>
          <w:szCs w:val="21"/>
          <w:u w:val="single"/>
        </w:rPr>
        <w:t xml:space="preserve">     </w:t>
      </w:r>
      <w:r>
        <w:rPr>
          <w:rFonts w:hint="eastAsia"/>
          <w:sz w:val="21"/>
          <w:szCs w:val="21"/>
        </w:rPr>
        <w:t>），即本项目的投标保证金金额。</w:t>
      </w:r>
    </w:p>
    <w:p>
      <w:pPr>
        <w:pStyle w:val="31"/>
        <w:snapToGrid w:val="0"/>
        <w:spacing w:before="0" w:beforeAutospacing="0" w:after="0" w:afterAutospacing="0" w:line="500" w:lineRule="exact"/>
        <w:ind w:firstLine="420"/>
        <w:rPr>
          <w:sz w:val="21"/>
          <w:szCs w:val="21"/>
        </w:rPr>
      </w:pPr>
      <w:r>
        <w:rPr>
          <w:rFonts w:hint="eastAsia"/>
          <w:sz w:val="21"/>
          <w:szCs w:val="21"/>
        </w:rPr>
        <w:t>二、保证的方式及保证期间</w:t>
      </w:r>
    </w:p>
    <w:p>
      <w:pPr>
        <w:pStyle w:val="31"/>
        <w:snapToGrid w:val="0"/>
        <w:spacing w:before="0" w:beforeAutospacing="0" w:after="0" w:afterAutospacing="0" w:line="500" w:lineRule="exact"/>
        <w:ind w:firstLine="420"/>
        <w:rPr>
          <w:sz w:val="21"/>
          <w:szCs w:val="21"/>
        </w:rPr>
      </w:pPr>
      <w:r>
        <w:rPr>
          <w:rFonts w:hint="eastAsia"/>
          <w:sz w:val="21"/>
          <w:szCs w:val="21"/>
        </w:rPr>
        <w:t>我方保证的方式为：连带责任保证。</w:t>
      </w:r>
    </w:p>
    <w:p>
      <w:pPr>
        <w:pStyle w:val="31"/>
        <w:snapToGrid w:val="0"/>
        <w:spacing w:before="0" w:beforeAutospacing="0" w:after="0" w:afterAutospacing="0" w:line="500" w:lineRule="exact"/>
        <w:ind w:firstLine="420"/>
        <w:rPr>
          <w:sz w:val="21"/>
          <w:szCs w:val="21"/>
        </w:rPr>
      </w:pPr>
      <w:r>
        <w:rPr>
          <w:rFonts w:hint="eastAsia"/>
          <w:sz w:val="21"/>
          <w:szCs w:val="21"/>
        </w:rPr>
        <w:t>我方的保证期间为：自本保函生效之日起</w:t>
      </w:r>
      <w:r>
        <w:rPr>
          <w:rFonts w:hint="eastAsia"/>
          <w:sz w:val="21"/>
          <w:szCs w:val="21"/>
          <w:u w:val="single"/>
        </w:rPr>
        <w:t xml:space="preserve">    </w:t>
      </w:r>
      <w:r>
        <w:rPr>
          <w:rFonts w:hint="eastAsia"/>
          <w:sz w:val="21"/>
          <w:szCs w:val="21"/>
        </w:rPr>
        <w:t>个月止。</w:t>
      </w:r>
    </w:p>
    <w:p>
      <w:pPr>
        <w:pStyle w:val="31"/>
        <w:numPr>
          <w:ilvl w:val="0"/>
          <w:numId w:val="17"/>
        </w:numPr>
        <w:snapToGrid w:val="0"/>
        <w:spacing w:before="0" w:beforeAutospacing="0" w:after="0" w:afterAutospacing="0" w:line="500" w:lineRule="exact"/>
        <w:ind w:firstLine="420"/>
        <w:rPr>
          <w:sz w:val="21"/>
          <w:szCs w:val="21"/>
        </w:rPr>
      </w:pPr>
      <w:r>
        <w:rPr>
          <w:rFonts w:hint="eastAsia"/>
          <w:sz w:val="21"/>
          <w:szCs w:val="21"/>
        </w:rPr>
        <w:t>承担保证责任的程序</w:t>
      </w:r>
    </w:p>
    <w:p>
      <w:pPr>
        <w:pStyle w:val="31"/>
        <w:snapToGrid w:val="0"/>
        <w:spacing w:before="0" w:beforeAutospacing="0" w:after="0" w:afterAutospacing="0" w:line="500" w:lineRule="exact"/>
        <w:ind w:firstLine="420"/>
        <w:rPr>
          <w:sz w:val="21"/>
          <w:szCs w:val="21"/>
        </w:rPr>
      </w:pPr>
      <w:r>
        <w:rPr>
          <w:rFonts w:hint="eastAsia"/>
          <w:sz w:val="21"/>
          <w:szCs w:val="21"/>
        </w:rPr>
        <w:t>1、你方要求我方承担保证责任的，应在本保函保证期间内向我方发出书面索赔通知。索赔通知应写明要求索赔的金额，支付款项应到达的账号，并附有证明投标人发生我方应承担保证责任情形的事实材料。</w:t>
      </w:r>
    </w:p>
    <w:p>
      <w:pPr>
        <w:pStyle w:val="31"/>
        <w:snapToGrid w:val="0"/>
        <w:spacing w:before="0" w:beforeAutospacing="0" w:after="0" w:afterAutospacing="0" w:line="500" w:lineRule="exact"/>
        <w:ind w:firstLine="420"/>
        <w:rPr>
          <w:sz w:val="21"/>
          <w:szCs w:val="21"/>
        </w:rPr>
      </w:pPr>
      <w:r>
        <w:rPr>
          <w:rFonts w:hint="eastAsia"/>
          <w:sz w:val="21"/>
          <w:szCs w:val="21"/>
        </w:rPr>
        <w:t>2、我方在收到索赔通知及相关证明材料后，在</w:t>
      </w:r>
      <w:r>
        <w:rPr>
          <w:rFonts w:hint="eastAsia"/>
          <w:sz w:val="21"/>
          <w:szCs w:val="21"/>
          <w:u w:val="single"/>
        </w:rPr>
        <w:t xml:space="preserve">   </w:t>
      </w:r>
      <w:r>
        <w:rPr>
          <w:rFonts w:hint="eastAsia"/>
          <w:sz w:val="21"/>
          <w:szCs w:val="21"/>
        </w:rPr>
        <w:t>个工作日内进行审查，符合应承担保证责任情形的，我方应按照你方的要求代投标人向你方支付投标保证金。</w:t>
      </w:r>
    </w:p>
    <w:p>
      <w:pPr>
        <w:pStyle w:val="31"/>
        <w:snapToGrid w:val="0"/>
        <w:spacing w:before="0" w:beforeAutospacing="0" w:after="0" w:afterAutospacing="0" w:line="500" w:lineRule="exact"/>
        <w:ind w:firstLine="420"/>
        <w:rPr>
          <w:sz w:val="21"/>
          <w:szCs w:val="21"/>
        </w:rPr>
      </w:pPr>
      <w:r>
        <w:rPr>
          <w:rFonts w:hint="eastAsia"/>
          <w:sz w:val="21"/>
          <w:szCs w:val="21"/>
        </w:rPr>
        <w:t>四、保证责任的终止</w:t>
      </w:r>
    </w:p>
    <w:p>
      <w:pPr>
        <w:pStyle w:val="31"/>
        <w:snapToGrid w:val="0"/>
        <w:spacing w:before="0" w:beforeAutospacing="0" w:after="0" w:afterAutospacing="0" w:line="500" w:lineRule="exact"/>
        <w:ind w:firstLine="420"/>
        <w:rPr>
          <w:sz w:val="21"/>
          <w:szCs w:val="21"/>
        </w:rPr>
      </w:pPr>
      <w:r>
        <w:rPr>
          <w:rFonts w:hint="eastAsia"/>
          <w:sz w:val="21"/>
          <w:szCs w:val="21"/>
        </w:rPr>
        <w:t>1、保证期间届满你方未向我方书面主张保证责任的，自保证期间届满次日起，我方保证责任自动终止。</w:t>
      </w:r>
    </w:p>
    <w:p>
      <w:pPr>
        <w:pStyle w:val="31"/>
        <w:snapToGrid w:val="0"/>
        <w:spacing w:before="0" w:beforeAutospacing="0" w:after="0" w:afterAutospacing="0" w:line="500" w:lineRule="exact"/>
        <w:ind w:firstLine="420"/>
        <w:rPr>
          <w:sz w:val="21"/>
          <w:szCs w:val="21"/>
        </w:rPr>
      </w:pPr>
      <w:r>
        <w:rPr>
          <w:rFonts w:hint="eastAsia"/>
          <w:sz w:val="21"/>
          <w:szCs w:val="21"/>
        </w:rPr>
        <w:t>2、我方按照本保函向你方履行了保证责任后，自我方向你方支付款项（支付款项从我方账户划出）之日起，保证责任终止。</w:t>
      </w:r>
    </w:p>
    <w:p>
      <w:pPr>
        <w:pStyle w:val="31"/>
        <w:snapToGrid w:val="0"/>
        <w:spacing w:before="0" w:beforeAutospacing="0" w:after="0" w:afterAutospacing="0" w:line="500" w:lineRule="exact"/>
        <w:ind w:firstLine="420"/>
        <w:rPr>
          <w:sz w:val="21"/>
          <w:szCs w:val="21"/>
        </w:rPr>
      </w:pPr>
      <w:r>
        <w:rPr>
          <w:rFonts w:hint="eastAsia"/>
          <w:sz w:val="21"/>
          <w:szCs w:val="21"/>
        </w:rPr>
        <w:t>3、按照法律法规的规定或出现我方保证责任终止的其它情形的，我方在本保函项下的保证责任亦终止。</w:t>
      </w:r>
    </w:p>
    <w:p>
      <w:pPr>
        <w:pStyle w:val="31"/>
        <w:snapToGrid w:val="0"/>
        <w:spacing w:before="0" w:beforeAutospacing="0" w:after="0" w:afterAutospacing="0" w:line="500" w:lineRule="exact"/>
        <w:ind w:firstLine="420"/>
        <w:rPr>
          <w:sz w:val="21"/>
          <w:szCs w:val="21"/>
        </w:rPr>
      </w:pPr>
      <w:r>
        <w:rPr>
          <w:rFonts w:hint="eastAsia"/>
          <w:sz w:val="21"/>
          <w:szCs w:val="21"/>
        </w:rPr>
        <w:t>五、免责条款</w:t>
      </w:r>
    </w:p>
    <w:p>
      <w:pPr>
        <w:pStyle w:val="31"/>
        <w:snapToGrid w:val="0"/>
        <w:spacing w:before="0" w:beforeAutospacing="0" w:after="0" w:afterAutospacing="0" w:line="500" w:lineRule="exact"/>
        <w:ind w:firstLine="420"/>
        <w:rPr>
          <w:sz w:val="21"/>
          <w:szCs w:val="21"/>
        </w:rPr>
      </w:pPr>
      <w:r>
        <w:rPr>
          <w:rFonts w:hint="eastAsia"/>
          <w:sz w:val="21"/>
          <w:szCs w:val="21"/>
        </w:rPr>
        <w:t>1、依照法律规定或你方与投标人的另行约定，全部或者部分免除投标人投标保证金义务时，我方亦免除相应的保证责任。</w:t>
      </w:r>
    </w:p>
    <w:p>
      <w:pPr>
        <w:pStyle w:val="31"/>
        <w:snapToGrid w:val="0"/>
        <w:spacing w:before="0" w:beforeAutospacing="0" w:after="0" w:afterAutospacing="0" w:line="500" w:lineRule="exact"/>
        <w:ind w:firstLine="420"/>
        <w:rPr>
          <w:sz w:val="21"/>
          <w:szCs w:val="21"/>
        </w:rPr>
      </w:pPr>
      <w:r>
        <w:rPr>
          <w:rFonts w:hint="eastAsia"/>
          <w:sz w:val="21"/>
          <w:szCs w:val="21"/>
        </w:rPr>
        <w:t xml:space="preserve">2、因你方原因致使投标人发生本保函第一条第（一）款约定情形的，我方不承担保证责任。 </w:t>
      </w:r>
    </w:p>
    <w:p>
      <w:pPr>
        <w:pStyle w:val="31"/>
        <w:snapToGrid w:val="0"/>
        <w:spacing w:before="0" w:beforeAutospacing="0" w:after="0" w:afterAutospacing="0" w:line="500" w:lineRule="exact"/>
        <w:ind w:firstLine="420"/>
        <w:rPr>
          <w:sz w:val="21"/>
          <w:szCs w:val="21"/>
        </w:rPr>
      </w:pPr>
      <w:r>
        <w:rPr>
          <w:rFonts w:hint="eastAsia"/>
          <w:sz w:val="21"/>
          <w:szCs w:val="21"/>
        </w:rPr>
        <w:t>3、因不可抗力造成投标人发生本保函第一条约定情形的，我方不承担保证责任。</w:t>
      </w:r>
    </w:p>
    <w:p>
      <w:pPr>
        <w:pStyle w:val="31"/>
        <w:snapToGrid w:val="0"/>
        <w:spacing w:before="0" w:beforeAutospacing="0" w:after="0" w:afterAutospacing="0" w:line="500" w:lineRule="exact"/>
        <w:ind w:firstLine="420"/>
        <w:rPr>
          <w:sz w:val="21"/>
          <w:szCs w:val="21"/>
        </w:rPr>
      </w:pPr>
      <w:r>
        <w:rPr>
          <w:rFonts w:hint="eastAsia"/>
          <w:sz w:val="21"/>
          <w:szCs w:val="21"/>
        </w:rPr>
        <w:t>4、你方或其他有权机关对招标文件进行任何澄清或修改，加重我方保证责任的，我方对加重部分不承担保证责任，但该澄清或修改经我方事先书面同意的除外。</w:t>
      </w:r>
    </w:p>
    <w:p>
      <w:pPr>
        <w:pStyle w:val="31"/>
        <w:snapToGrid w:val="0"/>
        <w:spacing w:before="0" w:beforeAutospacing="0" w:after="0" w:afterAutospacing="0" w:line="500" w:lineRule="exact"/>
        <w:ind w:firstLine="420"/>
        <w:rPr>
          <w:sz w:val="21"/>
          <w:szCs w:val="21"/>
        </w:rPr>
      </w:pPr>
      <w:r>
        <w:rPr>
          <w:rFonts w:hint="eastAsia"/>
          <w:sz w:val="21"/>
          <w:szCs w:val="21"/>
        </w:rPr>
        <w:t>六、争议的解决</w:t>
      </w:r>
    </w:p>
    <w:p>
      <w:pPr>
        <w:pStyle w:val="31"/>
        <w:snapToGrid w:val="0"/>
        <w:spacing w:before="0" w:beforeAutospacing="0" w:after="0" w:afterAutospacing="0" w:line="500" w:lineRule="exact"/>
        <w:ind w:firstLine="420"/>
        <w:rPr>
          <w:sz w:val="21"/>
          <w:szCs w:val="21"/>
        </w:rPr>
      </w:pPr>
      <w:r>
        <w:rPr>
          <w:rFonts w:hint="eastAsia"/>
          <w:sz w:val="21"/>
          <w:szCs w:val="21"/>
        </w:rPr>
        <w:t>因本保函发生的纠纷，由你我双方协商解决，协商不成的，通过诉讼程序解决，诉讼管辖地法院为</w:t>
      </w:r>
      <w:r>
        <w:rPr>
          <w:rFonts w:hint="eastAsia"/>
          <w:sz w:val="21"/>
          <w:szCs w:val="21"/>
          <w:u w:val="single"/>
        </w:rPr>
        <w:t xml:space="preserve">     </w:t>
      </w:r>
      <w:r>
        <w:rPr>
          <w:rFonts w:hint="eastAsia"/>
          <w:sz w:val="21"/>
          <w:szCs w:val="21"/>
        </w:rPr>
        <w:t>法院。</w:t>
      </w:r>
    </w:p>
    <w:p>
      <w:pPr>
        <w:pStyle w:val="31"/>
        <w:numPr>
          <w:ilvl w:val="0"/>
          <w:numId w:val="18"/>
        </w:numPr>
        <w:snapToGrid w:val="0"/>
        <w:spacing w:before="0" w:beforeAutospacing="0" w:after="0" w:afterAutospacing="0" w:line="500" w:lineRule="exact"/>
        <w:ind w:firstLine="420"/>
        <w:rPr>
          <w:sz w:val="21"/>
          <w:szCs w:val="21"/>
        </w:rPr>
      </w:pPr>
      <w:r>
        <w:rPr>
          <w:rFonts w:hint="eastAsia"/>
          <w:sz w:val="21"/>
          <w:szCs w:val="21"/>
        </w:rPr>
        <w:t>保函的生效</w:t>
      </w:r>
    </w:p>
    <w:p>
      <w:pPr>
        <w:pStyle w:val="31"/>
        <w:numPr>
          <w:ilvl w:val="0"/>
          <w:numId w:val="18"/>
        </w:numPr>
        <w:snapToGrid w:val="0"/>
        <w:spacing w:before="0" w:beforeAutospacing="0" w:after="0" w:afterAutospacing="0" w:line="500" w:lineRule="exact"/>
        <w:ind w:firstLine="420"/>
        <w:rPr>
          <w:sz w:val="21"/>
          <w:szCs w:val="21"/>
        </w:rPr>
      </w:pPr>
      <w:r>
        <w:rPr>
          <w:rFonts w:hint="eastAsia"/>
          <w:sz w:val="21"/>
          <w:szCs w:val="21"/>
        </w:rPr>
        <w:t>本保函自我方加盖公章之日起生效。</w:t>
      </w:r>
    </w:p>
    <w:p>
      <w:pPr>
        <w:pStyle w:val="31"/>
        <w:snapToGrid w:val="0"/>
        <w:spacing w:before="0" w:beforeAutospacing="0" w:after="0" w:afterAutospacing="0" w:line="500" w:lineRule="exact"/>
        <w:ind w:firstLine="420"/>
        <w:rPr>
          <w:sz w:val="21"/>
          <w:szCs w:val="21"/>
        </w:rPr>
      </w:pPr>
    </w:p>
    <w:p>
      <w:pPr>
        <w:pStyle w:val="31"/>
        <w:snapToGrid w:val="0"/>
        <w:spacing w:before="0" w:beforeAutospacing="0" w:after="0" w:afterAutospacing="0" w:line="500" w:lineRule="exact"/>
        <w:ind w:firstLine="420"/>
        <w:rPr>
          <w:sz w:val="21"/>
          <w:szCs w:val="21"/>
        </w:rPr>
      </w:pPr>
    </w:p>
    <w:p>
      <w:pPr>
        <w:pStyle w:val="31"/>
        <w:snapToGrid w:val="0"/>
        <w:spacing w:before="0" w:beforeAutospacing="0" w:after="0" w:afterAutospacing="0" w:line="500" w:lineRule="exact"/>
        <w:rPr>
          <w:sz w:val="21"/>
          <w:szCs w:val="21"/>
        </w:rPr>
      </w:pPr>
      <w:r>
        <w:rPr>
          <w:rFonts w:hint="eastAsia"/>
          <w:sz w:val="21"/>
          <w:szCs w:val="21"/>
        </w:rPr>
        <w:t xml:space="preserve">                                              保证人：</w:t>
      </w:r>
      <w:r>
        <w:rPr>
          <w:rFonts w:hint="eastAsia"/>
          <w:sz w:val="21"/>
          <w:szCs w:val="21"/>
          <w:u w:val="single"/>
        </w:rPr>
        <w:t xml:space="preserve">                </w:t>
      </w:r>
      <w:r>
        <w:rPr>
          <w:rFonts w:hint="eastAsia"/>
          <w:sz w:val="21"/>
          <w:szCs w:val="21"/>
        </w:rPr>
        <w:t>（公章）</w:t>
      </w:r>
    </w:p>
    <w:p>
      <w:pPr>
        <w:spacing w:line="500" w:lineRule="exact"/>
        <w:rPr>
          <w:rFonts w:ascii="宋体" w:hAnsi="宋体" w:cs="宋体"/>
          <w:szCs w:val="21"/>
        </w:rPr>
      </w:pPr>
      <w:r>
        <w:rPr>
          <w:rFonts w:hint="eastAsia" w:ascii="宋体" w:hAnsi="宋体" w:cs="宋体"/>
          <w:szCs w:val="21"/>
        </w:rPr>
        <w:t xml:space="preserve">                                                    </w:t>
      </w:r>
      <w:r>
        <w:rPr>
          <w:rFonts w:hint="eastAsia" w:ascii="宋体" w:hAnsi="宋体" w:cs="宋体"/>
          <w:bCs/>
          <w:caps/>
          <w:szCs w:val="21"/>
          <w:u w:val="single"/>
        </w:rPr>
        <w:t xml:space="preserve">      </w:t>
      </w:r>
      <w:r>
        <w:rPr>
          <w:rFonts w:hint="eastAsia" w:ascii="宋体" w:hAnsi="宋体" w:cs="宋体"/>
          <w:bCs/>
          <w:caps/>
          <w:szCs w:val="21"/>
        </w:rPr>
        <w:t>年</w:t>
      </w:r>
      <w:r>
        <w:rPr>
          <w:rFonts w:hint="eastAsia" w:ascii="宋体" w:hAnsi="宋体" w:cs="宋体"/>
          <w:bCs/>
          <w:caps/>
          <w:szCs w:val="21"/>
          <w:u w:val="single"/>
        </w:rPr>
        <w:t xml:space="preserve">    </w:t>
      </w:r>
      <w:r>
        <w:rPr>
          <w:rFonts w:hint="eastAsia" w:ascii="宋体" w:hAnsi="宋体" w:cs="宋体"/>
          <w:bCs/>
          <w:caps/>
          <w:szCs w:val="21"/>
        </w:rPr>
        <w:t>月</w:t>
      </w:r>
      <w:r>
        <w:rPr>
          <w:rFonts w:hint="eastAsia" w:ascii="宋体" w:hAnsi="宋体" w:cs="宋体"/>
          <w:bCs/>
          <w:caps/>
          <w:szCs w:val="21"/>
          <w:u w:val="single"/>
        </w:rPr>
        <w:t xml:space="preserve">    </w:t>
      </w:r>
      <w:r>
        <w:rPr>
          <w:rFonts w:hint="eastAsia" w:ascii="宋体" w:hAnsi="宋体" w:cs="宋体"/>
          <w:bCs/>
          <w:caps/>
          <w:szCs w:val="21"/>
        </w:rPr>
        <w:t>日</w:t>
      </w: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pStyle w:val="54"/>
        <w:spacing w:line="500" w:lineRule="exact"/>
        <w:rPr>
          <w:rFonts w:ascii="宋体" w:hAnsi="宋体" w:eastAsia="宋体" w:cs="宋体"/>
          <w:sz w:val="21"/>
          <w:szCs w:val="21"/>
        </w:rPr>
      </w:pPr>
      <w:r>
        <w:rPr>
          <w:rFonts w:hint="eastAsia" w:ascii="宋体" w:hAnsi="宋体" w:eastAsia="宋体" w:cs="宋体"/>
          <w:sz w:val="21"/>
          <w:szCs w:val="21"/>
        </w:rPr>
        <w:t>附件4：</w:t>
      </w:r>
    </w:p>
    <w:p>
      <w:pPr>
        <w:pStyle w:val="31"/>
        <w:snapToGrid w:val="0"/>
        <w:spacing w:before="0" w:beforeAutospacing="0" w:after="120" w:afterLines="50" w:afterAutospacing="0" w:line="560" w:lineRule="exact"/>
        <w:jc w:val="center"/>
        <w:rPr>
          <w:b/>
          <w:bCs/>
          <w:sz w:val="21"/>
          <w:szCs w:val="21"/>
        </w:rPr>
      </w:pPr>
      <w:r>
        <w:rPr>
          <w:rFonts w:hint="eastAsia"/>
          <w:b/>
          <w:bCs/>
          <w:sz w:val="21"/>
          <w:szCs w:val="21"/>
        </w:rPr>
        <w:t>中小企业声明函（货物）</w:t>
      </w:r>
    </w:p>
    <w:p>
      <w:pPr>
        <w:spacing w:line="480" w:lineRule="auto"/>
        <w:ind w:firstLine="420" w:firstLineChars="200"/>
        <w:rPr>
          <w:rFonts w:ascii="宋体" w:hAnsi="宋体" w:cs="宋体"/>
          <w:szCs w:val="21"/>
        </w:rPr>
      </w:pPr>
      <w:r>
        <w:rPr>
          <w:rFonts w:hint="eastAsia" w:ascii="宋体" w:hAnsi="宋体" w:cs="宋体"/>
          <w:szCs w:val="21"/>
        </w:rPr>
        <w:t>本公司（联合体）郑重声明，根据《政府采购促进中小企业发展管理办法》（财库﹝2020﹞46 号）的规定，本公司（联合体）参加</w:t>
      </w:r>
      <w:r>
        <w:rPr>
          <w:rFonts w:hint="eastAsia" w:ascii="宋体" w:hAnsi="宋体" w:cs="宋体"/>
          <w:szCs w:val="21"/>
          <w:u w:val="single"/>
        </w:rPr>
        <w:t>           </w:t>
      </w:r>
      <w:r>
        <w:rPr>
          <w:rFonts w:hint="eastAsia" w:ascii="宋体" w:hAnsi="宋体" w:cs="宋体"/>
          <w:szCs w:val="21"/>
        </w:rPr>
        <w:t>（单位名称）的</w:t>
      </w:r>
      <w:r>
        <w:rPr>
          <w:rFonts w:hint="eastAsia" w:ascii="宋体" w:hAnsi="宋体" w:cs="宋体"/>
          <w:szCs w:val="21"/>
          <w:u w:val="single"/>
        </w:rPr>
        <w:t xml:space="preserve">         </w:t>
      </w:r>
      <w:r>
        <w:rPr>
          <w:rFonts w:hint="eastAsia" w:ascii="宋体" w:hAnsi="宋体" w:cs="宋体"/>
          <w:szCs w:val="21"/>
        </w:rPr>
        <w:t>（项目名称）采购活动，提供的货物全部由符合政策要求的中小企业制造。相关企业（含联合体中的中小企业、签订分包意向协议的中小企业）的具体情况如下：</w:t>
      </w:r>
    </w:p>
    <w:p>
      <w:pPr>
        <w:spacing w:line="480" w:lineRule="auto"/>
        <w:rPr>
          <w:rFonts w:ascii="宋体" w:hAnsi="宋体" w:cs="宋体"/>
          <w:szCs w:val="21"/>
        </w:rPr>
      </w:pPr>
      <w:r>
        <w:rPr>
          <w:rFonts w:hint="eastAsia" w:ascii="宋体" w:hAnsi="宋体" w:cs="宋体"/>
          <w:szCs w:val="21"/>
        </w:rPr>
        <w:t>1.</w:t>
      </w:r>
      <w:r>
        <w:rPr>
          <w:rFonts w:hint="eastAsia" w:ascii="宋体" w:hAnsi="宋体" w:cs="宋体"/>
          <w:szCs w:val="21"/>
          <w:u w:val="single"/>
        </w:rPr>
        <w:t xml:space="preserve">         </w:t>
      </w:r>
      <w:r>
        <w:rPr>
          <w:rFonts w:hint="eastAsia" w:ascii="宋体" w:hAnsi="宋体" w:cs="宋体"/>
          <w:szCs w:val="21"/>
        </w:rPr>
        <w:t>（标的名称），属于</w:t>
      </w:r>
      <w:r>
        <w:rPr>
          <w:rFonts w:hint="eastAsia" w:ascii="宋体" w:hAnsi="宋体" w:cs="宋体"/>
          <w:szCs w:val="21"/>
          <w:u w:val="single"/>
        </w:rPr>
        <w:t xml:space="preserve">           </w:t>
      </w:r>
      <w:r>
        <w:rPr>
          <w:rFonts w:hint="eastAsia" w:ascii="宋体" w:hAnsi="宋体" w:cs="宋体"/>
          <w:szCs w:val="21"/>
        </w:rPr>
        <w:t> （采购文件中明确的所属行业）行业；制造商为</w:t>
      </w:r>
      <w:r>
        <w:rPr>
          <w:rFonts w:hint="eastAsia" w:ascii="宋体" w:hAnsi="宋体" w:cs="宋体"/>
          <w:szCs w:val="21"/>
          <w:u w:val="single"/>
        </w:rPr>
        <w:t xml:space="preserve">                 </w:t>
      </w:r>
      <w:r>
        <w:rPr>
          <w:rFonts w:hint="eastAsia" w:ascii="宋体" w:hAnsi="宋体" w:cs="宋体"/>
          <w:szCs w:val="21"/>
        </w:rPr>
        <w:t>  （企业名称），从业人员 </w:t>
      </w:r>
      <w:r>
        <w:rPr>
          <w:rFonts w:hint="eastAsia" w:ascii="宋体" w:hAnsi="宋体" w:cs="宋体"/>
          <w:szCs w:val="21"/>
          <w:u w:val="single"/>
        </w:rPr>
        <w:t xml:space="preserve">       </w:t>
      </w:r>
      <w:r>
        <w:rPr>
          <w:rFonts w:hint="eastAsia" w:ascii="宋体" w:hAnsi="宋体" w:cs="宋体"/>
          <w:szCs w:val="21"/>
        </w:rPr>
        <w:t>人，营业收入为</w:t>
      </w:r>
      <w:r>
        <w:rPr>
          <w:rFonts w:hint="eastAsia" w:ascii="宋体" w:hAnsi="宋体" w:cs="宋体"/>
          <w:szCs w:val="21"/>
          <w:u w:val="single"/>
        </w:rPr>
        <w:t xml:space="preserve">       </w:t>
      </w:r>
      <w:r>
        <w:rPr>
          <w:rFonts w:hint="eastAsia" w:ascii="宋体" w:hAnsi="宋体" w:cs="宋体"/>
          <w:szCs w:val="21"/>
        </w:rPr>
        <w:t>万元，资产总额为</w:t>
      </w:r>
      <w:r>
        <w:rPr>
          <w:rFonts w:hint="eastAsia" w:ascii="宋体" w:hAnsi="宋体" w:cs="宋体"/>
          <w:szCs w:val="21"/>
          <w:u w:val="single"/>
        </w:rPr>
        <w:t xml:space="preserve">      </w:t>
      </w:r>
      <w:r>
        <w:rPr>
          <w:rFonts w:hint="eastAsia" w:ascii="宋体" w:hAnsi="宋体" w:cs="宋体"/>
          <w:szCs w:val="21"/>
        </w:rPr>
        <w:t>万元，属于</w:t>
      </w:r>
      <w:r>
        <w:rPr>
          <w:rFonts w:hint="eastAsia" w:ascii="宋体" w:hAnsi="宋体" w:cs="宋体"/>
          <w:szCs w:val="21"/>
          <w:u w:val="single"/>
        </w:rPr>
        <w:t xml:space="preserve">            </w:t>
      </w:r>
      <w:r>
        <w:rPr>
          <w:rFonts w:hint="eastAsia" w:ascii="宋体" w:hAnsi="宋体" w:cs="宋体"/>
          <w:szCs w:val="21"/>
        </w:rPr>
        <w:t>（中型企业、小型企业、微型企业）；</w:t>
      </w:r>
    </w:p>
    <w:p>
      <w:pPr>
        <w:spacing w:line="480" w:lineRule="auto"/>
        <w:rPr>
          <w:rFonts w:ascii="宋体" w:hAnsi="宋体" w:cs="宋体"/>
          <w:szCs w:val="21"/>
        </w:rPr>
      </w:pPr>
      <w:r>
        <w:rPr>
          <w:rFonts w:hint="eastAsia" w:ascii="宋体" w:hAnsi="宋体" w:cs="宋体"/>
          <w:szCs w:val="21"/>
        </w:rPr>
        <w:t>2.</w:t>
      </w:r>
      <w:r>
        <w:rPr>
          <w:rFonts w:hint="eastAsia" w:ascii="宋体" w:hAnsi="宋体" w:cs="宋体"/>
          <w:szCs w:val="21"/>
          <w:u w:val="single"/>
        </w:rPr>
        <w:t xml:space="preserve">         </w:t>
      </w:r>
      <w:r>
        <w:rPr>
          <w:rFonts w:hint="eastAsia" w:ascii="宋体" w:hAnsi="宋体" w:cs="宋体"/>
          <w:szCs w:val="21"/>
        </w:rPr>
        <w:t>（标的名称），属于</w:t>
      </w:r>
      <w:r>
        <w:rPr>
          <w:rFonts w:hint="eastAsia" w:ascii="宋体" w:hAnsi="宋体" w:cs="宋体"/>
          <w:szCs w:val="21"/>
          <w:u w:val="single"/>
        </w:rPr>
        <w:t xml:space="preserve">           </w:t>
      </w:r>
      <w:r>
        <w:rPr>
          <w:rFonts w:hint="eastAsia" w:ascii="宋体" w:hAnsi="宋体" w:cs="宋体"/>
          <w:szCs w:val="21"/>
        </w:rPr>
        <w:t> （采购文件中明确的所属行业）行业；制造商为</w:t>
      </w:r>
      <w:r>
        <w:rPr>
          <w:rFonts w:hint="eastAsia" w:ascii="宋体" w:hAnsi="宋体" w:cs="宋体"/>
          <w:szCs w:val="21"/>
          <w:u w:val="single"/>
        </w:rPr>
        <w:t xml:space="preserve">                 </w:t>
      </w:r>
      <w:r>
        <w:rPr>
          <w:rFonts w:hint="eastAsia" w:ascii="宋体" w:hAnsi="宋体" w:cs="宋体"/>
          <w:szCs w:val="21"/>
        </w:rPr>
        <w:t>  （企业名称），从业人员 </w:t>
      </w:r>
      <w:r>
        <w:rPr>
          <w:rFonts w:hint="eastAsia" w:ascii="宋体" w:hAnsi="宋体" w:cs="宋体"/>
          <w:szCs w:val="21"/>
          <w:u w:val="single"/>
        </w:rPr>
        <w:t xml:space="preserve">       </w:t>
      </w:r>
      <w:r>
        <w:rPr>
          <w:rFonts w:hint="eastAsia" w:ascii="宋体" w:hAnsi="宋体" w:cs="宋体"/>
          <w:szCs w:val="21"/>
        </w:rPr>
        <w:t>人，营业收入为</w:t>
      </w:r>
      <w:r>
        <w:rPr>
          <w:rFonts w:hint="eastAsia" w:ascii="宋体" w:hAnsi="宋体" w:cs="宋体"/>
          <w:szCs w:val="21"/>
          <w:u w:val="single"/>
        </w:rPr>
        <w:t xml:space="preserve">       </w:t>
      </w:r>
      <w:r>
        <w:rPr>
          <w:rFonts w:hint="eastAsia" w:ascii="宋体" w:hAnsi="宋体" w:cs="宋体"/>
          <w:szCs w:val="21"/>
        </w:rPr>
        <w:t>万元，资产总额为</w:t>
      </w:r>
      <w:r>
        <w:rPr>
          <w:rFonts w:hint="eastAsia" w:ascii="宋体" w:hAnsi="宋体" w:cs="宋体"/>
          <w:szCs w:val="21"/>
          <w:u w:val="single"/>
        </w:rPr>
        <w:t xml:space="preserve">      </w:t>
      </w:r>
      <w:r>
        <w:rPr>
          <w:rFonts w:hint="eastAsia" w:ascii="宋体" w:hAnsi="宋体" w:cs="宋体"/>
          <w:szCs w:val="21"/>
        </w:rPr>
        <w:t>万元，属于</w:t>
      </w:r>
      <w:r>
        <w:rPr>
          <w:rFonts w:hint="eastAsia" w:ascii="宋体" w:hAnsi="宋体" w:cs="宋体"/>
          <w:szCs w:val="21"/>
          <w:u w:val="single"/>
        </w:rPr>
        <w:t xml:space="preserve">            </w:t>
      </w:r>
      <w:r>
        <w:rPr>
          <w:rFonts w:hint="eastAsia" w:ascii="宋体" w:hAnsi="宋体" w:cs="宋体"/>
          <w:szCs w:val="21"/>
        </w:rPr>
        <w:t>（中型企业、小型企业、微型企业）；</w:t>
      </w:r>
    </w:p>
    <w:p>
      <w:pPr>
        <w:spacing w:line="480" w:lineRule="auto"/>
        <w:rPr>
          <w:rFonts w:ascii="宋体" w:hAnsi="宋体" w:cs="宋体"/>
          <w:szCs w:val="21"/>
        </w:rPr>
      </w:pPr>
      <w:r>
        <w:rPr>
          <w:rFonts w:hint="eastAsia" w:ascii="宋体" w:hAnsi="宋体" w:cs="宋体"/>
          <w:szCs w:val="21"/>
        </w:rPr>
        <w:t>……</w:t>
      </w:r>
    </w:p>
    <w:p>
      <w:pPr>
        <w:spacing w:line="480" w:lineRule="auto"/>
        <w:ind w:firstLine="420" w:firstLineChars="200"/>
        <w:rPr>
          <w:rFonts w:ascii="宋体" w:hAnsi="宋体" w:cs="宋体"/>
          <w:szCs w:val="21"/>
        </w:rPr>
      </w:pPr>
      <w:r>
        <w:rPr>
          <w:rFonts w:hint="eastAsia" w:ascii="宋体" w:hAnsi="宋体" w:cs="宋体"/>
          <w:szCs w:val="21"/>
        </w:rPr>
        <w:t>以上企业，不属于大企业的分支机构，不存在控股股东为大企业的情形，也不存在与大企业的负责人为同一人的情形。</w:t>
      </w:r>
    </w:p>
    <w:p>
      <w:pPr>
        <w:spacing w:line="480" w:lineRule="auto"/>
        <w:rPr>
          <w:rFonts w:ascii="宋体" w:hAnsi="宋体" w:cs="宋体"/>
          <w:szCs w:val="21"/>
        </w:rPr>
      </w:pPr>
      <w:r>
        <w:rPr>
          <w:rFonts w:hint="eastAsia" w:ascii="宋体" w:hAnsi="宋体" w:cs="宋体"/>
          <w:szCs w:val="21"/>
        </w:rPr>
        <w:t>本企业对上述声明内容的真实性负责。如有虚假，将依法承担相应责任。</w:t>
      </w:r>
    </w:p>
    <w:p>
      <w:pPr>
        <w:spacing w:line="480" w:lineRule="auto"/>
        <w:ind w:firstLine="630" w:firstLineChars="300"/>
        <w:rPr>
          <w:rFonts w:ascii="宋体" w:hAnsi="宋体" w:cs="宋体"/>
          <w:szCs w:val="21"/>
          <w:u w:val="single"/>
        </w:rPr>
      </w:pPr>
      <w:r>
        <w:rPr>
          <w:rFonts w:hint="eastAsia" w:ascii="宋体" w:hAnsi="宋体" w:cs="宋体"/>
          <w:szCs w:val="21"/>
        </w:rPr>
        <w:t>企业名称（盖章）：</w:t>
      </w:r>
      <w:r>
        <w:rPr>
          <w:rFonts w:hint="eastAsia" w:ascii="宋体" w:hAnsi="宋体" w:cs="宋体"/>
          <w:szCs w:val="21"/>
          <w:u w:val="single"/>
        </w:rPr>
        <w:t xml:space="preserve">                </w:t>
      </w:r>
    </w:p>
    <w:p>
      <w:pPr>
        <w:spacing w:line="480" w:lineRule="auto"/>
        <w:rPr>
          <w:rFonts w:ascii="宋体" w:hAnsi="宋体" w:cs="宋体"/>
          <w:szCs w:val="21"/>
          <w:u w:val="single"/>
        </w:rPr>
      </w:pPr>
      <w:r>
        <w:rPr>
          <w:rFonts w:hint="eastAsia" w:ascii="宋体" w:hAnsi="宋体" w:cs="宋体"/>
          <w:szCs w:val="21"/>
        </w:rPr>
        <w:t xml:space="preserve">      日 期：</w:t>
      </w:r>
      <w:r>
        <w:rPr>
          <w:rFonts w:hint="eastAsia" w:ascii="宋体" w:hAnsi="宋体" w:cs="宋体"/>
          <w:szCs w:val="21"/>
          <w:u w:val="single"/>
        </w:rPr>
        <w:t xml:space="preserve">                  </w:t>
      </w:r>
    </w:p>
    <w:p>
      <w:pPr>
        <w:ind w:firstLine="420" w:firstLineChars="200"/>
        <w:rPr>
          <w:rFonts w:ascii="宋体" w:hAnsi="宋体" w:cs="宋体"/>
          <w:szCs w:val="21"/>
        </w:rPr>
      </w:pPr>
      <w:r>
        <w:rPr>
          <w:rFonts w:hint="eastAsia" w:ascii="宋体" w:hAnsi="宋体" w:cs="宋体"/>
          <w:szCs w:val="21"/>
        </w:rPr>
        <w:t>注：1、填写前请认真阅读《工业和信息化部、国家统计局、国家发展和改革委员会、财政部关于印发中小企业划型标准规定的通知》（工信部联企业[2011]300号）和《财政部工业和信息化部关于印发＜政府采购促进中小企业发展暂行办法＞的通知》(财库[2020]46号)相关规定。</w:t>
      </w:r>
    </w:p>
    <w:p>
      <w:pPr>
        <w:ind w:firstLine="420" w:firstLineChars="200"/>
        <w:rPr>
          <w:rFonts w:ascii="宋体" w:hAnsi="宋体" w:cs="宋体"/>
          <w:szCs w:val="21"/>
        </w:rPr>
      </w:pPr>
      <w:r>
        <w:rPr>
          <w:rFonts w:hint="eastAsia" w:ascii="宋体" w:hAnsi="宋体" w:cs="宋体"/>
          <w:szCs w:val="21"/>
        </w:rPr>
        <w:t>2、从业人员、营业收入、资产总额填报上一年度数据，无上一年度数据的新成立企业可不填报。</w:t>
      </w:r>
    </w:p>
    <w:p>
      <w:pPr>
        <w:ind w:firstLine="420" w:firstLineChars="200"/>
        <w:rPr>
          <w:rFonts w:ascii="宋体" w:hAnsi="宋体" w:cs="宋体"/>
          <w:szCs w:val="21"/>
        </w:rPr>
      </w:pPr>
      <w:r>
        <w:rPr>
          <w:rFonts w:hint="eastAsia" w:ascii="宋体" w:hAnsi="宋体" w:cs="宋体"/>
          <w:szCs w:val="21"/>
        </w:rPr>
        <w:t>3、所投产品的制造商非小微企业不填写此表，若供应商所投产品中有一个产品不是由小微企业制造，则不能享受相应的价格扣除，同时也不用填写此表。</w:t>
      </w:r>
    </w:p>
    <w:p>
      <w:pPr>
        <w:ind w:firstLine="420" w:firstLineChars="200"/>
        <w:rPr>
          <w:rFonts w:ascii="宋体" w:hAnsi="宋体" w:cs="宋体"/>
          <w:szCs w:val="21"/>
        </w:rPr>
      </w:pPr>
      <w:r>
        <w:rPr>
          <w:rFonts w:hint="eastAsia" w:ascii="宋体" w:hAnsi="宋体" w:cs="宋体"/>
          <w:szCs w:val="21"/>
        </w:rPr>
        <w:t>4、根据工业和信息化部、国家统计局、国家发展和改革委员会、财政部联合印发了《关于印发中小企业划型标准规定的通知》（工信部联企业【2011】300号），本项目所属行业中小企业划分标准具体如下：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pStyle w:val="54"/>
        <w:spacing w:line="500" w:lineRule="exact"/>
        <w:rPr>
          <w:rFonts w:ascii="宋体" w:hAnsi="宋体" w:eastAsia="宋体" w:cs="宋体"/>
          <w:sz w:val="21"/>
          <w:szCs w:val="21"/>
        </w:rPr>
      </w:pPr>
    </w:p>
    <w:p>
      <w:pPr>
        <w:pStyle w:val="54"/>
        <w:spacing w:line="500" w:lineRule="exact"/>
        <w:rPr>
          <w:rFonts w:ascii="宋体" w:hAnsi="宋体" w:eastAsia="宋体" w:cs="宋体"/>
          <w:sz w:val="21"/>
          <w:szCs w:val="21"/>
        </w:rPr>
      </w:pPr>
      <w:r>
        <w:rPr>
          <w:rFonts w:hint="eastAsia" w:ascii="宋体" w:hAnsi="宋体" w:eastAsia="宋体" w:cs="宋体"/>
          <w:sz w:val="21"/>
          <w:szCs w:val="21"/>
        </w:rPr>
        <w:t>附件5：</w:t>
      </w:r>
    </w:p>
    <w:p>
      <w:pPr>
        <w:adjustRightInd w:val="0"/>
        <w:snapToGrid w:val="0"/>
        <w:spacing w:line="500" w:lineRule="exact"/>
        <w:jc w:val="center"/>
        <w:rPr>
          <w:rFonts w:ascii="宋体" w:hAnsi="宋体" w:cs="宋体"/>
          <w:b/>
          <w:bCs/>
          <w:szCs w:val="21"/>
        </w:rPr>
      </w:pPr>
      <w:r>
        <w:rPr>
          <w:rFonts w:hint="eastAsia" w:ascii="宋体" w:hAnsi="宋体" w:cs="宋体"/>
          <w:b/>
          <w:szCs w:val="21"/>
        </w:rPr>
        <w:t>“节能</w:t>
      </w:r>
      <w:r>
        <w:rPr>
          <w:rFonts w:hint="eastAsia" w:ascii="宋体" w:hAnsi="宋体" w:cs="宋体"/>
          <w:b/>
          <w:bCs/>
          <w:szCs w:val="21"/>
        </w:rPr>
        <w:t>产品</w:t>
      </w:r>
      <w:r>
        <w:rPr>
          <w:rFonts w:hint="eastAsia" w:ascii="宋体" w:hAnsi="宋体" w:cs="宋体"/>
          <w:b/>
          <w:szCs w:val="21"/>
        </w:rPr>
        <w:t>”、“环境标志</w:t>
      </w:r>
      <w:r>
        <w:rPr>
          <w:rFonts w:hint="eastAsia" w:ascii="宋体" w:hAnsi="宋体" w:cs="宋体"/>
          <w:b/>
          <w:bCs/>
          <w:szCs w:val="21"/>
        </w:rPr>
        <w:t>产品</w:t>
      </w:r>
      <w:r>
        <w:rPr>
          <w:rFonts w:hint="eastAsia" w:ascii="宋体" w:hAnsi="宋体" w:cs="宋体"/>
          <w:b/>
          <w:szCs w:val="21"/>
        </w:rPr>
        <w:t>”证明材料</w:t>
      </w:r>
    </w:p>
    <w:p>
      <w:pPr>
        <w:spacing w:line="500" w:lineRule="exact"/>
        <w:rPr>
          <w:rFonts w:ascii="宋体" w:hAnsi="宋体" w:cs="宋体"/>
          <w:szCs w:val="21"/>
        </w:rPr>
      </w:pPr>
    </w:p>
    <w:p>
      <w:pPr>
        <w:adjustRightInd w:val="0"/>
        <w:snapToGrid w:val="0"/>
        <w:spacing w:line="500" w:lineRule="exact"/>
        <w:rPr>
          <w:rFonts w:ascii="宋体" w:hAnsi="宋体" w:cs="宋体"/>
          <w:szCs w:val="21"/>
        </w:rPr>
      </w:pPr>
      <w:r>
        <w:rPr>
          <w:rFonts w:hint="eastAsia" w:ascii="宋体" w:hAnsi="宋体" w:cs="宋体"/>
          <w:szCs w:val="21"/>
        </w:rPr>
        <w:t>说明：</w:t>
      </w:r>
      <w:r>
        <w:rPr>
          <w:rFonts w:hint="eastAsia" w:ascii="宋体" w:hAnsi="宋体" w:cs="宋体"/>
          <w:bCs/>
          <w:szCs w:val="21"/>
        </w:rPr>
        <w:t>1、</w:t>
      </w:r>
      <w:r>
        <w:rPr>
          <w:rFonts w:hint="eastAsia" w:ascii="宋体" w:hAnsi="宋体" w:cs="宋体"/>
          <w:szCs w:val="21"/>
        </w:rPr>
        <w:t>投标人提供的产品</w:t>
      </w:r>
      <w:r>
        <w:rPr>
          <w:rFonts w:hint="eastAsia" w:ascii="宋体" w:hAnsi="宋体" w:cs="宋体"/>
          <w:bCs/>
          <w:szCs w:val="21"/>
        </w:rPr>
        <w:t>属于</w:t>
      </w:r>
      <w:r>
        <w:rPr>
          <w:rFonts w:hint="eastAsia" w:ascii="宋体" w:hAnsi="宋体" w:cs="宋体"/>
          <w:szCs w:val="21"/>
        </w:rPr>
        <w:t>下列情形，应按第二章投标人须知第20款规定提供相关证明材料(</w:t>
      </w:r>
      <w:r>
        <w:rPr>
          <w:rFonts w:hint="eastAsia" w:ascii="宋体" w:hAnsi="宋体" w:cs="宋体"/>
          <w:bCs/>
          <w:szCs w:val="21"/>
        </w:rPr>
        <w:t>清单或目录所在页复印件</w:t>
      </w:r>
      <w:r>
        <w:rPr>
          <w:rFonts w:hint="eastAsia" w:ascii="宋体" w:hAnsi="宋体" w:cs="宋体"/>
          <w:szCs w:val="21"/>
        </w:rPr>
        <w:t>)，并在《货物分项报价表》中提供相应数据。</w:t>
      </w:r>
    </w:p>
    <w:p>
      <w:pPr>
        <w:adjustRightInd w:val="0"/>
        <w:snapToGrid w:val="0"/>
        <w:spacing w:line="500" w:lineRule="exact"/>
        <w:rPr>
          <w:rFonts w:ascii="宋体" w:hAnsi="宋体" w:cs="宋体"/>
          <w:bCs/>
          <w:szCs w:val="21"/>
        </w:rPr>
      </w:pPr>
      <w:r>
        <w:rPr>
          <w:rFonts w:hint="eastAsia" w:ascii="宋体" w:hAnsi="宋体" w:cs="宋体"/>
          <w:bCs/>
          <w:szCs w:val="21"/>
        </w:rPr>
        <w:t xml:space="preserve">    （1）符合</w:t>
      </w:r>
      <w:r>
        <w:rPr>
          <w:rFonts w:hint="eastAsia" w:ascii="宋体" w:hAnsi="宋体" w:cs="宋体"/>
          <w:szCs w:val="21"/>
        </w:rPr>
        <w:t>政府采购强制采购政策的(《节能产品政府采购清单》中标记★符号节能产品及其他强制采购产品)；</w:t>
      </w:r>
    </w:p>
    <w:p>
      <w:pPr>
        <w:adjustRightInd w:val="0"/>
        <w:snapToGrid w:val="0"/>
        <w:spacing w:line="500" w:lineRule="exact"/>
        <w:rPr>
          <w:rFonts w:ascii="宋体" w:hAnsi="宋体" w:cs="宋体"/>
          <w:bCs/>
          <w:szCs w:val="21"/>
        </w:rPr>
      </w:pPr>
      <w:r>
        <w:rPr>
          <w:rFonts w:hint="eastAsia" w:ascii="宋体" w:hAnsi="宋体" w:cs="宋体"/>
          <w:bCs/>
          <w:szCs w:val="21"/>
        </w:rPr>
        <w:t xml:space="preserve">    （2）符合</w:t>
      </w:r>
      <w:r>
        <w:rPr>
          <w:rFonts w:hint="eastAsia" w:ascii="宋体" w:hAnsi="宋体" w:cs="宋体"/>
          <w:szCs w:val="21"/>
        </w:rPr>
        <w:t>政府采购优先采购政策的(《节能产品政府采购清单》中非标记★符号节能产品，《环境标志产品政府采购清单》中环境标志</w:t>
      </w:r>
      <w:r>
        <w:rPr>
          <w:rFonts w:hint="eastAsia" w:ascii="宋体" w:hAnsi="宋体" w:cs="宋体"/>
          <w:bCs/>
          <w:szCs w:val="21"/>
        </w:rPr>
        <w:t>产品</w:t>
      </w:r>
      <w:r>
        <w:rPr>
          <w:rFonts w:hint="eastAsia" w:ascii="宋体" w:hAnsi="宋体" w:cs="宋体"/>
          <w:szCs w:val="21"/>
        </w:rPr>
        <w:t>。</w:t>
      </w:r>
    </w:p>
    <w:p>
      <w:pPr>
        <w:spacing w:line="500" w:lineRule="exact"/>
        <w:rPr>
          <w:rFonts w:ascii="宋体" w:hAnsi="宋体" w:cs="宋体"/>
          <w:szCs w:val="21"/>
        </w:rPr>
      </w:pPr>
      <w:r>
        <w:rPr>
          <w:rFonts w:hint="eastAsia" w:ascii="宋体" w:hAnsi="宋体" w:cs="宋体"/>
          <w:bCs/>
          <w:szCs w:val="21"/>
        </w:rPr>
        <w:t xml:space="preserve">    2、未按上述要求提供、</w:t>
      </w:r>
      <w:r>
        <w:rPr>
          <w:rFonts w:hint="eastAsia" w:ascii="宋体" w:hAnsi="宋体" w:cs="宋体"/>
          <w:szCs w:val="21"/>
        </w:rPr>
        <w:t>填写</w:t>
      </w:r>
      <w:r>
        <w:rPr>
          <w:rFonts w:hint="eastAsia" w:ascii="宋体" w:hAnsi="宋体" w:cs="宋体"/>
          <w:bCs/>
          <w:szCs w:val="21"/>
        </w:rPr>
        <w:t>的，评标时不予以考虑。</w:t>
      </w: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pStyle w:val="54"/>
        <w:spacing w:line="500" w:lineRule="exact"/>
        <w:rPr>
          <w:rFonts w:ascii="宋体" w:hAnsi="宋体" w:eastAsia="宋体" w:cs="宋体"/>
          <w:sz w:val="21"/>
          <w:szCs w:val="21"/>
        </w:rPr>
      </w:pPr>
      <w:r>
        <w:rPr>
          <w:rFonts w:hint="eastAsia" w:ascii="宋体" w:hAnsi="宋体" w:eastAsia="宋体" w:cs="宋体"/>
          <w:sz w:val="21"/>
          <w:szCs w:val="21"/>
        </w:rPr>
        <w:t>附件6：</w:t>
      </w:r>
    </w:p>
    <w:p>
      <w:pPr>
        <w:spacing w:line="588" w:lineRule="exact"/>
        <w:jc w:val="center"/>
        <w:rPr>
          <w:rFonts w:ascii="宋体" w:hAnsi="宋体" w:cs="宋体"/>
          <w:b/>
          <w:spacing w:val="6"/>
          <w:szCs w:val="21"/>
        </w:rPr>
      </w:pPr>
      <w:r>
        <w:rPr>
          <w:rFonts w:hint="eastAsia" w:ascii="宋体" w:hAnsi="宋体" w:cs="宋体"/>
          <w:b/>
          <w:spacing w:val="6"/>
          <w:szCs w:val="21"/>
        </w:rPr>
        <w:t>残疾人福利性单位声明函</w:t>
      </w:r>
    </w:p>
    <w:p>
      <w:pPr>
        <w:spacing w:line="588" w:lineRule="exact"/>
        <w:rPr>
          <w:rFonts w:ascii="宋体" w:hAnsi="宋体" w:cs="宋体"/>
          <w:b/>
          <w:spacing w:val="6"/>
          <w:szCs w:val="21"/>
        </w:rPr>
      </w:pPr>
    </w:p>
    <w:p>
      <w:pPr>
        <w:spacing w:line="500" w:lineRule="exact"/>
        <w:ind w:firstLine="444" w:firstLineChars="200"/>
        <w:rPr>
          <w:rFonts w:ascii="宋体" w:hAnsi="宋体" w:cs="宋体"/>
          <w:spacing w:val="6"/>
          <w:szCs w:val="21"/>
        </w:rPr>
      </w:pPr>
      <w:r>
        <w:rPr>
          <w:rFonts w:hint="eastAsia" w:ascii="宋体" w:hAnsi="宋体" w:cs="宋体"/>
          <w:spacing w:val="6"/>
          <w:szCs w:val="21"/>
        </w:rPr>
        <w:t>本单位郑重声明，根据《财政部 民政部 中国残疾人联合会关于促进残疾人就业政府采购政策的通知》（财库</w:t>
      </w:r>
      <w:r>
        <w:rPr>
          <w:rFonts w:hint="eastAsia" w:ascii="宋体" w:hAnsi="宋体" w:cs="宋体"/>
          <w:szCs w:val="21"/>
        </w:rPr>
        <w:t>〔2017〕 141</w:t>
      </w:r>
      <w:r>
        <w:rPr>
          <w:rFonts w:hint="eastAsia" w:ascii="宋体" w:hAnsi="宋体" w:cs="宋体"/>
          <w:spacing w:val="6"/>
          <w:szCs w:val="21"/>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00" w:lineRule="exact"/>
        <w:ind w:firstLine="444" w:firstLineChars="200"/>
        <w:rPr>
          <w:rFonts w:ascii="宋体" w:hAnsi="宋体" w:cs="宋体"/>
          <w:spacing w:val="6"/>
          <w:szCs w:val="21"/>
        </w:rPr>
      </w:pPr>
      <w:r>
        <w:rPr>
          <w:rFonts w:hint="eastAsia" w:ascii="宋体" w:hAnsi="宋体" w:cs="宋体"/>
          <w:spacing w:val="6"/>
          <w:szCs w:val="21"/>
        </w:rPr>
        <w:t>本单位对上述声明的真实性负责。如有虚假，将依法承担相应责任。</w:t>
      </w:r>
    </w:p>
    <w:p>
      <w:pPr>
        <w:spacing w:line="500" w:lineRule="exact"/>
        <w:ind w:firstLine="444" w:firstLineChars="200"/>
        <w:rPr>
          <w:rFonts w:ascii="宋体" w:hAnsi="宋体" w:cs="宋体"/>
          <w:spacing w:val="6"/>
          <w:szCs w:val="21"/>
        </w:rPr>
      </w:pPr>
    </w:p>
    <w:p>
      <w:pPr>
        <w:spacing w:line="500" w:lineRule="exact"/>
        <w:ind w:firstLine="444" w:firstLineChars="200"/>
        <w:rPr>
          <w:rFonts w:ascii="宋体" w:hAnsi="宋体" w:cs="宋体"/>
          <w:spacing w:val="6"/>
          <w:szCs w:val="21"/>
        </w:rPr>
      </w:pPr>
    </w:p>
    <w:p>
      <w:pPr>
        <w:tabs>
          <w:tab w:val="left" w:pos="4860"/>
        </w:tabs>
        <w:spacing w:line="500" w:lineRule="exact"/>
        <w:ind w:right="1560" w:firstLine="444" w:firstLineChars="200"/>
        <w:jc w:val="center"/>
        <w:rPr>
          <w:rFonts w:ascii="宋体" w:hAnsi="宋体" w:cs="宋体"/>
          <w:spacing w:val="6"/>
          <w:szCs w:val="21"/>
          <w:u w:val="single"/>
        </w:rPr>
      </w:pPr>
      <w:r>
        <w:rPr>
          <w:rFonts w:hint="eastAsia" w:ascii="宋体" w:hAnsi="宋体" w:cs="宋体"/>
          <w:spacing w:val="6"/>
          <w:szCs w:val="21"/>
        </w:rPr>
        <w:t xml:space="preserve">                        单位名称（盖章）：</w:t>
      </w:r>
      <w:r>
        <w:rPr>
          <w:rFonts w:hint="eastAsia" w:ascii="宋体" w:hAnsi="宋体" w:cs="宋体"/>
          <w:spacing w:val="6"/>
          <w:szCs w:val="21"/>
          <w:u w:val="single"/>
        </w:rPr>
        <w:t xml:space="preserve">                      </w:t>
      </w:r>
    </w:p>
    <w:p>
      <w:pPr>
        <w:spacing w:line="440" w:lineRule="exact"/>
        <w:rPr>
          <w:rFonts w:ascii="宋体" w:hAnsi="宋体" w:cs="宋体"/>
          <w:szCs w:val="21"/>
        </w:rPr>
      </w:pPr>
      <w:r>
        <w:rPr>
          <w:rFonts w:hint="eastAsia" w:ascii="宋体" w:hAnsi="宋体" w:cs="宋体"/>
          <w:spacing w:val="6"/>
          <w:szCs w:val="21"/>
        </w:rPr>
        <w:t xml:space="preserve">                             日          期：</w:t>
      </w:r>
      <w:r>
        <w:rPr>
          <w:rFonts w:hint="eastAsia" w:ascii="宋体" w:hAnsi="宋体" w:cs="宋体"/>
          <w:spacing w:val="6"/>
          <w:szCs w:val="21"/>
          <w:u w:val="single"/>
        </w:rPr>
        <w:t xml:space="preserve">               </w:t>
      </w: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sectPr>
          <w:footerReference r:id="rId10" w:type="default"/>
          <w:footnotePr>
            <w:numFmt w:val="decimalEnclosedCircleChinese"/>
            <w:numRestart w:val="eachPage"/>
          </w:footnotePr>
          <w:pgSz w:w="11907" w:h="16840"/>
          <w:pgMar w:top="1440" w:right="1361" w:bottom="1440" w:left="1361" w:header="720" w:footer="907" w:gutter="0"/>
          <w:pgNumType w:fmt="decimal"/>
          <w:cols w:space="720" w:num="1"/>
        </w:sectPr>
      </w:pPr>
    </w:p>
    <w:p>
      <w:pPr>
        <w:pStyle w:val="46"/>
      </w:pPr>
    </w:p>
    <w:p>
      <w:pPr>
        <w:spacing w:line="440" w:lineRule="exact"/>
        <w:rPr>
          <w:rFonts w:ascii="宋体" w:hAnsi="宋体" w:cs="宋体"/>
          <w:szCs w:val="21"/>
        </w:rPr>
      </w:pPr>
    </w:p>
    <w:p>
      <w:pPr>
        <w:pStyle w:val="46"/>
        <w:rPr>
          <w:rFonts w:ascii="宋体" w:hAnsi="宋体" w:cs="宋体"/>
          <w:szCs w:val="21"/>
        </w:rPr>
      </w:pPr>
    </w:p>
    <w:p>
      <w:pPr>
        <w:pStyle w:val="46"/>
        <w:rPr>
          <w:rFonts w:ascii="宋体" w:hAnsi="宋体" w:cs="宋体"/>
          <w:szCs w:val="21"/>
        </w:rPr>
      </w:pPr>
    </w:p>
    <w:p>
      <w:pPr>
        <w:pStyle w:val="46"/>
        <w:ind w:left="0" w:leftChars="0" w:firstLine="0" w:firstLineChars="0"/>
        <w:rPr>
          <w:rFonts w:ascii="宋体" w:hAnsi="宋体" w:cs="宋体"/>
          <w:szCs w:val="21"/>
        </w:rPr>
      </w:pPr>
    </w:p>
    <w:p>
      <w:pPr>
        <w:pStyle w:val="46"/>
        <w:ind w:left="0" w:leftChars="0" w:firstLine="0" w:firstLineChars="0"/>
        <w:rPr>
          <w:rFonts w:ascii="宋体" w:hAnsi="宋体" w:cs="宋体"/>
          <w:szCs w:val="21"/>
        </w:rPr>
      </w:pPr>
    </w:p>
    <w:p>
      <w:pPr>
        <w:pStyle w:val="46"/>
        <w:rPr>
          <w:rFonts w:ascii="宋体" w:hAnsi="宋体" w:cs="宋体"/>
          <w:szCs w:val="21"/>
        </w:rPr>
      </w:pPr>
    </w:p>
    <w:p>
      <w:pPr>
        <w:pStyle w:val="46"/>
        <w:rPr>
          <w:rFonts w:ascii="宋体" w:hAnsi="宋体" w:cs="宋体"/>
          <w:szCs w:val="21"/>
        </w:rPr>
      </w:pPr>
    </w:p>
    <w:p>
      <w:pPr>
        <w:pStyle w:val="46"/>
        <w:rPr>
          <w:rFonts w:ascii="宋体" w:hAnsi="宋体" w:cs="宋体"/>
          <w:szCs w:val="21"/>
        </w:rPr>
      </w:pPr>
    </w:p>
    <w:p>
      <w:pPr>
        <w:pStyle w:val="46"/>
        <w:rPr>
          <w:rFonts w:ascii="宋体" w:hAnsi="宋体" w:cs="宋体"/>
          <w:szCs w:val="21"/>
        </w:rPr>
      </w:pPr>
    </w:p>
    <w:p>
      <w:pPr>
        <w:spacing w:line="440" w:lineRule="exact"/>
        <w:jc w:val="center"/>
        <w:rPr>
          <w:rFonts w:ascii="宋体" w:hAnsi="宋体" w:cs="宋体"/>
          <w:b/>
          <w:bCs/>
          <w:sz w:val="36"/>
          <w:szCs w:val="36"/>
        </w:rPr>
      </w:pPr>
      <w:r>
        <w:rPr>
          <w:rFonts w:hint="eastAsia" w:ascii="宋体" w:hAnsi="宋体" w:cs="宋体"/>
          <w:b/>
          <w:bCs/>
          <w:sz w:val="36"/>
          <w:szCs w:val="36"/>
        </w:rPr>
        <w:t>本页以下无内容</w:t>
      </w:r>
    </w:p>
    <w:p>
      <w:pPr>
        <w:rPr>
          <w:rFonts w:ascii="宋体" w:hAnsi="宋体" w:cs="宋体"/>
          <w:b/>
          <w:bCs/>
          <w:sz w:val="36"/>
          <w:szCs w:val="36"/>
        </w:rPr>
      </w:pPr>
    </w:p>
    <w:p>
      <w:pPr>
        <w:rPr>
          <w:rFonts w:ascii="宋体" w:hAnsi="宋体" w:cs="宋体"/>
          <w:b/>
          <w:bCs/>
          <w:sz w:val="36"/>
          <w:szCs w:val="36"/>
        </w:rPr>
      </w:pPr>
      <w:bookmarkStart w:id="58" w:name="_GoBack"/>
      <w:bookmarkEnd w:id="58"/>
    </w:p>
    <w:p>
      <w:pPr>
        <w:rPr>
          <w:rFonts w:ascii="宋体" w:hAnsi="宋体" w:cs="宋体"/>
          <w:b/>
          <w:bCs/>
          <w:sz w:val="36"/>
          <w:szCs w:val="36"/>
        </w:rPr>
      </w:pPr>
    </w:p>
    <w:p>
      <w:pPr>
        <w:rPr>
          <w:rFonts w:ascii="宋体" w:hAnsi="宋体" w:cs="宋体"/>
          <w:b/>
          <w:bCs/>
          <w:sz w:val="36"/>
          <w:szCs w:val="36"/>
        </w:rPr>
      </w:pPr>
    </w:p>
    <w:p>
      <w:pPr>
        <w:rPr>
          <w:rFonts w:ascii="宋体" w:hAnsi="宋体" w:cs="宋体"/>
          <w:b/>
          <w:bCs/>
          <w:sz w:val="36"/>
          <w:szCs w:val="36"/>
        </w:rPr>
      </w:pPr>
    </w:p>
    <w:p>
      <w:pPr>
        <w:pStyle w:val="15"/>
        <w:rPr>
          <w:rFonts w:ascii="宋体" w:hAnsi="宋体" w:cs="宋体"/>
          <w:b/>
          <w:bCs/>
          <w:sz w:val="36"/>
          <w:szCs w:val="36"/>
        </w:rPr>
      </w:pPr>
    </w:p>
    <w:p>
      <w:pPr>
        <w:rPr>
          <w:rFonts w:ascii="宋体" w:hAnsi="宋体" w:cs="宋体"/>
          <w:b/>
          <w:bCs/>
          <w:sz w:val="36"/>
          <w:szCs w:val="36"/>
        </w:rPr>
      </w:pPr>
    </w:p>
    <w:p>
      <w:pPr>
        <w:pStyle w:val="46"/>
        <w:ind w:firstLine="723"/>
        <w:rPr>
          <w:rFonts w:ascii="宋体" w:hAnsi="宋体" w:cs="宋体"/>
          <w:b/>
          <w:bCs/>
          <w:sz w:val="36"/>
          <w:szCs w:val="36"/>
        </w:rPr>
      </w:pPr>
    </w:p>
    <w:p>
      <w:pPr>
        <w:pStyle w:val="46"/>
        <w:ind w:left="0" w:leftChars="0" w:firstLine="0" w:firstLineChars="0"/>
        <w:rPr>
          <w:rFonts w:ascii="宋体" w:hAnsi="宋体" w:cs="宋体"/>
          <w:b/>
          <w:bCs/>
          <w:sz w:val="36"/>
          <w:szCs w:val="36"/>
        </w:rPr>
      </w:pPr>
    </w:p>
    <w:p>
      <w:pPr>
        <w:pStyle w:val="15"/>
        <w:rPr>
          <w:rFonts w:ascii="宋体" w:hAnsi="宋体" w:cs="宋体"/>
          <w:b/>
          <w:bCs/>
          <w:sz w:val="36"/>
          <w:szCs w:val="36"/>
        </w:rPr>
      </w:pPr>
    </w:p>
    <w:p>
      <w:pPr>
        <w:rPr>
          <w:rFonts w:ascii="宋体" w:hAnsi="宋体" w:cs="宋体"/>
          <w:b/>
          <w:bCs/>
          <w:sz w:val="36"/>
          <w:szCs w:val="36"/>
        </w:rPr>
      </w:pPr>
    </w:p>
    <w:p>
      <w:pPr>
        <w:pStyle w:val="15"/>
        <w:rPr>
          <w:rFonts w:ascii="宋体" w:hAnsi="宋体" w:cs="宋体"/>
          <w:b/>
          <w:bCs/>
          <w:sz w:val="36"/>
          <w:szCs w:val="36"/>
        </w:rPr>
      </w:pPr>
    </w:p>
    <w:p>
      <w:pPr>
        <w:rPr>
          <w:rFonts w:ascii="宋体" w:hAnsi="宋体" w:cs="宋体"/>
        </w:rPr>
      </w:pPr>
    </w:p>
    <w:p>
      <w:pPr>
        <w:rPr>
          <w:rFonts w:ascii="宋体" w:hAnsi="宋体" w:cs="宋体"/>
        </w:rPr>
      </w:pPr>
    </w:p>
    <w:p>
      <w:pPr>
        <w:pStyle w:val="46"/>
      </w:pPr>
    </w:p>
    <w:p>
      <w:pPr>
        <w:spacing w:line="440" w:lineRule="exact"/>
        <w:rPr>
          <w:rFonts w:hint="eastAsia" w:ascii="宋体" w:hAnsi="宋体" w:eastAsia="宋体" w:cs="宋体"/>
          <w:sz w:val="24"/>
        </w:rPr>
      </w:pPr>
      <w:r>
        <w:rPr>
          <w:rFonts w:hint="eastAsia" w:ascii="宋体" w:hAnsi="宋体" w:eastAsia="宋体" w:cs="宋体"/>
          <w:sz w:val="24"/>
        </w:rPr>
        <w:t>采购代理机构：陕西鼎祥越工程造价咨询有限公司</w:t>
      </w:r>
    </w:p>
    <w:p>
      <w:pPr>
        <w:spacing w:line="440" w:lineRule="exact"/>
        <w:rPr>
          <w:rFonts w:hint="eastAsia" w:ascii="宋体" w:hAnsi="宋体" w:eastAsia="宋体" w:cs="宋体"/>
          <w:sz w:val="24"/>
        </w:rPr>
      </w:pPr>
      <w:r>
        <w:rPr>
          <w:rFonts w:hint="eastAsia" w:ascii="宋体" w:hAnsi="宋体" w:eastAsia="宋体" w:cs="宋体"/>
          <w:sz w:val="24"/>
        </w:rPr>
        <w:t>邮箱：2218592475@qq.com</w:t>
      </w:r>
    </w:p>
    <w:p>
      <w:pPr>
        <w:spacing w:line="440" w:lineRule="exact"/>
        <w:rPr>
          <w:rFonts w:hint="eastAsia" w:ascii="宋体" w:hAnsi="宋体" w:eastAsia="宋体" w:cs="宋体"/>
          <w:sz w:val="24"/>
        </w:rPr>
      </w:pPr>
      <w:r>
        <w:rPr>
          <w:rFonts w:hint="eastAsia" w:ascii="宋体" w:hAnsi="宋体" w:eastAsia="宋体" w:cs="宋体"/>
          <w:sz w:val="24"/>
        </w:rPr>
        <w:t>电话：0917-3807560</w:t>
      </w:r>
    </w:p>
    <w:p>
      <w:pPr>
        <w:spacing w:line="440" w:lineRule="exact"/>
        <w:rPr>
          <w:rFonts w:hint="eastAsia" w:ascii="宋体" w:hAnsi="宋体" w:eastAsia="宋体" w:cs="宋体"/>
          <w:sz w:val="24"/>
        </w:rPr>
      </w:pPr>
      <w:r>
        <w:rPr>
          <w:rFonts w:hint="eastAsia" w:ascii="宋体" w:hAnsi="宋体" w:eastAsia="宋体" w:cs="宋体"/>
          <w:sz w:val="24"/>
        </w:rPr>
        <w:t>地址：宝鸡市行政中心海棠风尚1510室</w:t>
      </w:r>
    </w:p>
    <w:sectPr>
      <w:footerReference r:id="rId11" w:type="default"/>
      <w:footnotePr>
        <w:numFmt w:val="decimalEnclosedCircleChinese"/>
        <w:numRestart w:val="eachPage"/>
      </w:footnotePr>
      <w:pgSz w:w="11907" w:h="16840"/>
      <w:pgMar w:top="1440" w:right="1361" w:bottom="1440" w:left="1361" w:header="720" w:footer="907"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姚体">
    <w:panose1 w:val="02010601030101010101"/>
    <w:charset w:val="86"/>
    <w:family w:val="auto"/>
    <w:pitch w:val="default"/>
    <w:sig w:usb0="00000003"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7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720"/>
      <w:rPr>
        <w:rFonts w:ascii="宋体" w:hAnsi="宋体"/>
        <w:b/>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24"/>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宋体" w:hAnsi="宋体"/>
        <w:b/>
        <w:sz w:val="21"/>
        <w:szCs w:val="21"/>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720"/>
      <w:rPr>
        <w:rFonts w:ascii="宋体" w:hAnsi="宋体"/>
        <w:b/>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pPr>
                      <w:pStyle w:val="24"/>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宋体" w:hAnsi="宋体"/>
        <w:b/>
        <w:sz w:val="21"/>
        <w:szCs w:val="21"/>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720"/>
      <w:rPr>
        <w:rFonts w:ascii="宋体" w:hAnsi="宋体"/>
        <w:b/>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pPr>
                      <w:pStyle w:val="2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720"/>
      <w:rPr>
        <w:rFonts w:ascii="宋体" w:hAnsi="宋体"/>
        <w:b/>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fldChar w:fldCharType="begin"/>
                          </w:r>
                          <w:r>
                            <w:instrText xml:space="preserve"> PAGE  \* MERGEFORMAT </w:instrText>
                          </w:r>
                          <w:r>
                            <w:fldChar w:fldCharType="separate"/>
                          </w:r>
                          <w:r>
                            <w:t>104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pPr>
                      <w:pStyle w:val="24"/>
                    </w:pPr>
                    <w:r>
                      <w:fldChar w:fldCharType="begin"/>
                    </w:r>
                    <w:r>
                      <w:instrText xml:space="preserve"> PAGE  \* MERGEFORMAT </w:instrText>
                    </w:r>
                    <w:r>
                      <w:fldChar w:fldCharType="separate"/>
                    </w:r>
                    <w:r>
                      <w:t>104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720"/>
      <w:rPr>
        <w:rFonts w:ascii="宋体" w:hAnsi="宋体"/>
        <w:b/>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tabs>
        <w:tab w:val="left" w:pos="416"/>
        <w:tab w:val="right" w:pos="9206"/>
      </w:tabs>
      <w:spacing w:line="240" w:lineRule="exact"/>
      <w:ind w:right="-21" w:rightChars="-10"/>
      <w:rPr>
        <w:rFonts w:ascii="宋体" w:hAnsi="宋体"/>
        <w:b/>
        <w:szCs w:val="21"/>
      </w:rPr>
    </w:pPr>
    <w:r>
      <w:rPr>
        <w:rFonts w:hint="eastAsia" w:ascii="宋体" w:hAnsi="宋体"/>
        <w:b/>
        <w:szCs w:val="21"/>
      </w:rPr>
      <w:t xml:space="preserve">   </w:t>
    </w:r>
    <w:r>
      <w:rPr>
        <w:rFonts w:ascii="宋体" w:hAnsi="宋体"/>
        <w:b/>
        <w:szCs w:val="21"/>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thinThickSmallGap" w:color="auto" w:sz="18" w:space="1"/>
      </w:pBdr>
      <w:tabs>
        <w:tab w:val="left" w:pos="416"/>
        <w:tab w:val="right" w:pos="9206"/>
      </w:tabs>
      <w:spacing w:line="240" w:lineRule="exact"/>
      <w:ind w:right="-21" w:rightChars="-10"/>
      <w:rPr>
        <w:rFonts w:ascii="宋体" w:hAnsi="宋体"/>
        <w:b/>
        <w:szCs w:val="21"/>
      </w:rPr>
    </w:pPr>
  </w:p>
  <w:p>
    <w:pPr>
      <w:pBdr>
        <w:bottom w:val="thinThickSmallGap" w:color="auto" w:sz="18" w:space="1"/>
      </w:pBdr>
      <w:tabs>
        <w:tab w:val="left" w:pos="416"/>
        <w:tab w:val="right" w:pos="9206"/>
      </w:tabs>
      <w:spacing w:line="240" w:lineRule="exact"/>
      <w:ind w:right="-21" w:rightChars="-10"/>
      <w:rPr>
        <w:rFonts w:hint="eastAsia" w:ascii="楷体" w:hAnsi="楷体" w:eastAsia="楷体" w:cs="楷体"/>
        <w:b/>
        <w:color w:val="FF0000"/>
        <w:szCs w:val="21"/>
        <w:lang w:eastAsia="zh-CN"/>
      </w:rPr>
    </w:pPr>
    <w:r>
      <w:rPr>
        <w:rFonts w:hint="eastAsia" w:ascii="楷体" w:hAnsi="楷体" w:eastAsia="楷体" w:cs="楷体"/>
        <w:b/>
        <w:szCs w:val="21"/>
      </w:rPr>
      <w:t>项目名称：项目恒大小学部室配备                                                包号：0</w:t>
    </w:r>
    <w:r>
      <w:rPr>
        <w:rFonts w:hint="eastAsia" w:ascii="楷体" w:hAnsi="楷体" w:eastAsia="楷体" w:cs="楷体"/>
        <w:b/>
        <w:szCs w:val="21"/>
        <w:lang w:val="en-US" w:eastAsia="zh-CN"/>
      </w:rPr>
      <w:t>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thinThickSmallGap" w:color="auto" w:sz="18" w:space="1"/>
      </w:pBdr>
      <w:tabs>
        <w:tab w:val="left" w:pos="416"/>
        <w:tab w:val="right" w:pos="9206"/>
      </w:tabs>
      <w:spacing w:line="240" w:lineRule="exact"/>
      <w:ind w:right="-21" w:rightChars="-10"/>
      <w:rPr>
        <w:rFonts w:ascii="楷体" w:hAnsi="楷体" w:eastAsia="楷体" w:cs="楷体"/>
        <w:b/>
        <w:color w:val="FF0000"/>
        <w:szCs w:val="21"/>
      </w:rPr>
    </w:pPr>
    <w:r>
      <w:rPr>
        <w:rFonts w:hint="eastAsia" w:ascii="楷体" w:hAnsi="楷体" w:eastAsia="楷体" w:cs="楷体"/>
        <w:b/>
        <w:szCs w:val="21"/>
      </w:rPr>
      <w:t>项目名称：项目恒大小学部室配备                                                包号：0</w:t>
    </w:r>
    <w:r>
      <w:rPr>
        <w:rFonts w:hint="eastAsia" w:ascii="楷体" w:hAnsi="楷体" w:eastAsia="楷体" w:cs="楷体"/>
        <w:b/>
        <w:szCs w:val="21"/>
        <w:lang w:val="en-US" w:eastAsia="zh-CN"/>
      </w:rPr>
      <w:t>1</w:t>
    </w:r>
    <w:r>
      <w:rPr>
        <w:rFonts w:hint="eastAsia" w:ascii="楷体" w:hAnsi="楷体" w:eastAsia="楷体" w:cs="楷体"/>
        <w:b/>
        <w:color w:val="FF0000"/>
        <w:szCs w:val="21"/>
      </w:rPr>
      <w:tab/>
    </w:r>
  </w:p>
  <w:p>
    <w:pPr>
      <w:pBdr>
        <w:bottom w:val="none" w:color="auto" w:sz="0" w:space="1"/>
      </w:pBdr>
      <w:tabs>
        <w:tab w:val="left" w:pos="416"/>
        <w:tab w:val="right" w:pos="9206"/>
      </w:tabs>
      <w:spacing w:line="240" w:lineRule="exact"/>
      <w:ind w:right="-21" w:rightChars="-10"/>
      <w:rPr>
        <w:rFonts w:ascii="宋体" w:hAnsi="宋体"/>
        <w:b/>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88B12D"/>
    <w:multiLevelType w:val="singleLevel"/>
    <w:tmpl w:val="C788B12D"/>
    <w:lvl w:ilvl="0" w:tentative="0">
      <w:start w:val="3"/>
      <w:numFmt w:val="decimal"/>
      <w:lvlText w:val="%1."/>
      <w:lvlJc w:val="left"/>
      <w:pPr>
        <w:tabs>
          <w:tab w:val="left" w:pos="312"/>
        </w:tabs>
      </w:pPr>
    </w:lvl>
  </w:abstractNum>
  <w:abstractNum w:abstractNumId="1">
    <w:nsid w:val="00000001"/>
    <w:multiLevelType w:val="singleLevel"/>
    <w:tmpl w:val="00000001"/>
    <w:lvl w:ilvl="0" w:tentative="0">
      <w:start w:val="501"/>
      <w:numFmt w:val="decimal"/>
      <w:pStyle w:val="23"/>
      <w:lvlText w:val="%1节"/>
      <w:lvlJc w:val="left"/>
      <w:pPr>
        <w:tabs>
          <w:tab w:val="left" w:pos="1005"/>
        </w:tabs>
        <w:ind w:left="1005" w:hanging="1005"/>
      </w:pPr>
      <w:rPr>
        <w:rFonts w:hint="eastAsia"/>
      </w:rPr>
    </w:lvl>
  </w:abstractNum>
  <w:abstractNum w:abstractNumId="2">
    <w:nsid w:val="00000006"/>
    <w:multiLevelType w:val="multilevel"/>
    <w:tmpl w:val="00000006"/>
    <w:lvl w:ilvl="0" w:tentative="0">
      <w:start w:val="1"/>
      <w:numFmt w:val="decimal"/>
      <w:pStyle w:val="73"/>
      <w:lvlText w:val="（%1）"/>
      <w:lvlJc w:val="left"/>
      <w:pPr>
        <w:tabs>
          <w:tab w:val="left" w:pos="1560"/>
        </w:tabs>
        <w:ind w:left="1560" w:hanging="720"/>
      </w:pPr>
      <w:rPr>
        <w:rFonts w:hint="default"/>
      </w:rPr>
    </w:lvl>
    <w:lvl w:ilvl="1" w:tentative="0">
      <w:start w:val="1"/>
      <w:numFmt w:val="lowerLetter"/>
      <w:lvlText w:val="%2)"/>
      <w:lvlJc w:val="left"/>
      <w:pPr>
        <w:tabs>
          <w:tab w:val="left" w:pos="1680"/>
        </w:tabs>
        <w:ind w:left="1680" w:hanging="420"/>
      </w:p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3">
    <w:nsid w:val="00000008"/>
    <w:multiLevelType w:val="singleLevel"/>
    <w:tmpl w:val="00000008"/>
    <w:lvl w:ilvl="0" w:tentative="0">
      <w:start w:val="1"/>
      <w:numFmt w:val="upperLetter"/>
      <w:pStyle w:val="4"/>
      <w:lvlText w:val="%1、"/>
      <w:lvlJc w:val="left"/>
      <w:pPr>
        <w:tabs>
          <w:tab w:val="left" w:pos="960"/>
        </w:tabs>
        <w:ind w:left="960" w:hanging="324"/>
      </w:pPr>
      <w:rPr>
        <w:rFonts w:hint="eastAsia"/>
      </w:rPr>
    </w:lvl>
  </w:abstractNum>
  <w:abstractNum w:abstractNumId="4">
    <w:nsid w:val="0000000A"/>
    <w:multiLevelType w:val="singleLevel"/>
    <w:tmpl w:val="0000000A"/>
    <w:lvl w:ilvl="0" w:tentative="0">
      <w:start w:val="1"/>
      <w:numFmt w:val="upperLetter"/>
      <w:pStyle w:val="3"/>
      <w:lvlText w:val="%1．"/>
      <w:lvlJc w:val="left"/>
      <w:pPr>
        <w:tabs>
          <w:tab w:val="left" w:pos="324"/>
        </w:tabs>
        <w:ind w:left="324" w:hanging="324"/>
      </w:pPr>
      <w:rPr>
        <w:rFonts w:hint="eastAsia"/>
      </w:rPr>
    </w:lvl>
  </w:abstractNum>
  <w:abstractNum w:abstractNumId="5">
    <w:nsid w:val="0000000D"/>
    <w:multiLevelType w:val="singleLevel"/>
    <w:tmpl w:val="0000000D"/>
    <w:lvl w:ilvl="0" w:tentative="0">
      <w:start w:val="1"/>
      <w:numFmt w:val="upperLetter"/>
      <w:pStyle w:val="2"/>
      <w:lvlText w:val="%1、"/>
      <w:lvlJc w:val="left"/>
      <w:pPr>
        <w:tabs>
          <w:tab w:val="left" w:pos="960"/>
        </w:tabs>
        <w:ind w:left="960" w:hanging="324"/>
      </w:pPr>
      <w:rPr>
        <w:rFonts w:hint="eastAsia"/>
      </w:rPr>
    </w:lvl>
  </w:abstractNum>
  <w:abstractNum w:abstractNumId="6">
    <w:nsid w:val="00000013"/>
    <w:multiLevelType w:val="multilevel"/>
    <w:tmpl w:val="00000013"/>
    <w:lvl w:ilvl="0" w:tentative="0">
      <w:start w:val="2"/>
      <w:numFmt w:val="upperLetter"/>
      <w:pStyle w:val="5"/>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14EC4502"/>
    <w:multiLevelType w:val="singleLevel"/>
    <w:tmpl w:val="14EC4502"/>
    <w:lvl w:ilvl="0" w:tentative="0">
      <w:start w:val="1"/>
      <w:numFmt w:val="decimal"/>
      <w:suff w:val="nothing"/>
      <w:lvlText w:val="%1、"/>
      <w:lvlJc w:val="left"/>
    </w:lvl>
  </w:abstractNum>
  <w:abstractNum w:abstractNumId="8">
    <w:nsid w:val="1D029CC4"/>
    <w:multiLevelType w:val="singleLevel"/>
    <w:tmpl w:val="1D029CC4"/>
    <w:lvl w:ilvl="0" w:tentative="0">
      <w:start w:val="1"/>
      <w:numFmt w:val="decimal"/>
      <w:suff w:val="nothing"/>
      <w:lvlText w:val="%1）"/>
      <w:lvlJc w:val="left"/>
    </w:lvl>
  </w:abstractNum>
  <w:abstractNum w:abstractNumId="9">
    <w:nsid w:val="4D7385BF"/>
    <w:multiLevelType w:val="singleLevel"/>
    <w:tmpl w:val="4D7385BF"/>
    <w:lvl w:ilvl="0" w:tentative="0">
      <w:start w:val="1"/>
      <w:numFmt w:val="decimal"/>
      <w:lvlText w:val="%1."/>
      <w:lvlJc w:val="left"/>
      <w:pPr>
        <w:tabs>
          <w:tab w:val="left" w:pos="312"/>
        </w:tabs>
      </w:pPr>
    </w:lvl>
  </w:abstractNum>
  <w:abstractNum w:abstractNumId="10">
    <w:nsid w:val="51E7E1E3"/>
    <w:multiLevelType w:val="singleLevel"/>
    <w:tmpl w:val="51E7E1E3"/>
    <w:lvl w:ilvl="0" w:tentative="0">
      <w:start w:val="1"/>
      <w:numFmt w:val="decimal"/>
      <w:suff w:val="nothing"/>
      <w:lvlText w:val="%1）"/>
      <w:lvlJc w:val="left"/>
    </w:lvl>
  </w:abstractNum>
  <w:abstractNum w:abstractNumId="11">
    <w:nsid w:val="58DB5BCB"/>
    <w:multiLevelType w:val="singleLevel"/>
    <w:tmpl w:val="58DB5BCB"/>
    <w:lvl w:ilvl="0" w:tentative="0">
      <w:start w:val="3"/>
      <w:numFmt w:val="chineseCounting"/>
      <w:suff w:val="nothing"/>
      <w:lvlText w:val="%1、"/>
      <w:lvlJc w:val="left"/>
    </w:lvl>
  </w:abstractNum>
  <w:abstractNum w:abstractNumId="12">
    <w:nsid w:val="58DB60FA"/>
    <w:multiLevelType w:val="singleLevel"/>
    <w:tmpl w:val="58DB60FA"/>
    <w:lvl w:ilvl="0" w:tentative="0">
      <w:start w:val="2"/>
      <w:numFmt w:val="decimal"/>
      <w:suff w:val="nothing"/>
      <w:lvlText w:val="%1、"/>
      <w:lvlJc w:val="left"/>
    </w:lvl>
  </w:abstractNum>
  <w:abstractNum w:abstractNumId="13">
    <w:nsid w:val="58DB640F"/>
    <w:multiLevelType w:val="singleLevel"/>
    <w:tmpl w:val="58DB640F"/>
    <w:lvl w:ilvl="0" w:tentative="0">
      <w:start w:val="2"/>
      <w:numFmt w:val="decimal"/>
      <w:suff w:val="nothing"/>
      <w:lvlText w:val="%1、"/>
      <w:lvlJc w:val="left"/>
    </w:lvl>
  </w:abstractNum>
  <w:abstractNum w:abstractNumId="14">
    <w:nsid w:val="58DB686D"/>
    <w:multiLevelType w:val="singleLevel"/>
    <w:tmpl w:val="58DB686D"/>
    <w:lvl w:ilvl="0" w:tentative="0">
      <w:start w:val="3"/>
      <w:numFmt w:val="chineseCounting"/>
      <w:suff w:val="nothing"/>
      <w:lvlText w:val="%1、"/>
      <w:lvlJc w:val="left"/>
    </w:lvl>
  </w:abstractNum>
  <w:abstractNum w:abstractNumId="15">
    <w:nsid w:val="58DB68B0"/>
    <w:multiLevelType w:val="singleLevel"/>
    <w:tmpl w:val="58DB68B0"/>
    <w:lvl w:ilvl="0" w:tentative="0">
      <w:start w:val="7"/>
      <w:numFmt w:val="chineseCounting"/>
      <w:suff w:val="nothing"/>
      <w:lvlText w:val="%1、"/>
      <w:lvlJc w:val="left"/>
    </w:lvl>
  </w:abstractNum>
  <w:abstractNum w:abstractNumId="16">
    <w:nsid w:val="593FB334"/>
    <w:multiLevelType w:val="singleLevel"/>
    <w:tmpl w:val="593FB334"/>
    <w:lvl w:ilvl="0" w:tentative="0">
      <w:start w:val="2"/>
      <w:numFmt w:val="decimal"/>
      <w:suff w:val="nothing"/>
      <w:lvlText w:val="（%1）"/>
      <w:lvlJc w:val="left"/>
    </w:lvl>
  </w:abstractNum>
  <w:abstractNum w:abstractNumId="17">
    <w:nsid w:val="595CB619"/>
    <w:multiLevelType w:val="singleLevel"/>
    <w:tmpl w:val="595CB619"/>
    <w:lvl w:ilvl="0" w:tentative="0">
      <w:start w:val="1"/>
      <w:numFmt w:val="decimal"/>
      <w:suff w:val="nothing"/>
      <w:lvlText w:val="（%1）"/>
      <w:lvlJc w:val="left"/>
    </w:lvl>
  </w:abstractNum>
  <w:num w:numId="1">
    <w:abstractNumId w:val="4"/>
  </w:num>
  <w:num w:numId="2">
    <w:abstractNumId w:val="3"/>
  </w:num>
  <w:num w:numId="3">
    <w:abstractNumId w:val="5"/>
  </w:num>
  <w:num w:numId="4">
    <w:abstractNumId w:val="6"/>
  </w:num>
  <w:num w:numId="5">
    <w:abstractNumId w:val="1"/>
  </w:num>
  <w:num w:numId="6">
    <w:abstractNumId w:val="2"/>
  </w:num>
  <w:num w:numId="7">
    <w:abstractNumId w:val="9"/>
  </w:num>
  <w:num w:numId="8">
    <w:abstractNumId w:val="10"/>
  </w:num>
  <w:num w:numId="9">
    <w:abstractNumId w:val="8"/>
  </w:num>
  <w:num w:numId="10">
    <w:abstractNumId w:val="0"/>
  </w:num>
  <w:num w:numId="11">
    <w:abstractNumId w:val="7"/>
  </w:num>
  <w:num w:numId="12">
    <w:abstractNumId w:val="16"/>
  </w:num>
  <w:num w:numId="13">
    <w:abstractNumId w:val="17"/>
  </w:num>
  <w:num w:numId="14">
    <w:abstractNumId w:val="11"/>
  </w:num>
  <w:num w:numId="15">
    <w:abstractNumId w:val="13"/>
  </w:num>
  <w:num w:numId="16">
    <w:abstractNumId w:val="12"/>
  </w:num>
  <w:num w:numId="17">
    <w:abstractNumId w:val="14"/>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2"/>
  <w:bordersDoNotSurroundHeader w:val="0"/>
  <w:bordersDoNotSurroundFooter w:val="0"/>
  <w:documentProtection w:edit="readOnly" w:enforcement="1" w:cryptProviderType="rsaFull" w:cryptAlgorithmClass="hash" w:cryptAlgorithmType="typeAny" w:cryptAlgorithmSid="4" w:cryptSpinCount="0" w:hash="f0l6MNf3XB9sR5Udms3+/Dc3WR0=" w:salt="3dS2LydFxRbYfX09X8b/tQ=="/>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FiZGU4MzRhNDg1YTM5YWIxNzkwOWQzYzJhN2MzY2QifQ=="/>
  </w:docVars>
  <w:rsids>
    <w:rsidRoot w:val="00172A27"/>
    <w:rsid w:val="0000128A"/>
    <w:rsid w:val="000076D5"/>
    <w:rsid w:val="00011C66"/>
    <w:rsid w:val="000137C3"/>
    <w:rsid w:val="00020110"/>
    <w:rsid w:val="0002147A"/>
    <w:rsid w:val="000320FA"/>
    <w:rsid w:val="00041D9D"/>
    <w:rsid w:val="0004349A"/>
    <w:rsid w:val="00062BDD"/>
    <w:rsid w:val="00063946"/>
    <w:rsid w:val="00076413"/>
    <w:rsid w:val="00076DA3"/>
    <w:rsid w:val="00082BE3"/>
    <w:rsid w:val="00094161"/>
    <w:rsid w:val="00097C3A"/>
    <w:rsid w:val="000A0345"/>
    <w:rsid w:val="000B2B61"/>
    <w:rsid w:val="000B7514"/>
    <w:rsid w:val="000C381D"/>
    <w:rsid w:val="000C709B"/>
    <w:rsid w:val="001022BD"/>
    <w:rsid w:val="00111CB0"/>
    <w:rsid w:val="0011201F"/>
    <w:rsid w:val="00123271"/>
    <w:rsid w:val="00123A67"/>
    <w:rsid w:val="00126AEF"/>
    <w:rsid w:val="00141DB2"/>
    <w:rsid w:val="00151007"/>
    <w:rsid w:val="00157F44"/>
    <w:rsid w:val="00172A27"/>
    <w:rsid w:val="00172CD9"/>
    <w:rsid w:val="00190953"/>
    <w:rsid w:val="001939D8"/>
    <w:rsid w:val="001A03D9"/>
    <w:rsid w:val="001A2DD0"/>
    <w:rsid w:val="001C0671"/>
    <w:rsid w:val="001C7C27"/>
    <w:rsid w:val="001D051E"/>
    <w:rsid w:val="001D5600"/>
    <w:rsid w:val="001D787F"/>
    <w:rsid w:val="001E0042"/>
    <w:rsid w:val="001F0A56"/>
    <w:rsid w:val="00211C51"/>
    <w:rsid w:val="002304E4"/>
    <w:rsid w:val="00253F49"/>
    <w:rsid w:val="00260F5E"/>
    <w:rsid w:val="0026528C"/>
    <w:rsid w:val="00275D73"/>
    <w:rsid w:val="0027618C"/>
    <w:rsid w:val="002769E3"/>
    <w:rsid w:val="00283F79"/>
    <w:rsid w:val="002A2E0A"/>
    <w:rsid w:val="002A45CD"/>
    <w:rsid w:val="002A7D62"/>
    <w:rsid w:val="002B48B9"/>
    <w:rsid w:val="002C0490"/>
    <w:rsid w:val="002C2D86"/>
    <w:rsid w:val="002D51C6"/>
    <w:rsid w:val="002E4448"/>
    <w:rsid w:val="002F1682"/>
    <w:rsid w:val="002F3354"/>
    <w:rsid w:val="002F70AB"/>
    <w:rsid w:val="0031068B"/>
    <w:rsid w:val="00324228"/>
    <w:rsid w:val="00326D99"/>
    <w:rsid w:val="00341F09"/>
    <w:rsid w:val="00356EFD"/>
    <w:rsid w:val="003778C2"/>
    <w:rsid w:val="003921D6"/>
    <w:rsid w:val="003A6C5D"/>
    <w:rsid w:val="003B33F1"/>
    <w:rsid w:val="003C060B"/>
    <w:rsid w:val="003E29AC"/>
    <w:rsid w:val="003F20A4"/>
    <w:rsid w:val="0040273F"/>
    <w:rsid w:val="00402AA6"/>
    <w:rsid w:val="00422EA6"/>
    <w:rsid w:val="00425CC6"/>
    <w:rsid w:val="00443A28"/>
    <w:rsid w:val="00446412"/>
    <w:rsid w:val="00451F98"/>
    <w:rsid w:val="004524D3"/>
    <w:rsid w:val="00467E2B"/>
    <w:rsid w:val="00474486"/>
    <w:rsid w:val="004A3257"/>
    <w:rsid w:val="004A4F68"/>
    <w:rsid w:val="004C1FA1"/>
    <w:rsid w:val="004C38AA"/>
    <w:rsid w:val="004C7783"/>
    <w:rsid w:val="004D5C9D"/>
    <w:rsid w:val="004D7497"/>
    <w:rsid w:val="004E0379"/>
    <w:rsid w:val="004E0F0D"/>
    <w:rsid w:val="004E2BB6"/>
    <w:rsid w:val="004E7DCD"/>
    <w:rsid w:val="004F0D6A"/>
    <w:rsid w:val="004F3197"/>
    <w:rsid w:val="00500C41"/>
    <w:rsid w:val="00507C35"/>
    <w:rsid w:val="00510A14"/>
    <w:rsid w:val="00512B25"/>
    <w:rsid w:val="00523AC0"/>
    <w:rsid w:val="005352F9"/>
    <w:rsid w:val="005367D8"/>
    <w:rsid w:val="0055235A"/>
    <w:rsid w:val="00567A15"/>
    <w:rsid w:val="00586281"/>
    <w:rsid w:val="00587DA2"/>
    <w:rsid w:val="00596403"/>
    <w:rsid w:val="005967CE"/>
    <w:rsid w:val="005A1281"/>
    <w:rsid w:val="005B0D03"/>
    <w:rsid w:val="005B6525"/>
    <w:rsid w:val="005B70FE"/>
    <w:rsid w:val="005B73DB"/>
    <w:rsid w:val="005B7EA0"/>
    <w:rsid w:val="005C102F"/>
    <w:rsid w:val="005D543F"/>
    <w:rsid w:val="005D6C8C"/>
    <w:rsid w:val="005E2296"/>
    <w:rsid w:val="005F77EE"/>
    <w:rsid w:val="00601625"/>
    <w:rsid w:val="00604610"/>
    <w:rsid w:val="00613BCC"/>
    <w:rsid w:val="00620F72"/>
    <w:rsid w:val="00631073"/>
    <w:rsid w:val="006342C9"/>
    <w:rsid w:val="00635EC0"/>
    <w:rsid w:val="00643EB6"/>
    <w:rsid w:val="00652753"/>
    <w:rsid w:val="00660345"/>
    <w:rsid w:val="006650ED"/>
    <w:rsid w:val="00675CB2"/>
    <w:rsid w:val="006768FF"/>
    <w:rsid w:val="00685B7D"/>
    <w:rsid w:val="00687425"/>
    <w:rsid w:val="006A0B11"/>
    <w:rsid w:val="006C4BA9"/>
    <w:rsid w:val="006C5065"/>
    <w:rsid w:val="006E0644"/>
    <w:rsid w:val="006E5C40"/>
    <w:rsid w:val="006F61DE"/>
    <w:rsid w:val="00707518"/>
    <w:rsid w:val="00712239"/>
    <w:rsid w:val="00730112"/>
    <w:rsid w:val="007434A4"/>
    <w:rsid w:val="00797647"/>
    <w:rsid w:val="007B3E7D"/>
    <w:rsid w:val="007C1037"/>
    <w:rsid w:val="007C17F1"/>
    <w:rsid w:val="007D351D"/>
    <w:rsid w:val="007E63F1"/>
    <w:rsid w:val="008021BC"/>
    <w:rsid w:val="0081571E"/>
    <w:rsid w:val="00816BF8"/>
    <w:rsid w:val="00820F86"/>
    <w:rsid w:val="00830C91"/>
    <w:rsid w:val="008376AD"/>
    <w:rsid w:val="008477AF"/>
    <w:rsid w:val="008B3954"/>
    <w:rsid w:val="008B6A1A"/>
    <w:rsid w:val="008D31DD"/>
    <w:rsid w:val="008E729D"/>
    <w:rsid w:val="00910C3A"/>
    <w:rsid w:val="00914FBD"/>
    <w:rsid w:val="009155FB"/>
    <w:rsid w:val="00916E80"/>
    <w:rsid w:val="009263DC"/>
    <w:rsid w:val="00945D58"/>
    <w:rsid w:val="009475B7"/>
    <w:rsid w:val="00955CA1"/>
    <w:rsid w:val="00960B95"/>
    <w:rsid w:val="00967C3A"/>
    <w:rsid w:val="00971C36"/>
    <w:rsid w:val="00986B8F"/>
    <w:rsid w:val="00990F30"/>
    <w:rsid w:val="009A31BD"/>
    <w:rsid w:val="009A3A0A"/>
    <w:rsid w:val="009C6578"/>
    <w:rsid w:val="009D2DFD"/>
    <w:rsid w:val="009D6975"/>
    <w:rsid w:val="009D7ABD"/>
    <w:rsid w:val="009E58F9"/>
    <w:rsid w:val="009F481D"/>
    <w:rsid w:val="00A06996"/>
    <w:rsid w:val="00A22E49"/>
    <w:rsid w:val="00A22EE2"/>
    <w:rsid w:val="00A23158"/>
    <w:rsid w:val="00A34547"/>
    <w:rsid w:val="00A3685A"/>
    <w:rsid w:val="00A70F0D"/>
    <w:rsid w:val="00A76B18"/>
    <w:rsid w:val="00A974AE"/>
    <w:rsid w:val="00AA277C"/>
    <w:rsid w:val="00AA5F0A"/>
    <w:rsid w:val="00AB6A07"/>
    <w:rsid w:val="00AD4CE7"/>
    <w:rsid w:val="00AD6140"/>
    <w:rsid w:val="00AF333C"/>
    <w:rsid w:val="00B235E5"/>
    <w:rsid w:val="00B26525"/>
    <w:rsid w:val="00B3447C"/>
    <w:rsid w:val="00B372D5"/>
    <w:rsid w:val="00B50C1E"/>
    <w:rsid w:val="00B573FA"/>
    <w:rsid w:val="00B57ED6"/>
    <w:rsid w:val="00B6124E"/>
    <w:rsid w:val="00B72C8A"/>
    <w:rsid w:val="00BA266A"/>
    <w:rsid w:val="00BB1698"/>
    <w:rsid w:val="00BB16FF"/>
    <w:rsid w:val="00BB2B9D"/>
    <w:rsid w:val="00BB436F"/>
    <w:rsid w:val="00BB6196"/>
    <w:rsid w:val="00BC2AE0"/>
    <w:rsid w:val="00BD0502"/>
    <w:rsid w:val="00BD2C72"/>
    <w:rsid w:val="00BD3417"/>
    <w:rsid w:val="00BD47AF"/>
    <w:rsid w:val="00BE3EB2"/>
    <w:rsid w:val="00BF5284"/>
    <w:rsid w:val="00C03B9D"/>
    <w:rsid w:val="00C1478D"/>
    <w:rsid w:val="00C1616D"/>
    <w:rsid w:val="00C27FBC"/>
    <w:rsid w:val="00C37473"/>
    <w:rsid w:val="00C54B00"/>
    <w:rsid w:val="00C56F6C"/>
    <w:rsid w:val="00C63D6C"/>
    <w:rsid w:val="00C86978"/>
    <w:rsid w:val="00CA62CD"/>
    <w:rsid w:val="00CA6A82"/>
    <w:rsid w:val="00CB0D1A"/>
    <w:rsid w:val="00CE327C"/>
    <w:rsid w:val="00CE3376"/>
    <w:rsid w:val="00CE6A4E"/>
    <w:rsid w:val="00D010D6"/>
    <w:rsid w:val="00D01465"/>
    <w:rsid w:val="00D01CB7"/>
    <w:rsid w:val="00D046D8"/>
    <w:rsid w:val="00D06B3C"/>
    <w:rsid w:val="00D07C0B"/>
    <w:rsid w:val="00D1623B"/>
    <w:rsid w:val="00D16397"/>
    <w:rsid w:val="00D25DB2"/>
    <w:rsid w:val="00D26A87"/>
    <w:rsid w:val="00D30AD3"/>
    <w:rsid w:val="00D31741"/>
    <w:rsid w:val="00D35D6F"/>
    <w:rsid w:val="00D409AD"/>
    <w:rsid w:val="00D4374E"/>
    <w:rsid w:val="00D4663D"/>
    <w:rsid w:val="00D53240"/>
    <w:rsid w:val="00D60CE1"/>
    <w:rsid w:val="00D634B7"/>
    <w:rsid w:val="00D6592D"/>
    <w:rsid w:val="00D80D96"/>
    <w:rsid w:val="00D87706"/>
    <w:rsid w:val="00D87E13"/>
    <w:rsid w:val="00D91631"/>
    <w:rsid w:val="00D934FC"/>
    <w:rsid w:val="00D944AA"/>
    <w:rsid w:val="00D97E29"/>
    <w:rsid w:val="00DA39CA"/>
    <w:rsid w:val="00DA41E6"/>
    <w:rsid w:val="00DA45A9"/>
    <w:rsid w:val="00DB1A29"/>
    <w:rsid w:val="00DB5B6F"/>
    <w:rsid w:val="00DC18D0"/>
    <w:rsid w:val="00DD3F7E"/>
    <w:rsid w:val="00DF1E2A"/>
    <w:rsid w:val="00E07F51"/>
    <w:rsid w:val="00E173FB"/>
    <w:rsid w:val="00E25A98"/>
    <w:rsid w:val="00E31935"/>
    <w:rsid w:val="00E33E89"/>
    <w:rsid w:val="00E35756"/>
    <w:rsid w:val="00E42405"/>
    <w:rsid w:val="00E47C9B"/>
    <w:rsid w:val="00E5187A"/>
    <w:rsid w:val="00E55746"/>
    <w:rsid w:val="00E879AB"/>
    <w:rsid w:val="00E96469"/>
    <w:rsid w:val="00EA3FAD"/>
    <w:rsid w:val="00EB3F9E"/>
    <w:rsid w:val="00EC0FD7"/>
    <w:rsid w:val="00EC4F35"/>
    <w:rsid w:val="00EC7BA4"/>
    <w:rsid w:val="00ED6132"/>
    <w:rsid w:val="00ED747A"/>
    <w:rsid w:val="00EF793E"/>
    <w:rsid w:val="00F06DDF"/>
    <w:rsid w:val="00F13837"/>
    <w:rsid w:val="00F27084"/>
    <w:rsid w:val="00F3538D"/>
    <w:rsid w:val="00F41C96"/>
    <w:rsid w:val="00F43657"/>
    <w:rsid w:val="00F71EE5"/>
    <w:rsid w:val="00F7408E"/>
    <w:rsid w:val="00F8206D"/>
    <w:rsid w:val="00F87BF6"/>
    <w:rsid w:val="00F94F09"/>
    <w:rsid w:val="00F95C9C"/>
    <w:rsid w:val="00FA024F"/>
    <w:rsid w:val="00FA28E8"/>
    <w:rsid w:val="00FA52FA"/>
    <w:rsid w:val="00FC3ACA"/>
    <w:rsid w:val="00FC59C2"/>
    <w:rsid w:val="00FD3524"/>
    <w:rsid w:val="00FF01CB"/>
    <w:rsid w:val="011B3AA5"/>
    <w:rsid w:val="01240E9C"/>
    <w:rsid w:val="012F6AF1"/>
    <w:rsid w:val="01326F80"/>
    <w:rsid w:val="01552F51"/>
    <w:rsid w:val="01554AAB"/>
    <w:rsid w:val="01742E75"/>
    <w:rsid w:val="017B498F"/>
    <w:rsid w:val="019813E5"/>
    <w:rsid w:val="01D511D7"/>
    <w:rsid w:val="02054BFE"/>
    <w:rsid w:val="020F2AF4"/>
    <w:rsid w:val="021D6704"/>
    <w:rsid w:val="02370261"/>
    <w:rsid w:val="023C7C4B"/>
    <w:rsid w:val="024464F7"/>
    <w:rsid w:val="025008C3"/>
    <w:rsid w:val="025E0C22"/>
    <w:rsid w:val="026D3223"/>
    <w:rsid w:val="029307AF"/>
    <w:rsid w:val="02956BA3"/>
    <w:rsid w:val="029C452D"/>
    <w:rsid w:val="02B21FBB"/>
    <w:rsid w:val="02BF64DD"/>
    <w:rsid w:val="02C452A8"/>
    <w:rsid w:val="02C95070"/>
    <w:rsid w:val="02D55EEA"/>
    <w:rsid w:val="02E229A6"/>
    <w:rsid w:val="03152FC7"/>
    <w:rsid w:val="0317318F"/>
    <w:rsid w:val="03211A82"/>
    <w:rsid w:val="0323000A"/>
    <w:rsid w:val="03243FDD"/>
    <w:rsid w:val="0338000A"/>
    <w:rsid w:val="033B0B5F"/>
    <w:rsid w:val="03445C42"/>
    <w:rsid w:val="035007E7"/>
    <w:rsid w:val="035D0E99"/>
    <w:rsid w:val="03627E48"/>
    <w:rsid w:val="03834A85"/>
    <w:rsid w:val="03890A90"/>
    <w:rsid w:val="039163D5"/>
    <w:rsid w:val="03B70D88"/>
    <w:rsid w:val="03C53C3B"/>
    <w:rsid w:val="03E129AE"/>
    <w:rsid w:val="03E85574"/>
    <w:rsid w:val="03F04935"/>
    <w:rsid w:val="03F76D26"/>
    <w:rsid w:val="03FD3ADD"/>
    <w:rsid w:val="04070752"/>
    <w:rsid w:val="040D48F4"/>
    <w:rsid w:val="04186D2F"/>
    <w:rsid w:val="043711FD"/>
    <w:rsid w:val="044A6352"/>
    <w:rsid w:val="04630A35"/>
    <w:rsid w:val="04631139"/>
    <w:rsid w:val="04647AC3"/>
    <w:rsid w:val="046D5D80"/>
    <w:rsid w:val="04784C30"/>
    <w:rsid w:val="04805BD3"/>
    <w:rsid w:val="04853C33"/>
    <w:rsid w:val="04915CCC"/>
    <w:rsid w:val="049F212E"/>
    <w:rsid w:val="04AD4DB7"/>
    <w:rsid w:val="04AF23ED"/>
    <w:rsid w:val="04D20042"/>
    <w:rsid w:val="04D914A5"/>
    <w:rsid w:val="04E72377"/>
    <w:rsid w:val="051508B6"/>
    <w:rsid w:val="05244722"/>
    <w:rsid w:val="05324818"/>
    <w:rsid w:val="053B221F"/>
    <w:rsid w:val="053C512E"/>
    <w:rsid w:val="054508F8"/>
    <w:rsid w:val="055643A0"/>
    <w:rsid w:val="05625EF5"/>
    <w:rsid w:val="05664B26"/>
    <w:rsid w:val="05696B2F"/>
    <w:rsid w:val="05727F5C"/>
    <w:rsid w:val="05857B6F"/>
    <w:rsid w:val="058B2CC9"/>
    <w:rsid w:val="059A77B7"/>
    <w:rsid w:val="05AD7DE1"/>
    <w:rsid w:val="05B305D3"/>
    <w:rsid w:val="05B83BFF"/>
    <w:rsid w:val="05BE2CB1"/>
    <w:rsid w:val="05C05ED9"/>
    <w:rsid w:val="05E07EC1"/>
    <w:rsid w:val="05E41A4E"/>
    <w:rsid w:val="05E65D44"/>
    <w:rsid w:val="05FA3219"/>
    <w:rsid w:val="0600500D"/>
    <w:rsid w:val="060B4371"/>
    <w:rsid w:val="06662719"/>
    <w:rsid w:val="0686267D"/>
    <w:rsid w:val="06CE0008"/>
    <w:rsid w:val="06D610B5"/>
    <w:rsid w:val="06D870D9"/>
    <w:rsid w:val="06E425C9"/>
    <w:rsid w:val="06E80008"/>
    <w:rsid w:val="06ED4932"/>
    <w:rsid w:val="06EE139B"/>
    <w:rsid w:val="06F24A54"/>
    <w:rsid w:val="06F92C1E"/>
    <w:rsid w:val="07051E5C"/>
    <w:rsid w:val="07055105"/>
    <w:rsid w:val="070C28DE"/>
    <w:rsid w:val="073440B4"/>
    <w:rsid w:val="07442078"/>
    <w:rsid w:val="0748512E"/>
    <w:rsid w:val="079846B1"/>
    <w:rsid w:val="079D5F73"/>
    <w:rsid w:val="07AB073D"/>
    <w:rsid w:val="07AB2D08"/>
    <w:rsid w:val="07B27AE8"/>
    <w:rsid w:val="07C3629F"/>
    <w:rsid w:val="07C74A44"/>
    <w:rsid w:val="07DD00E3"/>
    <w:rsid w:val="08037AB1"/>
    <w:rsid w:val="08135AB6"/>
    <w:rsid w:val="08193CAD"/>
    <w:rsid w:val="082240B7"/>
    <w:rsid w:val="08233525"/>
    <w:rsid w:val="083F0F18"/>
    <w:rsid w:val="086A4FBA"/>
    <w:rsid w:val="086B69B4"/>
    <w:rsid w:val="08715531"/>
    <w:rsid w:val="089D322D"/>
    <w:rsid w:val="08B45776"/>
    <w:rsid w:val="08B57863"/>
    <w:rsid w:val="08B74776"/>
    <w:rsid w:val="08B75BD3"/>
    <w:rsid w:val="08FD60DC"/>
    <w:rsid w:val="092A1566"/>
    <w:rsid w:val="09523172"/>
    <w:rsid w:val="096360CB"/>
    <w:rsid w:val="09667093"/>
    <w:rsid w:val="096E6E2B"/>
    <w:rsid w:val="097570C0"/>
    <w:rsid w:val="098D71EC"/>
    <w:rsid w:val="099A055F"/>
    <w:rsid w:val="09A95BA0"/>
    <w:rsid w:val="09AB05A5"/>
    <w:rsid w:val="09C701D5"/>
    <w:rsid w:val="09D57B93"/>
    <w:rsid w:val="09DD7AB0"/>
    <w:rsid w:val="09E10B06"/>
    <w:rsid w:val="09E671F6"/>
    <w:rsid w:val="0A075373"/>
    <w:rsid w:val="0A453A99"/>
    <w:rsid w:val="0A570AB1"/>
    <w:rsid w:val="0A5A05AB"/>
    <w:rsid w:val="0A5E2DE4"/>
    <w:rsid w:val="0A6726DB"/>
    <w:rsid w:val="0A741E6A"/>
    <w:rsid w:val="0A8B15CC"/>
    <w:rsid w:val="0A8E6A69"/>
    <w:rsid w:val="0A9357F1"/>
    <w:rsid w:val="0AA13C03"/>
    <w:rsid w:val="0AA51274"/>
    <w:rsid w:val="0AA71B96"/>
    <w:rsid w:val="0AAD68A2"/>
    <w:rsid w:val="0ABF1ED2"/>
    <w:rsid w:val="0AEE33EC"/>
    <w:rsid w:val="0AFC4AF3"/>
    <w:rsid w:val="0B0137A9"/>
    <w:rsid w:val="0B050F7D"/>
    <w:rsid w:val="0B0B4D36"/>
    <w:rsid w:val="0B2823DD"/>
    <w:rsid w:val="0B310B66"/>
    <w:rsid w:val="0B3529AC"/>
    <w:rsid w:val="0B421BA4"/>
    <w:rsid w:val="0B54502F"/>
    <w:rsid w:val="0B5D1426"/>
    <w:rsid w:val="0B687241"/>
    <w:rsid w:val="0B6D34AD"/>
    <w:rsid w:val="0B772A48"/>
    <w:rsid w:val="0B804A49"/>
    <w:rsid w:val="0B8A482D"/>
    <w:rsid w:val="0B8D4EC0"/>
    <w:rsid w:val="0BAF57B7"/>
    <w:rsid w:val="0BE65DF4"/>
    <w:rsid w:val="0C367A2F"/>
    <w:rsid w:val="0C370A3F"/>
    <w:rsid w:val="0C467716"/>
    <w:rsid w:val="0C470B6D"/>
    <w:rsid w:val="0C581607"/>
    <w:rsid w:val="0C6F252D"/>
    <w:rsid w:val="0C927EE5"/>
    <w:rsid w:val="0C963376"/>
    <w:rsid w:val="0C9F4BFD"/>
    <w:rsid w:val="0CC63F00"/>
    <w:rsid w:val="0CE1583A"/>
    <w:rsid w:val="0CE1639D"/>
    <w:rsid w:val="0CE57E5A"/>
    <w:rsid w:val="0D125F29"/>
    <w:rsid w:val="0D35353B"/>
    <w:rsid w:val="0D36137B"/>
    <w:rsid w:val="0D3D4A35"/>
    <w:rsid w:val="0D3D5CC6"/>
    <w:rsid w:val="0D553108"/>
    <w:rsid w:val="0D582D5A"/>
    <w:rsid w:val="0D740376"/>
    <w:rsid w:val="0D895860"/>
    <w:rsid w:val="0D8F0EF3"/>
    <w:rsid w:val="0D9316D5"/>
    <w:rsid w:val="0D9D604E"/>
    <w:rsid w:val="0D9D6805"/>
    <w:rsid w:val="0DA16476"/>
    <w:rsid w:val="0DA5698B"/>
    <w:rsid w:val="0DAA1A8E"/>
    <w:rsid w:val="0DAF1F1A"/>
    <w:rsid w:val="0DB35B67"/>
    <w:rsid w:val="0DB70DF8"/>
    <w:rsid w:val="0DD31038"/>
    <w:rsid w:val="0DDB092F"/>
    <w:rsid w:val="0DEB5AA2"/>
    <w:rsid w:val="0DF27FF8"/>
    <w:rsid w:val="0DF76096"/>
    <w:rsid w:val="0DFE45B9"/>
    <w:rsid w:val="0E0300AB"/>
    <w:rsid w:val="0E1734A6"/>
    <w:rsid w:val="0E201144"/>
    <w:rsid w:val="0E252C04"/>
    <w:rsid w:val="0E2C508F"/>
    <w:rsid w:val="0E467439"/>
    <w:rsid w:val="0E577129"/>
    <w:rsid w:val="0E7219A9"/>
    <w:rsid w:val="0E76608F"/>
    <w:rsid w:val="0E7C06B0"/>
    <w:rsid w:val="0E827A1A"/>
    <w:rsid w:val="0EB50867"/>
    <w:rsid w:val="0EC979ED"/>
    <w:rsid w:val="0ECA7307"/>
    <w:rsid w:val="0ECF1787"/>
    <w:rsid w:val="0ED9579C"/>
    <w:rsid w:val="0EDE5721"/>
    <w:rsid w:val="0EDF091F"/>
    <w:rsid w:val="0EE12346"/>
    <w:rsid w:val="0EEE0111"/>
    <w:rsid w:val="0EF624E1"/>
    <w:rsid w:val="0EFB7A9C"/>
    <w:rsid w:val="0EFF504D"/>
    <w:rsid w:val="0F4E35BB"/>
    <w:rsid w:val="0F4E618A"/>
    <w:rsid w:val="0F5B3A48"/>
    <w:rsid w:val="0F612E18"/>
    <w:rsid w:val="0F72446A"/>
    <w:rsid w:val="0F740A37"/>
    <w:rsid w:val="0F76748F"/>
    <w:rsid w:val="0F834E09"/>
    <w:rsid w:val="0F994075"/>
    <w:rsid w:val="0FB96E37"/>
    <w:rsid w:val="0FD704C8"/>
    <w:rsid w:val="0FDD060B"/>
    <w:rsid w:val="0FF46997"/>
    <w:rsid w:val="101F39C3"/>
    <w:rsid w:val="102257DE"/>
    <w:rsid w:val="10365C69"/>
    <w:rsid w:val="103F5375"/>
    <w:rsid w:val="10414255"/>
    <w:rsid w:val="10676D7E"/>
    <w:rsid w:val="107727C4"/>
    <w:rsid w:val="10905CFA"/>
    <w:rsid w:val="10931BA2"/>
    <w:rsid w:val="109C7609"/>
    <w:rsid w:val="10B915CF"/>
    <w:rsid w:val="10DF38DB"/>
    <w:rsid w:val="10F66AD9"/>
    <w:rsid w:val="10F949BF"/>
    <w:rsid w:val="112F592E"/>
    <w:rsid w:val="11437B92"/>
    <w:rsid w:val="1155508F"/>
    <w:rsid w:val="11787185"/>
    <w:rsid w:val="11823EC9"/>
    <w:rsid w:val="1199664E"/>
    <w:rsid w:val="11A07BD5"/>
    <w:rsid w:val="11B13995"/>
    <w:rsid w:val="11C268F4"/>
    <w:rsid w:val="11D653F7"/>
    <w:rsid w:val="11E72CB8"/>
    <w:rsid w:val="11EE329F"/>
    <w:rsid w:val="12070B87"/>
    <w:rsid w:val="12262AFC"/>
    <w:rsid w:val="12371157"/>
    <w:rsid w:val="123A77EA"/>
    <w:rsid w:val="123C7714"/>
    <w:rsid w:val="12450324"/>
    <w:rsid w:val="125C02DD"/>
    <w:rsid w:val="127000E0"/>
    <w:rsid w:val="12710E9C"/>
    <w:rsid w:val="12816160"/>
    <w:rsid w:val="128D3383"/>
    <w:rsid w:val="12900C1A"/>
    <w:rsid w:val="12971F49"/>
    <w:rsid w:val="12B04C5F"/>
    <w:rsid w:val="12B93EE0"/>
    <w:rsid w:val="12C2523D"/>
    <w:rsid w:val="12C603F4"/>
    <w:rsid w:val="12C67D0A"/>
    <w:rsid w:val="12C9527E"/>
    <w:rsid w:val="12D63AC6"/>
    <w:rsid w:val="12DF0826"/>
    <w:rsid w:val="12EC1885"/>
    <w:rsid w:val="12F3670C"/>
    <w:rsid w:val="130076B0"/>
    <w:rsid w:val="13011544"/>
    <w:rsid w:val="130C2CA4"/>
    <w:rsid w:val="130E62CC"/>
    <w:rsid w:val="131224D3"/>
    <w:rsid w:val="131B39B9"/>
    <w:rsid w:val="131F255E"/>
    <w:rsid w:val="131F5F1E"/>
    <w:rsid w:val="13214E96"/>
    <w:rsid w:val="1332029F"/>
    <w:rsid w:val="1360599E"/>
    <w:rsid w:val="136B5215"/>
    <w:rsid w:val="137140A7"/>
    <w:rsid w:val="137A7C19"/>
    <w:rsid w:val="137C5ECD"/>
    <w:rsid w:val="13837595"/>
    <w:rsid w:val="138F691D"/>
    <w:rsid w:val="139B5716"/>
    <w:rsid w:val="13A02D2C"/>
    <w:rsid w:val="13A55387"/>
    <w:rsid w:val="13EB18C7"/>
    <w:rsid w:val="14127428"/>
    <w:rsid w:val="14271D03"/>
    <w:rsid w:val="142F6C43"/>
    <w:rsid w:val="14381330"/>
    <w:rsid w:val="143E36CE"/>
    <w:rsid w:val="143E50B8"/>
    <w:rsid w:val="14486928"/>
    <w:rsid w:val="145144DD"/>
    <w:rsid w:val="14524EC9"/>
    <w:rsid w:val="14530688"/>
    <w:rsid w:val="1460685B"/>
    <w:rsid w:val="14636456"/>
    <w:rsid w:val="146C4557"/>
    <w:rsid w:val="147031DB"/>
    <w:rsid w:val="14A764CD"/>
    <w:rsid w:val="14EC340D"/>
    <w:rsid w:val="14EE4765"/>
    <w:rsid w:val="15003629"/>
    <w:rsid w:val="15030D7C"/>
    <w:rsid w:val="15166F42"/>
    <w:rsid w:val="154F349F"/>
    <w:rsid w:val="155755DB"/>
    <w:rsid w:val="155C0C5E"/>
    <w:rsid w:val="156264EB"/>
    <w:rsid w:val="15692549"/>
    <w:rsid w:val="156A0C6F"/>
    <w:rsid w:val="156F54C4"/>
    <w:rsid w:val="157C504C"/>
    <w:rsid w:val="157D2790"/>
    <w:rsid w:val="158A7C80"/>
    <w:rsid w:val="15A716CB"/>
    <w:rsid w:val="15B96B1E"/>
    <w:rsid w:val="15B97253"/>
    <w:rsid w:val="15CA6102"/>
    <w:rsid w:val="15DF669E"/>
    <w:rsid w:val="15ED129F"/>
    <w:rsid w:val="15F1161D"/>
    <w:rsid w:val="160353BF"/>
    <w:rsid w:val="16175AA1"/>
    <w:rsid w:val="161C2AE8"/>
    <w:rsid w:val="16364F9B"/>
    <w:rsid w:val="16392D2C"/>
    <w:rsid w:val="16467BBB"/>
    <w:rsid w:val="164B2A82"/>
    <w:rsid w:val="16BA4105"/>
    <w:rsid w:val="16D331EA"/>
    <w:rsid w:val="16DA20B6"/>
    <w:rsid w:val="16EE278C"/>
    <w:rsid w:val="16FF0BDD"/>
    <w:rsid w:val="17185936"/>
    <w:rsid w:val="17232F02"/>
    <w:rsid w:val="172963A0"/>
    <w:rsid w:val="1737274E"/>
    <w:rsid w:val="17381BB8"/>
    <w:rsid w:val="17604266"/>
    <w:rsid w:val="176254C7"/>
    <w:rsid w:val="176B4A92"/>
    <w:rsid w:val="177C7BEE"/>
    <w:rsid w:val="1785658A"/>
    <w:rsid w:val="17B2302E"/>
    <w:rsid w:val="17B8251B"/>
    <w:rsid w:val="17C6633C"/>
    <w:rsid w:val="17CF2F41"/>
    <w:rsid w:val="17F20B54"/>
    <w:rsid w:val="18043658"/>
    <w:rsid w:val="181141F9"/>
    <w:rsid w:val="181D16AF"/>
    <w:rsid w:val="18383E4B"/>
    <w:rsid w:val="183B5E80"/>
    <w:rsid w:val="18417606"/>
    <w:rsid w:val="185136A5"/>
    <w:rsid w:val="185679C1"/>
    <w:rsid w:val="18675C52"/>
    <w:rsid w:val="186A5E02"/>
    <w:rsid w:val="186B606C"/>
    <w:rsid w:val="18800BFD"/>
    <w:rsid w:val="1880142B"/>
    <w:rsid w:val="18832B5E"/>
    <w:rsid w:val="18862E38"/>
    <w:rsid w:val="188C178C"/>
    <w:rsid w:val="18954E2A"/>
    <w:rsid w:val="18955C38"/>
    <w:rsid w:val="18A33400"/>
    <w:rsid w:val="18A62E4D"/>
    <w:rsid w:val="18AD2E28"/>
    <w:rsid w:val="18BC7E5B"/>
    <w:rsid w:val="18E63B17"/>
    <w:rsid w:val="18EB4A4A"/>
    <w:rsid w:val="1904111D"/>
    <w:rsid w:val="1905604B"/>
    <w:rsid w:val="190C6BF0"/>
    <w:rsid w:val="191055A0"/>
    <w:rsid w:val="19385815"/>
    <w:rsid w:val="193D246F"/>
    <w:rsid w:val="193E2DCB"/>
    <w:rsid w:val="1960709A"/>
    <w:rsid w:val="19B14225"/>
    <w:rsid w:val="19B47B74"/>
    <w:rsid w:val="19CE160F"/>
    <w:rsid w:val="1A002CDD"/>
    <w:rsid w:val="1A005B74"/>
    <w:rsid w:val="1A1062AD"/>
    <w:rsid w:val="1A397306"/>
    <w:rsid w:val="1A444F99"/>
    <w:rsid w:val="1A454225"/>
    <w:rsid w:val="1A460F9A"/>
    <w:rsid w:val="1A562F6A"/>
    <w:rsid w:val="1A5B149D"/>
    <w:rsid w:val="1A60501A"/>
    <w:rsid w:val="1A606D71"/>
    <w:rsid w:val="1A8C3123"/>
    <w:rsid w:val="1A95622C"/>
    <w:rsid w:val="1A970527"/>
    <w:rsid w:val="1A9D13F5"/>
    <w:rsid w:val="1ABA44D3"/>
    <w:rsid w:val="1AC40A4B"/>
    <w:rsid w:val="1AC576F7"/>
    <w:rsid w:val="1AE20591"/>
    <w:rsid w:val="1B2A15ED"/>
    <w:rsid w:val="1B35340D"/>
    <w:rsid w:val="1B526160"/>
    <w:rsid w:val="1B5301B1"/>
    <w:rsid w:val="1B5A57C3"/>
    <w:rsid w:val="1B6140E1"/>
    <w:rsid w:val="1B62178D"/>
    <w:rsid w:val="1B6F7F29"/>
    <w:rsid w:val="1B742A48"/>
    <w:rsid w:val="1B8340E7"/>
    <w:rsid w:val="1B860996"/>
    <w:rsid w:val="1BAB7CCE"/>
    <w:rsid w:val="1BB61597"/>
    <w:rsid w:val="1BCD2691"/>
    <w:rsid w:val="1BDF2A68"/>
    <w:rsid w:val="1BF446D7"/>
    <w:rsid w:val="1BF44B3A"/>
    <w:rsid w:val="1C024B34"/>
    <w:rsid w:val="1C135551"/>
    <w:rsid w:val="1C1E586D"/>
    <w:rsid w:val="1C2925D7"/>
    <w:rsid w:val="1C314B5A"/>
    <w:rsid w:val="1C48315C"/>
    <w:rsid w:val="1C667844"/>
    <w:rsid w:val="1C780DC8"/>
    <w:rsid w:val="1C7B6B94"/>
    <w:rsid w:val="1C881B0F"/>
    <w:rsid w:val="1C8D2C07"/>
    <w:rsid w:val="1C951651"/>
    <w:rsid w:val="1CA610F3"/>
    <w:rsid w:val="1CA70256"/>
    <w:rsid w:val="1CB12B30"/>
    <w:rsid w:val="1CB5540A"/>
    <w:rsid w:val="1CB93C43"/>
    <w:rsid w:val="1CBE5C38"/>
    <w:rsid w:val="1CD50E53"/>
    <w:rsid w:val="1CD70A79"/>
    <w:rsid w:val="1CDE2E8A"/>
    <w:rsid w:val="1CE3382D"/>
    <w:rsid w:val="1CE34840"/>
    <w:rsid w:val="1CE578F5"/>
    <w:rsid w:val="1CE6227F"/>
    <w:rsid w:val="1CEA477D"/>
    <w:rsid w:val="1D032C7E"/>
    <w:rsid w:val="1D156318"/>
    <w:rsid w:val="1D1A669A"/>
    <w:rsid w:val="1D2F0B5F"/>
    <w:rsid w:val="1D3D1F24"/>
    <w:rsid w:val="1D425D14"/>
    <w:rsid w:val="1D4C152D"/>
    <w:rsid w:val="1D541CE3"/>
    <w:rsid w:val="1D5F732F"/>
    <w:rsid w:val="1DA03868"/>
    <w:rsid w:val="1DA65F73"/>
    <w:rsid w:val="1DA86679"/>
    <w:rsid w:val="1DCC647F"/>
    <w:rsid w:val="1DEF6F78"/>
    <w:rsid w:val="1E09025D"/>
    <w:rsid w:val="1E0B0B9D"/>
    <w:rsid w:val="1E19308B"/>
    <w:rsid w:val="1E1F115B"/>
    <w:rsid w:val="1E277230"/>
    <w:rsid w:val="1E2C6402"/>
    <w:rsid w:val="1E340060"/>
    <w:rsid w:val="1E7C0B46"/>
    <w:rsid w:val="1E930EEC"/>
    <w:rsid w:val="1EAB60F4"/>
    <w:rsid w:val="1EAC1F05"/>
    <w:rsid w:val="1EC05C88"/>
    <w:rsid w:val="1ECB1A02"/>
    <w:rsid w:val="1EDC7E48"/>
    <w:rsid w:val="1EE61F3B"/>
    <w:rsid w:val="1EF47091"/>
    <w:rsid w:val="1F353518"/>
    <w:rsid w:val="1F3C21CD"/>
    <w:rsid w:val="1F4246A9"/>
    <w:rsid w:val="1F4F7D4D"/>
    <w:rsid w:val="1F5763BB"/>
    <w:rsid w:val="1F67589F"/>
    <w:rsid w:val="1F6E32A0"/>
    <w:rsid w:val="1F9648B1"/>
    <w:rsid w:val="1F9F595B"/>
    <w:rsid w:val="1FD04138"/>
    <w:rsid w:val="1FF30B15"/>
    <w:rsid w:val="1FFD3CF5"/>
    <w:rsid w:val="20063150"/>
    <w:rsid w:val="200F0B43"/>
    <w:rsid w:val="2033133E"/>
    <w:rsid w:val="2039529F"/>
    <w:rsid w:val="20482782"/>
    <w:rsid w:val="205B38CC"/>
    <w:rsid w:val="206066B3"/>
    <w:rsid w:val="20947EF1"/>
    <w:rsid w:val="209757BB"/>
    <w:rsid w:val="20983C8D"/>
    <w:rsid w:val="20AE68C5"/>
    <w:rsid w:val="20BD52D8"/>
    <w:rsid w:val="20CD2BCE"/>
    <w:rsid w:val="20D74F87"/>
    <w:rsid w:val="20DC771D"/>
    <w:rsid w:val="20DD444C"/>
    <w:rsid w:val="20FB1FA1"/>
    <w:rsid w:val="21061C69"/>
    <w:rsid w:val="21110DC5"/>
    <w:rsid w:val="211456C6"/>
    <w:rsid w:val="211D51F5"/>
    <w:rsid w:val="213E2C57"/>
    <w:rsid w:val="21743712"/>
    <w:rsid w:val="219A525F"/>
    <w:rsid w:val="21A329CA"/>
    <w:rsid w:val="21B67162"/>
    <w:rsid w:val="21BE22CB"/>
    <w:rsid w:val="21C97638"/>
    <w:rsid w:val="21ED4763"/>
    <w:rsid w:val="21F42BC1"/>
    <w:rsid w:val="21F46927"/>
    <w:rsid w:val="22022DCA"/>
    <w:rsid w:val="220F745F"/>
    <w:rsid w:val="222641B2"/>
    <w:rsid w:val="2247668D"/>
    <w:rsid w:val="226E45A6"/>
    <w:rsid w:val="22703116"/>
    <w:rsid w:val="22766878"/>
    <w:rsid w:val="229575A3"/>
    <w:rsid w:val="229E2B2D"/>
    <w:rsid w:val="22ED59C6"/>
    <w:rsid w:val="22EF1AD2"/>
    <w:rsid w:val="22F84534"/>
    <w:rsid w:val="2327517B"/>
    <w:rsid w:val="23285391"/>
    <w:rsid w:val="234C5294"/>
    <w:rsid w:val="23607C96"/>
    <w:rsid w:val="23623AD5"/>
    <w:rsid w:val="236424EE"/>
    <w:rsid w:val="236814BC"/>
    <w:rsid w:val="23780AF0"/>
    <w:rsid w:val="23923E7C"/>
    <w:rsid w:val="2393748F"/>
    <w:rsid w:val="23A947FE"/>
    <w:rsid w:val="23B6715B"/>
    <w:rsid w:val="23D44DC4"/>
    <w:rsid w:val="23E40A13"/>
    <w:rsid w:val="23E80503"/>
    <w:rsid w:val="23E84D47"/>
    <w:rsid w:val="24131EB9"/>
    <w:rsid w:val="241E6313"/>
    <w:rsid w:val="24352285"/>
    <w:rsid w:val="24423917"/>
    <w:rsid w:val="24516187"/>
    <w:rsid w:val="247D4E1C"/>
    <w:rsid w:val="2483023D"/>
    <w:rsid w:val="248B4780"/>
    <w:rsid w:val="249B610B"/>
    <w:rsid w:val="24B623B0"/>
    <w:rsid w:val="24B64303"/>
    <w:rsid w:val="24BA6E5E"/>
    <w:rsid w:val="24D05F43"/>
    <w:rsid w:val="24FD225A"/>
    <w:rsid w:val="251172E4"/>
    <w:rsid w:val="251D683A"/>
    <w:rsid w:val="25220DDB"/>
    <w:rsid w:val="252217F3"/>
    <w:rsid w:val="252C08C4"/>
    <w:rsid w:val="2552693C"/>
    <w:rsid w:val="255D6CCF"/>
    <w:rsid w:val="257C597B"/>
    <w:rsid w:val="25997FCE"/>
    <w:rsid w:val="259F1087"/>
    <w:rsid w:val="25B162EA"/>
    <w:rsid w:val="25B270A9"/>
    <w:rsid w:val="25C26B32"/>
    <w:rsid w:val="25C8309C"/>
    <w:rsid w:val="25D16D75"/>
    <w:rsid w:val="25E627DD"/>
    <w:rsid w:val="260405B9"/>
    <w:rsid w:val="260C5E8C"/>
    <w:rsid w:val="260F3AF0"/>
    <w:rsid w:val="262C1331"/>
    <w:rsid w:val="26441E0E"/>
    <w:rsid w:val="26490113"/>
    <w:rsid w:val="26606A77"/>
    <w:rsid w:val="2661459D"/>
    <w:rsid w:val="266F3533"/>
    <w:rsid w:val="267C17D4"/>
    <w:rsid w:val="26A84A52"/>
    <w:rsid w:val="26CF22BB"/>
    <w:rsid w:val="26DB60FD"/>
    <w:rsid w:val="26E60308"/>
    <w:rsid w:val="26EC1A97"/>
    <w:rsid w:val="26FA1EC1"/>
    <w:rsid w:val="26FC2B5C"/>
    <w:rsid w:val="271A6671"/>
    <w:rsid w:val="272538F9"/>
    <w:rsid w:val="27547C5E"/>
    <w:rsid w:val="27890DBD"/>
    <w:rsid w:val="27A830DE"/>
    <w:rsid w:val="27AA237D"/>
    <w:rsid w:val="27B144F2"/>
    <w:rsid w:val="27BB1694"/>
    <w:rsid w:val="27C81BF4"/>
    <w:rsid w:val="27D515EB"/>
    <w:rsid w:val="27DD6580"/>
    <w:rsid w:val="28102E9F"/>
    <w:rsid w:val="283A36D2"/>
    <w:rsid w:val="283C2BCC"/>
    <w:rsid w:val="2843542F"/>
    <w:rsid w:val="288B091E"/>
    <w:rsid w:val="288E7780"/>
    <w:rsid w:val="28AB4E6E"/>
    <w:rsid w:val="28B14B1E"/>
    <w:rsid w:val="28C16F41"/>
    <w:rsid w:val="28CA5DA6"/>
    <w:rsid w:val="28DA1F8B"/>
    <w:rsid w:val="28E277F3"/>
    <w:rsid w:val="28E35B89"/>
    <w:rsid w:val="28EF0DD1"/>
    <w:rsid w:val="29061364"/>
    <w:rsid w:val="290B0ADA"/>
    <w:rsid w:val="292159AE"/>
    <w:rsid w:val="293335EE"/>
    <w:rsid w:val="293F408B"/>
    <w:rsid w:val="29474B71"/>
    <w:rsid w:val="29666F8A"/>
    <w:rsid w:val="29717415"/>
    <w:rsid w:val="2988673D"/>
    <w:rsid w:val="29A1554B"/>
    <w:rsid w:val="29A30A29"/>
    <w:rsid w:val="29A3251B"/>
    <w:rsid w:val="29BA1E29"/>
    <w:rsid w:val="29C83FA3"/>
    <w:rsid w:val="29D7363B"/>
    <w:rsid w:val="29E25D55"/>
    <w:rsid w:val="29E66F7F"/>
    <w:rsid w:val="29E87901"/>
    <w:rsid w:val="29FC0BD8"/>
    <w:rsid w:val="2A1C6ED5"/>
    <w:rsid w:val="2A50295E"/>
    <w:rsid w:val="2A772C2E"/>
    <w:rsid w:val="2A78682C"/>
    <w:rsid w:val="2A871CB7"/>
    <w:rsid w:val="2A9A5842"/>
    <w:rsid w:val="2AEA0053"/>
    <w:rsid w:val="2AEF3A87"/>
    <w:rsid w:val="2B0A0C70"/>
    <w:rsid w:val="2B0D39F1"/>
    <w:rsid w:val="2B3A7BE0"/>
    <w:rsid w:val="2B470AFD"/>
    <w:rsid w:val="2B6A7CE9"/>
    <w:rsid w:val="2B6D2161"/>
    <w:rsid w:val="2B934B7D"/>
    <w:rsid w:val="2B9B40A4"/>
    <w:rsid w:val="2BB91143"/>
    <w:rsid w:val="2BBD4024"/>
    <w:rsid w:val="2BC96E6C"/>
    <w:rsid w:val="2BDE21B0"/>
    <w:rsid w:val="2BE43540"/>
    <w:rsid w:val="2BEF4F80"/>
    <w:rsid w:val="2BF832AE"/>
    <w:rsid w:val="2BFC3716"/>
    <w:rsid w:val="2C100250"/>
    <w:rsid w:val="2C210C50"/>
    <w:rsid w:val="2C454AFB"/>
    <w:rsid w:val="2C4627CA"/>
    <w:rsid w:val="2C482126"/>
    <w:rsid w:val="2C4C508B"/>
    <w:rsid w:val="2C6C1989"/>
    <w:rsid w:val="2C6F0AC1"/>
    <w:rsid w:val="2C7762A8"/>
    <w:rsid w:val="2C8769DA"/>
    <w:rsid w:val="2CA401FF"/>
    <w:rsid w:val="2CA83737"/>
    <w:rsid w:val="2CB5308C"/>
    <w:rsid w:val="2CB816AA"/>
    <w:rsid w:val="2CD13F96"/>
    <w:rsid w:val="2CD41E16"/>
    <w:rsid w:val="2CE058E0"/>
    <w:rsid w:val="2CFD3520"/>
    <w:rsid w:val="2D017170"/>
    <w:rsid w:val="2D157BF5"/>
    <w:rsid w:val="2D16471D"/>
    <w:rsid w:val="2D2616DF"/>
    <w:rsid w:val="2D3043F4"/>
    <w:rsid w:val="2D4B45A1"/>
    <w:rsid w:val="2D92017B"/>
    <w:rsid w:val="2DB85208"/>
    <w:rsid w:val="2DCB1063"/>
    <w:rsid w:val="2DDE3975"/>
    <w:rsid w:val="2DEB1A74"/>
    <w:rsid w:val="2E0439C0"/>
    <w:rsid w:val="2E2C776F"/>
    <w:rsid w:val="2E393065"/>
    <w:rsid w:val="2E466597"/>
    <w:rsid w:val="2E471AA7"/>
    <w:rsid w:val="2E4C5680"/>
    <w:rsid w:val="2E50117F"/>
    <w:rsid w:val="2E6722C1"/>
    <w:rsid w:val="2E830C58"/>
    <w:rsid w:val="2E883FEC"/>
    <w:rsid w:val="2E9C7C7F"/>
    <w:rsid w:val="2EB2575B"/>
    <w:rsid w:val="2ECD59AB"/>
    <w:rsid w:val="2ED54867"/>
    <w:rsid w:val="2EEE230B"/>
    <w:rsid w:val="2EFE2F60"/>
    <w:rsid w:val="2F0B43B3"/>
    <w:rsid w:val="2F2A46BA"/>
    <w:rsid w:val="2F2B41D9"/>
    <w:rsid w:val="2F3E3A8C"/>
    <w:rsid w:val="2F416A85"/>
    <w:rsid w:val="2F455096"/>
    <w:rsid w:val="2F486FE5"/>
    <w:rsid w:val="2F54530B"/>
    <w:rsid w:val="2F656EAC"/>
    <w:rsid w:val="2F9910A3"/>
    <w:rsid w:val="2FB87712"/>
    <w:rsid w:val="2FC01D49"/>
    <w:rsid w:val="2FC92420"/>
    <w:rsid w:val="2FCA4F61"/>
    <w:rsid w:val="2FD444E7"/>
    <w:rsid w:val="2FD66B45"/>
    <w:rsid w:val="304E1EC9"/>
    <w:rsid w:val="306241D9"/>
    <w:rsid w:val="30684DFA"/>
    <w:rsid w:val="307A24E3"/>
    <w:rsid w:val="308747DB"/>
    <w:rsid w:val="30A1289E"/>
    <w:rsid w:val="30B71989"/>
    <w:rsid w:val="30CE0767"/>
    <w:rsid w:val="30D11CC5"/>
    <w:rsid w:val="30F92645"/>
    <w:rsid w:val="313C0B7E"/>
    <w:rsid w:val="31670730"/>
    <w:rsid w:val="316A5AD3"/>
    <w:rsid w:val="316E523F"/>
    <w:rsid w:val="31975CF2"/>
    <w:rsid w:val="319F141A"/>
    <w:rsid w:val="31B216B5"/>
    <w:rsid w:val="31C252D0"/>
    <w:rsid w:val="31D410E5"/>
    <w:rsid w:val="320472F3"/>
    <w:rsid w:val="321B5F48"/>
    <w:rsid w:val="32261405"/>
    <w:rsid w:val="322A33E1"/>
    <w:rsid w:val="32530E78"/>
    <w:rsid w:val="32650F71"/>
    <w:rsid w:val="32695606"/>
    <w:rsid w:val="32904D84"/>
    <w:rsid w:val="32997FE8"/>
    <w:rsid w:val="32CC75C4"/>
    <w:rsid w:val="330A1DEE"/>
    <w:rsid w:val="335F65DA"/>
    <w:rsid w:val="337D3FE4"/>
    <w:rsid w:val="339F7A8E"/>
    <w:rsid w:val="33B421B0"/>
    <w:rsid w:val="33C54CD0"/>
    <w:rsid w:val="33C8335F"/>
    <w:rsid w:val="33D939C5"/>
    <w:rsid w:val="340442BB"/>
    <w:rsid w:val="34045CC8"/>
    <w:rsid w:val="34324D35"/>
    <w:rsid w:val="344372ED"/>
    <w:rsid w:val="34556949"/>
    <w:rsid w:val="3473600C"/>
    <w:rsid w:val="347714E8"/>
    <w:rsid w:val="348B183A"/>
    <w:rsid w:val="349E70FC"/>
    <w:rsid w:val="34C0130C"/>
    <w:rsid w:val="34D303E1"/>
    <w:rsid w:val="34D4700A"/>
    <w:rsid w:val="34D80320"/>
    <w:rsid w:val="34DA0F6A"/>
    <w:rsid w:val="34DF500B"/>
    <w:rsid w:val="34E0078E"/>
    <w:rsid w:val="34ED1C07"/>
    <w:rsid w:val="34F84305"/>
    <w:rsid w:val="34FB0784"/>
    <w:rsid w:val="350066FA"/>
    <w:rsid w:val="35015C62"/>
    <w:rsid w:val="35156301"/>
    <w:rsid w:val="3518676F"/>
    <w:rsid w:val="3533411E"/>
    <w:rsid w:val="35387771"/>
    <w:rsid w:val="35492E6F"/>
    <w:rsid w:val="357B1815"/>
    <w:rsid w:val="359B18B2"/>
    <w:rsid w:val="35B01377"/>
    <w:rsid w:val="35DC1906"/>
    <w:rsid w:val="35E06ACA"/>
    <w:rsid w:val="35E54E63"/>
    <w:rsid w:val="36044B01"/>
    <w:rsid w:val="36064B98"/>
    <w:rsid w:val="36101F43"/>
    <w:rsid w:val="361265B8"/>
    <w:rsid w:val="362E6830"/>
    <w:rsid w:val="36411FBF"/>
    <w:rsid w:val="364323F0"/>
    <w:rsid w:val="36537403"/>
    <w:rsid w:val="365E4E20"/>
    <w:rsid w:val="366641DF"/>
    <w:rsid w:val="36736924"/>
    <w:rsid w:val="36AA767C"/>
    <w:rsid w:val="36B96997"/>
    <w:rsid w:val="36CD46B5"/>
    <w:rsid w:val="36F30DDD"/>
    <w:rsid w:val="370373CC"/>
    <w:rsid w:val="370636CB"/>
    <w:rsid w:val="3712106E"/>
    <w:rsid w:val="37176121"/>
    <w:rsid w:val="37246B46"/>
    <w:rsid w:val="37490E61"/>
    <w:rsid w:val="37547D16"/>
    <w:rsid w:val="375B2DEF"/>
    <w:rsid w:val="376103F6"/>
    <w:rsid w:val="37A15487"/>
    <w:rsid w:val="37AC6D52"/>
    <w:rsid w:val="37B369F3"/>
    <w:rsid w:val="37BB5CD8"/>
    <w:rsid w:val="37C36AB9"/>
    <w:rsid w:val="37DE19B0"/>
    <w:rsid w:val="37E20E77"/>
    <w:rsid w:val="37EE7322"/>
    <w:rsid w:val="38165E0A"/>
    <w:rsid w:val="38207EDE"/>
    <w:rsid w:val="38302F9A"/>
    <w:rsid w:val="383F79AA"/>
    <w:rsid w:val="38435625"/>
    <w:rsid w:val="38691EC0"/>
    <w:rsid w:val="386D1FD4"/>
    <w:rsid w:val="387C31D5"/>
    <w:rsid w:val="38905C55"/>
    <w:rsid w:val="389372FD"/>
    <w:rsid w:val="38942377"/>
    <w:rsid w:val="389A73B1"/>
    <w:rsid w:val="38A267F5"/>
    <w:rsid w:val="38AA3B96"/>
    <w:rsid w:val="38B469AA"/>
    <w:rsid w:val="38D53B04"/>
    <w:rsid w:val="38D70393"/>
    <w:rsid w:val="38ED60D3"/>
    <w:rsid w:val="38F5730B"/>
    <w:rsid w:val="38F60D30"/>
    <w:rsid w:val="38FA0F0B"/>
    <w:rsid w:val="390D6A98"/>
    <w:rsid w:val="39324CEE"/>
    <w:rsid w:val="394355C5"/>
    <w:rsid w:val="395C0834"/>
    <w:rsid w:val="39A153A0"/>
    <w:rsid w:val="39AB10FE"/>
    <w:rsid w:val="39B34A9E"/>
    <w:rsid w:val="39BD32DE"/>
    <w:rsid w:val="39BF2015"/>
    <w:rsid w:val="39C40E30"/>
    <w:rsid w:val="39CD5463"/>
    <w:rsid w:val="39D2513E"/>
    <w:rsid w:val="39DF21B8"/>
    <w:rsid w:val="39E74272"/>
    <w:rsid w:val="39F2172C"/>
    <w:rsid w:val="39F271EE"/>
    <w:rsid w:val="3A035C4A"/>
    <w:rsid w:val="3A1703F3"/>
    <w:rsid w:val="3A1B620B"/>
    <w:rsid w:val="3A263176"/>
    <w:rsid w:val="3A550E6E"/>
    <w:rsid w:val="3ABA76DA"/>
    <w:rsid w:val="3AEB1052"/>
    <w:rsid w:val="3AF00785"/>
    <w:rsid w:val="3AF47A05"/>
    <w:rsid w:val="3AF66A54"/>
    <w:rsid w:val="3AF92173"/>
    <w:rsid w:val="3AFE1ADA"/>
    <w:rsid w:val="3B09676F"/>
    <w:rsid w:val="3B271801"/>
    <w:rsid w:val="3B2A641A"/>
    <w:rsid w:val="3B3B0752"/>
    <w:rsid w:val="3B3C437D"/>
    <w:rsid w:val="3B464D56"/>
    <w:rsid w:val="3B56702D"/>
    <w:rsid w:val="3B5D2DC6"/>
    <w:rsid w:val="3B922EF9"/>
    <w:rsid w:val="3BC522E0"/>
    <w:rsid w:val="3BD82A91"/>
    <w:rsid w:val="3BDA63FA"/>
    <w:rsid w:val="3BE41159"/>
    <w:rsid w:val="3BFF19DE"/>
    <w:rsid w:val="3C182E53"/>
    <w:rsid w:val="3C1D3F50"/>
    <w:rsid w:val="3C2E1C1A"/>
    <w:rsid w:val="3C55771B"/>
    <w:rsid w:val="3C560538"/>
    <w:rsid w:val="3C5B6A1E"/>
    <w:rsid w:val="3C705CB1"/>
    <w:rsid w:val="3C7D5176"/>
    <w:rsid w:val="3C8264B0"/>
    <w:rsid w:val="3C851C88"/>
    <w:rsid w:val="3C8F6548"/>
    <w:rsid w:val="3C966E1D"/>
    <w:rsid w:val="3CA871D7"/>
    <w:rsid w:val="3CBE19C2"/>
    <w:rsid w:val="3CD53532"/>
    <w:rsid w:val="3CD70BBE"/>
    <w:rsid w:val="3CE44A8C"/>
    <w:rsid w:val="3CE5162C"/>
    <w:rsid w:val="3CEE656A"/>
    <w:rsid w:val="3D0007BF"/>
    <w:rsid w:val="3D5C310E"/>
    <w:rsid w:val="3DAF0A83"/>
    <w:rsid w:val="3DB36EDA"/>
    <w:rsid w:val="3DB94D0C"/>
    <w:rsid w:val="3DCE0FDF"/>
    <w:rsid w:val="3DD22267"/>
    <w:rsid w:val="3DE46FF6"/>
    <w:rsid w:val="3DF245F1"/>
    <w:rsid w:val="3DF5589F"/>
    <w:rsid w:val="3DFB0B4E"/>
    <w:rsid w:val="3E513B76"/>
    <w:rsid w:val="3E645253"/>
    <w:rsid w:val="3E8A5C6D"/>
    <w:rsid w:val="3E8C18E3"/>
    <w:rsid w:val="3E972006"/>
    <w:rsid w:val="3EA239DB"/>
    <w:rsid w:val="3EB301CB"/>
    <w:rsid w:val="3EB434B5"/>
    <w:rsid w:val="3ECF7FDC"/>
    <w:rsid w:val="3EEF6792"/>
    <w:rsid w:val="3EF01F69"/>
    <w:rsid w:val="3F050A88"/>
    <w:rsid w:val="3F140B36"/>
    <w:rsid w:val="3F5C167B"/>
    <w:rsid w:val="3F710CB9"/>
    <w:rsid w:val="3F7D2A37"/>
    <w:rsid w:val="3F823162"/>
    <w:rsid w:val="3F850EA5"/>
    <w:rsid w:val="3F98091F"/>
    <w:rsid w:val="3FA05D5A"/>
    <w:rsid w:val="3FD70C5B"/>
    <w:rsid w:val="3FE90B95"/>
    <w:rsid w:val="401D4BB3"/>
    <w:rsid w:val="40362A31"/>
    <w:rsid w:val="4042134E"/>
    <w:rsid w:val="406E555B"/>
    <w:rsid w:val="4079533C"/>
    <w:rsid w:val="40802C55"/>
    <w:rsid w:val="409250D8"/>
    <w:rsid w:val="40954A2F"/>
    <w:rsid w:val="40A37834"/>
    <w:rsid w:val="40A549CB"/>
    <w:rsid w:val="40B304B8"/>
    <w:rsid w:val="40B84286"/>
    <w:rsid w:val="40C535FF"/>
    <w:rsid w:val="40CA2F17"/>
    <w:rsid w:val="40DC2EBA"/>
    <w:rsid w:val="40E03B90"/>
    <w:rsid w:val="40F276AE"/>
    <w:rsid w:val="4100084D"/>
    <w:rsid w:val="410643F4"/>
    <w:rsid w:val="410834EE"/>
    <w:rsid w:val="410B630A"/>
    <w:rsid w:val="412E1833"/>
    <w:rsid w:val="412E4838"/>
    <w:rsid w:val="413210A3"/>
    <w:rsid w:val="414E7D50"/>
    <w:rsid w:val="416637D7"/>
    <w:rsid w:val="416710C1"/>
    <w:rsid w:val="41671DEC"/>
    <w:rsid w:val="417A5864"/>
    <w:rsid w:val="41983AF2"/>
    <w:rsid w:val="41A50FE6"/>
    <w:rsid w:val="41C9357C"/>
    <w:rsid w:val="41D40553"/>
    <w:rsid w:val="41D65E14"/>
    <w:rsid w:val="41D81760"/>
    <w:rsid w:val="41D958F1"/>
    <w:rsid w:val="421530C7"/>
    <w:rsid w:val="42286C18"/>
    <w:rsid w:val="422E3486"/>
    <w:rsid w:val="424841C2"/>
    <w:rsid w:val="424E47BA"/>
    <w:rsid w:val="425C548F"/>
    <w:rsid w:val="426C67F7"/>
    <w:rsid w:val="427A65CB"/>
    <w:rsid w:val="42827850"/>
    <w:rsid w:val="428E4B84"/>
    <w:rsid w:val="429C39E1"/>
    <w:rsid w:val="42A213AC"/>
    <w:rsid w:val="42C3074C"/>
    <w:rsid w:val="42CD6A43"/>
    <w:rsid w:val="42D23619"/>
    <w:rsid w:val="42F7754A"/>
    <w:rsid w:val="42F94784"/>
    <w:rsid w:val="43054285"/>
    <w:rsid w:val="431822C8"/>
    <w:rsid w:val="431A4215"/>
    <w:rsid w:val="433528FD"/>
    <w:rsid w:val="43382C5D"/>
    <w:rsid w:val="433E04F6"/>
    <w:rsid w:val="435B61A4"/>
    <w:rsid w:val="435D78A7"/>
    <w:rsid w:val="43842CE8"/>
    <w:rsid w:val="43880753"/>
    <w:rsid w:val="43926907"/>
    <w:rsid w:val="43B06449"/>
    <w:rsid w:val="43C06388"/>
    <w:rsid w:val="43C40372"/>
    <w:rsid w:val="43C81360"/>
    <w:rsid w:val="43D81BB8"/>
    <w:rsid w:val="43FC3AEA"/>
    <w:rsid w:val="440E5B14"/>
    <w:rsid w:val="440F72DB"/>
    <w:rsid w:val="44103E9D"/>
    <w:rsid w:val="44107AC5"/>
    <w:rsid w:val="44187E5D"/>
    <w:rsid w:val="442E19D6"/>
    <w:rsid w:val="442F11C7"/>
    <w:rsid w:val="442F13DF"/>
    <w:rsid w:val="4458376F"/>
    <w:rsid w:val="445C40E3"/>
    <w:rsid w:val="446C43E1"/>
    <w:rsid w:val="448B118D"/>
    <w:rsid w:val="44B43E84"/>
    <w:rsid w:val="44E724A8"/>
    <w:rsid w:val="44FF7991"/>
    <w:rsid w:val="45675C43"/>
    <w:rsid w:val="456F7E12"/>
    <w:rsid w:val="459551CB"/>
    <w:rsid w:val="45970D42"/>
    <w:rsid w:val="45B36E7D"/>
    <w:rsid w:val="45CE61F5"/>
    <w:rsid w:val="45D027C0"/>
    <w:rsid w:val="45E635BC"/>
    <w:rsid w:val="45F75DA8"/>
    <w:rsid w:val="45FE2534"/>
    <w:rsid w:val="46043A05"/>
    <w:rsid w:val="462228BB"/>
    <w:rsid w:val="46291F02"/>
    <w:rsid w:val="462E5DF2"/>
    <w:rsid w:val="46424B25"/>
    <w:rsid w:val="46480D35"/>
    <w:rsid w:val="464D07C3"/>
    <w:rsid w:val="464E4F71"/>
    <w:rsid w:val="46512A35"/>
    <w:rsid w:val="46591BA2"/>
    <w:rsid w:val="46731500"/>
    <w:rsid w:val="46737CA9"/>
    <w:rsid w:val="46883F6F"/>
    <w:rsid w:val="468D5409"/>
    <w:rsid w:val="469A3F2D"/>
    <w:rsid w:val="469A6FE4"/>
    <w:rsid w:val="46C12464"/>
    <w:rsid w:val="46DA35A5"/>
    <w:rsid w:val="46E77902"/>
    <w:rsid w:val="46F0146A"/>
    <w:rsid w:val="46FB28AA"/>
    <w:rsid w:val="470E6DBF"/>
    <w:rsid w:val="47136959"/>
    <w:rsid w:val="47246BD4"/>
    <w:rsid w:val="47333540"/>
    <w:rsid w:val="474B5456"/>
    <w:rsid w:val="475F74C9"/>
    <w:rsid w:val="477401C0"/>
    <w:rsid w:val="47742893"/>
    <w:rsid w:val="477777C0"/>
    <w:rsid w:val="47953C62"/>
    <w:rsid w:val="479974BC"/>
    <w:rsid w:val="479C2318"/>
    <w:rsid w:val="47E3490A"/>
    <w:rsid w:val="47EC5CD9"/>
    <w:rsid w:val="47F1316F"/>
    <w:rsid w:val="481501AC"/>
    <w:rsid w:val="48215A10"/>
    <w:rsid w:val="48221986"/>
    <w:rsid w:val="482D65F1"/>
    <w:rsid w:val="48395165"/>
    <w:rsid w:val="48434037"/>
    <w:rsid w:val="4852686D"/>
    <w:rsid w:val="4853730F"/>
    <w:rsid w:val="486C67E1"/>
    <w:rsid w:val="48710522"/>
    <w:rsid w:val="48743832"/>
    <w:rsid w:val="48942B03"/>
    <w:rsid w:val="4897208C"/>
    <w:rsid w:val="489D66F1"/>
    <w:rsid w:val="48A30634"/>
    <w:rsid w:val="48B27786"/>
    <w:rsid w:val="48BA1BBF"/>
    <w:rsid w:val="48E13577"/>
    <w:rsid w:val="48F52BF7"/>
    <w:rsid w:val="4914001E"/>
    <w:rsid w:val="492B1E62"/>
    <w:rsid w:val="493600BB"/>
    <w:rsid w:val="49466E83"/>
    <w:rsid w:val="498922F7"/>
    <w:rsid w:val="49AA0990"/>
    <w:rsid w:val="49B33B2D"/>
    <w:rsid w:val="49BE7888"/>
    <w:rsid w:val="49F43578"/>
    <w:rsid w:val="49FE7B0E"/>
    <w:rsid w:val="4A0067D6"/>
    <w:rsid w:val="4A034317"/>
    <w:rsid w:val="4A1F30B1"/>
    <w:rsid w:val="4A645FE3"/>
    <w:rsid w:val="4A6A13C3"/>
    <w:rsid w:val="4A9170F0"/>
    <w:rsid w:val="4A925A30"/>
    <w:rsid w:val="4A971287"/>
    <w:rsid w:val="4AAA2592"/>
    <w:rsid w:val="4AC05487"/>
    <w:rsid w:val="4AF60E83"/>
    <w:rsid w:val="4B097A4E"/>
    <w:rsid w:val="4B294C58"/>
    <w:rsid w:val="4B3F4381"/>
    <w:rsid w:val="4B4265A0"/>
    <w:rsid w:val="4B43394C"/>
    <w:rsid w:val="4B79389F"/>
    <w:rsid w:val="4B9902BE"/>
    <w:rsid w:val="4BB64502"/>
    <w:rsid w:val="4BBD0AAE"/>
    <w:rsid w:val="4BBE2ED9"/>
    <w:rsid w:val="4BBE3774"/>
    <w:rsid w:val="4BD25FA6"/>
    <w:rsid w:val="4BD576DE"/>
    <w:rsid w:val="4BDC0F13"/>
    <w:rsid w:val="4C1E471C"/>
    <w:rsid w:val="4C380BC7"/>
    <w:rsid w:val="4C6209FF"/>
    <w:rsid w:val="4C6452A1"/>
    <w:rsid w:val="4C96107C"/>
    <w:rsid w:val="4C97119D"/>
    <w:rsid w:val="4CC05FC0"/>
    <w:rsid w:val="4CC91153"/>
    <w:rsid w:val="4CCC05BA"/>
    <w:rsid w:val="4CE030CB"/>
    <w:rsid w:val="4CE04BFD"/>
    <w:rsid w:val="4CE253F7"/>
    <w:rsid w:val="4D277867"/>
    <w:rsid w:val="4D383F8B"/>
    <w:rsid w:val="4D472AFE"/>
    <w:rsid w:val="4D5014E5"/>
    <w:rsid w:val="4D646BC9"/>
    <w:rsid w:val="4D677E3B"/>
    <w:rsid w:val="4D741C88"/>
    <w:rsid w:val="4D7802D8"/>
    <w:rsid w:val="4D8D78A2"/>
    <w:rsid w:val="4D8E7176"/>
    <w:rsid w:val="4D913237"/>
    <w:rsid w:val="4DA16EA9"/>
    <w:rsid w:val="4DAA6CCD"/>
    <w:rsid w:val="4DAE213E"/>
    <w:rsid w:val="4DB0478D"/>
    <w:rsid w:val="4DB31DB8"/>
    <w:rsid w:val="4DC735CD"/>
    <w:rsid w:val="4DC7661F"/>
    <w:rsid w:val="4DCC3595"/>
    <w:rsid w:val="4DFA5ADB"/>
    <w:rsid w:val="4E08231E"/>
    <w:rsid w:val="4E0A7962"/>
    <w:rsid w:val="4E1A60B8"/>
    <w:rsid w:val="4E433E43"/>
    <w:rsid w:val="4E5157E8"/>
    <w:rsid w:val="4E597870"/>
    <w:rsid w:val="4E737B83"/>
    <w:rsid w:val="4E8A488B"/>
    <w:rsid w:val="4E966FF4"/>
    <w:rsid w:val="4ECB0294"/>
    <w:rsid w:val="4ED359EE"/>
    <w:rsid w:val="4ED454A7"/>
    <w:rsid w:val="4EEC4690"/>
    <w:rsid w:val="4EEE6267"/>
    <w:rsid w:val="4F1375C3"/>
    <w:rsid w:val="4F2A2208"/>
    <w:rsid w:val="4F5709D9"/>
    <w:rsid w:val="4F721374"/>
    <w:rsid w:val="4F7B77BA"/>
    <w:rsid w:val="4F807740"/>
    <w:rsid w:val="4F822D18"/>
    <w:rsid w:val="4FA406FA"/>
    <w:rsid w:val="4FA70744"/>
    <w:rsid w:val="4FBD603C"/>
    <w:rsid w:val="4FC91598"/>
    <w:rsid w:val="4FCF4627"/>
    <w:rsid w:val="4FDE5730"/>
    <w:rsid w:val="4FFD2CD4"/>
    <w:rsid w:val="500904E8"/>
    <w:rsid w:val="502B7EB4"/>
    <w:rsid w:val="5033674E"/>
    <w:rsid w:val="503A2BE9"/>
    <w:rsid w:val="50655EC3"/>
    <w:rsid w:val="50870CE2"/>
    <w:rsid w:val="50871ECA"/>
    <w:rsid w:val="50872A64"/>
    <w:rsid w:val="508970AB"/>
    <w:rsid w:val="508A5621"/>
    <w:rsid w:val="509E7F41"/>
    <w:rsid w:val="509F5E35"/>
    <w:rsid w:val="50B172B5"/>
    <w:rsid w:val="50CB03B5"/>
    <w:rsid w:val="50CD1192"/>
    <w:rsid w:val="50FF3A9B"/>
    <w:rsid w:val="51091AB3"/>
    <w:rsid w:val="510924A3"/>
    <w:rsid w:val="511E4E1F"/>
    <w:rsid w:val="51391EBC"/>
    <w:rsid w:val="51413C4D"/>
    <w:rsid w:val="51616685"/>
    <w:rsid w:val="51746BFB"/>
    <w:rsid w:val="519C16A6"/>
    <w:rsid w:val="51BC6201"/>
    <w:rsid w:val="51DA4E2A"/>
    <w:rsid w:val="520928C7"/>
    <w:rsid w:val="522350B8"/>
    <w:rsid w:val="524456EC"/>
    <w:rsid w:val="52543D54"/>
    <w:rsid w:val="526E1E9B"/>
    <w:rsid w:val="52715EB0"/>
    <w:rsid w:val="52AF273C"/>
    <w:rsid w:val="52C378C2"/>
    <w:rsid w:val="52C51063"/>
    <w:rsid w:val="52CA7715"/>
    <w:rsid w:val="52CF1195"/>
    <w:rsid w:val="52D52636"/>
    <w:rsid w:val="52D70AA3"/>
    <w:rsid w:val="52FA7804"/>
    <w:rsid w:val="53051C89"/>
    <w:rsid w:val="53206CBA"/>
    <w:rsid w:val="532C4AAB"/>
    <w:rsid w:val="533E5A2E"/>
    <w:rsid w:val="534E1D9C"/>
    <w:rsid w:val="534F55FA"/>
    <w:rsid w:val="53524B49"/>
    <w:rsid w:val="535461C8"/>
    <w:rsid w:val="53671966"/>
    <w:rsid w:val="53703F54"/>
    <w:rsid w:val="5377735D"/>
    <w:rsid w:val="53AA76B9"/>
    <w:rsid w:val="53B06F4F"/>
    <w:rsid w:val="53C46830"/>
    <w:rsid w:val="53CB105F"/>
    <w:rsid w:val="53CC4E4D"/>
    <w:rsid w:val="53DF7225"/>
    <w:rsid w:val="53EC4489"/>
    <w:rsid w:val="53EC750A"/>
    <w:rsid w:val="540B2749"/>
    <w:rsid w:val="54135596"/>
    <w:rsid w:val="5417615C"/>
    <w:rsid w:val="542B0CCC"/>
    <w:rsid w:val="543336FB"/>
    <w:rsid w:val="543B2240"/>
    <w:rsid w:val="54433EFC"/>
    <w:rsid w:val="54522AE7"/>
    <w:rsid w:val="54551C26"/>
    <w:rsid w:val="54691FF5"/>
    <w:rsid w:val="546D3369"/>
    <w:rsid w:val="548436A9"/>
    <w:rsid w:val="549F610D"/>
    <w:rsid w:val="54AC1CEF"/>
    <w:rsid w:val="54C44E57"/>
    <w:rsid w:val="54C83448"/>
    <w:rsid w:val="54CB0CB0"/>
    <w:rsid w:val="54CE1ACB"/>
    <w:rsid w:val="54DB7D06"/>
    <w:rsid w:val="54E44A92"/>
    <w:rsid w:val="551318D7"/>
    <w:rsid w:val="55282773"/>
    <w:rsid w:val="55462A67"/>
    <w:rsid w:val="55696483"/>
    <w:rsid w:val="558B2030"/>
    <w:rsid w:val="5594590A"/>
    <w:rsid w:val="55A62F1C"/>
    <w:rsid w:val="55AF05D2"/>
    <w:rsid w:val="55B44482"/>
    <w:rsid w:val="55B86BD7"/>
    <w:rsid w:val="55C81B17"/>
    <w:rsid w:val="55E42C1A"/>
    <w:rsid w:val="55F12998"/>
    <w:rsid w:val="55F17321"/>
    <w:rsid w:val="55FC2B65"/>
    <w:rsid w:val="55FE7AC4"/>
    <w:rsid w:val="56071A85"/>
    <w:rsid w:val="561718F2"/>
    <w:rsid w:val="562070E9"/>
    <w:rsid w:val="5628260B"/>
    <w:rsid w:val="562D399B"/>
    <w:rsid w:val="563B6A16"/>
    <w:rsid w:val="564611CE"/>
    <w:rsid w:val="565F5622"/>
    <w:rsid w:val="56896EAE"/>
    <w:rsid w:val="569905C3"/>
    <w:rsid w:val="569C778E"/>
    <w:rsid w:val="56A8135D"/>
    <w:rsid w:val="56B3658E"/>
    <w:rsid w:val="56CE2C30"/>
    <w:rsid w:val="56FF743B"/>
    <w:rsid w:val="570E05AB"/>
    <w:rsid w:val="571B2A1B"/>
    <w:rsid w:val="572D0114"/>
    <w:rsid w:val="5742100F"/>
    <w:rsid w:val="576F0018"/>
    <w:rsid w:val="576F0FAE"/>
    <w:rsid w:val="57723F6E"/>
    <w:rsid w:val="57763155"/>
    <w:rsid w:val="577D2735"/>
    <w:rsid w:val="578C0A8F"/>
    <w:rsid w:val="579D529F"/>
    <w:rsid w:val="57B1418D"/>
    <w:rsid w:val="57B153A7"/>
    <w:rsid w:val="57B61644"/>
    <w:rsid w:val="57DD1314"/>
    <w:rsid w:val="57E3739F"/>
    <w:rsid w:val="58051D15"/>
    <w:rsid w:val="580E1FCC"/>
    <w:rsid w:val="581F2294"/>
    <w:rsid w:val="58303F2C"/>
    <w:rsid w:val="583D4AD8"/>
    <w:rsid w:val="58486D79"/>
    <w:rsid w:val="58535651"/>
    <w:rsid w:val="58553FB7"/>
    <w:rsid w:val="58800A24"/>
    <w:rsid w:val="589474AB"/>
    <w:rsid w:val="589D4F6E"/>
    <w:rsid w:val="589F4A2A"/>
    <w:rsid w:val="58D85079"/>
    <w:rsid w:val="59097530"/>
    <w:rsid w:val="59265FDA"/>
    <w:rsid w:val="59311595"/>
    <w:rsid w:val="59367168"/>
    <w:rsid w:val="593F2020"/>
    <w:rsid w:val="594370F7"/>
    <w:rsid w:val="594E33E0"/>
    <w:rsid w:val="595F38C7"/>
    <w:rsid w:val="596A4D51"/>
    <w:rsid w:val="5975743C"/>
    <w:rsid w:val="597926EB"/>
    <w:rsid w:val="59851E6A"/>
    <w:rsid w:val="598A7A77"/>
    <w:rsid w:val="59973856"/>
    <w:rsid w:val="59BA3C32"/>
    <w:rsid w:val="59C26B25"/>
    <w:rsid w:val="59D269F8"/>
    <w:rsid w:val="59D436A5"/>
    <w:rsid w:val="59D816CC"/>
    <w:rsid w:val="59DF06B2"/>
    <w:rsid w:val="59E64AD9"/>
    <w:rsid w:val="59EC3BA2"/>
    <w:rsid w:val="59F63D1F"/>
    <w:rsid w:val="5A293B1C"/>
    <w:rsid w:val="5A44429D"/>
    <w:rsid w:val="5A5265E9"/>
    <w:rsid w:val="5A6518A6"/>
    <w:rsid w:val="5A7266CF"/>
    <w:rsid w:val="5A853DCE"/>
    <w:rsid w:val="5AA32457"/>
    <w:rsid w:val="5AB43874"/>
    <w:rsid w:val="5ACF77A8"/>
    <w:rsid w:val="5AFC0446"/>
    <w:rsid w:val="5B100C05"/>
    <w:rsid w:val="5B6A39CB"/>
    <w:rsid w:val="5B741AC3"/>
    <w:rsid w:val="5B786988"/>
    <w:rsid w:val="5BA134C8"/>
    <w:rsid w:val="5BB82677"/>
    <w:rsid w:val="5BBC561E"/>
    <w:rsid w:val="5C075671"/>
    <w:rsid w:val="5C0A064A"/>
    <w:rsid w:val="5C186BF7"/>
    <w:rsid w:val="5C212660"/>
    <w:rsid w:val="5C3D2BC0"/>
    <w:rsid w:val="5C473312"/>
    <w:rsid w:val="5C4E1DBF"/>
    <w:rsid w:val="5C580819"/>
    <w:rsid w:val="5C590D3D"/>
    <w:rsid w:val="5C694499"/>
    <w:rsid w:val="5C6A0434"/>
    <w:rsid w:val="5C6B3F88"/>
    <w:rsid w:val="5C7C08FA"/>
    <w:rsid w:val="5CAC0F13"/>
    <w:rsid w:val="5CC86258"/>
    <w:rsid w:val="5CD219F9"/>
    <w:rsid w:val="5CD30147"/>
    <w:rsid w:val="5CF92651"/>
    <w:rsid w:val="5D2D0892"/>
    <w:rsid w:val="5D33359C"/>
    <w:rsid w:val="5D337691"/>
    <w:rsid w:val="5D39124A"/>
    <w:rsid w:val="5D7C6E1A"/>
    <w:rsid w:val="5D875A32"/>
    <w:rsid w:val="5D904EC5"/>
    <w:rsid w:val="5DA62075"/>
    <w:rsid w:val="5DCD5CF5"/>
    <w:rsid w:val="5DCD7F10"/>
    <w:rsid w:val="5DE80B25"/>
    <w:rsid w:val="5DE94334"/>
    <w:rsid w:val="5DF63CD3"/>
    <w:rsid w:val="5E0A0A9B"/>
    <w:rsid w:val="5E363CC0"/>
    <w:rsid w:val="5E38278A"/>
    <w:rsid w:val="5E3A0BC3"/>
    <w:rsid w:val="5E4605A6"/>
    <w:rsid w:val="5E670A99"/>
    <w:rsid w:val="5E7D4E52"/>
    <w:rsid w:val="5E8416B4"/>
    <w:rsid w:val="5E871CF7"/>
    <w:rsid w:val="5E956D88"/>
    <w:rsid w:val="5ECE1B37"/>
    <w:rsid w:val="5ECF6C61"/>
    <w:rsid w:val="5EE2685A"/>
    <w:rsid w:val="5F316D5E"/>
    <w:rsid w:val="5F3D6405"/>
    <w:rsid w:val="5F612F34"/>
    <w:rsid w:val="5F631DAE"/>
    <w:rsid w:val="5F673415"/>
    <w:rsid w:val="5F6F0285"/>
    <w:rsid w:val="5F7E4B3F"/>
    <w:rsid w:val="5F801622"/>
    <w:rsid w:val="5F883E7F"/>
    <w:rsid w:val="5F902D6A"/>
    <w:rsid w:val="5F913A41"/>
    <w:rsid w:val="5FB55BCB"/>
    <w:rsid w:val="5FB7253E"/>
    <w:rsid w:val="5FB8745F"/>
    <w:rsid w:val="5FD90B17"/>
    <w:rsid w:val="5FEA4C14"/>
    <w:rsid w:val="5FFF2CA0"/>
    <w:rsid w:val="60041939"/>
    <w:rsid w:val="60090E82"/>
    <w:rsid w:val="60140D70"/>
    <w:rsid w:val="602C7D68"/>
    <w:rsid w:val="60421C6F"/>
    <w:rsid w:val="60636DD6"/>
    <w:rsid w:val="606D5311"/>
    <w:rsid w:val="607C4035"/>
    <w:rsid w:val="608E3AF2"/>
    <w:rsid w:val="609A59BB"/>
    <w:rsid w:val="609C088B"/>
    <w:rsid w:val="60C85DBE"/>
    <w:rsid w:val="60DD4126"/>
    <w:rsid w:val="60E56383"/>
    <w:rsid w:val="61052B1F"/>
    <w:rsid w:val="61083E26"/>
    <w:rsid w:val="610D4205"/>
    <w:rsid w:val="610E3978"/>
    <w:rsid w:val="611A2DA3"/>
    <w:rsid w:val="61231A89"/>
    <w:rsid w:val="612A0032"/>
    <w:rsid w:val="613A5DD8"/>
    <w:rsid w:val="618E45ED"/>
    <w:rsid w:val="61927F1F"/>
    <w:rsid w:val="619E193D"/>
    <w:rsid w:val="61A1465C"/>
    <w:rsid w:val="61AB5B23"/>
    <w:rsid w:val="61BE46EB"/>
    <w:rsid w:val="61C060FB"/>
    <w:rsid w:val="61ED4C1C"/>
    <w:rsid w:val="61EE7307"/>
    <w:rsid w:val="620F042E"/>
    <w:rsid w:val="620F4CFC"/>
    <w:rsid w:val="621546F4"/>
    <w:rsid w:val="62336EBF"/>
    <w:rsid w:val="625177F7"/>
    <w:rsid w:val="627119D2"/>
    <w:rsid w:val="62905239"/>
    <w:rsid w:val="62995EC2"/>
    <w:rsid w:val="629D3C8C"/>
    <w:rsid w:val="62A92EDE"/>
    <w:rsid w:val="62B8444F"/>
    <w:rsid w:val="62CD3D51"/>
    <w:rsid w:val="62D11A48"/>
    <w:rsid w:val="62D63C43"/>
    <w:rsid w:val="62DF7D45"/>
    <w:rsid w:val="62E014A6"/>
    <w:rsid w:val="62E13FA0"/>
    <w:rsid w:val="630E7FE4"/>
    <w:rsid w:val="631361B5"/>
    <w:rsid w:val="631F166E"/>
    <w:rsid w:val="63385E33"/>
    <w:rsid w:val="635B1AC1"/>
    <w:rsid w:val="635D4717"/>
    <w:rsid w:val="636173AA"/>
    <w:rsid w:val="63662B86"/>
    <w:rsid w:val="63665A5A"/>
    <w:rsid w:val="6372336A"/>
    <w:rsid w:val="63781EAB"/>
    <w:rsid w:val="637C3D9C"/>
    <w:rsid w:val="639B23CF"/>
    <w:rsid w:val="63CD5DC6"/>
    <w:rsid w:val="63DA0160"/>
    <w:rsid w:val="63DB45A2"/>
    <w:rsid w:val="63EB04F7"/>
    <w:rsid w:val="642904E7"/>
    <w:rsid w:val="64291364"/>
    <w:rsid w:val="643836A9"/>
    <w:rsid w:val="643E149E"/>
    <w:rsid w:val="643E4FFA"/>
    <w:rsid w:val="644848F0"/>
    <w:rsid w:val="64561BAF"/>
    <w:rsid w:val="645D32FE"/>
    <w:rsid w:val="646B7DB9"/>
    <w:rsid w:val="64790728"/>
    <w:rsid w:val="6486587C"/>
    <w:rsid w:val="649D0B4A"/>
    <w:rsid w:val="64A16F76"/>
    <w:rsid w:val="64B91308"/>
    <w:rsid w:val="64B975AA"/>
    <w:rsid w:val="64CB0363"/>
    <w:rsid w:val="64CD580F"/>
    <w:rsid w:val="64F64870"/>
    <w:rsid w:val="64F6663B"/>
    <w:rsid w:val="65064B7F"/>
    <w:rsid w:val="6514334D"/>
    <w:rsid w:val="651663DC"/>
    <w:rsid w:val="6524262B"/>
    <w:rsid w:val="65317611"/>
    <w:rsid w:val="653A5EC5"/>
    <w:rsid w:val="654370ED"/>
    <w:rsid w:val="654B712E"/>
    <w:rsid w:val="65584668"/>
    <w:rsid w:val="65753346"/>
    <w:rsid w:val="658003E2"/>
    <w:rsid w:val="659203DB"/>
    <w:rsid w:val="659717A7"/>
    <w:rsid w:val="65984656"/>
    <w:rsid w:val="65A3006B"/>
    <w:rsid w:val="65B82D87"/>
    <w:rsid w:val="65BC68BF"/>
    <w:rsid w:val="65C3305D"/>
    <w:rsid w:val="65C50098"/>
    <w:rsid w:val="65DB799A"/>
    <w:rsid w:val="65DC49B5"/>
    <w:rsid w:val="65EC0071"/>
    <w:rsid w:val="65F022F1"/>
    <w:rsid w:val="65FD710A"/>
    <w:rsid w:val="66273CAC"/>
    <w:rsid w:val="6629439C"/>
    <w:rsid w:val="662B57A4"/>
    <w:rsid w:val="665C36FE"/>
    <w:rsid w:val="669A1B9B"/>
    <w:rsid w:val="66C936FC"/>
    <w:rsid w:val="66CB04BD"/>
    <w:rsid w:val="66E9737E"/>
    <w:rsid w:val="66F27E2A"/>
    <w:rsid w:val="66F75934"/>
    <w:rsid w:val="66F83C76"/>
    <w:rsid w:val="67104E99"/>
    <w:rsid w:val="671228F1"/>
    <w:rsid w:val="671816EF"/>
    <w:rsid w:val="6723497B"/>
    <w:rsid w:val="67270FEB"/>
    <w:rsid w:val="673651E9"/>
    <w:rsid w:val="67421872"/>
    <w:rsid w:val="676254A4"/>
    <w:rsid w:val="677413C0"/>
    <w:rsid w:val="67777DA5"/>
    <w:rsid w:val="67874F3A"/>
    <w:rsid w:val="67963155"/>
    <w:rsid w:val="679B017F"/>
    <w:rsid w:val="67AB6E4B"/>
    <w:rsid w:val="67B42064"/>
    <w:rsid w:val="67BE2FFD"/>
    <w:rsid w:val="67D16B12"/>
    <w:rsid w:val="67E2406C"/>
    <w:rsid w:val="67E56EF3"/>
    <w:rsid w:val="67ED562F"/>
    <w:rsid w:val="67F7477D"/>
    <w:rsid w:val="680635FA"/>
    <w:rsid w:val="680B54D5"/>
    <w:rsid w:val="680B7DC2"/>
    <w:rsid w:val="68120273"/>
    <w:rsid w:val="68217682"/>
    <w:rsid w:val="682E071E"/>
    <w:rsid w:val="683257DC"/>
    <w:rsid w:val="6835197D"/>
    <w:rsid w:val="68464DC5"/>
    <w:rsid w:val="68735301"/>
    <w:rsid w:val="688A69E5"/>
    <w:rsid w:val="68916ADB"/>
    <w:rsid w:val="6899729E"/>
    <w:rsid w:val="68A52E40"/>
    <w:rsid w:val="68D335BA"/>
    <w:rsid w:val="68E544DA"/>
    <w:rsid w:val="68E63EB3"/>
    <w:rsid w:val="68E9163F"/>
    <w:rsid w:val="68FB1B14"/>
    <w:rsid w:val="68FC438E"/>
    <w:rsid w:val="69112165"/>
    <w:rsid w:val="69207B12"/>
    <w:rsid w:val="694173EF"/>
    <w:rsid w:val="694430CC"/>
    <w:rsid w:val="696518D8"/>
    <w:rsid w:val="696A6892"/>
    <w:rsid w:val="6996192A"/>
    <w:rsid w:val="69B3412D"/>
    <w:rsid w:val="69D32689"/>
    <w:rsid w:val="69D84DE9"/>
    <w:rsid w:val="69D91521"/>
    <w:rsid w:val="6A1311F3"/>
    <w:rsid w:val="6A192C2E"/>
    <w:rsid w:val="6A25275F"/>
    <w:rsid w:val="6A2E54FB"/>
    <w:rsid w:val="6A314C86"/>
    <w:rsid w:val="6A374972"/>
    <w:rsid w:val="6A3D5D54"/>
    <w:rsid w:val="6A3E5852"/>
    <w:rsid w:val="6A461CEE"/>
    <w:rsid w:val="6A484AD5"/>
    <w:rsid w:val="6A493484"/>
    <w:rsid w:val="6A5A24C7"/>
    <w:rsid w:val="6A5C4651"/>
    <w:rsid w:val="6A5F343C"/>
    <w:rsid w:val="6A6C14B3"/>
    <w:rsid w:val="6ABB7D60"/>
    <w:rsid w:val="6ABC7074"/>
    <w:rsid w:val="6ACC7EC9"/>
    <w:rsid w:val="6AFC1780"/>
    <w:rsid w:val="6B2B1095"/>
    <w:rsid w:val="6B557C5E"/>
    <w:rsid w:val="6B6C47C7"/>
    <w:rsid w:val="6B711CF2"/>
    <w:rsid w:val="6B833B86"/>
    <w:rsid w:val="6B8E6EC0"/>
    <w:rsid w:val="6B910106"/>
    <w:rsid w:val="6BA5530E"/>
    <w:rsid w:val="6BAE0F46"/>
    <w:rsid w:val="6BAF2AB8"/>
    <w:rsid w:val="6BCD5478"/>
    <w:rsid w:val="6BF13CD2"/>
    <w:rsid w:val="6BF31BCB"/>
    <w:rsid w:val="6BFC50BB"/>
    <w:rsid w:val="6C1873BF"/>
    <w:rsid w:val="6C1D026B"/>
    <w:rsid w:val="6C1F1D51"/>
    <w:rsid w:val="6C20175C"/>
    <w:rsid w:val="6C327AEC"/>
    <w:rsid w:val="6C376888"/>
    <w:rsid w:val="6C4E30B1"/>
    <w:rsid w:val="6C4F7584"/>
    <w:rsid w:val="6C614CDA"/>
    <w:rsid w:val="6C7B7393"/>
    <w:rsid w:val="6C7F4402"/>
    <w:rsid w:val="6C8204FA"/>
    <w:rsid w:val="6C9020EE"/>
    <w:rsid w:val="6C9A784A"/>
    <w:rsid w:val="6CB31203"/>
    <w:rsid w:val="6CD02EB0"/>
    <w:rsid w:val="6D385956"/>
    <w:rsid w:val="6D3A0192"/>
    <w:rsid w:val="6D473E48"/>
    <w:rsid w:val="6D673814"/>
    <w:rsid w:val="6D690FC7"/>
    <w:rsid w:val="6D814DF2"/>
    <w:rsid w:val="6D884435"/>
    <w:rsid w:val="6D8F5200"/>
    <w:rsid w:val="6DA374F6"/>
    <w:rsid w:val="6DAA1291"/>
    <w:rsid w:val="6DAB76AC"/>
    <w:rsid w:val="6DB41E29"/>
    <w:rsid w:val="6DE44E49"/>
    <w:rsid w:val="6DEB2DBA"/>
    <w:rsid w:val="6E423204"/>
    <w:rsid w:val="6E581800"/>
    <w:rsid w:val="6E5854DD"/>
    <w:rsid w:val="6E5B32E9"/>
    <w:rsid w:val="6E6949C6"/>
    <w:rsid w:val="6E7C49A5"/>
    <w:rsid w:val="6E82128E"/>
    <w:rsid w:val="6E8E6BDC"/>
    <w:rsid w:val="6EAB5E33"/>
    <w:rsid w:val="6EB22F0E"/>
    <w:rsid w:val="6ED954DF"/>
    <w:rsid w:val="6EE202D1"/>
    <w:rsid w:val="6EFC29F3"/>
    <w:rsid w:val="6F132006"/>
    <w:rsid w:val="6F1E4EEC"/>
    <w:rsid w:val="6F1F2643"/>
    <w:rsid w:val="6F2632C0"/>
    <w:rsid w:val="6F393636"/>
    <w:rsid w:val="6F4E300D"/>
    <w:rsid w:val="6F6B6069"/>
    <w:rsid w:val="6F7B4E79"/>
    <w:rsid w:val="6F8E5288"/>
    <w:rsid w:val="6FD06C0E"/>
    <w:rsid w:val="6FD344B0"/>
    <w:rsid w:val="6FE05FA8"/>
    <w:rsid w:val="6FEA4536"/>
    <w:rsid w:val="70067BE4"/>
    <w:rsid w:val="70115CB9"/>
    <w:rsid w:val="701C33EF"/>
    <w:rsid w:val="701D6A1B"/>
    <w:rsid w:val="70225A06"/>
    <w:rsid w:val="703137DA"/>
    <w:rsid w:val="70351A47"/>
    <w:rsid w:val="70382AA5"/>
    <w:rsid w:val="703852C9"/>
    <w:rsid w:val="704600C3"/>
    <w:rsid w:val="70612300"/>
    <w:rsid w:val="707B649D"/>
    <w:rsid w:val="70887995"/>
    <w:rsid w:val="709B2BE5"/>
    <w:rsid w:val="70BA7D90"/>
    <w:rsid w:val="70C328BF"/>
    <w:rsid w:val="70DF1913"/>
    <w:rsid w:val="70E024C4"/>
    <w:rsid w:val="71042FA4"/>
    <w:rsid w:val="71153BC8"/>
    <w:rsid w:val="711D17A5"/>
    <w:rsid w:val="71304777"/>
    <w:rsid w:val="713C0643"/>
    <w:rsid w:val="71560100"/>
    <w:rsid w:val="71636F54"/>
    <w:rsid w:val="716A37EB"/>
    <w:rsid w:val="716D6EF7"/>
    <w:rsid w:val="716F7590"/>
    <w:rsid w:val="719F29D5"/>
    <w:rsid w:val="71A12FD9"/>
    <w:rsid w:val="71CD20B4"/>
    <w:rsid w:val="720366A0"/>
    <w:rsid w:val="72086C48"/>
    <w:rsid w:val="720C3560"/>
    <w:rsid w:val="72154B3C"/>
    <w:rsid w:val="724C4D96"/>
    <w:rsid w:val="727E07C1"/>
    <w:rsid w:val="72A41137"/>
    <w:rsid w:val="72A90780"/>
    <w:rsid w:val="72BE6B89"/>
    <w:rsid w:val="72CA07DF"/>
    <w:rsid w:val="72CA3C26"/>
    <w:rsid w:val="72DE4A0D"/>
    <w:rsid w:val="72E655C1"/>
    <w:rsid w:val="72F85323"/>
    <w:rsid w:val="73215C7D"/>
    <w:rsid w:val="73244C9F"/>
    <w:rsid w:val="732727A1"/>
    <w:rsid w:val="73337B6A"/>
    <w:rsid w:val="73517B19"/>
    <w:rsid w:val="7354228F"/>
    <w:rsid w:val="735A5D20"/>
    <w:rsid w:val="73653B44"/>
    <w:rsid w:val="736C4B15"/>
    <w:rsid w:val="73704F3B"/>
    <w:rsid w:val="7372472C"/>
    <w:rsid w:val="73867BD2"/>
    <w:rsid w:val="738769B3"/>
    <w:rsid w:val="73A502F8"/>
    <w:rsid w:val="73A8797A"/>
    <w:rsid w:val="73BE16BA"/>
    <w:rsid w:val="73CD18C3"/>
    <w:rsid w:val="73D76C82"/>
    <w:rsid w:val="73E256A2"/>
    <w:rsid w:val="73ED4347"/>
    <w:rsid w:val="73F266C1"/>
    <w:rsid w:val="73F9594E"/>
    <w:rsid w:val="73FA5B6C"/>
    <w:rsid w:val="74284324"/>
    <w:rsid w:val="743047B6"/>
    <w:rsid w:val="74312486"/>
    <w:rsid w:val="743615E7"/>
    <w:rsid w:val="743E0C09"/>
    <w:rsid w:val="74490FEA"/>
    <w:rsid w:val="7463628C"/>
    <w:rsid w:val="746A3C9B"/>
    <w:rsid w:val="7478287A"/>
    <w:rsid w:val="74973EE6"/>
    <w:rsid w:val="74B20C8E"/>
    <w:rsid w:val="74B256B4"/>
    <w:rsid w:val="74B819CF"/>
    <w:rsid w:val="74B82BA7"/>
    <w:rsid w:val="74F35B8C"/>
    <w:rsid w:val="74FA3F82"/>
    <w:rsid w:val="75063DA9"/>
    <w:rsid w:val="750C6A4F"/>
    <w:rsid w:val="75211ED4"/>
    <w:rsid w:val="752A266D"/>
    <w:rsid w:val="75377F70"/>
    <w:rsid w:val="754D7FC3"/>
    <w:rsid w:val="755221E5"/>
    <w:rsid w:val="755E743D"/>
    <w:rsid w:val="756A2EF2"/>
    <w:rsid w:val="758E606F"/>
    <w:rsid w:val="75BD2847"/>
    <w:rsid w:val="75C260BC"/>
    <w:rsid w:val="75C7670A"/>
    <w:rsid w:val="75D25EEA"/>
    <w:rsid w:val="75E90E00"/>
    <w:rsid w:val="75F0732D"/>
    <w:rsid w:val="75F8279B"/>
    <w:rsid w:val="7604359A"/>
    <w:rsid w:val="76056334"/>
    <w:rsid w:val="761D5C89"/>
    <w:rsid w:val="762D2114"/>
    <w:rsid w:val="763952CF"/>
    <w:rsid w:val="764A5ACF"/>
    <w:rsid w:val="7665609A"/>
    <w:rsid w:val="76804E9D"/>
    <w:rsid w:val="76944ACB"/>
    <w:rsid w:val="7697655E"/>
    <w:rsid w:val="76982C79"/>
    <w:rsid w:val="769F5D9A"/>
    <w:rsid w:val="76A826A5"/>
    <w:rsid w:val="76AB6DE1"/>
    <w:rsid w:val="76C17926"/>
    <w:rsid w:val="76F73B41"/>
    <w:rsid w:val="771C1C86"/>
    <w:rsid w:val="77312F0B"/>
    <w:rsid w:val="77323B53"/>
    <w:rsid w:val="774D4D40"/>
    <w:rsid w:val="77556389"/>
    <w:rsid w:val="778160DF"/>
    <w:rsid w:val="77865552"/>
    <w:rsid w:val="77A409A1"/>
    <w:rsid w:val="77B9214B"/>
    <w:rsid w:val="77C11D73"/>
    <w:rsid w:val="77CB1205"/>
    <w:rsid w:val="77D02B29"/>
    <w:rsid w:val="77DC599E"/>
    <w:rsid w:val="77F24622"/>
    <w:rsid w:val="78342FAB"/>
    <w:rsid w:val="785B05DA"/>
    <w:rsid w:val="78655D95"/>
    <w:rsid w:val="78821B94"/>
    <w:rsid w:val="78843643"/>
    <w:rsid w:val="78C92F92"/>
    <w:rsid w:val="78D23157"/>
    <w:rsid w:val="78D56449"/>
    <w:rsid w:val="78D83678"/>
    <w:rsid w:val="78F16A6D"/>
    <w:rsid w:val="78FD327E"/>
    <w:rsid w:val="790E548B"/>
    <w:rsid w:val="792E1A77"/>
    <w:rsid w:val="793B7903"/>
    <w:rsid w:val="79450781"/>
    <w:rsid w:val="79480171"/>
    <w:rsid w:val="794D126A"/>
    <w:rsid w:val="79563E81"/>
    <w:rsid w:val="79726A1C"/>
    <w:rsid w:val="79825428"/>
    <w:rsid w:val="79BD2A3C"/>
    <w:rsid w:val="79CE0FF0"/>
    <w:rsid w:val="79D15552"/>
    <w:rsid w:val="79ED2596"/>
    <w:rsid w:val="7A057144"/>
    <w:rsid w:val="7A060F29"/>
    <w:rsid w:val="7A1467CB"/>
    <w:rsid w:val="7A286A17"/>
    <w:rsid w:val="7A2A00A3"/>
    <w:rsid w:val="7A4C198A"/>
    <w:rsid w:val="7A5F5442"/>
    <w:rsid w:val="7A704675"/>
    <w:rsid w:val="7A7079E0"/>
    <w:rsid w:val="7A724105"/>
    <w:rsid w:val="7A9B2D4F"/>
    <w:rsid w:val="7A9C2241"/>
    <w:rsid w:val="7AC92404"/>
    <w:rsid w:val="7AC95513"/>
    <w:rsid w:val="7ACD42BF"/>
    <w:rsid w:val="7ADF0114"/>
    <w:rsid w:val="7AFC3CFC"/>
    <w:rsid w:val="7B1E0D4F"/>
    <w:rsid w:val="7B281224"/>
    <w:rsid w:val="7B306E76"/>
    <w:rsid w:val="7B3F192C"/>
    <w:rsid w:val="7B435E6C"/>
    <w:rsid w:val="7B543EF4"/>
    <w:rsid w:val="7B590514"/>
    <w:rsid w:val="7B605B5E"/>
    <w:rsid w:val="7B8A06D2"/>
    <w:rsid w:val="7B8C3917"/>
    <w:rsid w:val="7B930A06"/>
    <w:rsid w:val="7BC02582"/>
    <w:rsid w:val="7BC85F2C"/>
    <w:rsid w:val="7BE75B20"/>
    <w:rsid w:val="7C08154A"/>
    <w:rsid w:val="7C1179FC"/>
    <w:rsid w:val="7C5F04AF"/>
    <w:rsid w:val="7C710DD9"/>
    <w:rsid w:val="7CB869FF"/>
    <w:rsid w:val="7CE55E7F"/>
    <w:rsid w:val="7CEE2EBD"/>
    <w:rsid w:val="7D2A0296"/>
    <w:rsid w:val="7D4C54AC"/>
    <w:rsid w:val="7D4E7440"/>
    <w:rsid w:val="7D567401"/>
    <w:rsid w:val="7D76423F"/>
    <w:rsid w:val="7D772E2B"/>
    <w:rsid w:val="7D7F74CA"/>
    <w:rsid w:val="7D8C738E"/>
    <w:rsid w:val="7D926E3B"/>
    <w:rsid w:val="7D95534A"/>
    <w:rsid w:val="7DA94709"/>
    <w:rsid w:val="7DAD299F"/>
    <w:rsid w:val="7DD64083"/>
    <w:rsid w:val="7DE2398E"/>
    <w:rsid w:val="7DF237E4"/>
    <w:rsid w:val="7DF73D2F"/>
    <w:rsid w:val="7E6D44DE"/>
    <w:rsid w:val="7EB81DA4"/>
    <w:rsid w:val="7EC23727"/>
    <w:rsid w:val="7EC3035A"/>
    <w:rsid w:val="7ED01DCC"/>
    <w:rsid w:val="7EDB5A14"/>
    <w:rsid w:val="7EDF56BE"/>
    <w:rsid w:val="7EE24DDD"/>
    <w:rsid w:val="7EEC1372"/>
    <w:rsid w:val="7EED6FB2"/>
    <w:rsid w:val="7F00219F"/>
    <w:rsid w:val="7F125CD3"/>
    <w:rsid w:val="7F2D05B5"/>
    <w:rsid w:val="7F345520"/>
    <w:rsid w:val="7F3517ED"/>
    <w:rsid w:val="7F3521D6"/>
    <w:rsid w:val="7F397EF3"/>
    <w:rsid w:val="7F3F5739"/>
    <w:rsid w:val="7F48772B"/>
    <w:rsid w:val="7F49178F"/>
    <w:rsid w:val="7F5F21A6"/>
    <w:rsid w:val="7F777E67"/>
    <w:rsid w:val="7F791C3F"/>
    <w:rsid w:val="7F98476C"/>
    <w:rsid w:val="7F9C07DA"/>
    <w:rsid w:val="7F9F78AB"/>
    <w:rsid w:val="7FA47214"/>
    <w:rsid w:val="7FA674C2"/>
    <w:rsid w:val="7FBF5FD8"/>
    <w:rsid w:val="7FC42F33"/>
    <w:rsid w:val="7FD9042F"/>
    <w:rsid w:val="7FF406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48"/>
    <w:qFormat/>
    <w:uiPriority w:val="0"/>
    <w:pPr>
      <w:keepNext/>
      <w:numPr>
        <w:ilvl w:val="0"/>
        <w:numId w:val="1"/>
      </w:numPr>
      <w:jc w:val="center"/>
      <w:outlineLvl w:val="0"/>
    </w:pPr>
    <w:rPr>
      <w:rFonts w:ascii="黑体" w:eastAsia="黑体"/>
      <w:sz w:val="30"/>
      <w:szCs w:val="20"/>
    </w:rPr>
  </w:style>
  <w:style w:type="paragraph" w:styleId="4">
    <w:name w:val="heading 2"/>
    <w:basedOn w:val="3"/>
    <w:next w:val="1"/>
    <w:link w:val="133"/>
    <w:qFormat/>
    <w:uiPriority w:val="0"/>
    <w:pPr>
      <w:numPr>
        <w:numId w:val="2"/>
      </w:numPr>
      <w:tabs>
        <w:tab w:val="left" w:pos="960"/>
        <w:tab w:val="clear" w:pos="324"/>
      </w:tabs>
      <w:outlineLvl w:val="1"/>
    </w:pPr>
    <w:rPr>
      <w:color w:val="000000"/>
      <w:sz w:val="28"/>
    </w:rPr>
  </w:style>
  <w:style w:type="paragraph" w:styleId="2">
    <w:name w:val="heading 3"/>
    <w:basedOn w:val="1"/>
    <w:next w:val="1"/>
    <w:link w:val="138"/>
    <w:qFormat/>
    <w:uiPriority w:val="0"/>
    <w:pPr>
      <w:keepNext/>
      <w:numPr>
        <w:ilvl w:val="0"/>
        <w:numId w:val="3"/>
      </w:numPr>
      <w:jc w:val="center"/>
      <w:outlineLvl w:val="2"/>
    </w:pPr>
    <w:rPr>
      <w:rFonts w:ascii="黑体" w:eastAsia="黑体"/>
      <w:color w:val="000000"/>
      <w:sz w:val="32"/>
    </w:rPr>
  </w:style>
  <w:style w:type="paragraph" w:styleId="5">
    <w:name w:val="heading 4"/>
    <w:basedOn w:val="1"/>
    <w:next w:val="1"/>
    <w:link w:val="127"/>
    <w:qFormat/>
    <w:uiPriority w:val="0"/>
    <w:pPr>
      <w:keepNext/>
      <w:numPr>
        <w:ilvl w:val="0"/>
        <w:numId w:val="4"/>
      </w:numPr>
      <w:tabs>
        <w:tab w:val="left" w:pos="2715"/>
        <w:tab w:val="clear" w:pos="720"/>
      </w:tabs>
      <w:autoSpaceDE w:val="0"/>
      <w:autoSpaceDN w:val="0"/>
      <w:adjustRightInd w:val="0"/>
      <w:jc w:val="center"/>
      <w:outlineLvl w:val="3"/>
    </w:pPr>
    <w:rPr>
      <w:rFonts w:ascii="方正姚体" w:eastAsia="方正姚体"/>
      <w:sz w:val="36"/>
      <w:szCs w:val="32"/>
    </w:rPr>
  </w:style>
  <w:style w:type="paragraph" w:styleId="6">
    <w:name w:val="heading 5"/>
    <w:basedOn w:val="1"/>
    <w:next w:val="1"/>
    <w:link w:val="149"/>
    <w:qFormat/>
    <w:uiPriority w:val="0"/>
    <w:pPr>
      <w:keepNext/>
      <w:keepLines/>
      <w:spacing w:before="280" w:after="290" w:line="376" w:lineRule="auto"/>
      <w:outlineLvl w:val="4"/>
    </w:pPr>
    <w:rPr>
      <w:b/>
      <w:bCs/>
      <w:sz w:val="28"/>
      <w:szCs w:val="28"/>
    </w:rPr>
  </w:style>
  <w:style w:type="paragraph" w:styleId="7">
    <w:name w:val="heading 6"/>
    <w:basedOn w:val="1"/>
    <w:next w:val="1"/>
    <w:link w:val="124"/>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sz w:val="24"/>
    </w:rPr>
  </w:style>
  <w:style w:type="paragraph" w:styleId="8">
    <w:name w:val="heading 7"/>
    <w:basedOn w:val="1"/>
    <w:next w:val="1"/>
    <w:link w:val="137"/>
    <w:qFormat/>
    <w:uiPriority w:val="0"/>
    <w:pPr>
      <w:keepNext/>
      <w:keepLines/>
      <w:widowControl/>
      <w:tabs>
        <w:tab w:val="left" w:pos="2520"/>
      </w:tabs>
      <w:spacing w:before="240" w:after="64" w:line="320" w:lineRule="auto"/>
      <w:ind w:left="1296" w:hanging="1296"/>
      <w:jc w:val="left"/>
      <w:outlineLvl w:val="6"/>
    </w:pPr>
    <w:rPr>
      <w:b/>
      <w:bCs/>
      <w:sz w:val="24"/>
    </w:rPr>
  </w:style>
  <w:style w:type="paragraph" w:styleId="9">
    <w:name w:val="heading 8"/>
    <w:basedOn w:val="1"/>
    <w:next w:val="1"/>
    <w:link w:val="132"/>
    <w:qFormat/>
    <w:uiPriority w:val="0"/>
    <w:pPr>
      <w:keepNext/>
      <w:keepLines/>
      <w:widowControl/>
      <w:tabs>
        <w:tab w:val="left" w:pos="1440"/>
      </w:tabs>
      <w:spacing w:before="240" w:after="64" w:line="320" w:lineRule="auto"/>
      <w:ind w:left="1440" w:hanging="1440"/>
      <w:jc w:val="left"/>
      <w:outlineLvl w:val="7"/>
    </w:pPr>
    <w:rPr>
      <w:rFonts w:ascii="Arial" w:hAnsi="Arial" w:eastAsia="黑体"/>
      <w:sz w:val="24"/>
    </w:rPr>
  </w:style>
  <w:style w:type="paragraph" w:styleId="10">
    <w:name w:val="heading 9"/>
    <w:basedOn w:val="1"/>
    <w:next w:val="1"/>
    <w:link w:val="131"/>
    <w:qFormat/>
    <w:uiPriority w:val="0"/>
    <w:pPr>
      <w:keepNext/>
      <w:keepLines/>
      <w:widowControl/>
      <w:tabs>
        <w:tab w:val="left" w:pos="1584"/>
      </w:tabs>
      <w:spacing w:before="240" w:after="64" w:line="320" w:lineRule="auto"/>
      <w:ind w:left="1584" w:hanging="1584"/>
      <w:jc w:val="left"/>
      <w:outlineLvl w:val="8"/>
    </w:pPr>
    <w:rPr>
      <w:rFonts w:ascii="Arial" w:hAnsi="Arial" w:eastAsia="黑体"/>
      <w:szCs w:val="21"/>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ind w:firstLine="420"/>
    </w:pPr>
    <w:rPr>
      <w:szCs w:val="20"/>
    </w:rPr>
  </w:style>
  <w:style w:type="paragraph" w:styleId="12">
    <w:name w:val="Document Map"/>
    <w:basedOn w:val="1"/>
    <w:link w:val="119"/>
    <w:qFormat/>
    <w:uiPriority w:val="0"/>
    <w:pPr>
      <w:shd w:val="clear" w:color="auto" w:fill="000080"/>
    </w:pPr>
  </w:style>
  <w:style w:type="paragraph" w:styleId="13">
    <w:name w:val="annotation text"/>
    <w:basedOn w:val="1"/>
    <w:link w:val="129"/>
    <w:qFormat/>
    <w:uiPriority w:val="0"/>
    <w:pPr>
      <w:jc w:val="left"/>
    </w:pPr>
  </w:style>
  <w:style w:type="paragraph" w:styleId="14">
    <w:name w:val="Body Text 3"/>
    <w:basedOn w:val="1"/>
    <w:link w:val="135"/>
    <w:qFormat/>
    <w:uiPriority w:val="0"/>
    <w:rPr>
      <w:rFonts w:ascii="宋体"/>
      <w:color w:val="000000"/>
      <w:sz w:val="32"/>
    </w:rPr>
  </w:style>
  <w:style w:type="paragraph" w:styleId="15">
    <w:name w:val="Body Text"/>
    <w:basedOn w:val="1"/>
    <w:next w:val="1"/>
    <w:link w:val="122"/>
    <w:qFormat/>
    <w:uiPriority w:val="0"/>
    <w:pPr>
      <w:ind w:right="-84" w:rightChars="-40"/>
      <w:jc w:val="center"/>
    </w:pPr>
  </w:style>
  <w:style w:type="paragraph" w:styleId="16">
    <w:name w:val="Body Text Indent"/>
    <w:basedOn w:val="1"/>
    <w:link w:val="134"/>
    <w:qFormat/>
    <w:uiPriority w:val="0"/>
    <w:pPr>
      <w:spacing w:line="360" w:lineRule="auto"/>
      <w:ind w:firstLine="480"/>
    </w:pPr>
    <w:rPr>
      <w:rFonts w:ascii="宋体"/>
      <w:sz w:val="24"/>
    </w:rPr>
  </w:style>
  <w:style w:type="paragraph" w:styleId="17">
    <w:name w:val="Block Text"/>
    <w:basedOn w:val="1"/>
    <w:qFormat/>
    <w:uiPriority w:val="0"/>
    <w:pPr>
      <w:ind w:left="-78" w:leftChars="-37" w:right="-162" w:rightChars="-77" w:firstLine="78" w:firstLineChars="37"/>
      <w:jc w:val="center"/>
    </w:pPr>
    <w:rPr>
      <w:rFonts w:ascii="宋体" w:hAnsi="宋体"/>
      <w:szCs w:val="21"/>
    </w:rPr>
  </w:style>
  <w:style w:type="paragraph" w:styleId="18">
    <w:name w:val="toc 3"/>
    <w:basedOn w:val="1"/>
    <w:next w:val="1"/>
    <w:qFormat/>
    <w:uiPriority w:val="39"/>
    <w:pPr>
      <w:ind w:left="840" w:leftChars="400"/>
    </w:pPr>
  </w:style>
  <w:style w:type="paragraph" w:styleId="19">
    <w:name w:val="Plain Text"/>
    <w:basedOn w:val="1"/>
    <w:link w:val="139"/>
    <w:qFormat/>
    <w:uiPriority w:val="0"/>
    <w:rPr>
      <w:rFonts w:ascii="宋体" w:hAnsi="Courier New" w:cs="黑体"/>
      <w:szCs w:val="21"/>
    </w:rPr>
  </w:style>
  <w:style w:type="paragraph" w:styleId="20">
    <w:name w:val="Date"/>
    <w:basedOn w:val="1"/>
    <w:next w:val="1"/>
    <w:link w:val="150"/>
    <w:qFormat/>
    <w:uiPriority w:val="0"/>
    <w:rPr>
      <w:szCs w:val="20"/>
    </w:rPr>
  </w:style>
  <w:style w:type="paragraph" w:styleId="21">
    <w:name w:val="Body Text Indent 2"/>
    <w:basedOn w:val="1"/>
    <w:link w:val="151"/>
    <w:qFormat/>
    <w:uiPriority w:val="0"/>
    <w:pPr>
      <w:spacing w:line="360" w:lineRule="auto"/>
      <w:ind w:firstLine="480"/>
    </w:pPr>
    <w:rPr>
      <w:rFonts w:ascii="宋体" w:hAnsi="宋体"/>
      <w:szCs w:val="21"/>
    </w:rPr>
  </w:style>
  <w:style w:type="paragraph" w:styleId="22">
    <w:name w:val="endnote text"/>
    <w:basedOn w:val="1"/>
    <w:link w:val="125"/>
    <w:qFormat/>
    <w:uiPriority w:val="0"/>
    <w:pPr>
      <w:snapToGrid w:val="0"/>
      <w:jc w:val="left"/>
    </w:pPr>
  </w:style>
  <w:style w:type="paragraph" w:styleId="23">
    <w:name w:val="Balloon Text"/>
    <w:basedOn w:val="1"/>
    <w:link w:val="126"/>
    <w:qFormat/>
    <w:uiPriority w:val="0"/>
    <w:pPr>
      <w:numPr>
        <w:ilvl w:val="0"/>
        <w:numId w:val="5"/>
      </w:numPr>
      <w:tabs>
        <w:tab w:val="clear" w:pos="1005"/>
      </w:tabs>
      <w:ind w:left="0" w:firstLine="0"/>
    </w:pPr>
    <w:rPr>
      <w:sz w:val="18"/>
      <w:szCs w:val="18"/>
    </w:rPr>
  </w:style>
  <w:style w:type="paragraph" w:styleId="24">
    <w:name w:val="footer"/>
    <w:basedOn w:val="1"/>
    <w:link w:val="140"/>
    <w:qFormat/>
    <w:uiPriority w:val="99"/>
    <w:pPr>
      <w:tabs>
        <w:tab w:val="center" w:pos="4153"/>
        <w:tab w:val="right" w:pos="8306"/>
      </w:tabs>
      <w:snapToGrid w:val="0"/>
      <w:jc w:val="left"/>
    </w:pPr>
    <w:rPr>
      <w:sz w:val="18"/>
    </w:rPr>
  </w:style>
  <w:style w:type="paragraph" w:styleId="25">
    <w:name w:val="header"/>
    <w:basedOn w:val="1"/>
    <w:link w:val="130"/>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0"/>
    <w:pPr>
      <w:tabs>
        <w:tab w:val="right" w:leader="dot" w:pos="8280"/>
        <w:tab w:val="right" w:leader="dot" w:pos="9360"/>
      </w:tabs>
      <w:adjustRightInd w:val="0"/>
      <w:snapToGrid w:val="0"/>
      <w:spacing w:line="300" w:lineRule="auto"/>
      <w:ind w:firstLine="538" w:firstLineChars="192"/>
    </w:pPr>
    <w:rPr>
      <w:rFonts w:ascii="宋体" w:hAnsi="宋体"/>
      <w:bCs/>
      <w:sz w:val="28"/>
    </w:rPr>
  </w:style>
  <w:style w:type="paragraph" w:styleId="27">
    <w:name w:val="footnote text"/>
    <w:basedOn w:val="1"/>
    <w:link w:val="121"/>
    <w:qFormat/>
    <w:uiPriority w:val="0"/>
    <w:pPr>
      <w:snapToGrid w:val="0"/>
      <w:jc w:val="left"/>
    </w:pPr>
    <w:rPr>
      <w:sz w:val="18"/>
    </w:rPr>
  </w:style>
  <w:style w:type="paragraph" w:styleId="28">
    <w:name w:val="Body Text Indent 3"/>
    <w:basedOn w:val="1"/>
    <w:link w:val="120"/>
    <w:qFormat/>
    <w:uiPriority w:val="0"/>
    <w:pPr>
      <w:spacing w:line="480" w:lineRule="exact"/>
      <w:ind w:firstLine="540" w:firstLineChars="257"/>
    </w:pPr>
    <w:rPr>
      <w:rFonts w:ascii="宋体" w:hAnsi="宋体"/>
      <w:szCs w:val="21"/>
    </w:rPr>
  </w:style>
  <w:style w:type="paragraph" w:styleId="29">
    <w:name w:val="toc 2"/>
    <w:basedOn w:val="1"/>
    <w:next w:val="1"/>
    <w:qFormat/>
    <w:uiPriority w:val="39"/>
    <w:pPr>
      <w:ind w:left="420" w:leftChars="200"/>
    </w:pPr>
  </w:style>
  <w:style w:type="paragraph" w:styleId="30">
    <w:name w:val="Body Text 2"/>
    <w:basedOn w:val="1"/>
    <w:link w:val="136"/>
    <w:qFormat/>
    <w:uiPriority w:val="0"/>
    <w:rPr>
      <w:rFonts w:ascii="宋体"/>
      <w:sz w:val="28"/>
    </w:rPr>
  </w:style>
  <w:style w:type="paragraph" w:styleId="3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2">
    <w:name w:val="index 1"/>
    <w:basedOn w:val="1"/>
    <w:next w:val="1"/>
    <w:qFormat/>
    <w:uiPriority w:val="0"/>
    <w:pPr>
      <w:spacing w:line="220" w:lineRule="exact"/>
      <w:jc w:val="center"/>
    </w:pPr>
    <w:rPr>
      <w:rFonts w:ascii="仿宋_GB2312" w:eastAsia="仿宋_GB2312"/>
      <w:szCs w:val="21"/>
    </w:rPr>
  </w:style>
  <w:style w:type="paragraph" w:styleId="33">
    <w:name w:val="Title"/>
    <w:basedOn w:val="1"/>
    <w:link w:val="128"/>
    <w:qFormat/>
    <w:uiPriority w:val="0"/>
    <w:pPr>
      <w:adjustRightInd w:val="0"/>
      <w:spacing w:before="240" w:after="60" w:line="420" w:lineRule="atLeast"/>
      <w:jc w:val="center"/>
      <w:textAlignment w:val="baseline"/>
      <w:outlineLvl w:val="0"/>
    </w:pPr>
    <w:rPr>
      <w:rFonts w:ascii="Arial" w:hAnsi="Arial"/>
      <w:b/>
      <w:sz w:val="32"/>
    </w:rPr>
  </w:style>
  <w:style w:type="paragraph" w:styleId="34">
    <w:name w:val="annotation subject"/>
    <w:basedOn w:val="13"/>
    <w:next w:val="13"/>
    <w:link w:val="152"/>
    <w:qFormat/>
    <w:uiPriority w:val="0"/>
    <w:rPr>
      <w:b/>
      <w:bCs/>
    </w:rPr>
  </w:style>
  <w:style w:type="paragraph" w:styleId="35">
    <w:name w:val="Body Text First Indent"/>
    <w:basedOn w:val="15"/>
    <w:link w:val="153"/>
    <w:qFormat/>
    <w:uiPriority w:val="0"/>
    <w:pPr>
      <w:spacing w:after="120"/>
      <w:ind w:right="0" w:rightChars="0" w:firstLine="420" w:firstLineChars="100"/>
      <w:jc w:val="both"/>
    </w:pPr>
    <w:rPr>
      <w:szCs w:val="20"/>
    </w:r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qFormat/>
    <w:uiPriority w:val="0"/>
    <w:rPr>
      <w:b/>
      <w:bCs/>
    </w:rPr>
  </w:style>
  <w:style w:type="character" w:styleId="40">
    <w:name w:val="page number"/>
    <w:basedOn w:val="38"/>
    <w:qFormat/>
    <w:uiPriority w:val="0"/>
  </w:style>
  <w:style w:type="character" w:styleId="41">
    <w:name w:val="FollowedHyperlink"/>
    <w:qFormat/>
    <w:uiPriority w:val="0"/>
    <w:rPr>
      <w:color w:val="800080"/>
      <w:u w:val="single"/>
    </w:rPr>
  </w:style>
  <w:style w:type="character" w:styleId="42">
    <w:name w:val="Emphasis"/>
    <w:qFormat/>
    <w:uiPriority w:val="20"/>
    <w:rPr>
      <w:i/>
      <w:iCs/>
    </w:rPr>
  </w:style>
  <w:style w:type="character" w:styleId="43">
    <w:name w:val="Hyperlink"/>
    <w:qFormat/>
    <w:uiPriority w:val="99"/>
    <w:rPr>
      <w:color w:val="0000FF"/>
      <w:u w:val="single"/>
    </w:rPr>
  </w:style>
  <w:style w:type="character" w:styleId="44">
    <w:name w:val="annotation reference"/>
    <w:qFormat/>
    <w:uiPriority w:val="0"/>
    <w:rPr>
      <w:sz w:val="21"/>
      <w:szCs w:val="21"/>
    </w:rPr>
  </w:style>
  <w:style w:type="character" w:styleId="45">
    <w:name w:val="footnote reference"/>
    <w:qFormat/>
    <w:uiPriority w:val="0"/>
    <w:rPr>
      <w:vertAlign w:val="superscript"/>
    </w:rPr>
  </w:style>
  <w:style w:type="paragraph" w:customStyle="1" w:styleId="46">
    <w:name w:val="BodyText1I2"/>
    <w:basedOn w:val="47"/>
    <w:qFormat/>
    <w:uiPriority w:val="0"/>
    <w:pPr>
      <w:snapToGrid w:val="0"/>
      <w:spacing w:line="300" w:lineRule="auto"/>
      <w:ind w:firstLine="420" w:firstLineChars="200"/>
    </w:pPr>
    <w:rPr>
      <w:szCs w:val="22"/>
    </w:rPr>
  </w:style>
  <w:style w:type="paragraph" w:customStyle="1" w:styleId="47">
    <w:name w:val="BodyTextIndent"/>
    <w:basedOn w:val="1"/>
    <w:qFormat/>
    <w:uiPriority w:val="0"/>
    <w:pPr>
      <w:spacing w:after="120"/>
      <w:ind w:left="420" w:leftChars="200"/>
      <w:textAlignment w:val="baseline"/>
    </w:pPr>
  </w:style>
  <w:style w:type="paragraph" w:customStyle="1" w:styleId="48">
    <w:name w:val="列出段落1"/>
    <w:basedOn w:val="1"/>
    <w:qFormat/>
    <w:uiPriority w:val="34"/>
    <w:pPr>
      <w:ind w:firstLine="420" w:firstLineChars="200"/>
    </w:pPr>
  </w:style>
  <w:style w:type="paragraph" w:customStyle="1" w:styleId="49">
    <w:name w:val="xl30"/>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Arial Unicode MS" w:hAnsi="Arial Unicode MS"/>
      <w:kern w:val="0"/>
      <w:sz w:val="24"/>
    </w:rPr>
  </w:style>
  <w:style w:type="paragraph" w:customStyle="1" w:styleId="50">
    <w:name w:val="xl3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kern w:val="0"/>
      <w:sz w:val="24"/>
    </w:rPr>
  </w:style>
  <w:style w:type="paragraph" w:customStyle="1" w:styleId="51">
    <w:name w:val="font8"/>
    <w:basedOn w:val="1"/>
    <w:qFormat/>
    <w:uiPriority w:val="0"/>
    <w:pPr>
      <w:widowControl/>
      <w:spacing w:before="100" w:beforeAutospacing="1" w:after="100" w:afterAutospacing="1"/>
      <w:jc w:val="left"/>
    </w:pPr>
    <w:rPr>
      <w:kern w:val="0"/>
      <w:sz w:val="24"/>
    </w:rPr>
  </w:style>
  <w:style w:type="paragraph" w:customStyle="1" w:styleId="52">
    <w:name w:val="xl49"/>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hint="eastAsia" w:ascii="黑体" w:hAnsi="Arial Unicode MS" w:eastAsia="黑体"/>
      <w:kern w:val="0"/>
      <w:sz w:val="24"/>
    </w:rPr>
  </w:style>
  <w:style w:type="paragraph" w:customStyle="1" w:styleId="53">
    <w:name w:val="xl50"/>
    <w:basedOn w:val="1"/>
    <w:qFormat/>
    <w:uiPriority w:val="0"/>
    <w:pPr>
      <w:widowControl/>
      <w:spacing w:before="100" w:beforeAutospacing="1" w:after="100" w:afterAutospacing="1"/>
      <w:jc w:val="center"/>
      <w:textAlignment w:val="top"/>
    </w:pPr>
    <w:rPr>
      <w:rFonts w:hint="eastAsia" w:ascii="黑体" w:hAnsi="Arial Unicode MS" w:eastAsia="黑体"/>
      <w:b/>
      <w:bCs/>
      <w:kern w:val="0"/>
      <w:sz w:val="36"/>
      <w:szCs w:val="36"/>
    </w:rPr>
  </w:style>
  <w:style w:type="paragraph" w:customStyle="1" w:styleId="54">
    <w:name w:val="Char1"/>
    <w:basedOn w:val="1"/>
    <w:qFormat/>
    <w:uiPriority w:val="0"/>
    <w:rPr>
      <w:rFonts w:ascii="仿宋_GB2312" w:eastAsia="仿宋_GB2312"/>
      <w:b/>
      <w:sz w:val="32"/>
      <w:szCs w:val="32"/>
    </w:rPr>
  </w:style>
  <w:style w:type="paragraph" w:customStyle="1" w:styleId="55">
    <w:name w:val="表中"/>
    <w:basedOn w:val="1"/>
    <w:qFormat/>
    <w:uiPriority w:val="0"/>
    <w:pPr>
      <w:adjustRightInd w:val="0"/>
      <w:spacing w:line="360" w:lineRule="atLeast"/>
      <w:jc w:val="center"/>
      <w:textAlignment w:val="baseline"/>
    </w:pPr>
    <w:rPr>
      <w:kern w:val="0"/>
      <w:szCs w:val="20"/>
    </w:rPr>
  </w:style>
  <w:style w:type="paragraph" w:customStyle="1" w:styleId="56">
    <w:name w:val=":)"/>
    <w:qFormat/>
    <w:uiPriority w:val="0"/>
    <w:pPr>
      <w:overflowPunct w:val="0"/>
      <w:autoSpaceDE w:val="0"/>
      <w:autoSpaceDN w:val="0"/>
      <w:adjustRightInd w:val="0"/>
      <w:textAlignment w:val="baseline"/>
    </w:pPr>
    <w:rPr>
      <w:rFonts w:ascii="Times New Roman" w:hAnsi="Times New Roman" w:eastAsia="宋体" w:cs="Times New Roman"/>
      <w:lang w:val="en-GB" w:eastAsia="zh-CN" w:bidi="ar-SA"/>
    </w:rPr>
  </w:style>
  <w:style w:type="paragraph" w:customStyle="1" w:styleId="57">
    <w:name w:val="xl48"/>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黑体" w:hAnsi="Arial Unicode MS" w:eastAsia="黑体"/>
      <w:kern w:val="0"/>
      <w:sz w:val="24"/>
    </w:rPr>
  </w:style>
  <w:style w:type="paragraph" w:customStyle="1" w:styleId="58">
    <w:name w:val="xl52"/>
    <w:basedOn w:val="1"/>
    <w:qFormat/>
    <w:uiPriority w:val="0"/>
    <w:pPr>
      <w:widowControl/>
      <w:spacing w:before="100" w:beforeAutospacing="1" w:after="100" w:afterAutospacing="1"/>
      <w:jc w:val="center"/>
      <w:textAlignment w:val="center"/>
    </w:pPr>
    <w:rPr>
      <w:rFonts w:ascii="Arial Unicode MS" w:hAnsi="Arial Unicode MS"/>
      <w:kern w:val="0"/>
      <w:sz w:val="24"/>
    </w:rPr>
  </w:style>
  <w:style w:type="paragraph" w:customStyle="1" w:styleId="59">
    <w:name w:val="xl51"/>
    <w:basedOn w:val="1"/>
    <w:qFormat/>
    <w:uiPriority w:val="0"/>
    <w:pPr>
      <w:widowControl/>
      <w:spacing w:before="100" w:beforeAutospacing="1" w:after="100" w:afterAutospacing="1"/>
      <w:jc w:val="left"/>
      <w:textAlignment w:val="center"/>
    </w:pPr>
    <w:rPr>
      <w:rFonts w:ascii="Arial Unicode MS" w:hAnsi="Arial Unicode MS"/>
      <w:kern w:val="0"/>
      <w:sz w:val="24"/>
    </w:rPr>
  </w:style>
  <w:style w:type="paragraph" w:customStyle="1" w:styleId="60">
    <w:name w:val="xl29"/>
    <w:basedOn w:val="1"/>
    <w:qFormat/>
    <w:uiPriority w:val="0"/>
    <w:pPr>
      <w:widowControl/>
      <w:pBdr>
        <w:bottom w:val="single" w:color="auto" w:sz="4" w:space="0"/>
      </w:pBdr>
      <w:spacing w:before="100" w:beforeAutospacing="1" w:after="100" w:afterAutospacing="1"/>
      <w:jc w:val="left"/>
    </w:pPr>
    <w:rPr>
      <w:rFonts w:ascii="Arial Unicode MS" w:hAnsi="Arial Unicode MS"/>
      <w:kern w:val="0"/>
      <w:sz w:val="24"/>
    </w:rPr>
  </w:style>
  <w:style w:type="paragraph" w:customStyle="1" w:styleId="61">
    <w:name w:val="xl4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62">
    <w:name w:val="样式 首行缩进:  2 字符"/>
    <w:basedOn w:val="1"/>
    <w:qFormat/>
    <w:uiPriority w:val="0"/>
    <w:pPr>
      <w:spacing w:line="400" w:lineRule="exact"/>
      <w:ind w:firstLine="200" w:firstLineChars="200"/>
    </w:pPr>
    <w:rPr>
      <w:rFonts w:cs="宋体"/>
    </w:rPr>
  </w:style>
  <w:style w:type="paragraph" w:customStyle="1" w:styleId="63">
    <w:name w:val="我的正文"/>
    <w:basedOn w:val="1"/>
    <w:link w:val="123"/>
    <w:qFormat/>
    <w:uiPriority w:val="0"/>
    <w:pPr>
      <w:snapToGrid w:val="0"/>
      <w:spacing w:line="300" w:lineRule="auto"/>
      <w:ind w:firstLine="150" w:firstLineChars="150"/>
    </w:pPr>
    <w:rPr>
      <w:rFonts w:ascii="宋体" w:hAnsi="宋体"/>
      <w:sz w:val="24"/>
    </w:rPr>
  </w:style>
  <w:style w:type="paragraph" w:customStyle="1" w:styleId="64">
    <w:name w:val="font7"/>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65">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kern w:val="0"/>
      <w:sz w:val="24"/>
    </w:rPr>
  </w:style>
  <w:style w:type="paragraph" w:customStyle="1" w:styleId="66">
    <w:name w:val="xl3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67">
    <w:name w:val="目录"/>
    <w:basedOn w:val="1"/>
    <w:qFormat/>
    <w:uiPriority w:val="0"/>
    <w:pPr>
      <w:widowControl/>
      <w:jc w:val="center"/>
    </w:pPr>
    <w:rPr>
      <w:b/>
      <w:sz w:val="36"/>
    </w:rPr>
  </w:style>
  <w:style w:type="paragraph" w:customStyle="1" w:styleId="68">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kern w:val="0"/>
      <w:sz w:val="24"/>
    </w:rPr>
  </w:style>
  <w:style w:type="paragraph" w:customStyle="1" w:styleId="69">
    <w:name w:val="xl41"/>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kern w:val="0"/>
      <w:sz w:val="24"/>
    </w:rPr>
  </w:style>
  <w:style w:type="paragraph" w:customStyle="1" w:styleId="70">
    <w:name w:val="xl36"/>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center"/>
      <w:textAlignment w:val="center"/>
    </w:pPr>
    <w:rPr>
      <w:kern w:val="0"/>
      <w:sz w:val="24"/>
    </w:rPr>
  </w:style>
  <w:style w:type="paragraph" w:customStyle="1" w:styleId="71">
    <w:name w:val="_Style 67"/>
    <w:basedOn w:val="1"/>
    <w:qFormat/>
    <w:uiPriority w:val="0"/>
    <w:pPr>
      <w:ind w:firstLine="420" w:firstLineChars="200"/>
    </w:pPr>
    <w:rPr>
      <w:szCs w:val="20"/>
    </w:rPr>
  </w:style>
  <w:style w:type="paragraph" w:customStyle="1" w:styleId="72">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kern w:val="0"/>
      <w:sz w:val="24"/>
    </w:rPr>
  </w:style>
  <w:style w:type="paragraph" w:customStyle="1" w:styleId="73">
    <w:name w:val="样式2"/>
    <w:basedOn w:val="1"/>
    <w:qFormat/>
    <w:uiPriority w:val="0"/>
    <w:pPr>
      <w:numPr>
        <w:ilvl w:val="0"/>
        <w:numId w:val="6"/>
      </w:numPr>
      <w:spacing w:line="360" w:lineRule="auto"/>
      <w:jc w:val="center"/>
    </w:pPr>
    <w:rPr>
      <w:rFonts w:ascii="黑体" w:eastAsia="黑体"/>
      <w:szCs w:val="20"/>
    </w:rPr>
  </w:style>
  <w:style w:type="paragraph" w:customStyle="1" w:styleId="7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75">
    <w:name w:val="样式 标题 2 + 宋体"/>
    <w:basedOn w:val="4"/>
    <w:qFormat/>
    <w:uiPriority w:val="0"/>
    <w:pPr>
      <w:keepLines/>
      <w:numPr>
        <w:numId w:val="0"/>
      </w:numPr>
      <w:tabs>
        <w:tab w:val="clear" w:pos="960"/>
      </w:tabs>
      <w:spacing w:line="360" w:lineRule="auto"/>
      <w:ind w:firstLine="482" w:firstLineChars="200"/>
      <w:jc w:val="left"/>
    </w:pPr>
    <w:rPr>
      <w:rFonts w:ascii="宋体" w:hAnsi="宋体" w:eastAsia="宋体" w:cs="宋体"/>
      <w:b/>
      <w:bCs/>
      <w:color w:val="auto"/>
      <w:sz w:val="24"/>
    </w:rPr>
  </w:style>
  <w:style w:type="paragraph" w:customStyle="1" w:styleId="76">
    <w:name w:val="xl33"/>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77">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8">
    <w:name w:val="简单回函地址"/>
    <w:basedOn w:val="1"/>
    <w:qFormat/>
    <w:uiPriority w:val="0"/>
  </w:style>
  <w:style w:type="paragraph" w:customStyle="1" w:styleId="79">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color w:val="FF0000"/>
      <w:kern w:val="0"/>
      <w:sz w:val="24"/>
    </w:rPr>
  </w:style>
  <w:style w:type="paragraph" w:customStyle="1" w:styleId="80">
    <w:name w:val="&lt;=&gt;"/>
    <w:qFormat/>
    <w:uiPriority w:val="0"/>
    <w:pPr>
      <w:overflowPunct w:val="0"/>
      <w:autoSpaceDE w:val="0"/>
      <w:autoSpaceDN w:val="0"/>
      <w:adjustRightInd w:val="0"/>
      <w:textAlignment w:val="baseline"/>
    </w:pPr>
    <w:rPr>
      <w:rFonts w:ascii="Times New Roman" w:hAnsi="Times New Roman" w:eastAsia="宋体" w:cs="Times New Roman"/>
      <w:lang w:val="en-GB" w:eastAsia="zh-CN" w:bidi="ar-SA"/>
    </w:rPr>
  </w:style>
  <w:style w:type="paragraph" w:customStyle="1" w:styleId="81">
    <w:name w:val="纯文本1"/>
    <w:basedOn w:val="1"/>
    <w:qFormat/>
    <w:uiPriority w:val="0"/>
    <w:pPr>
      <w:adjustRightInd w:val="0"/>
      <w:textAlignment w:val="baseline"/>
    </w:pPr>
    <w:rPr>
      <w:rFonts w:ascii="宋体" w:hAnsi="Courier New"/>
      <w:szCs w:val="20"/>
    </w:rPr>
  </w:style>
  <w:style w:type="paragraph" w:customStyle="1" w:styleId="82">
    <w:name w:val="font1"/>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83">
    <w:name w:val="font11"/>
    <w:basedOn w:val="1"/>
    <w:qFormat/>
    <w:uiPriority w:val="0"/>
    <w:pPr>
      <w:widowControl/>
      <w:spacing w:before="100" w:beforeAutospacing="1" w:after="100" w:afterAutospacing="1"/>
      <w:jc w:val="left"/>
    </w:pPr>
    <w:rPr>
      <w:b/>
      <w:bCs/>
      <w:kern w:val="0"/>
      <w:sz w:val="24"/>
    </w:rPr>
  </w:style>
  <w:style w:type="paragraph" w:customStyle="1" w:styleId="84">
    <w:name w:val="样式 标题 2 + Times New Roman 四号 非加粗 段前: 5 磅 段后: 0 磅 行距: 固定值 20..."/>
    <w:basedOn w:val="4"/>
    <w:qFormat/>
    <w:uiPriority w:val="0"/>
    <w:pPr>
      <w:keepLines/>
      <w:numPr>
        <w:numId w:val="0"/>
      </w:numPr>
      <w:spacing w:before="100" w:line="400" w:lineRule="exact"/>
      <w:jc w:val="both"/>
    </w:pPr>
    <w:rPr>
      <w:rFonts w:ascii="Times New Roman" w:cs="宋体"/>
      <w:color w:val="auto"/>
    </w:rPr>
  </w:style>
  <w:style w:type="paragraph" w:customStyle="1" w:styleId="85">
    <w:name w:val=":-)"/>
    <w:qFormat/>
    <w:uiPriority w:val="0"/>
    <w:pPr>
      <w:overflowPunct w:val="0"/>
      <w:autoSpaceDE w:val="0"/>
      <w:autoSpaceDN w:val="0"/>
      <w:adjustRightInd w:val="0"/>
      <w:textAlignment w:val="baseline"/>
    </w:pPr>
    <w:rPr>
      <w:rFonts w:ascii="Times New Roman" w:hAnsi="Times New Roman" w:eastAsia="宋体" w:cs="Times New Roman"/>
      <w:lang w:val="en-GB" w:eastAsia="zh-CN" w:bidi="ar-SA"/>
    </w:rPr>
  </w:style>
  <w:style w:type="paragraph" w:customStyle="1" w:styleId="86">
    <w:name w:val="_Style 8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
    <w:name w:val="xl35"/>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88">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89">
    <w:name w:val="&lt;--"/>
    <w:qFormat/>
    <w:uiPriority w:val="0"/>
    <w:pPr>
      <w:overflowPunct w:val="0"/>
      <w:autoSpaceDE w:val="0"/>
      <w:autoSpaceDN w:val="0"/>
      <w:adjustRightInd w:val="0"/>
      <w:textAlignment w:val="baseline"/>
    </w:pPr>
    <w:rPr>
      <w:rFonts w:ascii="Times New Roman" w:hAnsi="Times New Roman" w:eastAsia="宋体" w:cs="Times New Roman"/>
      <w:lang w:val="en-GB" w:eastAsia="zh-CN" w:bidi="ar-SA"/>
    </w:rPr>
  </w:style>
  <w:style w:type="paragraph" w:customStyle="1" w:styleId="90">
    <w:name w:val="xl44"/>
    <w:basedOn w:val="1"/>
    <w:qFormat/>
    <w:uiPriority w:val="0"/>
    <w:pPr>
      <w:widowControl/>
      <w:pBdr>
        <w:left w:val="single" w:color="auto" w:sz="4" w:space="0"/>
        <w:bottom w:val="single" w:color="auto" w:sz="4" w:space="0"/>
        <w:right w:val="single" w:color="auto" w:sz="8" w:space="0"/>
      </w:pBdr>
      <w:spacing w:before="100" w:beforeAutospacing="1" w:after="100" w:afterAutospacing="1"/>
      <w:jc w:val="center"/>
      <w:textAlignment w:val="center"/>
    </w:pPr>
    <w:rPr>
      <w:kern w:val="0"/>
      <w:sz w:val="24"/>
    </w:rPr>
  </w:style>
  <w:style w:type="paragraph" w:customStyle="1" w:styleId="91">
    <w:name w:val="_Style 87"/>
    <w:unhideWhenUsed/>
    <w:qFormat/>
    <w:uiPriority w:val="99"/>
    <w:rPr>
      <w:rFonts w:ascii="Times New Roman" w:hAnsi="Times New Roman" w:eastAsia="宋体" w:cs="Times New Roman"/>
      <w:kern w:val="2"/>
      <w:sz w:val="21"/>
      <w:szCs w:val="24"/>
      <w:lang w:val="en-US" w:eastAsia="zh-CN" w:bidi="ar-SA"/>
    </w:rPr>
  </w:style>
  <w:style w:type="paragraph" w:customStyle="1" w:styleId="9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kern w:val="0"/>
      <w:sz w:val="24"/>
    </w:rPr>
  </w:style>
  <w:style w:type="paragraph" w:customStyle="1" w:styleId="93">
    <w:name w:val="xl40"/>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94">
    <w:name w:val=":("/>
    <w:qFormat/>
    <w:uiPriority w:val="0"/>
    <w:pPr>
      <w:overflowPunct w:val="0"/>
      <w:autoSpaceDE w:val="0"/>
      <w:autoSpaceDN w:val="0"/>
      <w:adjustRightInd w:val="0"/>
      <w:textAlignment w:val="baseline"/>
    </w:pPr>
    <w:rPr>
      <w:rFonts w:ascii="Times New Roman" w:hAnsi="Times New Roman" w:eastAsia="宋体" w:cs="Times New Roman"/>
      <w:lang w:val="en-GB" w:eastAsia="zh-CN" w:bidi="ar-SA"/>
    </w:rPr>
  </w:style>
  <w:style w:type="paragraph" w:customStyle="1" w:styleId="95">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kern w:val="0"/>
      <w:sz w:val="24"/>
    </w:rPr>
  </w:style>
  <w:style w:type="paragraph" w:customStyle="1" w:styleId="96">
    <w:name w:val="&lt;=="/>
    <w:qFormat/>
    <w:uiPriority w:val="0"/>
    <w:pPr>
      <w:overflowPunct w:val="0"/>
      <w:autoSpaceDE w:val="0"/>
      <w:autoSpaceDN w:val="0"/>
      <w:adjustRightInd w:val="0"/>
      <w:textAlignment w:val="baseline"/>
    </w:pPr>
    <w:rPr>
      <w:rFonts w:ascii="Times New Roman" w:hAnsi="Times New Roman" w:eastAsia="宋体" w:cs="Times New Roman"/>
      <w:lang w:val="en-GB" w:eastAsia="zh-CN" w:bidi="ar-SA"/>
    </w:rPr>
  </w:style>
  <w:style w:type="paragraph" w:customStyle="1" w:styleId="97">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color w:val="FF0000"/>
      <w:kern w:val="0"/>
      <w:sz w:val="24"/>
    </w:rPr>
  </w:style>
  <w:style w:type="paragraph" w:customStyle="1" w:styleId="98">
    <w:name w:val="font10"/>
    <w:basedOn w:val="1"/>
    <w:qFormat/>
    <w:uiPriority w:val="0"/>
    <w:pPr>
      <w:widowControl/>
      <w:spacing w:before="100" w:beforeAutospacing="1" w:after="100" w:afterAutospacing="1"/>
      <w:jc w:val="left"/>
    </w:pPr>
    <w:rPr>
      <w:rFonts w:hint="eastAsia" w:ascii="宋体" w:hAnsi="宋体"/>
      <w:b/>
      <w:bCs/>
      <w:kern w:val="0"/>
      <w:sz w:val="24"/>
    </w:rPr>
  </w:style>
  <w:style w:type="paragraph" w:customStyle="1" w:styleId="99">
    <w:name w:val="标题 3 New"/>
    <w:basedOn w:val="77"/>
    <w:next w:val="77"/>
    <w:qFormat/>
    <w:uiPriority w:val="0"/>
    <w:pPr>
      <w:keepNext/>
      <w:keepLines/>
      <w:spacing w:line="360" w:lineRule="auto"/>
      <w:ind w:firstLine="200" w:firstLineChars="200"/>
      <w:outlineLvl w:val="2"/>
    </w:pPr>
    <w:rPr>
      <w:b/>
      <w:bCs/>
      <w:szCs w:val="32"/>
    </w:rPr>
  </w:style>
  <w:style w:type="paragraph" w:customStyle="1" w:styleId="100">
    <w:name w:val="样式1"/>
    <w:basedOn w:val="1"/>
    <w:qFormat/>
    <w:uiPriority w:val="0"/>
    <w:pPr>
      <w:adjustRightInd w:val="0"/>
      <w:spacing w:before="360" w:after="240" w:line="360" w:lineRule="auto"/>
      <w:jc w:val="center"/>
      <w:textAlignment w:val="baseline"/>
    </w:pPr>
    <w:rPr>
      <w:rFonts w:ascii="黑体" w:eastAsia="黑体"/>
      <w:kern w:val="0"/>
      <w:sz w:val="32"/>
      <w:szCs w:val="20"/>
    </w:rPr>
  </w:style>
  <w:style w:type="paragraph" w:customStyle="1" w:styleId="101">
    <w:name w:val="xl34"/>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02">
    <w:name w:val="样式 标题 2 + 宋体 四号 居中"/>
    <w:basedOn w:val="4"/>
    <w:qFormat/>
    <w:uiPriority w:val="0"/>
    <w:pPr>
      <w:keepLines/>
      <w:numPr>
        <w:numId w:val="0"/>
      </w:numPr>
      <w:tabs>
        <w:tab w:val="clear" w:pos="960"/>
      </w:tabs>
      <w:spacing w:before="260" w:after="260" w:line="415" w:lineRule="auto"/>
    </w:pPr>
    <w:rPr>
      <w:rFonts w:ascii="宋体" w:hAnsi="宋体" w:eastAsia="宋体" w:cs="宋体"/>
      <w:b/>
      <w:bCs/>
      <w:color w:val="auto"/>
      <w:sz w:val="30"/>
    </w:rPr>
  </w:style>
  <w:style w:type="paragraph" w:customStyle="1" w:styleId="103">
    <w:name w:val="_Style 99"/>
    <w:basedOn w:val="3"/>
    <w:next w:val="1"/>
    <w:qFormat/>
    <w:uiPriority w:val="39"/>
    <w:pPr>
      <w:widowControl/>
      <w:spacing w:before="480" w:line="276" w:lineRule="auto"/>
      <w:jc w:val="left"/>
      <w:outlineLvl w:val="9"/>
    </w:pPr>
    <w:rPr>
      <w:rFonts w:ascii="Cambria" w:hAnsi="Cambria" w:eastAsia="宋体"/>
      <w:color w:val="365F91"/>
      <w:kern w:val="0"/>
      <w:sz w:val="28"/>
      <w:szCs w:val="28"/>
    </w:rPr>
  </w:style>
  <w:style w:type="paragraph" w:customStyle="1" w:styleId="104">
    <w:name w:val="表格文字"/>
    <w:basedOn w:val="1"/>
    <w:qFormat/>
    <w:uiPriority w:val="0"/>
    <w:pPr>
      <w:adjustRightInd w:val="0"/>
      <w:spacing w:line="420" w:lineRule="atLeast"/>
      <w:jc w:val="left"/>
      <w:textAlignment w:val="baseline"/>
    </w:pPr>
    <w:rPr>
      <w:kern w:val="0"/>
      <w:szCs w:val="20"/>
    </w:rPr>
  </w:style>
  <w:style w:type="paragraph" w:customStyle="1" w:styleId="10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0000"/>
      <w:kern w:val="0"/>
      <w:sz w:val="24"/>
    </w:rPr>
  </w:style>
  <w:style w:type="paragraph" w:customStyle="1" w:styleId="106">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color w:val="FF0000"/>
      <w:kern w:val="0"/>
      <w:sz w:val="24"/>
    </w:rPr>
  </w:style>
  <w:style w:type="paragraph" w:customStyle="1" w:styleId="107">
    <w:name w:val="font9"/>
    <w:basedOn w:val="1"/>
    <w:qFormat/>
    <w:uiPriority w:val="0"/>
    <w:pPr>
      <w:widowControl/>
      <w:spacing w:before="100" w:beforeAutospacing="1" w:after="100" w:afterAutospacing="1"/>
      <w:jc w:val="left"/>
    </w:pPr>
    <w:rPr>
      <w:kern w:val="0"/>
      <w:sz w:val="24"/>
      <w:u w:val="single"/>
    </w:rPr>
  </w:style>
  <w:style w:type="paragraph" w:customStyle="1" w:styleId="10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kern w:val="0"/>
      <w:sz w:val="24"/>
    </w:rPr>
  </w:style>
  <w:style w:type="paragraph" w:customStyle="1" w:styleId="109">
    <w:name w:val=":-("/>
    <w:qFormat/>
    <w:uiPriority w:val="0"/>
    <w:pPr>
      <w:overflowPunct w:val="0"/>
      <w:autoSpaceDE w:val="0"/>
      <w:autoSpaceDN w:val="0"/>
      <w:adjustRightInd w:val="0"/>
      <w:textAlignment w:val="baseline"/>
    </w:pPr>
    <w:rPr>
      <w:rFonts w:ascii="Times New Roman" w:hAnsi="Times New Roman" w:eastAsia="宋体" w:cs="Times New Roman"/>
      <w:lang w:val="en-GB" w:eastAsia="zh-CN" w:bidi="ar-SA"/>
    </w:rPr>
  </w:style>
  <w:style w:type="paragraph" w:customStyle="1" w:styleId="110">
    <w:name w:val="Char"/>
    <w:basedOn w:val="1"/>
    <w:qFormat/>
    <w:uiPriority w:val="0"/>
    <w:pPr>
      <w:widowControl/>
      <w:spacing w:after="160" w:line="240" w:lineRule="exact"/>
      <w:jc w:val="left"/>
    </w:pPr>
    <w:rPr>
      <w:szCs w:val="20"/>
    </w:rPr>
  </w:style>
  <w:style w:type="paragraph" w:customStyle="1" w:styleId="111">
    <w:name w:val="font6"/>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12">
    <w:name w:val=":-|"/>
    <w:qFormat/>
    <w:uiPriority w:val="0"/>
    <w:pPr>
      <w:overflowPunct w:val="0"/>
      <w:autoSpaceDE w:val="0"/>
      <w:autoSpaceDN w:val="0"/>
      <w:adjustRightInd w:val="0"/>
      <w:textAlignment w:val="baseline"/>
    </w:pPr>
    <w:rPr>
      <w:rFonts w:ascii="Times New Roman" w:hAnsi="Times New Roman" w:eastAsia="宋体" w:cs="Times New Roman"/>
      <w:lang w:val="en-GB" w:eastAsia="zh-CN" w:bidi="ar-SA"/>
    </w:rPr>
  </w:style>
  <w:style w:type="paragraph" w:customStyle="1" w:styleId="113">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14">
    <w:name w:val="==&gt;"/>
    <w:qFormat/>
    <w:uiPriority w:val="0"/>
    <w:pPr>
      <w:overflowPunct w:val="0"/>
      <w:autoSpaceDE w:val="0"/>
      <w:autoSpaceDN w:val="0"/>
      <w:adjustRightInd w:val="0"/>
      <w:textAlignment w:val="baseline"/>
    </w:pPr>
    <w:rPr>
      <w:rFonts w:ascii="Times New Roman" w:hAnsi="Times New Roman" w:eastAsia="宋体" w:cs="Times New Roman"/>
      <w:lang w:val="en-GB" w:eastAsia="zh-CN" w:bidi="ar-SA"/>
    </w:rPr>
  </w:style>
  <w:style w:type="paragraph" w:customStyle="1" w:styleId="115">
    <w:name w:val="xl45"/>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textAlignment w:val="center"/>
    </w:pPr>
    <w:rPr>
      <w:kern w:val="0"/>
      <w:sz w:val="24"/>
    </w:rPr>
  </w:style>
  <w:style w:type="paragraph" w:customStyle="1" w:styleId="116">
    <w:name w:val="xl39"/>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b/>
      <w:bCs/>
      <w:color w:val="FF0000"/>
      <w:kern w:val="0"/>
      <w:sz w:val="24"/>
    </w:rPr>
  </w:style>
  <w:style w:type="paragraph" w:customStyle="1" w:styleId="117">
    <w:name w:val="xl47"/>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黑体" w:hAnsi="Arial Unicode MS" w:eastAsia="黑体"/>
      <w:kern w:val="0"/>
      <w:sz w:val="24"/>
    </w:rPr>
  </w:style>
  <w:style w:type="paragraph" w:customStyle="1" w:styleId="118">
    <w:name w:val=":|"/>
    <w:qFormat/>
    <w:uiPriority w:val="0"/>
    <w:pPr>
      <w:overflowPunct w:val="0"/>
      <w:autoSpaceDE w:val="0"/>
      <w:autoSpaceDN w:val="0"/>
      <w:adjustRightInd w:val="0"/>
      <w:textAlignment w:val="baseline"/>
    </w:pPr>
    <w:rPr>
      <w:rFonts w:ascii="Times New Roman" w:hAnsi="Times New Roman" w:eastAsia="宋体" w:cs="Times New Roman"/>
      <w:lang w:val="en-GB" w:eastAsia="zh-CN" w:bidi="ar-SA"/>
    </w:rPr>
  </w:style>
  <w:style w:type="character" w:customStyle="1" w:styleId="119">
    <w:name w:val="文档结构图 字符"/>
    <w:link w:val="12"/>
    <w:qFormat/>
    <w:uiPriority w:val="0"/>
    <w:rPr>
      <w:rFonts w:eastAsia="宋体"/>
      <w:kern w:val="2"/>
      <w:sz w:val="21"/>
      <w:szCs w:val="24"/>
      <w:lang w:val="en-US" w:eastAsia="zh-CN" w:bidi="ar-SA"/>
    </w:rPr>
  </w:style>
  <w:style w:type="character" w:customStyle="1" w:styleId="120">
    <w:name w:val="正文文本缩进 3 字符"/>
    <w:link w:val="28"/>
    <w:qFormat/>
    <w:uiPriority w:val="0"/>
    <w:rPr>
      <w:rFonts w:ascii="宋体" w:hAnsi="宋体" w:eastAsia="宋体"/>
      <w:kern w:val="2"/>
      <w:sz w:val="21"/>
      <w:szCs w:val="21"/>
      <w:lang w:val="en-US" w:eastAsia="zh-CN" w:bidi="ar-SA"/>
    </w:rPr>
  </w:style>
  <w:style w:type="character" w:customStyle="1" w:styleId="121">
    <w:name w:val="脚注文本 字符"/>
    <w:link w:val="27"/>
    <w:qFormat/>
    <w:uiPriority w:val="0"/>
    <w:rPr>
      <w:rFonts w:eastAsia="宋体"/>
      <w:kern w:val="2"/>
      <w:sz w:val="18"/>
      <w:lang w:val="en-US" w:eastAsia="zh-CN" w:bidi="ar-SA"/>
    </w:rPr>
  </w:style>
  <w:style w:type="character" w:customStyle="1" w:styleId="122">
    <w:name w:val="正文文本 字符"/>
    <w:link w:val="15"/>
    <w:qFormat/>
    <w:uiPriority w:val="0"/>
    <w:rPr>
      <w:rFonts w:eastAsia="宋体"/>
      <w:kern w:val="2"/>
      <w:sz w:val="21"/>
      <w:szCs w:val="24"/>
      <w:lang w:val="en-US" w:eastAsia="zh-CN" w:bidi="ar-SA"/>
    </w:rPr>
  </w:style>
  <w:style w:type="character" w:customStyle="1" w:styleId="123">
    <w:name w:val="我的正文 Char Char"/>
    <w:link w:val="63"/>
    <w:qFormat/>
    <w:uiPriority w:val="0"/>
    <w:rPr>
      <w:rFonts w:ascii="宋体" w:hAnsi="宋体" w:eastAsia="宋体"/>
      <w:kern w:val="2"/>
      <w:sz w:val="24"/>
      <w:szCs w:val="24"/>
      <w:lang w:val="en-US" w:eastAsia="zh-CN" w:bidi="ar-SA"/>
    </w:rPr>
  </w:style>
  <w:style w:type="character" w:customStyle="1" w:styleId="124">
    <w:name w:val="标题 6 字符"/>
    <w:link w:val="7"/>
    <w:qFormat/>
    <w:uiPriority w:val="0"/>
    <w:rPr>
      <w:rFonts w:ascii="Arial" w:hAnsi="Arial" w:eastAsia="黑体"/>
      <w:b/>
      <w:bCs/>
      <w:sz w:val="24"/>
      <w:szCs w:val="24"/>
      <w:lang w:val="en-US" w:eastAsia="zh-CN" w:bidi="ar-SA"/>
    </w:rPr>
  </w:style>
  <w:style w:type="character" w:customStyle="1" w:styleId="125">
    <w:name w:val="尾注文本 字符"/>
    <w:link w:val="22"/>
    <w:qFormat/>
    <w:uiPriority w:val="0"/>
    <w:rPr>
      <w:rFonts w:eastAsia="宋体"/>
      <w:kern w:val="2"/>
      <w:sz w:val="21"/>
      <w:lang w:val="en-US" w:eastAsia="zh-CN" w:bidi="ar-SA"/>
    </w:rPr>
  </w:style>
  <w:style w:type="character" w:customStyle="1" w:styleId="126">
    <w:name w:val="批注框文本 字符"/>
    <w:link w:val="23"/>
    <w:qFormat/>
    <w:uiPriority w:val="0"/>
    <w:rPr>
      <w:rFonts w:eastAsia="宋体"/>
      <w:kern w:val="2"/>
      <w:sz w:val="18"/>
      <w:szCs w:val="18"/>
      <w:lang w:val="en-US" w:eastAsia="zh-CN" w:bidi="ar-SA"/>
    </w:rPr>
  </w:style>
  <w:style w:type="character" w:customStyle="1" w:styleId="127">
    <w:name w:val="标题 4 字符"/>
    <w:link w:val="5"/>
    <w:qFormat/>
    <w:uiPriority w:val="0"/>
    <w:rPr>
      <w:rFonts w:ascii="方正姚体" w:eastAsia="方正姚体"/>
      <w:kern w:val="2"/>
      <w:sz w:val="36"/>
      <w:szCs w:val="32"/>
      <w:lang w:val="en-US" w:eastAsia="zh-CN" w:bidi="ar-SA"/>
    </w:rPr>
  </w:style>
  <w:style w:type="character" w:customStyle="1" w:styleId="128">
    <w:name w:val="标题 字符"/>
    <w:link w:val="33"/>
    <w:qFormat/>
    <w:uiPriority w:val="0"/>
    <w:rPr>
      <w:rFonts w:ascii="Arial" w:hAnsi="Arial" w:eastAsia="宋体"/>
      <w:b/>
      <w:sz w:val="32"/>
      <w:lang w:val="en-US" w:eastAsia="zh-CN" w:bidi="ar-SA"/>
    </w:rPr>
  </w:style>
  <w:style w:type="character" w:customStyle="1" w:styleId="129">
    <w:name w:val="批注文字 字符"/>
    <w:link w:val="13"/>
    <w:qFormat/>
    <w:uiPriority w:val="0"/>
    <w:rPr>
      <w:rFonts w:eastAsia="宋体"/>
      <w:kern w:val="2"/>
      <w:sz w:val="21"/>
      <w:szCs w:val="24"/>
      <w:lang w:val="en-US" w:eastAsia="zh-CN" w:bidi="ar-SA"/>
    </w:rPr>
  </w:style>
  <w:style w:type="character" w:customStyle="1" w:styleId="130">
    <w:name w:val="页眉 字符"/>
    <w:link w:val="25"/>
    <w:qFormat/>
    <w:uiPriority w:val="99"/>
    <w:rPr>
      <w:rFonts w:eastAsia="宋体"/>
      <w:kern w:val="2"/>
      <w:sz w:val="18"/>
      <w:szCs w:val="18"/>
      <w:lang w:val="en-US" w:eastAsia="zh-CN" w:bidi="ar-SA"/>
    </w:rPr>
  </w:style>
  <w:style w:type="character" w:customStyle="1" w:styleId="131">
    <w:name w:val="标题 9 字符"/>
    <w:link w:val="10"/>
    <w:qFormat/>
    <w:uiPriority w:val="0"/>
    <w:rPr>
      <w:rFonts w:ascii="Arial" w:hAnsi="Arial" w:eastAsia="黑体"/>
      <w:sz w:val="21"/>
      <w:szCs w:val="21"/>
      <w:lang w:val="en-US" w:eastAsia="zh-CN" w:bidi="ar-SA"/>
    </w:rPr>
  </w:style>
  <w:style w:type="character" w:customStyle="1" w:styleId="132">
    <w:name w:val="标题 8 字符"/>
    <w:link w:val="9"/>
    <w:qFormat/>
    <w:uiPriority w:val="0"/>
    <w:rPr>
      <w:rFonts w:ascii="Arial" w:hAnsi="Arial" w:eastAsia="黑体"/>
      <w:sz w:val="24"/>
      <w:szCs w:val="24"/>
      <w:lang w:val="en-US" w:eastAsia="zh-CN" w:bidi="ar-SA"/>
    </w:rPr>
  </w:style>
  <w:style w:type="character" w:customStyle="1" w:styleId="133">
    <w:name w:val="标题 2 字符"/>
    <w:link w:val="4"/>
    <w:qFormat/>
    <w:uiPriority w:val="0"/>
    <w:rPr>
      <w:rFonts w:ascii="黑体" w:eastAsia="黑体"/>
      <w:color w:val="000000"/>
      <w:kern w:val="2"/>
      <w:sz w:val="28"/>
      <w:lang w:val="en-US" w:eastAsia="zh-CN" w:bidi="ar-SA"/>
    </w:rPr>
  </w:style>
  <w:style w:type="character" w:customStyle="1" w:styleId="134">
    <w:name w:val="正文文本缩进 字符"/>
    <w:link w:val="16"/>
    <w:qFormat/>
    <w:uiPriority w:val="0"/>
    <w:rPr>
      <w:rFonts w:ascii="宋体" w:eastAsia="宋体"/>
      <w:kern w:val="2"/>
      <w:sz w:val="24"/>
      <w:szCs w:val="24"/>
      <w:lang w:val="en-US" w:eastAsia="zh-CN" w:bidi="ar-SA"/>
    </w:rPr>
  </w:style>
  <w:style w:type="character" w:customStyle="1" w:styleId="135">
    <w:name w:val="正文文本 3 字符"/>
    <w:link w:val="14"/>
    <w:qFormat/>
    <w:uiPriority w:val="0"/>
    <w:rPr>
      <w:rFonts w:ascii="宋体" w:eastAsia="宋体"/>
      <w:color w:val="000000"/>
      <w:kern w:val="2"/>
      <w:sz w:val="32"/>
      <w:lang w:val="en-US" w:eastAsia="zh-CN" w:bidi="ar-SA"/>
    </w:rPr>
  </w:style>
  <w:style w:type="character" w:customStyle="1" w:styleId="136">
    <w:name w:val="正文文本 2 字符"/>
    <w:link w:val="30"/>
    <w:qFormat/>
    <w:uiPriority w:val="0"/>
    <w:rPr>
      <w:rFonts w:ascii="宋体" w:eastAsia="宋体"/>
      <w:kern w:val="2"/>
      <w:sz w:val="28"/>
      <w:lang w:val="en-US" w:eastAsia="zh-CN" w:bidi="ar-SA"/>
    </w:rPr>
  </w:style>
  <w:style w:type="character" w:customStyle="1" w:styleId="137">
    <w:name w:val="标题 7 字符"/>
    <w:link w:val="8"/>
    <w:qFormat/>
    <w:uiPriority w:val="0"/>
    <w:rPr>
      <w:rFonts w:eastAsia="宋体"/>
      <w:b/>
      <w:bCs/>
      <w:sz w:val="24"/>
      <w:szCs w:val="24"/>
      <w:lang w:val="en-US" w:eastAsia="zh-CN" w:bidi="ar-SA"/>
    </w:rPr>
  </w:style>
  <w:style w:type="character" w:customStyle="1" w:styleId="138">
    <w:name w:val="标题 3 字符"/>
    <w:link w:val="2"/>
    <w:qFormat/>
    <w:uiPriority w:val="0"/>
    <w:rPr>
      <w:rFonts w:ascii="黑体" w:eastAsia="黑体"/>
      <w:color w:val="000000"/>
      <w:kern w:val="2"/>
      <w:sz w:val="32"/>
      <w:lang w:val="en-US" w:eastAsia="zh-CN" w:bidi="ar-SA"/>
    </w:rPr>
  </w:style>
  <w:style w:type="character" w:customStyle="1" w:styleId="139">
    <w:name w:val="纯文本 字符"/>
    <w:link w:val="19"/>
    <w:qFormat/>
    <w:uiPriority w:val="0"/>
    <w:rPr>
      <w:rFonts w:ascii="宋体" w:hAnsi="Courier New" w:eastAsia="宋体" w:cs="黑体"/>
      <w:sz w:val="21"/>
      <w:szCs w:val="21"/>
      <w:lang w:val="en-US" w:eastAsia="zh-CN" w:bidi="ar-SA"/>
    </w:rPr>
  </w:style>
  <w:style w:type="character" w:customStyle="1" w:styleId="140">
    <w:name w:val="页脚 字符"/>
    <w:link w:val="24"/>
    <w:qFormat/>
    <w:uiPriority w:val="99"/>
    <w:rPr>
      <w:rFonts w:eastAsia="宋体"/>
      <w:kern w:val="2"/>
      <w:sz w:val="18"/>
      <w:lang w:val="en-US" w:eastAsia="zh-CN" w:bidi="ar-SA"/>
    </w:rPr>
  </w:style>
  <w:style w:type="paragraph" w:customStyle="1" w:styleId="141">
    <w:name w:val="无间隔1"/>
    <w:qFormat/>
    <w:uiPriority w:val="1"/>
    <w:pPr>
      <w:adjustRightInd w:val="0"/>
      <w:snapToGrid w:val="0"/>
    </w:pPr>
    <w:rPr>
      <w:rFonts w:ascii="Tahoma" w:hAnsi="Tahoma" w:eastAsia="微软雅黑" w:cstheme="minorBidi"/>
      <w:sz w:val="22"/>
      <w:szCs w:val="22"/>
      <w:lang w:val="en-US" w:eastAsia="zh-CN" w:bidi="ar-SA"/>
    </w:rPr>
  </w:style>
  <w:style w:type="paragraph" w:customStyle="1" w:styleId="142">
    <w:name w:val="Table Paragraph"/>
    <w:basedOn w:val="1"/>
    <w:qFormat/>
    <w:uiPriority w:val="0"/>
    <w:pPr>
      <w:autoSpaceDE w:val="0"/>
      <w:autoSpaceDN w:val="0"/>
      <w:jc w:val="left"/>
    </w:pPr>
    <w:rPr>
      <w:rFonts w:ascii="宋体" w:hAnsi="宋体" w:cs="宋体"/>
      <w:kern w:val="0"/>
      <w:sz w:val="22"/>
      <w:szCs w:val="22"/>
      <w:lang w:val="zh-CN"/>
    </w:rPr>
  </w:style>
  <w:style w:type="paragraph" w:customStyle="1" w:styleId="143">
    <w:name w:val="列表段落1"/>
    <w:basedOn w:val="1"/>
    <w:qFormat/>
    <w:uiPriority w:val="34"/>
    <w:pPr>
      <w:ind w:firstLine="420"/>
    </w:pPr>
  </w:style>
  <w:style w:type="character" w:customStyle="1" w:styleId="144">
    <w:name w:val="font21"/>
    <w:basedOn w:val="38"/>
    <w:qFormat/>
    <w:uiPriority w:val="0"/>
    <w:rPr>
      <w:rFonts w:hint="eastAsia" w:ascii="宋体" w:hAnsi="宋体" w:eastAsia="宋体" w:cs="宋体"/>
      <w:color w:val="000000"/>
      <w:sz w:val="20"/>
      <w:szCs w:val="20"/>
      <w:u w:val="none"/>
    </w:rPr>
  </w:style>
  <w:style w:type="character" w:customStyle="1" w:styleId="145">
    <w:name w:val="font01"/>
    <w:basedOn w:val="38"/>
    <w:qFormat/>
    <w:uiPriority w:val="0"/>
    <w:rPr>
      <w:rFonts w:hint="eastAsia" w:ascii="宋体" w:hAnsi="宋体" w:eastAsia="宋体" w:cs="宋体"/>
      <w:color w:val="000000"/>
      <w:sz w:val="24"/>
      <w:szCs w:val="24"/>
      <w:u w:val="none"/>
    </w:rPr>
  </w:style>
  <w:style w:type="character" w:customStyle="1" w:styleId="146">
    <w:name w:val="font61"/>
    <w:basedOn w:val="38"/>
    <w:qFormat/>
    <w:uiPriority w:val="0"/>
    <w:rPr>
      <w:rFonts w:hint="eastAsia" w:ascii="宋体" w:hAnsi="宋体" w:eastAsia="宋体" w:cs="宋体"/>
      <w:color w:val="FF0000"/>
      <w:sz w:val="24"/>
      <w:szCs w:val="24"/>
      <w:u w:val="none"/>
    </w:rPr>
  </w:style>
  <w:style w:type="character" w:customStyle="1" w:styleId="147">
    <w:name w:val="font31"/>
    <w:basedOn w:val="38"/>
    <w:qFormat/>
    <w:uiPriority w:val="0"/>
    <w:rPr>
      <w:rFonts w:hint="eastAsia" w:ascii="宋体" w:hAnsi="宋体" w:eastAsia="宋体" w:cs="宋体"/>
      <w:b/>
      <w:bCs/>
      <w:color w:val="000000"/>
      <w:sz w:val="24"/>
      <w:szCs w:val="24"/>
      <w:u w:val="none"/>
    </w:rPr>
  </w:style>
  <w:style w:type="character" w:customStyle="1" w:styleId="148">
    <w:name w:val="标题 1 字符"/>
    <w:basedOn w:val="38"/>
    <w:link w:val="3"/>
    <w:qFormat/>
    <w:uiPriority w:val="0"/>
    <w:rPr>
      <w:rFonts w:ascii="黑体" w:eastAsia="黑体"/>
      <w:kern w:val="2"/>
      <w:sz w:val="30"/>
    </w:rPr>
  </w:style>
  <w:style w:type="character" w:customStyle="1" w:styleId="149">
    <w:name w:val="标题 5 字符"/>
    <w:basedOn w:val="38"/>
    <w:link w:val="6"/>
    <w:qFormat/>
    <w:uiPriority w:val="0"/>
    <w:rPr>
      <w:b/>
      <w:bCs/>
      <w:kern w:val="2"/>
      <w:sz w:val="28"/>
      <w:szCs w:val="28"/>
    </w:rPr>
  </w:style>
  <w:style w:type="character" w:customStyle="1" w:styleId="150">
    <w:name w:val="日期 字符"/>
    <w:basedOn w:val="38"/>
    <w:link w:val="20"/>
    <w:qFormat/>
    <w:uiPriority w:val="0"/>
    <w:rPr>
      <w:kern w:val="2"/>
      <w:sz w:val="21"/>
    </w:rPr>
  </w:style>
  <w:style w:type="character" w:customStyle="1" w:styleId="151">
    <w:name w:val="正文文本缩进 2 字符"/>
    <w:basedOn w:val="38"/>
    <w:link w:val="21"/>
    <w:qFormat/>
    <w:uiPriority w:val="0"/>
    <w:rPr>
      <w:rFonts w:ascii="宋体" w:hAnsi="宋体"/>
      <w:kern w:val="2"/>
      <w:sz w:val="21"/>
      <w:szCs w:val="21"/>
    </w:rPr>
  </w:style>
  <w:style w:type="character" w:customStyle="1" w:styleId="152">
    <w:name w:val="批注主题 字符"/>
    <w:basedOn w:val="129"/>
    <w:link w:val="34"/>
    <w:qFormat/>
    <w:uiPriority w:val="0"/>
    <w:rPr>
      <w:rFonts w:eastAsia="宋体"/>
      <w:b/>
      <w:bCs/>
      <w:kern w:val="2"/>
      <w:sz w:val="21"/>
      <w:szCs w:val="24"/>
      <w:lang w:val="en-US" w:eastAsia="zh-CN" w:bidi="ar-SA"/>
    </w:rPr>
  </w:style>
  <w:style w:type="character" w:customStyle="1" w:styleId="153">
    <w:name w:val="正文文本首行缩进 字符"/>
    <w:basedOn w:val="122"/>
    <w:link w:val="35"/>
    <w:qFormat/>
    <w:uiPriority w:val="0"/>
    <w:rPr>
      <w:rFonts w:eastAsia="宋体"/>
      <w:kern w:val="2"/>
      <w:sz w:val="21"/>
      <w:szCs w:val="24"/>
      <w:lang w:val="en-US" w:eastAsia="zh-CN" w:bidi="ar-SA"/>
    </w:rPr>
  </w:style>
  <w:style w:type="paragraph" w:styleId="15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BA1168-6899-441E-B6AA-A7126552D97B}">
  <ds:schemaRefs/>
</ds:datastoreItem>
</file>

<file path=docProps/app.xml><?xml version="1.0" encoding="utf-8"?>
<Properties xmlns="http://schemas.openxmlformats.org/officeDocument/2006/extended-properties" xmlns:vt="http://schemas.openxmlformats.org/officeDocument/2006/docPropsVTypes">
  <Template>Normal.dotm</Template>
  <Company>jtj</Company>
  <Pages>148</Pages>
  <Words>88087</Words>
  <Characters>94953</Characters>
  <Lines>662</Lines>
  <Paragraphs>186</Paragraphs>
  <TotalTime>3</TotalTime>
  <ScaleCrop>false</ScaleCrop>
  <LinksUpToDate>false</LinksUpToDate>
  <CharactersWithSpaces>102379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2016-11-01T12:42:00Z</dcterms:created>
  <dc:creator>user25</dc:creator>
  <cp:lastModifiedBy>Silence乀</cp:lastModifiedBy>
  <cp:lastPrinted>2022-04-24T07:20:00Z</cp:lastPrinted>
  <dcterms:modified xsi:type="dcterms:W3CDTF">2022-05-31T09:57:45Z</dcterms:modified>
  <dc:title>第一篇    投标邀请书</dc:title>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F7C1CFD0DB3A4A81872F9C1826777CCF</vt:lpwstr>
  </property>
  <property fmtid="{D5CDD505-2E9C-101B-9397-08002B2CF9AE}" pid="4" name="commondata">
    <vt:lpwstr>eyJoZGlkIjoiZTFiZGU4MzRhNDg1YTM5YWIxNzkwOWQzYzJhN2MzY2QifQ==</vt:lpwstr>
  </property>
</Properties>
</file>