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right"/>
        <w:rPr>
          <w:rFonts w:cs="宋体" w:asciiTheme="minorEastAsia" w:hAnsiTheme="minorEastAsia"/>
          <w:b/>
          <w:color w:val="000000"/>
          <w:sz w:val="36"/>
          <w:szCs w:val="36"/>
          <w:bdr w:val="single" w:color="auto" w:sz="4" w:space="0"/>
          <w:shd w:val="pct10" w:color="auto" w:fill="FFFFFF"/>
        </w:rPr>
      </w:pPr>
      <w:r>
        <w:rPr>
          <w:rFonts w:hint="eastAsia" w:cs="宋体" w:asciiTheme="minorEastAsia" w:hAnsiTheme="minorEastAsia"/>
          <w:b/>
          <w:color w:val="000000"/>
          <w:sz w:val="36"/>
          <w:szCs w:val="36"/>
          <w:bdr w:val="single" w:color="auto" w:sz="4" w:space="0"/>
          <w:shd w:val="pct10" w:color="auto" w:fill="FFFFFF"/>
        </w:rPr>
        <w:t>政府采购项目</w:t>
      </w:r>
    </w:p>
    <w:p>
      <w:pPr>
        <w:spacing w:line="360" w:lineRule="auto"/>
        <w:rPr>
          <w:rFonts w:cs="宋体" w:asciiTheme="minorEastAsia" w:hAnsiTheme="minorEastAsia"/>
          <w:b/>
          <w:sz w:val="36"/>
          <w:szCs w:val="36"/>
        </w:rPr>
      </w:pPr>
    </w:p>
    <w:p>
      <w:pPr>
        <w:spacing w:line="360" w:lineRule="auto"/>
        <w:rPr>
          <w:rFonts w:hint="eastAsia" w:cs="宋体" w:asciiTheme="minorEastAsia" w:hAnsiTheme="minorEastAsia" w:eastAsiaTheme="minorEastAsia"/>
          <w:b/>
          <w:sz w:val="36"/>
          <w:szCs w:val="36"/>
          <w:lang w:eastAsia="zh-CN"/>
        </w:rPr>
      </w:pPr>
      <w:r>
        <w:rPr>
          <w:rFonts w:hint="eastAsia" w:cs="宋体" w:asciiTheme="minorEastAsia" w:hAnsiTheme="minorEastAsia"/>
          <w:b/>
          <w:sz w:val="36"/>
          <w:szCs w:val="36"/>
        </w:rPr>
        <w:t>项目编号：</w:t>
      </w:r>
      <w:r>
        <w:rPr>
          <w:rFonts w:hint="eastAsia" w:cs="宋体" w:asciiTheme="minorEastAsia" w:hAnsiTheme="minorEastAsia"/>
          <w:b/>
          <w:sz w:val="36"/>
          <w:szCs w:val="36"/>
          <w:lang w:eastAsia="zh-CN"/>
        </w:rPr>
        <w:t>SXHR2022-CG004.1B2</w:t>
      </w:r>
    </w:p>
    <w:p>
      <w:pPr>
        <w:spacing w:line="480" w:lineRule="exact"/>
        <w:rPr>
          <w:rFonts w:cs="宋体" w:asciiTheme="minorEastAsia" w:hAnsiTheme="minorEastAsia"/>
          <w:b/>
          <w:bCs/>
          <w:spacing w:val="51"/>
          <w:szCs w:val="21"/>
        </w:rPr>
      </w:pPr>
    </w:p>
    <w:p>
      <w:pPr>
        <w:spacing w:line="480" w:lineRule="exact"/>
        <w:rPr>
          <w:rFonts w:cs="宋体" w:asciiTheme="minorEastAsia" w:hAnsiTheme="minorEastAsia"/>
          <w:sz w:val="52"/>
          <w:szCs w:val="52"/>
        </w:rPr>
      </w:pPr>
    </w:p>
    <w:p>
      <w:pPr>
        <w:tabs>
          <w:tab w:val="left" w:pos="2460"/>
        </w:tabs>
        <w:jc w:val="center"/>
        <w:rPr>
          <w:rFonts w:hint="eastAsia" w:cs="宋体" w:asciiTheme="minorEastAsia" w:hAnsiTheme="minorEastAsia" w:eastAsiaTheme="minorEastAsia"/>
          <w:b/>
          <w:bCs/>
          <w:sz w:val="52"/>
          <w:szCs w:val="40"/>
          <w:lang w:eastAsia="zh-CN"/>
        </w:rPr>
      </w:pPr>
      <w:r>
        <w:rPr>
          <w:rFonts w:hint="eastAsia" w:cs="宋体" w:asciiTheme="minorEastAsia" w:hAnsiTheme="minorEastAsia"/>
          <w:b/>
          <w:bCs/>
          <w:sz w:val="52"/>
          <w:szCs w:val="40"/>
          <w:lang w:eastAsia="zh-CN"/>
        </w:rPr>
        <w:t>宝鸡市眉县2021年度国土变更调查项目（二次）</w:t>
      </w:r>
    </w:p>
    <w:p>
      <w:pPr>
        <w:pStyle w:val="7"/>
        <w:rPr>
          <w:rFonts w:cs="宋体" w:asciiTheme="minorEastAsia" w:hAnsiTheme="minorEastAsia"/>
          <w:sz w:val="32"/>
        </w:rPr>
      </w:pPr>
    </w:p>
    <w:p>
      <w:pPr>
        <w:pStyle w:val="7"/>
        <w:rPr>
          <w:rFonts w:cs="宋体" w:asciiTheme="minorEastAsia" w:hAnsiTheme="minorEastAsia"/>
          <w:sz w:val="32"/>
        </w:rPr>
      </w:pPr>
    </w:p>
    <w:p>
      <w:pPr>
        <w:pStyle w:val="7"/>
        <w:ind w:firstLine="0"/>
        <w:rPr>
          <w:rFonts w:cs="宋体" w:asciiTheme="minorEastAsia" w:hAnsiTheme="minorEastAsia"/>
          <w:sz w:val="32"/>
        </w:rPr>
      </w:pPr>
    </w:p>
    <w:p>
      <w:pPr>
        <w:rPr>
          <w:rFonts w:cs="宋体" w:asciiTheme="minorEastAsia" w:hAnsiTheme="minorEastAsia"/>
          <w:sz w:val="32"/>
        </w:rPr>
      </w:pPr>
    </w:p>
    <w:p>
      <w:pPr>
        <w:jc w:val="center"/>
        <w:rPr>
          <w:rFonts w:cs="宋体" w:asciiTheme="minorEastAsia" w:hAnsiTheme="minorEastAsia"/>
          <w:b/>
          <w:bCs/>
          <w:spacing w:val="21"/>
          <w:sz w:val="84"/>
          <w:szCs w:val="84"/>
        </w:rPr>
      </w:pPr>
      <w:r>
        <w:rPr>
          <w:rFonts w:hint="eastAsia" w:cs="宋体" w:asciiTheme="minorEastAsia" w:hAnsiTheme="minorEastAsia"/>
          <w:b/>
          <w:bCs/>
          <w:spacing w:val="21"/>
          <w:sz w:val="84"/>
          <w:szCs w:val="84"/>
        </w:rPr>
        <w:t>竞争性磋商文件</w:t>
      </w:r>
    </w:p>
    <w:p>
      <w:pPr>
        <w:rPr>
          <w:rFonts w:cs="宋体" w:asciiTheme="minorEastAsia" w:hAnsiTheme="minorEastAsia"/>
        </w:rPr>
      </w:pPr>
    </w:p>
    <w:p>
      <w:pPr>
        <w:rPr>
          <w:rFonts w:cs="宋体" w:asciiTheme="minorEastAsia" w:hAnsiTheme="minorEastAsia"/>
          <w:sz w:val="32"/>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pStyle w:val="7"/>
        <w:rPr>
          <w:rFonts w:asciiTheme="minorEastAsia" w:hAnsiTheme="minorEastAsia"/>
        </w:rPr>
      </w:pPr>
    </w:p>
    <w:p>
      <w:pPr>
        <w:pStyle w:val="7"/>
        <w:rPr>
          <w:rFonts w:asciiTheme="minorEastAsia" w:hAnsiTheme="minorEastAsia"/>
        </w:rPr>
      </w:pPr>
    </w:p>
    <w:p>
      <w:pPr>
        <w:pStyle w:val="22"/>
        <w:ind w:firstLine="723"/>
        <w:rPr>
          <w:rFonts w:cs="宋体" w:asciiTheme="minorEastAsia" w:hAnsiTheme="minorEastAsia"/>
          <w:b/>
          <w:sz w:val="36"/>
          <w:szCs w:val="36"/>
        </w:rPr>
      </w:pPr>
    </w:p>
    <w:p>
      <w:pPr>
        <w:pStyle w:val="22"/>
        <w:ind w:firstLine="723"/>
        <w:rPr>
          <w:rFonts w:cs="宋体" w:asciiTheme="minorEastAsia" w:hAnsiTheme="minorEastAsia"/>
          <w:b/>
          <w:sz w:val="36"/>
          <w:szCs w:val="36"/>
        </w:rPr>
      </w:pPr>
    </w:p>
    <w:p>
      <w:pPr>
        <w:spacing w:line="480" w:lineRule="exact"/>
        <w:rPr>
          <w:rFonts w:cs="宋体"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b/>
          <w:sz w:val="36"/>
          <w:szCs w:val="36"/>
          <w:lang w:eastAsia="zh-CN"/>
        </w:rPr>
      </w:pPr>
      <w:r>
        <w:rPr>
          <w:rFonts w:hint="eastAsia" w:cs="宋体" w:asciiTheme="minorEastAsia" w:hAnsiTheme="minorEastAsia"/>
          <w:b/>
          <w:sz w:val="36"/>
          <w:szCs w:val="36"/>
          <w:lang w:eastAsia="zh-CN"/>
        </w:rPr>
        <w:t>陕西恒瑞项目管理有限公司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宋体" w:asciiTheme="minorEastAsia" w:hAnsiTheme="minorEastAsia"/>
          <w:b/>
          <w:bCs/>
          <w:sz w:val="36"/>
          <w:szCs w:val="36"/>
        </w:rPr>
      </w:pPr>
      <w:r>
        <w:rPr>
          <w:rFonts w:hint="eastAsia" w:cs="宋体" w:asciiTheme="minorEastAsia" w:hAnsiTheme="minorEastAsia"/>
          <w:b/>
          <w:bCs/>
          <w:sz w:val="36"/>
          <w:szCs w:val="36"/>
        </w:rPr>
        <w:t>二零二二年</w:t>
      </w:r>
      <w:r>
        <w:rPr>
          <w:rFonts w:hint="eastAsia" w:cs="宋体" w:asciiTheme="minorEastAsia" w:hAnsiTheme="minorEastAsia"/>
          <w:b/>
          <w:bCs/>
          <w:sz w:val="36"/>
          <w:szCs w:val="36"/>
          <w:lang w:val="en-US" w:eastAsia="zh-CN"/>
        </w:rPr>
        <w:t>九</w:t>
      </w:r>
      <w:r>
        <w:rPr>
          <w:rFonts w:hint="eastAsia" w:cs="宋体" w:asciiTheme="minorEastAsia" w:hAnsiTheme="minorEastAsia"/>
          <w:b/>
          <w:bCs/>
          <w:sz w:val="36"/>
          <w:szCs w:val="36"/>
        </w:rPr>
        <w:t>月</w:t>
      </w:r>
    </w:p>
    <w:p>
      <w:pPr>
        <w:spacing w:line="480" w:lineRule="exact"/>
        <w:rPr>
          <w:rFonts w:cs="宋体" w:asciiTheme="minorEastAsia" w:hAnsiTheme="minorEastAsia"/>
          <w:b/>
          <w:sz w:val="52"/>
          <w:szCs w:val="52"/>
        </w:rPr>
      </w:pPr>
    </w:p>
    <w:p>
      <w:pPr>
        <w:rPr>
          <w:rFonts w:cs="宋体" w:asciiTheme="minorEastAsia" w:hAnsiTheme="minorEastAsia"/>
        </w:rPr>
        <w:sectPr>
          <w:headerReference r:id="rId4" w:type="first"/>
          <w:headerReference r:id="rId3" w:type="default"/>
          <w:footerReference r:id="rId5" w:type="default"/>
          <w:endnotePr>
            <w:numFmt w:val="decimal"/>
          </w:endnotePr>
          <w:pgSz w:w="11907" w:h="16840"/>
          <w:pgMar w:top="1440" w:right="1080" w:bottom="1440" w:left="1080" w:header="907" w:footer="654" w:gutter="0"/>
          <w:cols w:space="720" w:num="1"/>
          <w:titlePg/>
          <w:docGrid w:linePitch="286" w:charSpace="0"/>
        </w:sectPr>
      </w:pPr>
    </w:p>
    <w:sdt>
      <w:sdtPr>
        <w:rPr>
          <w:rFonts w:hint="eastAsia" w:eastAsia="宋体" w:cs="宋体" w:asciiTheme="minorEastAsia" w:hAnsiTheme="minorEastAsia"/>
          <w:sz w:val="44"/>
          <w:szCs w:val="44"/>
        </w:rPr>
        <w:id w:val="147477012"/>
        <w:docPartObj>
          <w:docPartGallery w:val="Table of Contents"/>
          <w:docPartUnique/>
        </w:docPartObj>
      </w:sdtPr>
      <w:sdtEndPr>
        <w:rPr>
          <w:rFonts w:hint="eastAsia" w:eastAsia="宋体" w:cs="宋体" w:asciiTheme="minorEastAsia" w:hAnsiTheme="minorEastAsia"/>
          <w:sz w:val="28"/>
          <w:szCs w:val="28"/>
        </w:rPr>
      </w:sdtEndPr>
      <w:sdtContent>
        <w:p>
          <w:pPr>
            <w:spacing w:line="480" w:lineRule="auto"/>
            <w:jc w:val="center"/>
            <w:rPr>
              <w:rFonts w:cs="宋体" w:asciiTheme="minorEastAsia" w:hAnsiTheme="minorEastAsia"/>
              <w:sz w:val="44"/>
              <w:szCs w:val="44"/>
            </w:rPr>
          </w:pPr>
          <w:bookmarkStart w:id="0" w:name="_Toc24796_WPSOffice_Type1"/>
          <w:r>
            <w:rPr>
              <w:rFonts w:hint="eastAsia" w:cs="宋体" w:asciiTheme="minorEastAsia" w:hAnsiTheme="minorEastAsia"/>
              <w:sz w:val="44"/>
              <w:szCs w:val="44"/>
            </w:rPr>
            <w:t xml:space="preserve">目 </w:t>
          </w:r>
          <w:r>
            <w:rPr>
              <w:rFonts w:cs="宋体" w:asciiTheme="minorEastAsia" w:hAnsiTheme="minorEastAsia"/>
              <w:sz w:val="44"/>
              <w:szCs w:val="44"/>
            </w:rPr>
            <w:t xml:space="preserve"> </w:t>
          </w:r>
          <w:r>
            <w:rPr>
              <w:rFonts w:hint="eastAsia" w:cs="宋体" w:asciiTheme="minorEastAsia" w:hAnsiTheme="minorEastAsia"/>
              <w:sz w:val="44"/>
              <w:szCs w:val="44"/>
            </w:rPr>
            <w:t>录</w:t>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"_Toc14299_WPSOffice_Level1" </w:instrText>
          </w:r>
          <w:r>
            <w:fldChar w:fldCharType="separate"/>
          </w:r>
          <w:r>
            <w:rPr>
              <w:rFonts w:hint="eastAsia" w:cs="宋体" w:asciiTheme="minorEastAsia" w:hAnsiTheme="minorEastAsia"/>
              <w:sz w:val="28"/>
              <w:szCs w:val="28"/>
            </w:rPr>
            <w:t>第一部分  竞争性磋商公告</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"_Toc24796_WPSOffice_Level1" </w:instrText>
          </w:r>
          <w:r>
            <w:fldChar w:fldCharType="separate"/>
          </w:r>
          <w:r>
            <w:rPr>
              <w:rFonts w:hint="eastAsia" w:cs="宋体" w:asciiTheme="minorEastAsia" w:hAnsiTheme="minorEastAsia"/>
              <w:sz w:val="28"/>
              <w:szCs w:val="28"/>
            </w:rPr>
            <w:t>第二部分  供应商须知</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"_Toc29327_WPSOffice_Level1" </w:instrText>
          </w:r>
          <w:r>
            <w:fldChar w:fldCharType="separate"/>
          </w:r>
          <w:r>
            <w:rPr>
              <w:rFonts w:hint="eastAsia" w:cs="宋体" w:asciiTheme="minorEastAsia" w:hAnsiTheme="minorEastAsia"/>
              <w:sz w:val="28"/>
              <w:szCs w:val="28"/>
            </w:rPr>
            <w:t>第三部分  采购内容及技术要求</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"_Toc11347_WPSOffice_Level1" </w:instrText>
          </w:r>
          <w:r>
            <w:fldChar w:fldCharType="separate"/>
          </w:r>
          <w:r>
            <w:rPr>
              <w:rFonts w:hint="eastAsia" w:cs="宋体" w:asciiTheme="minorEastAsia" w:hAnsiTheme="minorEastAsia"/>
              <w:sz w:val="28"/>
              <w:szCs w:val="28"/>
            </w:rPr>
            <w:t>第四部分  商务要求</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"_Toc2844_WPSOffice_Level1" </w:instrText>
          </w:r>
          <w:r>
            <w:fldChar w:fldCharType="separate"/>
          </w:r>
          <w:r>
            <w:rPr>
              <w:rFonts w:hint="eastAsia" w:cs="宋体" w:asciiTheme="minorEastAsia" w:hAnsiTheme="minorEastAsia"/>
              <w:sz w:val="28"/>
              <w:szCs w:val="28"/>
            </w:rPr>
            <w:t>第五部分  合同条款</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"_Toc116_WPSOffice_Level1" </w:instrText>
          </w:r>
          <w:r>
            <w:fldChar w:fldCharType="separate"/>
          </w:r>
          <w:r>
            <w:rPr>
              <w:rFonts w:hint="eastAsia" w:cs="宋体" w:asciiTheme="minorEastAsia" w:hAnsiTheme="minorEastAsia"/>
              <w:sz w:val="28"/>
              <w:szCs w:val="28"/>
            </w:rPr>
            <w:t>第六部分  竞争性磋商响应文件格式</w:t>
          </w:r>
          <w:r>
            <w:rPr>
              <w:rFonts w:hint="eastAsia" w:cs="宋体" w:asciiTheme="minorEastAsia" w:hAnsiTheme="minorEastAsia"/>
              <w:sz w:val="28"/>
              <w:szCs w:val="28"/>
            </w:rPr>
            <w:fldChar w:fldCharType="end"/>
          </w:r>
        </w:p>
        <w:p>
          <w:pPr>
            <w:pStyle w:val="39"/>
            <w:spacing w:line="480" w:lineRule="auto"/>
            <w:ind w:firstLine="0" w:firstLineChars="0"/>
            <w:rPr>
              <w:rFonts w:cs="宋体" w:asciiTheme="minorEastAsia" w:hAnsiTheme="minorEastAsia" w:eastAsiaTheme="minorEastAsia"/>
              <w:sz w:val="28"/>
              <w:szCs w:val="28"/>
            </w:rPr>
            <w:sectPr>
              <w:headerReference r:id="rId7" w:type="first"/>
              <w:footerReference r:id="rId9" w:type="first"/>
              <w:headerReference r:id="rId6" w:type="default"/>
              <w:footerReference r:id="rId8" w:type="default"/>
              <w:endnotePr>
                <w:numFmt w:val="decimal"/>
              </w:endnotePr>
              <w:pgSz w:w="11907" w:h="16840"/>
              <w:pgMar w:top="1418" w:right="1287" w:bottom="936" w:left="1259" w:header="907" w:footer="654" w:gutter="0"/>
              <w:pgNumType w:start="1"/>
              <w:cols w:space="720" w:num="1"/>
              <w:titlePg/>
            </w:sectPr>
          </w:pPr>
        </w:p>
      </w:sdtContent>
    </w:sdt>
    <w:bookmarkEnd w:id="0"/>
    <w:p>
      <w:pPr>
        <w:pStyle w:val="3"/>
        <w:spacing w:before="0" w:after="0" w:line="360" w:lineRule="auto"/>
        <w:ind w:left="2195" w:leftChars="959" w:hanging="181" w:hangingChars="50"/>
        <w:rPr>
          <w:rFonts w:cs="宋体" w:asciiTheme="minorEastAsia" w:hAnsiTheme="minorEastAsia"/>
          <w:sz w:val="36"/>
          <w:szCs w:val="36"/>
        </w:rPr>
      </w:pPr>
      <w:bookmarkStart w:id="1" w:name="_Toc30308_WPSOffice_Level1"/>
      <w:bookmarkStart w:id="2" w:name="_Toc14299_WPSOffice_Level1"/>
      <w:r>
        <w:rPr>
          <w:rFonts w:hint="eastAsia" w:cs="宋体" w:asciiTheme="minorEastAsia" w:hAnsiTheme="minorEastAsia"/>
          <w:sz w:val="36"/>
          <w:szCs w:val="36"/>
        </w:rPr>
        <w:t xml:space="preserve">第一部分  </w:t>
      </w:r>
      <w:bookmarkEnd w:id="1"/>
      <w:bookmarkEnd w:id="2"/>
      <w:r>
        <w:rPr>
          <w:rFonts w:hint="eastAsia" w:cs="宋体" w:asciiTheme="minorEastAsia" w:hAnsiTheme="minorEastAsia"/>
          <w:sz w:val="36"/>
          <w:szCs w:val="36"/>
        </w:rPr>
        <w:t>竞争性磋商公告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bookmarkStart w:id="3" w:name="_Toc12111_WPSOffice_Level1"/>
      <w:bookmarkStart w:id="4" w:name="_Toc24796_WPSOffice_Level1"/>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vertAlign w:val="baseline"/>
        </w:rPr>
      </w:pP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宝鸡市眉县2021年度国土变更调查项目（二次）</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的潜在供应商应在【全国公共资源交易平台（陕西省·宝鸡市）】（http://bj.sxggzyjy.cn）获取采购文件，并于2022年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月</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 xml:space="preserve">日 </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时</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00</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分（北京时间）前提交响应文件。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项目编号：</w:t>
      </w:r>
      <w:r>
        <w:rPr>
          <w:rFonts w:hint="eastAsia" w:asciiTheme="minorEastAsia" w:hAnsiTheme="minorEastAsia" w:cstheme="minorEastAsia"/>
          <w:i w:val="0"/>
          <w:iCs w:val="0"/>
          <w:caps w:val="0"/>
          <w:color w:val="333333"/>
          <w:spacing w:val="0"/>
          <w:sz w:val="24"/>
          <w:szCs w:val="24"/>
          <w:shd w:val="clear" w:fill="FFFFFF"/>
          <w:vertAlign w:val="baseline"/>
          <w:lang w:eastAsia="zh-CN"/>
        </w:rPr>
        <w:t>SXHR2022-CG004.1B2</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项目名称：</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宝鸡市眉县2021年度国土变更调查项目（二次）</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预算金额：</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1，000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宝鸡市眉县2021年度国土变更调查项目（二次）</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合同包预算金额：</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1，000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合同包最高限价：</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1，000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,000.00元</w:t>
      </w:r>
    </w:p>
    <w:tbl>
      <w:tblPr>
        <w:tblStyle w:val="23"/>
        <w:tblW w:w="9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4"/>
        <w:gridCol w:w="2081"/>
        <w:gridCol w:w="1535"/>
        <w:gridCol w:w="1283"/>
        <w:gridCol w:w="1578"/>
        <w:gridCol w:w="128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2" w:hRule="atLeast"/>
          <w:tblHeader/>
        </w:trPr>
        <w:tc>
          <w:tcPr>
            <w:tcW w:w="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20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20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其他专业技术服务</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eastAsia="zh-CN"/>
              </w:rPr>
              <w:t>宝鸡市眉县</w:t>
            </w:r>
            <w:r>
              <w:rPr>
                <w:rFonts w:hint="eastAsia" w:asciiTheme="minorEastAsia" w:hAnsiTheme="minorEastAsia" w:cstheme="minorEastAsia"/>
                <w:sz w:val="24"/>
                <w:szCs w:val="24"/>
                <w:lang w:val="en-US" w:eastAsia="zh-CN"/>
              </w:rPr>
              <w:t>2021年度变更调查项目</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1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1，000,000.00</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1，000,000.00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合同履行期限：</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宝鸡市眉县2021年度国土变更调查项目（二次）</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 （4）《政府采购促进中小企业发展管理办法》（财库〔2020〕46号）；（5）《财政部 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 （9）陕西省财政厅关于印发《陕西省中小企业政府采购信用融资办法》（陕财办采{2018}23号）；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宝鸡市眉县2021年度国土变更调查项目（二次）</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r>
        <w:rPr>
          <w:rFonts w:hint="eastAsia" w:asciiTheme="minorEastAsia" w:hAnsiTheme="minorEastAsia" w:cstheme="minorEastAsia"/>
          <w:i w:val="0"/>
          <w:iCs w:val="0"/>
          <w:caps w:val="0"/>
          <w:color w:val="333333"/>
          <w:spacing w:val="0"/>
          <w:sz w:val="24"/>
          <w:szCs w:val="24"/>
          <w:shd w:val="clear" w:fill="FFFFFF"/>
          <w:vertAlign w:val="baseline"/>
          <w:lang w:eastAsia="zh-CN"/>
        </w:rPr>
        <w:t>。</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.2.供应商须具备行政主管部门颁发的测绘乙级（含乙级）以上资质</w:t>
      </w:r>
      <w:r>
        <w:rPr>
          <w:rFonts w:hint="eastAsia" w:asciiTheme="minorEastAsia" w:hAnsiTheme="minorEastAsia" w:cstheme="minorEastAsia"/>
          <w:i w:val="0"/>
          <w:iCs w:val="0"/>
          <w:caps w:val="0"/>
          <w:color w:val="333333"/>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3.3.供应商提供法定代表人授权书及被授权人身份证，法定代表人直接投标只须提交其法人身份证明。3.4.供应商不得为“信用中国”网站（www.creditchina.gov.cn）中列入失信被执行人和重大税收违法失信主体的供应商；不得为中国政府采购网（www.ccgpgov.cn）政府采购严重违法失信行为记录名单中被财政部门禁止参加政府采购活动的供应商。3.5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3.6.税收缴纳证明：提供上一年度至今已缴纳的至少连续</w:t>
      </w:r>
      <w:r>
        <w:rPr>
          <w:rFonts w:hint="eastAsia" w:asciiTheme="minorEastAsia" w:hAnsiTheme="minorEastAsia" w:cstheme="minorEastAsia"/>
          <w:i w:val="0"/>
          <w:iCs w:val="0"/>
          <w:caps w:val="0"/>
          <w:color w:val="333333"/>
          <w:spacing w:val="0"/>
          <w:sz w:val="24"/>
          <w:szCs w:val="24"/>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个月的纳税证明或完税证明，依法免税的单位应提供相关证明材料（复印件加盖供应商公章）。3.7.社会保障资金缴纳证明：提供上一年度至今已缴存的至少连续</w:t>
      </w:r>
      <w:r>
        <w:rPr>
          <w:rFonts w:hint="eastAsia" w:asciiTheme="minorEastAsia" w:hAnsiTheme="minorEastAsia" w:cstheme="minorEastAsia"/>
          <w:i w:val="0"/>
          <w:iCs w:val="0"/>
          <w:caps w:val="0"/>
          <w:color w:val="333333"/>
          <w:spacing w:val="0"/>
          <w:sz w:val="24"/>
          <w:szCs w:val="24"/>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个月的社会保障资金缴存单据或社保机构开具的社会保险参保缴费情况证明，依法不需要缴纳社会保障资金的单位应提供相关证明材料。3.8.书面声明：提供《供应商书面声明函》（经查，参加本次政府采购活动前三年内在经营活动中没有重大违纪，以及未被列入失信被执行人、重大税收违法失信主体的供应商、政府采购严重违法失信行为记录名单的书面声明）。3.9.单位负责人为同一人或者存在控股、管理关系的不同单位，不得参加同一项目的投标。3.10.本项目专门面向中小企业采购（符合财库[2020]46号规定的供应商应提供中小微企业声明函）。3.11.本项目不接受联合体投标。</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3.12.磋商保证金交纳凭证（银行汇（存）款回执单，复印件须加盖供应商公章）。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时间：2022年0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27</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日至2022年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8</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(法定节假日休息）</w:t>
      </w:r>
      <w:r>
        <w:rPr>
          <w:rFonts w:hint="eastAsia" w:asciiTheme="minorEastAsia" w:hAnsiTheme="minorEastAsia" w:cstheme="minorEastAsia"/>
          <w:i w:val="0"/>
          <w:iCs w:val="0"/>
          <w:caps w:val="0"/>
          <w:color w:val="333333"/>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每天</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上午</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09:00:00至12:00:00，下午14:00:00至17:00:00（北京时间,法定节假日除外）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地点：【全国公共资源交易平台（陕西省·宝鸡市）】（http://bj.sxggzyjy.cn）</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方式：在线获取</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 xml:space="preserve">          </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售价： 500元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截止时间：2022年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12</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地点：宝鸡市公共资源交</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易</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中心</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五</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楼第</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开标室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auto"/>
          <w:spacing w:val="0"/>
          <w:sz w:val="24"/>
          <w:szCs w:val="24"/>
        </w:rPr>
      </w:pPr>
      <w:r>
        <w:rPr>
          <w:rStyle w:val="26"/>
          <w:rFonts w:hint="eastAsia" w:asciiTheme="minorEastAsia" w:hAnsiTheme="minorEastAsia" w:eastAsiaTheme="minorEastAsia" w:cstheme="minorEastAsia"/>
          <w:b/>
          <w:bCs/>
          <w:i w:val="0"/>
          <w:iCs w:val="0"/>
          <w:caps w:val="0"/>
          <w:color w:val="auto"/>
          <w:spacing w:val="0"/>
          <w:sz w:val="24"/>
          <w:szCs w:val="24"/>
          <w:shd w:val="clear" w:fill="FFFFFF"/>
          <w:vertAlign w:val="baseline"/>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时间：2022年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12</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地点：宝鸡市公共资源交易</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中心</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五</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楼第</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开标室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六、公告期限</w:t>
      </w:r>
      <w:bookmarkStart w:id="137" w:name="_GoBack"/>
      <w:bookmarkEnd w:id="137"/>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自本公告发布之日起3个工作日。</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7.1购买须知：使用捆绑省交易平台的CA锁登录电子交易平台，通过政府采购系统企业端进入，点击我要投标，完善相关投标信息。7.2缴费确认：投标人须在磋商文件发售时间内携带网上投标成功回执单、单位介绍信及身份证（原件及复印件加盖原色公章）、中小微企业或监狱企业或残疾人福利性单位承诺函在宝鸡市金台区金融广场A座2203室进行缴费确认，确认完毕后方可下载磋商文件，磋商文件获取截止时间为2022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08</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17:00前。7.3未完成网上投标成功的或未经采购代理公司缴费确认或未在网站上下载磋商文件的，无法完成后续流程。7.4本项目采用电子化投标的方式，相关操作流程详见全国公共资源交易平台（陕西省）网站[服务指南-下载专区]中的《陕西省公共资源交易中心政府采购项目投标指南》；7.5各供应商须在报名期间内下载采购文件，未下载文件的单位将无法提交电子响应文件；7.6电子响应文件技术支持：4009280095、4009980000；7.7请各供应商确认缴费后，按照陕西省财政厅《关于政府采购供应商注册登记有关事项的通知》要求，通过陕西省政府采购网注册登记加入陕西省政府采购供应商库；7.8投标时每个投标单位仅限一名代表参加，到场人员需自备口罩等防护工具，做好个人防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八、凡对本次采购提出询问，请按以下方式联系。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w:t>
      </w:r>
      <w:r>
        <w:rPr>
          <w:rFonts w:hint="eastAsia" w:asciiTheme="minorEastAsia" w:hAnsiTheme="minorEastAsia" w:cstheme="minorEastAsia"/>
          <w:i w:val="0"/>
          <w:iCs w:val="0"/>
          <w:caps w:val="0"/>
          <w:color w:val="333333"/>
          <w:spacing w:val="0"/>
          <w:sz w:val="24"/>
          <w:szCs w:val="24"/>
          <w:shd w:val="clear" w:fill="FFFFFF"/>
          <w:vertAlign w:val="baseline"/>
          <w:lang w:eastAsia="zh-CN"/>
        </w:rPr>
        <w:t>眉县自然资源局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地址：眉县平阳街东段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联系方式：0917- 5543032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名称：陕西恒瑞项目管理有限公司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宝鸡市金台区金融广场</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A座2203室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0917-3502893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项目联系人：李工</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电话：0917-3502893</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陕西恒瑞项目管理有限公司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2022年0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27</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p>
    <w:p>
      <w:pPr>
        <w:jc w:val="center"/>
        <w:rPr>
          <w:rStyle w:val="55"/>
          <w:rFonts w:hint="eastAsia" w:ascii="宋体" w:hAnsi="宋体" w:eastAsia="宋体" w:cs="宋体"/>
          <w:sz w:val="36"/>
          <w:szCs w:val="36"/>
        </w:rPr>
        <w:sectPr>
          <w:footerReference r:id="rId11" w:type="first"/>
          <w:footerReference r:id="rId10" w:type="default"/>
          <w:pgSz w:w="11906" w:h="16838"/>
          <w:pgMar w:top="1417" w:right="1417" w:bottom="1417" w:left="1417" w:header="851" w:footer="850" w:gutter="0"/>
          <w:pgNumType w:fmt="decimal" w:start="1"/>
          <w:cols w:space="720" w:num="1"/>
          <w:docGrid w:type="lines" w:linePitch="312" w:charSpace="0"/>
        </w:sectPr>
      </w:pPr>
    </w:p>
    <w:p>
      <w:pPr>
        <w:pStyle w:val="3"/>
        <w:spacing w:before="0" w:after="0" w:line="360" w:lineRule="auto"/>
        <w:ind w:left="2373" w:leftChars="1130" w:firstLine="542" w:firstLineChars="150"/>
        <w:rPr>
          <w:rFonts w:hint="eastAsia" w:cs="宋体" w:asciiTheme="minorEastAsia" w:hAnsiTheme="minorEastAsia"/>
          <w:sz w:val="36"/>
          <w:szCs w:val="36"/>
        </w:rPr>
      </w:pPr>
      <w:r>
        <w:rPr>
          <w:rFonts w:hint="eastAsia" w:cs="宋体" w:asciiTheme="minorEastAsia" w:hAnsiTheme="minorEastAsia"/>
          <w:sz w:val="36"/>
          <w:szCs w:val="36"/>
        </w:rPr>
        <w:t>第二部分  供应商须知</w:t>
      </w:r>
      <w:bookmarkEnd w:id="3"/>
      <w:bookmarkEnd w:id="4"/>
    </w:p>
    <w:p>
      <w:pPr>
        <w:spacing w:line="470" w:lineRule="exact"/>
        <w:rPr>
          <w:rFonts w:cs="宋体" w:asciiTheme="minorEastAsia" w:hAnsiTheme="minorEastAsia"/>
          <w:b/>
          <w:sz w:val="28"/>
          <w:szCs w:val="28"/>
        </w:rPr>
      </w:pPr>
      <w:r>
        <w:rPr>
          <w:rFonts w:hint="eastAsia" w:cs="宋体" w:asciiTheme="minorEastAsia" w:hAnsiTheme="minorEastAsia"/>
          <w:b/>
          <w:sz w:val="28"/>
          <w:szCs w:val="28"/>
        </w:rPr>
        <w:t>一、供应商须知前附表</w:t>
      </w:r>
    </w:p>
    <w:tbl>
      <w:tblPr>
        <w:tblStyle w:val="23"/>
        <w:tblW w:w="9577" w:type="dxa"/>
        <w:jc w:val="center"/>
        <w:tblLayout w:type="fixed"/>
        <w:tblCellMar>
          <w:top w:w="0" w:type="dxa"/>
          <w:left w:w="10" w:type="dxa"/>
          <w:bottom w:w="0" w:type="dxa"/>
          <w:right w:w="10" w:type="dxa"/>
        </w:tblCellMar>
      </w:tblPr>
      <w:tblGrid>
        <w:gridCol w:w="674"/>
        <w:gridCol w:w="2258"/>
        <w:gridCol w:w="6645"/>
      </w:tblGrid>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序号</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条款名称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说明和要求</w:t>
            </w:r>
          </w:p>
        </w:tc>
      </w:tr>
      <w:tr>
        <w:tblPrEx>
          <w:tblCellMar>
            <w:top w:w="0" w:type="dxa"/>
            <w:left w:w="10" w:type="dxa"/>
            <w:bottom w:w="0" w:type="dxa"/>
            <w:right w:w="10" w:type="dxa"/>
          </w:tblCellMar>
        </w:tblPrEx>
        <w:trPr>
          <w:trHeight w:val="1898" w:hRule="exac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采购人</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 xml:space="preserve">采购人信息：眉县自然资源局  </w:t>
            </w:r>
          </w:p>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联系人：魏工</w:t>
            </w:r>
          </w:p>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联系地址：眉县平阳街东段</w:t>
            </w:r>
          </w:p>
          <w:p>
            <w:pPr>
              <w:widowControl/>
              <w:tabs>
                <w:tab w:val="left" w:pos="1620"/>
              </w:tabs>
              <w:spacing w:line="470" w:lineRule="exact"/>
              <w:ind w:right="-197"/>
              <w:rPr>
                <w:rFonts w:cs="宋体" w:asciiTheme="minorEastAsia" w:hAnsiTheme="minorEastAsia"/>
                <w:sz w:val="28"/>
                <w:szCs w:val="28"/>
              </w:rPr>
            </w:pP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lang w:val="en-US" w:eastAsia="zh-CN"/>
              </w:rPr>
              <w:t>0917-</w:t>
            </w:r>
            <w:r>
              <w:rPr>
                <w:rFonts w:asciiTheme="minorEastAsia" w:hAnsiTheme="minorEastAsia" w:cstheme="minorEastAsia"/>
                <w:kern w:val="0"/>
                <w:sz w:val="28"/>
                <w:szCs w:val="28"/>
              </w:rPr>
              <w:t xml:space="preserve"> </w:t>
            </w:r>
            <w:r>
              <w:rPr>
                <w:rFonts w:hint="eastAsia" w:asciiTheme="minorEastAsia" w:hAnsiTheme="minorEastAsia" w:cstheme="minorEastAsia"/>
                <w:kern w:val="0"/>
                <w:sz w:val="28"/>
                <w:szCs w:val="28"/>
              </w:rPr>
              <w:t>5543032</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采购代理机构</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rPr>
              <w:t>名称：</w:t>
            </w:r>
            <w:r>
              <w:rPr>
                <w:rFonts w:hint="eastAsia" w:cs="宋体" w:asciiTheme="minorEastAsia" w:hAnsiTheme="minorEastAsia"/>
                <w:sz w:val="28"/>
                <w:szCs w:val="28"/>
                <w:lang w:eastAsia="zh-CN"/>
              </w:rPr>
              <w:t>陕西恒瑞项目管理有限公司</w:t>
            </w:r>
            <w:r>
              <w:rPr>
                <w:rFonts w:hint="eastAsia" w:cs="宋体" w:asciiTheme="minorEastAsia" w:hAnsiTheme="minorEastAsia"/>
                <w:sz w:val="28"/>
                <w:szCs w:val="28"/>
              </w:rPr>
              <w:t xml:space="preserve"> </w:t>
            </w:r>
          </w:p>
          <w:p>
            <w:pPr>
              <w:spacing w:line="470" w:lineRule="exact"/>
              <w:rPr>
                <w:rFonts w:hint="eastAsia" w:cs="宋体" w:asciiTheme="minorEastAsia" w:hAnsiTheme="minorEastAsia"/>
                <w:sz w:val="28"/>
                <w:szCs w:val="28"/>
              </w:rPr>
            </w:pPr>
            <w:r>
              <w:rPr>
                <w:rFonts w:hint="eastAsia" w:cs="宋体" w:asciiTheme="minorEastAsia" w:hAnsiTheme="minorEastAsia"/>
                <w:sz w:val="28"/>
                <w:szCs w:val="28"/>
              </w:rPr>
              <w:t>地址：宝鸡市金台区金融广场A座2203室</w:t>
            </w:r>
          </w:p>
          <w:p>
            <w:pPr>
              <w:spacing w:line="470" w:lineRule="exact"/>
              <w:rPr>
                <w:rFonts w:cs="宋体" w:asciiTheme="minorEastAsia" w:hAnsiTheme="minorEastAsia"/>
                <w:sz w:val="28"/>
                <w:szCs w:val="28"/>
              </w:rPr>
            </w:pPr>
            <w:r>
              <w:rPr>
                <w:rFonts w:hint="eastAsia" w:cs="宋体" w:asciiTheme="minorEastAsia" w:hAnsiTheme="minorEastAsia"/>
                <w:sz w:val="28"/>
                <w:szCs w:val="28"/>
              </w:rPr>
              <w:t>联系人：</w:t>
            </w:r>
            <w:r>
              <w:rPr>
                <w:rFonts w:hint="eastAsia" w:cs="宋体" w:asciiTheme="minorEastAsia" w:hAnsiTheme="minorEastAsia"/>
                <w:sz w:val="28"/>
                <w:szCs w:val="28"/>
                <w:lang w:val="en-US" w:eastAsia="zh-CN"/>
              </w:rPr>
              <w:t>李</w:t>
            </w:r>
            <w:r>
              <w:rPr>
                <w:rFonts w:hint="eastAsia" w:cs="宋体" w:asciiTheme="minorEastAsia" w:hAnsiTheme="minorEastAsia"/>
                <w:sz w:val="28"/>
                <w:szCs w:val="28"/>
              </w:rPr>
              <w:t>工</w:t>
            </w:r>
          </w:p>
          <w:p>
            <w:pPr>
              <w:spacing w:line="470" w:lineRule="exact"/>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rPr>
              <w:t>联系电话：</w:t>
            </w:r>
            <w:r>
              <w:rPr>
                <w:rFonts w:hint="eastAsia" w:asciiTheme="minorEastAsia" w:hAnsiTheme="minorEastAsia" w:cstheme="minorEastAsia"/>
                <w:kern w:val="0"/>
                <w:sz w:val="28"/>
                <w:szCs w:val="28"/>
                <w:lang w:val="en-US" w:eastAsia="zh-CN"/>
              </w:rPr>
              <w:t>0917-3502893</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项目名称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sz w:val="28"/>
                <w:szCs w:val="28"/>
              </w:rPr>
            </w:pPr>
            <w:r>
              <w:rPr>
                <w:rFonts w:hint="eastAsia" w:cs="宋体" w:asciiTheme="minorEastAsia" w:hAnsiTheme="minorEastAsia"/>
                <w:sz w:val="28"/>
                <w:szCs w:val="28"/>
                <w:lang w:eastAsia="zh-CN"/>
              </w:rPr>
              <w:t>宝鸡市眉县2021年度国土变更调查项目（二次）</w:t>
            </w:r>
          </w:p>
        </w:tc>
      </w:tr>
      <w:tr>
        <w:tblPrEx>
          <w:tblCellMar>
            <w:top w:w="0" w:type="dxa"/>
            <w:left w:w="10" w:type="dxa"/>
            <w:bottom w:w="0" w:type="dxa"/>
            <w:right w:w="10" w:type="dxa"/>
          </w:tblCellMar>
        </w:tblPrEx>
        <w:trPr>
          <w:trHeight w:val="587"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项目编号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hint="eastAsia" w:asciiTheme="minorEastAsia" w:hAnsiTheme="minorEastAsia" w:eastAsiaTheme="minorEastAsia"/>
                <w:lang w:eastAsia="zh-CN"/>
              </w:rPr>
            </w:pPr>
            <w:r>
              <w:rPr>
                <w:rFonts w:hint="eastAsia" w:cs="宋体" w:asciiTheme="minorEastAsia" w:hAnsiTheme="minorEastAsia"/>
                <w:sz w:val="28"/>
                <w:szCs w:val="28"/>
                <w:lang w:eastAsia="zh-CN"/>
              </w:rPr>
              <w:t>SXHR2022-CG004.1B2</w:t>
            </w:r>
          </w:p>
        </w:tc>
      </w:tr>
      <w:tr>
        <w:tblPrEx>
          <w:tblCellMar>
            <w:top w:w="0" w:type="dxa"/>
            <w:left w:w="10" w:type="dxa"/>
            <w:bottom w:w="0" w:type="dxa"/>
            <w:right w:w="10" w:type="dxa"/>
          </w:tblCellMar>
        </w:tblPrEx>
        <w:trPr>
          <w:trHeight w:val="58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项目性质</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1620"/>
              </w:tabs>
              <w:spacing w:line="470" w:lineRule="exact"/>
              <w:ind w:right="-197"/>
              <w:jc w:val="left"/>
              <w:rPr>
                <w:rFonts w:cs="宋体" w:asciiTheme="minorEastAsia" w:hAnsiTheme="minorEastAsia"/>
                <w:sz w:val="28"/>
                <w:szCs w:val="28"/>
              </w:rPr>
            </w:pPr>
            <w:r>
              <w:rPr>
                <w:rFonts w:hint="eastAsia" w:cs="宋体" w:asciiTheme="minorEastAsia" w:hAnsiTheme="minorEastAsia"/>
                <w:sz w:val="28"/>
                <w:szCs w:val="28"/>
              </w:rPr>
              <w:t>财</w:t>
            </w:r>
            <w:r>
              <w:rPr>
                <w:rFonts w:hint="eastAsia" w:cs="宋体" w:asciiTheme="minorEastAsia" w:hAnsiTheme="minorEastAsia"/>
                <w:color w:val="000000" w:themeColor="text1"/>
                <w:sz w:val="28"/>
                <w:szCs w:val="28"/>
                <w14:textFill>
                  <w14:solidFill>
                    <w14:schemeClr w14:val="tx1"/>
                  </w14:solidFill>
                </w14:textFill>
              </w:rPr>
              <w:t>政资金</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6</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cs="宋体" w:asciiTheme="minorEastAsia" w:hAnsiTheme="minorEastAsia"/>
                <w:sz w:val="28"/>
                <w:szCs w:val="28"/>
              </w:rPr>
            </w:pPr>
            <w:r>
              <w:rPr>
                <w:rFonts w:hint="eastAsia" w:cs="宋体" w:asciiTheme="minorEastAsia" w:hAnsiTheme="minorEastAsia"/>
                <w:sz w:val="28"/>
              </w:rPr>
              <w:t>项目预算</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sz w:val="28"/>
                <w:szCs w:val="28"/>
              </w:rPr>
            </w:pPr>
            <w:r>
              <w:rPr>
                <w:rFonts w:hint="eastAsia" w:cs="宋体" w:asciiTheme="minorEastAsia" w:hAnsiTheme="minorEastAsia"/>
                <w:b/>
                <w:sz w:val="28"/>
              </w:rPr>
              <w:t>采购预算：1，000,000.00元</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7</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hint="default" w:cs="宋体" w:asciiTheme="minorEastAsia" w:hAnsiTheme="minorEastAsia" w:eastAsiaTheme="minorEastAsia"/>
                <w:sz w:val="28"/>
                <w:lang w:val="en-US" w:eastAsia="zh-CN"/>
              </w:rPr>
            </w:pPr>
            <w:r>
              <w:rPr>
                <w:rFonts w:hint="eastAsia" w:cs="宋体" w:asciiTheme="minorEastAsia" w:hAnsiTheme="minorEastAsia"/>
                <w:sz w:val="28"/>
                <w:lang w:val="en-US" w:eastAsia="zh-CN"/>
              </w:rPr>
              <w:t>最高限价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hint="eastAsia" w:cs="宋体" w:asciiTheme="minorEastAsia" w:hAnsiTheme="minorEastAsia"/>
                <w:b/>
                <w:sz w:val="28"/>
              </w:rPr>
            </w:pPr>
            <w:r>
              <w:rPr>
                <w:rFonts w:hint="eastAsia" w:cs="宋体" w:asciiTheme="minorEastAsia" w:hAnsiTheme="minorEastAsia"/>
                <w:b/>
                <w:bCs/>
                <w:sz w:val="28"/>
                <w:szCs w:val="28"/>
                <w:lang w:eastAsia="zh-CN"/>
              </w:rPr>
              <w:t>注：投标人报价超出采购预算，作为不实质性响应竞争性磋商文件，按无效磋商响应处理</w:t>
            </w:r>
            <w:r>
              <w:rPr>
                <w:rFonts w:hint="eastAsia" w:cs="宋体" w:asciiTheme="minorEastAsia" w:hAnsiTheme="minorEastAsia"/>
                <w:b/>
                <w:bCs/>
                <w:sz w:val="28"/>
              </w:rPr>
              <w:t>。</w:t>
            </w:r>
          </w:p>
        </w:tc>
      </w:tr>
      <w:tr>
        <w:tblPrEx>
          <w:tblCellMar>
            <w:top w:w="0" w:type="dxa"/>
            <w:left w:w="10" w:type="dxa"/>
            <w:bottom w:w="0" w:type="dxa"/>
            <w:right w:w="10" w:type="dxa"/>
          </w:tblCellMar>
        </w:tblPrEx>
        <w:trPr>
          <w:trHeight w:val="9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8</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项目用途</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lang w:val="en-US" w:eastAsia="zh-CN"/>
              </w:rPr>
              <w:t>公</w:t>
            </w:r>
            <w:r>
              <w:rPr>
                <w:rFonts w:hint="eastAsia" w:cs="宋体" w:asciiTheme="minorEastAsia" w:hAnsiTheme="minorEastAsia"/>
                <w:sz w:val="28"/>
                <w:szCs w:val="28"/>
              </w:rPr>
              <w:t>用</w:t>
            </w:r>
          </w:p>
        </w:tc>
      </w:tr>
      <w:tr>
        <w:tblPrEx>
          <w:tblCellMar>
            <w:top w:w="0" w:type="dxa"/>
            <w:left w:w="10" w:type="dxa"/>
            <w:bottom w:w="0" w:type="dxa"/>
            <w:right w:w="10" w:type="dxa"/>
          </w:tblCellMar>
        </w:tblPrEx>
        <w:trPr>
          <w:trHeight w:val="631"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9</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采购内容和要求</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sz w:val="28"/>
                <w:szCs w:val="28"/>
              </w:rPr>
            </w:pPr>
            <w:r>
              <w:rPr>
                <w:rFonts w:hint="eastAsia" w:cs="宋体" w:asciiTheme="minorEastAsia" w:hAnsiTheme="minorEastAsia"/>
                <w:color w:val="000000" w:themeColor="text1"/>
                <w:sz w:val="28"/>
                <w:szCs w:val="28"/>
                <w14:textFill>
                  <w14:solidFill>
                    <w14:schemeClr w14:val="tx1"/>
                  </w14:solidFill>
                </w14:textFill>
              </w:rPr>
              <w:t>详见磋商文件</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10</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color w:val="auto"/>
                <w:sz w:val="28"/>
                <w:szCs w:val="28"/>
              </w:rPr>
            </w:pPr>
            <w:r>
              <w:rPr>
                <w:rFonts w:hint="eastAsia" w:cs="宋体" w:asciiTheme="minorEastAsia" w:hAnsiTheme="minorEastAsia"/>
                <w:color w:val="auto"/>
                <w:sz w:val="28"/>
                <w:szCs w:val="28"/>
              </w:rPr>
              <w:t>服务期</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9</w:t>
            </w:r>
            <w:r>
              <w:rPr>
                <w:rFonts w:cs="宋体" w:asciiTheme="minorEastAsia" w:hAnsiTheme="minorEastAsia"/>
                <w:color w:val="auto"/>
                <w:sz w:val="28"/>
                <w:szCs w:val="28"/>
              </w:rPr>
              <w:t>0</w:t>
            </w:r>
            <w:r>
              <w:rPr>
                <w:rFonts w:hint="eastAsia" w:cs="宋体" w:asciiTheme="minorEastAsia" w:hAnsiTheme="minorEastAsia"/>
                <w:color w:val="auto"/>
                <w:sz w:val="28"/>
                <w:szCs w:val="28"/>
              </w:rPr>
              <w:t>日历天</w:t>
            </w:r>
          </w:p>
        </w:tc>
      </w:tr>
      <w:tr>
        <w:tblPrEx>
          <w:tblCellMar>
            <w:top w:w="0" w:type="dxa"/>
            <w:left w:w="10" w:type="dxa"/>
            <w:bottom w:w="0" w:type="dxa"/>
            <w:right w:w="10" w:type="dxa"/>
          </w:tblCellMar>
        </w:tblPrEx>
        <w:trPr>
          <w:trHeight w:val="67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质量</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sz w:val="28"/>
              </w:rPr>
              <w:t>符合国家验收相关标准，并达到合格标准</w:t>
            </w:r>
          </w:p>
        </w:tc>
      </w:tr>
      <w:tr>
        <w:tblPrEx>
          <w:tblCellMar>
            <w:top w:w="0" w:type="dxa"/>
            <w:left w:w="10" w:type="dxa"/>
            <w:bottom w:w="0" w:type="dxa"/>
            <w:right w:w="10" w:type="dxa"/>
          </w:tblCellMar>
        </w:tblPrEx>
        <w:trPr>
          <w:trHeight w:val="50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磋商文件发售</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sz w:val="28"/>
                <w:szCs w:val="28"/>
              </w:rPr>
              <w:t>发售时间</w:t>
            </w:r>
            <w:r>
              <w:rPr>
                <w:rFonts w:hint="eastAsia" w:cs="宋体" w:asciiTheme="minorEastAsia" w:hAnsiTheme="minorEastAsia"/>
                <w:color w:val="000000" w:themeColor="text1"/>
                <w:sz w:val="28"/>
                <w:szCs w:val="28"/>
                <w14:textFill>
                  <w14:solidFill>
                    <w14:schemeClr w14:val="tx1"/>
                  </w14:solidFill>
                </w14:textFill>
              </w:rPr>
              <w:t>：2</w:t>
            </w:r>
            <w:r>
              <w:rPr>
                <w:rFonts w:hint="eastAsia" w:cs="宋体" w:asciiTheme="minorEastAsia" w:hAnsiTheme="minorEastAsia"/>
                <w:sz w:val="28"/>
                <w:szCs w:val="28"/>
              </w:rPr>
              <w:t>022年</w:t>
            </w:r>
            <w:r>
              <w:rPr>
                <w:rFonts w:cs="宋体" w:asciiTheme="minorEastAsia" w:hAnsiTheme="minorEastAsia"/>
                <w:sz w:val="28"/>
                <w:szCs w:val="28"/>
              </w:rPr>
              <w:t>0</w:t>
            </w:r>
            <w:r>
              <w:rPr>
                <w:rFonts w:hint="eastAsia" w:cs="宋体" w:asciiTheme="minorEastAsia" w:hAnsiTheme="minorEastAsia"/>
                <w:sz w:val="28"/>
                <w:szCs w:val="28"/>
                <w:lang w:val="en-US" w:eastAsia="zh-CN"/>
              </w:rPr>
              <w:t>9</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27</w:t>
            </w:r>
            <w:r>
              <w:rPr>
                <w:rFonts w:hint="eastAsia" w:cs="宋体" w:asciiTheme="minorEastAsia" w:hAnsiTheme="minorEastAsia"/>
                <w:sz w:val="28"/>
                <w:szCs w:val="28"/>
              </w:rPr>
              <w:t>日09:00:00</w:t>
            </w:r>
            <w:r>
              <w:rPr>
                <w:rFonts w:hint="eastAsia" w:cs="宋体" w:asciiTheme="minorEastAsia" w:hAnsiTheme="minorEastAsia"/>
                <w:color w:val="000000" w:themeColor="text1"/>
                <w:sz w:val="28"/>
                <w:szCs w:val="28"/>
                <w14:textFill>
                  <w14:solidFill>
                    <w14:schemeClr w14:val="tx1"/>
                  </w14:solidFill>
                </w14:textFill>
              </w:rPr>
              <w:t xml:space="preserve">至2022年 </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月</w:t>
            </w:r>
            <w:r>
              <w:rPr>
                <w:rFonts w:hint="eastAsia" w:cs="宋体" w:asciiTheme="minorEastAsia" w:hAnsiTheme="minorEastAsia"/>
                <w:color w:val="000000" w:themeColor="text1"/>
                <w:sz w:val="28"/>
                <w:szCs w:val="28"/>
                <w:lang w:val="en-US" w:eastAsia="zh-CN"/>
                <w14:textFill>
                  <w14:solidFill>
                    <w14:schemeClr w14:val="tx1"/>
                  </w14:solidFill>
                </w14:textFill>
              </w:rPr>
              <w:t>08</w:t>
            </w:r>
            <w:r>
              <w:rPr>
                <w:rFonts w:hint="eastAsia" w:cs="宋体" w:asciiTheme="minorEastAsia" w:hAnsiTheme="minorEastAsia"/>
                <w:color w:val="000000" w:themeColor="text1"/>
                <w:sz w:val="28"/>
                <w:szCs w:val="28"/>
                <w14:textFill>
                  <w14:solidFill>
                    <w14:schemeClr w14:val="tx1"/>
                  </w14:solidFill>
                </w14:textFill>
              </w:rPr>
              <w:t>日17:00:00（节假日除外）</w:t>
            </w:r>
          </w:p>
          <w:p>
            <w:pPr>
              <w:pStyle w:val="44"/>
              <w:spacing w:line="470" w:lineRule="exact"/>
              <w:rPr>
                <w:rFonts w:hint="eastAsia" w:cs="宋体" w:asciiTheme="minorEastAsia" w:hAnsiTheme="minorEastAsia" w:eastAsiaTheme="minorEastAsia"/>
                <w:sz w:val="28"/>
                <w:szCs w:val="28"/>
                <w:lang w:eastAsia="zh-CN"/>
              </w:rPr>
            </w:pPr>
            <w:r>
              <w:rPr>
                <w:rFonts w:hint="eastAsia" w:cs="宋体" w:asciiTheme="minorEastAsia" w:hAnsiTheme="minorEastAsia"/>
                <w:color w:val="000000" w:themeColor="text1"/>
                <w:sz w:val="28"/>
                <w:szCs w:val="28"/>
                <w14:textFill>
                  <w14:solidFill>
                    <w14:schemeClr w14:val="tx1"/>
                  </w14:solidFill>
                </w14:textFill>
              </w:rPr>
              <w:t>发售地点</w:t>
            </w:r>
            <w:r>
              <w:rPr>
                <w:rFonts w:hint="eastAsia" w:cs="宋体" w:asciiTheme="minorEastAsia" w:hAnsiTheme="minorEastAsia"/>
                <w:color w:val="auto"/>
                <w:sz w:val="28"/>
                <w:szCs w:val="28"/>
              </w:rPr>
              <w:t>：</w:t>
            </w:r>
            <w:r>
              <w:rPr>
                <w:rFonts w:hint="eastAsia" w:ascii="宋体" w:hAnsi="宋体"/>
                <w:color w:val="auto"/>
                <w:kern w:val="2"/>
                <w:sz w:val="28"/>
                <w:szCs w:val="28"/>
              </w:rPr>
              <w:t>宝鸡市金台区金台大道金融广场A座2203室进行缴费确认</w:t>
            </w:r>
            <w:r>
              <w:rPr>
                <w:rFonts w:hint="eastAsia" w:ascii="宋体" w:hAnsi="宋体"/>
                <w:color w:val="auto"/>
                <w:kern w:val="2"/>
                <w:sz w:val="28"/>
                <w:szCs w:val="28"/>
                <w:lang w:val="en-US" w:eastAsia="zh-CN"/>
              </w:rPr>
              <w:t>后可</w:t>
            </w:r>
            <w:r>
              <w:rPr>
                <w:rFonts w:hint="eastAsia" w:ascii="宋体" w:hAnsi="宋体"/>
                <w:color w:val="auto"/>
                <w:kern w:val="2"/>
                <w:sz w:val="28"/>
                <w:szCs w:val="28"/>
                <w:lang w:eastAsia="zh-CN"/>
              </w:rPr>
              <w:t>凭数字证书（陕西 CA 锁）自行登录【全国公共资源交易平台（陕西省·宝鸡市）】 （http://bj.sxggzyjy.cn）下载磋商文件。</w:t>
            </w:r>
          </w:p>
        </w:tc>
      </w:tr>
      <w:tr>
        <w:tblPrEx>
          <w:tblCellMar>
            <w:top w:w="0" w:type="dxa"/>
            <w:left w:w="10" w:type="dxa"/>
            <w:bottom w:w="0" w:type="dxa"/>
            <w:right w:w="10" w:type="dxa"/>
          </w:tblCellMar>
        </w:tblPrEx>
        <w:trPr>
          <w:trHeight w:val="674"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联合体磋商</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不接受</w:t>
            </w:r>
          </w:p>
        </w:tc>
      </w:tr>
      <w:tr>
        <w:tblPrEx>
          <w:tblCellMar>
            <w:top w:w="0" w:type="dxa"/>
            <w:left w:w="10" w:type="dxa"/>
            <w:bottom w:w="0" w:type="dxa"/>
            <w:right w:w="10" w:type="dxa"/>
          </w:tblCellMar>
        </w:tblPrEx>
        <w:trPr>
          <w:trHeight w:val="1144"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现场勘查、标前答疑会</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rPr>
              <w:t>不组织。采购人认为有必要，另行书面通知。</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供应商对竞争性磋商文件提出质疑的时间</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tc>
      </w:tr>
      <w:tr>
        <w:tblPrEx>
          <w:tblCellMar>
            <w:top w:w="0" w:type="dxa"/>
            <w:left w:w="10" w:type="dxa"/>
            <w:bottom w:w="0" w:type="dxa"/>
            <w:right w:w="10" w:type="dxa"/>
          </w:tblCellMar>
        </w:tblPrEx>
        <w:trPr>
          <w:trHeight w:val="1199"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6</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构成竞争性磋商文件的其他文件</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竞争性磋商文件的澄清、修改及有关补充通知为竞争性磋商文件的有效组成部分。</w:t>
            </w:r>
          </w:p>
        </w:tc>
      </w:tr>
      <w:tr>
        <w:tblPrEx>
          <w:tblCellMar>
            <w:top w:w="0" w:type="dxa"/>
            <w:left w:w="10" w:type="dxa"/>
            <w:bottom w:w="0" w:type="dxa"/>
            <w:right w:w="10" w:type="dxa"/>
          </w:tblCellMar>
        </w:tblPrEx>
        <w:trPr>
          <w:trHeight w:val="4767"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7</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4"/>
              <w:spacing w:line="470" w:lineRule="exact"/>
              <w:rPr>
                <w:rFonts w:cs="宋体" w:asciiTheme="minorEastAsia" w:hAnsiTheme="minorEastAsia"/>
                <w:sz w:val="28"/>
                <w:szCs w:val="28"/>
              </w:rPr>
            </w:pPr>
            <w:r>
              <w:rPr>
                <w:rFonts w:hint="eastAsia" w:cs="宋体" w:asciiTheme="minorEastAsia" w:hAnsiTheme="minorEastAsia"/>
                <w:sz w:val="28"/>
                <w:szCs w:val="28"/>
              </w:rPr>
              <w:t>磋商响应文件递交截止时间及磋商时间和地点</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4"/>
              <w:spacing w:line="470" w:lineRule="exact"/>
              <w:rPr>
                <w:rFonts w:cs="宋体" w:asciiTheme="minorEastAsia" w:hAnsiTheme="minorEastAsia"/>
                <w:color w:val="auto"/>
                <w:sz w:val="28"/>
                <w:szCs w:val="28"/>
              </w:rPr>
            </w:pPr>
            <w:r>
              <w:rPr>
                <w:rFonts w:hint="eastAsia" w:cs="宋体" w:asciiTheme="minorEastAsia" w:hAnsiTheme="minorEastAsia"/>
                <w:sz w:val="28"/>
                <w:szCs w:val="28"/>
              </w:rPr>
              <w:t>1、磋商响应文件递交截止时间：2022年</w:t>
            </w:r>
            <w:r>
              <w:rPr>
                <w:rFonts w:hint="eastAsia" w:cs="宋体" w:asciiTheme="minorEastAsia" w:hAnsiTheme="minorEastAsia"/>
                <w:sz w:val="28"/>
                <w:szCs w:val="28"/>
                <w:lang w:val="en-US" w:eastAsia="zh-CN"/>
              </w:rPr>
              <w:t>10</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12</w:t>
            </w:r>
            <w:r>
              <w:rPr>
                <w:rFonts w:hint="eastAsia" w:cs="宋体" w:asciiTheme="minorEastAsia" w:hAnsiTheme="minorEastAsia"/>
                <w:sz w:val="28"/>
                <w:szCs w:val="28"/>
              </w:rPr>
              <w:t>日</w:t>
            </w:r>
            <w:r>
              <w:rPr>
                <w:rFonts w:hint="eastAsia" w:cs="宋体" w:asciiTheme="minorEastAsia" w:hAnsiTheme="minorEastAsia"/>
                <w:sz w:val="28"/>
                <w:szCs w:val="28"/>
                <w:lang w:val="en-US" w:eastAsia="zh-CN"/>
              </w:rPr>
              <w:t>09</w:t>
            </w:r>
            <w:r>
              <w:rPr>
                <w:rFonts w:hint="eastAsia" w:cs="宋体" w:asciiTheme="minorEastAsia" w:hAnsiTheme="minorEastAsia"/>
                <w:sz w:val="28"/>
                <w:szCs w:val="28"/>
              </w:rPr>
              <w:t>:</w:t>
            </w:r>
            <w:r>
              <w:rPr>
                <w:rFonts w:hint="eastAsia" w:cs="宋体" w:asciiTheme="minorEastAsia" w:hAnsiTheme="minorEastAsia"/>
                <w:sz w:val="28"/>
                <w:szCs w:val="28"/>
                <w:lang w:val="en-US" w:eastAsia="zh-CN"/>
              </w:rPr>
              <w:t>0</w:t>
            </w:r>
            <w:r>
              <w:rPr>
                <w:rFonts w:hint="eastAsia" w:cs="宋体" w:asciiTheme="minorEastAsia" w:hAnsiTheme="minorEastAsia"/>
                <w:sz w:val="28"/>
                <w:szCs w:val="28"/>
              </w:rPr>
              <w:t>0时</w:t>
            </w:r>
            <w:r>
              <w:rPr>
                <w:rFonts w:hint="eastAsia" w:cs="宋体" w:asciiTheme="minorEastAsia" w:hAnsiTheme="minorEastAsia"/>
                <w:color w:val="auto"/>
                <w:sz w:val="28"/>
                <w:szCs w:val="28"/>
              </w:rPr>
              <w:t>,逾期递交的磋商响应文件概不接受。</w:t>
            </w:r>
          </w:p>
          <w:p>
            <w:pPr>
              <w:pStyle w:val="44"/>
              <w:spacing w:line="470" w:lineRule="exact"/>
              <w:rPr>
                <w:rFonts w:cs="宋体" w:asciiTheme="minorEastAsia" w:hAnsiTheme="minorEastAsia"/>
                <w:color w:val="auto"/>
                <w:sz w:val="28"/>
                <w:szCs w:val="28"/>
              </w:rPr>
            </w:pPr>
            <w:r>
              <w:rPr>
                <w:rFonts w:hint="eastAsia" w:cs="宋体" w:asciiTheme="minorEastAsia" w:hAnsiTheme="minorEastAsia"/>
                <w:color w:val="auto"/>
                <w:sz w:val="28"/>
                <w:szCs w:val="28"/>
              </w:rPr>
              <w:t>2、磋商时间：2022年</w:t>
            </w:r>
            <w:r>
              <w:rPr>
                <w:rFonts w:hint="eastAsia" w:cs="宋体" w:asciiTheme="minorEastAsia" w:hAnsiTheme="minorEastAsia"/>
                <w:color w:val="auto"/>
                <w:sz w:val="28"/>
                <w:szCs w:val="28"/>
                <w:lang w:val="en-US" w:eastAsia="zh-CN"/>
              </w:rPr>
              <w:t>10</w:t>
            </w:r>
            <w:r>
              <w:rPr>
                <w:rFonts w:hint="eastAsia" w:cs="宋体" w:asciiTheme="minorEastAsia" w:hAnsiTheme="minorEastAsia"/>
                <w:color w:val="auto"/>
                <w:sz w:val="28"/>
                <w:szCs w:val="28"/>
              </w:rPr>
              <w:t>月</w:t>
            </w:r>
            <w:r>
              <w:rPr>
                <w:rFonts w:hint="eastAsia" w:cs="宋体" w:asciiTheme="minorEastAsia" w:hAnsiTheme="minorEastAsia"/>
                <w:color w:val="auto"/>
                <w:sz w:val="28"/>
                <w:szCs w:val="28"/>
                <w:lang w:val="en-US" w:eastAsia="zh-CN"/>
              </w:rPr>
              <w:t>12</w:t>
            </w:r>
            <w:r>
              <w:rPr>
                <w:rFonts w:hint="eastAsia" w:cs="宋体" w:asciiTheme="minorEastAsia" w:hAnsiTheme="minorEastAsia"/>
                <w:color w:val="auto"/>
                <w:sz w:val="28"/>
                <w:szCs w:val="28"/>
              </w:rPr>
              <w:t>日</w:t>
            </w:r>
            <w:r>
              <w:rPr>
                <w:rFonts w:hint="eastAsia" w:cs="宋体" w:asciiTheme="minorEastAsia" w:hAnsiTheme="minorEastAsia"/>
                <w:color w:val="auto"/>
                <w:sz w:val="28"/>
                <w:szCs w:val="28"/>
                <w:lang w:val="en-US" w:eastAsia="zh-CN"/>
              </w:rPr>
              <w:t>09</w:t>
            </w:r>
            <w:r>
              <w:rPr>
                <w:rFonts w:hint="eastAsia" w:cs="宋体" w:asciiTheme="minorEastAsia" w:hAnsiTheme="minorEastAsia"/>
                <w:color w:val="auto"/>
                <w:sz w:val="28"/>
                <w:szCs w:val="28"/>
              </w:rPr>
              <w:t>:</w:t>
            </w:r>
            <w:r>
              <w:rPr>
                <w:rFonts w:hint="eastAsia" w:cs="宋体" w:asciiTheme="minorEastAsia" w:hAnsiTheme="minorEastAsia"/>
                <w:color w:val="auto"/>
                <w:sz w:val="28"/>
                <w:szCs w:val="28"/>
                <w:lang w:val="en-US" w:eastAsia="zh-CN"/>
              </w:rPr>
              <w:t>0</w:t>
            </w:r>
            <w:r>
              <w:rPr>
                <w:rFonts w:hint="eastAsia" w:cs="宋体" w:asciiTheme="minorEastAsia" w:hAnsiTheme="minorEastAsia"/>
                <w:color w:val="auto"/>
                <w:sz w:val="28"/>
                <w:szCs w:val="28"/>
              </w:rPr>
              <w:t>0时。</w:t>
            </w:r>
          </w:p>
          <w:p>
            <w:pPr>
              <w:pStyle w:val="44"/>
              <w:spacing w:line="470" w:lineRule="exact"/>
              <w:rPr>
                <w:rFonts w:hint="eastAsia" w:cs="宋体" w:asciiTheme="minorEastAsia" w:hAnsiTheme="minorEastAsia"/>
                <w:color w:val="auto"/>
                <w:sz w:val="28"/>
                <w:szCs w:val="28"/>
              </w:rPr>
            </w:pPr>
            <w:r>
              <w:rPr>
                <w:rFonts w:hint="eastAsia" w:cs="宋体" w:asciiTheme="minorEastAsia" w:hAnsiTheme="minorEastAsia"/>
                <w:color w:val="auto"/>
                <w:sz w:val="28"/>
                <w:szCs w:val="28"/>
              </w:rPr>
              <w:t>3、磋商地点：宝鸡市公共资源交易中心五楼第</w:t>
            </w:r>
            <w:r>
              <w:rPr>
                <w:rFonts w:hint="eastAsia" w:cs="宋体" w:asciiTheme="minorEastAsia" w:hAnsiTheme="minorEastAsia"/>
                <w:color w:val="auto"/>
                <w:sz w:val="28"/>
                <w:szCs w:val="28"/>
                <w:lang w:val="en-US" w:eastAsia="zh-CN"/>
              </w:rPr>
              <w:t>10</w:t>
            </w:r>
            <w:r>
              <w:rPr>
                <w:rFonts w:hint="eastAsia" w:cs="宋体" w:asciiTheme="minorEastAsia" w:hAnsiTheme="minorEastAsia"/>
                <w:color w:val="auto"/>
                <w:sz w:val="28"/>
                <w:szCs w:val="28"/>
              </w:rPr>
              <w:t>开标室</w:t>
            </w:r>
          </w:p>
          <w:p>
            <w:pPr>
              <w:pStyle w:val="44"/>
              <w:spacing w:line="470" w:lineRule="exact"/>
              <w:rPr>
                <w:rFonts w:hint="eastAsia" w:cs="宋体" w:asciiTheme="minorEastAsia" w:hAnsiTheme="minorEastAsia" w:eastAsiaTheme="minorEastAsia"/>
                <w:sz w:val="28"/>
                <w:szCs w:val="28"/>
                <w:lang w:eastAsia="zh-CN"/>
              </w:rPr>
            </w:pPr>
            <w:r>
              <w:rPr>
                <w:rFonts w:hint="eastAsia" w:ascii="宋体" w:hAnsi="宋体" w:cs="仿宋_GB2312"/>
                <w:color w:val="auto"/>
                <w:sz w:val="28"/>
                <w:szCs w:val="28"/>
              </w:rPr>
              <w:t xml:space="preserve">4、供应商须在响应截止时间前，持陕西CA锁，登录全国公共资源交易平台（陕西省 ▪ 宝鸡市）宝鸡市公共资源交易中心（http://bj.sxggzyjy.cn）上传电子标书（*.SXSTF），逾期提交，系统将拒绝接收 </w:t>
            </w:r>
            <w:r>
              <w:rPr>
                <w:rFonts w:hint="eastAsia" w:ascii="宋体" w:hAnsi="宋体" w:cs="仿宋_GB2312"/>
                <w:color w:val="auto"/>
                <w:sz w:val="28"/>
                <w:szCs w:val="28"/>
                <w:lang w:eastAsia="zh-CN"/>
              </w:rPr>
              <w:t>。</w:t>
            </w:r>
          </w:p>
        </w:tc>
      </w:tr>
      <w:tr>
        <w:tblPrEx>
          <w:tblCellMar>
            <w:top w:w="0" w:type="dxa"/>
            <w:left w:w="10" w:type="dxa"/>
            <w:bottom w:w="0" w:type="dxa"/>
            <w:right w:w="10" w:type="dxa"/>
          </w:tblCellMar>
        </w:tblPrEx>
        <w:trPr>
          <w:trHeight w:val="67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8</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磋商有效期</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自磋商之日起算90个日历日。</w:t>
            </w:r>
          </w:p>
        </w:tc>
      </w:tr>
      <w:tr>
        <w:tblPrEx>
          <w:tblCellMar>
            <w:top w:w="0" w:type="dxa"/>
            <w:left w:w="10" w:type="dxa"/>
            <w:bottom w:w="0" w:type="dxa"/>
            <w:right w:w="10" w:type="dxa"/>
          </w:tblCellMar>
        </w:tblPrEx>
        <w:trPr>
          <w:trHeight w:val="9433"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9</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磋商担保</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7013"/>
              </w:tabs>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1、方式：(任选其一)</w:t>
            </w:r>
          </w:p>
          <w:p>
            <w:pPr>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（1）转账(必须从公司公户转出)</w:t>
            </w:r>
          </w:p>
          <w:p>
            <w:pPr>
              <w:spacing w:line="470" w:lineRule="exact"/>
              <w:ind w:firstLine="560" w:firstLineChars="200"/>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磋商保证金：</w:t>
            </w:r>
            <w:r>
              <w:rPr>
                <w:rFonts w:hint="eastAsia" w:ascii="宋体" w:hAnsi="宋体" w:cs="宋体"/>
                <w:b w:val="0"/>
                <w:bCs w:val="0"/>
                <w:kern w:val="1"/>
                <w:sz w:val="28"/>
                <w:szCs w:val="28"/>
                <w:lang w:val="en-US" w:eastAsia="zh-CN" w:bidi="ar-SA"/>
              </w:rPr>
              <w:t>9000</w:t>
            </w:r>
            <w:r>
              <w:rPr>
                <w:rFonts w:hint="eastAsia" w:ascii="宋体" w:hAnsi="宋体" w:cs="宋体" w:eastAsiaTheme="minorEastAsia"/>
                <w:b w:val="0"/>
                <w:bCs w:val="0"/>
                <w:kern w:val="1"/>
                <w:sz w:val="28"/>
                <w:szCs w:val="28"/>
                <w:lang w:val="en-US" w:eastAsia="zh-CN" w:bidi="ar-SA"/>
              </w:rPr>
              <w:t>.00（</w:t>
            </w:r>
            <w:r>
              <w:rPr>
                <w:rFonts w:hint="eastAsia" w:ascii="宋体" w:hAnsi="宋体" w:cs="宋体"/>
                <w:b w:val="0"/>
                <w:bCs w:val="0"/>
                <w:kern w:val="1"/>
                <w:sz w:val="28"/>
                <w:szCs w:val="28"/>
                <w:lang w:val="en-US" w:eastAsia="zh-CN" w:bidi="ar-SA"/>
              </w:rPr>
              <w:t>玖仟元整</w:t>
            </w:r>
            <w:r>
              <w:rPr>
                <w:rFonts w:hint="eastAsia" w:ascii="宋体" w:hAnsi="宋体" w:cs="宋体" w:eastAsiaTheme="minorEastAsia"/>
                <w:b w:val="0"/>
                <w:bCs w:val="0"/>
                <w:kern w:val="1"/>
                <w:sz w:val="28"/>
                <w:szCs w:val="28"/>
                <w:lang w:val="en-US" w:eastAsia="zh-CN" w:bidi="ar-SA"/>
              </w:rPr>
              <w:t>）</w:t>
            </w:r>
          </w:p>
          <w:p>
            <w:pPr>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（2）担保函（基本户开具的保函）</w:t>
            </w:r>
          </w:p>
          <w:p>
            <w:pPr>
              <w:spacing w:line="500" w:lineRule="exact"/>
              <w:rPr>
                <w:rFonts w:hint="default" w:cs="宋体" w:asciiTheme="minorEastAsia" w:hAnsiTheme="minorEastAsia"/>
                <w:sz w:val="28"/>
                <w:szCs w:val="28"/>
                <w:lang w:val="en-US" w:eastAsia="zh-CN"/>
              </w:rPr>
            </w:pPr>
            <w:r>
              <w:rPr>
                <w:rFonts w:hint="eastAsia" w:ascii="宋体" w:hAnsi="宋体" w:cs="宋体" w:eastAsiaTheme="minorEastAsia"/>
                <w:b w:val="0"/>
                <w:bCs w:val="0"/>
                <w:kern w:val="1"/>
                <w:sz w:val="28"/>
                <w:szCs w:val="28"/>
                <w:lang w:val="en-US" w:eastAsia="zh-CN" w:bidi="ar-SA"/>
              </w:rPr>
              <w:t>2、供应商须按规定时间（2022年</w:t>
            </w:r>
            <w:r>
              <w:rPr>
                <w:rFonts w:hint="eastAsia" w:ascii="宋体" w:hAnsi="宋体" w:cs="宋体"/>
                <w:b w:val="0"/>
                <w:bCs w:val="0"/>
                <w:kern w:val="1"/>
                <w:sz w:val="28"/>
                <w:szCs w:val="28"/>
                <w:lang w:val="en-US" w:eastAsia="zh-CN" w:bidi="ar-SA"/>
              </w:rPr>
              <w:t>1</w:t>
            </w:r>
            <w:r>
              <w:rPr>
                <w:rFonts w:hint="eastAsia" w:ascii="宋体" w:hAnsi="宋体" w:cs="宋体"/>
                <w:b w:val="0"/>
                <w:bCs w:val="0"/>
                <w:color w:val="auto"/>
                <w:kern w:val="1"/>
                <w:sz w:val="28"/>
                <w:szCs w:val="28"/>
                <w:lang w:val="en-US" w:eastAsia="zh-CN" w:bidi="ar-SA"/>
              </w:rPr>
              <w:t>0</w:t>
            </w:r>
            <w:r>
              <w:rPr>
                <w:rFonts w:hint="eastAsia" w:ascii="宋体" w:hAnsi="宋体" w:cs="宋体" w:eastAsiaTheme="minorEastAsia"/>
                <w:b w:val="0"/>
                <w:bCs w:val="0"/>
                <w:color w:val="auto"/>
                <w:kern w:val="1"/>
                <w:sz w:val="28"/>
                <w:szCs w:val="28"/>
                <w:lang w:val="en-US" w:eastAsia="zh-CN" w:bidi="ar-SA"/>
              </w:rPr>
              <w:t>月</w:t>
            </w:r>
            <w:r>
              <w:rPr>
                <w:rFonts w:hint="eastAsia" w:ascii="宋体" w:hAnsi="宋体" w:cs="宋体"/>
                <w:b w:val="0"/>
                <w:bCs w:val="0"/>
                <w:color w:val="auto"/>
                <w:kern w:val="1"/>
                <w:sz w:val="28"/>
                <w:szCs w:val="28"/>
                <w:lang w:val="en-US" w:eastAsia="zh-CN" w:bidi="ar-SA"/>
              </w:rPr>
              <w:t>12</w:t>
            </w:r>
            <w:r>
              <w:rPr>
                <w:rFonts w:hint="eastAsia" w:ascii="宋体" w:hAnsi="宋体" w:cs="宋体" w:eastAsiaTheme="minorEastAsia"/>
                <w:b w:val="0"/>
                <w:bCs w:val="0"/>
                <w:color w:val="auto"/>
                <w:kern w:val="1"/>
                <w:sz w:val="28"/>
                <w:szCs w:val="28"/>
                <w:lang w:val="en-US" w:eastAsia="zh-CN" w:bidi="ar-SA"/>
              </w:rPr>
              <w:t>日</w:t>
            </w:r>
            <w:r>
              <w:rPr>
                <w:rFonts w:hint="eastAsia" w:ascii="宋体" w:hAnsi="宋体" w:cs="宋体"/>
                <w:b w:val="0"/>
                <w:bCs w:val="0"/>
                <w:color w:val="auto"/>
                <w:kern w:val="1"/>
                <w:sz w:val="28"/>
                <w:szCs w:val="28"/>
                <w:lang w:val="en-US" w:eastAsia="zh-CN" w:bidi="ar-SA"/>
              </w:rPr>
              <w:t>09</w:t>
            </w:r>
            <w:r>
              <w:rPr>
                <w:rFonts w:hint="eastAsia" w:ascii="宋体" w:hAnsi="宋体" w:cs="宋体" w:eastAsiaTheme="minorEastAsia"/>
                <w:b w:val="0"/>
                <w:bCs w:val="0"/>
                <w:color w:val="auto"/>
                <w:kern w:val="1"/>
                <w:sz w:val="28"/>
                <w:szCs w:val="28"/>
                <w:lang w:val="en-US" w:eastAsia="zh-CN" w:bidi="ar-SA"/>
              </w:rPr>
              <w:t>:</w:t>
            </w:r>
            <w:r>
              <w:rPr>
                <w:rFonts w:hint="eastAsia" w:ascii="宋体" w:hAnsi="宋体" w:cs="宋体"/>
                <w:b w:val="0"/>
                <w:bCs w:val="0"/>
                <w:color w:val="auto"/>
                <w:kern w:val="1"/>
                <w:sz w:val="28"/>
                <w:szCs w:val="28"/>
                <w:lang w:val="en-US" w:eastAsia="zh-CN" w:bidi="ar-SA"/>
              </w:rPr>
              <w:t>0</w:t>
            </w:r>
            <w:r>
              <w:rPr>
                <w:rFonts w:hint="eastAsia" w:ascii="宋体" w:hAnsi="宋体" w:cs="宋体" w:eastAsiaTheme="minorEastAsia"/>
                <w:b w:val="0"/>
                <w:bCs w:val="0"/>
                <w:color w:val="auto"/>
                <w:kern w:val="1"/>
                <w:sz w:val="28"/>
                <w:szCs w:val="28"/>
                <w:lang w:val="en-US" w:eastAsia="zh-CN" w:bidi="ar-SA"/>
              </w:rPr>
              <w:t>0</w:t>
            </w:r>
            <w:r>
              <w:rPr>
                <w:rFonts w:hint="eastAsia" w:ascii="宋体" w:hAnsi="宋体" w:cs="宋体" w:eastAsiaTheme="minorEastAsia"/>
                <w:b w:val="0"/>
                <w:bCs w:val="0"/>
                <w:kern w:val="1"/>
                <w:sz w:val="28"/>
                <w:szCs w:val="28"/>
                <w:lang w:val="en-US" w:eastAsia="zh-CN" w:bidi="ar-SA"/>
              </w:rPr>
              <w:t>时前）</w:t>
            </w:r>
            <w:r>
              <w:rPr>
                <w:rFonts w:hint="eastAsia" w:cs="宋体" w:asciiTheme="minorEastAsia" w:hAnsiTheme="minorEastAsia"/>
                <w:sz w:val="28"/>
                <w:szCs w:val="28"/>
                <w:lang w:val="en-US" w:eastAsia="zh-CN"/>
              </w:rPr>
              <w:t>提交磋商保证金或保函。</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（1）若宝鸡市公共资源交易中心未在磋商保证金递交截止时间收到款项的，或未在磋商响应文件中附磋商保证金转账凭证的，其磋商将被拒绝。</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（2）采用保函的供应商须在规定时间向宝鸡市公共资源交易中心提交磋商担保函。若宝鸡市公共资源交易中心未在磋商担保</w:t>
            </w:r>
            <w:r>
              <w:rPr>
                <w:rFonts w:hint="eastAsia" w:ascii="宋体" w:hAnsi="宋体" w:cs="宋体" w:eastAsiaTheme="minorEastAsia"/>
                <w:b w:val="0"/>
                <w:bCs w:val="0"/>
                <w:kern w:val="1"/>
                <w:sz w:val="28"/>
                <w:szCs w:val="28"/>
                <w:lang w:val="en-US" w:eastAsia="zh-CN" w:bidi="ar-SA"/>
              </w:rPr>
              <w:t>递交截止时间收到有效担保函</w:t>
            </w:r>
            <w:r>
              <w:rPr>
                <w:rFonts w:hint="eastAsia" w:cs="宋体" w:asciiTheme="minorEastAsia" w:hAnsiTheme="minorEastAsia"/>
                <w:sz w:val="28"/>
                <w:szCs w:val="28"/>
                <w:lang w:val="en-US" w:eastAsia="zh-CN"/>
              </w:rPr>
              <w:t>的，或未在磋商响应文件中附磋商担保函的，其磋商将被拒绝。</w:t>
            </w:r>
          </w:p>
          <w:p>
            <w:pPr>
              <w:spacing w:line="500" w:lineRule="exact"/>
              <w:rPr>
                <w:rFonts w:hint="eastAsia" w:cs="宋体" w:asciiTheme="minorEastAsia" w:hAnsiTheme="minorEastAsia"/>
                <w:b/>
                <w:bCs/>
                <w:sz w:val="28"/>
                <w:szCs w:val="28"/>
                <w:lang w:val="en-US" w:eastAsia="zh-CN"/>
              </w:rPr>
            </w:pPr>
            <w:r>
              <w:rPr>
                <w:rFonts w:hint="eastAsia" w:cs="宋体" w:asciiTheme="minorEastAsia" w:hAnsiTheme="minorEastAsia"/>
                <w:sz w:val="28"/>
                <w:szCs w:val="28"/>
                <w:lang w:val="en-US" w:eastAsia="zh-CN"/>
              </w:rPr>
              <w:t>名称:</w:t>
            </w:r>
            <w:r>
              <w:rPr>
                <w:rFonts w:hint="eastAsia" w:cs="宋体" w:asciiTheme="minorEastAsia" w:hAnsiTheme="minorEastAsia"/>
                <w:b/>
                <w:bCs/>
                <w:sz w:val="28"/>
                <w:szCs w:val="28"/>
                <w:lang w:val="en-US" w:eastAsia="zh-CN"/>
              </w:rPr>
              <w:t xml:space="preserve">宝鸡市公共资源交易中心保证金专户 </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开户行名称:</w:t>
            </w:r>
            <w:r>
              <w:rPr>
                <w:rFonts w:hint="eastAsia" w:cs="宋体" w:asciiTheme="minorEastAsia" w:hAnsiTheme="minorEastAsia"/>
                <w:b/>
                <w:bCs/>
                <w:sz w:val="28"/>
                <w:szCs w:val="28"/>
                <w:lang w:val="en-US" w:eastAsia="zh-CN"/>
              </w:rPr>
              <w:t xml:space="preserve">长安银行股份有限公司宝鸡分行营业部 </w:t>
            </w:r>
          </w:p>
          <w:p>
            <w:pPr>
              <w:spacing w:line="500" w:lineRule="exact"/>
              <w:rPr>
                <w:rFonts w:hint="eastAsia" w:cs="宋体" w:asciiTheme="minorEastAsia" w:hAnsiTheme="minorEastAsia"/>
                <w:color w:val="FF0000"/>
                <w:sz w:val="28"/>
                <w:szCs w:val="28"/>
                <w:u w:val="single"/>
                <w:lang w:val="en-US" w:eastAsia="zh-CN"/>
              </w:rPr>
            </w:pPr>
            <w:r>
              <w:rPr>
                <w:rFonts w:hint="eastAsia" w:cs="宋体" w:asciiTheme="minorEastAsia" w:hAnsiTheme="minorEastAsia"/>
                <w:sz w:val="28"/>
                <w:szCs w:val="28"/>
                <w:lang w:val="en-US" w:eastAsia="zh-CN"/>
              </w:rPr>
              <w:t>账号:</w:t>
            </w:r>
            <w:r>
              <w:rPr>
                <w:rFonts w:hint="eastAsia" w:cs="宋体" w:asciiTheme="minorEastAsia" w:hAnsiTheme="minorEastAsia"/>
                <w:color w:val="FF0000"/>
                <w:sz w:val="28"/>
                <w:szCs w:val="28"/>
                <w:u w:val="single"/>
                <w:lang w:val="en-US" w:eastAsia="zh-CN"/>
              </w:rPr>
              <w:t>80602000142101980603284</w:t>
            </w:r>
          </w:p>
          <w:p>
            <w:pPr>
              <w:spacing w:line="500" w:lineRule="exact"/>
              <w:rPr>
                <w:rFonts w:cs="宋体" w:asciiTheme="minorEastAsia" w:hAnsiTheme="minorEastAsia"/>
                <w:sz w:val="28"/>
                <w:szCs w:val="28"/>
              </w:rPr>
            </w:pPr>
            <w:r>
              <w:rPr>
                <w:rFonts w:hint="eastAsia" w:cs="宋体" w:asciiTheme="minorEastAsia" w:hAnsiTheme="minorEastAsia"/>
                <w:sz w:val="28"/>
                <w:szCs w:val="28"/>
                <w:lang w:val="en-US" w:eastAsia="zh-CN"/>
              </w:rPr>
              <w:t>转账时必须备注：</w:t>
            </w:r>
            <w:r>
              <w:rPr>
                <w:rFonts w:hint="eastAsia" w:cs="宋体" w:asciiTheme="minorEastAsia" w:hAnsiTheme="minorEastAsia"/>
                <w:b/>
                <w:bCs/>
                <w:sz w:val="28"/>
                <w:szCs w:val="28"/>
                <w:lang w:val="en-US" w:eastAsia="zh-CN"/>
              </w:rPr>
              <w:t>宝鸡市眉县2021年度国土变更调查项目（二次）投标保证金</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20</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备选磋商方案</w:t>
            </w:r>
          </w:p>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和报价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cs="宋体" w:asciiTheme="minorEastAsia" w:hAnsiTheme="minorEastAsia"/>
                <w:sz w:val="28"/>
                <w:szCs w:val="28"/>
              </w:rPr>
            </w:pPr>
            <w:r>
              <w:rPr>
                <w:rFonts w:hint="eastAsia" w:cs="宋体" w:asciiTheme="minorEastAsia" w:hAnsiTheme="minorEastAsia"/>
                <w:sz w:val="28"/>
                <w:szCs w:val="28"/>
              </w:rPr>
              <w:t>不接受备选磋商方案和多个报价。</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2</w:t>
            </w:r>
            <w:r>
              <w:rPr>
                <w:rFonts w:hint="eastAsia" w:cs="宋体" w:asciiTheme="minorEastAsia" w:hAnsiTheme="minorEastAsia"/>
                <w:sz w:val="28"/>
                <w:szCs w:val="28"/>
                <w:lang w:val="en-US" w:eastAsia="zh-CN"/>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hint="eastAsia" w:cs="宋体" w:asciiTheme="minorEastAsia" w:hAnsiTheme="minorEastAsia"/>
                <w:sz w:val="28"/>
                <w:szCs w:val="28"/>
              </w:rPr>
            </w:pPr>
            <w:r>
              <w:rPr>
                <w:rFonts w:hint="eastAsia" w:cs="宋体" w:asciiTheme="minorEastAsia" w:hAnsiTheme="minorEastAsia"/>
                <w:sz w:val="28"/>
                <w:szCs w:val="28"/>
              </w:rPr>
              <w:t>磋商文件的份数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hint="eastAsia" w:cs="宋体" w:asciiTheme="minorEastAsia" w:hAnsiTheme="minorEastAsia"/>
                <w:sz w:val="28"/>
                <w:szCs w:val="28"/>
              </w:rPr>
            </w:pPr>
            <w:r>
              <w:rPr>
                <w:rFonts w:hint="eastAsia" w:cs="宋体" w:asciiTheme="minorEastAsia" w:hAnsiTheme="minorEastAsia"/>
                <w:sz w:val="28"/>
                <w:szCs w:val="28"/>
              </w:rPr>
              <w:t>电子响应文件壹份（*.SXSTF）。</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eastAsiaTheme="minorEastAsia"/>
                <w:sz w:val="28"/>
                <w:szCs w:val="28"/>
                <w:lang w:val="en-US" w:eastAsia="zh-CN"/>
              </w:rPr>
            </w:pPr>
            <w:r>
              <w:rPr>
                <w:rFonts w:hint="eastAsia" w:ascii="宋体" w:hAnsi="宋体" w:cs="仿宋_GB2312"/>
                <w:sz w:val="28"/>
                <w:szCs w:val="28"/>
                <w:lang w:val="en-US" w:eastAsia="zh-CN"/>
              </w:rPr>
              <w:t>22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电子投标文件编 制</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本项目的竞争性磋商响应文件必须使用电子标书专用工具软件编制，并通过“陕西省公共资源交易平台 （http://www.sxggzyjy.cn/）”完成磋商响应过程，竞争性磋商响应文件的编制和递交，应按照竞争性磋商文件的规定进行。如未按照竞争性磋商文件要求编制、递交电子响应文件，将可能导致磋商无效，其后果由供应商自负</w:t>
            </w:r>
            <w:r>
              <w:rPr>
                <w:rFonts w:hint="eastAsia" w:ascii="宋体" w:hAnsi="宋体" w:cs="仿宋_GB2312"/>
                <w:sz w:val="28"/>
                <w:szCs w:val="28"/>
                <w:lang w:eastAsia="zh-CN"/>
              </w:rPr>
              <w:t>。</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sz w:val="28"/>
                <w:szCs w:val="28"/>
                <w:lang w:val="en-US"/>
              </w:rPr>
            </w:pPr>
            <w:r>
              <w:rPr>
                <w:rFonts w:hint="eastAsia" w:ascii="宋体" w:hAnsi="宋体" w:cs="仿宋_GB2312"/>
                <w:sz w:val="28"/>
                <w:szCs w:val="28"/>
                <w:lang w:val="en-US" w:eastAsia="zh-CN"/>
              </w:rPr>
              <w:t>23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电子投标注意事 项</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1、供应商应及时下载竞争性磋商文件、澄清和修改文件以及答疑纪要等相关文件，在响应文件递交截止时间前必须登录“陕西省公共资源交易平台（http://www.sxggzyjy.cn/）”上传竞争性磋商响应文件电子文件；2、供应商应随时留意可能发布的变更公告，当澄清或修改的内容影响响应文件编制时，将在交易平台上同步发布答疑文件，此时供应商应从“项目流程〉答疑文件下载”下载最新发布的答疑文件（*.SXSCF 格式），并使用该文件重新编制电子响应文件（*.SXSTF 格式），使用旧版电子 磋商文件或旧版答疑文件制作的电子响应文件，系统将拒绝接收</w:t>
            </w:r>
            <w:r>
              <w:rPr>
                <w:rFonts w:hint="eastAsia" w:ascii="宋体" w:hAnsi="宋体" w:cs="仿宋_GB2312"/>
                <w:sz w:val="28"/>
                <w:szCs w:val="28"/>
                <w:lang w:eastAsia="zh-CN"/>
              </w:rPr>
              <w:t>。</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sz w:val="28"/>
                <w:szCs w:val="28"/>
                <w:lang w:val="en-US"/>
              </w:rPr>
            </w:pPr>
            <w:r>
              <w:rPr>
                <w:rFonts w:hint="eastAsia" w:ascii="宋体" w:hAnsi="宋体" w:cs="仿宋_GB2312"/>
                <w:sz w:val="28"/>
                <w:szCs w:val="28"/>
                <w:lang w:val="en-US" w:eastAsia="zh-CN"/>
              </w:rPr>
              <w:t>24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解释权</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构成本磋商文件的各个组成文件应互为解释，互为说明；如有不明确或不一致，构成合同文件组成内容，以合同文件约定内容为准；除磋商文件中有特别规定外，仅适用于招标阶段的规定，按磋商公告、供应商须知、评标办法、响应文件格式的先后顺序解释；同一组成文件不同版本之间有不一致的，以形成时间在后者为准。按本款前述规定仍不能形成结论的，由招标代理负责解释。</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cs="宋体" w:asciiTheme="minorEastAsia" w:hAnsiTheme="minorEastAsia" w:eastAsiaTheme="minorEastAsia"/>
                <w:sz w:val="28"/>
                <w:szCs w:val="28"/>
                <w:lang w:val="en-US" w:eastAsia="zh-CN"/>
              </w:rPr>
            </w:pPr>
            <w:r>
              <w:rPr>
                <w:rFonts w:hint="eastAsia" w:ascii="宋体" w:hAnsi="宋体" w:cs="仿宋_GB2312"/>
                <w:sz w:val="28"/>
                <w:szCs w:val="28"/>
              </w:rPr>
              <w:t>2</w:t>
            </w:r>
            <w:r>
              <w:rPr>
                <w:rFonts w:hint="eastAsia" w:ascii="宋体" w:hAnsi="宋体" w:cs="仿宋_GB2312"/>
                <w:sz w:val="28"/>
                <w:szCs w:val="28"/>
                <w:lang w:val="en-US" w:eastAsia="zh-CN"/>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评审办法及标准</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4"/>
              <w:spacing w:line="460" w:lineRule="exact"/>
              <w:rPr>
                <w:rFonts w:cs="宋体" w:asciiTheme="minorEastAsia" w:hAnsiTheme="minorEastAsia"/>
                <w:sz w:val="28"/>
                <w:szCs w:val="28"/>
              </w:rPr>
            </w:pPr>
            <w:r>
              <w:rPr>
                <w:rFonts w:hint="eastAsia" w:ascii="宋体" w:hAnsi="宋体" w:cs="仿宋_GB2312"/>
                <w:sz w:val="28"/>
                <w:szCs w:val="28"/>
              </w:rPr>
              <w:t>详见磋商文件第二部分。</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26</w:t>
            </w:r>
          </w:p>
        </w:tc>
        <w:tc>
          <w:tcPr>
            <w:tcW w:w="89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4"/>
              <w:spacing w:line="460" w:lineRule="exact"/>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成交供应商需向代理公司提供纸质版投标文件一正二副、电子版（U盘）一份。</w:t>
            </w:r>
          </w:p>
        </w:tc>
      </w:tr>
    </w:tbl>
    <w:p>
      <w:pPr>
        <w:rPr>
          <w:rFonts w:cs="宋体" w:asciiTheme="minorEastAsia" w:hAnsiTheme="minorEastAsia"/>
          <w:b/>
          <w:bCs/>
          <w:sz w:val="28"/>
          <w:szCs w:val="28"/>
        </w:rPr>
      </w:pPr>
      <w:bookmarkStart w:id="5" w:name="_Toc5430"/>
      <w:bookmarkEnd w:id="5"/>
      <w:r>
        <w:rPr>
          <w:rFonts w:hint="eastAsia" w:cs="宋体" w:asciiTheme="minorEastAsia" w:hAnsiTheme="minorEastAsia"/>
          <w:b/>
          <w:bCs/>
          <w:sz w:val="28"/>
          <w:szCs w:val="28"/>
        </w:rPr>
        <w:br w:type="page"/>
      </w:r>
    </w:p>
    <w:p>
      <w:pPr>
        <w:spacing w:line="500" w:lineRule="exact"/>
        <w:ind w:firstLine="422"/>
        <w:rPr>
          <w:rFonts w:cs="宋体" w:asciiTheme="minorEastAsia" w:hAnsiTheme="minorEastAsia"/>
          <w:b/>
          <w:bCs/>
          <w:sz w:val="28"/>
          <w:szCs w:val="28"/>
        </w:rPr>
      </w:pPr>
      <w:r>
        <w:rPr>
          <w:rFonts w:hint="eastAsia" w:cs="宋体" w:asciiTheme="minorEastAsia" w:hAnsiTheme="minorEastAsia"/>
          <w:b/>
          <w:bCs/>
          <w:sz w:val="28"/>
          <w:szCs w:val="28"/>
        </w:rPr>
        <w:t>二、项目说明</w:t>
      </w:r>
    </w:p>
    <w:p>
      <w:pPr>
        <w:spacing w:line="500" w:lineRule="exact"/>
        <w:ind w:firstLine="509"/>
        <w:rPr>
          <w:rFonts w:cs="宋体" w:asciiTheme="minorEastAsia" w:hAnsiTheme="minorEastAsia"/>
          <w:sz w:val="28"/>
          <w:szCs w:val="28"/>
        </w:rPr>
      </w:pPr>
      <w:r>
        <w:rPr>
          <w:rFonts w:hint="eastAsia" w:cs="宋体" w:asciiTheme="minorEastAsia" w:hAnsiTheme="minorEastAsia"/>
          <w:sz w:val="28"/>
          <w:szCs w:val="28"/>
        </w:rPr>
        <w:t>1、本项目说明详见供应商须知前附表。</w:t>
      </w:r>
      <w:bookmarkStart w:id="6" w:name="_Toc458617783"/>
      <w:bookmarkEnd w:id="6"/>
      <w:bookmarkStart w:id="7" w:name="_Toc458617455"/>
      <w:bookmarkEnd w:id="7"/>
      <w:bookmarkStart w:id="8" w:name="_Toc458617732"/>
      <w:bookmarkEnd w:id="8"/>
    </w:p>
    <w:p>
      <w:pPr>
        <w:spacing w:line="500" w:lineRule="exact"/>
        <w:ind w:firstLine="509"/>
        <w:rPr>
          <w:rFonts w:cs="宋体" w:asciiTheme="minorEastAsia" w:hAnsiTheme="minorEastAsia"/>
          <w:sz w:val="28"/>
          <w:szCs w:val="28"/>
        </w:rPr>
      </w:pPr>
      <w:r>
        <w:rPr>
          <w:rFonts w:hint="eastAsia" w:cs="宋体" w:asciiTheme="minorEastAsia" w:hAnsiTheme="minorEastAsia"/>
          <w:sz w:val="28"/>
          <w:szCs w:val="28"/>
        </w:rPr>
        <w:t>2、本项目按照《中华人民共和国政府采购法》等有关法律、行政法规和部门规章，通过竞争性磋商方式择优选定成交供应商。</w:t>
      </w:r>
    </w:p>
    <w:p>
      <w:pPr>
        <w:spacing w:line="500" w:lineRule="exact"/>
        <w:ind w:firstLine="512"/>
        <w:rPr>
          <w:rFonts w:cs="宋体" w:asciiTheme="minorEastAsia" w:hAnsiTheme="minorEastAsia"/>
          <w:b/>
          <w:bCs/>
          <w:sz w:val="28"/>
          <w:szCs w:val="28"/>
        </w:rPr>
      </w:pPr>
      <w:bookmarkStart w:id="9" w:name="_Toc458617456"/>
      <w:bookmarkEnd w:id="9"/>
      <w:bookmarkStart w:id="10" w:name="_Toc21554"/>
      <w:bookmarkEnd w:id="10"/>
      <w:bookmarkStart w:id="11" w:name="_Toc458617784"/>
      <w:bookmarkEnd w:id="11"/>
      <w:bookmarkStart w:id="12" w:name="_Toc458617733"/>
      <w:bookmarkEnd w:id="12"/>
      <w:r>
        <w:rPr>
          <w:rFonts w:hint="eastAsia" w:cs="宋体" w:asciiTheme="minorEastAsia" w:hAnsiTheme="minorEastAsia"/>
          <w:b/>
          <w:bCs/>
          <w:sz w:val="28"/>
          <w:szCs w:val="28"/>
        </w:rPr>
        <w:t>三、磋商文件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1、磋商文件购买：供应商须经过正常渠道购买磋商文件，且供应商名称与登记领取磋商文件的单位名称一致，否则将作为无效响应处理。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2、磋商文件的组成：包括目录中所列的前五部分。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3、供应商应认真审阅和充分理解磋商文件所有的事项、格式、条款和规范要求等，在磋商响应文件中对磋商文件的各方面都做出实质性的响应，按照磋商文件的要求提交全部资料。</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4．竞争性磋商文件的澄清或修改：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4-1、提交磋商响应文件截止时间前，采购人、采购代理机构可以</w:t>
      </w:r>
      <w:r>
        <w:rPr>
          <w:rFonts w:hint="eastAsia" w:cs="宋体" w:asciiTheme="minorEastAsia" w:hAnsiTheme="minorEastAsia"/>
          <w:sz w:val="28"/>
          <w:szCs w:val="28"/>
          <w:lang w:val="en-US" w:eastAsia="zh-CN"/>
        </w:rPr>
        <w:t>在交易平台</w:t>
      </w:r>
      <w:r>
        <w:rPr>
          <w:rFonts w:hint="eastAsia" w:cs="宋体" w:asciiTheme="minorEastAsia" w:hAnsiTheme="minorEastAsia"/>
          <w:sz w:val="28"/>
          <w:szCs w:val="28"/>
        </w:rPr>
        <w:t>对竞争性磋商文件进行必要的澄清或修改，其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4-3、竞争性磋商文件的澄清或修改内容均以书面形式明确的内容为准。当竞争性磋商文件的澄清、修改、补充等在同一内容的表述上不一致时，以最后发出的</w:t>
      </w:r>
      <w:r>
        <w:rPr>
          <w:rFonts w:hint="eastAsia" w:cs="宋体" w:asciiTheme="minorEastAsia" w:hAnsiTheme="minorEastAsia"/>
          <w:sz w:val="28"/>
          <w:szCs w:val="28"/>
          <w:lang w:val="en-US" w:eastAsia="zh-CN"/>
        </w:rPr>
        <w:t>文件</w:t>
      </w:r>
      <w:r>
        <w:rPr>
          <w:rFonts w:hint="eastAsia" w:cs="宋体" w:asciiTheme="minorEastAsia" w:hAnsiTheme="minorEastAsia"/>
          <w:sz w:val="28"/>
          <w:szCs w:val="28"/>
        </w:rPr>
        <w:t>为准。所有补充文件将作为竞争性磋商文件的组成部分，对所有供应商具有约束力。</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-4、在磋商截止时间前根据采购工作进展实际情况，采购人可酌情延长递交竞争性磋商响应文件的截止时间，若延长将另行以通知各供应商或在原信息发布媒体上发布变更公告。采购代理机构和供应商的权利和义务将受到新的截止期的约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5、供应商必须从采购代理机构购买竞争性磋商文件，供应商自行转让或复制竞争性磋商文件视为无效。竞争性磋商文件售后不退，仅作为本次磋商使用。</w:t>
      </w:r>
    </w:p>
    <w:p>
      <w:pPr>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6、竞争性磋商文件的解释权归采购代理机构，如发现竞争性磋商文件内容与现行法律法规不相符的情况，以现行法律法规为准。</w:t>
      </w:r>
    </w:p>
    <w:p>
      <w:pPr>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7、现场勘查、标前答疑会：见须知前附表。</w:t>
      </w:r>
    </w:p>
    <w:p>
      <w:pPr>
        <w:spacing w:line="360" w:lineRule="auto"/>
        <w:rPr>
          <w:rFonts w:cs="宋体" w:asciiTheme="minorEastAsia" w:hAnsiTheme="minorEastAsia"/>
          <w:b/>
          <w:bCs/>
          <w:sz w:val="28"/>
          <w:szCs w:val="28"/>
        </w:rPr>
      </w:pPr>
      <w:bookmarkStart w:id="13" w:name="_Toc30706"/>
      <w:bookmarkEnd w:id="13"/>
      <w:r>
        <w:rPr>
          <w:rFonts w:hint="eastAsia" w:cs="宋体" w:asciiTheme="minorEastAsia" w:hAnsiTheme="minorEastAsia"/>
          <w:b/>
          <w:bCs/>
          <w:sz w:val="28"/>
          <w:szCs w:val="28"/>
        </w:rPr>
        <w:t>四、磋商响应文件</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供应商资格要求</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4.2.供应商须具备行政主管部门颁发的测绘乙级（含乙级）以上资质；</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4.3.供应商提供法定代表人授权书及被授权人身份证，法定代表人直接投标只须提交其法人身份证明。</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4.6.税收缴纳证明：提供上一年度至今已缴纳的至少连续三个月的纳税证明或完税证明，依法免税的单位应提供相关证明材料（复印件加盖供应商公章）。</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4.7.社会保障资金缴纳证明：提供上一年度至今已缴存的至少连续三个月的社会保障资金缴存单据或社保机构开具的社会保险参保缴费情况证明，依法不需要缴纳社会保障资金的单位应提供相关证明材料。</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4.8.书面声明：提供《供应商书面声明函》（经查，参加本次政府采购活动前三年内在经营活动中没有重大违纪，以及未被列入失信被执行人、重大税收违法失信主体的供应商、政府采购严重违法失信行为记录名单的书面声明）。</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4.9.单位负责人为同一人或者存在控股、管理关系的不同单位，不得参加同一项目的投标。</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4.10.本项目专门面向中小企业采购（符合财库[2020]46号规定的供应商应提供中小微企业声明函）。</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4.11.本项目不接受联合体投标。</w:t>
      </w:r>
    </w:p>
    <w:p>
      <w:pPr>
        <w:spacing w:line="500" w:lineRule="exact"/>
        <w:ind w:firstLine="560"/>
        <w:rPr>
          <w:rFonts w:hint="default" w:cs="宋体" w:asciiTheme="minorEastAsia" w:hAnsiTheme="minorEastAsia"/>
          <w:sz w:val="28"/>
          <w:szCs w:val="28"/>
          <w:lang w:val="en-US" w:eastAsia="zh-CN"/>
        </w:rPr>
      </w:pPr>
      <w:r>
        <w:rPr>
          <w:rFonts w:hint="eastAsia" w:cs="宋体" w:asciiTheme="minorEastAsia" w:hAnsiTheme="minorEastAsia"/>
          <w:sz w:val="28"/>
          <w:szCs w:val="28"/>
          <w:lang w:val="en-US" w:eastAsia="zh-CN"/>
        </w:rPr>
        <w:t>4.12.磋商保证金交纳凭证（银行汇（存）款回执单，复印件须加盖供应商公章）。</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注：1、上述资质要求，任何一项不符合磋商文件要求的按无效磋商响应处理。供应商须保证资质文件的真实、合法、有效，因资质产生的一切纠纷由供应商承担法律责任。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2、合格供应商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不符合上述规定的供应商，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3、供应商信用信息：</w:t>
      </w:r>
    </w:p>
    <w:p>
      <w:pPr>
        <w:spacing w:line="500" w:lineRule="exact"/>
        <w:ind w:firstLine="548" w:firstLineChars="196"/>
        <w:rPr>
          <w:rFonts w:cs="宋体" w:asciiTheme="minorEastAsia" w:hAnsiTheme="minorEastAsia"/>
          <w:sz w:val="28"/>
          <w:szCs w:val="28"/>
        </w:rPr>
      </w:pPr>
      <w:r>
        <w:rPr>
          <w:rFonts w:hint="eastAsia" w:cs="宋体" w:asciiTheme="minorEastAsia" w:hAnsiTheme="minorEastAsia"/>
          <w:sz w:val="28"/>
          <w:szCs w:val="28"/>
        </w:rPr>
        <w:t>3-1、查询渠道：“信用中国”网站（</w:t>
      </w:r>
      <w:r>
        <w:rPr>
          <w:rStyle w:val="34"/>
          <w:rFonts w:hint="eastAsia" w:cs="宋体" w:asciiTheme="minorEastAsia" w:hAnsiTheme="minorEastAsia"/>
          <w:b/>
          <w:color w:val="000000" w:themeColor="text1"/>
          <w:sz w:val="28"/>
          <w:szCs w:val="28"/>
          <w14:textFill>
            <w14:solidFill>
              <w14:schemeClr w14:val="tx1"/>
            </w14:solidFill>
          </w14:textFill>
        </w:rPr>
        <w:t>www.creditchina.gov.cn</w:t>
      </w:r>
      <w:r>
        <w:rPr>
          <w:rFonts w:hint="eastAsia" w:cs="宋体" w:asciiTheme="minorEastAsia" w:hAnsiTheme="minorEastAsia"/>
          <w:sz w:val="28"/>
          <w:szCs w:val="28"/>
        </w:rPr>
        <w:t>）</w:t>
      </w:r>
    </w:p>
    <w:p>
      <w:pPr>
        <w:spacing w:line="500" w:lineRule="exact"/>
        <w:ind w:firstLine="2738" w:firstLineChars="978"/>
        <w:rPr>
          <w:rFonts w:cs="宋体" w:asciiTheme="minorEastAsia" w:hAnsiTheme="minorEastAsia"/>
          <w:sz w:val="28"/>
          <w:szCs w:val="28"/>
        </w:rPr>
      </w:pPr>
      <w:r>
        <w:rPr>
          <w:rFonts w:hint="eastAsia" w:cs="宋体" w:asciiTheme="minorEastAsia" w:hAnsiTheme="minorEastAsia"/>
          <w:sz w:val="28"/>
          <w:szCs w:val="28"/>
        </w:rPr>
        <w:t>中国政府采购网(</w:t>
      </w:r>
      <w:r>
        <w:fldChar w:fldCharType="begin"/>
      </w:r>
      <w:r>
        <w:instrText xml:space="preserve"> HYPERLINK "http://www.ccgp.gov.cn" </w:instrText>
      </w:r>
      <w:r>
        <w:fldChar w:fldCharType="separate"/>
      </w:r>
      <w:r>
        <w:rPr>
          <w:rStyle w:val="34"/>
          <w:rFonts w:hint="eastAsia" w:cs="宋体" w:asciiTheme="minorEastAsia" w:hAnsiTheme="minorEastAsia"/>
          <w:b/>
          <w:color w:val="000000" w:themeColor="text1"/>
          <w:sz w:val="28"/>
          <w:szCs w:val="28"/>
          <w14:textFill>
            <w14:solidFill>
              <w14:schemeClr w14:val="tx1"/>
            </w14:solidFill>
          </w14:textFill>
        </w:rPr>
        <w:t>www.ccgp.gov.cn</w:t>
      </w:r>
      <w:r>
        <w:rPr>
          <w:rStyle w:val="34"/>
          <w:rFonts w:hint="eastAsia" w:cs="宋体" w:asciiTheme="minorEastAsia" w:hAnsiTheme="minorEastAsia"/>
          <w:b/>
          <w:color w:val="000000" w:themeColor="text1"/>
          <w:sz w:val="28"/>
          <w:szCs w:val="28"/>
          <w14:textFill>
            <w14:solidFill>
              <w14:schemeClr w14:val="tx1"/>
            </w14:solidFill>
          </w14:textFill>
        </w:rPr>
        <w:fldChar w:fldCharType="end"/>
      </w:r>
      <w:r>
        <w:rPr>
          <w:rFonts w:hint="eastAsia" w:cs="宋体" w:asciiTheme="minorEastAsia" w:hAnsiTheme="minorEastAsia"/>
          <w:sz w:val="28"/>
          <w:szCs w:val="28"/>
        </w:rPr>
        <w:t>)；</w:t>
      </w:r>
    </w:p>
    <w:p>
      <w:pPr>
        <w:spacing w:line="500" w:lineRule="exact"/>
        <w:ind w:firstLine="560"/>
        <w:rPr>
          <w:rFonts w:cs="宋体" w:asciiTheme="minorEastAsia" w:hAnsiTheme="minorEastAsia"/>
          <w:color w:val="FF0000"/>
          <w:sz w:val="28"/>
          <w:szCs w:val="28"/>
        </w:rPr>
      </w:pPr>
      <w:r>
        <w:rPr>
          <w:rFonts w:hint="eastAsia" w:cs="宋体" w:asciiTheme="minorEastAsia" w:hAnsiTheme="minorEastAsia"/>
          <w:sz w:val="28"/>
          <w:szCs w:val="28"/>
        </w:rPr>
        <w:t>3-2、查询起止时点：自本公告发布之日起至投标截止时间。</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3-3、查询记录和证据留存方式：供应商提供在网站查询的截图，并附在磋商响应文件中；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3-4、使用规则：对列入失信被执行人、重大税收违法失信主体的供应商、政府采购严重违法失信行为记录名单的供应商，其磋商无效；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3-5、特别说明：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（1）供应商如在成交通知书发出前出现违法失信行为，采购人仍有权利提请磋商小组取消其成交资格；</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（2）供应商在磋商响应文件中已出具的信用查询结果并不能取代采购人或采购代理机构在评审前进行复查。</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4、竞争性磋商响应文件的组成：</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4-1、各供应商应根据竞争性磋商文件要求编制响应文件。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4-2、竞争性磋商响应文件应由磋商函、磋商报价一览表、资格证明文</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件、技术文件等部分组成。</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 xml:space="preserve">1.磋商函 </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2．磋商报价一览表</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3．响应偏离表</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4．资格证明文件</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5.技术响应及售后服务承诺</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6．提供2019年8月至今同类项目业绩（以合同为准，复印件加盖公章）</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7．供应商认为有必要补充说明的事宜</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8．磋商声明书</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9．《拒绝政府采购领域商业贿赂承诺书》（格式）</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10．《中小企业声明函》及证明文件（若有）</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11．《残疾人福利性单位声明函》（若有）</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4-3、技术部分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供应商按照竞争性磋商文件要求，针对本项目的技术指标和要求作出实质性响应。</w:t>
      </w:r>
    </w:p>
    <w:p>
      <w:pPr>
        <w:spacing w:line="500" w:lineRule="exact"/>
        <w:ind w:left="560"/>
        <w:rPr>
          <w:rFonts w:cs="宋体" w:asciiTheme="minorEastAsia" w:hAnsiTheme="minorEastAsia"/>
          <w:b/>
          <w:sz w:val="28"/>
          <w:szCs w:val="28"/>
        </w:rPr>
      </w:pPr>
      <w:r>
        <w:rPr>
          <w:rFonts w:hint="eastAsia" w:cs="宋体" w:asciiTheme="minorEastAsia" w:hAnsiTheme="minorEastAsia"/>
          <w:b/>
          <w:sz w:val="28"/>
          <w:szCs w:val="28"/>
        </w:rPr>
        <w:t>4-4、商务部分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供应商按照竞争性磋商文件要求，针对本项目的商务要求作出实质性响应，包含以下内容：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（1）商务响应偏离表；</w:t>
      </w:r>
    </w:p>
    <w:p>
      <w:pPr>
        <w:spacing w:line="50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（2）供应商认为需要提供的文件和资料。</w:t>
      </w:r>
    </w:p>
    <w:p>
      <w:pPr>
        <w:spacing w:line="500" w:lineRule="exact"/>
        <w:ind w:firstLine="560"/>
        <w:rPr>
          <w:rFonts w:cs="宋体" w:asciiTheme="minorEastAsia" w:hAnsiTheme="minorEastAsia"/>
          <w:b/>
          <w:bCs/>
          <w:sz w:val="28"/>
          <w:szCs w:val="28"/>
        </w:rPr>
      </w:pPr>
      <w:r>
        <w:rPr>
          <w:rFonts w:hint="eastAsia" w:cs="宋体" w:asciiTheme="minorEastAsia" w:hAnsiTheme="minorEastAsia"/>
          <w:bCs/>
          <w:sz w:val="28"/>
          <w:szCs w:val="28"/>
        </w:rPr>
        <w:t>5、</w:t>
      </w:r>
      <w:r>
        <w:rPr>
          <w:rFonts w:hint="eastAsia" w:cs="宋体" w:asciiTheme="minorEastAsia" w:hAnsiTheme="minorEastAsia"/>
          <w:sz w:val="28"/>
          <w:szCs w:val="28"/>
        </w:rPr>
        <w:t>磋商响应文件编写说明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磋商响应文件格式：磋商响应文件应当使用磋商文件规定的全部格式（表格可以按同样格式扩展）编写，除明确允许供应商可以自行编写的外，供应商不得以“磋商响应文件格式”规定之外的方式填写相关内容。否则，将作为无效响应处理。</w:t>
      </w:r>
    </w:p>
    <w:p>
      <w:pPr>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5-2磋商报价一览表按格式要求填写。若供应商填写有误，采购代理机构将默认为磋商文件要求格式。</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6</w:t>
      </w:r>
      <w:r>
        <w:rPr>
          <w:rFonts w:hint="eastAsia" w:cs="宋体" w:asciiTheme="minorEastAsia" w:hAnsiTheme="minorEastAsia"/>
          <w:sz w:val="28"/>
          <w:szCs w:val="28"/>
        </w:rPr>
        <w:t>、磋商响应文件的计量单位</w:t>
      </w:r>
    </w:p>
    <w:p>
      <w:pPr>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磋商响应文件中所使用的计量单位，除有特殊要求外，均采用国家法定计量单位。</w:t>
      </w:r>
    </w:p>
    <w:p>
      <w:pPr>
        <w:spacing w:line="500" w:lineRule="exact"/>
        <w:ind w:firstLine="560"/>
        <w:rPr>
          <w:rFonts w:cs="宋体" w:asciiTheme="minorEastAsia" w:hAnsiTheme="minorEastAsia"/>
          <w:b/>
          <w:bCs/>
          <w:sz w:val="28"/>
          <w:szCs w:val="28"/>
        </w:rPr>
      </w:pPr>
      <w:r>
        <w:rPr>
          <w:rFonts w:cs="宋体" w:asciiTheme="minorEastAsia" w:hAnsiTheme="minorEastAsia"/>
          <w:bCs/>
          <w:sz w:val="28"/>
          <w:szCs w:val="28"/>
        </w:rPr>
        <w:t>7</w:t>
      </w:r>
      <w:r>
        <w:rPr>
          <w:rFonts w:hint="eastAsia" w:cs="宋体" w:asciiTheme="minorEastAsia" w:hAnsiTheme="minorEastAsia"/>
          <w:bCs/>
          <w:sz w:val="28"/>
          <w:szCs w:val="28"/>
        </w:rPr>
        <w:t>、磋商报价</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-1、磋商货币：人民币      单位:元。</w:t>
      </w:r>
    </w:p>
    <w:p>
      <w:pPr>
        <w:spacing w:line="500" w:lineRule="exact"/>
        <w:ind w:firstLine="560"/>
        <w:rPr>
          <w:rFonts w:cs="宋体" w:asciiTheme="minorEastAsia" w:hAnsiTheme="minorEastAsia"/>
          <w:b/>
          <w:sz w:val="28"/>
          <w:szCs w:val="28"/>
        </w:rPr>
      </w:pPr>
      <w:r>
        <w:rPr>
          <w:rFonts w:cs="宋体" w:asciiTheme="minorEastAsia" w:hAnsiTheme="minorEastAsia"/>
          <w:sz w:val="28"/>
          <w:szCs w:val="28"/>
        </w:rPr>
        <w:t>7</w:t>
      </w:r>
      <w:r>
        <w:rPr>
          <w:rFonts w:hint="eastAsia" w:cs="宋体" w:asciiTheme="minorEastAsia" w:hAnsiTheme="minorEastAsia"/>
          <w:sz w:val="28"/>
          <w:szCs w:val="28"/>
        </w:rPr>
        <w:t>-2、磋商报价是指相关服务、验收、培训售后服务、以及增值税等税费、运杂保险费等）。以磋商文件的内容和要求作为磋商依据。</w:t>
      </w:r>
    </w:p>
    <w:p>
      <w:pPr>
        <w:spacing w:line="500" w:lineRule="exact"/>
        <w:ind w:firstLine="562" w:firstLineChars="200"/>
        <w:rPr>
          <w:rFonts w:cs="宋体" w:asciiTheme="minorEastAsia" w:hAnsiTheme="minorEastAsia"/>
          <w:b/>
          <w:sz w:val="28"/>
        </w:rPr>
      </w:pPr>
      <w:r>
        <w:rPr>
          <w:rFonts w:cs="宋体" w:asciiTheme="minorEastAsia" w:hAnsiTheme="minorEastAsia"/>
          <w:b/>
          <w:sz w:val="28"/>
        </w:rPr>
        <w:t>7</w:t>
      </w:r>
      <w:r>
        <w:rPr>
          <w:rFonts w:hint="eastAsia" w:cs="宋体" w:asciiTheme="minorEastAsia" w:hAnsiTheme="minorEastAsia"/>
          <w:b/>
          <w:sz w:val="28"/>
        </w:rPr>
        <w:t>-3、磋商报价=本次采购过程中产生的一切费用。</w:t>
      </w:r>
    </w:p>
    <w:p>
      <w:pPr>
        <w:spacing w:line="500" w:lineRule="exact"/>
        <w:ind w:firstLine="562" w:firstLineChars="200"/>
        <w:rPr>
          <w:rFonts w:cs="宋体" w:asciiTheme="minorEastAsia" w:hAnsiTheme="minorEastAsia"/>
          <w:b/>
          <w:sz w:val="28"/>
        </w:rPr>
      </w:pPr>
      <w:r>
        <w:rPr>
          <w:rFonts w:hint="eastAsia" w:cs="宋体" w:asciiTheme="minorEastAsia" w:hAnsiTheme="minorEastAsia"/>
          <w:b/>
          <w:sz w:val="28"/>
        </w:rPr>
        <w:t>注：</w:t>
      </w:r>
      <w:r>
        <w:rPr>
          <w:rFonts w:hint="eastAsia" w:cs="宋体" w:asciiTheme="minorEastAsia" w:hAnsiTheme="minorEastAsia"/>
          <w:b/>
          <w:sz w:val="28"/>
          <w:u w:val="single"/>
        </w:rPr>
        <w:t>a、供应商报价超出</w:t>
      </w:r>
      <w:r>
        <w:rPr>
          <w:rFonts w:hint="eastAsia" w:cs="宋体" w:asciiTheme="minorEastAsia" w:hAnsiTheme="minorEastAsia"/>
          <w:b/>
          <w:sz w:val="28"/>
          <w:u w:val="single"/>
          <w:lang w:val="en-US" w:eastAsia="zh-CN"/>
        </w:rPr>
        <w:t>采购预算</w:t>
      </w:r>
      <w:r>
        <w:rPr>
          <w:rFonts w:hint="eastAsia" w:cs="宋体" w:asciiTheme="minorEastAsia" w:hAnsiTheme="minorEastAsia"/>
          <w:b/>
          <w:sz w:val="28"/>
          <w:u w:val="single"/>
        </w:rPr>
        <w:t>，作为不实质性响应竞争性磋商响应文件，按无效磋商响应处理。</w:t>
      </w:r>
    </w:p>
    <w:p>
      <w:pPr>
        <w:spacing w:line="500" w:lineRule="exact"/>
        <w:ind w:firstLine="1124" w:firstLineChars="400"/>
        <w:rPr>
          <w:rFonts w:cs="宋体" w:asciiTheme="minorEastAsia" w:hAnsiTheme="minorEastAsia"/>
          <w:b/>
          <w:sz w:val="28"/>
          <w:szCs w:val="28"/>
        </w:rPr>
      </w:pPr>
      <w:r>
        <w:rPr>
          <w:rFonts w:hint="eastAsia" w:cs="宋体" w:asciiTheme="minorEastAsia" w:hAnsiTheme="minorEastAsia"/>
          <w:b/>
          <w:sz w:val="28"/>
          <w:szCs w:val="28"/>
          <w:u w:val="single"/>
        </w:rPr>
        <w:t>b、报价未精确到小数点后两位，将作为无效磋商响应文件。</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-4、</w:t>
      </w:r>
      <w:r>
        <w:rPr>
          <w:rFonts w:hint="eastAsia" w:cs="仿宋_GB2312" w:asciiTheme="minorEastAsia" w:hAnsiTheme="minorEastAsia"/>
          <w:sz w:val="28"/>
          <w:szCs w:val="28"/>
        </w:rPr>
        <w:t>供应商所报的磋商价在合同执行过程中是固定不变的，不得以任何理由予以变更。任何包含价格调整要求的磋商，将被认为是非响应性磋商而予以拒绝。</w:t>
      </w:r>
    </w:p>
    <w:p>
      <w:pPr>
        <w:spacing w:line="500" w:lineRule="exact"/>
        <w:ind w:firstLine="560"/>
        <w:rPr>
          <w:rFonts w:cs="宋体" w:asciiTheme="minorEastAsia" w:hAnsiTheme="minorEastAsia"/>
          <w:bCs/>
          <w:sz w:val="28"/>
          <w:szCs w:val="28"/>
        </w:rPr>
      </w:pPr>
      <w:r>
        <w:rPr>
          <w:rFonts w:cs="宋体" w:asciiTheme="minorEastAsia" w:hAnsiTheme="minorEastAsia"/>
          <w:bCs/>
          <w:sz w:val="28"/>
          <w:szCs w:val="28"/>
        </w:rPr>
        <w:t>8</w:t>
      </w:r>
      <w:r>
        <w:rPr>
          <w:rFonts w:hint="eastAsia" w:cs="宋体" w:asciiTheme="minorEastAsia" w:hAnsiTheme="minorEastAsia"/>
          <w:bCs/>
          <w:sz w:val="28"/>
          <w:szCs w:val="28"/>
        </w:rPr>
        <w:t>、各供应商须对以下内容做出承诺：</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-1、供应商不得以他人名义磋商和串通磋商。</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-2、必须根据磋商文件要求进行生产、供货等。</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-4、接受采购人委托的相关单位对货物内容、质量、进度、实施方案、价款支付与结算审核等的监督和管理。</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-5、供应商应保证在本项目使用的任何货物的任何一部分，不会产生因第三方提出的侵犯其专利权、商标权、著作权或其它知识产权而引起的法律和经济纠纷，由此引起的纠纷，由供应商承担所有相关责任。</w:t>
      </w:r>
    </w:p>
    <w:p>
      <w:pPr>
        <w:spacing w:line="500" w:lineRule="exact"/>
        <w:ind w:firstLine="560"/>
        <w:rPr>
          <w:rFonts w:cs="宋体" w:asciiTheme="minorEastAsia" w:hAnsiTheme="minorEastAsia"/>
          <w:bCs/>
          <w:sz w:val="28"/>
          <w:szCs w:val="28"/>
        </w:rPr>
      </w:pPr>
      <w:r>
        <w:rPr>
          <w:rFonts w:cs="宋体" w:asciiTheme="minorEastAsia" w:hAnsiTheme="minorEastAsia"/>
          <w:bCs/>
          <w:sz w:val="28"/>
          <w:szCs w:val="28"/>
        </w:rPr>
        <w:t>8</w:t>
      </w:r>
      <w:r>
        <w:rPr>
          <w:rFonts w:hint="eastAsia" w:cs="宋体" w:asciiTheme="minorEastAsia" w:hAnsiTheme="minorEastAsia"/>
          <w:bCs/>
          <w:sz w:val="28"/>
          <w:szCs w:val="28"/>
        </w:rPr>
        <w:t>-6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-7、供应商不能以“赠送”、“赠予”等任何名义提供货物和服务以规避磋商文件的约束。否则，将作为无效响应处理。供应商的行为将作为以不正当手段排挤其他供应商认定。</w:t>
      </w:r>
      <w:bookmarkStart w:id="14" w:name="_Toc458617458"/>
      <w:bookmarkEnd w:id="14"/>
      <w:bookmarkStart w:id="15" w:name="_Toc458617786"/>
      <w:bookmarkEnd w:id="15"/>
      <w:bookmarkStart w:id="16" w:name="_Toc458617735"/>
      <w:bookmarkEnd w:id="16"/>
    </w:p>
    <w:p>
      <w:pPr>
        <w:spacing w:line="500" w:lineRule="exact"/>
        <w:ind w:firstLine="562"/>
        <w:rPr>
          <w:rFonts w:cs="宋体" w:asciiTheme="minorEastAsia" w:hAnsiTheme="minorEastAsia"/>
          <w:b/>
          <w:bCs/>
          <w:sz w:val="28"/>
          <w:szCs w:val="28"/>
        </w:rPr>
      </w:pPr>
      <w:bookmarkStart w:id="17" w:name="_Toc4296"/>
      <w:bookmarkEnd w:id="17"/>
      <w:r>
        <w:rPr>
          <w:rFonts w:hint="eastAsia" w:cs="宋体" w:asciiTheme="minorEastAsia" w:hAnsiTheme="minorEastAsia"/>
          <w:b/>
          <w:bCs/>
          <w:sz w:val="28"/>
          <w:szCs w:val="28"/>
        </w:rPr>
        <w:t>五、磋商担保</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1、担保方式：见供应商须知前附表。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2、磋商担保递交截止时间：见供应商须知前附表。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3、供应商磋商时，必须以磋商文件规定的方式提交磋商担保，并作为其磋商的一部分。磋商现场不办理磋商担保收取事宜。若</w:t>
      </w:r>
      <w:r>
        <w:rPr>
          <w:rFonts w:hint="eastAsia" w:cs="宋体" w:asciiTheme="minorEastAsia" w:hAnsiTheme="minorEastAsia"/>
          <w:sz w:val="28"/>
          <w:szCs w:val="28"/>
          <w:lang w:val="en-US" w:eastAsia="zh-CN"/>
        </w:rPr>
        <w:t>宝鸡市公共资源交易中心</w:t>
      </w:r>
      <w:r>
        <w:rPr>
          <w:rFonts w:hint="eastAsia" w:cs="宋体" w:asciiTheme="minorEastAsia" w:hAnsiTheme="minorEastAsia"/>
          <w:sz w:val="28"/>
          <w:szCs w:val="28"/>
        </w:rPr>
        <w:t>未在磋商担保递交截止时间收到足额磋商保证金或有效磋商担保函的，或未在磋商响应文件中附磋商担保凭证的，其磋商无效。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4、退还磋商保证金：</w:t>
      </w:r>
    </w:p>
    <w:p>
      <w:pPr>
        <w:spacing w:line="500" w:lineRule="exact"/>
        <w:ind w:firstLine="562"/>
        <w:rPr>
          <w:rFonts w:cs="宋体" w:asciiTheme="minorEastAsia" w:hAnsiTheme="minorEastAsia"/>
          <w:bCs/>
          <w:sz w:val="28"/>
          <w:szCs w:val="28"/>
        </w:rPr>
      </w:pPr>
      <w:r>
        <w:rPr>
          <w:rFonts w:hint="eastAsia" w:cs="宋体" w:asciiTheme="minorEastAsia" w:hAnsiTheme="minorEastAsia"/>
          <w:bCs/>
          <w:sz w:val="28"/>
          <w:szCs w:val="28"/>
        </w:rPr>
        <w:t>（1）在磋商截止时间前撤回已提交磋商响应文件的供应商的磋商保证金，将在采购代理机构收到供应商书面撤回通知之日起5个工作日内退还（无息）。</w:t>
      </w:r>
    </w:p>
    <w:p>
      <w:pPr>
        <w:spacing w:line="500" w:lineRule="exact"/>
        <w:ind w:firstLine="530"/>
        <w:rPr>
          <w:rFonts w:cs="宋体" w:asciiTheme="minorEastAsia" w:hAnsiTheme="minorEastAsia"/>
          <w:bCs/>
          <w:spacing w:val="-6"/>
          <w:sz w:val="28"/>
          <w:szCs w:val="28"/>
        </w:rPr>
      </w:pPr>
      <w:r>
        <w:rPr>
          <w:rFonts w:hint="eastAsia" w:cs="宋体" w:asciiTheme="minorEastAsia" w:hAnsiTheme="minorEastAsia"/>
          <w:bCs/>
          <w:spacing w:val="-6"/>
          <w:sz w:val="28"/>
          <w:szCs w:val="28"/>
        </w:rPr>
        <w:t>（2）所有</w:t>
      </w:r>
      <w:r>
        <w:rPr>
          <w:rFonts w:hint="eastAsia" w:cs="宋体" w:asciiTheme="minorEastAsia" w:hAnsiTheme="minorEastAsia"/>
          <w:bCs/>
          <w:sz w:val="28"/>
          <w:szCs w:val="28"/>
        </w:rPr>
        <w:t>未成交供应商</w:t>
      </w:r>
      <w:r>
        <w:rPr>
          <w:rFonts w:hint="eastAsia" w:cs="宋体" w:asciiTheme="minorEastAsia" w:hAnsiTheme="minorEastAsia"/>
          <w:bCs/>
          <w:spacing w:val="-6"/>
          <w:sz w:val="28"/>
          <w:szCs w:val="28"/>
        </w:rPr>
        <w:t>的磋商保证金，将在成交通知书发出5个工作日后退还（无息）。</w:t>
      </w:r>
    </w:p>
    <w:p>
      <w:pPr>
        <w:spacing w:line="500" w:lineRule="exact"/>
        <w:ind w:firstLine="530"/>
        <w:jc w:val="left"/>
        <w:rPr>
          <w:rFonts w:cs="宋体" w:asciiTheme="minorEastAsia" w:hAnsiTheme="minorEastAsia"/>
          <w:bCs/>
          <w:spacing w:val="-6"/>
          <w:sz w:val="28"/>
          <w:szCs w:val="28"/>
        </w:rPr>
      </w:pPr>
      <w:r>
        <w:rPr>
          <w:rFonts w:hint="eastAsia" w:cs="宋体" w:asciiTheme="minorEastAsia" w:hAnsiTheme="minorEastAsia"/>
          <w:bCs/>
          <w:spacing w:val="-6"/>
          <w:sz w:val="28"/>
          <w:szCs w:val="28"/>
        </w:rPr>
        <w:t>（3）成</w:t>
      </w:r>
      <w:r>
        <w:rPr>
          <w:rFonts w:hint="eastAsia" w:cs="宋体" w:asciiTheme="minorEastAsia" w:hAnsiTheme="minorEastAsia"/>
          <w:bCs/>
          <w:sz w:val="28"/>
          <w:szCs w:val="28"/>
        </w:rPr>
        <w:t>交供应商</w:t>
      </w:r>
      <w:r>
        <w:rPr>
          <w:rFonts w:hint="eastAsia" w:cs="宋体" w:asciiTheme="minorEastAsia" w:hAnsiTheme="minorEastAsia"/>
          <w:bCs/>
          <w:spacing w:val="-6"/>
          <w:sz w:val="28"/>
          <w:szCs w:val="28"/>
        </w:rPr>
        <w:t>的磋商保证金，将在签订合同后5个工作日内执合同予以退还（无息）。</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5、发生下列情况之一时，磋商保证金将不予退还，提供担保函的供应商将由专业担保机构先行偿付采购人损失：</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5-1、供应商提供虚假资质谋取成交的；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5-2、供应商有围标、串标现象，经查证属实的；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5-3、供应商在该项目磋商期间擅自退出磋商活动的；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5-4、磋商截止时间后供应商撤销磋商响应文件的；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5-5、供应商自行放弃成交资格的；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5-6、成交供应商不在规定的时效内领取《成交通知书》的；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5-7、成交供应商不按规定支付磋商服务费的；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5-8、成交供应商因自身原因未能在规定期限内与采购人签订合同的。</w:t>
      </w:r>
    </w:p>
    <w:p>
      <w:pPr>
        <w:spacing w:line="500" w:lineRule="exact"/>
        <w:ind w:firstLine="551"/>
        <w:rPr>
          <w:rFonts w:cs="宋体" w:asciiTheme="minorEastAsia" w:hAnsiTheme="minorEastAsia"/>
          <w:b/>
          <w:sz w:val="28"/>
          <w:szCs w:val="28"/>
        </w:rPr>
      </w:pPr>
      <w:r>
        <w:rPr>
          <w:rFonts w:hint="eastAsia" w:cs="宋体" w:asciiTheme="minorEastAsia" w:hAnsiTheme="minorEastAsia"/>
          <w:b/>
          <w:sz w:val="28"/>
          <w:szCs w:val="28"/>
        </w:rPr>
        <w:t>六、磋商响应</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1、磋商响应文件、必备资质文件的递交：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1-1、供应商应在磋商截止时间前将磋商响应文件上传；</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w:t>
      </w:r>
      <w:r>
        <w:rPr>
          <w:rFonts w:hint="eastAsia" w:cs="宋体" w:asciiTheme="minorEastAsia" w:hAnsiTheme="minorEastAsia"/>
          <w:bCs/>
          <w:sz w:val="28"/>
          <w:szCs w:val="28"/>
        </w:rPr>
        <w:t>竞争性磋商</w:t>
      </w:r>
      <w:r>
        <w:rPr>
          <w:rFonts w:hint="eastAsia" w:cs="宋体" w:asciiTheme="minorEastAsia" w:hAnsiTheme="minorEastAsia"/>
          <w:sz w:val="28"/>
          <w:szCs w:val="28"/>
        </w:rPr>
        <w:t>响应文件的补充、修改与撤回：</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2-1、供应商在递交</w:t>
      </w:r>
      <w:r>
        <w:rPr>
          <w:rFonts w:hint="eastAsia" w:cs="宋体" w:asciiTheme="minorEastAsia" w:hAnsiTheme="minorEastAsia"/>
          <w:bCs/>
          <w:sz w:val="28"/>
          <w:szCs w:val="28"/>
        </w:rPr>
        <w:t>磋商</w:t>
      </w:r>
      <w:r>
        <w:rPr>
          <w:rFonts w:hint="eastAsia" w:cs="宋体" w:asciiTheme="minorEastAsia" w:hAnsiTheme="minorEastAsia"/>
          <w:sz w:val="28"/>
          <w:szCs w:val="28"/>
        </w:rPr>
        <w:t>响应文件以后，在规定的磋商截止时间之前,可以补充、修改或撤回已递交的</w:t>
      </w:r>
      <w:r>
        <w:rPr>
          <w:rFonts w:hint="eastAsia" w:cs="宋体" w:asciiTheme="minorEastAsia" w:hAnsiTheme="minorEastAsia"/>
          <w:bCs/>
          <w:sz w:val="28"/>
          <w:szCs w:val="28"/>
        </w:rPr>
        <w:t>磋商</w:t>
      </w:r>
      <w:r>
        <w:rPr>
          <w:rFonts w:hint="eastAsia" w:cs="宋体" w:asciiTheme="minorEastAsia" w:hAnsiTheme="minorEastAsia"/>
          <w:sz w:val="28"/>
          <w:szCs w:val="28"/>
        </w:rPr>
        <w:t>响应文件，并以书面形式通知采购代理机构。补充、修改的内容应当按磋商文件要求、签署、盖章，并作为</w:t>
      </w:r>
      <w:r>
        <w:rPr>
          <w:rFonts w:hint="eastAsia" w:cs="宋体" w:asciiTheme="minorEastAsia" w:hAnsiTheme="minorEastAsia"/>
          <w:bCs/>
          <w:sz w:val="28"/>
          <w:szCs w:val="28"/>
        </w:rPr>
        <w:t>磋商</w:t>
      </w:r>
      <w:r>
        <w:rPr>
          <w:rFonts w:hint="eastAsia" w:cs="宋体" w:asciiTheme="minorEastAsia" w:hAnsiTheme="minorEastAsia"/>
          <w:sz w:val="28"/>
          <w:szCs w:val="28"/>
        </w:rPr>
        <w:t>响应文件的组成部分；补充、修改的内容与相应文件不一致的，以补充、修改的内容为准。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2-2、供应商须在磋商截止时间提出修改和撤标的要求。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-3、供应商提出撤标要求的，须在磋商截止时间前以书面形式（经由法定代表人或被授权人签字）通知采购代理机构。如采取传真形式撤回磋商，随后必须补充有法定代表人或被授权人签署的要求撤回磋商的正式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2-4、磋商截止时间之后，供应商不得补充、修改</w:t>
      </w:r>
      <w:r>
        <w:rPr>
          <w:rFonts w:hint="eastAsia" w:cs="宋体" w:asciiTheme="minorEastAsia" w:hAnsiTheme="minorEastAsia"/>
          <w:bCs/>
          <w:sz w:val="28"/>
          <w:szCs w:val="28"/>
        </w:rPr>
        <w:t>磋商</w:t>
      </w:r>
      <w:r>
        <w:rPr>
          <w:rFonts w:hint="eastAsia" w:cs="宋体" w:asciiTheme="minorEastAsia" w:hAnsiTheme="minorEastAsia"/>
          <w:sz w:val="28"/>
          <w:szCs w:val="28"/>
        </w:rPr>
        <w:t>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2-5、在磋商截止时间至磋商有效期满之前，供应商不得撤回其</w:t>
      </w:r>
      <w:r>
        <w:rPr>
          <w:rFonts w:hint="eastAsia" w:cs="宋体" w:asciiTheme="minorEastAsia" w:hAnsiTheme="minorEastAsia"/>
          <w:bCs/>
          <w:sz w:val="28"/>
          <w:szCs w:val="28"/>
        </w:rPr>
        <w:t>磋商</w:t>
      </w:r>
      <w:r>
        <w:rPr>
          <w:rFonts w:hint="eastAsia" w:cs="宋体" w:asciiTheme="minorEastAsia" w:hAnsiTheme="minorEastAsia"/>
          <w:sz w:val="28"/>
          <w:szCs w:val="28"/>
        </w:rPr>
        <w:t>响应文件，否则其磋商保证金将不予退还，提供磋商担保的供应商将由专业担保机构先行偿付损失。</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3、磋商有效期：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3-1、自磋商之日起算90个日历日。</w:t>
      </w:r>
      <w:bookmarkStart w:id="18" w:name="OLE_LINK15"/>
      <w:bookmarkEnd w:id="18"/>
      <w:r>
        <w:rPr>
          <w:rFonts w:hint="eastAsia" w:cs="宋体" w:asciiTheme="minorEastAsia" w:hAnsiTheme="minorEastAsia"/>
          <w:sz w:val="28"/>
          <w:szCs w:val="28"/>
        </w:rPr>
        <w:t>供应商磋商有效期短于磋商文件规定的磋商有效期，按无效响应处理。成交单位的磋商有效期延长至合同执行完毕。</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-2、在原磋商有效期结束前，采购代理机构可要求供应商延长磋商有效期。拒绝延长磋商有效期的供应商有权收回磋商保证金，但不得参与该项目后续采购活动。同意延长磋商有效期的供应商应相应延长磋商担保的有效期，但不得修改</w:t>
      </w:r>
      <w:r>
        <w:rPr>
          <w:rFonts w:hint="eastAsia" w:cs="宋体" w:asciiTheme="minorEastAsia" w:hAnsiTheme="minorEastAsia"/>
          <w:bCs/>
          <w:sz w:val="28"/>
          <w:szCs w:val="28"/>
        </w:rPr>
        <w:t>磋商</w:t>
      </w:r>
      <w:r>
        <w:rPr>
          <w:rFonts w:hint="eastAsia" w:cs="宋体" w:asciiTheme="minorEastAsia" w:hAnsiTheme="minorEastAsia"/>
          <w:sz w:val="28"/>
          <w:szCs w:val="28"/>
        </w:rPr>
        <w:t>响应文件的实质性内容。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4、供应商有下列情形之一的，属于恶意串通，对其依照《中华人民共和国政府采购法》第七十七条第一款的规定追究法律责任，磋商无效：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4-1、供应商直接或者间接从采购人或采购代理机构处获得其他供应商的相关情况并修改其磋商响应文件；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4-2、供应商按照采购人或采购代理机构的授意撤换、修改磋商响应文件；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4-3、供应商之间协商报价、技术方案等磋商响应文件的实质性内容；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4-4、属于同一集团、协会、商会等组织成员的供应商按照该组织要求协同参加政府采购活动；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4-5、供应商之间事先约定由某一特定供应商成交；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4-6、供应商之间商定部分供应商放弃参加政府采购活动或放弃成交；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4-7、供应商相互之间，为谋求特定供应商成交或排斥其他供应商的其他串通行为。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5、有下列情形之一的，视为供应商串通磋商，其磋商无效：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5-1、不同供应商的磋商响应文件由同一单位或者个人编制；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5-2、不同供应商委托同一单位或者个人办理磋商事宜；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5-3、不同供应商的磋商响应文件载明的项目管理成员或者联系人为同一人；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5-4、不同供应商的磋商响应文件异常一致或者磋商报价呈现规律性差异；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5-5、不同供应商的磋商响应文件相互上传的；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5-6、不同供应商的磋商保证金从同一单位或者个人的账户转出。</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6、磋商无效的情形：</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6-1、未按照磋商文件的规定提交磋商保证金的；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6-2、磋商响应文件未按磋商文件要求签署、盖章的；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6-3、不具备磋商文件中规定的资格要求的；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6-4、报价超过磋商文件中规定的预算金额的；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6-5、磋商响应文件含有采购人不能接受的附加条件的；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6-6、提供虚假材料谋取成交的；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6-7、采取不正当手段诋毁、排挤其他供应商的；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6-8、法律、法规和磋商文件规定的其他无效情形。</w:t>
      </w:r>
    </w:p>
    <w:p>
      <w:pPr>
        <w:spacing w:line="500" w:lineRule="exact"/>
        <w:ind w:firstLine="562"/>
        <w:rPr>
          <w:rFonts w:cs="宋体" w:asciiTheme="minorEastAsia" w:hAnsiTheme="minorEastAsia"/>
          <w:sz w:val="28"/>
          <w:szCs w:val="28"/>
        </w:rPr>
      </w:pPr>
      <w:r>
        <w:rPr>
          <w:rFonts w:hint="eastAsia" w:cs="宋体" w:asciiTheme="minorEastAsia" w:hAnsiTheme="minorEastAsia"/>
          <w:b/>
          <w:sz w:val="28"/>
          <w:szCs w:val="28"/>
        </w:rPr>
        <w:t>七、磋商会议、评审及定标</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1、磋商会议</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1-1、采购代理机构按磋商文件规定的时间和地点组织磋商会议。</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1-2、所有参会人员应签名报到，以证明其出席。供应商未参加磋商的，视同认可磋商结果。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1-3、磋商会议由采购代理机构主持。主持人宣读磋商会议开始，宣读会场纪律，宣布参加会议的供应商名单。</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w:t>
      </w:r>
      <w:r>
        <w:rPr>
          <w:rFonts w:cs="宋体" w:asciiTheme="minorEastAsia" w:hAnsiTheme="minorEastAsia"/>
          <w:sz w:val="28"/>
          <w:szCs w:val="28"/>
        </w:rPr>
        <w:t>5</w:t>
      </w:r>
      <w:r>
        <w:rPr>
          <w:rFonts w:hint="eastAsia" w:cs="宋体" w:asciiTheme="minorEastAsia" w:hAnsiTheme="minorEastAsia"/>
          <w:sz w:val="28"/>
          <w:szCs w:val="28"/>
        </w:rPr>
        <w:t>、主持人宣布磋商会议结束，所有供应商离场。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1-7、采购代理机构对磋商过程进行全程录音录像，并存档备查。</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1-8、供应商代表对磋商过程和磋商记录有疑义的，以及认为采购人、采购代理机构相关工作人员有需要回避的情形的，应当场提出询问或回避申请。</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2、评审</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2-1、评审小组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（1）采购代理机构根据《中华人民共和国政府采购法》及其实施条例、《政府采购竞争性磋商采购方式管理暂行办法》（财库〔2014〕214号）等规定，依法组建评审小组。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（2）采购人派代表进入评审小组时，须向采购代理机构出具授权函。</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（3）评审小组应推荐一名评审专家担任评审组长，并由评审组长牵头组织该项目评审工作，采购人代表不得担任评审组长。</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 xml:space="preserve">（4）评审委员会成员应当遵守并履行下列职责义务： </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a、遵纪守法，客观、公正、认真负责地履行职责，根据磋商文件规定的评审程序、评审方法和评审标准审查磋商响应文件；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b、符合性审查、评价磋商响应文件是否符合磋商文件的实质性要求；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c、要求供应商对磋商响应文件有关事项作澄清或者说明；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d、对磋商响应文件进行比较和评价；</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e、确定成交候选人名单，以及根据采购人委托直接确定成交人；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f、向采购人、采购代理机构或者有关部门报告评审中发现的违法行为；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g、对评审过程及各供应商的商业机密予以保密；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h、配合采购人、采购代理机构答复各供应商提出的质疑；</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i、配合各部门的投诉处理和监督检查工作。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（5）在政府采购活动中，采购人员及相关人员（包括评审委员会）与供应商有下列利害关系之一的，应当回避：</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a、参加采购活动前3年内与供应商存在劳动关系；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b、参加采购活动前3年内担任供应商的董事、监事；</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c、参加采购活动前3年内是供应商的控股股东或者实际控制人；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d、与供应商的法定代表人或者负责人有夫妻、直系血亲、三代以内旁系血亲或者近姻亲关系；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e、与供应商有其他可</w:t>
      </w:r>
      <w:r>
        <w:rPr>
          <w:rFonts w:hint="eastAsia" w:cs="宋体" w:asciiTheme="minorEastAsia" w:hAnsiTheme="minorEastAsia"/>
          <w:bCs/>
          <w:sz w:val="28"/>
          <w:szCs w:val="28"/>
        </w:rPr>
        <w:t>能影响政府采购活动公平、公正进行的关系。</w:t>
      </w:r>
    </w:p>
    <w:p>
      <w:pPr>
        <w:spacing w:line="500" w:lineRule="exact"/>
        <w:ind w:firstLine="560"/>
        <w:rPr>
          <w:rFonts w:cs="宋体" w:asciiTheme="minorEastAsia" w:hAnsiTheme="minorEastAsia"/>
          <w:bCs/>
          <w:sz w:val="28"/>
          <w:szCs w:val="28"/>
        </w:rPr>
      </w:pPr>
      <w:r>
        <w:rPr>
          <w:rFonts w:hint="eastAsia" w:cs="宋体" w:asciiTheme="minorEastAsia" w:hAnsiTheme="minorEastAsia"/>
          <w:sz w:val="28"/>
          <w:szCs w:val="28"/>
        </w:rPr>
        <w:t>2-2、评审</w:t>
      </w:r>
      <w:r>
        <w:rPr>
          <w:rFonts w:hint="eastAsia" w:cs="宋体" w:asciiTheme="minorEastAsia" w:hAnsiTheme="minorEastAsia"/>
          <w:bCs/>
          <w:sz w:val="28"/>
          <w:szCs w:val="28"/>
        </w:rPr>
        <w:t>原则：</w:t>
      </w:r>
      <w:r>
        <w:rPr>
          <w:rFonts w:hint="eastAsia" w:cs="宋体" w:asciiTheme="minorEastAsia" w:hAnsiTheme="minorEastAsia"/>
          <w:sz w:val="28"/>
          <w:szCs w:val="28"/>
        </w:rPr>
        <w:t>坚持公平、公正、科学、择优原则，禁止不正当竞争。</w:t>
      </w:r>
    </w:p>
    <w:p>
      <w:pPr>
        <w:spacing w:line="500" w:lineRule="exact"/>
        <w:ind w:firstLine="548"/>
        <w:rPr>
          <w:rFonts w:hint="eastAsia" w:cs="宋体" w:asciiTheme="minorEastAsia" w:hAnsiTheme="minorEastAsia"/>
          <w:bCs/>
          <w:sz w:val="28"/>
          <w:szCs w:val="28"/>
        </w:rPr>
      </w:pPr>
      <w:r>
        <w:rPr>
          <w:rFonts w:hint="eastAsia" w:cs="宋体" w:asciiTheme="minorEastAsia" w:hAnsiTheme="minorEastAsia"/>
          <w:bCs/>
          <w:sz w:val="28"/>
          <w:szCs w:val="28"/>
        </w:rPr>
        <w:t>2-3、评审办法：本次竞争性磋商采用综合评分法（详见本节评分标准）。</w:t>
      </w:r>
    </w:p>
    <w:p>
      <w:pPr>
        <w:spacing w:line="500" w:lineRule="exact"/>
        <w:ind w:firstLine="548"/>
        <w:rPr>
          <w:rFonts w:hint="eastAsia" w:cs="宋体" w:asciiTheme="minorEastAsia" w:hAnsiTheme="minorEastAsia"/>
          <w:bCs/>
          <w:sz w:val="28"/>
          <w:szCs w:val="28"/>
        </w:rPr>
      </w:pPr>
      <w:r>
        <w:rPr>
          <w:rFonts w:hint="eastAsia" w:cs="宋体" w:asciiTheme="minorEastAsia" w:hAnsiTheme="minorEastAsia"/>
          <w:bCs/>
          <w:sz w:val="28"/>
          <w:szCs w:val="28"/>
        </w:rPr>
        <w:t>2-4、评审工作程序：</w:t>
      </w:r>
      <w:r>
        <w:rPr>
          <w:rFonts w:hint="eastAsia" w:ascii="宋体" w:hAnsi="宋体" w:eastAsia="宋体" w:cs="宋体"/>
          <w:bCs/>
          <w:sz w:val="28"/>
          <w:szCs w:val="28"/>
        </w:rPr>
        <w:t>对资格合格者磋商响应文件的完整性</w:t>
      </w:r>
      <w:r>
        <w:rPr>
          <w:rFonts w:hint="eastAsia" w:ascii="宋体" w:hAnsi="宋体" w:eastAsia="宋体" w:cs="宋体"/>
          <w:bCs/>
          <w:sz w:val="28"/>
          <w:szCs w:val="28"/>
          <w:lang w:eastAsia="zh-CN"/>
        </w:rPr>
        <w:t>、</w:t>
      </w:r>
      <w:r>
        <w:rPr>
          <w:rFonts w:hint="eastAsia" w:cs="宋体" w:asciiTheme="minorEastAsia" w:hAnsiTheme="minorEastAsia"/>
          <w:bCs/>
          <w:sz w:val="28"/>
          <w:szCs w:val="28"/>
        </w:rPr>
        <w:t>符合性审查、澄清、磋商、评价、推荐成交候选人的工作程序进行评审。</w:t>
      </w:r>
    </w:p>
    <w:p>
      <w:pPr>
        <w:spacing w:line="500" w:lineRule="exact"/>
        <w:ind w:firstLine="551"/>
        <w:rPr>
          <w:rFonts w:ascii="宋体" w:hAnsi="宋体" w:eastAsia="宋体" w:cs="宋体"/>
          <w:b/>
          <w:bCs/>
          <w:sz w:val="28"/>
          <w:szCs w:val="28"/>
        </w:rPr>
      </w:pPr>
      <w:r>
        <w:rPr>
          <w:rFonts w:hint="eastAsia" w:ascii="宋体" w:hAnsi="宋体" w:eastAsia="宋体" w:cs="宋体"/>
          <w:b/>
          <w:bCs/>
          <w:sz w:val="28"/>
          <w:szCs w:val="28"/>
        </w:rPr>
        <w:t>2-4-1、资格审查</w:t>
      </w:r>
    </w:p>
    <w:p>
      <w:pPr>
        <w:spacing w:line="500" w:lineRule="exact"/>
        <w:ind w:firstLine="548"/>
        <w:rPr>
          <w:rFonts w:hint="default" w:ascii="宋体" w:hAnsi="宋体" w:eastAsia="宋体" w:cs="宋体"/>
          <w:b/>
          <w:bCs w:val="0"/>
          <w:sz w:val="28"/>
          <w:szCs w:val="28"/>
          <w:lang w:val="en-US" w:eastAsia="zh-CN"/>
        </w:rPr>
      </w:pPr>
      <w:r>
        <w:rPr>
          <w:rFonts w:hint="eastAsia" w:ascii="宋体" w:hAnsi="宋体" w:eastAsia="宋体" w:cs="宋体"/>
          <w:b/>
          <w:bCs w:val="0"/>
          <w:sz w:val="28"/>
          <w:szCs w:val="28"/>
        </w:rPr>
        <w:t>磋商会议</w:t>
      </w:r>
      <w:r>
        <w:rPr>
          <w:rFonts w:hint="eastAsia" w:ascii="宋体" w:hAnsi="宋体" w:eastAsia="宋体" w:cs="宋体"/>
          <w:b/>
          <w:bCs w:val="0"/>
          <w:sz w:val="28"/>
          <w:szCs w:val="28"/>
          <w:lang w:val="en-US" w:eastAsia="zh-CN"/>
        </w:rPr>
        <w:t>中</w:t>
      </w:r>
      <w:r>
        <w:rPr>
          <w:rFonts w:hint="eastAsia" w:ascii="宋体" w:hAnsi="宋体" w:eastAsia="宋体" w:cs="宋体"/>
          <w:b/>
          <w:bCs w:val="0"/>
          <w:sz w:val="28"/>
          <w:szCs w:val="28"/>
        </w:rPr>
        <w:t>，由</w:t>
      </w:r>
      <w:r>
        <w:rPr>
          <w:rFonts w:hint="eastAsia" w:ascii="宋体" w:hAnsi="宋体" w:eastAsia="宋体" w:cs="宋体"/>
          <w:b/>
          <w:bCs w:val="0"/>
          <w:sz w:val="28"/>
          <w:szCs w:val="28"/>
          <w:lang w:val="en-US" w:eastAsia="zh-CN"/>
        </w:rPr>
        <w:t>磋商小组</w:t>
      </w:r>
      <w:r>
        <w:rPr>
          <w:rFonts w:hint="eastAsia" w:ascii="宋体" w:hAnsi="宋体" w:eastAsia="宋体" w:cs="宋体"/>
          <w:b/>
          <w:bCs w:val="0"/>
          <w:sz w:val="28"/>
          <w:szCs w:val="28"/>
        </w:rPr>
        <w:t>依法对供应商的资格进行审查，审查合格的供应商方可进入评审阶段，不合格的供应商其磋商响应无效</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资格审查内容：</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2.供应商须具备行政主管部门颁发的测绘乙级（含乙级）以上资质；</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default"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3.供应商提供法定代表人授权书及被授权人身份证，法定代表人直接投标只须提交其法人身份证明。</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6.税收缴纳证明：提供上一年度至今已缴纳的至少连续三个月的纳税证明或完税证明，依法免税的单位应提供相关证明材料（复印件加盖供应商公章）。</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7.社会保障资金缴纳证明：提供上一年度至今已缴存的至少连续三个月的社会保障资金缴存单据或社保机构开具的社会保险参保缴费情况证明，依法不需要缴纳社会保障资金的单位应提供相关证明材料。</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8.书面声明：提供《供应商书面声明函》（经查，参加本次政府采购活动前三年内在经营活动中没有重大违纪，以及未被列入失信被执行人、重大税收违法失信主体的供应商、政府采购严重违法失信行为记录名单的书面声明）。</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9.单位负责人为同一人或者存在控股、管理关系的不同单位，不得参加同一项目的投标。</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10.本项目专门面向中小企业采购（符合财库[2020]46号规定的供应商应提供中小微企业声明函）。</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11.本项目不接受联合体投标。</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default"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12.磋商保证金交纳凭证（银行汇（存）款回执单，复印件须加盖供应商公章）。</w:t>
      </w:r>
    </w:p>
    <w:p>
      <w:pPr>
        <w:spacing w:line="500" w:lineRule="exact"/>
        <w:ind w:firstLine="562" w:firstLineChars="200"/>
        <w:rPr>
          <w:rFonts w:cs="宋体" w:asciiTheme="minorEastAsia" w:hAnsiTheme="minorEastAsia"/>
          <w:bCs/>
          <w:sz w:val="28"/>
          <w:szCs w:val="28"/>
        </w:rPr>
      </w:pPr>
      <w:r>
        <w:rPr>
          <w:rFonts w:hint="eastAsia" w:cs="宋体" w:asciiTheme="minorEastAsia" w:hAnsiTheme="minorEastAsia"/>
          <w:b/>
          <w:bCs/>
          <w:sz w:val="28"/>
          <w:szCs w:val="28"/>
          <w:lang w:val="en-US" w:eastAsia="zh-CN"/>
        </w:rPr>
        <w:t>2-4-2、</w:t>
      </w:r>
      <w:r>
        <w:rPr>
          <w:rFonts w:hint="eastAsia" w:cs="宋体" w:asciiTheme="minorEastAsia" w:hAnsiTheme="minorEastAsia"/>
          <w:bCs/>
          <w:sz w:val="28"/>
          <w:szCs w:val="28"/>
        </w:rPr>
        <w:t>依据磋商文件的规定，磋商响应文件的完整性、有效性和对磋商文件的响应程度进行审查，以确定是否对磋商文件的实质性内容做出响应，包含但不限于以下内容：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（1）供应商名称是否与购买磋商文件的单位名称一致；</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（2）除明确允许供应商可以自行编写的外，磋商响应文件是否按照磋商文件要求的格式编制；</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3</w:t>
      </w:r>
      <w:r>
        <w:rPr>
          <w:rFonts w:hint="eastAsia" w:cs="宋体" w:asciiTheme="minorEastAsia" w:hAnsiTheme="minorEastAsia"/>
          <w:bCs/>
          <w:sz w:val="28"/>
          <w:szCs w:val="28"/>
        </w:rPr>
        <w:t>）磋商内容是否有重大缺漏项；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4</w:t>
      </w:r>
      <w:r>
        <w:rPr>
          <w:rFonts w:hint="eastAsia" w:cs="宋体" w:asciiTheme="minorEastAsia" w:hAnsiTheme="minorEastAsia"/>
          <w:bCs/>
          <w:sz w:val="28"/>
          <w:szCs w:val="28"/>
        </w:rPr>
        <w:t>）是否针对同一项目提交两份或多份内容不同的磋商响应文件，未书面声明哪一份是有效的或出现选择性报价的；</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5</w:t>
      </w:r>
      <w:r>
        <w:rPr>
          <w:rFonts w:hint="eastAsia" w:cs="宋体" w:asciiTheme="minorEastAsia" w:hAnsiTheme="minorEastAsia"/>
          <w:bCs/>
          <w:sz w:val="28"/>
          <w:szCs w:val="28"/>
        </w:rPr>
        <w:t>）磋商报价是否超过</w:t>
      </w:r>
      <w:r>
        <w:rPr>
          <w:rFonts w:hint="eastAsia" w:cs="宋体" w:asciiTheme="minorEastAsia" w:hAnsiTheme="minorEastAsia"/>
          <w:bCs/>
          <w:sz w:val="28"/>
          <w:szCs w:val="28"/>
          <w:lang w:val="en-US" w:eastAsia="zh-CN"/>
        </w:rPr>
        <w:t>采购预算</w:t>
      </w:r>
      <w:r>
        <w:rPr>
          <w:rFonts w:hint="eastAsia" w:cs="宋体" w:asciiTheme="minorEastAsia" w:hAnsiTheme="minorEastAsia"/>
          <w:bCs/>
          <w:sz w:val="28"/>
          <w:szCs w:val="28"/>
        </w:rPr>
        <w:t>；</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6</w:t>
      </w:r>
      <w:r>
        <w:rPr>
          <w:rFonts w:hint="eastAsia" w:cs="宋体" w:asciiTheme="minorEastAsia" w:hAnsiTheme="minorEastAsia"/>
          <w:bCs/>
          <w:sz w:val="28"/>
          <w:szCs w:val="28"/>
        </w:rPr>
        <w:t>）磋商有效期是否符合磋商文件的要求；</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7</w:t>
      </w:r>
      <w:r>
        <w:rPr>
          <w:rFonts w:hint="eastAsia" w:cs="宋体" w:asciiTheme="minorEastAsia" w:hAnsiTheme="minorEastAsia"/>
          <w:bCs/>
          <w:sz w:val="28"/>
          <w:szCs w:val="28"/>
        </w:rPr>
        <w:t>）对磋商文件商务要求是否作了明确且实质性响应；</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8</w:t>
      </w:r>
      <w:r>
        <w:rPr>
          <w:rFonts w:hint="eastAsia" w:cs="宋体" w:asciiTheme="minorEastAsia" w:hAnsiTheme="minorEastAsia"/>
          <w:bCs/>
          <w:sz w:val="28"/>
          <w:szCs w:val="28"/>
        </w:rPr>
        <w:t>）对磋商文件技术要求是否作了明确响应，对不得偏离的要求是否作了实质性响应；</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9</w:t>
      </w:r>
      <w:r>
        <w:rPr>
          <w:rFonts w:hint="eastAsia" w:cs="宋体" w:asciiTheme="minorEastAsia" w:hAnsiTheme="minorEastAsia"/>
          <w:bCs/>
          <w:sz w:val="28"/>
          <w:szCs w:val="28"/>
        </w:rPr>
        <w:t>）磋商响应文件是否含有采购人不能接受的附件条件；</w:t>
      </w:r>
    </w:p>
    <w:p>
      <w:pPr>
        <w:spacing w:line="500" w:lineRule="exact"/>
        <w:ind w:firstLine="565"/>
        <w:rPr>
          <w:rFonts w:cs="宋体" w:asciiTheme="minorEastAsia" w:hAnsiTheme="minorEastAsia"/>
          <w:bCs/>
          <w:sz w:val="28"/>
          <w:szCs w:val="28"/>
        </w:rPr>
      </w:pPr>
      <w:r>
        <w:rPr>
          <w:rFonts w:hint="eastAsia" w:cs="宋体" w:asciiTheme="minorEastAsia" w:hAnsiTheme="minorEastAsia"/>
          <w:bCs/>
          <w:sz w:val="28"/>
          <w:szCs w:val="28"/>
        </w:rPr>
        <w:t>（1</w:t>
      </w:r>
      <w:r>
        <w:rPr>
          <w:rFonts w:cs="宋体" w:asciiTheme="minorEastAsia" w:hAnsiTheme="minorEastAsia"/>
          <w:bCs/>
          <w:sz w:val="28"/>
          <w:szCs w:val="28"/>
        </w:rPr>
        <w:t>0</w:t>
      </w:r>
      <w:r>
        <w:rPr>
          <w:rFonts w:hint="eastAsia" w:cs="宋体" w:asciiTheme="minorEastAsia" w:hAnsiTheme="minorEastAsia"/>
          <w:bCs/>
          <w:sz w:val="28"/>
          <w:szCs w:val="28"/>
        </w:rPr>
        <w:t>）是否符合法律、法规和磋商文件规定的其他无效磋商情形。</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2-4-3、磋商响应文件的澄清</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1）在评审期间,对于竞争性磋商响应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被授权人签字。供应商的澄清、说明或者补正不得超出竞争性磋商响应文件的范围或者改变竞争性磋商响应文件的实质性内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（2）书写错误的评审标准：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评审委员会在评审过程中，发现磋商响应文件出现下列情况之一者，按以下原则修正：</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a、磋商响应文件有关内容与“一览表”不一致的，以“一览表”为准；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b、磋商响应文件大写与小写不一致时，以大写为准；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c、单价乘以数量不等于总价时，以单价乘以数量为准修改总价；单价有明显小数点错误的，以总价为准，并修改单价；</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d、总价金额与按单价汇总金额不一致的，以单价乘以数量的计算结果为准；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e、磋商响应文件图表与文字不符时，以文字为准；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f、磋商响应文件正本与副本不符时，以正本为准；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g、对不同文字文本磋商响应文件的解释发生异议的，以中文文本为准；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h、多处内容交叉不符时，以评审委员会评审结果为准。</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注：按上述方法修正的内容（其中，同时出现上述a至d两种以上不一致的，按上述规定的顺序修正），经供应商确认后产生约束力，供应商不确认的，其磋商响应无效。</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3）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磋商响应处理。</w:t>
      </w:r>
    </w:p>
    <w:p>
      <w:pPr>
        <w:spacing w:line="500" w:lineRule="exact"/>
        <w:ind w:firstLine="568"/>
        <w:rPr>
          <w:rFonts w:cs="宋体" w:asciiTheme="minorEastAsia" w:hAnsiTheme="minorEastAsia"/>
          <w:b/>
          <w:sz w:val="28"/>
          <w:szCs w:val="28"/>
        </w:rPr>
      </w:pPr>
      <w:r>
        <w:rPr>
          <w:rFonts w:hint="eastAsia" w:cs="宋体" w:asciiTheme="minorEastAsia" w:hAnsiTheme="minorEastAsia"/>
          <w:b/>
          <w:sz w:val="28"/>
          <w:szCs w:val="28"/>
        </w:rPr>
        <w:t>2-4-4、评议</w:t>
      </w:r>
    </w:p>
    <w:p>
      <w:pPr>
        <w:spacing w:line="500" w:lineRule="exact"/>
        <w:ind w:firstLine="565"/>
        <w:rPr>
          <w:rFonts w:cs="宋体" w:asciiTheme="minorEastAsia" w:hAnsiTheme="minorEastAsia"/>
          <w:sz w:val="28"/>
          <w:szCs w:val="28"/>
        </w:rPr>
      </w:pPr>
      <w:r>
        <w:rPr>
          <w:rFonts w:hint="eastAsia" w:cs="宋体" w:asciiTheme="minorEastAsia" w:hAnsiTheme="minorEastAsia"/>
          <w:sz w:val="28"/>
          <w:szCs w:val="28"/>
        </w:rPr>
        <w:t>（1）、磋商采购形式：采取背对背的磋商采购方式。即评审委员会与各供应商分别进行一对一的磋商。</w:t>
      </w:r>
    </w:p>
    <w:p>
      <w:pPr>
        <w:spacing w:line="500" w:lineRule="exact"/>
        <w:ind w:firstLine="580"/>
        <w:rPr>
          <w:rFonts w:cs="宋体" w:asciiTheme="minorEastAsia" w:hAnsiTheme="minorEastAsia"/>
          <w:color w:val="auto"/>
          <w:sz w:val="28"/>
          <w:szCs w:val="28"/>
        </w:rPr>
      </w:pPr>
      <w:r>
        <w:rPr>
          <w:rFonts w:hint="eastAsia" w:cs="宋体" w:asciiTheme="minorEastAsia" w:hAnsiTheme="minorEastAsia"/>
          <w:color w:val="auto"/>
          <w:sz w:val="28"/>
          <w:szCs w:val="28"/>
        </w:rPr>
        <w:t>（2）、通过资质审查、磋商、澄清及承诺等程序且实质性响应磋商文件（资质、技术、商务等）的各供应商，才有再次报价的机会。磋商小组按其最终承诺和报价等，进行综合评比并排序。</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（3）、评审采取逐项分步评审方式，每一步评审不符合者，不进入下一步评审，全部评审合格的供应商进行最后的综合评审和打分，按最后得分由高向低排序，推荐成交候选人。</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（4）、其他需说明的情况：</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a、对于磋商响应文件中不构成实质性偏差的小的不正规、不一致或不规则，可以接受，但这种接受不能损害或影响任何供应商的相对排序；</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b、最低报价不是成交的唯一条件；</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c、如果磋商实质上没有响应磋商文件的要求，其磋商将被拒绝，供应商不得通过修正或撤消不合要求的偏离或保留从而使其磋商成为实质上响应的磋商响应。</w:t>
      </w:r>
    </w:p>
    <w:p>
      <w:pPr>
        <w:spacing w:line="500" w:lineRule="exact"/>
        <w:ind w:firstLine="565"/>
        <w:rPr>
          <w:rFonts w:cs="宋体" w:asciiTheme="minorEastAsia" w:hAnsiTheme="minorEastAsia"/>
          <w:sz w:val="28"/>
          <w:szCs w:val="28"/>
        </w:rPr>
      </w:pPr>
      <w:r>
        <w:rPr>
          <w:rFonts w:hint="eastAsia" w:cs="宋体" w:asciiTheme="minorEastAsia" w:hAnsiTheme="minorEastAsia"/>
          <w:bCs/>
          <w:sz w:val="28"/>
          <w:szCs w:val="28"/>
        </w:rPr>
        <w:t>d、无论磋商的结果如何，磋商期间一切费用自理。</w:t>
      </w:r>
    </w:p>
    <w:p>
      <w:pPr>
        <w:spacing w:line="500" w:lineRule="exact"/>
        <w:ind w:firstLine="562"/>
        <w:rPr>
          <w:rFonts w:cs="宋体" w:asciiTheme="minorEastAsia" w:hAnsiTheme="minorEastAsia"/>
          <w:b/>
          <w:sz w:val="28"/>
          <w:szCs w:val="28"/>
        </w:rPr>
      </w:pPr>
      <w:r>
        <w:rPr>
          <w:rFonts w:cs="宋体" w:asciiTheme="minorEastAsia" w:hAnsiTheme="minorEastAsia"/>
          <w:b/>
          <w:sz w:val="28"/>
          <w:szCs w:val="28"/>
        </w:rPr>
        <w:t>2-5</w:t>
      </w:r>
      <w:r>
        <w:rPr>
          <w:rFonts w:hint="eastAsia" w:cs="宋体" w:asciiTheme="minorEastAsia" w:hAnsiTheme="minorEastAsia"/>
          <w:b/>
          <w:sz w:val="28"/>
          <w:szCs w:val="28"/>
        </w:rPr>
        <w:t>、政府采购政策评分标准</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2-5-1</w:t>
      </w:r>
      <w:r>
        <w:rPr>
          <w:rFonts w:hint="eastAsia" w:cs="宋体" w:asciiTheme="minorEastAsia" w:hAnsiTheme="minorEastAsia"/>
          <w:color w:val="auto"/>
          <w:sz w:val="28"/>
          <w:szCs w:val="28"/>
        </w:rPr>
        <w:t>、小微企业的价格评分标准</w:t>
      </w:r>
    </w:p>
    <w:p>
      <w:pPr>
        <w:spacing w:line="500" w:lineRule="exact"/>
        <w:ind w:firstLine="560"/>
        <w:rPr>
          <w:rFonts w:cs="宋体" w:asciiTheme="minorEastAsia" w:hAnsiTheme="minorEastAsia"/>
          <w:color w:val="auto"/>
          <w:sz w:val="28"/>
          <w:szCs w:val="28"/>
          <w:highlight w:val="none"/>
        </w:rPr>
      </w:pPr>
      <w:r>
        <w:rPr>
          <w:rFonts w:hint="eastAsia" w:cs="宋体" w:asciiTheme="minorEastAsia" w:hAnsiTheme="minorEastAsia"/>
          <w:color w:val="auto"/>
          <w:sz w:val="28"/>
          <w:szCs w:val="28"/>
          <w:highlight w:val="none"/>
        </w:rPr>
        <w:t>（</w:t>
      </w:r>
      <w:r>
        <w:rPr>
          <w:rFonts w:cs="宋体" w:asciiTheme="minorEastAsia" w:hAnsiTheme="minorEastAsia"/>
          <w:color w:val="auto"/>
          <w:sz w:val="28"/>
          <w:szCs w:val="28"/>
          <w:highlight w:val="none"/>
        </w:rPr>
        <w:t>1</w:t>
      </w:r>
      <w:r>
        <w:rPr>
          <w:rFonts w:hint="eastAsia" w:cs="宋体" w:asciiTheme="minorEastAsia" w:hAnsiTheme="minorEastAsia"/>
          <w:color w:val="auto"/>
          <w:sz w:val="28"/>
          <w:szCs w:val="28"/>
          <w:highlight w:val="none"/>
        </w:rPr>
        <w:t>）对小型、微型企业产品的价格给予</w:t>
      </w:r>
      <w:r>
        <w:rPr>
          <w:rFonts w:hint="eastAsia" w:cs="宋体" w:asciiTheme="minorEastAsia" w:hAnsiTheme="minorEastAsia"/>
          <w:color w:val="auto"/>
          <w:sz w:val="28"/>
          <w:szCs w:val="28"/>
          <w:highlight w:val="none"/>
          <w:lang w:val="en-US" w:eastAsia="zh-CN"/>
        </w:rPr>
        <w:t>10</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的扣除，用扣除后的价格参与评审，其评审价</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磋商报价</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w:t>
      </w:r>
      <w:r>
        <w:rPr>
          <w:rFonts w:cs="宋体" w:asciiTheme="minorEastAsia" w:hAnsiTheme="minorEastAsia"/>
          <w:color w:val="auto"/>
          <w:sz w:val="28"/>
          <w:szCs w:val="28"/>
          <w:highlight w:val="none"/>
        </w:rPr>
        <w:t>1-</w:t>
      </w:r>
      <w:r>
        <w:rPr>
          <w:rFonts w:hint="eastAsia" w:cs="宋体" w:asciiTheme="minorEastAsia" w:hAnsiTheme="minorEastAsia"/>
          <w:color w:val="auto"/>
          <w:sz w:val="28"/>
          <w:szCs w:val="28"/>
          <w:highlight w:val="none"/>
          <w:lang w:val="en-US" w:eastAsia="zh-CN"/>
        </w:rPr>
        <w:t>10</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）联合体共同参加非专门面向中小企业的政府采购活动，联合协议中约定，小型和微型企业的协议合同金额占到联合体协议合同金额的</w:t>
      </w:r>
      <w:r>
        <w:rPr>
          <w:rFonts w:cs="宋体" w:asciiTheme="minorEastAsia" w:hAnsiTheme="minorEastAsia"/>
          <w:color w:val="auto"/>
          <w:sz w:val="28"/>
          <w:szCs w:val="28"/>
        </w:rPr>
        <w:t>30%</w:t>
      </w:r>
      <w:r>
        <w:rPr>
          <w:rFonts w:hint="eastAsia" w:cs="宋体" w:asciiTheme="minorEastAsia" w:hAnsiTheme="minorEastAsia"/>
          <w:color w:val="auto"/>
          <w:sz w:val="28"/>
          <w:szCs w:val="28"/>
        </w:rPr>
        <w:t>以上的，可给予联合体</w:t>
      </w:r>
      <w:r>
        <w:rPr>
          <w:rFonts w:cs="宋体" w:asciiTheme="minorEastAsia" w:hAnsiTheme="minorEastAsia"/>
          <w:color w:val="auto"/>
          <w:sz w:val="28"/>
          <w:szCs w:val="28"/>
        </w:rPr>
        <w:t>4%</w:t>
      </w:r>
      <w:r>
        <w:rPr>
          <w:rFonts w:hint="eastAsia" w:cs="宋体" w:asciiTheme="minorEastAsia" w:hAnsiTheme="minorEastAsia"/>
          <w:color w:val="auto"/>
          <w:sz w:val="28"/>
          <w:szCs w:val="28"/>
        </w:rPr>
        <w:t>的价格扣除，用扣除后的价格参与评审，其评审价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1-4%</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参加本项目的小微企业须提供《中小企业声明函》（附件），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4</w:t>
      </w:r>
      <w:r>
        <w:rPr>
          <w:rFonts w:hint="eastAsia" w:cs="宋体" w:asciiTheme="minorEastAsia" w:hAnsiTheme="minorEastAsia"/>
          <w:color w:val="auto"/>
          <w:sz w:val="28"/>
          <w:szCs w:val="28"/>
        </w:rPr>
        <w:t>）小微企业按《政府采购促进中小企业发展管理办法》（财库【</w:t>
      </w:r>
      <w:r>
        <w:rPr>
          <w:rFonts w:cs="宋体" w:asciiTheme="minorEastAsia" w:hAnsiTheme="minorEastAsia"/>
          <w:color w:val="auto"/>
          <w:sz w:val="28"/>
          <w:szCs w:val="28"/>
        </w:rPr>
        <w:t>20</w:t>
      </w:r>
      <w:r>
        <w:rPr>
          <w:rFonts w:hint="eastAsia" w:cs="宋体" w:asciiTheme="minorEastAsia" w:hAnsiTheme="minorEastAsia"/>
          <w:color w:val="auto"/>
          <w:sz w:val="28"/>
          <w:szCs w:val="28"/>
        </w:rPr>
        <w:t>20】46号）和《工业和信息化部、国家统计局、国家发展和改革委员会、财政部关于印发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中小企业划型标准规定</w:t>
      </w:r>
      <w:r>
        <w:rPr>
          <w:rFonts w:cs="宋体" w:asciiTheme="minorEastAsia" w:hAnsiTheme="minorEastAsia"/>
          <w:color w:val="auto"/>
          <w:sz w:val="28"/>
          <w:szCs w:val="28"/>
        </w:rPr>
        <w:t>&gt;</w:t>
      </w:r>
      <w:r>
        <w:rPr>
          <w:rFonts w:hint="eastAsia" w:cs="宋体" w:asciiTheme="minorEastAsia" w:hAnsiTheme="minorEastAsia"/>
          <w:color w:val="auto"/>
          <w:sz w:val="28"/>
          <w:szCs w:val="28"/>
        </w:rPr>
        <w:t>的通知》（工信部联企业【</w:t>
      </w:r>
      <w:r>
        <w:rPr>
          <w:rFonts w:cs="宋体" w:asciiTheme="minorEastAsia" w:hAnsiTheme="minorEastAsia"/>
          <w:color w:val="auto"/>
          <w:sz w:val="28"/>
          <w:szCs w:val="28"/>
        </w:rPr>
        <w:t>2011</w:t>
      </w:r>
      <w:r>
        <w:rPr>
          <w:rFonts w:hint="eastAsia" w:cs="宋体" w:asciiTheme="minorEastAsia" w:hAnsiTheme="minorEastAsia"/>
          <w:color w:val="auto"/>
          <w:sz w:val="28"/>
          <w:szCs w:val="28"/>
        </w:rPr>
        <w:t>】</w:t>
      </w:r>
      <w:r>
        <w:rPr>
          <w:rFonts w:cs="宋体" w:asciiTheme="minorEastAsia" w:hAnsiTheme="minorEastAsia"/>
          <w:color w:val="auto"/>
          <w:sz w:val="28"/>
          <w:szCs w:val="28"/>
        </w:rPr>
        <w:t>300</w:t>
      </w:r>
      <w:r>
        <w:rPr>
          <w:rFonts w:hint="eastAsia" w:cs="宋体" w:asciiTheme="minorEastAsia" w:hAnsiTheme="minorEastAsia"/>
          <w:color w:val="auto"/>
          <w:sz w:val="28"/>
          <w:szCs w:val="28"/>
        </w:rPr>
        <w:t>号）文件规定标准确认。</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2-5-2</w:t>
      </w:r>
      <w:r>
        <w:rPr>
          <w:rFonts w:hint="eastAsia" w:cs="宋体" w:asciiTheme="minorEastAsia" w:hAnsiTheme="minorEastAsia"/>
          <w:color w:val="auto"/>
          <w:sz w:val="28"/>
          <w:szCs w:val="28"/>
        </w:rPr>
        <w:t>、监狱企业的价格评分标准</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）在政府采购活动中，监狱企业视同小型、微型企业，享受预留份额、评审中价格扣除等政府采购促进中小企业发展的政府采购政策。对监狱企业产品的价格给予</w:t>
      </w:r>
      <w:r>
        <w:rPr>
          <w:rFonts w:cs="宋体" w:asciiTheme="minorEastAsia" w:hAnsiTheme="minorEastAsia"/>
          <w:color w:val="auto"/>
          <w:sz w:val="28"/>
          <w:szCs w:val="28"/>
        </w:rPr>
        <w:t>6%</w:t>
      </w:r>
      <w:r>
        <w:rPr>
          <w:rFonts w:hint="eastAsia" w:cs="宋体" w:asciiTheme="minorEastAsia" w:hAnsiTheme="minorEastAsia"/>
          <w:color w:val="auto"/>
          <w:sz w:val="28"/>
          <w:szCs w:val="28"/>
        </w:rPr>
        <w:t>的扣除，用扣除后的价格参与评审，其评审价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1-6%</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）监狱企业属于小型、微型企业的，不重复享受政策。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）监狱企业参加政府采购活动时，应当提供由省级以上监狱管理局、戒毒管理局（含新疆生产建设兵团）出具的属于监狱企业的证明文件。</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4</w:t>
      </w:r>
      <w:r>
        <w:rPr>
          <w:rFonts w:hint="eastAsia" w:cs="宋体" w:asciiTheme="minorEastAsia" w:hAnsiTheme="minorEastAsia"/>
          <w:color w:val="auto"/>
          <w:sz w:val="28"/>
          <w:szCs w:val="28"/>
        </w:rPr>
        <w:t>）监狱企业按《财政部</w:t>
      </w:r>
      <w:r>
        <w:rPr>
          <w:rFonts w:cs="宋体" w:asciiTheme="minorEastAsia" w:hAnsiTheme="minorEastAsia"/>
          <w:color w:val="auto"/>
          <w:sz w:val="28"/>
          <w:szCs w:val="28"/>
        </w:rPr>
        <w:t xml:space="preserve"> </w:t>
      </w:r>
      <w:r>
        <w:rPr>
          <w:rFonts w:hint="eastAsia" w:cs="宋体" w:asciiTheme="minorEastAsia" w:hAnsiTheme="minorEastAsia"/>
          <w:color w:val="auto"/>
          <w:sz w:val="28"/>
          <w:szCs w:val="28"/>
        </w:rPr>
        <w:t>司法部关于政府采购支持监狱企业发展有关问题的通知》（财库〔</w:t>
      </w:r>
      <w:r>
        <w:rPr>
          <w:rFonts w:cs="宋体" w:asciiTheme="minorEastAsia" w:hAnsiTheme="minorEastAsia"/>
          <w:color w:val="auto"/>
          <w:sz w:val="28"/>
          <w:szCs w:val="28"/>
        </w:rPr>
        <w:t>2014</w:t>
      </w:r>
      <w:r>
        <w:rPr>
          <w:rFonts w:hint="eastAsia" w:cs="宋体" w:asciiTheme="minorEastAsia" w:hAnsiTheme="minorEastAsia"/>
          <w:color w:val="auto"/>
          <w:sz w:val="28"/>
          <w:szCs w:val="28"/>
        </w:rPr>
        <w:t>〕</w:t>
      </w:r>
      <w:r>
        <w:rPr>
          <w:rFonts w:cs="宋体" w:asciiTheme="minorEastAsia" w:hAnsiTheme="minorEastAsia"/>
          <w:color w:val="auto"/>
          <w:sz w:val="28"/>
          <w:szCs w:val="28"/>
        </w:rPr>
        <w:t>68</w:t>
      </w:r>
      <w:r>
        <w:rPr>
          <w:rFonts w:hint="eastAsia" w:cs="宋体" w:asciiTheme="minorEastAsia" w:hAnsiTheme="minorEastAsia"/>
          <w:color w:val="auto"/>
          <w:sz w:val="28"/>
          <w:szCs w:val="28"/>
        </w:rPr>
        <w:t>号）文件规定标准执行。</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2-5-3</w:t>
      </w:r>
      <w:r>
        <w:rPr>
          <w:rFonts w:hint="eastAsia" w:cs="宋体" w:asciiTheme="minorEastAsia" w:hAnsiTheme="minorEastAsia"/>
          <w:color w:val="auto"/>
          <w:sz w:val="28"/>
          <w:szCs w:val="28"/>
        </w:rPr>
        <w:t>、残疾人福利性单位的价格评分标准</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）在政府采购活动中，残疾人福利性单位视同小型、微型企业，享受预留份额、评审中价格扣除等政府采购促进中小企业发展的政府采购政策。对残疾人福利性单位产品的价格给予</w:t>
      </w:r>
      <w:r>
        <w:rPr>
          <w:rFonts w:cs="宋体" w:asciiTheme="minorEastAsia" w:hAnsiTheme="minorEastAsia"/>
          <w:color w:val="auto"/>
          <w:sz w:val="28"/>
          <w:szCs w:val="28"/>
        </w:rPr>
        <w:t>6%</w:t>
      </w:r>
      <w:r>
        <w:rPr>
          <w:rFonts w:hint="eastAsia" w:cs="宋体" w:asciiTheme="minorEastAsia" w:hAnsiTheme="minorEastAsia"/>
          <w:color w:val="auto"/>
          <w:sz w:val="28"/>
          <w:szCs w:val="28"/>
        </w:rPr>
        <w:t>的扣除，用扣除后的价格参与评审，其评审价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1-6%</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）残疾人福利性单位属于小型、微型企业的，不重复享受政策。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）符合条件的残疾人福利性单位在参加政府采购活动时，应当提供本通知规定的《残疾人福利性单位声明函》（见附件），并对声明的真实性负责，未提供的不视为残疾人福利性单位。</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2-5-4</w:t>
      </w:r>
      <w:r>
        <w:rPr>
          <w:rFonts w:hint="eastAsia" w:cs="宋体" w:asciiTheme="minorEastAsia" w:hAnsiTheme="minorEastAsia"/>
          <w:color w:val="auto"/>
          <w:sz w:val="28"/>
          <w:szCs w:val="28"/>
        </w:rPr>
        <w:t>、节能产品、环境标志产品政策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）节能产品根据《财政部、国家发展和改革委员会关于印发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节能产品政府采购实施意见</w:t>
      </w:r>
      <w:r>
        <w:rPr>
          <w:rFonts w:cs="宋体" w:asciiTheme="minorEastAsia" w:hAnsiTheme="minorEastAsia"/>
          <w:color w:val="auto"/>
          <w:sz w:val="28"/>
          <w:szCs w:val="28"/>
        </w:rPr>
        <w:t>&gt;</w:t>
      </w:r>
      <w:r>
        <w:rPr>
          <w:rFonts w:hint="eastAsia" w:cs="宋体" w:asciiTheme="minorEastAsia" w:hAnsiTheme="minorEastAsia"/>
          <w:color w:val="auto"/>
          <w:sz w:val="28"/>
          <w:szCs w:val="28"/>
        </w:rPr>
        <w:t>的通知》（财库【</w:t>
      </w:r>
      <w:r>
        <w:rPr>
          <w:rFonts w:cs="宋体" w:asciiTheme="minorEastAsia" w:hAnsiTheme="minorEastAsia"/>
          <w:color w:val="auto"/>
          <w:sz w:val="28"/>
          <w:szCs w:val="28"/>
        </w:rPr>
        <w:t>2004</w:t>
      </w:r>
      <w:r>
        <w:rPr>
          <w:rFonts w:hint="eastAsia" w:cs="宋体" w:asciiTheme="minorEastAsia" w:hAnsiTheme="minorEastAsia"/>
          <w:color w:val="auto"/>
          <w:sz w:val="28"/>
          <w:szCs w:val="28"/>
        </w:rPr>
        <w:t>】</w:t>
      </w:r>
      <w:r>
        <w:rPr>
          <w:rFonts w:cs="宋体" w:asciiTheme="minorEastAsia" w:hAnsiTheme="minorEastAsia"/>
          <w:color w:val="auto"/>
          <w:sz w:val="28"/>
          <w:szCs w:val="28"/>
        </w:rPr>
        <w:t>185</w:t>
      </w:r>
      <w:r>
        <w:rPr>
          <w:rFonts w:hint="eastAsia" w:cs="宋体" w:asciiTheme="minorEastAsia" w:hAnsiTheme="minorEastAsia"/>
          <w:color w:val="auto"/>
          <w:sz w:val="28"/>
          <w:szCs w:val="28"/>
        </w:rPr>
        <w:t>号）、《国务院办公厅关于建立政府强制采购节能产品制度的通知》（国办发〔</w:t>
      </w:r>
      <w:r>
        <w:rPr>
          <w:rFonts w:cs="宋体" w:asciiTheme="minorEastAsia" w:hAnsiTheme="minorEastAsia"/>
          <w:color w:val="auto"/>
          <w:sz w:val="28"/>
          <w:szCs w:val="28"/>
        </w:rPr>
        <w:t>2007</w:t>
      </w:r>
      <w:r>
        <w:rPr>
          <w:rFonts w:hint="eastAsia" w:cs="宋体" w:asciiTheme="minorEastAsia" w:hAnsiTheme="minorEastAsia"/>
          <w:color w:val="auto"/>
          <w:sz w:val="28"/>
          <w:szCs w:val="28"/>
        </w:rPr>
        <w:t>〕</w:t>
      </w:r>
      <w:r>
        <w:rPr>
          <w:rFonts w:cs="宋体" w:asciiTheme="minorEastAsia" w:hAnsiTheme="minorEastAsia"/>
          <w:color w:val="auto"/>
          <w:sz w:val="28"/>
          <w:szCs w:val="28"/>
        </w:rPr>
        <w:t>51</w:t>
      </w:r>
      <w:r>
        <w:rPr>
          <w:rFonts w:hint="eastAsia" w:cs="宋体" w:asciiTheme="minorEastAsia" w:hAnsiTheme="minorEastAsia"/>
          <w:color w:val="auto"/>
          <w:sz w:val="28"/>
          <w:szCs w:val="28"/>
        </w:rPr>
        <w:t>号）的有关规定，以中国政府采购网（</w:t>
      </w:r>
      <w:r>
        <w:rPr>
          <w:rFonts w:cs="宋体" w:asciiTheme="minorEastAsia" w:hAnsiTheme="minorEastAsia"/>
          <w:color w:val="auto"/>
          <w:sz w:val="28"/>
          <w:szCs w:val="28"/>
        </w:rPr>
        <w:t>http://www.ccgp.gov.cn/</w:t>
      </w:r>
      <w:r>
        <w:rPr>
          <w:rFonts w:hint="eastAsia" w:cs="宋体" w:asciiTheme="minorEastAsia" w:hAnsiTheme="minorEastAsia"/>
          <w:color w:val="auto"/>
          <w:sz w:val="28"/>
          <w:szCs w:val="28"/>
        </w:rPr>
        <w:t>）公布的最新一期节能产品政府采购清单为准。节能清单所列产品包括政府强制采购和优先采购的节能产品，标注“★”的品目为政府强制采购的节能产品，其他品目为政府优先采购的节能产品。</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）环境标志产品根据《财政部、国家环保总局联合印发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关于环境标志产品政府采购实施的意见</w:t>
      </w:r>
      <w:r>
        <w:rPr>
          <w:rFonts w:cs="宋体" w:asciiTheme="minorEastAsia" w:hAnsiTheme="minorEastAsia"/>
          <w:color w:val="auto"/>
          <w:sz w:val="28"/>
          <w:szCs w:val="28"/>
        </w:rPr>
        <w:t>&gt;</w:t>
      </w:r>
      <w:r>
        <w:rPr>
          <w:rFonts w:hint="eastAsia" w:cs="宋体" w:asciiTheme="minorEastAsia" w:hAnsiTheme="minorEastAsia"/>
          <w:color w:val="auto"/>
          <w:sz w:val="28"/>
          <w:szCs w:val="28"/>
        </w:rPr>
        <w:t>》（财库【</w:t>
      </w:r>
      <w:r>
        <w:rPr>
          <w:rFonts w:cs="宋体" w:asciiTheme="minorEastAsia" w:hAnsiTheme="minorEastAsia"/>
          <w:color w:val="auto"/>
          <w:sz w:val="28"/>
          <w:szCs w:val="28"/>
        </w:rPr>
        <w:t>2006</w:t>
      </w:r>
      <w:r>
        <w:rPr>
          <w:rFonts w:hint="eastAsia" w:cs="宋体" w:asciiTheme="minorEastAsia" w:hAnsiTheme="minorEastAsia"/>
          <w:color w:val="auto"/>
          <w:sz w:val="28"/>
          <w:szCs w:val="28"/>
        </w:rPr>
        <w:t>】</w:t>
      </w:r>
      <w:r>
        <w:rPr>
          <w:rFonts w:cs="宋体" w:asciiTheme="minorEastAsia" w:hAnsiTheme="minorEastAsia"/>
          <w:color w:val="auto"/>
          <w:sz w:val="28"/>
          <w:szCs w:val="28"/>
        </w:rPr>
        <w:t>90</w:t>
      </w:r>
      <w:r>
        <w:rPr>
          <w:rFonts w:hint="eastAsia" w:cs="宋体" w:asciiTheme="minorEastAsia" w:hAnsiTheme="minorEastAsia"/>
          <w:color w:val="auto"/>
          <w:sz w:val="28"/>
          <w:szCs w:val="28"/>
        </w:rPr>
        <w:t>号）的规定，以中国政府采购网（</w:t>
      </w:r>
      <w:r>
        <w:rPr>
          <w:rFonts w:cs="宋体" w:asciiTheme="minorEastAsia" w:hAnsiTheme="minorEastAsia"/>
          <w:color w:val="auto"/>
          <w:sz w:val="28"/>
          <w:szCs w:val="28"/>
        </w:rPr>
        <w:t>http://www.ccgp.gov.cn/</w:t>
      </w:r>
      <w:r>
        <w:rPr>
          <w:rFonts w:hint="eastAsia" w:cs="宋体" w:asciiTheme="minorEastAsia" w:hAnsiTheme="minorEastAsia"/>
          <w:color w:val="auto"/>
          <w:sz w:val="28"/>
          <w:szCs w:val="28"/>
        </w:rPr>
        <w:t>）公布的最新一期环境标志产品政府采购清单为准。环保清单所列产品为政府优先采购产品。</w:t>
      </w:r>
    </w:p>
    <w:p>
      <w:pPr>
        <w:pStyle w:val="7"/>
        <w:ind w:left="0" w:leftChars="0" w:firstLine="0" w:firstLineChars="0"/>
        <w:jc w:val="left"/>
        <w:rPr>
          <w:rFonts w:asciiTheme="minorEastAsia" w:hAnsiTheme="minorEastAsia"/>
          <w:color w:val="0000FF"/>
        </w:rPr>
      </w:pPr>
    </w:p>
    <w:p>
      <w:pPr>
        <w:pStyle w:val="7"/>
        <w:ind w:left="0" w:leftChars="0" w:firstLine="0" w:firstLineChars="0"/>
        <w:jc w:val="left"/>
        <w:rPr>
          <w:rFonts w:asciiTheme="minorEastAsia" w:hAnsiTheme="minorEastAsia"/>
          <w:color w:val="0000FF"/>
        </w:rPr>
      </w:pPr>
      <w:r>
        <w:rPr>
          <w:rFonts w:hint="eastAsia" w:cs="宋体" w:asciiTheme="minorEastAsia" w:hAnsiTheme="minorEastAsia" w:eastAsiaTheme="minorEastAsia"/>
          <w:b/>
          <w:bCs/>
          <w:color w:val="auto"/>
          <w:kern w:val="1"/>
          <w:sz w:val="28"/>
          <w:szCs w:val="28"/>
          <w:lang w:val="en-US" w:eastAsia="zh-CN" w:bidi="ar-SA"/>
        </w:rPr>
        <w:t>本项目专门面向中小企业采购，</w:t>
      </w:r>
      <w:r>
        <w:rPr>
          <w:rFonts w:hint="eastAsia" w:cs="宋体" w:asciiTheme="minorEastAsia" w:hAnsiTheme="minorEastAsia"/>
          <w:b/>
          <w:bCs/>
          <w:color w:val="auto"/>
          <w:kern w:val="1"/>
          <w:sz w:val="28"/>
          <w:szCs w:val="28"/>
          <w:lang w:val="en-US" w:eastAsia="zh-CN" w:bidi="ar-SA"/>
        </w:rPr>
        <w:t>不享受中小企业价格优惠政策。</w:t>
      </w:r>
    </w:p>
    <w:p>
      <w:pPr>
        <w:pStyle w:val="7"/>
        <w:ind w:left="0" w:leftChars="0" w:firstLine="0" w:firstLineChars="0"/>
        <w:jc w:val="left"/>
        <w:rPr>
          <w:rFonts w:asciiTheme="minorEastAsia" w:hAnsiTheme="minorEastAsia"/>
          <w:color w:val="0000FF"/>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2-6、评分标准</w:t>
      </w:r>
    </w:p>
    <w:tbl>
      <w:tblPr>
        <w:tblStyle w:val="23"/>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25"/>
        <w:gridCol w:w="783"/>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1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25"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783"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标准分</w:t>
            </w:r>
          </w:p>
        </w:tc>
        <w:tc>
          <w:tcPr>
            <w:tcW w:w="7192"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1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25"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p>
        </w:tc>
        <w:tc>
          <w:tcPr>
            <w:tcW w:w="783"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7192" w:type="dxa"/>
            <w:noWrap w:val="0"/>
            <w:vAlign w:val="top"/>
          </w:tcPr>
          <w:p>
            <w:pPr>
              <w:adjustRightInd w:val="0"/>
              <w:snapToGrid w:val="0"/>
              <w:spacing w:line="420" w:lineRule="exact"/>
              <w:rPr>
                <w:rFonts w:hint="eastAsia" w:ascii="宋体" w:hAnsi="宋体" w:cs="FangSong_GB2312"/>
                <w:color w:val="000000" w:themeColor="text1"/>
                <w:sz w:val="24"/>
                <w:szCs w:val="24"/>
                <w:highlight w:val="none"/>
                <w:lang w:val="zh-CN"/>
                <w14:textFill>
                  <w14:solidFill>
                    <w14:schemeClr w14:val="tx1"/>
                  </w14:solidFill>
                </w14:textFill>
              </w:rPr>
            </w:pPr>
            <w:r>
              <w:rPr>
                <w:rFonts w:hint="eastAsia" w:ascii="宋体" w:hAnsi="宋体" w:cs="FangSong_GB2312"/>
                <w:color w:val="000000" w:themeColor="text1"/>
                <w:sz w:val="24"/>
                <w:szCs w:val="24"/>
                <w:highlight w:val="none"/>
                <w:lang w:val="zh-CN"/>
                <w14:textFill>
                  <w14:solidFill>
                    <w14:schemeClr w14:val="tx1"/>
                  </w14:solidFill>
                </w14:textFill>
              </w:rPr>
              <w:t>价格分采用低价优先法计算，即满足招标文件要求且投标价格最低的投标报价为评标基准价，其价格分为满分。其他投标人的价格分统一按照下列公式计算：</w:t>
            </w:r>
          </w:p>
          <w:p>
            <w:pPr>
              <w:widowControl/>
              <w:spacing w:line="500" w:lineRule="exact"/>
              <w:jc w:val="left"/>
              <w:rPr>
                <w:rFonts w:hint="eastAsia" w:ascii="宋体" w:hAnsi="宋体" w:eastAsia="宋体" w:cs="宋体"/>
                <w:sz w:val="24"/>
                <w:szCs w:val="24"/>
              </w:rPr>
            </w:pPr>
            <w:r>
              <w:rPr>
                <w:rFonts w:hint="eastAsia" w:ascii="宋体" w:hAnsi="宋体" w:cs="FangSong_GB2312"/>
                <w:color w:val="000000" w:themeColor="text1"/>
                <w:sz w:val="24"/>
                <w:szCs w:val="24"/>
                <w:highlight w:val="none"/>
                <w:lang w:val="zh-CN"/>
                <w14:textFill>
                  <w14:solidFill>
                    <w14:schemeClr w14:val="tx1"/>
                  </w14:solidFill>
                </w14:textFill>
              </w:rPr>
              <w:t>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710"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825"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w:t>
            </w:r>
          </w:p>
        </w:tc>
        <w:tc>
          <w:tcPr>
            <w:tcW w:w="783"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分</w:t>
            </w:r>
          </w:p>
        </w:tc>
        <w:tc>
          <w:tcPr>
            <w:tcW w:w="7192" w:type="dxa"/>
            <w:noWrap w:val="0"/>
            <w:vAlign w:val="top"/>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1.项目实施方案</w:t>
            </w:r>
          </w:p>
          <w:p>
            <w:pPr>
              <w:spacing w:line="360" w:lineRule="auto"/>
              <w:rPr>
                <w:rFonts w:hint="eastAsia" w:ascii="宋体" w:hAnsi="宋体" w:eastAsia="宋体" w:cs="宋体"/>
                <w:sz w:val="24"/>
                <w:szCs w:val="24"/>
              </w:rPr>
            </w:pPr>
            <w:r>
              <w:rPr>
                <w:rFonts w:hint="eastAsia" w:ascii="宋体" w:hAnsi="宋体" w:eastAsia="宋体" w:cs="宋体"/>
                <w:sz w:val="24"/>
                <w:szCs w:val="24"/>
              </w:rPr>
              <w:t>结合项目特点及实际需求，制定合理、科学、可行的服务方案，对方案实施的各项工作内容进行详细阐述。所编制的服务方案内容完整、全面、详细可行且科学、合理，对本项目实施意义的理解深刻，得10-15分；所编制的服务方案内容基本完整，描述不够详细、较薄弱，得</w:t>
            </w:r>
            <w:r>
              <w:rPr>
                <w:rFonts w:hint="eastAsia" w:ascii="宋体" w:hAnsi="宋体" w:eastAsia="宋体" w:cs="宋体"/>
                <w:sz w:val="24"/>
                <w:szCs w:val="24"/>
                <w:lang w:val="en-US" w:eastAsia="zh-CN"/>
              </w:rPr>
              <w:t>5</w:t>
            </w:r>
            <w:r>
              <w:rPr>
                <w:rFonts w:hint="eastAsia" w:ascii="宋体" w:hAnsi="宋体" w:eastAsia="宋体" w:cs="宋体"/>
                <w:sz w:val="24"/>
                <w:szCs w:val="24"/>
              </w:rPr>
              <w:t>-10分；所编制的服务方案内容有严重欠缺、薄弱，得</w:t>
            </w:r>
            <w:r>
              <w:rPr>
                <w:rFonts w:hint="eastAsia" w:ascii="宋体" w:hAnsi="宋体" w:eastAsia="宋体" w:cs="宋体"/>
                <w:sz w:val="24"/>
                <w:szCs w:val="24"/>
                <w:lang w:val="en-US" w:eastAsia="zh-CN"/>
              </w:rPr>
              <w:t>0</w:t>
            </w:r>
            <w:r>
              <w:rPr>
                <w:rFonts w:hint="eastAsia" w:ascii="宋体" w:hAnsi="宋体" w:eastAsia="宋体" w:cs="宋体"/>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widowControl/>
              <w:spacing w:line="360" w:lineRule="auto"/>
              <w:jc w:val="center"/>
              <w:rPr>
                <w:rFonts w:hint="eastAsia" w:ascii="宋体" w:hAnsi="宋体" w:eastAsia="宋体" w:cs="宋体"/>
                <w:sz w:val="24"/>
                <w:szCs w:val="24"/>
              </w:rPr>
            </w:pPr>
          </w:p>
        </w:tc>
        <w:tc>
          <w:tcPr>
            <w:tcW w:w="783" w:type="dxa"/>
            <w:vMerge w:val="continue"/>
            <w:noWrap w:val="0"/>
            <w:vAlign w:val="center"/>
          </w:tcPr>
          <w:p>
            <w:pPr>
              <w:widowControl/>
              <w:spacing w:line="360" w:lineRule="auto"/>
              <w:jc w:val="center"/>
              <w:rPr>
                <w:rFonts w:hint="eastAsia" w:ascii="宋体" w:hAnsi="宋体" w:eastAsia="宋体" w:cs="宋体"/>
                <w:sz w:val="24"/>
                <w:szCs w:val="24"/>
                <w:lang w:val="en-US" w:eastAsia="zh-CN"/>
              </w:rPr>
            </w:pPr>
          </w:p>
        </w:tc>
        <w:tc>
          <w:tcPr>
            <w:tcW w:w="7192" w:type="dxa"/>
            <w:noWrap w:val="0"/>
            <w:vAlign w:val="top"/>
          </w:tcPr>
          <w:p>
            <w:pPr>
              <w:numPr>
                <w:ilvl w:val="0"/>
                <w:numId w:val="0"/>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质量保证措施</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针对项目建立的质量管理和保证措施严密，应急解决方案详细，得1</w:t>
            </w:r>
            <w:r>
              <w:rPr>
                <w:rFonts w:hint="eastAsia" w:ascii="宋体" w:hAnsi="宋体" w:eastAsia="宋体" w:cs="宋体"/>
                <w:sz w:val="24"/>
                <w:szCs w:val="24"/>
                <w:lang w:val="en-US" w:eastAsia="zh-CN"/>
              </w:rPr>
              <w:t>0</w:t>
            </w:r>
            <w:r>
              <w:rPr>
                <w:rFonts w:hint="eastAsia" w:ascii="宋体" w:hAnsi="宋体" w:eastAsia="宋体" w:cs="宋体"/>
                <w:sz w:val="24"/>
                <w:szCs w:val="24"/>
              </w:rPr>
              <w:t>-15分；针对项目建立了可操作的质量管理和保证措施，应急解决方案一般，得</w:t>
            </w:r>
            <w:r>
              <w:rPr>
                <w:rFonts w:hint="eastAsia" w:ascii="宋体" w:hAnsi="宋体" w:eastAsia="宋体" w:cs="宋体"/>
                <w:sz w:val="24"/>
                <w:szCs w:val="24"/>
                <w:lang w:val="en-US" w:eastAsia="zh-CN"/>
              </w:rPr>
              <w:t>5</w:t>
            </w:r>
            <w:r>
              <w:rPr>
                <w:rFonts w:hint="eastAsia" w:ascii="宋体" w:hAnsi="宋体" w:eastAsia="宋体" w:cs="宋体"/>
                <w:sz w:val="24"/>
                <w:szCs w:val="24"/>
              </w:rPr>
              <w:t>-10分；针对项目建立了基本可行的质量管理和保证措施，存在一些不足，得</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widowControl/>
              <w:spacing w:line="360" w:lineRule="auto"/>
              <w:jc w:val="center"/>
              <w:rPr>
                <w:rFonts w:hint="eastAsia" w:ascii="宋体" w:hAnsi="宋体" w:eastAsia="宋体" w:cs="宋体"/>
                <w:sz w:val="24"/>
                <w:szCs w:val="24"/>
              </w:rPr>
            </w:pPr>
          </w:p>
        </w:tc>
        <w:tc>
          <w:tcPr>
            <w:tcW w:w="783" w:type="dxa"/>
            <w:vMerge w:val="continue"/>
            <w:noWrap w:val="0"/>
            <w:vAlign w:val="center"/>
          </w:tcPr>
          <w:p>
            <w:pPr>
              <w:widowControl/>
              <w:spacing w:line="360" w:lineRule="auto"/>
              <w:jc w:val="center"/>
              <w:rPr>
                <w:rFonts w:hint="eastAsia" w:ascii="宋体" w:hAnsi="宋体" w:eastAsia="宋体" w:cs="宋体"/>
                <w:sz w:val="24"/>
                <w:szCs w:val="24"/>
                <w:lang w:val="en-US" w:eastAsia="zh-CN"/>
              </w:rPr>
            </w:pPr>
          </w:p>
        </w:tc>
        <w:tc>
          <w:tcPr>
            <w:tcW w:w="7192" w:type="dxa"/>
            <w:noWrap w:val="0"/>
            <w:vAlign w:val="top"/>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3.进度计划及保证措施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有详细、完整的编制进度计划，编制进度计划详细、完整、合理、高效的得</w:t>
            </w:r>
            <w:r>
              <w:rPr>
                <w:rFonts w:hint="eastAsia" w:ascii="宋体" w:hAnsi="宋体" w:eastAsia="宋体" w:cs="宋体"/>
                <w:sz w:val="24"/>
                <w:szCs w:val="24"/>
                <w:lang w:val="en-US" w:eastAsia="zh-CN"/>
              </w:rPr>
              <w:t>10</w:t>
            </w:r>
            <w:r>
              <w:rPr>
                <w:rFonts w:hint="eastAsia" w:ascii="宋体" w:hAnsi="宋体" w:eastAsia="宋体" w:cs="宋体"/>
                <w:sz w:val="24"/>
                <w:szCs w:val="24"/>
              </w:rPr>
              <w:t>-15分；编制进度计划较详细、完整、合理的得</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分；进度计划不详细、完整、合理的得</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restart"/>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w:t>
            </w:r>
          </w:p>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w:t>
            </w:r>
          </w:p>
        </w:tc>
        <w:tc>
          <w:tcPr>
            <w:tcW w:w="783" w:type="dxa"/>
            <w:vMerge w:val="restart"/>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20分</w:t>
            </w:r>
          </w:p>
        </w:tc>
        <w:tc>
          <w:tcPr>
            <w:tcW w:w="7192" w:type="dxa"/>
            <w:noWrap w:val="0"/>
            <w:vAlign w:val="top"/>
          </w:tcPr>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1、项目负责人具备测绘类中级及以上工程师证书的得6分，没有不得分。</w:t>
            </w:r>
          </w:p>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2、项目技术负责人具有测绘类中级及以上工程师证书的得4分，没有不得分。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p>
        </w:tc>
        <w:tc>
          <w:tcPr>
            <w:tcW w:w="783" w:type="dxa"/>
            <w:vMerge w:val="continue"/>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p>
        </w:tc>
        <w:tc>
          <w:tcPr>
            <w:tcW w:w="7192" w:type="dxa"/>
            <w:noWrap w:val="0"/>
            <w:vAlign w:val="top"/>
          </w:tcPr>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项目团队人员综合实力强，组织架构完善、业务水平高、服务效率高，对比为优的得7-10分；</w:t>
            </w:r>
          </w:p>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项目团队人员综合实力较强，组织架构较为完整、业务水平较高、服务效率较高，对比为良的得3-7分；</w:t>
            </w:r>
          </w:p>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项目团队人员综合实力一般，组织架构不完整、业务水平较低、服务效率较为一般，对比为一般的得0-3分。（没有本项内容不得分）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10" w:type="dxa"/>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25"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w:t>
            </w:r>
          </w:p>
        </w:tc>
        <w:tc>
          <w:tcPr>
            <w:tcW w:w="783"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c>
          <w:tcPr>
            <w:tcW w:w="7192" w:type="dxa"/>
            <w:noWrap w:val="0"/>
            <w:vAlign w:val="top"/>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拟派项目负责人或企业近三年（2019年8月至今）类似业绩（合同复印件加盖公章），1个得2分，每增加1个加2分，满分8分。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10" w:type="dxa"/>
            <w:noWrap w:val="0"/>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25" w:type="dxa"/>
            <w:noWrap w:val="0"/>
            <w:vAlign w:val="center"/>
          </w:tcPr>
          <w:p>
            <w:pPr>
              <w:autoSpaceDE w:val="0"/>
              <w:autoSpaceDN w:val="0"/>
              <w:adjustRightInd w:val="0"/>
              <w:spacing w:line="40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保密措施</w:t>
            </w:r>
          </w:p>
        </w:tc>
        <w:tc>
          <w:tcPr>
            <w:tcW w:w="783" w:type="dxa"/>
            <w:noWrap w:val="0"/>
            <w:vAlign w:val="center"/>
          </w:tcPr>
          <w:p>
            <w:pPr>
              <w:autoSpaceDE w:val="0"/>
              <w:autoSpaceDN w:val="0"/>
              <w:adjustRightInd w:val="0"/>
              <w:spacing w:line="40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7192" w:type="dxa"/>
            <w:noWrap w:val="0"/>
            <w:vAlign w:val="top"/>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档案管理方案：</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提供完善的档案管理制度、数据安全保密措施，根据响应情况，得0-7分。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10" w:type="dxa"/>
            <w:noWrap w:val="0"/>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25" w:type="dxa"/>
            <w:noWrap w:val="0"/>
            <w:vAlign w:val="center"/>
          </w:tcPr>
          <w:p>
            <w:pPr>
              <w:autoSpaceDE w:val="0"/>
              <w:autoSpaceDN w:val="0"/>
              <w:adjustRightInd w:val="0"/>
              <w:spacing w:line="40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w:t>
            </w:r>
          </w:p>
        </w:tc>
        <w:tc>
          <w:tcPr>
            <w:tcW w:w="783"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192" w:type="dxa"/>
            <w:noWrap w:val="0"/>
            <w:vAlign w:val="center"/>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针对项目提出的服务承诺安排科学，服务周全得6-10分；</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针对项目提出的服务承诺安排及服务一般得3-6分；</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针对项目提出的服务承诺安排及服务较差的0-3分。</w:t>
            </w:r>
          </w:p>
        </w:tc>
      </w:tr>
    </w:tbl>
    <w:p>
      <w:pPr>
        <w:widowControl/>
        <w:spacing w:line="500" w:lineRule="exact"/>
        <w:rPr>
          <w:rFonts w:cs="宋体" w:asciiTheme="minorEastAsia" w:hAnsiTheme="minorEastAsia"/>
          <w:sz w:val="28"/>
          <w:szCs w:val="28"/>
        </w:rPr>
      </w:pPr>
      <w:r>
        <w:rPr>
          <w:rFonts w:hint="eastAsia" w:cs="宋体" w:asciiTheme="minorEastAsia" w:hAnsiTheme="minorEastAsia"/>
          <w:sz w:val="28"/>
          <w:szCs w:val="28"/>
        </w:rPr>
        <w:t>注：1）评委打分超过得分界限或未按本方法赋分时，该评委的打分按废票处理。</w:t>
      </w:r>
    </w:p>
    <w:p>
      <w:pPr>
        <w:widowControl/>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2）各种计算数字均保留两位小数，第三位“四舍五入”。</w:t>
      </w:r>
    </w:p>
    <w:p>
      <w:pPr>
        <w:spacing w:line="500" w:lineRule="exact"/>
        <w:ind w:firstLine="562"/>
        <w:rPr>
          <w:rFonts w:cs="宋体" w:asciiTheme="minorEastAsia" w:hAnsiTheme="minorEastAsia"/>
          <w:b/>
          <w:bCs/>
          <w:sz w:val="28"/>
          <w:szCs w:val="28"/>
        </w:rPr>
      </w:pPr>
      <w:r>
        <w:rPr>
          <w:rFonts w:hint="eastAsia" w:cs="宋体" w:asciiTheme="minorEastAsia" w:hAnsiTheme="minorEastAsia"/>
          <w:b/>
          <w:bCs/>
          <w:sz w:val="28"/>
          <w:szCs w:val="28"/>
        </w:rPr>
        <w:t>3）特殊情况处理：</w:t>
      </w:r>
    </w:p>
    <w:p>
      <w:pPr>
        <w:spacing w:line="5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a、当供应商某评分项出现未报、漏报或零报价时，该分项得零分，并不参与磋商报价分的计算。</w:t>
      </w:r>
    </w:p>
    <w:p>
      <w:pPr>
        <w:spacing w:line="5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b、若出现综合得分相同时，磋商报价得分高者为第一成交候选人，若磋商报价得分相同，技术得分高者为第一成交候选人，若上述两项得分相同，则由全体磋商小组成员无记名投票，得票高者为第一成交候选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c、评标过程中，若出现本评标方法以外的特殊情况时，将暂停评标，待评委商榷后再进行复会。</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3、定标</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3-1、定标程序</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评审委员会依据评审办法，经过评审、澄清、磋商报价、评价等程序后，在最大限度满足磋商文件实质性要求前提下进行综合评审，以评标总得分由高到低的顺序推荐3名以上成交候选供应商，并编写评审报告。</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w:t>
      </w:r>
      <w:bookmarkStart w:id="19" w:name="OLE_LINK12"/>
      <w:bookmarkEnd w:id="19"/>
      <w:r>
        <w:rPr>
          <w:rFonts w:hint="eastAsia" w:cs="宋体" w:asciiTheme="minorEastAsia" w:hAnsiTheme="minorEastAsia"/>
          <w:sz w:val="28"/>
          <w:szCs w:val="28"/>
        </w:rPr>
        <w:t>评审委员会成员应当在评审报告上签字，对自己的评审意见承担法律责任。评审委员会成员对评审报告有异议的，评审委员会按照少数服从多数的原则推荐成交候选人。对评审报告有异议的，应当在评审报告上签署不同意见，并说明理由，否则视为同意评审报告。</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供应商且不提出异议的，视为确定评审报告推荐的评审得分最高的供应商为成交供应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（4）采购代理机构接到采购人的《定标复函》后，在2个工作日内，将成交结果在陕西省政府采购网上发布公告。公告发布1个工作日，其他供应商若有异议，按《政府采购法》第52条执行。</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3-2、成交供应商确定后，采购人和采购代理机构对未成交原因不作任何解释，竞争性磋商响应文件不予退还。</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4、成交通知书</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4-1、成交通知书将在成交公告发布的同时由采购代理机构发出。</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4-3、成交通知书发出后，采购人不得违法改变成交结果，成交供应商无正当理由不得弃成交。</w:t>
      </w:r>
    </w:p>
    <w:p>
      <w:pPr>
        <w:spacing w:line="500" w:lineRule="exact"/>
        <w:ind w:firstLine="562"/>
        <w:rPr>
          <w:rFonts w:cs="宋体" w:asciiTheme="minorEastAsia" w:hAnsiTheme="minorEastAsia"/>
          <w:sz w:val="28"/>
          <w:szCs w:val="28"/>
        </w:rPr>
      </w:pPr>
      <w:r>
        <w:rPr>
          <w:rFonts w:hint="eastAsia" w:cs="宋体" w:asciiTheme="minorEastAsia" w:hAnsiTheme="minorEastAsia"/>
          <w:b/>
          <w:sz w:val="28"/>
          <w:szCs w:val="28"/>
        </w:rPr>
        <w:t>八、合同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1、成交供应商在收到成交通知书后三十（30）个日历日内，应按竞争性磋商文件的要求与采购人签订合同。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成交供应商因自身原因不按规定或拒绝与采购人签订合同的，则采购人将废除授标，磋商保证金不予退还。给采购人造成损失超过磋商保证金额的，还应当对超过部分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磋商活动。</w:t>
      </w:r>
    </w:p>
    <w:p>
      <w:pPr>
        <w:spacing w:line="500" w:lineRule="exact"/>
        <w:ind w:firstLine="560"/>
        <w:rPr>
          <w:rFonts w:cs="宋体" w:asciiTheme="minorEastAsia" w:hAnsiTheme="minorEastAsia"/>
          <w:b/>
          <w:sz w:val="28"/>
          <w:szCs w:val="28"/>
        </w:rPr>
      </w:pPr>
      <w:r>
        <w:rPr>
          <w:rFonts w:hint="eastAsia" w:cs="宋体" w:asciiTheme="minorEastAsia" w:hAnsiTheme="minorEastAsia"/>
          <w:sz w:val="28"/>
          <w:szCs w:val="28"/>
        </w:rPr>
        <w:t>3、成交通知书将是合同的重要组成部分。竞争性磋商文件、成交供应商的竞争性磋商响应文件及评议过程中有关的澄清文件均作为合同附件。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政府采购促进中小企业发展暂行办法》（财库[2011]181号）规定的政策获取政府采购合同后，小型、微型企业不得分包或转包给大型、中型企业，中型企业不得分包或转包给大型企业。</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5、所签订的合同不得对磋商文件确定的事项和成交供应商磋商响应文件作实质性修改。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6、采购人需追加与合同标的相同的货物、项目或服务的，在不改变合同其他条款的前提下，可以与供应商协商签订补充合同，但所有补充合同的采购金额不得超过原合同采购金额的百分之十。</w:t>
      </w:r>
    </w:p>
    <w:p>
      <w:pPr>
        <w:spacing w:line="500" w:lineRule="exact"/>
        <w:ind w:firstLine="562"/>
        <w:jc w:val="left"/>
        <w:rPr>
          <w:rFonts w:cs="宋体" w:asciiTheme="minorEastAsia" w:hAnsiTheme="minorEastAsia"/>
          <w:b/>
          <w:sz w:val="28"/>
          <w:szCs w:val="28"/>
        </w:rPr>
      </w:pPr>
      <w:r>
        <w:rPr>
          <w:rFonts w:hint="eastAsia" w:cs="宋体" w:asciiTheme="minorEastAsia" w:hAnsiTheme="minorEastAsia"/>
          <w:b/>
          <w:sz w:val="28"/>
          <w:szCs w:val="28"/>
        </w:rPr>
        <w:t>九、合同的履约验收</w:t>
      </w:r>
    </w:p>
    <w:p>
      <w:pPr>
        <w:spacing w:line="500" w:lineRule="exact"/>
        <w:ind w:firstLine="560"/>
        <w:jc w:val="left"/>
        <w:rPr>
          <w:rFonts w:cs="宋体" w:asciiTheme="minorEastAsia" w:hAnsiTheme="minorEastAsia"/>
          <w:sz w:val="28"/>
          <w:szCs w:val="28"/>
        </w:rPr>
      </w:pPr>
      <w:r>
        <w:rPr>
          <w:rFonts w:hint="eastAsia" w:cs="宋体" w:asciiTheme="minorEastAsia" w:hAnsiTheme="minorEastAsia"/>
          <w:sz w:val="28"/>
          <w:szCs w:val="28"/>
        </w:rPr>
        <w:t>采购人应按照政府采购合同约定的技术、服务、安全标准组织对供应商每一项技术、服务、安全标准的履约情况进行验收，并出具验收书。</w:t>
      </w:r>
    </w:p>
    <w:p>
      <w:pPr>
        <w:spacing w:line="500" w:lineRule="exact"/>
        <w:ind w:firstLine="562"/>
        <w:jc w:val="left"/>
        <w:rPr>
          <w:rFonts w:cs="宋体" w:asciiTheme="minorEastAsia" w:hAnsiTheme="minorEastAsia"/>
          <w:sz w:val="28"/>
          <w:szCs w:val="28"/>
        </w:rPr>
      </w:pPr>
      <w:r>
        <w:rPr>
          <w:rFonts w:hint="eastAsia" w:cs="宋体" w:asciiTheme="minorEastAsia" w:hAnsiTheme="minorEastAsia"/>
          <w:b/>
          <w:sz w:val="28"/>
          <w:szCs w:val="28"/>
        </w:rPr>
        <w:t>十、招标服务费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经与采购单位协商，参照国家计委颁发的《招标代理服务收费管理暂行办法》(计价格〔2002〕1980号)、国家发展改革委员会办公厅颁发的《关于招标代理服务费收费有关问题的通知》及《调整后的招标代理服务收费标准》(发改价格〔2011〕〕534号)规定，代理服务费由成交单位领取成交通知书前，向</w:t>
      </w:r>
      <w:r>
        <w:rPr>
          <w:rFonts w:hint="eastAsia" w:cs="宋体" w:asciiTheme="minorEastAsia" w:hAnsiTheme="minorEastAsia"/>
          <w:sz w:val="28"/>
          <w:szCs w:val="28"/>
          <w:lang w:eastAsia="zh-CN"/>
        </w:rPr>
        <w:t>陕西恒瑞项目管理有限公司</w:t>
      </w:r>
      <w:r>
        <w:rPr>
          <w:rFonts w:hint="eastAsia" w:cs="宋体" w:asciiTheme="minorEastAsia" w:hAnsiTheme="minorEastAsia"/>
          <w:sz w:val="28"/>
          <w:szCs w:val="28"/>
        </w:rPr>
        <w:t>支付。</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 xml:space="preserve"> 2、成交服务费应按竞争性磋商文件要求的方式缴纳，不得用磋商保证金冲抵。</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3、成交供应商如未按上述第1条规定办理，采购代理机构将没收其磋商保证金。提供磋商担保的供应商将由专业担保机构先行偿付采购代理机构损失。</w:t>
      </w:r>
    </w:p>
    <w:p>
      <w:pPr>
        <w:spacing w:line="500" w:lineRule="exact"/>
        <w:ind w:firstLine="562"/>
        <w:jc w:val="left"/>
        <w:rPr>
          <w:rFonts w:cs="宋体" w:asciiTheme="minorEastAsia" w:hAnsiTheme="minorEastAsia"/>
          <w:b/>
          <w:sz w:val="28"/>
          <w:szCs w:val="28"/>
        </w:rPr>
      </w:pPr>
      <w:r>
        <w:rPr>
          <w:rFonts w:hint="eastAsia" w:cs="宋体" w:asciiTheme="minorEastAsia" w:hAnsiTheme="minorEastAsia"/>
          <w:b/>
          <w:sz w:val="28"/>
          <w:szCs w:val="28"/>
        </w:rPr>
        <w:t>十一、废标、重新组织采购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如果发生下列情况之一的，采购人或采购代理机构将按《政府采购竞争性磋商采购方式管理暂行办法》等有关规定重新组织采购：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（1）因情况变化，不再符合规定的竞争性磋商采购方式适用情形的；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（2）出现影响采购公正的违法、违规行为的；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（3）磋商小组三分之二以上的专家认定所有磋商报价存在价格不实的现象；</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（4）提交最后报价的供应商不足三家的（财政部关于政府采购竞争性磋商采购方式管理暂行办法有关问题的补充通知（财库〔2015〕124号）规定的情形除外）；</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（5）除《政府采购竞争性磋商采购方式管理暂行办法》第二十一条第三款规定的情形外，在采购过程中符合要求的供应商或者报价未超过</w:t>
      </w:r>
      <w:r>
        <w:rPr>
          <w:rFonts w:hint="eastAsia" w:cs="宋体" w:asciiTheme="minorEastAsia" w:hAnsiTheme="minorEastAsia"/>
          <w:sz w:val="28"/>
          <w:szCs w:val="28"/>
          <w:lang w:val="en-US" w:eastAsia="zh-CN"/>
        </w:rPr>
        <w:t>采购预算</w:t>
      </w:r>
      <w:r>
        <w:rPr>
          <w:rFonts w:hint="eastAsia" w:cs="宋体" w:asciiTheme="minorEastAsia" w:hAnsiTheme="minorEastAsia"/>
          <w:sz w:val="28"/>
          <w:szCs w:val="28"/>
        </w:rPr>
        <w:t>的供应商不足三家的。</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十二、询问、质疑与投诉</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1、询问</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供应商对政府采购活动事项有疑问的，可以向采购人、采购代理机构提出询问。</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2、质疑</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2-1、供应商认为竞争性磋商文件、磋商过程和成交结果使自己的权益受到损害的，可以向采购人、采购代理机构提出质疑，具体时限为：</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（一）对可以质疑的采购文件提出质疑的，为收到采购文件之日起七个工作日内；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（二）对采购过程提出质疑的，为各采购程序环节结束之日起七个工作日内；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（三）对成交结果提出质疑的，为成交结果公告期限届满之日起七个工作日内。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2-2、质疑须提供法定代表人授权书、质疑函、相关证明材料。</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3、投诉</w:t>
      </w:r>
    </w:p>
    <w:p>
      <w:pPr>
        <w:spacing w:line="500" w:lineRule="exact"/>
        <w:ind w:firstLine="560"/>
        <w:rPr>
          <w:rFonts w:cs="宋体" w:asciiTheme="minorEastAsia" w:hAnsiTheme="minorEastAsia"/>
          <w:sz w:val="28"/>
          <w:szCs w:val="28"/>
        </w:rPr>
      </w:pPr>
      <w:r>
        <w:rPr>
          <w:rFonts w:hint="eastAsia" w:cs="宋体" w:asciiTheme="minorEastAsia" w:hAnsiTheme="minorEastAsia"/>
          <w:bCs/>
          <w:sz w:val="28"/>
          <w:szCs w:val="28"/>
        </w:rPr>
        <w:t>质疑供应商对采购人、采购代理机构的答复不满意或者采购人、采购代理机构未在规定的时间内作出答复的，可按《政府采购法》第55条等有关规定执行。</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十三、拒绝商业贿赂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遵照陕西省财政厅的规定，采购人、采购代理机构、供应商和评审专家在磋商活动中，都要签订相应的《拒绝政府采购领域商业贿赂承诺书》，并对违反承诺的行为承担全部责任。</w:t>
      </w:r>
      <w:bookmarkStart w:id="20" w:name="_Toc327_WPSOffice_Level1"/>
      <w:bookmarkEnd w:id="20"/>
      <w:bookmarkStart w:id="21" w:name="_Toc28112_WPSOffice_Level1"/>
      <w:bookmarkEnd w:id="21"/>
      <w:bookmarkStart w:id="22" w:name="_Toc459647658"/>
      <w:bookmarkEnd w:id="22"/>
      <w:bookmarkStart w:id="23" w:name="_Toc19571_WPSOffice_Level1"/>
      <w:bookmarkEnd w:id="23"/>
    </w:p>
    <w:p>
      <w:pPr>
        <w:widowControl/>
        <w:jc w:val="left"/>
        <w:rPr>
          <w:rFonts w:cs="宋体" w:asciiTheme="minorEastAsia" w:hAnsiTheme="minorEastAsia"/>
          <w:sz w:val="28"/>
          <w:szCs w:val="28"/>
        </w:rPr>
      </w:pPr>
    </w:p>
    <w:p>
      <w:pPr>
        <w:rPr>
          <w:rFonts w:cs="宋体" w:asciiTheme="minorEastAsia" w:hAnsiTheme="minorEastAsia"/>
        </w:rPr>
        <w:sectPr>
          <w:footerReference r:id="rId13" w:type="first"/>
          <w:footerReference r:id="rId12" w:type="default"/>
          <w:endnotePr>
            <w:numFmt w:val="decimal"/>
          </w:endnotePr>
          <w:pgSz w:w="11907" w:h="16840"/>
          <w:pgMar w:top="1418" w:right="1287" w:bottom="936" w:left="1259" w:header="907" w:footer="654" w:gutter="0"/>
          <w:pgNumType w:fmt="decimal"/>
          <w:cols w:space="720" w:num="1"/>
          <w:titlePg/>
        </w:sectPr>
      </w:pPr>
    </w:p>
    <w:p>
      <w:pPr>
        <w:pStyle w:val="3"/>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新宋体" w:hAnsi="新宋体" w:eastAsia="新宋体" w:cs="新宋体"/>
          <w:color w:val="auto"/>
          <w:sz w:val="28"/>
          <w:szCs w:val="28"/>
          <w:highlight w:val="none"/>
          <w:lang w:val="en-US" w:eastAsia="zh-CN"/>
        </w:rPr>
      </w:pPr>
      <w:r>
        <w:rPr>
          <w:rFonts w:hint="eastAsia" w:asciiTheme="minorEastAsia" w:hAnsiTheme="minorEastAsia"/>
        </w:rPr>
        <w:t>第三部分  采购内容及技术要求</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需求：按照国家统一标准，在2020年度变更调查成果基础上，以2021年12月31日为标准时点，县级统筹使用国、省遥感监测成果以及相关自然资源管理信息，制作外业调查底图并开展实地调查举证，全面掌握2021年度的地类、面积、属性及相关图层属性信息的变化情况，形成年度变更增量包，更新县级国土调查数据库。通过统计汇总分析，掌握2021年度永久基本农田变化，建设占用农用地、耕地非粮化、耕地非农化状况，设施农用地变化，25度和15度以上坡耕地变化，耕地资源质量分类变化情况，临时用地、批而未用土地、退耕还林等变化状况，土地整治、增减挂钩等项目的实施状况。</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主要任务包括：</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1.土地利用现状更新调查</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（1）内业调查</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以国家制作并下发的2021年末正射影像图为基础，叠加陕西省2020年度自然资源遥感监测成果、2021年度变更调查遥感监测成果、用地管理信息、2020年度变更调查跟踪图斑（包括承诺举证图斑、无法到达图斑、“互联网+”在线核查问题图斑）和收集的各类管理数据矢量范围，补充提取变化信息，确定需要外业实地调查核实的图斑，制作调查底图，并导入外业调查设备或输出到纸介质，开展外业实地调查工作。</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（2）外业调查</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地类认定要求与“三调”一致。按照以实地现状认定地类的原则，对调查底图中所有的调查图斑，实地逐图斑核实确认图斑地类，调绘图斑边界，记录更新图斑权属、恢复属性、城镇村、采矿用地、特殊用地、废弃、种植属性、耕地细化等各类属性信息标注的变化情况；对影像未能反映的新增地物进行补测；确定2020年度国土调查数据库中的城市、建制镇、村庄、临时用地、推（堆）土区、光伏板、拆除未尽等单独图层范围变化情况，并及时更新。</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（3）调查举证</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在开展外业调查的同时，应使用带卫星定位和方向传感器的设备，利用“互联网+”举证软件，对需举证的图斑地块拍摄包含图斑实地卫星定位坐标、拍摄方位角、拍摄时间、实地照片及举证说明等综合信息的加密举证数据包，上传至统一举证平台（对于所有变化更新图斑，如果依据遥感影像不能准确判断调查地类正确的，必须拍摄举证照片）。</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2.提取“变更调查”增量包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按照国家统一的数据更新技术要求、数据库变更方法、标准及相关质量要求，采用增量更新方式，提取“变更调查”增量包。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3.成果质量检查整改</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对县级“变更调查”成果进行100%全面自检，确保成果完整性、规范性、真实性和准确性；并使用国家下发的数据库质检软件、对基础数据库以及“变更调查”增量包进行检核与数据质量检查。“变更调查”增量包完全通过数据库质检软件检查后，逐级上报。对于省、市内业检查反馈的疑似错误图斑进行整改，整改成果经省厅检查确认后报送国家。</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4.配合完成各级核查</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根据国家要求，配合完成国家、省级内业核查、“互联网+”在线核查以及数据质量检查工作，并对国家、省级核查中发现的问题按要求进行整改，整改成果经省厅检查确认后报送国家。</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lang w:val="en-US" w:eastAsia="zh-CN"/>
        </w:rPr>
        <w:t>5</w:t>
      </w:r>
      <w:r>
        <w:rPr>
          <w:rFonts w:hint="eastAsia" w:cs="宋体" w:asciiTheme="minorEastAsia" w:hAnsiTheme="minorEastAsia"/>
          <w:bCs/>
          <w:sz w:val="28"/>
          <w:szCs w:val="28"/>
        </w:rPr>
        <w:t>.数据库更新及汇总</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将国家确认的县级“变更调查”成果录入本级数据库，形成以2021年12月31日为标准时点的“变更调查”数据库，用于县级自然资源管理相关工作。同时，依托县级国土变更调查更新后的成果数据库开展数据汇总及统计分析工作，编制成果分析报告等相关成果资料。</w:t>
      </w:r>
    </w:p>
    <w:p>
      <w:pPr>
        <w:numPr>
          <w:ilvl w:val="0"/>
          <w:numId w:val="1"/>
        </w:numPr>
        <w:spacing w:line="500" w:lineRule="exact"/>
        <w:ind w:firstLine="560"/>
        <w:rPr>
          <w:rFonts w:hint="eastAsia" w:cs="宋体" w:asciiTheme="minorEastAsia" w:hAnsiTheme="minorEastAsia"/>
          <w:bCs/>
          <w:sz w:val="28"/>
          <w:szCs w:val="28"/>
          <w:highlight w:val="none"/>
        </w:rPr>
      </w:pPr>
      <w:r>
        <w:rPr>
          <w:rFonts w:hint="eastAsia" w:cs="宋体" w:asciiTheme="minorEastAsia" w:hAnsiTheme="minorEastAsia"/>
          <w:bCs/>
          <w:sz w:val="28"/>
          <w:szCs w:val="28"/>
          <w:highlight w:val="none"/>
        </w:rPr>
        <w:t>主要成果：</w:t>
      </w:r>
    </w:p>
    <w:p>
      <w:pPr>
        <w:numPr>
          <w:ilvl w:val="0"/>
          <w:numId w:val="0"/>
        </w:numPr>
        <w:spacing w:line="500" w:lineRule="exact"/>
        <w:ind w:firstLine="560" w:firstLineChars="200"/>
        <w:rPr>
          <w:rFonts w:cs="宋体" w:asciiTheme="minorEastAsia" w:hAnsiTheme="minorEastAsia"/>
          <w:bCs/>
          <w:sz w:val="28"/>
          <w:szCs w:val="28"/>
          <w:highlight w:val="none"/>
        </w:rPr>
      </w:pPr>
      <w:r>
        <w:rPr>
          <w:rFonts w:hint="eastAsia" w:cs="宋体" w:asciiTheme="minorEastAsia" w:hAnsiTheme="minorEastAsia"/>
          <w:bCs/>
          <w:sz w:val="28"/>
          <w:szCs w:val="28"/>
          <w:highlight w:val="none"/>
        </w:rPr>
        <w:t>1.遥感监测成果。包括遥感正射影像图、遥感监测图斑。 2.外业调查成果。包括外业调查图件、、图斑举证数据包（DB 格式）。 3．数据库成果。包括更新后的县级数据库、“变更调查”增量包（含增量信息与统计报表，由数据库质检软件打包生成）。 4.各类报表。包括遥感监测图斑信息核实记录表、各级核查错误图斑列表（MDB 格式）、举证图斑信息表（MDB 格式）、各类统计汇总表等。 5.文字成果。包括土地利用变化情况分析报告及专题报告。</w:t>
      </w:r>
    </w:p>
    <w:p>
      <w:pPr>
        <w:spacing w:line="500" w:lineRule="exact"/>
        <w:ind w:firstLine="560"/>
        <w:rPr>
          <w:rFonts w:cs="宋体" w:asciiTheme="minorEastAsia" w:hAnsiTheme="minorEastAsia"/>
          <w:bCs/>
          <w:sz w:val="28"/>
          <w:szCs w:val="28"/>
        </w:rPr>
      </w:pPr>
    </w:p>
    <w:p>
      <w:pPr>
        <w:rPr>
          <w:rFonts w:ascii="宋体" w:hAnsi="宋体" w:cs="宋体"/>
          <w:szCs w:val="21"/>
        </w:rPr>
      </w:pPr>
    </w:p>
    <w:p>
      <w:pPr>
        <w:widowControl/>
        <w:spacing w:line="540" w:lineRule="exact"/>
        <w:rPr>
          <w:rFonts w:ascii="宋体" w:hAnsi="宋体" w:cs="宋体"/>
          <w:b/>
          <w:bCs/>
          <w:sz w:val="32"/>
          <w:szCs w:val="24"/>
          <w:lang w:val="zh-CN"/>
        </w:rPr>
      </w:pPr>
    </w:p>
    <w:p>
      <w:pPr>
        <w:pStyle w:val="7"/>
        <w:rPr>
          <w:rFonts w:ascii="新宋体" w:hAnsi="新宋体" w:eastAsia="新宋体" w:cs="新宋体"/>
          <w:sz w:val="28"/>
          <w:szCs w:val="28"/>
        </w:rPr>
      </w:pPr>
    </w:p>
    <w:p>
      <w:pPr>
        <w:pStyle w:val="7"/>
        <w:rPr>
          <w:rFonts w:ascii="新宋体" w:hAnsi="新宋体" w:eastAsia="新宋体" w:cs="新宋体"/>
          <w:sz w:val="28"/>
          <w:szCs w:val="28"/>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7"/>
        <w:rPr>
          <w:rFonts w:hint="eastAsia" w:ascii="新宋体" w:hAnsi="新宋体" w:eastAsia="新宋体" w:cs="新宋体"/>
          <w:color w:val="auto"/>
          <w:sz w:val="28"/>
          <w:szCs w:val="28"/>
          <w:highlight w:val="none"/>
          <w:lang w:val="en-US" w:eastAsia="zh-CN"/>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pStyle w:val="40"/>
        <w:rPr>
          <w:rFonts w:asciiTheme="minorEastAsia" w:hAnsiTheme="minorEastAsia" w:eastAsiaTheme="minorEastAsia"/>
        </w:rPr>
      </w:pPr>
    </w:p>
    <w:p>
      <w:pPr>
        <w:numPr>
          <w:ilvl w:val="0"/>
          <w:numId w:val="2"/>
        </w:numPr>
        <w:spacing w:line="360" w:lineRule="auto"/>
        <w:ind w:firstLine="883" w:firstLineChars="200"/>
        <w:jc w:val="center"/>
        <w:outlineLvl w:val="1"/>
        <w:rPr>
          <w:rFonts w:cs="宋体" w:asciiTheme="minorEastAsia" w:hAnsiTheme="minorEastAsia"/>
          <w:b/>
          <w:bCs/>
          <w:sz w:val="44"/>
          <w:szCs w:val="44"/>
        </w:rPr>
      </w:pPr>
      <w:bookmarkStart w:id="24" w:name="_Toc5182_WPSOffice_Level1"/>
      <w:bookmarkStart w:id="25" w:name="_Toc11347_WPSOffice_Level1"/>
      <w:r>
        <w:rPr>
          <w:rFonts w:hint="eastAsia" w:cs="宋体" w:asciiTheme="minorEastAsia" w:hAnsiTheme="minorEastAsia"/>
          <w:b/>
          <w:bCs/>
          <w:sz w:val="44"/>
          <w:szCs w:val="44"/>
        </w:rPr>
        <w:t>商务要求</w:t>
      </w:r>
      <w:bookmarkEnd w:id="24"/>
      <w:bookmarkEnd w:id="25"/>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bookmarkStart w:id="26" w:name="_Toc22869_WPSOffice_Level1"/>
      <w:bookmarkEnd w:id="26"/>
      <w:bookmarkStart w:id="27" w:name="_Toc13776_WPSOffice_Level1"/>
      <w:bookmarkEnd w:id="27"/>
      <w:bookmarkStart w:id="28" w:name="_Toc10687_WPSOffice_Level1"/>
      <w:bookmarkEnd w:id="28"/>
      <w:bookmarkStart w:id="29" w:name="_Toc167714041"/>
      <w:bookmarkStart w:id="30" w:name="_Toc167712843"/>
      <w:bookmarkStart w:id="31" w:name="_Toc167715238"/>
      <w:bookmarkStart w:id="32" w:name="_Toc116_WPSOffice_Level1"/>
      <w:bookmarkStart w:id="33" w:name="_Toc11221_WPSOffice_Level1"/>
      <w:r>
        <w:rPr>
          <w:rFonts w:hint="eastAsia" w:ascii="新宋体" w:hAnsi="新宋体" w:eastAsia="新宋体" w:cs="新宋体"/>
          <w:b/>
          <w:bCs/>
          <w:color w:val="auto"/>
          <w:sz w:val="28"/>
          <w:szCs w:val="28"/>
          <w:highlight w:val="none"/>
          <w:lang w:val="en-US" w:eastAsia="zh-CN"/>
        </w:rPr>
        <w:t>一、服务期限及交付地点：</w:t>
      </w:r>
    </w:p>
    <w:p>
      <w:pPr>
        <w:widowControl/>
        <w:spacing w:line="360" w:lineRule="auto"/>
        <w:ind w:firstLine="560" w:firstLineChars="200"/>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1、服务期限：90日历天</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2、交付地点：眉县自然资源局。</w:t>
      </w:r>
    </w:p>
    <w:p>
      <w:pPr>
        <w:spacing w:line="360" w:lineRule="auto"/>
        <w:ind w:firstLine="562" w:firstLineChars="200"/>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二、付款方式：</w:t>
      </w:r>
    </w:p>
    <w:p>
      <w:pPr>
        <w:spacing w:line="360" w:lineRule="auto"/>
        <w:ind w:firstLine="560" w:firstLineChars="200"/>
        <w:rPr>
          <w:rFonts w:ascii="宋体" w:hAnsi="宋体" w:cs="宋体"/>
          <w:kern w:val="0"/>
          <w:sz w:val="28"/>
          <w:szCs w:val="28"/>
          <w:highlight w:val="none"/>
          <w:lang w:bidi="ar"/>
        </w:rPr>
      </w:pPr>
      <w:r>
        <w:rPr>
          <w:rFonts w:ascii="宋体" w:hAnsi="宋体" w:cs="宋体"/>
          <w:kern w:val="0"/>
          <w:sz w:val="28"/>
          <w:szCs w:val="28"/>
          <w:highlight w:val="none"/>
          <w:lang w:bidi="ar"/>
        </w:rPr>
        <w:t>（1）合同签订后</w:t>
      </w:r>
      <w:r>
        <w:rPr>
          <w:rFonts w:ascii="宋体" w:hAnsi="宋体" w:cs="宋体"/>
          <w:sz w:val="28"/>
          <w:szCs w:val="28"/>
          <w:highlight w:val="none"/>
        </w:rPr>
        <w:t>7个工作日内</w:t>
      </w:r>
      <w:r>
        <w:rPr>
          <w:rFonts w:ascii="宋体" w:hAnsi="宋体" w:cs="宋体"/>
          <w:kern w:val="0"/>
          <w:sz w:val="28"/>
          <w:szCs w:val="28"/>
          <w:highlight w:val="none"/>
          <w:lang w:bidi="ar"/>
        </w:rPr>
        <w:t xml:space="preserve">支付合同额的30%；  </w:t>
      </w:r>
    </w:p>
    <w:p>
      <w:pPr>
        <w:spacing w:line="360" w:lineRule="auto"/>
        <w:ind w:firstLine="560" w:firstLineChars="200"/>
        <w:rPr>
          <w:rFonts w:ascii="宋体" w:hAnsi="宋体" w:cs="宋体"/>
          <w:kern w:val="0"/>
          <w:sz w:val="28"/>
          <w:szCs w:val="28"/>
          <w:highlight w:val="none"/>
          <w:lang w:bidi="ar"/>
        </w:rPr>
      </w:pPr>
      <w:r>
        <w:rPr>
          <w:rFonts w:ascii="宋体" w:hAnsi="宋体" w:cs="宋体"/>
          <w:kern w:val="0"/>
          <w:sz w:val="28"/>
          <w:szCs w:val="28"/>
          <w:highlight w:val="none"/>
          <w:lang w:bidi="ar"/>
        </w:rPr>
        <w:t xml:space="preserve">（2）成果文件(初审)后 7个工作日内支付合同额的50%； </w:t>
      </w:r>
    </w:p>
    <w:p>
      <w:pPr>
        <w:spacing w:line="360" w:lineRule="auto"/>
        <w:ind w:firstLine="560" w:firstLineChars="200"/>
        <w:rPr>
          <w:rFonts w:ascii="宋体" w:hAnsi="宋体" w:cs="宋体"/>
          <w:kern w:val="0"/>
          <w:sz w:val="28"/>
          <w:szCs w:val="28"/>
          <w:highlight w:val="none"/>
          <w:lang w:bidi="ar"/>
        </w:rPr>
      </w:pPr>
      <w:r>
        <w:rPr>
          <w:rFonts w:ascii="宋体" w:hAnsi="宋体" w:cs="宋体"/>
          <w:kern w:val="0"/>
          <w:sz w:val="28"/>
          <w:szCs w:val="28"/>
          <w:highlight w:val="none"/>
          <w:lang w:bidi="ar"/>
        </w:rPr>
        <w:t>（3）成果文件通过专家最终审核验收合格，结算办理完毕后</w:t>
      </w:r>
      <w:r>
        <w:rPr>
          <w:rFonts w:ascii="宋体" w:hAnsi="宋体" w:cs="宋体"/>
          <w:sz w:val="28"/>
          <w:szCs w:val="28"/>
          <w:highlight w:val="none"/>
        </w:rPr>
        <w:t>7个工作日内</w:t>
      </w:r>
      <w:r>
        <w:rPr>
          <w:rFonts w:ascii="宋体" w:hAnsi="宋体" w:cs="宋体"/>
          <w:kern w:val="0"/>
          <w:sz w:val="28"/>
          <w:szCs w:val="28"/>
          <w:highlight w:val="none"/>
          <w:lang w:bidi="ar"/>
        </w:rPr>
        <w:t>支付合同额的20%。</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三、验收:交付资料后，由招标人、使用单位组织相关人员对资料进行审核、考评。</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四、合同实施：</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 、中标人应在合同签订后7个日历日内安排人员（项目组成人员简历表所列）与采购人设计实施工作进行安排、部署。</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 、若未能在规定的设计完成时间内完成合同规定的义务，由此对采购人造成的延误和一切损失，由中标人承担和赔偿。</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五、违约责任：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1、按《中华人民共和国民法典》中的相关条款执行。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2、未按合同要求提供服务或服务质量不能满足技术要求，采购人有权终止合同，并对供方违约行为进行追究，同时按《政府采购法》的有关规定进行处罚。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注：商务要求为实质性要求，不得负偏离。</w:t>
      </w:r>
    </w:p>
    <w:bookmarkEnd w:id="29"/>
    <w:bookmarkEnd w:id="30"/>
    <w:bookmarkEnd w:id="31"/>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sectPr>
          <w:headerReference r:id="rId14" w:type="default"/>
          <w:footerReference r:id="rId15" w:type="default"/>
          <w:pgSz w:w="11910" w:h="16840"/>
          <w:pgMar w:top="1440" w:right="1440" w:bottom="1440" w:left="1440" w:header="966" w:footer="850" w:gutter="0"/>
          <w:pgNumType w:fmt="decimal"/>
          <w:cols w:space="720" w:num="1"/>
        </w:sectPr>
      </w:pPr>
      <w:bookmarkStart w:id="34" w:name="_Toc459049734"/>
      <w:bookmarkStart w:id="35" w:name="_Toc459125993"/>
      <w:bookmarkStart w:id="36" w:name="_Toc459142238"/>
      <w:bookmarkStart w:id="37" w:name="_Toc7453887"/>
      <w:bookmarkStart w:id="38" w:name="_Toc459049903"/>
      <w:bookmarkStart w:id="39" w:name="_Toc16940"/>
      <w:bookmarkStart w:id="40" w:name="_Toc30802"/>
      <w:bookmarkStart w:id="41" w:name="_Toc13442"/>
    </w:p>
    <w:p>
      <w:pPr>
        <w:pStyle w:val="3"/>
        <w:spacing w:before="0" w:beforeAutospacing="0" w:after="0" w:afterAutospacing="0" w:line="240" w:lineRule="auto"/>
        <w:jc w:val="center"/>
        <w:outlineLvl w:val="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第五章：合同条款</w:t>
      </w:r>
      <w:bookmarkEnd w:id="34"/>
      <w:bookmarkEnd w:id="35"/>
      <w:bookmarkEnd w:id="36"/>
      <w:bookmarkEnd w:id="37"/>
      <w:bookmarkEnd w:id="38"/>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lang w:eastAsia="zh-CN"/>
        </w:rPr>
        <w:t>仅供</w:t>
      </w:r>
      <w:r>
        <w:rPr>
          <w:rFonts w:hint="eastAsia" w:ascii="新宋体" w:hAnsi="新宋体" w:eastAsia="新宋体" w:cs="新宋体"/>
          <w:color w:val="auto"/>
          <w:sz w:val="28"/>
          <w:szCs w:val="28"/>
          <w:highlight w:val="none"/>
        </w:rPr>
        <w:t>参考）</w:t>
      </w:r>
      <w:bookmarkEnd w:id="39"/>
      <w:bookmarkEnd w:id="40"/>
      <w:bookmarkEnd w:id="41"/>
    </w:p>
    <w:p>
      <w:pPr>
        <w:pStyle w:val="2"/>
        <w:rPr>
          <w:rFonts w:hint="eastAsia" w:ascii="新宋体" w:hAnsi="新宋体" w:eastAsia="新宋体" w:cs="新宋体"/>
          <w:spacing w:val="-3"/>
          <w:sz w:val="24"/>
          <w:szCs w:val="24"/>
          <w:lang w:eastAsia="zh-CN"/>
        </w:rPr>
      </w:pPr>
    </w:p>
    <w:p>
      <w:pPr>
        <w:spacing w:line="360" w:lineRule="auto"/>
        <w:ind w:firstLine="480"/>
        <w:jc w:val="center"/>
        <w:rPr>
          <w:rFonts w:hint="eastAsia" w:ascii="宋体" w:hAnsi="宋体" w:cs="宋体"/>
          <w:b/>
          <w:bCs/>
          <w:kern w:val="0"/>
          <w:sz w:val="44"/>
          <w:szCs w:val="44"/>
          <w:lang w:bidi="ar"/>
        </w:rPr>
      </w:pPr>
    </w:p>
    <w:p>
      <w:pPr>
        <w:spacing w:line="360" w:lineRule="auto"/>
        <w:ind w:firstLine="480"/>
        <w:jc w:val="center"/>
        <w:rPr>
          <w:rFonts w:hint="eastAsia" w:ascii="宋体" w:hAnsi="宋体" w:cs="宋体" w:eastAsiaTheme="minorEastAsia"/>
          <w:b/>
          <w:bCs/>
          <w:kern w:val="0"/>
          <w:sz w:val="44"/>
          <w:szCs w:val="44"/>
          <w:lang w:eastAsia="zh-CN" w:bidi="ar"/>
        </w:rPr>
      </w:pPr>
      <w:r>
        <w:rPr>
          <w:rFonts w:hint="eastAsia" w:ascii="宋体" w:hAnsi="宋体" w:cs="宋体"/>
          <w:b/>
          <w:bCs/>
          <w:kern w:val="0"/>
          <w:sz w:val="44"/>
          <w:szCs w:val="44"/>
          <w:lang w:eastAsia="zh-CN" w:bidi="ar"/>
        </w:rPr>
        <w:t>宝鸡市眉县2021年度国土变更调查项目（二次）</w:t>
      </w:r>
    </w:p>
    <w:p>
      <w:pPr>
        <w:spacing w:line="360" w:lineRule="auto"/>
        <w:ind w:firstLine="480"/>
        <w:jc w:val="center"/>
        <w:rPr>
          <w:rFonts w:ascii="宋体" w:hAnsi="宋体" w:cs="宋体"/>
          <w:b/>
          <w:bCs/>
          <w:kern w:val="0"/>
          <w:sz w:val="44"/>
          <w:szCs w:val="44"/>
          <w:lang w:bidi="ar"/>
        </w:rPr>
      </w:pPr>
    </w:p>
    <w:p>
      <w:pPr>
        <w:spacing w:line="360" w:lineRule="auto"/>
        <w:ind w:firstLine="480"/>
        <w:jc w:val="center"/>
        <w:rPr>
          <w:rFonts w:ascii="宋体" w:hAnsi="宋体" w:cs="宋体"/>
          <w:b/>
          <w:bCs/>
          <w:kern w:val="0"/>
          <w:sz w:val="44"/>
          <w:szCs w:val="44"/>
          <w:lang w:bidi="ar"/>
        </w:rPr>
      </w:pPr>
    </w:p>
    <w:p>
      <w:pPr>
        <w:spacing w:line="360" w:lineRule="auto"/>
        <w:rPr>
          <w:rFonts w:ascii="宋体" w:hAnsi="宋体" w:cs="宋体"/>
          <w:b/>
          <w:bCs/>
          <w:kern w:val="0"/>
          <w:sz w:val="72"/>
          <w:szCs w:val="72"/>
          <w:lang w:bidi="ar"/>
        </w:rPr>
      </w:pPr>
    </w:p>
    <w:p>
      <w:pPr>
        <w:spacing w:line="360" w:lineRule="auto"/>
        <w:ind w:firstLine="480"/>
        <w:jc w:val="center"/>
        <w:rPr>
          <w:rFonts w:ascii="宋体" w:hAnsi="宋体" w:cs="宋体"/>
          <w:b/>
          <w:bCs/>
          <w:kern w:val="0"/>
          <w:sz w:val="36"/>
          <w:szCs w:val="36"/>
          <w:lang w:bidi="ar"/>
        </w:rPr>
      </w:pPr>
      <w:r>
        <w:rPr>
          <w:rFonts w:ascii="宋体" w:hAnsi="宋体" w:cs="宋体"/>
          <w:b/>
          <w:bCs/>
          <w:kern w:val="0"/>
          <w:sz w:val="72"/>
          <w:szCs w:val="72"/>
          <w:lang w:bidi="ar"/>
        </w:rPr>
        <w:t>技术服务合同</w:t>
      </w: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pPr>
    </w:p>
    <w:p>
      <w:pPr>
        <w:spacing w:line="360" w:lineRule="auto"/>
        <w:rPr>
          <w:rFonts w:ascii="宋体" w:hAnsi="宋体" w:cs="宋体"/>
          <w:b/>
          <w:bCs/>
          <w:kern w:val="0"/>
          <w:sz w:val="36"/>
          <w:szCs w:val="36"/>
          <w:lang w:bidi="ar"/>
        </w:rPr>
      </w:pPr>
    </w:p>
    <w:p>
      <w:pPr>
        <w:spacing w:line="600" w:lineRule="auto"/>
        <w:ind w:firstLine="1200" w:firstLineChars="400"/>
        <w:rPr>
          <w:rFonts w:ascii="宋体" w:hAnsi="宋体" w:cs="宋体"/>
          <w:kern w:val="0"/>
          <w:sz w:val="30"/>
          <w:szCs w:val="30"/>
          <w:lang w:bidi="ar"/>
        </w:rPr>
      </w:pPr>
      <w:r>
        <w:rPr>
          <w:rFonts w:hint="eastAsia" w:ascii="宋体" w:hAnsi="宋体" w:cs="宋体"/>
          <w:kern w:val="0"/>
          <w:sz w:val="30"/>
          <w:szCs w:val="30"/>
          <w:lang w:val="en-US" w:eastAsia="zh-CN" w:bidi="ar"/>
        </w:rPr>
        <w:t>采购人</w:t>
      </w:r>
      <w:r>
        <w:rPr>
          <w:rFonts w:ascii="宋体" w:hAnsi="宋体" w:cs="宋体"/>
          <w:kern w:val="0"/>
          <w:sz w:val="30"/>
          <w:szCs w:val="30"/>
          <w:lang w:bidi="ar"/>
        </w:rPr>
        <w:t>（甲方）：</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hint="eastAsia" w:ascii="宋体" w:hAnsi="宋体" w:cs="宋体"/>
          <w:kern w:val="0"/>
          <w:sz w:val="30"/>
          <w:szCs w:val="30"/>
          <w:lang w:val="en-US" w:eastAsia="zh-CN" w:bidi="ar"/>
        </w:rPr>
        <w:t>供应商</w:t>
      </w:r>
      <w:r>
        <w:rPr>
          <w:rFonts w:ascii="宋体" w:hAnsi="宋体" w:cs="宋体"/>
          <w:kern w:val="0"/>
          <w:sz w:val="30"/>
          <w:szCs w:val="30"/>
          <w:lang w:bidi="ar"/>
        </w:rPr>
        <w:t>（乙方）：</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ascii="宋体" w:hAnsi="宋体" w:cs="宋体"/>
          <w:kern w:val="0"/>
          <w:sz w:val="30"/>
          <w:szCs w:val="30"/>
          <w:lang w:bidi="ar"/>
        </w:rPr>
        <w:t xml:space="preserve">签 订 地 点：  </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ascii="宋体" w:hAnsi="宋体" w:cs="宋体"/>
          <w:kern w:val="0"/>
          <w:sz w:val="30"/>
          <w:szCs w:val="30"/>
          <w:lang w:bidi="ar"/>
        </w:rPr>
        <w:t xml:space="preserve">签 订 日 期：  </w:t>
      </w:r>
      <w:r>
        <w:rPr>
          <w:rFonts w:ascii="宋体" w:hAnsi="宋体" w:cs="宋体"/>
          <w:kern w:val="0"/>
          <w:sz w:val="30"/>
          <w:szCs w:val="30"/>
          <w:u w:val="single"/>
          <w:lang w:bidi="ar"/>
        </w:rPr>
        <w:t xml:space="preserve">    年    月    日           </w:t>
      </w: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sectPr>
          <w:footerReference r:id="rId16" w:type="default"/>
          <w:footerReference r:id="rId17" w:type="even"/>
          <w:pgSz w:w="11906" w:h="16838"/>
          <w:pgMar w:top="1440" w:right="1800" w:bottom="1440" w:left="1800" w:header="851" w:footer="992" w:gutter="0"/>
          <w:pgNumType w:fmt="decimal"/>
          <w:cols w:space="720" w:num="1"/>
          <w:docGrid w:type="lines" w:linePitch="312" w:charSpace="0"/>
        </w:sectPr>
      </w:pPr>
    </w:p>
    <w:p>
      <w:pPr>
        <w:spacing w:line="360" w:lineRule="auto"/>
        <w:jc w:val="center"/>
        <w:rPr>
          <w:rFonts w:ascii="宋体" w:hAnsi="宋体" w:cs="宋体"/>
          <w:b/>
          <w:bCs/>
          <w:kern w:val="0"/>
          <w:sz w:val="36"/>
          <w:szCs w:val="36"/>
          <w:lang w:bidi="ar"/>
        </w:rPr>
      </w:pPr>
      <w:r>
        <w:rPr>
          <w:rFonts w:ascii="宋体" w:hAnsi="宋体" w:cs="宋体"/>
          <w:b/>
          <w:bCs/>
          <w:kern w:val="0"/>
          <w:sz w:val="36"/>
          <w:szCs w:val="36"/>
          <w:lang w:bidi="ar"/>
        </w:rPr>
        <w:t>技术服务合同</w:t>
      </w:r>
    </w:p>
    <w:p>
      <w:pPr>
        <w:spacing w:line="360" w:lineRule="auto"/>
        <w:ind w:firstLine="560" w:firstLineChars="200"/>
        <w:rPr>
          <w:rFonts w:ascii="宋体" w:hAnsi="宋体" w:cs="宋体"/>
          <w:kern w:val="0"/>
          <w:sz w:val="28"/>
          <w:szCs w:val="28"/>
          <w:lang w:bidi="ar"/>
        </w:rPr>
      </w:pPr>
      <w:r>
        <w:rPr>
          <w:rFonts w:hint="eastAsia" w:ascii="宋体" w:hAnsi="宋体" w:cs="宋体"/>
          <w:kern w:val="0"/>
          <w:sz w:val="28"/>
          <w:szCs w:val="28"/>
          <w:lang w:eastAsia="zh-CN" w:bidi="ar"/>
        </w:rPr>
        <w:t>招标人</w:t>
      </w:r>
      <w:r>
        <w:rPr>
          <w:rFonts w:ascii="宋体" w:hAnsi="宋体" w:cs="宋体"/>
          <w:kern w:val="0"/>
          <w:sz w:val="28"/>
          <w:szCs w:val="28"/>
          <w:lang w:bidi="ar"/>
        </w:rPr>
        <w:t>（全称）：</w:t>
      </w:r>
      <w:r>
        <w:rPr>
          <w:rFonts w:ascii="宋体" w:hAnsi="宋体" w:cs="宋体"/>
          <w:kern w:val="0"/>
          <w:sz w:val="28"/>
          <w:szCs w:val="28"/>
          <w:u w:val="single"/>
          <w:lang w:bidi="ar"/>
        </w:rPr>
        <w:t xml:space="preserve">                             </w:t>
      </w:r>
      <w:r>
        <w:rPr>
          <w:rFonts w:ascii="宋体" w:hAnsi="宋体" w:cs="宋体"/>
          <w:kern w:val="0"/>
          <w:sz w:val="28"/>
          <w:szCs w:val="28"/>
          <w:lang w:bidi="ar"/>
        </w:rPr>
        <w:t>（以下简称甲方）</w:t>
      </w:r>
    </w:p>
    <w:p>
      <w:pPr>
        <w:spacing w:line="360" w:lineRule="auto"/>
        <w:ind w:firstLine="560" w:firstLineChars="200"/>
        <w:rPr>
          <w:rFonts w:ascii="宋体" w:hAnsi="宋体" w:cs="宋体"/>
          <w:kern w:val="0"/>
          <w:sz w:val="28"/>
          <w:szCs w:val="28"/>
          <w:lang w:bidi="ar"/>
        </w:rPr>
      </w:pPr>
      <w:r>
        <w:rPr>
          <w:rFonts w:hint="eastAsia" w:ascii="宋体" w:hAnsi="宋体" w:cs="宋体"/>
          <w:kern w:val="0"/>
          <w:sz w:val="28"/>
          <w:szCs w:val="28"/>
          <w:lang w:eastAsia="zh-CN" w:bidi="ar"/>
        </w:rPr>
        <w:t>投标人</w:t>
      </w:r>
      <w:r>
        <w:rPr>
          <w:rFonts w:ascii="宋体" w:hAnsi="宋体" w:cs="宋体"/>
          <w:kern w:val="0"/>
          <w:sz w:val="28"/>
          <w:szCs w:val="28"/>
          <w:lang w:bidi="ar"/>
        </w:rPr>
        <w:t>（全称）：</w:t>
      </w:r>
      <w:r>
        <w:rPr>
          <w:rFonts w:ascii="宋体" w:hAnsi="宋体" w:cs="宋体"/>
          <w:kern w:val="0"/>
          <w:sz w:val="28"/>
          <w:szCs w:val="28"/>
          <w:u w:val="single"/>
          <w:lang w:bidi="ar"/>
        </w:rPr>
        <w:t xml:space="preserve">                             </w:t>
      </w:r>
      <w:r>
        <w:rPr>
          <w:rFonts w:ascii="宋体" w:hAnsi="宋体" w:cs="宋体"/>
          <w:kern w:val="0"/>
          <w:sz w:val="28"/>
          <w:szCs w:val="28"/>
          <w:lang w:bidi="ar"/>
        </w:rPr>
        <w:t xml:space="preserve">（以下简称乙方） </w:t>
      </w:r>
    </w:p>
    <w:p>
      <w:pPr>
        <w:spacing w:line="360" w:lineRule="auto"/>
        <w:ind w:firstLine="560" w:firstLineChars="200"/>
        <w:jc w:val="left"/>
        <w:rPr>
          <w:rFonts w:ascii="宋体" w:hAnsi="宋体" w:cs="宋体"/>
          <w:kern w:val="0"/>
          <w:sz w:val="28"/>
          <w:szCs w:val="28"/>
          <w:lang w:bidi="ar"/>
        </w:rPr>
      </w:pPr>
      <w:r>
        <w:rPr>
          <w:rFonts w:ascii="宋体" w:hAnsi="宋体" w:cs="宋体"/>
          <w:kern w:val="0"/>
          <w:sz w:val="28"/>
          <w:szCs w:val="28"/>
          <w:lang w:bidi="ar"/>
        </w:rPr>
        <w:t>依据《中华人民共和国民法典》有关法律、法规的规定，甲乙双方在平等、自愿、协商一致的基础上，就</w:t>
      </w:r>
      <w:r>
        <w:rPr>
          <w:rFonts w:ascii="宋体" w:hAnsi="宋体" w:cs="宋体"/>
          <w:kern w:val="0"/>
          <w:sz w:val="28"/>
          <w:szCs w:val="28"/>
          <w:u w:val="single"/>
          <w:lang w:bidi="ar"/>
        </w:rPr>
        <w:t xml:space="preserve">                                    </w:t>
      </w:r>
      <w:r>
        <w:rPr>
          <w:rFonts w:ascii="宋体" w:hAnsi="宋体" w:cs="宋体"/>
          <w:kern w:val="0"/>
          <w:sz w:val="28"/>
          <w:szCs w:val="28"/>
          <w:u w:val="single"/>
          <w:lang w:bidi="ar"/>
        </w:rPr>
        <w:br w:type="textWrapping"/>
      </w:r>
      <w:r>
        <w:rPr>
          <w:rFonts w:ascii="宋体" w:hAnsi="宋体" w:cs="宋体"/>
          <w:kern w:val="0"/>
          <w:sz w:val="28"/>
          <w:szCs w:val="28"/>
          <w:lang w:bidi="ar"/>
        </w:rPr>
        <w:t>项目事宜同乙方签订技术服务合同。</w:t>
      </w:r>
    </w:p>
    <w:p>
      <w:pPr>
        <w:spacing w:line="360" w:lineRule="auto"/>
        <w:ind w:firstLine="562" w:firstLineChars="200"/>
        <w:rPr>
          <w:rFonts w:ascii="宋体" w:hAnsi="宋体" w:cs="宋体"/>
          <w:kern w:val="0"/>
          <w:sz w:val="28"/>
          <w:szCs w:val="28"/>
          <w:lang w:bidi="ar"/>
        </w:rPr>
      </w:pPr>
      <w:bookmarkStart w:id="42" w:name="_Toc16583_WPSOffice_Level2"/>
      <w:bookmarkStart w:id="43" w:name="_Toc24374_WPSOffice_Level2"/>
      <w:r>
        <w:rPr>
          <w:rFonts w:ascii="宋体" w:hAnsi="宋体" w:cs="宋体"/>
          <w:b/>
          <w:bCs/>
          <w:kern w:val="0"/>
          <w:sz w:val="28"/>
          <w:szCs w:val="28"/>
          <w:lang w:bidi="ar"/>
        </w:rPr>
        <w:t>第一条 委托服务的内容</w:t>
      </w:r>
      <w:bookmarkEnd w:id="42"/>
      <w:bookmarkEnd w:id="43"/>
      <w:r>
        <w:rPr>
          <w:rFonts w:ascii="宋体" w:hAnsi="宋体" w:cs="宋体"/>
          <w:kern w:val="0"/>
          <w:sz w:val="28"/>
          <w:szCs w:val="28"/>
          <w:lang w:bidi="ar"/>
        </w:rPr>
        <w:t xml:space="preserve"> </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（1）甲方委托乙方利用其在信息渠道、专业人员的知识和经验等方面的优势，根据甲方需求，为甲方提供下列咨询服务：</w:t>
      </w:r>
      <w:r>
        <w:rPr>
          <w:rFonts w:ascii="宋体" w:hAnsi="宋体" w:cs="宋体"/>
          <w:kern w:val="0"/>
          <w:sz w:val="28"/>
          <w:szCs w:val="28"/>
          <w:u w:val="single"/>
        </w:rPr>
        <w:t xml:space="preserve"> </w:t>
      </w:r>
      <w:r>
        <w:rPr>
          <w:rFonts w:hint="eastAsia" w:ascii="宋体" w:hAnsi="宋体" w:cs="宋体"/>
          <w:kern w:val="0"/>
          <w:sz w:val="28"/>
          <w:szCs w:val="28"/>
          <w:u w:val="single"/>
          <w:lang w:eastAsia="zh-CN"/>
        </w:rPr>
        <w:t>2021年度国土变更调查工作采购项目</w:t>
      </w:r>
      <w:r>
        <w:rPr>
          <w:rFonts w:ascii="宋体" w:hAnsi="宋体" w:cs="宋体"/>
          <w:kern w:val="0"/>
          <w:sz w:val="28"/>
          <w:szCs w:val="28"/>
          <w:u w:val="single"/>
        </w:rPr>
        <w:t xml:space="preserve"> </w:t>
      </w:r>
      <w:r>
        <w:rPr>
          <w:rFonts w:ascii="宋体" w:hAnsi="宋体" w:cs="宋体"/>
          <w:kern w:val="0"/>
          <w:sz w:val="28"/>
          <w:szCs w:val="28"/>
        </w:rPr>
        <w:t>。</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rPr>
        <w:t>（2）乙方按照甲方的委托内容及要求提供咨询服务，服务应符合相关规范标准和要求。</w:t>
      </w:r>
      <w:r>
        <w:rPr>
          <w:rFonts w:ascii="宋体" w:hAnsi="宋体" w:cs="宋体"/>
          <w:kern w:val="0"/>
          <w:sz w:val="28"/>
          <w:szCs w:val="28"/>
          <w:lang w:bidi="ar"/>
        </w:rPr>
        <w:t xml:space="preserve"> </w:t>
      </w:r>
    </w:p>
    <w:p>
      <w:pPr>
        <w:spacing w:line="360" w:lineRule="auto"/>
        <w:ind w:firstLine="562" w:firstLineChars="200"/>
        <w:rPr>
          <w:rFonts w:ascii="宋体" w:hAnsi="宋体" w:cs="宋体"/>
          <w:kern w:val="0"/>
          <w:sz w:val="28"/>
          <w:szCs w:val="28"/>
          <w:lang w:bidi="ar"/>
        </w:rPr>
      </w:pPr>
      <w:bookmarkStart w:id="44" w:name="_Toc21066_WPSOffice_Level2"/>
      <w:bookmarkStart w:id="45" w:name="_Toc11913_WPSOffice_Level2"/>
      <w:r>
        <w:rPr>
          <w:rFonts w:ascii="宋体" w:hAnsi="宋体" w:cs="宋体"/>
          <w:b/>
          <w:bCs/>
          <w:kern w:val="0"/>
          <w:sz w:val="28"/>
          <w:szCs w:val="28"/>
          <w:lang w:bidi="ar"/>
        </w:rPr>
        <w:t>第二条 履行期限及方式</w:t>
      </w:r>
      <w:bookmarkEnd w:id="44"/>
      <w:bookmarkEnd w:id="45"/>
      <w:r>
        <w:rPr>
          <w:rFonts w:ascii="宋体" w:hAnsi="宋体" w:cs="宋体"/>
          <w:b/>
          <w:bCs/>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1、本合同经甲乙双方签字盖章即生效，双方履行完成合同规定的内容，合同自行终止。</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2、乙方在甲方的委托和配合下，通过技术资料分析、现场调研及检测、定性评价及定量计算（包含乙方需会同具备相关资质的机构共同完成的项目内容）等方式，签订合同后</w:t>
      </w:r>
      <w:r>
        <w:rPr>
          <w:rFonts w:ascii="宋体" w:hAnsi="宋体" w:cs="宋体"/>
          <w:kern w:val="0"/>
          <w:sz w:val="28"/>
          <w:szCs w:val="28"/>
          <w:u w:val="single"/>
          <w:lang w:bidi="ar"/>
        </w:rPr>
        <w:t xml:space="preserve">     </w:t>
      </w:r>
      <w:r>
        <w:rPr>
          <w:rFonts w:ascii="宋体" w:hAnsi="宋体" w:cs="宋体"/>
          <w:kern w:val="0"/>
          <w:sz w:val="28"/>
          <w:szCs w:val="28"/>
          <w:lang w:bidi="ar"/>
        </w:rPr>
        <w:t xml:space="preserve">个日历日内完成本项目；提供该项目工程相关技术支持与咨询服务。  </w:t>
      </w:r>
    </w:p>
    <w:p>
      <w:pPr>
        <w:spacing w:line="360" w:lineRule="auto"/>
        <w:ind w:firstLine="562" w:firstLineChars="200"/>
        <w:rPr>
          <w:rFonts w:ascii="宋体" w:hAnsi="宋体" w:cs="宋体"/>
          <w:kern w:val="0"/>
          <w:sz w:val="28"/>
          <w:szCs w:val="28"/>
          <w:lang w:bidi="ar"/>
        </w:rPr>
      </w:pPr>
      <w:bookmarkStart w:id="46" w:name="_Toc25782_WPSOffice_Level2"/>
      <w:bookmarkStart w:id="47" w:name="_Toc3425_WPSOffice_Level2"/>
      <w:r>
        <w:rPr>
          <w:rFonts w:ascii="宋体" w:hAnsi="宋体" w:cs="宋体"/>
          <w:b/>
          <w:bCs/>
          <w:kern w:val="0"/>
          <w:sz w:val="28"/>
          <w:szCs w:val="28"/>
          <w:lang w:bidi="ar"/>
        </w:rPr>
        <w:t xml:space="preserve">第三条 </w:t>
      </w:r>
      <w:bookmarkEnd w:id="46"/>
      <w:bookmarkEnd w:id="47"/>
      <w:r>
        <w:rPr>
          <w:rFonts w:ascii="宋体" w:hAnsi="宋体" w:cs="宋体"/>
          <w:b/>
          <w:bCs/>
          <w:kern w:val="0"/>
          <w:sz w:val="28"/>
          <w:szCs w:val="28"/>
          <w:lang w:bidi="ar"/>
        </w:rPr>
        <w:t xml:space="preserve">合同价款及支付方式 </w:t>
      </w:r>
      <w:r>
        <w:rPr>
          <w:rFonts w:ascii="宋体" w:hAnsi="宋体" w:cs="宋体"/>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1、本合同采用固定总价形式，本工程合同价款为人民币</w:t>
      </w:r>
    </w:p>
    <w:p>
      <w:pPr>
        <w:spacing w:line="360" w:lineRule="auto"/>
        <w:ind w:left="420" w:leftChars="200" w:firstLine="560" w:firstLineChars="200"/>
        <w:rPr>
          <w:rFonts w:ascii="宋体" w:hAnsi="宋体" w:cs="宋体"/>
          <w:kern w:val="0"/>
          <w:sz w:val="28"/>
          <w:szCs w:val="28"/>
          <w:u w:val="single"/>
          <w:lang w:bidi="ar"/>
        </w:rPr>
      </w:pPr>
      <w:r>
        <w:rPr>
          <w:rFonts w:ascii="宋体" w:hAnsi="宋体" w:cs="宋体"/>
          <w:kern w:val="0"/>
          <w:sz w:val="28"/>
          <w:szCs w:val="28"/>
          <w:lang w:bidi="ar"/>
        </w:rPr>
        <w:t>大写：</w:t>
      </w:r>
      <w:r>
        <w:rPr>
          <w:rFonts w:ascii="宋体" w:hAnsi="宋体" w:cs="宋体"/>
          <w:kern w:val="0"/>
          <w:sz w:val="28"/>
          <w:szCs w:val="28"/>
          <w:u w:val="single"/>
          <w:lang w:bidi="ar"/>
        </w:rPr>
        <w:t xml:space="preserve">                 </w:t>
      </w:r>
      <w:r>
        <w:rPr>
          <w:rFonts w:ascii="宋体" w:hAnsi="宋体" w:cs="宋体"/>
          <w:kern w:val="0"/>
          <w:sz w:val="28"/>
          <w:szCs w:val="28"/>
          <w:lang w:bidi="ar"/>
        </w:rPr>
        <w:t>元</w:t>
      </w:r>
    </w:p>
    <w:p>
      <w:pPr>
        <w:spacing w:line="360" w:lineRule="auto"/>
        <w:ind w:left="420" w:leftChars="200" w:firstLine="560" w:firstLineChars="200"/>
        <w:rPr>
          <w:rFonts w:ascii="宋体" w:hAnsi="宋体" w:cs="宋体"/>
          <w:kern w:val="0"/>
          <w:sz w:val="28"/>
          <w:szCs w:val="28"/>
          <w:u w:val="single"/>
          <w:lang w:bidi="ar"/>
        </w:rPr>
      </w:pPr>
      <w:r>
        <w:rPr>
          <w:rFonts w:ascii="宋体" w:hAnsi="宋体" w:cs="宋体"/>
          <w:kern w:val="0"/>
          <w:sz w:val="28"/>
          <w:szCs w:val="28"/>
          <w:lang w:bidi="ar"/>
        </w:rPr>
        <w:t>小写：</w:t>
      </w:r>
      <w:r>
        <w:rPr>
          <w:rFonts w:ascii="宋体" w:hAnsi="宋体" w:cs="宋体"/>
          <w:kern w:val="0"/>
          <w:sz w:val="28"/>
          <w:szCs w:val="28"/>
          <w:u w:val="single"/>
          <w:lang w:bidi="ar"/>
        </w:rPr>
        <w:t xml:space="preserve">                 </w:t>
      </w:r>
      <w:r>
        <w:rPr>
          <w:rFonts w:ascii="宋体" w:hAnsi="宋体" w:cs="宋体"/>
          <w:kern w:val="0"/>
          <w:sz w:val="28"/>
          <w:szCs w:val="28"/>
          <w:lang w:bidi="ar"/>
        </w:rPr>
        <w:t>元</w:t>
      </w:r>
    </w:p>
    <w:p>
      <w:pPr>
        <w:spacing w:line="360" w:lineRule="auto"/>
        <w:ind w:firstLine="1120" w:firstLineChars="400"/>
        <w:rPr>
          <w:rFonts w:ascii="宋体" w:hAnsi="宋体" w:cs="宋体"/>
          <w:kern w:val="0"/>
          <w:sz w:val="28"/>
          <w:szCs w:val="28"/>
          <w:lang w:bidi="ar"/>
        </w:rPr>
      </w:pPr>
      <w:r>
        <w:rPr>
          <w:rFonts w:ascii="宋体" w:hAnsi="宋体" w:cs="宋体"/>
          <w:kern w:val="0"/>
          <w:sz w:val="28"/>
          <w:szCs w:val="28"/>
          <w:lang w:bidi="ar"/>
        </w:rPr>
        <w:t xml:space="preserve">上述费用包含按照约定完成本项目的全部费用。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 xml:space="preserve">2、支付方式：  </w:t>
      </w:r>
    </w:p>
    <w:p>
      <w:pPr>
        <w:spacing w:line="360" w:lineRule="auto"/>
        <w:ind w:firstLine="560" w:firstLineChars="200"/>
        <w:rPr>
          <w:rFonts w:ascii="宋体" w:hAnsi="宋体" w:cs="宋体"/>
          <w:color w:val="auto"/>
          <w:kern w:val="0"/>
          <w:sz w:val="28"/>
          <w:szCs w:val="28"/>
          <w:highlight w:val="none"/>
          <w:lang w:bidi="ar"/>
        </w:rPr>
      </w:pPr>
      <w:r>
        <w:rPr>
          <w:rFonts w:ascii="宋体" w:hAnsi="宋体" w:cs="宋体"/>
          <w:color w:val="auto"/>
          <w:kern w:val="0"/>
          <w:sz w:val="28"/>
          <w:szCs w:val="28"/>
          <w:highlight w:val="none"/>
          <w:lang w:bidi="ar"/>
        </w:rPr>
        <w:t>（1）合同签订后</w:t>
      </w:r>
      <w:r>
        <w:rPr>
          <w:rFonts w:ascii="宋体" w:hAnsi="宋体" w:cs="宋体"/>
          <w:color w:val="auto"/>
          <w:sz w:val="28"/>
          <w:szCs w:val="28"/>
          <w:highlight w:val="none"/>
        </w:rPr>
        <w:t>7个工作日内</w:t>
      </w:r>
      <w:r>
        <w:rPr>
          <w:rFonts w:ascii="宋体" w:hAnsi="宋体" w:cs="宋体"/>
          <w:color w:val="auto"/>
          <w:kern w:val="0"/>
          <w:sz w:val="28"/>
          <w:szCs w:val="28"/>
          <w:highlight w:val="none"/>
          <w:lang w:bidi="ar"/>
        </w:rPr>
        <w:t xml:space="preserve">支付合同额的30%；  </w:t>
      </w:r>
    </w:p>
    <w:p>
      <w:pPr>
        <w:spacing w:line="360" w:lineRule="auto"/>
        <w:ind w:firstLine="560" w:firstLineChars="200"/>
        <w:rPr>
          <w:rFonts w:ascii="宋体" w:hAnsi="宋体" w:cs="宋体"/>
          <w:color w:val="auto"/>
          <w:kern w:val="0"/>
          <w:sz w:val="28"/>
          <w:szCs w:val="28"/>
          <w:highlight w:val="none"/>
          <w:lang w:bidi="ar"/>
        </w:rPr>
      </w:pPr>
      <w:r>
        <w:rPr>
          <w:rFonts w:ascii="宋体" w:hAnsi="宋体" w:cs="宋体"/>
          <w:color w:val="auto"/>
          <w:kern w:val="0"/>
          <w:sz w:val="28"/>
          <w:szCs w:val="28"/>
          <w:highlight w:val="none"/>
          <w:lang w:bidi="ar"/>
        </w:rPr>
        <w:t xml:space="preserve">（2）成果文件(初审)后 7个工作日内支付合同额的50%； </w:t>
      </w:r>
    </w:p>
    <w:p>
      <w:pPr>
        <w:spacing w:line="360" w:lineRule="auto"/>
        <w:ind w:firstLine="560" w:firstLineChars="200"/>
        <w:rPr>
          <w:rFonts w:ascii="宋体" w:hAnsi="宋体" w:cs="宋体"/>
          <w:color w:val="auto"/>
          <w:kern w:val="0"/>
          <w:sz w:val="28"/>
          <w:szCs w:val="28"/>
          <w:highlight w:val="none"/>
          <w:lang w:bidi="ar"/>
        </w:rPr>
      </w:pPr>
      <w:r>
        <w:rPr>
          <w:rFonts w:ascii="宋体" w:hAnsi="宋体" w:cs="宋体"/>
          <w:color w:val="auto"/>
          <w:kern w:val="0"/>
          <w:sz w:val="28"/>
          <w:szCs w:val="28"/>
          <w:highlight w:val="none"/>
          <w:lang w:bidi="ar"/>
        </w:rPr>
        <w:t>（3）成果文件通过专家最终审核验收合格，结算办理完毕后</w:t>
      </w:r>
      <w:r>
        <w:rPr>
          <w:rFonts w:ascii="宋体" w:hAnsi="宋体" w:cs="宋体"/>
          <w:color w:val="auto"/>
          <w:sz w:val="28"/>
          <w:szCs w:val="28"/>
          <w:highlight w:val="none"/>
        </w:rPr>
        <w:t>7个工作日内</w:t>
      </w:r>
      <w:r>
        <w:rPr>
          <w:rFonts w:ascii="宋体" w:hAnsi="宋体" w:cs="宋体"/>
          <w:color w:val="auto"/>
          <w:kern w:val="0"/>
          <w:sz w:val="28"/>
          <w:szCs w:val="28"/>
          <w:highlight w:val="none"/>
          <w:lang w:bidi="ar"/>
        </w:rPr>
        <w:t>支付合同额的20%。</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3、每次付款前5个工作日内，乙方应向甲方开具等额的增值税发票，否则甲方有权延迟支付合同价款，乙方不得以此为由影响履约。若甲方发票出现遗失、破损或不能验证等情况的，乙方有义务配合甲方完成相应发票的认证工作。</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 xml:space="preserve">4、乙方信息栏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收款单位名称：</w:t>
      </w:r>
      <w:r>
        <w:rPr>
          <w:rFonts w:ascii="宋体" w:hAnsi="宋体" w:cs="宋体"/>
          <w:kern w:val="0"/>
          <w:sz w:val="28"/>
          <w:szCs w:val="28"/>
          <w:u w:val="single"/>
          <w:lang w:bidi="ar"/>
        </w:rPr>
        <w:t xml:space="preserve">                      </w:t>
      </w:r>
      <w:r>
        <w:rPr>
          <w:rFonts w:ascii="宋体" w:hAnsi="宋体" w:cs="宋体"/>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纳税人识别号：</w:t>
      </w:r>
      <w:r>
        <w:rPr>
          <w:rFonts w:ascii="宋体" w:hAnsi="宋体" w:cs="宋体"/>
          <w:kern w:val="0"/>
          <w:sz w:val="28"/>
          <w:szCs w:val="28"/>
          <w:u w:val="single"/>
          <w:lang w:bidi="ar"/>
        </w:rPr>
        <w:t xml:space="preserve">                      </w:t>
      </w:r>
      <w:r>
        <w:rPr>
          <w:rFonts w:ascii="宋体" w:hAnsi="宋体" w:cs="宋体"/>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地址、电话：</w:t>
      </w:r>
      <w:r>
        <w:rPr>
          <w:rFonts w:ascii="宋体" w:hAnsi="宋体" w:cs="宋体"/>
          <w:kern w:val="0"/>
          <w:sz w:val="28"/>
          <w:szCs w:val="28"/>
          <w:u w:val="single"/>
          <w:lang w:bidi="ar"/>
        </w:rPr>
        <w:t xml:space="preserve">                      </w:t>
      </w:r>
      <w:r>
        <w:rPr>
          <w:rFonts w:ascii="宋体" w:hAnsi="宋体" w:cs="宋体"/>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开户行及账号：</w:t>
      </w:r>
      <w:r>
        <w:rPr>
          <w:rFonts w:ascii="宋体" w:hAnsi="宋体" w:cs="宋体"/>
          <w:kern w:val="0"/>
          <w:sz w:val="28"/>
          <w:szCs w:val="28"/>
          <w:u w:val="single"/>
          <w:lang w:bidi="ar"/>
        </w:rPr>
        <w:t xml:space="preserve">                      </w:t>
      </w:r>
      <w:r>
        <w:rPr>
          <w:rFonts w:ascii="宋体" w:hAnsi="宋体" w:cs="宋体"/>
          <w:kern w:val="0"/>
          <w:sz w:val="28"/>
          <w:szCs w:val="28"/>
          <w:lang w:bidi="ar"/>
        </w:rPr>
        <w:t>；</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若乙方发生信息变更，乙方应在3日内以书面形式通知甲方。</w:t>
      </w:r>
    </w:p>
    <w:p>
      <w:pPr>
        <w:adjustRightInd w:val="0"/>
        <w:spacing w:line="360" w:lineRule="auto"/>
        <w:ind w:firstLine="562" w:firstLineChars="200"/>
        <w:jc w:val="left"/>
        <w:textAlignment w:val="baseline"/>
        <w:rPr>
          <w:rFonts w:ascii="宋体" w:hAnsi="宋体" w:cs="宋体"/>
          <w:b/>
          <w:kern w:val="0"/>
          <w:sz w:val="28"/>
          <w:szCs w:val="28"/>
        </w:rPr>
      </w:pPr>
      <w:bookmarkStart w:id="48" w:name="_Toc14366_WPSOffice_Level2"/>
      <w:bookmarkStart w:id="49" w:name="_Toc22393_WPSOffice_Level2"/>
      <w:r>
        <w:rPr>
          <w:rFonts w:ascii="宋体" w:hAnsi="宋体" w:cs="宋体"/>
          <w:b/>
          <w:bCs/>
          <w:kern w:val="0"/>
          <w:sz w:val="28"/>
          <w:szCs w:val="28"/>
          <w:lang w:bidi="ar"/>
        </w:rPr>
        <w:t xml:space="preserve">第四条 </w:t>
      </w:r>
      <w:r>
        <w:rPr>
          <w:rFonts w:ascii="宋体" w:hAnsi="宋体" w:cs="宋体"/>
          <w:b/>
          <w:kern w:val="0"/>
          <w:sz w:val="28"/>
          <w:szCs w:val="28"/>
        </w:rPr>
        <w:t>甲乙双方的权利与义务</w:t>
      </w:r>
    </w:p>
    <w:p>
      <w:pPr>
        <w:adjustRightIn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（一）甲方的权利和义务</w:t>
      </w:r>
    </w:p>
    <w:p>
      <w:pPr>
        <w:tabs>
          <w:tab w:val="left" w:pos="560"/>
        </w:tabs>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1．甲方有权向乙方询问工作进展情况及相关的内容，有权阐述对具体问题的意见和建议；</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2．对乙方提供的咨询服务建议或报告有审议、修改及最终决策的权利；</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3．若乙方专业人员不按咨询服务合同履行其职责，甲方有权要求乙方更换专业人员；</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4．配合乙方工作，向乙方提供相关资料，并保证所提供资料真实、准确、完整、有效；</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5．甲方应配合乙方现场访谈、勘察等事宜，并提供相关工作便利；</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6．甲方应承担保密义务，未经乙方许可，甲方不得向第三方提供（包括但不限于披露、转载等）乙方提交给甲方的任何材料、文件、和乙方网站所提供的资料，及其上述材料、文件、资料所包含的任何信息；</w:t>
      </w:r>
    </w:p>
    <w:p>
      <w:pPr>
        <w:adjustRightInd w:val="0"/>
        <w:snapToGrid w:val="0"/>
        <w:spacing w:line="360" w:lineRule="auto"/>
        <w:ind w:firstLine="560" w:firstLineChars="200"/>
        <w:textAlignment w:val="baseline"/>
        <w:rPr>
          <w:rFonts w:ascii="宋体" w:hAnsi="宋体" w:cs="宋体"/>
          <w:b/>
          <w:kern w:val="0"/>
          <w:sz w:val="28"/>
          <w:szCs w:val="28"/>
        </w:rPr>
      </w:pPr>
      <w:r>
        <w:rPr>
          <w:rFonts w:ascii="宋体" w:hAnsi="宋体" w:cs="宋体"/>
          <w:kern w:val="0"/>
          <w:sz w:val="28"/>
          <w:szCs w:val="28"/>
        </w:rPr>
        <w:t>7．依据本合同规定，向乙方支付咨询服务费用 。</w:t>
      </w:r>
    </w:p>
    <w:p>
      <w:pPr>
        <w:adjustRightInd w:val="0"/>
        <w:spacing w:line="360" w:lineRule="auto"/>
        <w:ind w:firstLine="560" w:firstLineChars="200"/>
        <w:textAlignment w:val="baseline"/>
        <w:outlineLvl w:val="0"/>
        <w:rPr>
          <w:rFonts w:ascii="宋体" w:hAnsi="宋体" w:cs="宋体"/>
          <w:kern w:val="0"/>
          <w:sz w:val="28"/>
          <w:szCs w:val="28"/>
        </w:rPr>
      </w:pPr>
      <w:r>
        <w:rPr>
          <w:rFonts w:ascii="宋体" w:hAnsi="宋体" w:cs="宋体"/>
          <w:kern w:val="0"/>
          <w:sz w:val="28"/>
          <w:szCs w:val="28"/>
        </w:rPr>
        <w:t>（二）乙方的权利和义务</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1．根据甲方咨询服务需要，乙方有权了解包括但不限于甲方的规划、重大决策等情况；</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2．乙方在提供咨询服务过程中有权要求甲方提供所需的资料；</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 xml:space="preserve">3．乙方在提供咨询服务过程中有到现场访谈、勘察的权利，但工作期间发生的调研、生活、交通、通讯等相关费用由乙方自行承担； </w:t>
      </w:r>
    </w:p>
    <w:p>
      <w:pPr>
        <w:adjustRightInd w:val="0"/>
        <w:spacing w:line="360" w:lineRule="auto"/>
        <w:ind w:firstLine="560" w:firstLineChars="200"/>
        <w:jc w:val="left"/>
        <w:textAlignment w:val="baseline"/>
        <w:rPr>
          <w:rFonts w:ascii="宋体" w:hAnsi="宋体" w:cs="宋体"/>
          <w:b/>
          <w:kern w:val="0"/>
          <w:sz w:val="28"/>
          <w:szCs w:val="28"/>
        </w:rPr>
      </w:pPr>
      <w:r>
        <w:rPr>
          <w:rFonts w:ascii="宋体" w:hAnsi="宋体" w:cs="宋体"/>
          <w:kern w:val="0"/>
          <w:sz w:val="28"/>
          <w:szCs w:val="28"/>
        </w:rPr>
        <w:t>4．乙方在提供咨询服务过程中组织或参加本项目的审查、评估活动，负责阐述报告内容，对专家和代表提出的有关问题进行解答；</w:t>
      </w:r>
    </w:p>
    <w:p>
      <w:pPr>
        <w:adjustRightIn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5．乙方在我国现行法律、政策允许的范围内，遵循诚实、勤勉、尽职的原则，按合同约定为甲方提供咨询服务；</w:t>
      </w:r>
    </w:p>
    <w:p>
      <w:pPr>
        <w:adjustRightIn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6．服务形式根据甲方需要而定，乙方可以为甲方提供书面的咨询服务方案、建议、报告、信息服务等，也可以为甲方提供现场咨询服务等形式的咨询服务；</w:t>
      </w:r>
    </w:p>
    <w:p>
      <w:pPr>
        <w:adjustRightIn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7．依据本合同约定，向甲方收取咨询服务费用；</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rPr>
        <w:t>8．在合同执行期间，没有得到甲方书面同意之前，乙方不能代表甲方或以甲方的名义行事。</w:t>
      </w:r>
      <w:bookmarkEnd w:id="48"/>
      <w:bookmarkEnd w:id="49"/>
    </w:p>
    <w:p>
      <w:pPr>
        <w:adjustRightInd w:val="0"/>
        <w:spacing w:line="360" w:lineRule="auto"/>
        <w:ind w:firstLine="562" w:firstLineChars="200"/>
        <w:jc w:val="left"/>
        <w:textAlignment w:val="baseline"/>
        <w:outlineLvl w:val="0"/>
        <w:rPr>
          <w:rFonts w:ascii="宋体" w:hAnsi="宋体" w:cs="宋体"/>
          <w:b/>
          <w:kern w:val="0"/>
          <w:sz w:val="28"/>
          <w:szCs w:val="28"/>
        </w:rPr>
      </w:pPr>
      <w:bookmarkStart w:id="50" w:name="_Toc27322_WPSOffice_Level2"/>
      <w:bookmarkStart w:id="51" w:name="_Toc9926_WPSOffice_Level2"/>
      <w:r>
        <w:rPr>
          <w:rFonts w:ascii="宋体" w:hAnsi="宋体" w:cs="宋体"/>
          <w:b/>
          <w:bCs/>
          <w:kern w:val="0"/>
          <w:sz w:val="28"/>
          <w:szCs w:val="28"/>
          <w:lang w:bidi="ar"/>
        </w:rPr>
        <w:t xml:space="preserve">第五条 </w:t>
      </w:r>
      <w:r>
        <w:rPr>
          <w:rFonts w:ascii="宋体" w:hAnsi="宋体" w:cs="宋体"/>
          <w:b/>
          <w:kern w:val="0"/>
          <w:sz w:val="28"/>
          <w:szCs w:val="28"/>
        </w:rPr>
        <w:t>资料的保密</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1.甲、乙双方对相互提供的情报、资料的文件要承担保密责任及义务，非经双方同意不得转让给第三方。</w:t>
      </w:r>
    </w:p>
    <w:p>
      <w:pPr>
        <w:adjustRightInd w:val="0"/>
        <w:snapToGrid w:val="0"/>
        <w:spacing w:line="360" w:lineRule="auto"/>
        <w:ind w:firstLine="560" w:firstLineChars="200"/>
        <w:textAlignment w:val="baseline"/>
        <w:rPr>
          <w:rFonts w:ascii="宋体" w:hAnsi="宋体" w:cs="宋体"/>
          <w:b/>
          <w:kern w:val="0"/>
          <w:sz w:val="28"/>
          <w:szCs w:val="28"/>
        </w:rPr>
      </w:pPr>
      <w:r>
        <w:rPr>
          <w:rFonts w:ascii="宋体" w:hAnsi="宋体" w:cs="宋体"/>
          <w:kern w:val="0"/>
          <w:sz w:val="28"/>
          <w:szCs w:val="28"/>
        </w:rPr>
        <w:t>2.乙方提供的咨询报告只为本合同约定的项目服务，甲方对报告内容要承担保密责任，非经双方同意不可擅自他用。</w:t>
      </w:r>
    </w:p>
    <w:p>
      <w:pPr>
        <w:adjustRightInd w:val="0"/>
        <w:spacing w:line="360" w:lineRule="auto"/>
        <w:ind w:firstLine="562" w:firstLineChars="200"/>
        <w:jc w:val="left"/>
        <w:textAlignment w:val="baseline"/>
        <w:outlineLvl w:val="0"/>
        <w:rPr>
          <w:rFonts w:ascii="宋体" w:hAnsi="宋体" w:cs="宋体"/>
          <w:b/>
          <w:kern w:val="0"/>
          <w:sz w:val="28"/>
          <w:szCs w:val="28"/>
        </w:rPr>
      </w:pPr>
      <w:r>
        <w:rPr>
          <w:rFonts w:ascii="宋体" w:hAnsi="宋体" w:cs="宋体"/>
          <w:b/>
          <w:kern w:val="0"/>
          <w:sz w:val="28"/>
          <w:szCs w:val="28"/>
        </w:rPr>
        <w:t>第六条 违约责任</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 xml:space="preserve">1.违反本合同规定，按《中华人民共和国民法典》的有关规定，由违约方承担违约责任，并赔偿对方由此而造成的直接经济损失； </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2.由于乙方原因不按合同规定期限提交咨询报告时，乙方应向甲方支付违约金，其违约金额为每逾期一天，按合同价款的 1‰计算向甲方支付；</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3.签订本合同后，由于甲方单方面变更计划而中止或暂停本次委托，甲方应在合同期内向乙方支付全部费用。乙方单方面不履行本合同，应赔偿甲方由此造成的直接经济损失（但赔偿总额不超过本合同的咨询费）。</w:t>
      </w:r>
    </w:p>
    <w:p>
      <w:pPr>
        <w:adjustRightInd w:val="0"/>
        <w:snapToGrid w:val="0"/>
        <w:spacing w:line="360" w:lineRule="auto"/>
        <w:ind w:firstLine="562" w:firstLineChars="200"/>
        <w:textAlignment w:val="baseline"/>
        <w:rPr>
          <w:rFonts w:ascii="宋体" w:hAnsi="宋体" w:cs="宋体"/>
          <w:b/>
          <w:kern w:val="0"/>
          <w:sz w:val="28"/>
          <w:szCs w:val="28"/>
        </w:rPr>
      </w:pPr>
      <w:r>
        <w:rPr>
          <w:rFonts w:ascii="宋体" w:hAnsi="宋体" w:cs="宋体"/>
          <w:b/>
          <w:kern w:val="0"/>
          <w:sz w:val="28"/>
          <w:szCs w:val="28"/>
        </w:rPr>
        <w:t>第七条  特殊约定</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发生下列情况之一，致使本合同在履行期限内不能履行或部分不能履行的，当事方应及时向对方通报并书面提供理由依据，经双方同意后签定补充合同，约定延期履行、部分履行或不履行：</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 xml:space="preserve">1.一方违反合同； </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 xml:space="preserve">2.国家政策调整变化； </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3.发生不可抗力：由于严重自然灾害、战争以及双方同意的其他不可抗力的原因，致使合同全部或部分不能履行时，当事方应在事件发生后 24 小时内书面通知另一方。</w:t>
      </w:r>
    </w:p>
    <w:p>
      <w:pPr>
        <w:overflowPunct w:val="0"/>
        <w:autoSpaceDE w:val="0"/>
        <w:autoSpaceDN w:val="0"/>
        <w:adjustRightInd w:val="0"/>
        <w:spacing w:line="360" w:lineRule="auto"/>
        <w:ind w:firstLine="562" w:firstLineChars="200"/>
        <w:jc w:val="left"/>
        <w:textAlignment w:val="baseline"/>
        <w:rPr>
          <w:rFonts w:ascii="宋体" w:hAnsi="宋体" w:cs="宋体"/>
          <w:b/>
          <w:kern w:val="0"/>
          <w:sz w:val="28"/>
          <w:szCs w:val="28"/>
        </w:rPr>
      </w:pPr>
      <w:r>
        <w:rPr>
          <w:rFonts w:ascii="宋体" w:hAnsi="宋体" w:cs="宋体"/>
          <w:b/>
          <w:kern w:val="0"/>
          <w:sz w:val="28"/>
          <w:szCs w:val="28"/>
        </w:rPr>
        <w:t>第八条  合同效力与变更</w:t>
      </w:r>
    </w:p>
    <w:p>
      <w:pPr>
        <w:adjustRightInd w:val="0"/>
        <w:spacing w:line="360" w:lineRule="auto"/>
        <w:ind w:firstLine="560" w:firstLineChars="200"/>
        <w:textAlignment w:val="baseline"/>
        <w:rPr>
          <w:rFonts w:ascii="宋体" w:hAnsi="宋体" w:cs="宋体"/>
          <w:sz w:val="28"/>
          <w:szCs w:val="28"/>
        </w:rPr>
      </w:pPr>
      <w:r>
        <w:rPr>
          <w:rFonts w:ascii="宋体" w:hAnsi="宋体" w:cs="宋体"/>
          <w:sz w:val="28"/>
          <w:szCs w:val="28"/>
        </w:rPr>
        <w:t>1.本合同由甲、乙双方盖章并由法人代表或委托代理人签字之日起生效，双方履行合同规定义务完毕后失效；</w:t>
      </w:r>
    </w:p>
    <w:p>
      <w:pPr>
        <w:overflowPunct w:val="0"/>
        <w:autoSpaceDE w:val="0"/>
        <w:autoSpaceDN w:val="0"/>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2.本合同未尽事宜，由双方另行协商并达成一致后，可以签订补充协议。补充协议是本合同的有效组成部分，与本合同具有同等法律效力。如补充协议的约定与本合同不一致的，则以补充协议为准。</w:t>
      </w:r>
    </w:p>
    <w:p>
      <w:pPr>
        <w:adjustRightInd w:val="0"/>
        <w:spacing w:line="360" w:lineRule="auto"/>
        <w:ind w:firstLine="562" w:firstLineChars="200"/>
        <w:textAlignment w:val="baseline"/>
        <w:rPr>
          <w:rFonts w:ascii="宋体" w:hAnsi="宋体" w:cs="宋体"/>
          <w:b/>
          <w:sz w:val="28"/>
          <w:szCs w:val="28"/>
        </w:rPr>
      </w:pPr>
      <w:r>
        <w:rPr>
          <w:rFonts w:ascii="宋体" w:hAnsi="宋体" w:cs="宋体"/>
          <w:b/>
          <w:sz w:val="28"/>
          <w:szCs w:val="28"/>
        </w:rPr>
        <w:t>第九条  争议处理</w:t>
      </w:r>
    </w:p>
    <w:p>
      <w:pPr>
        <w:adjustRightInd w:val="0"/>
        <w:snapToGri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双方在履行本合同的过程中若发生纠纷,应通过友好协商解决。协商不一致的，按以下第</w:t>
      </w:r>
      <w:r>
        <w:rPr>
          <w:rFonts w:ascii="宋体" w:hAnsi="宋体" w:cs="宋体"/>
          <w:kern w:val="0"/>
          <w:sz w:val="28"/>
          <w:szCs w:val="28"/>
          <w:u w:val="single"/>
        </w:rPr>
        <w:t>（一）</w:t>
      </w:r>
      <w:r>
        <w:rPr>
          <w:rFonts w:ascii="宋体" w:hAnsi="宋体" w:cs="宋体"/>
          <w:kern w:val="0"/>
          <w:sz w:val="28"/>
          <w:szCs w:val="28"/>
        </w:rPr>
        <w:t>种方式解决：</w:t>
      </w:r>
    </w:p>
    <w:p>
      <w:pPr>
        <w:adjustRightInd w:val="0"/>
        <w:snapToGri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（一）向</w:t>
      </w:r>
      <w:r>
        <w:rPr>
          <w:rFonts w:ascii="宋体" w:hAnsi="宋体" w:cs="宋体"/>
          <w:kern w:val="0"/>
          <w:sz w:val="28"/>
          <w:szCs w:val="28"/>
          <w:u w:val="single"/>
        </w:rPr>
        <w:t xml:space="preserve">  甲方所在地  </w:t>
      </w:r>
      <w:r>
        <w:rPr>
          <w:rFonts w:ascii="宋体" w:hAnsi="宋体" w:cs="宋体"/>
          <w:kern w:val="0"/>
          <w:sz w:val="28"/>
          <w:szCs w:val="28"/>
        </w:rPr>
        <w:t>人民法院起诉；</w:t>
      </w:r>
    </w:p>
    <w:p>
      <w:pPr>
        <w:adjustRightInd w:val="0"/>
        <w:snapToGri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 xml:space="preserve">（二）提交 </w:t>
      </w:r>
      <w:r>
        <w:rPr>
          <w:rFonts w:ascii="宋体" w:hAnsi="宋体" w:cs="宋体"/>
          <w:kern w:val="0"/>
          <w:sz w:val="28"/>
          <w:szCs w:val="28"/>
          <w:u w:val="single"/>
        </w:rPr>
        <w:t xml:space="preserve">          </w:t>
      </w:r>
      <w:r>
        <w:rPr>
          <w:rFonts w:ascii="宋体" w:hAnsi="宋体" w:cs="宋体"/>
          <w:kern w:val="0"/>
          <w:sz w:val="28"/>
          <w:szCs w:val="28"/>
        </w:rPr>
        <w:t xml:space="preserve">仲裁委员会（仲裁地点为 </w:t>
      </w:r>
      <w:r>
        <w:rPr>
          <w:rFonts w:ascii="宋体" w:hAnsi="宋体" w:cs="宋体"/>
          <w:kern w:val="0"/>
          <w:sz w:val="28"/>
          <w:szCs w:val="28"/>
          <w:u w:val="single"/>
        </w:rPr>
        <w:t xml:space="preserve">      </w:t>
      </w:r>
      <w:r>
        <w:rPr>
          <w:rFonts w:ascii="宋体" w:hAnsi="宋体" w:cs="宋体"/>
          <w:kern w:val="0"/>
          <w:sz w:val="28"/>
          <w:szCs w:val="28"/>
        </w:rPr>
        <w:t>）,按照申请仲裁时该会现行有效的仲裁规则进行仲裁。仲裁裁决是终局的，对双方均有约束力。</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（三）在诉讼或仲裁期间，本合同不涉及争议部分的条款仍须履行。</w:t>
      </w:r>
    </w:p>
    <w:p>
      <w:pPr>
        <w:adjustRightInd w:val="0"/>
        <w:spacing w:line="360" w:lineRule="auto"/>
        <w:ind w:firstLine="562" w:firstLineChars="200"/>
        <w:jc w:val="left"/>
        <w:textAlignment w:val="baseline"/>
        <w:outlineLvl w:val="0"/>
        <w:rPr>
          <w:rFonts w:ascii="宋体" w:hAnsi="宋体" w:cs="宋体"/>
          <w:kern w:val="0"/>
          <w:sz w:val="28"/>
          <w:szCs w:val="28"/>
        </w:rPr>
      </w:pPr>
      <w:r>
        <w:rPr>
          <w:rFonts w:ascii="宋体" w:hAnsi="宋体" w:cs="宋体"/>
          <w:b/>
          <w:kern w:val="0"/>
          <w:sz w:val="28"/>
          <w:szCs w:val="28"/>
        </w:rPr>
        <w:t>第十条  附则</w:t>
      </w:r>
    </w:p>
    <w:p>
      <w:pPr>
        <w:spacing w:line="360" w:lineRule="auto"/>
        <w:ind w:firstLine="560" w:firstLineChars="200"/>
        <w:rPr>
          <w:rFonts w:ascii="宋体" w:hAnsi="宋体" w:cs="宋体"/>
          <w:b/>
          <w:bCs/>
          <w:kern w:val="0"/>
          <w:sz w:val="28"/>
          <w:szCs w:val="28"/>
          <w:lang w:bidi="ar"/>
        </w:rPr>
      </w:pPr>
      <w:r>
        <w:rPr>
          <w:rFonts w:ascii="宋体" w:hAnsi="宋体" w:cs="宋体"/>
          <w:kern w:val="0"/>
          <w:sz w:val="28"/>
          <w:szCs w:val="28"/>
        </w:rPr>
        <w:t>本合同一式</w:t>
      </w:r>
      <w:r>
        <w:rPr>
          <w:rFonts w:ascii="宋体" w:hAnsi="宋体" w:cs="宋体"/>
          <w:kern w:val="0"/>
          <w:sz w:val="28"/>
          <w:szCs w:val="28"/>
          <w:u w:val="single"/>
        </w:rPr>
        <w:t xml:space="preserve">     </w:t>
      </w:r>
      <w:r>
        <w:rPr>
          <w:rFonts w:ascii="宋体" w:hAnsi="宋体" w:cs="宋体"/>
          <w:kern w:val="0"/>
          <w:sz w:val="28"/>
          <w:szCs w:val="28"/>
        </w:rPr>
        <w:t>份，甲方执</w:t>
      </w:r>
      <w:r>
        <w:rPr>
          <w:rFonts w:ascii="宋体" w:hAnsi="宋体" w:cs="宋体"/>
          <w:kern w:val="0"/>
          <w:sz w:val="28"/>
          <w:szCs w:val="28"/>
          <w:u w:val="single"/>
        </w:rPr>
        <w:t xml:space="preserve">    </w:t>
      </w:r>
      <w:r>
        <w:rPr>
          <w:rFonts w:ascii="宋体" w:hAnsi="宋体" w:cs="宋体"/>
          <w:kern w:val="0"/>
          <w:sz w:val="28"/>
          <w:szCs w:val="28"/>
        </w:rPr>
        <w:t>份，乙方执</w:t>
      </w:r>
      <w:r>
        <w:rPr>
          <w:rFonts w:ascii="宋体" w:hAnsi="宋体" w:cs="宋体"/>
          <w:kern w:val="0"/>
          <w:sz w:val="28"/>
          <w:szCs w:val="28"/>
          <w:u w:val="single"/>
        </w:rPr>
        <w:t xml:space="preserve">      </w:t>
      </w:r>
      <w:r>
        <w:rPr>
          <w:rFonts w:ascii="宋体" w:hAnsi="宋体" w:cs="宋体"/>
          <w:kern w:val="0"/>
          <w:sz w:val="28"/>
          <w:szCs w:val="28"/>
        </w:rPr>
        <w:t>份，均具同等法律效力。</w:t>
      </w:r>
    </w:p>
    <w:bookmarkEnd w:id="50"/>
    <w:bookmarkEnd w:id="51"/>
    <w:p>
      <w:pPr>
        <w:spacing w:before="240" w:beforeLines="100" w:line="360" w:lineRule="auto"/>
        <w:ind w:firstLine="560" w:firstLineChars="200"/>
        <w:jc w:val="left"/>
        <w:rPr>
          <w:rFonts w:ascii="宋体" w:hAnsi="宋体" w:cs="宋体"/>
          <w:sz w:val="28"/>
          <w:szCs w:val="28"/>
        </w:rPr>
      </w:pPr>
      <w:bookmarkStart w:id="52" w:name="_Toc5960_WPSOffice_Level2"/>
      <w:bookmarkStart w:id="53" w:name="_Toc16610_WPSOffice_Level2"/>
      <w:r>
        <w:rPr>
          <w:rFonts w:hint="eastAsia" w:ascii="宋体" w:hAnsi="宋体" w:cs="宋体"/>
          <w:sz w:val="28"/>
          <w:szCs w:val="28"/>
          <w:lang w:eastAsia="zh-CN"/>
        </w:rPr>
        <w:t>招标人</w:t>
      </w:r>
      <w:r>
        <w:rPr>
          <w:rFonts w:ascii="宋体" w:hAnsi="宋体" w:cs="宋体"/>
          <w:sz w:val="28"/>
          <w:szCs w:val="28"/>
        </w:rPr>
        <w:t xml:space="preserve">（盖章）：                          </w:t>
      </w:r>
      <w:r>
        <w:rPr>
          <w:rFonts w:hint="eastAsia" w:ascii="宋体" w:hAnsi="宋体" w:cs="宋体"/>
          <w:sz w:val="28"/>
          <w:szCs w:val="28"/>
          <w:lang w:eastAsia="zh-CN"/>
        </w:rPr>
        <w:t>投标人</w:t>
      </w:r>
      <w:r>
        <w:rPr>
          <w:rFonts w:ascii="宋体" w:hAnsi="宋体" w:cs="宋体"/>
          <w:sz w:val="28"/>
          <w:szCs w:val="28"/>
        </w:rPr>
        <w:t>（盖章）：</w:t>
      </w:r>
    </w:p>
    <w:bookmarkEnd w:id="52"/>
    <w:bookmarkEnd w:id="53"/>
    <w:p>
      <w:pPr>
        <w:spacing w:line="360" w:lineRule="auto"/>
        <w:ind w:firstLine="560" w:firstLineChars="200"/>
        <w:rPr>
          <w:rFonts w:ascii="宋体" w:hAnsi="宋体" w:cs="宋体"/>
          <w:sz w:val="28"/>
          <w:szCs w:val="28"/>
        </w:rPr>
      </w:pPr>
      <w:r>
        <w:rPr>
          <w:rFonts w:ascii="宋体" w:hAnsi="宋体" w:cs="宋体"/>
          <w:sz w:val="28"/>
          <w:szCs w:val="28"/>
        </w:rPr>
        <w:t>负责人：                                  负责人：</w:t>
      </w:r>
    </w:p>
    <w:p>
      <w:pPr>
        <w:spacing w:line="360" w:lineRule="auto"/>
        <w:ind w:firstLine="560" w:firstLineChars="200"/>
        <w:jc w:val="left"/>
        <w:rPr>
          <w:rFonts w:ascii="宋体" w:hAnsi="宋体" w:cs="宋体"/>
          <w:sz w:val="28"/>
          <w:szCs w:val="28"/>
        </w:rPr>
      </w:pPr>
      <w:r>
        <w:rPr>
          <w:rFonts w:ascii="宋体" w:hAnsi="宋体" w:cs="宋体"/>
          <w:sz w:val="28"/>
          <w:szCs w:val="28"/>
        </w:rPr>
        <w:t>委托代理人：                              委托代理人：</w:t>
      </w:r>
    </w:p>
    <w:p>
      <w:pPr>
        <w:spacing w:line="360" w:lineRule="auto"/>
        <w:ind w:firstLine="560" w:firstLineChars="200"/>
        <w:jc w:val="left"/>
        <w:rPr>
          <w:rFonts w:ascii="宋体" w:hAnsi="宋体" w:cs="宋体"/>
          <w:sz w:val="28"/>
          <w:szCs w:val="28"/>
        </w:rPr>
      </w:pPr>
      <w:r>
        <w:rPr>
          <w:rFonts w:ascii="宋体" w:hAnsi="宋体" w:cs="宋体"/>
          <w:sz w:val="28"/>
          <w:szCs w:val="28"/>
        </w:rPr>
        <w:t>地址：                                    地址：</w:t>
      </w:r>
    </w:p>
    <w:p>
      <w:pPr>
        <w:spacing w:line="360" w:lineRule="auto"/>
        <w:ind w:firstLine="560" w:firstLineChars="200"/>
        <w:jc w:val="left"/>
        <w:rPr>
          <w:rFonts w:ascii="宋体" w:hAnsi="宋体" w:cs="宋体"/>
          <w:sz w:val="28"/>
          <w:szCs w:val="28"/>
        </w:rPr>
      </w:pPr>
      <w:r>
        <w:rPr>
          <w:rFonts w:ascii="宋体" w:hAnsi="宋体" w:cs="宋体"/>
          <w:sz w:val="28"/>
          <w:szCs w:val="28"/>
        </w:rPr>
        <w:t>电话：                                    电话：</w:t>
      </w:r>
    </w:p>
    <w:p>
      <w:pPr>
        <w:spacing w:line="360" w:lineRule="auto"/>
        <w:ind w:firstLine="560" w:firstLineChars="200"/>
        <w:jc w:val="left"/>
        <w:rPr>
          <w:rFonts w:ascii="宋体" w:hAnsi="宋体" w:cs="宋体"/>
          <w:sz w:val="28"/>
          <w:szCs w:val="28"/>
        </w:rPr>
      </w:pPr>
      <w:r>
        <w:rPr>
          <w:rFonts w:ascii="宋体" w:hAnsi="宋体" w:cs="宋体"/>
          <w:sz w:val="28"/>
          <w:szCs w:val="28"/>
        </w:rPr>
        <w:t>开户行：                                  开户行:</w:t>
      </w:r>
    </w:p>
    <w:p>
      <w:pPr>
        <w:spacing w:line="360" w:lineRule="auto"/>
        <w:ind w:firstLine="560" w:firstLineChars="200"/>
        <w:jc w:val="left"/>
        <w:rPr>
          <w:rFonts w:ascii="宋体" w:hAnsi="宋体" w:cs="宋体"/>
          <w:sz w:val="28"/>
          <w:szCs w:val="28"/>
        </w:rPr>
      </w:pPr>
      <w:r>
        <w:rPr>
          <w:rFonts w:ascii="宋体" w:hAnsi="宋体" w:cs="宋体"/>
          <w:sz w:val="28"/>
          <w:szCs w:val="28"/>
        </w:rPr>
        <w:t>账号：                                    账号：</w:t>
      </w:r>
    </w:p>
    <w:p>
      <w:pPr>
        <w:spacing w:line="360" w:lineRule="auto"/>
        <w:ind w:firstLine="560" w:firstLineChars="200"/>
        <w:jc w:val="left"/>
        <w:rPr>
          <w:rFonts w:ascii="宋体" w:hAnsi="宋体" w:cs="宋体"/>
          <w:sz w:val="28"/>
          <w:szCs w:val="28"/>
        </w:rPr>
      </w:pPr>
      <w:r>
        <w:rPr>
          <w:rFonts w:ascii="宋体" w:hAnsi="宋体" w:cs="宋体"/>
          <w:sz w:val="28"/>
          <w:szCs w:val="28"/>
        </w:rPr>
        <w:t>签订时间：                                签订时间：</w:t>
      </w:r>
    </w:p>
    <w:p>
      <w:pPr>
        <w:spacing w:line="360" w:lineRule="auto"/>
        <w:ind w:firstLine="560" w:firstLineChars="200"/>
        <w:jc w:val="left"/>
        <w:rPr>
          <w:rFonts w:ascii="宋体" w:hAnsi="宋体" w:cs="宋体"/>
          <w:sz w:val="28"/>
          <w:szCs w:val="28"/>
        </w:rPr>
      </w:pPr>
      <w:r>
        <w:rPr>
          <w:rFonts w:ascii="宋体" w:hAnsi="宋体" w:cs="宋体"/>
          <w:sz w:val="28"/>
          <w:szCs w:val="28"/>
        </w:rPr>
        <w:t>签订地点：                                签订地点：</w:t>
      </w:r>
    </w:p>
    <w:p>
      <w:pPr>
        <w:spacing w:before="120" w:beforeLines="50"/>
        <w:jc w:val="left"/>
        <w:rPr>
          <w:rFonts w:ascii="宋体" w:hAnsi="宋体" w:cs="宋体"/>
          <w:sz w:val="28"/>
          <w:szCs w:val="28"/>
        </w:rPr>
      </w:pPr>
      <w:r>
        <w:rPr>
          <w:rFonts w:ascii="宋体" w:hAnsi="宋体" w:cs="宋体"/>
          <w:b/>
          <w:kern w:val="0"/>
          <w:sz w:val="28"/>
          <w:szCs w:val="28"/>
          <w:lang w:bidi="ar"/>
        </w:rPr>
        <w:t>注：上述合同仅作为参考文本，合同签订时双方可根据项目的具体要求进行修订，实质性内容不得违背</w:t>
      </w:r>
      <w:r>
        <w:rPr>
          <w:rFonts w:hint="eastAsia" w:ascii="宋体" w:hAnsi="宋体" w:cs="宋体"/>
          <w:b/>
          <w:kern w:val="0"/>
          <w:sz w:val="28"/>
          <w:szCs w:val="28"/>
          <w:lang w:eastAsia="zh-CN" w:bidi="ar"/>
        </w:rPr>
        <w:t>招标文件</w:t>
      </w:r>
      <w:r>
        <w:rPr>
          <w:rFonts w:ascii="宋体" w:hAnsi="宋体" w:cs="宋体"/>
          <w:b/>
          <w:kern w:val="0"/>
          <w:sz w:val="28"/>
          <w:szCs w:val="28"/>
          <w:lang w:bidi="ar"/>
        </w:rPr>
        <w:t>的条款。</w:t>
      </w: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textAlignment w:val="auto"/>
        <w:rPr>
          <w:rFonts w:hint="eastAsia" w:cs="宋体" w:asciiTheme="minorEastAsia" w:hAnsiTheme="minorEastAsia"/>
        </w:rPr>
      </w:pPr>
    </w:p>
    <w:p>
      <w:pPr>
        <w:rPr>
          <w:rFonts w:hint="eastAsia" w:cs="宋体" w:asciiTheme="minorEastAsia" w:hAnsiTheme="minorEastAsia"/>
        </w:rPr>
      </w:pPr>
      <w:r>
        <w:rPr>
          <w:rFonts w:hint="eastAsia" w:cs="宋体" w:asciiTheme="minorEastAsia" w:hAnsiTheme="minorEastAsia"/>
        </w:rPr>
        <w:br w:type="page"/>
      </w:r>
    </w:p>
    <w:p>
      <w:pPr>
        <w:pStyle w:val="3"/>
        <w:pageBreakBefore w:val="0"/>
        <w:kinsoku/>
        <w:wordWrap/>
        <w:overflowPunct/>
        <w:topLinePunct w:val="0"/>
        <w:autoSpaceDE/>
        <w:autoSpaceDN/>
        <w:bidi w:val="0"/>
        <w:adjustRightInd/>
        <w:snapToGrid/>
        <w:spacing w:before="0" w:after="0" w:line="360" w:lineRule="auto"/>
        <w:ind w:firstLine="1325" w:firstLineChars="300"/>
        <w:textAlignment w:val="auto"/>
        <w:rPr>
          <w:rFonts w:cs="宋体" w:asciiTheme="minorEastAsia" w:hAnsiTheme="minorEastAsia"/>
        </w:rPr>
      </w:pPr>
      <w:r>
        <w:rPr>
          <w:rFonts w:hint="eastAsia" w:cs="宋体" w:asciiTheme="minorEastAsia" w:hAnsiTheme="minorEastAsia"/>
        </w:rPr>
        <w:t>第六部分  竞争性磋商响应文件格式</w:t>
      </w:r>
      <w:bookmarkEnd w:id="32"/>
      <w:bookmarkEnd w:id="33"/>
    </w:p>
    <w:p>
      <w:pPr>
        <w:pageBreakBefore w:val="0"/>
        <w:kinsoku/>
        <w:wordWrap/>
        <w:overflowPunct/>
        <w:topLinePunct w:val="0"/>
        <w:autoSpaceDE/>
        <w:autoSpaceDN/>
        <w:bidi w:val="0"/>
        <w:adjustRightInd/>
        <w:snapToGrid/>
        <w:spacing w:line="360" w:lineRule="auto"/>
        <w:ind w:firstLine="2951"/>
        <w:textAlignment w:val="auto"/>
        <w:rPr>
          <w:rFonts w:cs="宋体" w:asciiTheme="minorEastAsia" w:hAnsiTheme="minorEastAsia"/>
          <w:b/>
          <w:sz w:val="28"/>
          <w:szCs w:val="28"/>
        </w:rPr>
      </w:pPr>
      <w:r>
        <w:rPr>
          <w:rFonts w:hint="eastAsia" w:cs="宋体" w:asciiTheme="minorEastAsia" w:hAnsiTheme="minorEastAsia"/>
          <w:b/>
          <w:sz w:val="28"/>
          <w:szCs w:val="28"/>
        </w:rPr>
        <w:t>竞争性磋商响应文件编制说明</w:t>
      </w:r>
    </w:p>
    <w:p>
      <w:pPr>
        <w:pageBreakBefore w:val="0"/>
        <w:widowControl/>
        <w:kinsoku/>
        <w:wordWrap/>
        <w:overflowPunct/>
        <w:topLinePunct w:val="0"/>
        <w:autoSpaceDE/>
        <w:autoSpaceDN/>
        <w:bidi w:val="0"/>
        <w:adjustRightInd/>
        <w:snapToGrid/>
        <w:spacing w:line="360" w:lineRule="auto"/>
        <w:ind w:firstLine="560"/>
        <w:jc w:val="left"/>
        <w:textAlignment w:val="auto"/>
        <w:rPr>
          <w:rFonts w:cs="宋体" w:asciiTheme="minorEastAsia" w:hAnsiTheme="minorEastAsia"/>
          <w:sz w:val="28"/>
          <w:szCs w:val="28"/>
        </w:rPr>
      </w:pPr>
      <w:r>
        <w:rPr>
          <w:rFonts w:hint="eastAsia" w:cs="宋体" w:asciiTheme="minorEastAsia" w:hAnsiTheme="minorEastAsia"/>
          <w:sz w:val="28"/>
          <w:szCs w:val="28"/>
        </w:rPr>
        <w:t>1、竞争性磋商响应文件应当使用竞争性磋商文件规定的全部格式（表格可以按同样格式扩展）编写，除明确允许供应商可以自行编写的外，供应商不得以“竞争性磋商响应文件格式”规定之外的方式填写相关内容。</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2、竞争性磋商响应文件的编制应按照样本格式提供的内容，做出逐一明确的答复；供应商认为有必要，还可以做其它补充说明。</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3、供应商必须按照竞争性磋商文件的规定和要求由法定代表人或被授权人签字（或盖章）。</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对未按上述要求编制的磋商响应文件，按无效磋商响应文件处理。</w:t>
      </w:r>
    </w:p>
    <w:p>
      <w:pPr>
        <w:pageBreakBefore w:val="0"/>
        <w:kinsoku/>
        <w:wordWrap/>
        <w:overflowPunct/>
        <w:topLinePunct w:val="0"/>
        <w:autoSpaceDE/>
        <w:autoSpaceDN/>
        <w:bidi w:val="0"/>
        <w:adjustRightInd/>
        <w:snapToGrid/>
        <w:spacing w:line="360" w:lineRule="auto"/>
        <w:textAlignment w:val="auto"/>
        <w:rPr>
          <w:rFonts w:cs="宋体" w:asciiTheme="minorEastAsia" w:hAnsiTheme="minorEastAsia"/>
          <w:sz w:val="28"/>
          <w:szCs w:val="28"/>
        </w:rPr>
      </w:pPr>
    </w:p>
    <w:p>
      <w:pPr>
        <w:pStyle w:val="2"/>
        <w:pageBreakBefore w:val="0"/>
        <w:kinsoku/>
        <w:wordWrap/>
        <w:overflowPunct/>
        <w:topLinePunct w:val="0"/>
        <w:autoSpaceDE/>
        <w:autoSpaceDN/>
        <w:bidi w:val="0"/>
        <w:adjustRightInd/>
        <w:snapToGrid/>
        <w:spacing w:line="360" w:lineRule="auto"/>
        <w:textAlignment w:val="auto"/>
        <w:rPr>
          <w:rFonts w:asciiTheme="minorEastAsia" w:hAnsiTheme="minorEastAsia"/>
        </w:rPr>
        <w:sectPr>
          <w:headerReference r:id="rId18" w:type="default"/>
          <w:footerReference r:id="rId19" w:type="default"/>
          <w:endnotePr>
            <w:numFmt w:val="decimal"/>
          </w:endnotePr>
          <w:pgSz w:w="11907" w:h="16840"/>
          <w:pgMar w:top="1418" w:right="1287" w:bottom="936" w:left="1259" w:header="907" w:footer="654" w:gutter="0"/>
          <w:pgNumType w:fmt="decimal"/>
          <w:cols w:space="720" w:num="1"/>
          <w:titlePg/>
        </w:sectPr>
      </w:pPr>
    </w:p>
    <w:p>
      <w:pPr>
        <w:spacing w:line="520" w:lineRule="exact"/>
        <w:ind w:firstLine="560"/>
        <w:jc w:val="right"/>
        <w:rPr>
          <w:rFonts w:cs="宋体" w:asciiTheme="minorEastAsia" w:hAnsiTheme="minorEastAsia"/>
          <w:sz w:val="28"/>
          <w:szCs w:val="28"/>
        </w:rPr>
      </w:pPr>
    </w:p>
    <w:p>
      <w:pPr>
        <w:spacing w:line="480" w:lineRule="auto"/>
        <w:ind w:firstLine="7047" w:firstLineChars="1950"/>
        <w:rPr>
          <w:rFonts w:cs="宋体" w:asciiTheme="minorEastAsia" w:hAnsiTheme="minorEastAsia"/>
          <w:b/>
          <w:color w:val="000000"/>
          <w:sz w:val="36"/>
          <w:szCs w:val="36"/>
          <w:bdr w:val="single" w:color="auto" w:sz="4" w:space="0"/>
          <w:shd w:val="pct10" w:color="auto" w:fill="FFFFFF"/>
        </w:rPr>
      </w:pPr>
      <w:bookmarkStart w:id="54" w:name="_Toc3205_WPSOffice_Level1"/>
      <w:bookmarkEnd w:id="54"/>
      <w:bookmarkStart w:id="55" w:name="_Toc14121_WPSOffice_Level1"/>
      <w:bookmarkEnd w:id="55"/>
      <w:bookmarkStart w:id="56" w:name="_Toc29310_WPSOffice_Level1"/>
      <w:bookmarkEnd w:id="56"/>
      <w:bookmarkStart w:id="57" w:name="_Toc3983_WPSOffice_Level1"/>
      <w:bookmarkEnd w:id="57"/>
      <w:bookmarkStart w:id="58" w:name="_Toc13214_WPSOffice_Level1"/>
      <w:bookmarkEnd w:id="58"/>
      <w:bookmarkStart w:id="59" w:name="_Toc31899_WPSOffice_Level1"/>
      <w:bookmarkStart w:id="60" w:name="_Toc2436_WPSOffice_Level1"/>
      <w:bookmarkStart w:id="61" w:name="_Toc27924_WPSOffice_Level1"/>
      <w:r>
        <w:rPr>
          <w:rFonts w:hint="eastAsia" w:cs="宋体" w:asciiTheme="minorEastAsia" w:hAnsiTheme="minorEastAsia"/>
          <w:b/>
          <w:color w:val="000000"/>
          <w:sz w:val="36"/>
          <w:szCs w:val="36"/>
          <w:bdr w:val="single" w:color="auto" w:sz="4" w:space="0"/>
          <w:shd w:val="pct10" w:color="auto" w:fill="FFFFFF"/>
        </w:rPr>
        <w:t>政府采购项目</w:t>
      </w:r>
      <w:bookmarkEnd w:id="59"/>
      <w:bookmarkEnd w:id="60"/>
    </w:p>
    <w:p>
      <w:pPr>
        <w:spacing w:line="480" w:lineRule="exact"/>
        <w:rPr>
          <w:rFonts w:hint="eastAsia" w:cs="宋体" w:asciiTheme="minorEastAsia" w:hAnsiTheme="minorEastAsia" w:eastAsiaTheme="minorEastAsia"/>
          <w:b/>
          <w:bCs/>
          <w:spacing w:val="51"/>
          <w:szCs w:val="21"/>
          <w:lang w:eastAsia="zh-CN"/>
        </w:rPr>
      </w:pPr>
      <w:bookmarkStart w:id="62" w:name="_Toc13704_WPSOffice_Level1"/>
      <w:bookmarkStart w:id="63" w:name="_Toc6261_WPSOffice_Level1"/>
      <w:r>
        <w:rPr>
          <w:rFonts w:hint="eastAsia" w:cs="宋体" w:asciiTheme="minorEastAsia" w:hAnsiTheme="minorEastAsia"/>
          <w:b/>
          <w:sz w:val="36"/>
          <w:szCs w:val="36"/>
        </w:rPr>
        <w:t>项目编号</w:t>
      </w:r>
      <w:bookmarkEnd w:id="61"/>
      <w:r>
        <w:rPr>
          <w:rFonts w:hint="eastAsia" w:cs="宋体" w:asciiTheme="minorEastAsia" w:hAnsiTheme="minorEastAsia"/>
          <w:b/>
          <w:sz w:val="36"/>
          <w:szCs w:val="36"/>
        </w:rPr>
        <w:t>：</w:t>
      </w:r>
      <w:bookmarkEnd w:id="62"/>
      <w:bookmarkEnd w:id="63"/>
      <w:bookmarkStart w:id="64" w:name="_Toc12753_WPSOffice_Level1"/>
      <w:bookmarkEnd w:id="64"/>
      <w:bookmarkStart w:id="65" w:name="_Toc374_WPSOffice_Level1"/>
      <w:bookmarkEnd w:id="65"/>
      <w:r>
        <w:rPr>
          <w:rFonts w:hint="eastAsia" w:cs="宋体" w:asciiTheme="minorEastAsia" w:hAnsiTheme="minorEastAsia"/>
          <w:b/>
          <w:sz w:val="36"/>
          <w:szCs w:val="36"/>
          <w:lang w:eastAsia="zh-CN"/>
        </w:rPr>
        <w:t>SXHR2022-CG004.1B2</w:t>
      </w:r>
    </w:p>
    <w:p>
      <w:pPr>
        <w:pStyle w:val="7"/>
        <w:ind w:firstLine="0"/>
        <w:rPr>
          <w:rFonts w:cs="宋体" w:asciiTheme="minorEastAsia" w:hAnsiTheme="minorEastAsia"/>
          <w:b/>
          <w:bCs/>
          <w:spacing w:val="51"/>
          <w:szCs w:val="21"/>
        </w:rPr>
      </w:pPr>
    </w:p>
    <w:p>
      <w:pPr>
        <w:pStyle w:val="7"/>
        <w:rPr>
          <w:rFonts w:cs="宋体" w:asciiTheme="minorEastAsia" w:hAnsiTheme="minorEastAsia"/>
          <w:b/>
          <w:bCs/>
          <w:spacing w:val="51"/>
          <w:szCs w:val="21"/>
        </w:rPr>
      </w:pPr>
    </w:p>
    <w:p>
      <w:pPr>
        <w:pStyle w:val="7"/>
        <w:rPr>
          <w:rFonts w:cs="宋体" w:asciiTheme="minorEastAsia" w:hAnsiTheme="minorEastAsia"/>
          <w:b/>
          <w:bCs/>
          <w:spacing w:val="51"/>
          <w:szCs w:val="21"/>
        </w:rPr>
      </w:pPr>
    </w:p>
    <w:p>
      <w:pPr>
        <w:pStyle w:val="7"/>
        <w:rPr>
          <w:rFonts w:cs="宋体" w:asciiTheme="minorEastAsia" w:hAnsiTheme="minorEastAsia"/>
          <w:b/>
          <w:bCs/>
          <w:spacing w:val="51"/>
          <w:szCs w:val="21"/>
        </w:rPr>
      </w:pPr>
    </w:p>
    <w:p>
      <w:pPr>
        <w:pStyle w:val="22"/>
        <w:ind w:left="0" w:leftChars="0" w:firstLine="0" w:firstLineChars="0"/>
        <w:jc w:val="center"/>
        <w:rPr>
          <w:rFonts w:hint="eastAsia" w:cs="宋体" w:asciiTheme="minorEastAsia" w:hAnsiTheme="minorEastAsia"/>
          <w:b/>
          <w:bCs/>
          <w:sz w:val="44"/>
          <w:szCs w:val="44"/>
          <w:lang w:eastAsia="zh-CN"/>
        </w:rPr>
      </w:pPr>
      <w:r>
        <w:rPr>
          <w:rFonts w:hint="eastAsia" w:cs="宋体" w:asciiTheme="minorEastAsia" w:hAnsiTheme="minorEastAsia"/>
          <w:b/>
          <w:bCs/>
          <w:sz w:val="44"/>
          <w:szCs w:val="44"/>
          <w:lang w:eastAsia="zh-CN"/>
        </w:rPr>
        <w:t>宝鸡市眉县2021年度国土变更调查项目</w:t>
      </w:r>
    </w:p>
    <w:p>
      <w:pPr>
        <w:pStyle w:val="22"/>
        <w:ind w:left="0" w:leftChars="0" w:firstLine="0" w:firstLineChars="0"/>
        <w:jc w:val="center"/>
        <w:rPr>
          <w:rFonts w:cs="宋体" w:asciiTheme="minorEastAsia" w:hAnsiTheme="minorEastAsia"/>
          <w:b/>
          <w:bCs/>
          <w:sz w:val="44"/>
          <w:szCs w:val="44"/>
          <w:u w:val="single"/>
        </w:rPr>
      </w:pPr>
      <w:r>
        <w:rPr>
          <w:rFonts w:hint="eastAsia" w:cs="宋体" w:asciiTheme="minorEastAsia" w:hAnsiTheme="minorEastAsia"/>
          <w:b/>
          <w:bCs/>
          <w:sz w:val="44"/>
          <w:szCs w:val="44"/>
          <w:lang w:eastAsia="zh-CN"/>
        </w:rPr>
        <w:t>（二次）</w:t>
      </w:r>
    </w:p>
    <w:p>
      <w:pPr>
        <w:spacing w:line="240" w:lineRule="atLeast"/>
        <w:jc w:val="center"/>
        <w:rPr>
          <w:rFonts w:cs="宋体" w:asciiTheme="minorEastAsia" w:hAnsiTheme="minorEastAsia"/>
          <w:b/>
          <w:sz w:val="44"/>
          <w:szCs w:val="44"/>
        </w:rPr>
      </w:pPr>
      <w:r>
        <w:rPr>
          <w:rFonts w:hint="eastAsia" w:cs="宋体" w:asciiTheme="minorEastAsia" w:hAnsiTheme="minorEastAsia"/>
          <w:b/>
          <w:sz w:val="44"/>
          <w:szCs w:val="44"/>
        </w:rPr>
        <w:t xml:space="preserve">               </w:t>
      </w:r>
      <w:bookmarkStart w:id="66" w:name="_Toc20693_WPSOffice_Level1"/>
      <w:bookmarkStart w:id="67" w:name="_Toc11388_WPSOffice_Level1"/>
      <w:bookmarkStart w:id="68" w:name="_Toc22878_WPSOffice_Level1"/>
    </w:p>
    <w:p>
      <w:pPr>
        <w:pStyle w:val="39"/>
        <w:ind w:firstLine="883"/>
        <w:rPr>
          <w:rFonts w:cs="宋体" w:asciiTheme="minorEastAsia" w:hAnsiTheme="minorEastAsia" w:eastAsiaTheme="minorEastAsia"/>
          <w:b/>
          <w:sz w:val="44"/>
          <w:szCs w:val="44"/>
        </w:rPr>
      </w:pPr>
    </w:p>
    <w:p>
      <w:pPr>
        <w:pStyle w:val="39"/>
        <w:ind w:firstLine="883"/>
        <w:rPr>
          <w:rFonts w:cs="宋体" w:asciiTheme="minorEastAsia" w:hAnsiTheme="minorEastAsia" w:eastAsiaTheme="minorEastAsia"/>
          <w:b/>
          <w:sz w:val="44"/>
          <w:szCs w:val="44"/>
        </w:rPr>
      </w:pPr>
    </w:p>
    <w:p>
      <w:pPr>
        <w:spacing w:line="240" w:lineRule="atLeast"/>
        <w:ind w:firstLine="1446" w:firstLineChars="200"/>
        <w:rPr>
          <w:rFonts w:cs="宋体" w:asciiTheme="minorEastAsia" w:hAnsiTheme="minorEastAsia"/>
          <w:b/>
          <w:sz w:val="72"/>
          <w:szCs w:val="72"/>
        </w:rPr>
      </w:pPr>
      <w:r>
        <w:rPr>
          <w:rFonts w:hint="eastAsia" w:cs="宋体" w:asciiTheme="minorEastAsia" w:hAnsiTheme="minorEastAsia"/>
          <w:b/>
          <w:sz w:val="72"/>
          <w:szCs w:val="72"/>
        </w:rPr>
        <w:t>竞争性磋商响应文件</w:t>
      </w:r>
      <w:bookmarkEnd w:id="66"/>
      <w:bookmarkEnd w:id="67"/>
      <w:bookmarkEnd w:id="68"/>
    </w:p>
    <w:p>
      <w:pPr>
        <w:spacing w:line="240" w:lineRule="atLeast"/>
        <w:rPr>
          <w:rFonts w:cs="宋体" w:asciiTheme="minorEastAsia" w:hAnsiTheme="minorEastAsia"/>
          <w:b/>
          <w:sz w:val="44"/>
          <w:szCs w:val="44"/>
        </w:rPr>
      </w:pPr>
      <w:bookmarkStart w:id="69" w:name="_Toc3285_WPSOffice_Level1"/>
      <w:bookmarkEnd w:id="69"/>
      <w:bookmarkStart w:id="70" w:name="_Toc27635_WPSOffice_Level1"/>
      <w:bookmarkEnd w:id="70"/>
      <w:bookmarkStart w:id="71" w:name="_Toc32461_WPSOffice_Level1"/>
    </w:p>
    <w:p>
      <w:pPr>
        <w:spacing w:line="240" w:lineRule="atLeast"/>
        <w:rPr>
          <w:rFonts w:cs="宋体" w:asciiTheme="minorEastAsia" w:hAnsiTheme="minorEastAsia"/>
          <w:b/>
          <w:sz w:val="44"/>
          <w:szCs w:val="44"/>
        </w:rPr>
      </w:pPr>
    </w:p>
    <w:p>
      <w:pPr>
        <w:spacing w:line="240" w:lineRule="atLeast"/>
        <w:rPr>
          <w:rFonts w:cs="宋体" w:asciiTheme="minorEastAsia" w:hAnsiTheme="minorEastAsia"/>
          <w:b/>
          <w:sz w:val="44"/>
          <w:szCs w:val="44"/>
        </w:rPr>
      </w:pPr>
    </w:p>
    <w:p>
      <w:pPr>
        <w:spacing w:line="240" w:lineRule="atLeast"/>
        <w:rPr>
          <w:rFonts w:cs="宋体" w:asciiTheme="minorEastAsia" w:hAnsiTheme="minorEastAsia"/>
          <w:b/>
          <w:sz w:val="44"/>
          <w:szCs w:val="44"/>
        </w:rPr>
      </w:pPr>
    </w:p>
    <w:p>
      <w:pPr>
        <w:pStyle w:val="7"/>
        <w:rPr>
          <w:rFonts w:cs="宋体" w:asciiTheme="minorEastAsia" w:hAnsiTheme="minorEastAsia"/>
          <w:b/>
          <w:sz w:val="44"/>
          <w:szCs w:val="44"/>
        </w:rPr>
      </w:pPr>
    </w:p>
    <w:p>
      <w:pPr>
        <w:pStyle w:val="7"/>
        <w:rPr>
          <w:rFonts w:cs="宋体" w:asciiTheme="minorEastAsia" w:hAnsiTheme="minorEastAsia"/>
          <w:b/>
          <w:sz w:val="44"/>
          <w:szCs w:val="44"/>
        </w:rPr>
      </w:pPr>
    </w:p>
    <w:p>
      <w:pPr>
        <w:pStyle w:val="7"/>
        <w:rPr>
          <w:rFonts w:cs="宋体" w:asciiTheme="minorEastAsia" w:hAnsiTheme="minorEastAsia"/>
          <w:b/>
          <w:sz w:val="44"/>
          <w:szCs w:val="44"/>
        </w:rPr>
      </w:pPr>
    </w:p>
    <w:p>
      <w:pPr>
        <w:spacing w:line="240" w:lineRule="atLeast"/>
        <w:rPr>
          <w:rFonts w:cs="宋体" w:asciiTheme="minorEastAsia" w:hAnsiTheme="minorEastAsia"/>
          <w:b/>
          <w:sz w:val="48"/>
          <w:szCs w:val="48"/>
        </w:rPr>
      </w:pPr>
    </w:p>
    <w:p>
      <w:pPr>
        <w:spacing w:line="360" w:lineRule="auto"/>
        <w:ind w:firstLine="1807"/>
        <w:rPr>
          <w:rFonts w:cs="宋体" w:asciiTheme="minorEastAsia" w:hAnsiTheme="minorEastAsia"/>
          <w:b/>
          <w:bCs/>
          <w:sz w:val="30"/>
          <w:szCs w:val="30"/>
          <w:u w:val="single"/>
        </w:rPr>
      </w:pPr>
      <w:bookmarkStart w:id="72" w:name="_Toc17980_WPSOffice_Level1"/>
      <w:bookmarkStart w:id="73" w:name="_Toc5131_WPSOffice_Level1"/>
      <w:r>
        <w:rPr>
          <w:rFonts w:hint="eastAsia" w:cs="宋体" w:asciiTheme="minorEastAsia" w:hAnsiTheme="minorEastAsia"/>
          <w:b/>
          <w:sz w:val="30"/>
          <w:szCs w:val="30"/>
        </w:rPr>
        <w:t>供   应   商：</w:t>
      </w:r>
      <w:bookmarkEnd w:id="71"/>
      <w:bookmarkEnd w:id="72"/>
      <w:bookmarkEnd w:id="73"/>
      <w:r>
        <w:rPr>
          <w:rFonts w:hint="eastAsia" w:cs="宋体" w:asciiTheme="minorEastAsia" w:hAnsiTheme="minorEastAsia"/>
          <w:b/>
          <w:sz w:val="30"/>
          <w:szCs w:val="30"/>
        </w:rPr>
        <w:t xml:space="preserve"> </w:t>
      </w:r>
      <w:r>
        <w:rPr>
          <w:rFonts w:hint="eastAsia" w:cs="宋体" w:asciiTheme="minorEastAsia" w:hAnsiTheme="minorEastAsia"/>
          <w:b/>
          <w:sz w:val="30"/>
          <w:szCs w:val="30"/>
          <w:u w:val="single"/>
        </w:rPr>
        <w:t xml:space="preserve">                       </w:t>
      </w:r>
    </w:p>
    <w:p>
      <w:pPr>
        <w:spacing w:line="360" w:lineRule="auto"/>
        <w:ind w:firstLine="1780"/>
        <w:rPr>
          <w:rFonts w:cs="宋体" w:asciiTheme="minorEastAsia" w:hAnsiTheme="minorEastAsia"/>
          <w:b/>
          <w:sz w:val="30"/>
          <w:szCs w:val="30"/>
        </w:rPr>
      </w:pPr>
      <w:bookmarkStart w:id="74" w:name="_Toc25187_WPSOffice_Level1"/>
      <w:bookmarkEnd w:id="74"/>
      <w:bookmarkStart w:id="75" w:name="_Toc5980_WPSOffice_Level1"/>
      <w:bookmarkEnd w:id="75"/>
      <w:bookmarkStart w:id="76" w:name="_Toc1764_WPSOffice_Level1"/>
      <w:bookmarkEnd w:id="76"/>
      <w:bookmarkStart w:id="77" w:name="_Toc19927_WPSOffice_Level1"/>
      <w:bookmarkEnd w:id="77"/>
      <w:bookmarkStart w:id="78" w:name="_Toc20179_WPSOffice_Level1"/>
      <w:bookmarkStart w:id="79" w:name="_Toc18129_WPSOffice_Level1"/>
      <w:bookmarkStart w:id="80" w:name="_Toc27247_WPSOffice_Level1"/>
      <w:r>
        <w:rPr>
          <w:rFonts w:hint="eastAsia" w:cs="宋体" w:asciiTheme="minorEastAsia" w:hAnsiTheme="minorEastAsia"/>
          <w:b/>
          <w:sz w:val="30"/>
          <w:szCs w:val="30"/>
        </w:rPr>
        <w:t>时        间：</w:t>
      </w:r>
      <w:bookmarkEnd w:id="78"/>
      <w:bookmarkEnd w:id="79"/>
      <w:bookmarkEnd w:id="80"/>
    </w:p>
    <w:p>
      <w:pPr>
        <w:pStyle w:val="39"/>
        <w:ind w:firstLine="0" w:firstLineChars="0"/>
        <w:rPr>
          <w:rFonts w:cs="宋体" w:asciiTheme="minorEastAsia" w:hAnsiTheme="minorEastAsia" w:eastAsiaTheme="minorEastAsia"/>
          <w:b/>
          <w:sz w:val="30"/>
          <w:szCs w:val="30"/>
        </w:rPr>
      </w:pPr>
    </w:p>
    <w:p>
      <w:pPr>
        <w:pStyle w:val="7"/>
        <w:ind w:firstLine="0"/>
        <w:rPr>
          <w:rFonts w:cs="宋体" w:asciiTheme="minorEastAsia" w:hAnsiTheme="minorEastAsia"/>
          <w:b/>
          <w:sz w:val="44"/>
          <w:szCs w:val="44"/>
        </w:rPr>
      </w:pPr>
      <w:bookmarkStart w:id="81" w:name="_Toc8327_WPSOffice_Level1"/>
      <w:bookmarkStart w:id="82" w:name="_Toc30089_WPSOffice_Level1"/>
      <w:bookmarkStart w:id="83" w:name="_Toc32339_WPSOffice_Level1"/>
      <w:bookmarkStart w:id="84" w:name="_Toc16964_WPSOffice_Level1"/>
    </w:p>
    <w:p>
      <w:pPr>
        <w:pStyle w:val="7"/>
        <w:rPr>
          <w:rFonts w:asciiTheme="minorEastAsia" w:hAnsiTheme="minorEastAsia"/>
        </w:rPr>
      </w:pPr>
    </w:p>
    <w:p>
      <w:pPr>
        <w:spacing w:line="520" w:lineRule="exact"/>
        <w:jc w:val="center"/>
        <w:rPr>
          <w:rFonts w:cs="宋体" w:asciiTheme="minorEastAsia" w:hAnsiTheme="minorEastAsia"/>
          <w:b/>
          <w:sz w:val="44"/>
          <w:szCs w:val="44"/>
        </w:rPr>
      </w:pPr>
    </w:p>
    <w:p>
      <w:pPr>
        <w:spacing w:line="520" w:lineRule="exact"/>
        <w:jc w:val="center"/>
        <w:rPr>
          <w:rFonts w:cs="宋体" w:asciiTheme="minorEastAsia" w:hAnsiTheme="minorEastAsia"/>
          <w:b/>
          <w:sz w:val="28"/>
          <w:szCs w:val="28"/>
        </w:rPr>
      </w:pPr>
      <w:r>
        <w:rPr>
          <w:rFonts w:hint="eastAsia" w:cs="宋体" w:asciiTheme="minorEastAsia" w:hAnsiTheme="minorEastAsia"/>
          <w:b/>
          <w:sz w:val="44"/>
          <w:szCs w:val="44"/>
        </w:rPr>
        <w:t>目  录</w:t>
      </w:r>
      <w:bookmarkEnd w:id="81"/>
      <w:bookmarkEnd w:id="82"/>
      <w:bookmarkEnd w:id="83"/>
      <w:bookmarkEnd w:id="84"/>
    </w:p>
    <w:p>
      <w:pPr>
        <w:numPr>
          <w:ilvl w:val="0"/>
          <w:numId w:val="0"/>
        </w:numPr>
        <w:spacing w:line="500" w:lineRule="exact"/>
        <w:rPr>
          <w:rFonts w:hint="eastAsia" w:ascii="宋体" w:hAnsi="宋体" w:eastAsia="宋体" w:cs="宋体"/>
          <w:color w:val="auto"/>
          <w:sz w:val="28"/>
          <w:szCs w:val="28"/>
          <w:lang w:val="en-US" w:eastAsia="zh-CN"/>
        </w:rPr>
      </w:pPr>
      <w:bookmarkStart w:id="85" w:name="_Toc20596_WPSOffice_Level1"/>
      <w:bookmarkEnd w:id="85"/>
      <w:bookmarkStart w:id="86" w:name="_Toc11603_WPSOffice_Level1"/>
      <w:bookmarkEnd w:id="86"/>
      <w:bookmarkStart w:id="87" w:name="_Toc10967_WPSOffice_Level1"/>
      <w:bookmarkStart w:id="88" w:name="_Toc23835_WPSOffice_Level1"/>
      <w:bookmarkStart w:id="89" w:name="_Toc20284_WPSOffice_Level1"/>
      <w:bookmarkStart w:id="90" w:name="_Toc15436_WPSOffice_Level1"/>
      <w:bookmarkStart w:id="91" w:name="_Toc20613_WPSOffice_Level1"/>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磋商函</w:t>
      </w:r>
      <w:bookmarkEnd w:id="87"/>
      <w:bookmarkEnd w:id="88"/>
      <w:bookmarkEnd w:id="89"/>
      <w:bookmarkEnd w:id="90"/>
      <w:bookmarkEnd w:id="91"/>
      <w:bookmarkStart w:id="92" w:name="_Toc13282_WPSOffice_Level1"/>
      <w:bookmarkEnd w:id="92"/>
      <w:bookmarkStart w:id="93" w:name="_Toc9700_WPSOffice_Level1"/>
      <w:bookmarkEnd w:id="93"/>
      <w:bookmarkStart w:id="94" w:name="_Toc31595_WPSOffice_Level1"/>
      <w:bookmarkStart w:id="95" w:name="_Toc431_WPSOffice_Level1"/>
      <w:bookmarkStart w:id="96" w:name="_Toc32543_WPSOffice_Level1"/>
      <w:bookmarkStart w:id="97" w:name="_Toc9818_WPSOffice_Level1"/>
      <w:bookmarkStart w:id="98" w:name="_Toc8399_WPSOffice_Level1"/>
      <w:r>
        <w:rPr>
          <w:rFonts w:hint="eastAsia" w:ascii="宋体" w:hAnsi="宋体" w:eastAsia="宋体" w:cs="宋体"/>
          <w:color w:val="auto"/>
          <w:sz w:val="28"/>
          <w:szCs w:val="28"/>
          <w:lang w:val="en-US" w:eastAsia="zh-CN"/>
        </w:rPr>
        <w:t xml:space="preserve"> </w:t>
      </w:r>
    </w:p>
    <w:p>
      <w:pPr>
        <w:numPr>
          <w:ilvl w:val="0"/>
          <w:numId w:val="0"/>
        </w:numPr>
        <w:spacing w:line="500" w:lineRule="exact"/>
        <w:rPr>
          <w:rFonts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．磋商报价一览表</w:t>
      </w:r>
      <w:bookmarkEnd w:id="94"/>
      <w:bookmarkEnd w:id="95"/>
      <w:bookmarkEnd w:id="96"/>
      <w:bookmarkEnd w:id="97"/>
      <w:bookmarkEnd w:id="98"/>
    </w:p>
    <w:p>
      <w:pPr>
        <w:spacing w:line="500" w:lineRule="exact"/>
        <w:rPr>
          <w:rFonts w:ascii="宋体" w:hAnsi="宋体" w:eastAsia="宋体" w:cs="宋体"/>
          <w:color w:val="auto"/>
          <w:sz w:val="28"/>
          <w:szCs w:val="28"/>
        </w:rPr>
      </w:pPr>
      <w:bookmarkStart w:id="99" w:name="_Toc13466_WPSOffice_Level1"/>
      <w:r>
        <w:rPr>
          <w:rFonts w:hint="eastAsia" w:ascii="宋体" w:hAnsi="宋体" w:eastAsia="宋体" w:cs="宋体"/>
          <w:color w:val="auto"/>
          <w:sz w:val="28"/>
        </w:rPr>
        <w:t>3．响应偏离表</w:t>
      </w:r>
      <w:bookmarkEnd w:id="99"/>
    </w:p>
    <w:p>
      <w:pPr>
        <w:spacing w:line="460" w:lineRule="exact"/>
        <w:rPr>
          <w:rFonts w:ascii="宋体" w:hAnsi="宋体" w:eastAsia="宋体" w:cs="宋体"/>
          <w:color w:val="auto"/>
          <w:sz w:val="28"/>
        </w:rPr>
      </w:pPr>
      <w:bookmarkStart w:id="100" w:name="_Toc20882_WPSOffice_Level1"/>
      <w:bookmarkEnd w:id="100"/>
      <w:bookmarkStart w:id="101" w:name="_Toc24426_WPSOffice_Level1"/>
      <w:bookmarkEnd w:id="101"/>
      <w:bookmarkStart w:id="102" w:name="_Toc14480_WPSOffice_Level1"/>
      <w:r>
        <w:rPr>
          <w:rFonts w:hint="eastAsia" w:ascii="宋体" w:hAnsi="宋体" w:eastAsia="宋体" w:cs="宋体"/>
          <w:color w:val="auto"/>
          <w:sz w:val="28"/>
          <w:lang w:val="en-US" w:eastAsia="zh-CN"/>
        </w:rPr>
        <w:t>4</w:t>
      </w:r>
      <w:r>
        <w:rPr>
          <w:rFonts w:hint="eastAsia" w:ascii="宋体" w:hAnsi="宋体" w:eastAsia="宋体" w:cs="宋体"/>
          <w:color w:val="auto"/>
          <w:sz w:val="28"/>
        </w:rPr>
        <w:t>．资格证明文件</w:t>
      </w:r>
      <w:bookmarkEnd w:id="102"/>
    </w:p>
    <w:p>
      <w:pPr>
        <w:spacing w:line="460" w:lineRule="exact"/>
        <w:rPr>
          <w:rFonts w:ascii="宋体" w:hAnsi="宋体" w:eastAsia="宋体" w:cs="宋体"/>
          <w:color w:val="auto"/>
          <w:sz w:val="28"/>
        </w:rPr>
      </w:pPr>
      <w:r>
        <w:rPr>
          <w:rFonts w:hint="eastAsia" w:ascii="宋体" w:hAnsi="宋体" w:eastAsia="宋体" w:cs="宋体"/>
          <w:color w:val="auto"/>
          <w:sz w:val="28"/>
          <w:lang w:val="en-US" w:eastAsia="zh-CN"/>
        </w:rPr>
        <w:t>5</w:t>
      </w:r>
      <w:r>
        <w:rPr>
          <w:rFonts w:hint="eastAsia" w:ascii="宋体" w:hAnsi="宋体" w:eastAsia="宋体" w:cs="宋体"/>
          <w:color w:val="auto"/>
          <w:sz w:val="28"/>
        </w:rPr>
        <w:t>.技术响应及</w:t>
      </w:r>
      <w:r>
        <w:rPr>
          <w:rFonts w:hint="eastAsia" w:ascii="宋体" w:hAnsi="宋体" w:eastAsia="宋体" w:cs="宋体"/>
          <w:color w:val="auto"/>
          <w:sz w:val="28"/>
          <w:lang w:eastAsia="zh-CN"/>
        </w:rPr>
        <w:t>售后服务</w:t>
      </w:r>
      <w:r>
        <w:rPr>
          <w:rFonts w:hint="eastAsia" w:ascii="宋体" w:hAnsi="宋体" w:eastAsia="宋体" w:cs="宋体"/>
          <w:color w:val="auto"/>
          <w:sz w:val="28"/>
        </w:rPr>
        <w:t>承诺</w:t>
      </w:r>
    </w:p>
    <w:p>
      <w:pPr>
        <w:spacing w:line="460" w:lineRule="exact"/>
        <w:rPr>
          <w:rFonts w:ascii="宋体" w:hAnsi="宋体" w:eastAsia="宋体" w:cs="宋体"/>
          <w:color w:val="000000" w:themeColor="text1"/>
          <w:sz w:val="28"/>
          <w14:textFill>
            <w14:solidFill>
              <w14:schemeClr w14:val="tx1"/>
            </w14:solidFill>
          </w14:textFill>
        </w:rPr>
      </w:pPr>
      <w:bookmarkStart w:id="103" w:name="_Toc3858_WPSOffice_Level1"/>
      <w:r>
        <w:rPr>
          <w:rFonts w:hint="eastAsia" w:ascii="宋体" w:hAnsi="宋体" w:eastAsia="宋体" w:cs="宋体"/>
          <w:color w:val="auto"/>
          <w:sz w:val="28"/>
          <w:lang w:val="en-US" w:eastAsia="zh-CN"/>
        </w:rPr>
        <w:t>6</w:t>
      </w:r>
      <w:r>
        <w:rPr>
          <w:rFonts w:hint="eastAsia" w:ascii="宋体" w:hAnsi="宋体" w:eastAsia="宋体" w:cs="宋体"/>
          <w:color w:val="auto"/>
          <w:sz w:val="28"/>
        </w:rPr>
        <w:t>．</w:t>
      </w:r>
      <w:r>
        <w:rPr>
          <w:rFonts w:hint="eastAsia" w:ascii="宋体" w:hAnsi="宋体" w:eastAsia="宋体" w:cs="宋体"/>
          <w:color w:val="000000" w:themeColor="text1"/>
          <w:sz w:val="28"/>
          <w14:textFill>
            <w14:solidFill>
              <w14:schemeClr w14:val="tx1"/>
            </w14:solidFill>
          </w14:textFill>
        </w:rPr>
        <w:t>提供201</w:t>
      </w:r>
      <w:r>
        <w:rPr>
          <w:rFonts w:hint="eastAsia" w:ascii="宋体" w:hAnsi="宋体" w:eastAsia="宋体" w:cs="宋体"/>
          <w:color w:val="000000" w:themeColor="text1"/>
          <w:sz w:val="28"/>
          <w:lang w:val="en-US" w:eastAsia="zh-CN"/>
          <w14:textFill>
            <w14:solidFill>
              <w14:schemeClr w14:val="tx1"/>
            </w14:solidFill>
          </w14:textFill>
        </w:rPr>
        <w:t>9</w:t>
      </w:r>
      <w:r>
        <w:rPr>
          <w:rFonts w:hint="eastAsia" w:ascii="宋体" w:hAnsi="宋体" w:eastAsia="宋体" w:cs="宋体"/>
          <w:color w:val="000000" w:themeColor="text1"/>
          <w:sz w:val="28"/>
          <w14:textFill>
            <w14:solidFill>
              <w14:schemeClr w14:val="tx1"/>
            </w14:solidFill>
          </w14:textFill>
        </w:rPr>
        <w:t>年</w:t>
      </w:r>
      <w:r>
        <w:rPr>
          <w:rFonts w:hint="eastAsia" w:ascii="宋体" w:hAnsi="宋体" w:eastAsia="宋体" w:cs="宋体"/>
          <w:color w:val="000000" w:themeColor="text1"/>
          <w:sz w:val="28"/>
          <w:lang w:val="en-US" w:eastAsia="zh-CN"/>
          <w14:textFill>
            <w14:solidFill>
              <w14:schemeClr w14:val="tx1"/>
            </w14:solidFill>
          </w14:textFill>
        </w:rPr>
        <w:t>8</w:t>
      </w:r>
      <w:r>
        <w:rPr>
          <w:rFonts w:hint="eastAsia" w:ascii="宋体" w:hAnsi="宋体" w:eastAsia="宋体" w:cs="宋体"/>
          <w:color w:val="000000" w:themeColor="text1"/>
          <w:sz w:val="28"/>
          <w14:textFill>
            <w14:solidFill>
              <w14:schemeClr w14:val="tx1"/>
            </w14:solidFill>
          </w14:textFill>
        </w:rPr>
        <w:t>月至今同类项目业绩（以合同为准，复印件加盖公章）</w:t>
      </w:r>
      <w:bookmarkEnd w:id="103"/>
    </w:p>
    <w:p>
      <w:pPr>
        <w:spacing w:line="460" w:lineRule="exact"/>
        <w:rPr>
          <w:rFonts w:ascii="宋体" w:hAnsi="宋体" w:eastAsia="宋体" w:cs="宋体"/>
          <w:color w:val="auto"/>
          <w:sz w:val="28"/>
        </w:rPr>
      </w:pPr>
      <w:bookmarkStart w:id="104" w:name="_Toc31355_WPSOffice_Level1"/>
      <w:r>
        <w:rPr>
          <w:rFonts w:hint="eastAsia" w:ascii="宋体" w:hAnsi="宋体" w:eastAsia="宋体" w:cs="宋体"/>
          <w:color w:val="auto"/>
          <w:sz w:val="28"/>
          <w:lang w:val="en-US" w:eastAsia="zh-CN"/>
        </w:rPr>
        <w:t>7</w:t>
      </w:r>
      <w:r>
        <w:rPr>
          <w:rFonts w:hint="eastAsia" w:ascii="宋体" w:hAnsi="宋体" w:eastAsia="宋体" w:cs="宋体"/>
          <w:color w:val="auto"/>
          <w:sz w:val="28"/>
        </w:rPr>
        <w:t>．供应商认为有必要补充说明的事宜</w:t>
      </w:r>
      <w:bookmarkEnd w:id="104"/>
    </w:p>
    <w:p>
      <w:pPr>
        <w:spacing w:line="460" w:lineRule="exact"/>
        <w:rPr>
          <w:rFonts w:ascii="宋体" w:hAnsi="宋体" w:eastAsia="宋体" w:cs="宋体"/>
          <w:color w:val="auto"/>
          <w:sz w:val="28"/>
        </w:rPr>
      </w:pPr>
      <w:bookmarkStart w:id="105" w:name="_Toc24741_WPSOffice_Level1"/>
      <w:r>
        <w:rPr>
          <w:rFonts w:hint="eastAsia" w:ascii="宋体" w:hAnsi="宋体" w:eastAsia="宋体" w:cs="宋体"/>
          <w:color w:val="auto"/>
          <w:sz w:val="28"/>
          <w:lang w:val="en-US" w:eastAsia="zh-CN"/>
        </w:rPr>
        <w:t>8</w:t>
      </w:r>
      <w:r>
        <w:rPr>
          <w:rFonts w:hint="eastAsia" w:ascii="宋体" w:hAnsi="宋体" w:eastAsia="宋体" w:cs="宋体"/>
          <w:color w:val="auto"/>
          <w:sz w:val="28"/>
        </w:rPr>
        <w:t>．磋商声明书</w:t>
      </w:r>
      <w:bookmarkEnd w:id="105"/>
    </w:p>
    <w:p>
      <w:pPr>
        <w:spacing w:line="460" w:lineRule="exact"/>
        <w:rPr>
          <w:rFonts w:ascii="宋体" w:hAnsi="宋体" w:eastAsia="宋体" w:cs="宋体"/>
          <w:color w:val="auto"/>
          <w:sz w:val="28"/>
        </w:rPr>
      </w:pPr>
      <w:bookmarkStart w:id="106" w:name="_Toc32420_WPSOffice_Level1"/>
      <w:r>
        <w:rPr>
          <w:rFonts w:hint="eastAsia" w:ascii="宋体" w:hAnsi="宋体" w:eastAsia="宋体" w:cs="宋体"/>
          <w:color w:val="auto"/>
          <w:sz w:val="28"/>
          <w:lang w:val="en-US" w:eastAsia="zh-CN"/>
        </w:rPr>
        <w:t>9</w:t>
      </w:r>
      <w:r>
        <w:rPr>
          <w:rFonts w:hint="eastAsia" w:ascii="宋体" w:hAnsi="宋体" w:eastAsia="宋体" w:cs="宋体"/>
          <w:color w:val="auto"/>
          <w:sz w:val="28"/>
        </w:rPr>
        <w:t>．《拒绝政府采购领域商业贿赂承诺书》（格式）</w:t>
      </w:r>
      <w:bookmarkEnd w:id="106"/>
    </w:p>
    <w:p>
      <w:pPr>
        <w:spacing w:line="460" w:lineRule="exact"/>
        <w:rPr>
          <w:rFonts w:ascii="宋体" w:hAnsi="宋体" w:eastAsia="宋体" w:cs="宋体"/>
          <w:color w:val="auto"/>
          <w:sz w:val="28"/>
        </w:rPr>
      </w:pPr>
      <w:bookmarkStart w:id="107" w:name="_Toc5667_WPSOffice_Level1"/>
      <w:r>
        <w:rPr>
          <w:rFonts w:hint="eastAsia" w:ascii="宋体" w:hAnsi="宋体" w:eastAsia="宋体" w:cs="宋体"/>
          <w:color w:val="auto"/>
          <w:sz w:val="28"/>
          <w:lang w:val="en-US" w:eastAsia="zh-CN"/>
        </w:rPr>
        <w:t>10</w:t>
      </w:r>
      <w:r>
        <w:rPr>
          <w:rFonts w:hint="eastAsia" w:ascii="宋体" w:hAnsi="宋体" w:eastAsia="宋体" w:cs="宋体"/>
          <w:color w:val="auto"/>
          <w:sz w:val="28"/>
        </w:rPr>
        <w:t>．《</w:t>
      </w:r>
      <w:r>
        <w:rPr>
          <w:rFonts w:hint="eastAsia" w:ascii="宋体" w:hAnsi="宋体" w:eastAsia="宋体" w:cs="宋体"/>
          <w:sz w:val="28"/>
          <w:szCs w:val="28"/>
        </w:rPr>
        <w:t>中小企业声明函</w:t>
      </w:r>
      <w:r>
        <w:rPr>
          <w:rFonts w:hint="eastAsia" w:ascii="宋体" w:hAnsi="宋体" w:eastAsia="宋体" w:cs="宋体"/>
          <w:color w:val="auto"/>
          <w:sz w:val="28"/>
        </w:rPr>
        <w:t>》及证明文件（若有）</w:t>
      </w:r>
      <w:bookmarkEnd w:id="107"/>
    </w:p>
    <w:p>
      <w:pPr>
        <w:spacing w:line="460" w:lineRule="exact"/>
        <w:rPr>
          <w:rFonts w:ascii="宋体" w:hAnsi="宋体" w:eastAsia="宋体" w:cs="宋体"/>
          <w:color w:val="auto"/>
          <w:sz w:val="28"/>
        </w:rPr>
      </w:pPr>
      <w:bookmarkStart w:id="108" w:name="_Toc4707_WPSOffice_Level1"/>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w:t>
      </w:r>
      <w:r>
        <w:rPr>
          <w:rFonts w:hint="eastAsia" w:ascii="宋体" w:hAnsi="宋体" w:eastAsia="宋体" w:cs="宋体"/>
          <w:color w:val="auto"/>
          <w:sz w:val="28"/>
        </w:rPr>
        <w:t>《残疾人福利性单位声明函》（若有）</w:t>
      </w:r>
      <w:bookmarkEnd w:id="108"/>
    </w:p>
    <w:p>
      <w:pPr>
        <w:spacing w:line="500" w:lineRule="exact"/>
        <w:jc w:val="left"/>
        <w:rPr>
          <w:rFonts w:ascii="宋体" w:hAnsi="宋体" w:eastAsia="宋体" w:cs="宋体"/>
          <w:bCs/>
          <w:color w:val="auto"/>
          <w:kern w:val="0"/>
          <w:sz w:val="28"/>
          <w:szCs w:val="28"/>
        </w:rPr>
      </w:pPr>
      <w:r>
        <w:rPr>
          <w:rFonts w:hint="eastAsia" w:ascii="宋体" w:hAnsi="宋体" w:eastAsia="宋体" w:cs="宋体"/>
          <w:b/>
          <w:bCs/>
          <w:color w:val="auto"/>
          <w:sz w:val="28"/>
          <w:szCs w:val="28"/>
        </w:rPr>
        <w:t>备注：目录需添加连续页码</w:t>
      </w:r>
    </w:p>
    <w:p>
      <w:pPr>
        <w:rPr>
          <w:rFonts w:cs="宋体" w:asciiTheme="minorEastAsia" w:hAnsiTheme="minorEastAsia"/>
          <w:sz w:val="28"/>
          <w:szCs w:val="28"/>
        </w:rPr>
      </w:pPr>
    </w:p>
    <w:p>
      <w:pPr>
        <w:pStyle w:val="2"/>
        <w:rPr>
          <w:rFonts w:asciiTheme="minorEastAsia" w:hAnsiTheme="minorEastAsia"/>
        </w:rPr>
        <w:sectPr>
          <w:endnotePr>
            <w:numFmt w:val="decimal"/>
          </w:endnotePr>
          <w:pgSz w:w="11907" w:h="16840"/>
          <w:pgMar w:top="1418" w:right="1287" w:bottom="936" w:left="1259" w:header="907" w:footer="654" w:gutter="0"/>
          <w:pgNumType w:fmt="decimal"/>
          <w:cols w:space="720" w:num="1"/>
          <w:titlePg/>
        </w:sectPr>
      </w:pPr>
    </w:p>
    <w:p>
      <w:pPr>
        <w:pStyle w:val="4"/>
        <w:spacing w:before="0" w:after="0" w:line="360" w:lineRule="auto"/>
        <w:jc w:val="center"/>
        <w:rPr>
          <w:rFonts w:cs="宋体" w:asciiTheme="minorEastAsia" w:hAnsiTheme="minorEastAsia" w:eastAsiaTheme="minorEastAsia"/>
          <w:sz w:val="28"/>
          <w:szCs w:val="28"/>
        </w:rPr>
      </w:pPr>
      <w:bookmarkStart w:id="109" w:name="_Toc14942_WPSOffice_Level1"/>
      <w:bookmarkEnd w:id="109"/>
      <w:bookmarkStart w:id="110" w:name="_Toc20446_WPSOffice_Level1"/>
      <w:bookmarkStart w:id="111" w:name="_Toc19279_WPSOffice_Level1"/>
      <w:bookmarkStart w:id="112" w:name="_Toc5888413"/>
      <w:r>
        <w:rPr>
          <w:rFonts w:hint="eastAsia" w:cs="宋体" w:asciiTheme="minorEastAsia" w:hAnsiTheme="minorEastAsia" w:eastAsiaTheme="minorEastAsia"/>
          <w:sz w:val="28"/>
          <w:szCs w:val="28"/>
        </w:rPr>
        <w:t>1.磋商函</w:t>
      </w:r>
      <w:bookmarkEnd w:id="110"/>
      <w:bookmarkEnd w:id="111"/>
      <w:bookmarkEnd w:id="112"/>
    </w:p>
    <w:p>
      <w:pPr>
        <w:spacing w:line="500" w:lineRule="exact"/>
        <w:rPr>
          <w:rFonts w:hint="eastAsia" w:cs="宋体" w:asciiTheme="minorEastAsia" w:hAnsiTheme="minorEastAsia" w:eastAsiaTheme="minorEastAsia"/>
          <w:b/>
          <w:sz w:val="28"/>
          <w:szCs w:val="28"/>
          <w:lang w:eastAsia="zh-CN"/>
        </w:rPr>
      </w:pPr>
      <w:r>
        <w:rPr>
          <w:rFonts w:hint="eastAsia" w:cs="宋体" w:asciiTheme="minorEastAsia" w:hAnsiTheme="minorEastAsia"/>
          <w:b/>
          <w:sz w:val="28"/>
          <w:szCs w:val="28"/>
        </w:rPr>
        <w:t>致：</w:t>
      </w:r>
      <w:r>
        <w:rPr>
          <w:rFonts w:hint="eastAsia" w:cs="宋体" w:asciiTheme="minorEastAsia" w:hAnsiTheme="minorEastAsia"/>
          <w:b/>
          <w:sz w:val="28"/>
          <w:szCs w:val="28"/>
          <w:lang w:eastAsia="zh-CN"/>
        </w:rPr>
        <w:t>陕西恒瑞项目管理有限公司</w:t>
      </w:r>
    </w:p>
    <w:p>
      <w:pPr>
        <w:spacing w:line="500" w:lineRule="exact"/>
        <w:ind w:firstLine="548"/>
        <w:rPr>
          <w:rFonts w:cs="宋体" w:asciiTheme="minorEastAsia" w:hAnsiTheme="minorEastAsia"/>
          <w:sz w:val="28"/>
          <w:szCs w:val="28"/>
        </w:rPr>
      </w:pPr>
      <w:r>
        <w:rPr>
          <w:rFonts w:hint="eastAsia" w:cs="宋体" w:asciiTheme="minorEastAsia" w:hAnsiTheme="minorEastAsia"/>
          <w:sz w:val="28"/>
          <w:szCs w:val="28"/>
        </w:rPr>
        <w:t>根据贵单位</w:t>
      </w:r>
      <w:r>
        <w:rPr>
          <w:rFonts w:hint="eastAsia" w:cs="宋体" w:asciiTheme="minorEastAsia" w:hAnsiTheme="minorEastAsia"/>
          <w:sz w:val="28"/>
          <w:szCs w:val="28"/>
          <w:u w:val="single"/>
        </w:rPr>
        <w:t xml:space="preserve">       （项目名称）    </w:t>
      </w:r>
      <w:r>
        <w:rPr>
          <w:rFonts w:hint="eastAsia" w:cs="宋体" w:asciiTheme="minorEastAsia" w:hAnsiTheme="minorEastAsia"/>
          <w:sz w:val="28"/>
          <w:szCs w:val="28"/>
        </w:rPr>
        <w:t>项目</w:t>
      </w:r>
      <w:r>
        <w:rPr>
          <w:rFonts w:hint="eastAsia" w:cs="宋体" w:asciiTheme="minorEastAsia" w:hAnsiTheme="minorEastAsia"/>
          <w:sz w:val="28"/>
          <w:szCs w:val="28"/>
          <w:u w:val="single"/>
        </w:rPr>
        <w:t>（项目编号）</w:t>
      </w:r>
      <w:r>
        <w:rPr>
          <w:rFonts w:hint="eastAsia" w:cs="宋体" w:asciiTheme="minorEastAsia" w:hAnsiTheme="minorEastAsia"/>
          <w:sz w:val="28"/>
          <w:szCs w:val="28"/>
        </w:rPr>
        <w:t>的磋商公告，我方代表</w:t>
      </w:r>
      <w:r>
        <w:rPr>
          <w:rFonts w:hint="eastAsia" w:cs="宋体" w:asciiTheme="minorEastAsia" w:hAnsiTheme="minorEastAsia"/>
          <w:sz w:val="28"/>
          <w:szCs w:val="28"/>
          <w:u w:val="single"/>
        </w:rPr>
        <w:t xml:space="preserve">   （姓名、职务）   </w:t>
      </w:r>
      <w:r>
        <w:rPr>
          <w:rFonts w:hint="eastAsia" w:cs="宋体" w:asciiTheme="minorEastAsia" w:hAnsiTheme="minorEastAsia"/>
          <w:sz w:val="28"/>
          <w:szCs w:val="28"/>
        </w:rPr>
        <w:t>经正式授权并代表</w:t>
      </w:r>
      <w:r>
        <w:rPr>
          <w:rFonts w:hint="eastAsia" w:cs="宋体" w:asciiTheme="minorEastAsia" w:hAnsiTheme="minorEastAsia"/>
          <w:sz w:val="28"/>
          <w:szCs w:val="28"/>
          <w:u w:val="single"/>
        </w:rPr>
        <w:t xml:space="preserve">    （供应商名称）    </w:t>
      </w:r>
      <w:r>
        <w:rPr>
          <w:rFonts w:hint="eastAsia" w:cs="宋体" w:asciiTheme="minorEastAsia" w:hAnsiTheme="minorEastAsia"/>
          <w:sz w:val="28"/>
          <w:szCs w:val="28"/>
        </w:rPr>
        <w:t>就该项目进行磋商。</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在此，我方郑重声明以下诸点，并负法律责任：</w:t>
      </w:r>
    </w:p>
    <w:p>
      <w:pPr>
        <w:pStyle w:val="41"/>
        <w:spacing w:line="500" w:lineRule="exact"/>
        <w:ind w:firstLine="560"/>
        <w:rPr>
          <w:rFonts w:cs="宋体" w:asciiTheme="minorEastAsia" w:hAnsiTheme="minorEastAsia"/>
          <w:b/>
          <w:sz w:val="28"/>
          <w:szCs w:val="28"/>
        </w:rPr>
      </w:pPr>
      <w:r>
        <w:rPr>
          <w:rFonts w:hint="eastAsia" w:cs="宋体" w:asciiTheme="minorEastAsia" w:hAnsiTheme="minorEastAsia"/>
          <w:sz w:val="28"/>
          <w:szCs w:val="28"/>
        </w:rPr>
        <w:t>1、我方所附磋商报价表中应提交和交付的货物/服务磋商总价为人民币：</w:t>
      </w:r>
      <w:r>
        <w:rPr>
          <w:rFonts w:hint="eastAsia" w:cs="宋体" w:asciiTheme="minorEastAsia" w:hAnsiTheme="minorEastAsia"/>
          <w:sz w:val="28"/>
          <w:szCs w:val="28"/>
          <w:u w:val="single"/>
        </w:rPr>
        <w:t>（同时用汉字大写和数字表示的磋商总价）</w:t>
      </w:r>
      <w:r>
        <w:rPr>
          <w:rFonts w:hint="eastAsia" w:cs="宋体" w:asciiTheme="minorEastAsia" w:hAnsiTheme="minorEastAsia"/>
          <w:sz w:val="28"/>
          <w:szCs w:val="28"/>
        </w:rPr>
        <w:t>。该报价一次报死，不受市场因素的影响。</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2</w:t>
      </w:r>
      <w:r>
        <w:rPr>
          <w:rFonts w:hint="eastAsia" w:cs="宋体" w:asciiTheme="minorEastAsia" w:hAnsiTheme="minorEastAsia"/>
          <w:sz w:val="28"/>
          <w:szCs w:val="28"/>
        </w:rPr>
        <w:t>、我方已详细审查全部竞争性磋商文件，完全理解并同意放弃对这方面有不明及误解质疑的权力。</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3</w:t>
      </w:r>
      <w:r>
        <w:rPr>
          <w:rFonts w:hint="eastAsia" w:cs="宋体" w:asciiTheme="minorEastAsia" w:hAnsiTheme="minorEastAsia"/>
          <w:sz w:val="28"/>
          <w:szCs w:val="28"/>
        </w:rPr>
        <w:t>、我方完全理解并同意竞争性磋商文件中有关没收磋商保证金、要求专业担保机构现行偿付和拒绝磋商的条款。</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4</w:t>
      </w:r>
      <w:r>
        <w:rPr>
          <w:rFonts w:hint="eastAsia" w:cs="宋体" w:asciiTheme="minorEastAsia" w:hAnsiTheme="minorEastAsia"/>
          <w:sz w:val="28"/>
          <w:szCs w:val="28"/>
        </w:rPr>
        <w:t>、我方同意按照要求提供磋商有关的一切数据或资料。</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5</w:t>
      </w:r>
      <w:r>
        <w:rPr>
          <w:rFonts w:hint="eastAsia" w:cs="宋体" w:asciiTheme="minorEastAsia" w:hAnsiTheme="minorEastAsia"/>
          <w:sz w:val="28"/>
          <w:szCs w:val="28"/>
        </w:rPr>
        <w:t>、我方将按竞争性磋商文件的规定履行合同责任和义务。</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6</w:t>
      </w:r>
      <w:r>
        <w:rPr>
          <w:rFonts w:hint="eastAsia" w:cs="宋体" w:asciiTheme="minorEastAsia" w:hAnsiTheme="minorEastAsia"/>
          <w:sz w:val="28"/>
          <w:szCs w:val="28"/>
        </w:rPr>
        <w:t>、我方完全理解最低报价不是成交的唯一条件，采购人有权选择质优价廉的货物/服务。</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、我方同意按竞争性磋商文件规定，遵守贵方有关采购的各项规定。</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、若我方被选为成交供应商，我方保证按有关规定向贵方支付磋商服务费。</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9</w:t>
      </w:r>
      <w:r>
        <w:rPr>
          <w:rFonts w:hint="eastAsia" w:cs="宋体" w:asciiTheme="minorEastAsia" w:hAnsiTheme="minorEastAsia"/>
          <w:sz w:val="28"/>
          <w:szCs w:val="28"/>
        </w:rPr>
        <w:t>、磋商有效期为自磋商日起</w:t>
      </w:r>
      <w:r>
        <w:rPr>
          <w:rFonts w:hint="eastAsia" w:cs="宋体" w:asciiTheme="minorEastAsia" w:hAnsiTheme="minorEastAsia"/>
          <w:sz w:val="28"/>
          <w:szCs w:val="28"/>
          <w:u w:val="single"/>
        </w:rPr>
        <w:t xml:space="preserve">  90  </w:t>
      </w:r>
      <w:r>
        <w:rPr>
          <w:rFonts w:hint="eastAsia" w:cs="宋体" w:asciiTheme="minorEastAsia" w:hAnsiTheme="minorEastAsia"/>
          <w:sz w:val="28"/>
          <w:szCs w:val="28"/>
        </w:rPr>
        <w:t>个日历日。</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10</w:t>
      </w:r>
      <w:r>
        <w:rPr>
          <w:rFonts w:hint="eastAsia" w:cs="宋体" w:asciiTheme="minorEastAsia" w:hAnsiTheme="minorEastAsia"/>
          <w:sz w:val="28"/>
          <w:szCs w:val="28"/>
        </w:rPr>
        <w:t>、所有关于本项目的函电，请按下列地址联系：</w:t>
      </w:r>
    </w:p>
    <w:p>
      <w:pPr>
        <w:rPr>
          <w:rFonts w:cs="宋体" w:asciiTheme="minorEastAsia" w:hAnsiTheme="minorEastAsia"/>
          <w:sz w:val="28"/>
          <w:szCs w:val="28"/>
        </w:rPr>
      </w:pPr>
      <w:r>
        <w:rPr>
          <w:rFonts w:hint="eastAsia" w:cs="宋体" w:asciiTheme="minorEastAsia" w:hAnsiTheme="minorEastAsia"/>
          <w:sz w:val="28"/>
          <w:szCs w:val="28"/>
        </w:rPr>
        <w:br w:type="page"/>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供应商名称（公章）：</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详 细 地 址：</w:t>
      </w:r>
    </w:p>
    <w:p>
      <w:pPr>
        <w:tabs>
          <w:tab w:val="left" w:pos="360"/>
        </w:tabs>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邮 政 编 码：</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电       话：</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传       真：</w:t>
      </w:r>
    </w:p>
    <w:p>
      <w:pPr>
        <w:tabs>
          <w:tab w:val="left" w:pos="36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电 子 邮 件：</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开 户 银 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帐       号：</w:t>
      </w:r>
    </w:p>
    <w:p>
      <w:pPr>
        <w:spacing w:line="500" w:lineRule="exact"/>
        <w:rPr>
          <w:rFonts w:cs="宋体" w:asciiTheme="minorEastAsia" w:hAnsiTheme="minorEastAsia"/>
          <w:sz w:val="28"/>
          <w:szCs w:val="28"/>
        </w:rPr>
      </w:pPr>
    </w:p>
    <w:p>
      <w:pPr>
        <w:pStyle w:val="2"/>
        <w:spacing w:line="500" w:lineRule="exact"/>
        <w:rPr>
          <w:rFonts w:cs="宋体" w:asciiTheme="minorEastAsia" w:hAnsiTheme="minorEastAsia"/>
          <w:sz w:val="28"/>
          <w:szCs w:val="28"/>
        </w:rPr>
      </w:pPr>
    </w:p>
    <w:p>
      <w:pPr>
        <w:pStyle w:val="2"/>
        <w:spacing w:line="500" w:lineRule="exact"/>
        <w:rPr>
          <w:rFonts w:cs="宋体" w:asciiTheme="minorEastAsia" w:hAnsiTheme="minorEastAsia"/>
          <w:sz w:val="28"/>
          <w:szCs w:val="28"/>
        </w:rPr>
      </w:pPr>
    </w:p>
    <w:p>
      <w:pPr>
        <w:spacing w:line="500" w:lineRule="exact"/>
        <w:ind w:firstLine="4480"/>
        <w:rPr>
          <w:rFonts w:cs="宋体" w:asciiTheme="minorEastAsia" w:hAnsiTheme="minorEastAsia"/>
          <w:sz w:val="28"/>
          <w:szCs w:val="28"/>
        </w:rPr>
      </w:pPr>
      <w:r>
        <w:rPr>
          <w:rFonts w:hint="eastAsia" w:cs="宋体" w:asciiTheme="minorEastAsia" w:hAnsiTheme="minorEastAsia"/>
          <w:sz w:val="28"/>
          <w:szCs w:val="28"/>
        </w:rPr>
        <w:t>供应商授权代表签名：</w:t>
      </w:r>
    </w:p>
    <w:p>
      <w:pPr>
        <w:spacing w:line="500" w:lineRule="exact"/>
        <w:ind w:firstLine="5180"/>
        <w:rPr>
          <w:rFonts w:cs="宋体" w:asciiTheme="minorEastAsia" w:hAnsiTheme="minorEastAsia"/>
          <w:sz w:val="28"/>
          <w:szCs w:val="28"/>
          <w:u w:val="single"/>
        </w:rPr>
      </w:pPr>
      <w:r>
        <w:rPr>
          <w:rFonts w:hint="eastAsia" w:cs="宋体" w:asciiTheme="minorEastAsia" w:hAnsiTheme="minorEastAsia"/>
          <w:sz w:val="28"/>
          <w:szCs w:val="28"/>
        </w:rPr>
        <w:t>联系电话/手机：</w:t>
      </w:r>
    </w:p>
    <w:p>
      <w:pPr>
        <w:spacing w:line="500" w:lineRule="exact"/>
        <w:ind w:firstLine="6300" w:firstLineChars="2250"/>
        <w:rPr>
          <w:rFonts w:cs="宋体" w:asciiTheme="minorEastAsia" w:hAnsiTheme="minorEastAsia"/>
          <w:sz w:val="28"/>
          <w:szCs w:val="28"/>
        </w:rPr>
        <w:sectPr>
          <w:headerReference r:id="rId21" w:type="first"/>
          <w:footerReference r:id="rId23" w:type="first"/>
          <w:headerReference r:id="rId20" w:type="default"/>
          <w:footerReference r:id="rId22" w:type="default"/>
          <w:endnotePr>
            <w:numFmt w:val="decimal"/>
          </w:endnotePr>
          <w:pgSz w:w="11907" w:h="16840"/>
          <w:pgMar w:top="1418" w:right="992" w:bottom="1418" w:left="1418" w:header="851" w:footer="1021" w:gutter="0"/>
          <w:pgNumType w:fmt="decimal"/>
          <w:cols w:space="720" w:num="1"/>
          <w:titlePg/>
        </w:sectPr>
      </w:pPr>
      <w:r>
        <w:rPr>
          <w:rFonts w:hint="eastAsia" w:cs="宋体" w:asciiTheme="minorEastAsia" w:hAnsiTheme="minorEastAsia"/>
          <w:sz w:val="28"/>
          <w:szCs w:val="28"/>
        </w:rPr>
        <w:t xml:space="preserve">      年   月   日</w:t>
      </w:r>
      <w:bookmarkStart w:id="113" w:name="_Toc188808834"/>
      <w:bookmarkEnd w:id="113"/>
      <w:bookmarkStart w:id="114" w:name="_Toc13865_WPSOffice_Level1"/>
      <w:bookmarkEnd w:id="114"/>
      <w:bookmarkStart w:id="115" w:name="_Toc22293_WPSOffice_Level1"/>
      <w:bookmarkEnd w:id="115"/>
      <w:bookmarkStart w:id="116" w:name="_Toc193187098"/>
      <w:bookmarkEnd w:id="116"/>
      <w:bookmarkStart w:id="117" w:name="_Toc194663919"/>
      <w:bookmarkEnd w:id="117"/>
      <w:bookmarkStart w:id="118" w:name="_Toc193126882"/>
      <w:bookmarkEnd w:id="118"/>
      <w:bookmarkStart w:id="119" w:name="_Toc20841_WPSOffice_Level1"/>
      <w:bookmarkStart w:id="120" w:name="_Toc13247_WPSOffice_Level1"/>
      <w:bookmarkStart w:id="121" w:name="_Toc5888414"/>
    </w:p>
    <w:p>
      <w:pPr>
        <w:rPr>
          <w:rFonts w:asciiTheme="minorEastAsia" w:hAnsiTheme="minorEastAsia"/>
        </w:rPr>
      </w:pPr>
    </w:p>
    <w:bookmarkEnd w:id="119"/>
    <w:bookmarkEnd w:id="120"/>
    <w:bookmarkEnd w:id="121"/>
    <w:p>
      <w:pPr>
        <w:pStyle w:val="4"/>
        <w:spacing w:before="0" w:after="0" w:line="240" w:lineRule="auto"/>
        <w:rPr>
          <w:rFonts w:asciiTheme="minorEastAsia" w:hAnsiTheme="minorEastAsia" w:eastAsiaTheme="minorEastAsia"/>
          <w:sz w:val="28"/>
          <w:szCs w:val="28"/>
        </w:rPr>
      </w:pPr>
      <w:bookmarkStart w:id="122" w:name="_Toc5888420"/>
      <w:r>
        <w:rPr>
          <w:rFonts w:hint="eastAsia" w:asciiTheme="minorEastAsia" w:hAnsiTheme="minorEastAsia" w:eastAsiaTheme="minorEastAsia"/>
          <w:sz w:val="28"/>
          <w:szCs w:val="28"/>
        </w:rPr>
        <w:t>2.磋商报价一览表（格式）</w:t>
      </w:r>
    </w:p>
    <w:p>
      <w:pPr>
        <w:spacing w:line="480" w:lineRule="exact"/>
        <w:ind w:firstLine="723" w:firstLineChars="200"/>
        <w:jc w:val="center"/>
        <w:rPr>
          <w:rFonts w:asciiTheme="minorEastAsia" w:hAnsiTheme="minorEastAsia"/>
          <w:b/>
          <w:bCs/>
          <w:color w:val="000000"/>
          <w:sz w:val="36"/>
          <w:szCs w:val="21"/>
        </w:rPr>
      </w:pPr>
    </w:p>
    <w:p>
      <w:pPr>
        <w:spacing w:line="480" w:lineRule="exact"/>
        <w:ind w:firstLine="723" w:firstLineChars="200"/>
        <w:jc w:val="center"/>
        <w:rPr>
          <w:rFonts w:asciiTheme="minorEastAsia" w:hAnsiTheme="minorEastAsia"/>
          <w:b/>
          <w:bCs/>
          <w:color w:val="000000"/>
          <w:sz w:val="36"/>
          <w:szCs w:val="21"/>
        </w:rPr>
      </w:pPr>
      <w:r>
        <w:rPr>
          <w:rFonts w:hint="eastAsia" w:asciiTheme="minorEastAsia" w:hAnsiTheme="minorEastAsia"/>
          <w:b/>
          <w:bCs/>
          <w:color w:val="000000"/>
          <w:sz w:val="36"/>
          <w:szCs w:val="21"/>
        </w:rPr>
        <w:t>磋商报价一览表</w:t>
      </w:r>
    </w:p>
    <w:p>
      <w:pPr>
        <w:spacing w:line="480" w:lineRule="exact"/>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 xml:space="preserve">供应商名称： </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 xml:space="preserve">      </w:t>
      </w:r>
    </w:p>
    <w:tbl>
      <w:tblPr>
        <w:tblStyle w:val="23"/>
        <w:tblW w:w="9158" w:type="dxa"/>
        <w:tblInd w:w="6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3076"/>
        <w:gridCol w:w="2176"/>
        <w:gridCol w:w="1215"/>
        <w:gridCol w:w="12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608" w:hRule="atLeast"/>
        </w:trPr>
        <w:tc>
          <w:tcPr>
            <w:tcW w:w="1476" w:type="dxa"/>
            <w:vAlign w:val="center"/>
          </w:tcPr>
          <w:p>
            <w:pPr>
              <w:spacing w:line="480" w:lineRule="exact"/>
              <w:ind w:right="143" w:rightChars="68" w:firstLine="138" w:firstLineChars="49"/>
              <w:jc w:val="center"/>
              <w:rPr>
                <w:rFonts w:asciiTheme="minorEastAsia" w:hAnsiTheme="minorEastAsia"/>
                <w:b/>
                <w:sz w:val="28"/>
                <w:szCs w:val="28"/>
              </w:rPr>
            </w:pPr>
            <w:r>
              <w:rPr>
                <w:rFonts w:hint="eastAsia" w:asciiTheme="minorEastAsia" w:hAnsiTheme="minorEastAsia"/>
                <w:b/>
                <w:sz w:val="28"/>
                <w:szCs w:val="28"/>
              </w:rPr>
              <w:t>项目编号</w:t>
            </w:r>
          </w:p>
        </w:tc>
        <w:tc>
          <w:tcPr>
            <w:tcW w:w="3076" w:type="dxa"/>
            <w:vAlign w:val="center"/>
          </w:tcPr>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磋商总报价</w:t>
            </w:r>
          </w:p>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（人民币:元）</w:t>
            </w:r>
          </w:p>
        </w:tc>
        <w:tc>
          <w:tcPr>
            <w:tcW w:w="2176" w:type="dxa"/>
            <w:tcMar>
              <w:top w:w="57" w:type="dxa"/>
              <w:left w:w="28" w:type="dxa"/>
              <w:bottom w:w="57" w:type="dxa"/>
              <w:right w:w="28" w:type="dxa"/>
            </w:tcMar>
            <w:vAlign w:val="center"/>
          </w:tcPr>
          <w:p>
            <w:pPr>
              <w:spacing w:line="480" w:lineRule="exact"/>
              <w:jc w:val="center"/>
              <w:rPr>
                <w:rFonts w:hint="default" w:asciiTheme="minorEastAsia" w:hAnsiTheme="minorEastAsia" w:eastAsiaTheme="minorEastAsia"/>
                <w:b/>
                <w:sz w:val="28"/>
                <w:szCs w:val="28"/>
                <w:lang w:val="en-US" w:eastAsia="zh-CN"/>
              </w:rPr>
            </w:pPr>
            <w:r>
              <w:rPr>
                <w:rFonts w:hint="eastAsia" w:asciiTheme="minorEastAsia" w:hAnsiTheme="minorEastAsia"/>
                <w:b/>
                <w:sz w:val="28"/>
                <w:szCs w:val="28"/>
              </w:rPr>
              <w:t>服务期</w:t>
            </w:r>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日历天</w:t>
            </w:r>
            <w:r>
              <w:rPr>
                <w:rFonts w:hint="eastAsia" w:asciiTheme="minorEastAsia" w:hAnsiTheme="minorEastAsia"/>
                <w:b/>
                <w:sz w:val="28"/>
                <w:szCs w:val="28"/>
                <w:lang w:eastAsia="zh-CN"/>
              </w:rPr>
              <w:t>）</w:t>
            </w:r>
          </w:p>
        </w:tc>
        <w:tc>
          <w:tcPr>
            <w:tcW w:w="1215" w:type="dxa"/>
            <w:vAlign w:val="center"/>
          </w:tcPr>
          <w:p>
            <w:pPr>
              <w:spacing w:line="480" w:lineRule="exact"/>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质量</w:t>
            </w:r>
          </w:p>
        </w:tc>
        <w:tc>
          <w:tcPr>
            <w:tcW w:w="1215" w:type="dxa"/>
            <w:vAlign w:val="center"/>
          </w:tcPr>
          <w:p>
            <w:pPr>
              <w:spacing w:line="480" w:lineRule="exact"/>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71" w:hRule="atLeast"/>
        </w:trPr>
        <w:tc>
          <w:tcPr>
            <w:tcW w:w="1476" w:type="dxa"/>
            <w:vMerge w:val="restart"/>
            <w:vAlign w:val="center"/>
          </w:tcPr>
          <w:p>
            <w:pPr>
              <w:spacing w:line="480" w:lineRule="exact"/>
              <w:ind w:left="210" w:leftChars="100"/>
              <w:jc w:val="center"/>
              <w:rPr>
                <w:rFonts w:asciiTheme="minorEastAsia" w:hAnsiTheme="minorEastAsia"/>
                <w:sz w:val="28"/>
                <w:szCs w:val="28"/>
              </w:rPr>
            </w:pPr>
          </w:p>
        </w:tc>
        <w:tc>
          <w:tcPr>
            <w:tcW w:w="3076" w:type="dxa"/>
            <w:vAlign w:val="center"/>
          </w:tcPr>
          <w:p>
            <w:pPr>
              <w:spacing w:line="480" w:lineRule="exact"/>
              <w:ind w:left="210" w:leftChars="100"/>
              <w:jc w:val="center"/>
              <w:rPr>
                <w:rFonts w:asciiTheme="minorEastAsia" w:hAnsiTheme="minorEastAsia"/>
                <w:sz w:val="28"/>
                <w:szCs w:val="28"/>
              </w:rPr>
            </w:pPr>
          </w:p>
        </w:tc>
        <w:tc>
          <w:tcPr>
            <w:tcW w:w="2176" w:type="dxa"/>
            <w:tcMar>
              <w:top w:w="57" w:type="dxa"/>
              <w:left w:w="28" w:type="dxa"/>
              <w:bottom w:w="57" w:type="dxa"/>
              <w:right w:w="28" w:type="dxa"/>
            </w:tcMar>
            <w:vAlign w:val="center"/>
          </w:tcPr>
          <w:p>
            <w:pPr>
              <w:spacing w:line="480" w:lineRule="exact"/>
              <w:ind w:left="210" w:leftChars="100"/>
              <w:jc w:val="center"/>
              <w:rPr>
                <w:rFonts w:asciiTheme="minorEastAsia" w:hAnsiTheme="minorEastAsia"/>
                <w:b/>
                <w:sz w:val="28"/>
                <w:szCs w:val="28"/>
              </w:rPr>
            </w:pPr>
          </w:p>
        </w:tc>
        <w:tc>
          <w:tcPr>
            <w:tcW w:w="1215" w:type="dxa"/>
            <w:vAlign w:val="center"/>
          </w:tcPr>
          <w:p>
            <w:pPr>
              <w:spacing w:line="480" w:lineRule="exact"/>
              <w:ind w:left="210" w:leftChars="100"/>
              <w:jc w:val="center"/>
              <w:rPr>
                <w:rFonts w:asciiTheme="minorEastAsia" w:hAnsiTheme="minorEastAsia"/>
                <w:b/>
                <w:sz w:val="28"/>
                <w:szCs w:val="28"/>
              </w:rPr>
            </w:pPr>
          </w:p>
        </w:tc>
        <w:tc>
          <w:tcPr>
            <w:tcW w:w="1215" w:type="dxa"/>
            <w:vAlign w:val="center"/>
          </w:tcPr>
          <w:p>
            <w:pPr>
              <w:spacing w:line="480" w:lineRule="exact"/>
              <w:ind w:left="210" w:leftChars="100"/>
              <w:jc w:val="center"/>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14" w:hRule="atLeast"/>
        </w:trPr>
        <w:tc>
          <w:tcPr>
            <w:tcW w:w="1476" w:type="dxa"/>
            <w:vMerge w:val="continue"/>
            <w:vAlign w:val="center"/>
          </w:tcPr>
          <w:p>
            <w:pPr>
              <w:spacing w:line="480" w:lineRule="exact"/>
              <w:ind w:left="210" w:leftChars="100"/>
              <w:jc w:val="center"/>
              <w:rPr>
                <w:rFonts w:asciiTheme="minorEastAsia" w:hAnsiTheme="minorEastAsia"/>
                <w:sz w:val="28"/>
                <w:szCs w:val="28"/>
              </w:rPr>
            </w:pPr>
          </w:p>
        </w:tc>
        <w:tc>
          <w:tcPr>
            <w:tcW w:w="7682" w:type="dxa"/>
            <w:gridSpan w:val="4"/>
            <w:vAlign w:val="center"/>
          </w:tcPr>
          <w:p>
            <w:pPr>
              <w:spacing w:line="480" w:lineRule="exact"/>
              <w:ind w:left="210" w:leftChars="100"/>
              <w:rPr>
                <w:rFonts w:hint="eastAsia" w:asciiTheme="minorEastAsia" w:hAnsiTheme="minorEastAsia"/>
                <w:sz w:val="28"/>
                <w:szCs w:val="28"/>
              </w:rPr>
            </w:pPr>
            <w:r>
              <w:rPr>
                <w:rFonts w:hint="eastAsia" w:asciiTheme="minorEastAsia" w:hAnsiTheme="minorEastAsia"/>
                <w:sz w:val="28"/>
                <w:szCs w:val="28"/>
              </w:rPr>
              <w:t>（大写）</w:t>
            </w:r>
          </w:p>
        </w:tc>
      </w:tr>
    </w:tbl>
    <w:p>
      <w:pPr>
        <w:spacing w:line="440" w:lineRule="exact"/>
        <w:ind w:firstLine="600" w:firstLineChars="250"/>
        <w:rPr>
          <w:rFonts w:asciiTheme="minorEastAsia" w:hAnsiTheme="minorEastAsia"/>
          <w:color w:val="000000"/>
          <w:sz w:val="24"/>
        </w:rPr>
      </w:pPr>
      <w:r>
        <w:rPr>
          <w:rFonts w:hint="eastAsia" w:asciiTheme="minorEastAsia" w:hAnsiTheme="minorEastAsia"/>
          <w:color w:val="000000"/>
          <w:sz w:val="24"/>
        </w:rPr>
        <w:t>注：1、本表价格应按磋商总价填写，同时应保证磋商响应文件的正、副本中仍有此表且一致。</w:t>
      </w:r>
    </w:p>
    <w:p>
      <w:pPr>
        <w:spacing w:line="440" w:lineRule="exact"/>
        <w:ind w:firstLine="960" w:firstLineChars="400"/>
        <w:rPr>
          <w:rFonts w:asciiTheme="minorEastAsia" w:hAnsiTheme="minorEastAsia"/>
          <w:color w:val="000000"/>
          <w:sz w:val="24"/>
        </w:rPr>
      </w:pPr>
      <w:r>
        <w:rPr>
          <w:rFonts w:hint="eastAsia" w:asciiTheme="minorEastAsia" w:hAnsiTheme="minorEastAsia"/>
          <w:color w:val="000000"/>
          <w:sz w:val="24"/>
        </w:rPr>
        <w:t xml:space="preserve"> 2、报</w:t>
      </w:r>
      <w:r>
        <w:rPr>
          <w:rFonts w:hint="eastAsia" w:asciiTheme="minorEastAsia" w:hAnsiTheme="minorEastAsia"/>
          <w:sz w:val="24"/>
        </w:rPr>
        <w:t>价可精确到小数点后两位。</w:t>
      </w: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400" w:firstLineChars="1000"/>
        <w:rPr>
          <w:rFonts w:ascii="宋体" w:hAnsi="宋体" w:eastAsia="宋体" w:cs="宋体"/>
          <w:sz w:val="24"/>
          <w:szCs w:val="24"/>
        </w:rPr>
      </w:pPr>
      <w:r>
        <w:rPr>
          <w:rFonts w:hint="eastAsia" w:ascii="宋体" w:hAnsi="宋体" w:eastAsia="宋体" w:cs="宋体"/>
          <w:sz w:val="24"/>
          <w:szCs w:val="24"/>
        </w:rPr>
        <w:t>日 期：</w:t>
      </w:r>
    </w:p>
    <w:p>
      <w:pPr>
        <w:pStyle w:val="7"/>
        <w:ind w:firstLine="480"/>
        <w:rPr>
          <w:rFonts w:ascii="宋体" w:hAnsi="宋体" w:eastAsia="宋体" w:cs="宋体"/>
          <w:sz w:val="24"/>
          <w:szCs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sz w:val="24"/>
        </w:rPr>
      </w:pPr>
    </w:p>
    <w:p>
      <w:pPr>
        <w:pStyle w:val="4"/>
        <w:spacing w:before="0" w:after="0" w:line="240" w:lineRule="auto"/>
        <w:rPr>
          <w:rFonts w:asciiTheme="minorEastAsia" w:hAnsiTheme="minorEastAsia" w:eastAsiaTheme="minorEastAsia"/>
          <w:sz w:val="28"/>
          <w:szCs w:val="28"/>
        </w:rPr>
        <w:sectPr>
          <w:headerReference r:id="rId24" w:type="default"/>
          <w:pgSz w:w="11907" w:h="16840"/>
          <w:pgMar w:top="936" w:right="1259" w:bottom="1418" w:left="1287" w:header="851" w:footer="1021" w:gutter="0"/>
          <w:pgNumType w:fmt="decimal"/>
          <w:cols w:space="720" w:num="1"/>
          <w:docGrid w:linePitch="312" w:charSpace="0"/>
        </w:sectPr>
      </w:pPr>
    </w:p>
    <w:p>
      <w:pPr>
        <w:pStyle w:val="4"/>
        <w:spacing w:before="0" w:after="0"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响应偏离表</w:t>
      </w:r>
    </w:p>
    <w:p>
      <w:pPr>
        <w:pStyle w:val="4"/>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技术规格响应偏离表（格式）</w:t>
      </w:r>
    </w:p>
    <w:p>
      <w:pPr>
        <w:spacing w:line="480" w:lineRule="exact"/>
        <w:ind w:left="210" w:leftChars="100"/>
        <w:jc w:val="center"/>
        <w:rPr>
          <w:rFonts w:cs="仿宋_GB2312" w:asciiTheme="minorEastAsia" w:hAnsiTheme="minorEastAsia"/>
          <w:b/>
          <w:bCs/>
          <w:sz w:val="36"/>
          <w:szCs w:val="21"/>
        </w:rPr>
      </w:pPr>
      <w:r>
        <w:rPr>
          <w:rFonts w:hint="eastAsia" w:cs="仿宋_GB2312" w:asciiTheme="minorEastAsia" w:hAnsiTheme="minorEastAsia"/>
          <w:b/>
          <w:bCs/>
          <w:sz w:val="36"/>
          <w:szCs w:val="21"/>
        </w:rPr>
        <w:t>技术规格响应偏离表</w:t>
      </w:r>
    </w:p>
    <w:p>
      <w:pPr>
        <w:spacing w:line="480" w:lineRule="exact"/>
        <w:ind w:left="210" w:leftChars="100"/>
        <w:rPr>
          <w:rFonts w:cs="仿宋_GB2312" w:asciiTheme="minorEastAsia" w:hAnsiTheme="minorEastAsia"/>
          <w:sz w:val="28"/>
          <w:szCs w:val="28"/>
          <w:u w:val="single"/>
        </w:rPr>
      </w:pPr>
      <w:r>
        <w:rPr>
          <w:rFonts w:hint="eastAsia" w:cs="仿宋_GB2312" w:asciiTheme="minorEastAsia" w:hAnsiTheme="minorEastAsia"/>
          <w:sz w:val="28"/>
          <w:szCs w:val="28"/>
        </w:rPr>
        <w:t>投标人名称：</w:t>
      </w:r>
      <w:r>
        <w:rPr>
          <w:rFonts w:cs="仿宋_GB2312" w:asciiTheme="minorEastAsia" w:hAnsiTheme="minorEastAsia"/>
          <w:sz w:val="28"/>
          <w:szCs w:val="28"/>
        </w:rPr>
        <w:t xml:space="preserve">                   </w:t>
      </w:r>
      <w:r>
        <w:rPr>
          <w:rFonts w:hint="eastAsia" w:cs="仿宋_GB2312" w:asciiTheme="minorEastAsia" w:hAnsiTheme="minorEastAsia"/>
          <w:sz w:val="28"/>
          <w:szCs w:val="28"/>
        </w:rPr>
        <w:t>项目编号：</w:t>
      </w:r>
    </w:p>
    <w:tbl>
      <w:tblPr>
        <w:tblStyle w:val="23"/>
        <w:tblpPr w:leftFromText="180" w:rightFromText="180" w:vertAnchor="text" w:horzAnchor="page" w:tblpXSpec="center" w:tblpY="204"/>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double" w:color="auto" w:sz="4" w:space="0"/>
            </w:tcBorders>
            <w:tcMar>
              <w:top w:w="57" w:type="dxa"/>
              <w:left w:w="28" w:type="dxa"/>
              <w:bottom w:w="57" w:type="dxa"/>
              <w:right w:w="28" w:type="dxa"/>
            </w:tcMar>
            <w:vAlign w:val="center"/>
          </w:tcPr>
          <w:p>
            <w:pPr>
              <w:spacing w:line="360" w:lineRule="exact"/>
              <w:ind w:left="40" w:leftChars="19"/>
              <w:jc w:val="center"/>
              <w:rPr>
                <w:rFonts w:cs="仿宋_GB2312" w:asciiTheme="minorEastAsia" w:hAnsiTheme="minorEastAsia"/>
                <w:b/>
                <w:sz w:val="28"/>
                <w:szCs w:val="28"/>
              </w:rPr>
            </w:pPr>
            <w:r>
              <w:rPr>
                <w:rFonts w:hint="eastAsia" w:cs="仿宋_GB2312" w:asciiTheme="minorEastAsia" w:hAnsiTheme="minorEastAsia"/>
                <w:b/>
                <w:sz w:val="28"/>
                <w:szCs w:val="28"/>
              </w:rPr>
              <w:t>序号</w:t>
            </w:r>
          </w:p>
        </w:tc>
        <w:tc>
          <w:tcPr>
            <w:tcW w:w="2883" w:type="dxa"/>
            <w:tcBorders>
              <w:top w:val="double" w:color="auto" w:sz="4" w:space="0"/>
            </w:tcBorders>
            <w:tcMar>
              <w:top w:w="57" w:type="dxa"/>
              <w:left w:w="28" w:type="dxa"/>
              <w:bottom w:w="57" w:type="dxa"/>
              <w:right w:w="28" w:type="dxa"/>
            </w:tcMar>
            <w:vAlign w:val="center"/>
          </w:tcPr>
          <w:p>
            <w:pPr>
              <w:spacing w:line="360" w:lineRule="exact"/>
              <w:ind w:left="210" w:leftChars="100"/>
              <w:jc w:val="center"/>
              <w:rPr>
                <w:rFonts w:cs="仿宋_GB2312" w:asciiTheme="minorEastAsia" w:hAnsiTheme="minorEastAsia"/>
                <w:b/>
                <w:sz w:val="28"/>
                <w:szCs w:val="28"/>
              </w:rPr>
            </w:pPr>
            <w:r>
              <w:rPr>
                <w:rFonts w:hint="eastAsia" w:cs="仿宋_GB2312" w:asciiTheme="minorEastAsia" w:hAnsiTheme="minorEastAsia"/>
                <w:b/>
                <w:sz w:val="28"/>
                <w:szCs w:val="28"/>
              </w:rPr>
              <w:t>招标文件</w:t>
            </w:r>
          </w:p>
          <w:p>
            <w:pPr>
              <w:spacing w:line="360" w:lineRule="exact"/>
              <w:ind w:left="210" w:leftChars="100"/>
              <w:jc w:val="center"/>
              <w:rPr>
                <w:rFonts w:cs="仿宋_GB2312" w:asciiTheme="minorEastAsia" w:hAnsiTheme="minorEastAsia"/>
                <w:b/>
                <w:sz w:val="28"/>
                <w:szCs w:val="28"/>
              </w:rPr>
            </w:pPr>
            <w:r>
              <w:rPr>
                <w:rFonts w:hint="eastAsia" w:cs="仿宋_GB2312" w:asciiTheme="minorEastAsia" w:hAnsiTheme="minorEastAsia"/>
                <w:b/>
                <w:sz w:val="28"/>
                <w:szCs w:val="28"/>
              </w:rPr>
              <w:t>技术需求</w:t>
            </w:r>
          </w:p>
        </w:tc>
        <w:tc>
          <w:tcPr>
            <w:tcW w:w="265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投标文件配置、规格及主要技术参数</w:t>
            </w:r>
          </w:p>
        </w:tc>
        <w:tc>
          <w:tcPr>
            <w:tcW w:w="168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偏离情况</w:t>
            </w:r>
          </w:p>
        </w:tc>
        <w:tc>
          <w:tcPr>
            <w:tcW w:w="131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说</w:t>
            </w:r>
            <w:r>
              <w:rPr>
                <w:rFonts w:cs="仿宋_GB2312" w:asciiTheme="minorEastAsia" w:hAnsiTheme="minorEastAsia"/>
                <w:b/>
                <w:sz w:val="28"/>
                <w:szCs w:val="28"/>
              </w:rPr>
              <w:t xml:space="preserve"> </w:t>
            </w:r>
            <w:r>
              <w:rPr>
                <w:rFonts w:hint="eastAsia" w:cs="仿宋_GB2312" w:asciiTheme="minorEastAsia" w:hAnsiTheme="minorEastAsia"/>
                <w:b/>
                <w:sz w:val="28"/>
                <w:szCs w:val="28"/>
              </w:rPr>
              <w:t>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Borders>
              <w:bottom w:val="double" w:color="auto" w:sz="4" w:space="0"/>
            </w:tcBorders>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bl>
    <w:p>
      <w:pPr>
        <w:spacing w:line="320" w:lineRule="exact"/>
        <w:rPr>
          <w:rFonts w:cs="仿宋_GB2312" w:asciiTheme="minorEastAsia" w:hAnsiTheme="minorEastAsia"/>
          <w:b/>
          <w:sz w:val="28"/>
          <w:szCs w:val="28"/>
        </w:rPr>
      </w:pPr>
    </w:p>
    <w:p>
      <w:pPr>
        <w:spacing w:line="320" w:lineRule="exact"/>
        <w:ind w:left="210" w:leftChars="100" w:firstLine="420" w:firstLineChars="200"/>
        <w:rPr>
          <w:rFonts w:cs="仿宋_GB2312" w:asciiTheme="minorEastAsia" w:hAnsiTheme="minorEastAsia"/>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4"/>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t>3.2</w:t>
      </w:r>
      <w:r>
        <w:rPr>
          <w:rFonts w:hint="eastAsia" w:asciiTheme="minorEastAsia" w:hAnsiTheme="minorEastAsia" w:eastAsiaTheme="minorEastAsia"/>
          <w:sz w:val="28"/>
          <w:szCs w:val="28"/>
        </w:rPr>
        <w:t>.商务条款响应偏离表（格式）</w:t>
      </w:r>
    </w:p>
    <w:p>
      <w:pPr>
        <w:spacing w:line="480" w:lineRule="exact"/>
        <w:ind w:left="210" w:leftChars="100"/>
        <w:jc w:val="center"/>
        <w:rPr>
          <w:rFonts w:asciiTheme="minorEastAsia" w:hAnsiTheme="minorEastAsia"/>
          <w:b/>
          <w:bCs/>
          <w:sz w:val="36"/>
          <w:szCs w:val="21"/>
        </w:rPr>
      </w:pPr>
      <w:r>
        <w:rPr>
          <w:rFonts w:hint="eastAsia" w:asciiTheme="minorEastAsia" w:hAnsiTheme="minorEastAsia"/>
          <w:b/>
          <w:bCs/>
          <w:sz w:val="36"/>
          <w:szCs w:val="21"/>
        </w:rPr>
        <w:t>商务条款响应偏离表</w:t>
      </w:r>
    </w:p>
    <w:p>
      <w:pPr>
        <w:spacing w:line="480" w:lineRule="exact"/>
        <w:rPr>
          <w:rFonts w:asciiTheme="minorEastAsia" w:hAnsiTheme="minorEastAsia"/>
          <w:sz w:val="28"/>
          <w:szCs w:val="28"/>
        </w:rPr>
      </w:pPr>
      <w:r>
        <w:rPr>
          <w:rFonts w:hint="eastAsia" w:asciiTheme="minorEastAsia" w:hAnsiTheme="minorEastAsia"/>
          <w:sz w:val="28"/>
          <w:szCs w:val="28"/>
        </w:rPr>
        <w:t>供应商名称：</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项目编号：</w:t>
      </w:r>
      <w:r>
        <w:rPr>
          <w:rFonts w:hint="eastAsia" w:asciiTheme="minorEastAsia" w:hAnsiTheme="minorEastAsia"/>
          <w:sz w:val="28"/>
          <w:szCs w:val="28"/>
          <w:u w:val="single"/>
        </w:rPr>
        <w:t xml:space="preserve">             </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20" w:lineRule="exact"/>
              <w:ind w:left="-97" w:leftChars="-46"/>
              <w:jc w:val="center"/>
              <w:rPr>
                <w:rFonts w:asciiTheme="minorEastAsia" w:hAnsiTheme="minorEastAsia"/>
                <w:b/>
                <w:sz w:val="28"/>
                <w:szCs w:val="28"/>
              </w:rPr>
            </w:pPr>
            <w:r>
              <w:rPr>
                <w:rFonts w:hint="eastAsia" w:asciiTheme="minorEastAsia" w:hAnsiTheme="minorEastAsia"/>
                <w:b/>
                <w:sz w:val="28"/>
                <w:szCs w:val="28"/>
              </w:rPr>
              <w:t>序号</w:t>
            </w:r>
          </w:p>
        </w:tc>
        <w:tc>
          <w:tcPr>
            <w:tcW w:w="2950"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磋商文件</w:t>
            </w:r>
          </w:p>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商务要求</w:t>
            </w:r>
          </w:p>
        </w:tc>
        <w:tc>
          <w:tcPr>
            <w:tcW w:w="2379"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磋商响应文件</w:t>
            </w:r>
          </w:p>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商务响应</w:t>
            </w:r>
          </w:p>
        </w:tc>
        <w:tc>
          <w:tcPr>
            <w:tcW w:w="1650"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偏离情况</w:t>
            </w:r>
          </w:p>
        </w:tc>
        <w:tc>
          <w:tcPr>
            <w:tcW w:w="1438" w:type="dxa"/>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bl>
    <w:p>
      <w:pPr>
        <w:spacing w:line="480" w:lineRule="exact"/>
        <w:ind w:left="210" w:leftChars="100"/>
        <w:rPr>
          <w:rFonts w:asciiTheme="minorEastAsia" w:hAnsiTheme="minorEastAsia"/>
          <w:szCs w:val="21"/>
        </w:rPr>
      </w:pPr>
      <w:r>
        <w:rPr>
          <w:rFonts w:hint="eastAsia" w:asciiTheme="minorEastAsia" w:hAnsiTheme="minorEastAsia"/>
          <w:szCs w:val="21"/>
        </w:rPr>
        <w:t>注：如有漏报、瞒报竞争性磋商文件所要求的性能指标等将视为没有实质性响应竞争性磋商文件</w:t>
      </w:r>
    </w:p>
    <w:p>
      <w:pPr>
        <w:spacing w:line="480" w:lineRule="exact"/>
        <w:ind w:left="210" w:leftChars="100"/>
        <w:rPr>
          <w:rFonts w:asciiTheme="minorEastAsia" w:hAnsiTheme="minorEastAsia"/>
          <w:szCs w:val="21"/>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7"/>
        <w:rPr>
          <w:rFonts w:asciiTheme="minorEastAsia" w:hAnsiTheme="minorEastAsia"/>
          <w:szCs w:val="32"/>
        </w:rPr>
      </w:pPr>
      <w:r>
        <w:rPr>
          <w:rFonts w:asciiTheme="minorEastAsia" w:hAnsiTheme="minorEastAsia"/>
        </w:rPr>
        <w:br w:type="page"/>
      </w:r>
    </w:p>
    <w:p>
      <w:pPr>
        <w:pStyle w:val="4"/>
        <w:spacing w:before="0" w:after="0" w:line="24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4、资格证明</w:t>
      </w:r>
      <w:bookmarkEnd w:id="122"/>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eastAsia" w:asciiTheme="minorEastAsia" w:hAnsiTheme="minorEastAsia" w:eastAsiaTheme="minorEastAsia" w:cstheme="minorEastAsia"/>
          <w:i w:val="0"/>
          <w:iCs w:val="0"/>
          <w:caps w:val="0"/>
          <w:color w:val="333333"/>
          <w:spacing w:val="0"/>
          <w:sz w:val="28"/>
          <w:szCs w:val="28"/>
          <w:shd w:val="clear" w:fill="FFFFFF"/>
          <w:vertAlign w:val="baseline"/>
        </w:rPr>
      </w:pPr>
      <w:bookmarkStart w:id="123" w:name="_Toc5888428"/>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.2.供应商须具备行政主管部门颁发的测绘乙级（含乙级）以上资质；</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eastAsia" w:asciiTheme="minorEastAsia" w:hAnsiTheme="minorEastAsia" w:eastAsiaTheme="minorEastAsia" w:cstheme="minorEastAsia"/>
          <w:i w:val="0"/>
          <w:iCs w:val="0"/>
          <w:caps w:val="0"/>
          <w:color w:val="333333"/>
          <w:spacing w:val="0"/>
          <w:sz w:val="28"/>
          <w:szCs w:val="28"/>
          <w:shd w:val="clear" w:fill="FFFFFF"/>
          <w:vertAlign w:val="baseline"/>
        </w:rPr>
      </w:pP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.3.供应商提供法定代表人授权书及被授权人身份证，法定代表人直接投标只须提交其法人身份证明。</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.6.税收缴纳证明：提供上一年度至今已缴纳的至少连续</w:t>
      </w:r>
      <w:r>
        <w:rPr>
          <w:rFonts w:hint="eastAsia" w:asciiTheme="minorEastAsia" w:hAnsiTheme="minorEastAsia" w:cstheme="minorEastAsia"/>
          <w:i w:val="0"/>
          <w:iCs w:val="0"/>
          <w:caps w:val="0"/>
          <w:color w:val="333333"/>
          <w:spacing w:val="0"/>
          <w:sz w:val="28"/>
          <w:szCs w:val="28"/>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个月的纳税证明或完税证明，依法免税的单位应提供相关证明材料（复印件加盖供应商公章）。</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.7.社会保障资金缴纳证明：提供上一年度至今已缴存的至少连续</w:t>
      </w:r>
      <w:r>
        <w:rPr>
          <w:rFonts w:hint="eastAsia" w:asciiTheme="minorEastAsia" w:hAnsiTheme="minorEastAsia" w:cstheme="minorEastAsia"/>
          <w:i w:val="0"/>
          <w:iCs w:val="0"/>
          <w:caps w:val="0"/>
          <w:color w:val="333333"/>
          <w:spacing w:val="0"/>
          <w:sz w:val="28"/>
          <w:szCs w:val="28"/>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8.书面声明：提供《供应商书面声明函》（经查，参加本次政府采购活动前三年内在经营活动中没有重大违纪，以及未被列入失信被执行人、重大税收违法失信主体的供应商、政府采购严重违法失信行为记录名单的书面声明）。</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.9.单位负责人为同一人或者存在控股、管理关系的不同单位，不得参加同一项目的投标。</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.10.本项目专门面向中小企业采购（符合财库[2020]46号规定的供应商应提供中小微企业声明函）。</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.11.本项目不接受联合体投标。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default" w:asciiTheme="minorEastAsia" w:hAnsiTheme="minorEastAsia" w:eastAsiaTheme="minorEastAsia" w:cstheme="minorEastAsia"/>
          <w:i w:val="0"/>
          <w:iCs w:val="0"/>
          <w:caps w:val="0"/>
          <w:color w:val="333333"/>
          <w:spacing w:val="0"/>
          <w:sz w:val="28"/>
          <w:szCs w:val="28"/>
          <w:shd w:val="clear" w:fill="FFFFFF"/>
          <w:vertAlign w:val="baseline"/>
          <w:lang w:val="en-US" w:eastAsia="zh-CN"/>
        </w:rPr>
      </w:pP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4.12.磋商保证金交纳凭证（银行汇（存）款回执单，复印件须加盖供应商公章）。</w:t>
      </w:r>
    </w:p>
    <w:p>
      <w:pPr>
        <w:rPr>
          <w:rFonts w:hint="eastAsia" w:cs="宋体" w:asciiTheme="minorEastAsia" w:hAnsiTheme="minorEastAsia"/>
          <w:b/>
          <w:bCs/>
          <w:sz w:val="28"/>
          <w:szCs w:val="28"/>
        </w:rPr>
      </w:pPr>
    </w:p>
    <w:p>
      <w:pPr>
        <w:rPr>
          <w:rFonts w:hint="eastAsia" w:cs="宋体" w:asciiTheme="minorEastAsia" w:hAnsiTheme="minorEastAsia"/>
          <w:b/>
          <w:bCs/>
          <w:sz w:val="28"/>
          <w:szCs w:val="28"/>
        </w:rPr>
      </w:pPr>
    </w:p>
    <w:p>
      <w:pPr>
        <w:rPr>
          <w:rFonts w:hint="eastAsia" w:cs="宋体" w:asciiTheme="minorEastAsia" w:hAnsiTheme="minorEastAsia"/>
          <w:b/>
          <w:bCs/>
          <w:sz w:val="28"/>
          <w:szCs w:val="28"/>
        </w:rPr>
      </w:pPr>
    </w:p>
    <w:p>
      <w:pPr>
        <w:rPr>
          <w:rFonts w:cs="宋体" w:asciiTheme="minorEastAsia" w:hAnsiTheme="minorEastAsia"/>
          <w:b/>
          <w:bCs/>
          <w:sz w:val="28"/>
          <w:szCs w:val="28"/>
        </w:rPr>
      </w:pPr>
      <w:r>
        <w:rPr>
          <w:rFonts w:hint="eastAsia" w:cs="宋体" w:asciiTheme="minorEastAsia" w:hAnsiTheme="minorEastAsia"/>
          <w:b/>
          <w:bCs/>
          <w:sz w:val="28"/>
          <w:szCs w:val="28"/>
        </w:rPr>
        <w:t>注：法定代表人资格证明书及法定代表人授权书格式详见附件一、附件二。</w:t>
      </w:r>
      <w:r>
        <w:rPr>
          <w:rFonts w:hint="eastAsia" w:cs="宋体" w:asciiTheme="minorEastAsia" w:hAnsiTheme="minorEastAsia"/>
          <w:b/>
          <w:bCs/>
          <w:sz w:val="28"/>
          <w:szCs w:val="28"/>
        </w:rPr>
        <w:br w:type="page"/>
      </w:r>
    </w:p>
    <w:p>
      <w:pPr>
        <w:ind w:firstLine="3092"/>
        <w:jc w:val="left"/>
        <w:rPr>
          <w:rFonts w:cs="宋体" w:asciiTheme="minorEastAsia" w:hAnsiTheme="minorEastAsia"/>
          <w:b/>
          <w:bCs/>
          <w:sz w:val="28"/>
          <w:szCs w:val="28"/>
        </w:rPr>
      </w:pPr>
      <w:bookmarkStart w:id="124" w:name="_Toc5888419"/>
      <w:r>
        <w:rPr>
          <w:rFonts w:hint="eastAsia" w:cs="宋体" w:asciiTheme="minorEastAsia" w:hAnsiTheme="minorEastAsia"/>
          <w:b/>
          <w:bCs/>
          <w:sz w:val="28"/>
          <w:szCs w:val="28"/>
        </w:rPr>
        <w:t>附件一、法定代表人资格证明书</w:t>
      </w:r>
      <w:bookmarkEnd w:id="124"/>
    </w:p>
    <w:tbl>
      <w:tblPr>
        <w:tblStyle w:val="23"/>
        <w:tblW w:w="9522" w:type="dxa"/>
        <w:jc w:val="center"/>
        <w:tblLayout w:type="fixed"/>
        <w:tblCellMar>
          <w:top w:w="0" w:type="dxa"/>
          <w:left w:w="10" w:type="dxa"/>
          <w:bottom w:w="0" w:type="dxa"/>
          <w:right w:w="10" w:type="dxa"/>
        </w:tblCellMar>
      </w:tblPr>
      <w:tblGrid>
        <w:gridCol w:w="1621"/>
        <w:gridCol w:w="2470"/>
        <w:gridCol w:w="1965"/>
        <w:gridCol w:w="1336"/>
        <w:gridCol w:w="2130"/>
      </w:tblGrid>
      <w:tr>
        <w:tblPrEx>
          <w:tblCellMar>
            <w:top w:w="0" w:type="dxa"/>
            <w:left w:w="10" w:type="dxa"/>
            <w:bottom w:w="0" w:type="dxa"/>
            <w:right w:w="10" w:type="dxa"/>
          </w:tblCellMar>
        </w:tblPrEx>
        <w:trPr>
          <w:trHeight w:val="41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left"/>
              <w:rPr>
                <w:rFonts w:hint="eastAsia" w:cs="宋体" w:asciiTheme="minorEastAsia" w:hAnsiTheme="minorEastAsia" w:eastAsiaTheme="minorEastAsia"/>
                <w:bCs/>
                <w:sz w:val="28"/>
                <w:szCs w:val="28"/>
                <w:lang w:eastAsia="zh-CN"/>
              </w:rPr>
            </w:pPr>
            <w:r>
              <w:rPr>
                <w:rFonts w:hint="eastAsia" w:cs="宋体" w:asciiTheme="minorEastAsia" w:hAnsiTheme="minorEastAsia"/>
                <w:bCs/>
                <w:sz w:val="28"/>
                <w:szCs w:val="28"/>
              </w:rPr>
              <w:t>致：</w:t>
            </w:r>
            <w:r>
              <w:rPr>
                <w:rFonts w:hint="eastAsia" w:cs="宋体" w:asciiTheme="minorEastAsia" w:hAnsiTheme="minorEastAsia"/>
                <w:bCs/>
                <w:sz w:val="28"/>
                <w:szCs w:val="28"/>
                <w:lang w:eastAsia="zh-CN"/>
              </w:rPr>
              <w:t>陕西恒瑞项目管理有限公司</w:t>
            </w:r>
          </w:p>
        </w:tc>
      </w:tr>
      <w:tr>
        <w:tblPrEx>
          <w:tblCellMar>
            <w:top w:w="0" w:type="dxa"/>
            <w:left w:w="10" w:type="dxa"/>
            <w:bottom w:w="0" w:type="dxa"/>
            <w:right w:w="10" w:type="dxa"/>
          </w:tblCellMar>
        </w:tblPrEx>
        <w:trPr>
          <w:trHeight w:val="505"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项目名称</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8"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项目编号</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权   限</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办理本次采购项目的磋商、联系、洽谈、签约、执行等具体事务，签署全部有关文件、文书、协议及合同。</w:t>
            </w:r>
          </w:p>
        </w:tc>
      </w:tr>
      <w:tr>
        <w:tblPrEx>
          <w:tblCellMar>
            <w:top w:w="0" w:type="dxa"/>
            <w:left w:w="10" w:type="dxa"/>
            <w:bottom w:w="0" w:type="dxa"/>
            <w:right w:w="10" w:type="dxa"/>
          </w:tblCellMar>
        </w:tblPrEx>
        <w:trPr>
          <w:trHeight w:val="443"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有效期</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自磋商之日起计算有效期为90 天</w:t>
            </w:r>
          </w:p>
        </w:tc>
      </w:tr>
      <w:tr>
        <w:tblPrEx>
          <w:tblCellMar>
            <w:top w:w="0" w:type="dxa"/>
            <w:left w:w="10" w:type="dxa"/>
            <w:bottom w:w="0" w:type="dxa"/>
            <w:right w:w="10" w:type="dxa"/>
          </w:tblCellMar>
        </w:tblPrEx>
        <w:trPr>
          <w:trHeight w:val="435"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企业</w:t>
            </w: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信息</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企 业 名 称</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6"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 定 地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4"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营业执照注册证号</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工商登记机关</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17"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网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8"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法定代</w:t>
            </w: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表人</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姓    名</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性    别</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1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职    务</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联系电话</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传    真</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通讯地址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0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法定代表人身份证复印件</w:t>
            </w:r>
          </w:p>
          <w:p>
            <w:pPr>
              <w:spacing w:line="320" w:lineRule="exact"/>
              <w:jc w:val="center"/>
              <w:rPr>
                <w:rFonts w:cs="宋体" w:asciiTheme="minorEastAsia" w:hAnsiTheme="minorEastAsia"/>
                <w:bCs/>
                <w:sz w:val="28"/>
                <w:szCs w:val="28"/>
              </w:rPr>
            </w:pP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二代身份证正、反两面都需复印</w:t>
            </w:r>
          </w:p>
          <w:p>
            <w:pPr>
              <w:spacing w:line="320" w:lineRule="exact"/>
              <w:jc w:val="center"/>
              <w:rPr>
                <w:rFonts w:cs="宋体" w:asciiTheme="minorEastAsia" w:hAnsiTheme="minorEastAsia"/>
                <w:bCs/>
                <w:sz w:val="28"/>
                <w:szCs w:val="28"/>
              </w:rPr>
            </w:pPr>
          </w:p>
        </w:tc>
      </w:tr>
      <w:tr>
        <w:tblPrEx>
          <w:tblCellMar>
            <w:top w:w="0" w:type="dxa"/>
            <w:left w:w="10" w:type="dxa"/>
            <w:bottom w:w="0" w:type="dxa"/>
            <w:right w:w="10" w:type="dxa"/>
          </w:tblCellMar>
        </w:tblPrEx>
        <w:trPr>
          <w:trHeight w:val="716"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法定代表人签字或盖章：</w:t>
            </w:r>
          </w:p>
        </w:tc>
      </w:tr>
    </w:tbl>
    <w:p>
      <w:pPr>
        <w:spacing w:line="320" w:lineRule="exact"/>
        <w:jc w:val="left"/>
        <w:rPr>
          <w:rFonts w:cs="宋体" w:asciiTheme="minorEastAsia" w:hAnsiTheme="minorEastAsia"/>
          <w:bCs/>
          <w:sz w:val="28"/>
          <w:szCs w:val="28"/>
        </w:rPr>
      </w:pPr>
    </w:p>
    <w:p>
      <w:pPr>
        <w:spacing w:line="320" w:lineRule="exact"/>
        <w:jc w:val="left"/>
        <w:rPr>
          <w:rFonts w:cs="宋体" w:asciiTheme="minorEastAsia" w:hAnsiTheme="minorEastAsia"/>
          <w:bCs/>
          <w:sz w:val="28"/>
          <w:szCs w:val="28"/>
        </w:rPr>
      </w:pPr>
    </w:p>
    <w:p>
      <w:pPr>
        <w:spacing w:line="320" w:lineRule="exact"/>
        <w:jc w:val="left"/>
        <w:rPr>
          <w:rFonts w:cs="宋体" w:asciiTheme="minorEastAsia" w:hAnsiTheme="minorEastAsia"/>
          <w:bCs/>
          <w:sz w:val="28"/>
          <w:szCs w:val="28"/>
        </w:rPr>
      </w:pPr>
    </w:p>
    <w:p>
      <w:pPr>
        <w:spacing w:line="320" w:lineRule="exact"/>
        <w:ind w:left="-89" w:leftChars="-110" w:hanging="142" w:hangingChars="51"/>
        <w:jc w:val="left"/>
        <w:rPr>
          <w:rFonts w:cs="宋体" w:asciiTheme="minorEastAsia" w:hAnsiTheme="minorEastAsia"/>
          <w:bCs/>
          <w:sz w:val="28"/>
          <w:szCs w:val="28"/>
        </w:rPr>
      </w:pPr>
      <w:r>
        <w:rPr>
          <w:rFonts w:hint="eastAsia" w:cs="宋体" w:asciiTheme="minorEastAsia" w:hAnsiTheme="minorEastAsia"/>
          <w:bCs/>
          <w:sz w:val="28"/>
          <w:szCs w:val="28"/>
        </w:rPr>
        <w:t>供应商名称：</w:t>
      </w:r>
      <w:r>
        <w:rPr>
          <w:rFonts w:hint="eastAsia" w:cs="宋体" w:asciiTheme="minorEastAsia" w:hAnsiTheme="minorEastAsia"/>
          <w:bCs/>
          <w:sz w:val="28"/>
          <w:szCs w:val="28"/>
          <w:u w:val="single"/>
        </w:rPr>
        <w:t xml:space="preserve">                </w:t>
      </w:r>
      <w:r>
        <w:rPr>
          <w:rFonts w:hint="eastAsia" w:cs="宋体" w:asciiTheme="minorEastAsia" w:hAnsiTheme="minorEastAsia"/>
          <w:bCs/>
          <w:sz w:val="28"/>
          <w:szCs w:val="28"/>
        </w:rPr>
        <w:t>（单位公章）        日 期：</w:t>
      </w:r>
    </w:p>
    <w:p>
      <w:pPr>
        <w:pStyle w:val="2"/>
        <w:rPr>
          <w:rFonts w:asciiTheme="minorEastAsia" w:hAnsiTheme="minorEastAsia"/>
        </w:rPr>
      </w:pPr>
    </w:p>
    <w:p>
      <w:pPr>
        <w:pStyle w:val="2"/>
        <w:rPr>
          <w:rFonts w:cs="宋体" w:asciiTheme="minorEastAsia" w:hAnsiTheme="minorEastAsia"/>
          <w:bCs/>
          <w:sz w:val="28"/>
          <w:szCs w:val="28"/>
        </w:rPr>
        <w:sectPr>
          <w:headerReference r:id="rId25" w:type="default"/>
          <w:endnotePr>
            <w:numFmt w:val="decimal"/>
          </w:endnotePr>
          <w:pgSz w:w="11907" w:h="16840"/>
          <w:pgMar w:top="1418" w:right="992" w:bottom="1418" w:left="1418" w:header="851" w:footer="1021" w:gutter="0"/>
          <w:pgNumType w:fmt="decimal"/>
          <w:cols w:space="720" w:num="1"/>
          <w:titlePg/>
        </w:sectPr>
      </w:pPr>
    </w:p>
    <w:p>
      <w:pPr>
        <w:ind w:firstLine="3092"/>
        <w:rPr>
          <w:rFonts w:cs="宋体" w:asciiTheme="minorEastAsia" w:hAnsiTheme="minorEastAsia"/>
          <w:b/>
          <w:bCs/>
          <w:sz w:val="28"/>
          <w:szCs w:val="28"/>
        </w:rPr>
      </w:pPr>
      <w:r>
        <w:rPr>
          <w:rFonts w:hint="eastAsia" w:cs="宋体" w:asciiTheme="minorEastAsia" w:hAnsiTheme="minorEastAsia"/>
          <w:b/>
          <w:bCs/>
          <w:sz w:val="28"/>
          <w:szCs w:val="28"/>
        </w:rPr>
        <w:t>附件二、法定代表人授权书</w:t>
      </w:r>
    </w:p>
    <w:tbl>
      <w:tblPr>
        <w:tblStyle w:val="23"/>
        <w:tblW w:w="9885" w:type="dxa"/>
        <w:jc w:val="center"/>
        <w:tblLayout w:type="fixed"/>
        <w:tblCellMar>
          <w:top w:w="0" w:type="dxa"/>
          <w:left w:w="10" w:type="dxa"/>
          <w:bottom w:w="0" w:type="dxa"/>
          <w:right w:w="10" w:type="dxa"/>
        </w:tblCellMar>
      </w:tblPr>
      <w:tblGrid>
        <w:gridCol w:w="1522"/>
        <w:gridCol w:w="1535"/>
        <w:gridCol w:w="1017"/>
        <w:gridCol w:w="868"/>
        <w:gridCol w:w="808"/>
        <w:gridCol w:w="1559"/>
        <w:gridCol w:w="2576"/>
      </w:tblGrid>
      <w:tr>
        <w:tblPrEx>
          <w:tblCellMar>
            <w:top w:w="0" w:type="dxa"/>
            <w:left w:w="10" w:type="dxa"/>
            <w:bottom w:w="0" w:type="dxa"/>
            <w:right w:w="10" w:type="dxa"/>
          </w:tblCellMar>
        </w:tblPrEx>
        <w:trPr>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hint="eastAsia" w:cs="宋体" w:asciiTheme="minorEastAsia" w:hAnsiTheme="minorEastAsia" w:eastAsiaTheme="minorEastAsia"/>
                <w:bCs/>
                <w:caps/>
                <w:sz w:val="28"/>
                <w:szCs w:val="28"/>
                <w:lang w:eastAsia="zh-CN"/>
              </w:rPr>
            </w:pPr>
            <w:r>
              <w:rPr>
                <w:rFonts w:hint="eastAsia" w:cs="宋体" w:asciiTheme="minorEastAsia" w:hAnsiTheme="minorEastAsia"/>
                <w:bCs/>
                <w:caps/>
                <w:sz w:val="28"/>
                <w:szCs w:val="28"/>
              </w:rPr>
              <w:t>致：</w:t>
            </w:r>
            <w:r>
              <w:rPr>
                <w:rFonts w:hint="eastAsia" w:cs="宋体" w:asciiTheme="minorEastAsia" w:hAnsiTheme="minorEastAsia"/>
                <w:bCs/>
                <w:caps/>
                <w:sz w:val="28"/>
                <w:szCs w:val="28"/>
                <w:lang w:eastAsia="zh-CN"/>
              </w:rPr>
              <w:t>陕西恒瑞项目管理有限公司</w:t>
            </w:r>
          </w:p>
        </w:tc>
      </w:tr>
      <w:tr>
        <w:tblPrEx>
          <w:tblCellMar>
            <w:top w:w="0" w:type="dxa"/>
            <w:left w:w="10" w:type="dxa"/>
            <w:bottom w:w="0" w:type="dxa"/>
            <w:right w:w="10" w:type="dxa"/>
          </w:tblCellMar>
        </w:tblPrEx>
        <w:trPr>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权项</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目与</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内容</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项目名称</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cs="宋体" w:asciiTheme="minorEastAsia" w:hAnsiTheme="minorEastAsia"/>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项目编号</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ind w:firstLine="1400"/>
              <w:jc w:val="left"/>
              <w:rPr>
                <w:rFonts w:cs="宋体" w:asciiTheme="minorEastAsia" w:hAnsiTheme="minorEastAsia"/>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授权范围</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全权办理本次采购项目的</w:t>
            </w:r>
            <w:r>
              <w:rPr>
                <w:rFonts w:hint="eastAsia" w:cs="宋体" w:asciiTheme="minorEastAsia" w:hAnsiTheme="minorEastAsia"/>
                <w:bCs/>
                <w:sz w:val="28"/>
                <w:szCs w:val="28"/>
              </w:rPr>
              <w:t>磋商</w:t>
            </w:r>
            <w:r>
              <w:rPr>
                <w:rFonts w:hint="eastAsia" w:cs="宋体" w:asciiTheme="minorEastAsia" w:hAnsiTheme="minorEastAsia"/>
                <w:bCs/>
                <w:caps/>
                <w:sz w:val="28"/>
                <w:szCs w:val="28"/>
              </w:rPr>
              <w:t>、联系、洽谈、签约、执行等具体事务，签署全部有关文件、文书、协议及合同。</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法律责任</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本公司对被授权人在本项目中的签名承担全部法律责任。</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授权期限</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r>
              <w:rPr>
                <w:rFonts w:hint="eastAsia" w:cs="宋体" w:asciiTheme="minorEastAsia" w:hAnsiTheme="minorEastAsia"/>
                <w:bCs/>
                <w:caps/>
                <w:sz w:val="28"/>
                <w:szCs w:val="28"/>
              </w:rPr>
              <w:t>本授权书自</w:t>
            </w:r>
            <w:r>
              <w:rPr>
                <w:rFonts w:hint="eastAsia" w:cs="宋体" w:asciiTheme="minorEastAsia" w:hAnsiTheme="minorEastAsia"/>
                <w:bCs/>
                <w:sz w:val="28"/>
                <w:szCs w:val="28"/>
              </w:rPr>
              <w:t>磋商</w:t>
            </w:r>
            <w:r>
              <w:rPr>
                <w:rFonts w:hint="eastAsia" w:cs="宋体" w:asciiTheme="minorEastAsia" w:hAnsiTheme="minorEastAsia"/>
                <w:bCs/>
                <w:caps/>
                <w:sz w:val="28"/>
                <w:szCs w:val="28"/>
              </w:rPr>
              <w:t>之日起计算有效期为90天</w:t>
            </w: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企业信息</w:t>
            </w: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企 业 名 称</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 定 地 址</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营业执照注册证号</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法定</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代表人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被授权人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通讯地址</w:t>
            </w:r>
          </w:p>
        </w:tc>
        <w:tc>
          <w:tcPr>
            <w:tcW w:w="836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cs="宋体" w:asciiTheme="minorEastAsia" w:hAnsiTheme="minorEastAsia"/>
                <w:bCs/>
                <w:caps/>
                <w:sz w:val="28"/>
                <w:szCs w:val="28"/>
              </w:rPr>
            </w:pPr>
          </w:p>
        </w:tc>
      </w:tr>
      <w:tr>
        <w:tblPrEx>
          <w:tblCellMar>
            <w:top w:w="0" w:type="dxa"/>
            <w:left w:w="10" w:type="dxa"/>
            <w:bottom w:w="0" w:type="dxa"/>
            <w:right w:w="10" w:type="dxa"/>
          </w:tblCellMar>
        </w:tblPrEx>
        <w:trPr>
          <w:trHeight w:val="3226" w:hRule="atLeast"/>
          <w:jc w:val="center"/>
        </w:trPr>
        <w:tc>
          <w:tcPr>
            <w:tcW w:w="494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法定代表人身份证复印件</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二代身份证正、反两面都需复印</w:t>
            </w:r>
          </w:p>
          <w:p>
            <w:pPr>
              <w:tabs>
                <w:tab w:val="right" w:leader="dot" w:pos="9022"/>
              </w:tabs>
              <w:spacing w:line="500" w:lineRule="exact"/>
              <w:jc w:val="center"/>
              <w:rPr>
                <w:rFonts w:cs="宋体" w:asciiTheme="minorEastAsia" w:hAnsiTheme="minorEastAsia"/>
                <w:bCs/>
                <w:caps/>
                <w:sz w:val="28"/>
                <w:szCs w:val="28"/>
              </w:rPr>
            </w:pPr>
          </w:p>
        </w:tc>
        <w:tc>
          <w:tcPr>
            <w:tcW w:w="494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被授权人身份证复印件</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二代身份证正、反两面都需复印</w:t>
            </w:r>
          </w:p>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66" w:hRule="atLeast"/>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法定代表人及被授权人签字或盖章：</w:t>
            </w:r>
          </w:p>
        </w:tc>
      </w:tr>
    </w:tbl>
    <w:p>
      <w:pPr>
        <w:spacing w:line="48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sectPr>
          <w:endnotePr>
            <w:numFmt w:val="decimal"/>
          </w:endnotePr>
          <w:pgSz w:w="11907" w:h="16840"/>
          <w:pgMar w:top="1418" w:right="992" w:bottom="1418" w:left="1418" w:header="851" w:footer="1021" w:gutter="0"/>
          <w:pgNumType w:fmt="decimal"/>
          <w:cols w:space="720" w:num="1"/>
          <w:titlePg/>
        </w:sectPr>
      </w:pPr>
      <w:r>
        <w:rPr>
          <w:rFonts w:hint="eastAsia" w:cs="宋体" w:asciiTheme="minorEastAsia" w:hAnsiTheme="minorEastAsia"/>
          <w:bCs/>
          <w:sz w:val="28"/>
          <w:szCs w:val="28"/>
        </w:rPr>
        <w:t>供应商名称：</w:t>
      </w:r>
      <w:r>
        <w:rPr>
          <w:rFonts w:hint="eastAsia" w:cs="宋体" w:asciiTheme="minorEastAsia" w:hAnsiTheme="minorEastAsia"/>
          <w:bCs/>
          <w:sz w:val="28"/>
          <w:szCs w:val="28"/>
          <w:u w:val="single"/>
        </w:rPr>
        <w:t xml:space="preserve">              </w:t>
      </w:r>
      <w:r>
        <w:rPr>
          <w:rFonts w:hint="eastAsia" w:cs="宋体" w:asciiTheme="minorEastAsia" w:hAnsiTheme="minorEastAsia"/>
          <w:bCs/>
          <w:sz w:val="28"/>
          <w:szCs w:val="28"/>
        </w:rPr>
        <w:t>（单位公章）         日 期：</w:t>
      </w:r>
    </w:p>
    <w:p>
      <w:pPr>
        <w:spacing w:line="460" w:lineRule="exact"/>
        <w:jc w:val="center"/>
        <w:rPr>
          <w:rFonts w:hint="eastAsia" w:cs="宋体" w:asciiTheme="minorEastAsia" w:hAnsiTheme="minorEastAsia" w:eastAsiaTheme="minorEastAsia"/>
          <w:b/>
          <w:bCs/>
          <w:kern w:val="1"/>
          <w:sz w:val="28"/>
          <w:szCs w:val="32"/>
          <w:lang w:val="en-US" w:eastAsia="zh-CN" w:bidi="ar-SA"/>
        </w:rPr>
      </w:pPr>
      <w:r>
        <w:rPr>
          <w:rFonts w:hint="eastAsia" w:cs="宋体" w:asciiTheme="minorEastAsia" w:hAnsiTheme="minorEastAsia" w:eastAsiaTheme="minorEastAsia"/>
          <w:b/>
          <w:bCs/>
          <w:kern w:val="1"/>
          <w:sz w:val="28"/>
          <w:szCs w:val="32"/>
          <w:lang w:val="en-US" w:eastAsia="zh-CN" w:bidi="ar-SA"/>
        </w:rPr>
        <w:t>5.技术响应</w:t>
      </w:r>
    </w:p>
    <w:p>
      <w:pPr>
        <w:pStyle w:val="22"/>
        <w:ind w:left="840" w:leftChars="400" w:firstLine="0" w:firstLineChars="0"/>
        <w:rPr>
          <w:rFonts w:cs="宋体" w:asciiTheme="minorEastAsia" w:hAnsiTheme="minorEastAsia"/>
          <w:b/>
          <w:bCs/>
          <w:sz w:val="36"/>
          <w:szCs w:val="36"/>
        </w:rPr>
      </w:pPr>
    </w:p>
    <w:p>
      <w:pPr>
        <w:pStyle w:val="22"/>
        <w:ind w:left="840" w:leftChars="400" w:firstLine="0" w:firstLineChars="0"/>
        <w:rPr>
          <w:rFonts w:cs="宋体" w:asciiTheme="minorEastAsia" w:hAnsiTheme="minorEastAsia"/>
          <w:b/>
          <w:bCs/>
          <w:sz w:val="36"/>
          <w:szCs w:val="36"/>
        </w:rPr>
      </w:pPr>
    </w:p>
    <w:p>
      <w:pPr>
        <w:pStyle w:val="22"/>
        <w:ind w:left="0" w:leftChars="0" w:firstLine="0" w:firstLineChars="0"/>
        <w:jc w:val="center"/>
        <w:rPr>
          <w:rFonts w:cs="宋体" w:asciiTheme="minorEastAsia" w:hAnsiTheme="minorEastAsia"/>
          <w:b/>
          <w:bCs/>
          <w:sz w:val="36"/>
          <w:szCs w:val="36"/>
        </w:rPr>
      </w:pPr>
    </w:p>
    <w:p>
      <w:pPr>
        <w:pStyle w:val="4"/>
        <w:spacing w:before="0" w:after="0" w:line="360" w:lineRule="auto"/>
        <w:jc w:val="center"/>
        <w:rPr>
          <w:rFonts w:hint="eastAsia" w:cs="宋体" w:asciiTheme="minorEastAsia" w:hAnsiTheme="minorEastAsia" w:eastAsiaTheme="minorEastAsia"/>
          <w:b/>
          <w:bCs/>
          <w:kern w:val="1"/>
          <w:sz w:val="28"/>
          <w:szCs w:val="32"/>
          <w:lang w:val="en-US" w:eastAsia="zh-CN" w:bidi="ar-SA"/>
        </w:rPr>
      </w:pPr>
      <w:r>
        <w:rPr>
          <w:rFonts w:hint="eastAsia" w:cs="宋体" w:asciiTheme="minorEastAsia" w:hAnsiTheme="minorEastAsia" w:eastAsiaTheme="minorEastAsia"/>
          <w:sz w:val="36"/>
          <w:szCs w:val="36"/>
          <w:lang w:val="en-US" w:eastAsia="zh-CN"/>
        </w:rPr>
        <w:t xml:space="preserve">  </w:t>
      </w:r>
      <w:r>
        <w:rPr>
          <w:rFonts w:hint="eastAsia" w:cs="宋体" w:asciiTheme="minorEastAsia" w:hAnsiTheme="minorEastAsia" w:eastAsiaTheme="minorEastAsia"/>
          <w:b/>
          <w:bCs/>
          <w:kern w:val="1"/>
          <w:sz w:val="28"/>
          <w:szCs w:val="32"/>
          <w:lang w:val="en-US" w:eastAsia="zh-CN" w:bidi="ar-SA"/>
        </w:rPr>
        <w:t>（格式自拟）</w:t>
      </w:r>
    </w:p>
    <w:p>
      <w:pPr>
        <w:pStyle w:val="22"/>
        <w:ind w:left="840" w:leftChars="400" w:firstLine="0" w:firstLineChars="0"/>
        <w:rPr>
          <w:rFonts w:cs="宋体" w:asciiTheme="minorEastAsia" w:hAnsiTheme="minorEastAsia"/>
          <w:b/>
          <w:bCs/>
          <w:sz w:val="36"/>
          <w:szCs w:val="36"/>
        </w:rPr>
      </w:pPr>
    </w:p>
    <w:p>
      <w:pPr>
        <w:pStyle w:val="22"/>
        <w:ind w:left="840" w:leftChars="400" w:firstLine="0" w:firstLineChars="0"/>
        <w:rPr>
          <w:rFonts w:asciiTheme="minorEastAsia" w:hAnsiTheme="minorEastAsia"/>
          <w:color w:val="0000FF"/>
        </w:rPr>
      </w:pPr>
    </w:p>
    <w:p>
      <w:pPr>
        <w:pStyle w:val="22"/>
        <w:ind w:left="840" w:leftChars="400" w:firstLine="0" w:firstLineChars="0"/>
        <w:rPr>
          <w:rFonts w:asciiTheme="minorEastAsia" w:hAnsiTheme="minorEastAsia"/>
          <w:color w:val="0000FF"/>
        </w:rPr>
      </w:pPr>
    </w:p>
    <w:bookmarkEnd w:id="123"/>
    <w:p>
      <w:pPr>
        <w:rPr>
          <w:rFonts w:cs="宋体" w:asciiTheme="minorEastAsia" w:hAnsiTheme="minorEastAsia"/>
          <w:b/>
          <w:bCs/>
          <w:sz w:val="28"/>
          <w:szCs w:val="32"/>
        </w:rPr>
      </w:pPr>
      <w:bookmarkStart w:id="125" w:name="_Toc5888429"/>
      <w:bookmarkStart w:id="126" w:name="_Toc32388_WPSOffice_Level1"/>
      <w:r>
        <w:rPr>
          <w:rFonts w:hint="eastAsia" w:cs="宋体" w:asciiTheme="minorEastAsia" w:hAnsiTheme="minorEastAsia"/>
          <w:b/>
          <w:bCs/>
          <w:sz w:val="28"/>
          <w:szCs w:val="32"/>
        </w:rPr>
        <w:br w:type="page"/>
      </w:r>
    </w:p>
    <w:p>
      <w:pPr>
        <w:pStyle w:val="22"/>
        <w:ind w:left="0" w:leftChars="0" w:firstLine="0" w:firstLineChars="0"/>
        <w:rPr>
          <w:rFonts w:asciiTheme="minorEastAsia" w:hAnsiTheme="minorEastAsia"/>
        </w:rPr>
        <w:sectPr>
          <w:headerReference r:id="rId27" w:type="first"/>
          <w:footerReference r:id="rId29" w:type="first"/>
          <w:headerReference r:id="rId26" w:type="default"/>
          <w:footerReference r:id="rId28" w:type="default"/>
          <w:endnotePr>
            <w:numFmt w:val="decimal"/>
          </w:endnotePr>
          <w:pgSz w:w="11907" w:h="16840"/>
          <w:pgMar w:top="1418" w:right="992" w:bottom="1418" w:left="1418" w:header="851" w:footer="1021" w:gutter="0"/>
          <w:pgNumType w:fmt="decimal"/>
          <w:cols w:space="720" w:num="1"/>
          <w:titlePg/>
        </w:sectPr>
      </w:pPr>
    </w:p>
    <w:p>
      <w:pPr>
        <w:spacing w:line="460" w:lineRule="exact"/>
        <w:jc w:val="center"/>
        <w:rPr>
          <w:rFonts w:hint="eastAsia" w:cs="宋体" w:asciiTheme="minorEastAsia" w:hAnsiTheme="minorEastAsia" w:eastAsiaTheme="minorEastAsia"/>
          <w:b/>
          <w:bCs/>
          <w:kern w:val="1"/>
          <w:sz w:val="28"/>
          <w:szCs w:val="32"/>
          <w:lang w:val="en-US" w:eastAsia="zh-CN" w:bidi="ar-SA"/>
        </w:rPr>
      </w:pPr>
      <w:r>
        <w:rPr>
          <w:rFonts w:hint="eastAsia" w:cs="宋体" w:asciiTheme="minorEastAsia" w:hAnsiTheme="minorEastAsia" w:eastAsiaTheme="minorEastAsia"/>
          <w:b/>
          <w:bCs/>
          <w:kern w:val="1"/>
          <w:sz w:val="28"/>
          <w:szCs w:val="32"/>
          <w:lang w:val="en-US" w:eastAsia="zh-CN" w:bidi="ar-SA"/>
        </w:rPr>
        <w:t>6．提供2019年8月至今同类项目业绩（以合同为准，复印件加盖公章）</w:t>
      </w:r>
    </w:p>
    <w:p>
      <w:pPr>
        <w:spacing w:line="460" w:lineRule="exact"/>
        <w:jc w:val="center"/>
        <w:rPr>
          <w:rFonts w:hint="eastAsia" w:cs="宋体" w:asciiTheme="minorEastAsia" w:hAnsiTheme="minorEastAsia" w:eastAsiaTheme="minorEastAsia"/>
          <w:b/>
          <w:bCs/>
          <w:kern w:val="1"/>
          <w:sz w:val="28"/>
          <w:szCs w:val="32"/>
          <w:lang w:val="en-US" w:eastAsia="zh-CN" w:bidi="ar-SA"/>
        </w:rPr>
        <w:sectPr>
          <w:endnotePr>
            <w:numFmt w:val="decimal"/>
          </w:endnotePr>
          <w:pgSz w:w="11907" w:h="16840"/>
          <w:pgMar w:top="1418" w:right="992" w:bottom="1418" w:left="1418" w:header="851" w:footer="1021" w:gutter="0"/>
          <w:pgNumType w:fmt="decimal"/>
          <w:cols w:space="720" w:num="1"/>
          <w:titlePg/>
        </w:sectPr>
      </w:pPr>
    </w:p>
    <w:p>
      <w:pPr>
        <w:pStyle w:val="22"/>
      </w:pPr>
    </w:p>
    <w:p>
      <w:pPr>
        <w:pStyle w:val="22"/>
        <w:ind w:left="0" w:leftChars="0" w:firstLine="0" w:firstLineChars="0"/>
        <w:rPr>
          <w:rFonts w:asciiTheme="minorEastAsia" w:hAnsiTheme="minorEastAsia"/>
        </w:rPr>
      </w:pPr>
    </w:p>
    <w:p>
      <w:pPr>
        <w:pStyle w:val="4"/>
        <w:spacing w:before="0" w:after="0" w:line="360" w:lineRule="auto"/>
        <w:rPr>
          <w:rFonts w:cs="宋体" w:asciiTheme="minorEastAsia" w:hAnsiTheme="minorEastAsia" w:eastAsiaTheme="minorEastAsia"/>
          <w:sz w:val="28"/>
          <w:szCs w:val="28"/>
        </w:rPr>
        <w:sectPr>
          <w:endnotePr>
            <w:numFmt w:val="decimal"/>
          </w:endnotePr>
          <w:pgSz w:w="11907" w:h="16840"/>
          <w:pgMar w:top="1418" w:right="992" w:bottom="1418" w:left="1418" w:header="851" w:footer="1021" w:gutter="0"/>
          <w:pgNumType w:fmt="decimal"/>
          <w:cols w:space="720" w:num="1"/>
          <w:titlePg/>
        </w:sect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rPr>
        <w:t>．供应商认为有必要补充说明的事宜</w:t>
      </w:r>
      <w:r>
        <w:rPr>
          <w:rFonts w:hint="eastAsia" w:cs="宋体" w:asciiTheme="minorEastAsia" w:hAnsiTheme="minorEastAsia" w:eastAsiaTheme="minorEastAsia"/>
          <w:sz w:val="28"/>
          <w:szCs w:val="28"/>
        </w:rPr>
        <w:t>（格式自拟）</w:t>
      </w:r>
    </w:p>
    <w:bookmarkEnd w:id="125"/>
    <w:bookmarkEnd w:id="126"/>
    <w:p>
      <w:pPr>
        <w:pStyle w:val="4"/>
        <w:spacing w:before="0" w:after="0" w:line="360" w:lineRule="auto"/>
        <w:jc w:val="center"/>
        <w:rPr>
          <w:rFonts w:cs="宋体" w:asciiTheme="minorEastAsia" w:hAnsiTheme="minorEastAsia" w:eastAsiaTheme="minorEastAsia"/>
          <w:sz w:val="28"/>
          <w:szCs w:val="28"/>
        </w:rPr>
      </w:pPr>
      <w:bookmarkStart w:id="127" w:name="_Toc23544_WPSOffice_Level1"/>
      <w:bookmarkStart w:id="128" w:name="_Toc2782_WPSOffice_Level1"/>
      <w:bookmarkStart w:id="129" w:name="_Toc14743_WPSOffice_Level1"/>
      <w:bookmarkStart w:id="130" w:name="_Toc5888431"/>
      <w:r>
        <w:rPr>
          <w:rFonts w:hint="eastAsia" w:cs="宋体" w:asciiTheme="minorEastAsia" w:hAnsiTheme="minorEastAsia" w:eastAsiaTheme="minorEastAsia"/>
          <w:sz w:val="28"/>
          <w:szCs w:val="28"/>
          <w:lang w:val="en-US" w:eastAsia="zh-CN"/>
        </w:rPr>
        <w:t>8</w:t>
      </w:r>
      <w:r>
        <w:rPr>
          <w:rFonts w:hint="eastAsia" w:cs="宋体" w:asciiTheme="minorEastAsia" w:hAnsiTheme="minorEastAsia" w:eastAsiaTheme="minorEastAsia"/>
          <w:sz w:val="28"/>
          <w:szCs w:val="28"/>
        </w:rPr>
        <w:t>.磋商声明书</w:t>
      </w:r>
    </w:p>
    <w:p>
      <w:pPr>
        <w:pStyle w:val="45"/>
        <w:spacing w:line="500" w:lineRule="exact"/>
        <w:ind w:firstLine="198"/>
        <w:rPr>
          <w:rFonts w:hint="eastAsia" w:cs="宋体" w:asciiTheme="minorEastAsia" w:hAnsiTheme="minorEastAsia" w:eastAsiaTheme="minorEastAsia"/>
          <w:szCs w:val="28"/>
          <w:lang w:eastAsia="zh-CN"/>
        </w:rPr>
      </w:pPr>
      <w:r>
        <w:rPr>
          <w:rFonts w:hint="eastAsia" w:cs="宋体" w:asciiTheme="minorEastAsia" w:hAnsiTheme="minorEastAsia" w:eastAsiaTheme="minorEastAsia"/>
          <w:szCs w:val="28"/>
        </w:rPr>
        <w:t>致：</w:t>
      </w:r>
      <w:r>
        <w:rPr>
          <w:rFonts w:hint="eastAsia" w:cs="宋体" w:asciiTheme="minorEastAsia" w:hAnsiTheme="minorEastAsia" w:eastAsiaTheme="minorEastAsia"/>
          <w:szCs w:val="28"/>
          <w:lang w:eastAsia="zh-CN"/>
        </w:rPr>
        <w:t>陕西恒瑞项目管理有限公司</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我公司</w:t>
      </w:r>
      <w:r>
        <w:rPr>
          <w:rFonts w:hint="eastAsia" w:cs="宋体" w:asciiTheme="minorEastAsia" w:hAnsiTheme="minorEastAsia" w:eastAsiaTheme="minorEastAsia"/>
          <w:szCs w:val="28"/>
          <w:u w:val="single"/>
        </w:rPr>
        <w:t xml:space="preserve">     （供应商名称）     </w:t>
      </w:r>
      <w:r>
        <w:rPr>
          <w:rFonts w:hint="eastAsia" w:cs="宋体" w:asciiTheme="minorEastAsia" w:hAnsiTheme="minorEastAsia" w:eastAsiaTheme="minorEastAsia"/>
          <w:szCs w:val="28"/>
        </w:rPr>
        <w:t>，就参加</w:t>
      </w:r>
      <w:r>
        <w:rPr>
          <w:rFonts w:hint="eastAsia" w:cs="宋体" w:asciiTheme="minorEastAsia" w:hAnsiTheme="minorEastAsia" w:eastAsiaTheme="minorEastAsia"/>
          <w:szCs w:val="28"/>
          <w:u w:val="single"/>
        </w:rPr>
        <w:t xml:space="preserve">    （采购项目名称）    </w:t>
      </w:r>
      <w:r>
        <w:rPr>
          <w:rFonts w:hint="eastAsia" w:cs="宋体" w:asciiTheme="minorEastAsia" w:hAnsiTheme="minorEastAsia" w:eastAsiaTheme="minorEastAsia"/>
          <w:szCs w:val="28"/>
        </w:rPr>
        <w:t>（项目编号：）磋商事宜，在此郑重声明：</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1、我公司所提交的磋商响应文件全部真实有效；</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2、我公司近3年来无因安全事故、质量事故、磋商违规等不良记录被政府有关部门处罚期内的情形存在；</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3、我公司近3年来无违规违法经营受到责令停产（或停止经营）、吊销生产许可证（或经营许可证）、较大数额罚款等行政处罚的情形存在；</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4、我公司无企业财产被查封、冻结或处于破产状态或严重亏损状态等情形存在；</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5、我公司承诺在磋商过程中，保证不与其他单位围标、串标，不出让磋商资格，不采取不正当手段诋毁、排挤其他供应商，不向采购代理机构、评审委员会成员行贿。</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以上声明若违反，一经查实，本公司愿意接受政府有关部门的相应处罚，并愿意承担由此带来的法律后果。</w:t>
      </w:r>
    </w:p>
    <w:p>
      <w:pPr>
        <w:pStyle w:val="45"/>
        <w:spacing w:line="500" w:lineRule="exact"/>
        <w:ind w:firstLine="618"/>
        <w:rPr>
          <w:rFonts w:cs="宋体" w:asciiTheme="minorEastAsia" w:hAnsiTheme="minorEastAsia" w:eastAsiaTheme="minorEastAsia"/>
          <w:szCs w:val="28"/>
        </w:rPr>
      </w:pPr>
    </w:p>
    <w:p>
      <w:pPr>
        <w:pStyle w:val="45"/>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特此声明！</w:t>
      </w:r>
    </w:p>
    <w:p>
      <w:pPr>
        <w:pStyle w:val="45"/>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声  明  人：      （供应商名称、公章）</w:t>
      </w:r>
    </w:p>
    <w:p>
      <w:pPr>
        <w:pStyle w:val="45"/>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法定代表人或被授权人：      （签字或盖章）</w:t>
      </w:r>
    </w:p>
    <w:p>
      <w:pPr>
        <w:pStyle w:val="45"/>
        <w:spacing w:line="500" w:lineRule="exact"/>
        <w:ind w:firstLine="478"/>
        <w:rPr>
          <w:rFonts w:cs="宋体" w:asciiTheme="minorEastAsia" w:hAnsiTheme="minorEastAsia" w:eastAsiaTheme="minorEastAsia"/>
          <w:szCs w:val="28"/>
          <w:u w:val="single"/>
        </w:rPr>
      </w:pPr>
      <w:r>
        <w:rPr>
          <w:rFonts w:hint="eastAsia" w:cs="宋体" w:asciiTheme="minorEastAsia" w:hAnsiTheme="minorEastAsia" w:eastAsiaTheme="minorEastAsia"/>
          <w:szCs w:val="28"/>
        </w:rPr>
        <w:t>日      期：</w:t>
      </w:r>
    </w:p>
    <w:p>
      <w:pPr>
        <w:pStyle w:val="45"/>
        <w:spacing w:line="500" w:lineRule="exact"/>
        <w:ind w:firstLine="0"/>
        <w:rPr>
          <w:rFonts w:cs="宋体" w:asciiTheme="minorEastAsia" w:hAnsiTheme="minorEastAsia" w:eastAsiaTheme="minorEastAsia"/>
          <w:szCs w:val="28"/>
          <w:u w:val="single"/>
        </w:rPr>
      </w:pPr>
    </w:p>
    <w:p>
      <w:pPr>
        <w:pStyle w:val="45"/>
        <w:spacing w:line="500" w:lineRule="exact"/>
        <w:rPr>
          <w:rFonts w:cs="宋体" w:asciiTheme="minorEastAsia" w:hAnsiTheme="minorEastAsia" w:eastAsiaTheme="minorEastAsia"/>
          <w:szCs w:val="28"/>
          <w:u w:val="single"/>
        </w:rPr>
        <w:sectPr>
          <w:endnotePr>
            <w:numFmt w:val="decimal"/>
          </w:endnotePr>
          <w:pgSz w:w="11907" w:h="16840"/>
          <w:pgMar w:top="1418" w:right="992" w:bottom="1418" w:left="1418" w:header="851" w:footer="1021" w:gutter="0"/>
          <w:pgNumType w:fmt="decimal"/>
          <w:cols w:space="720" w:num="1"/>
          <w:titlePg/>
        </w:sectPr>
      </w:pPr>
    </w:p>
    <w:p>
      <w:pPr>
        <w:pStyle w:val="4"/>
        <w:spacing w:before="0" w:after="0" w:line="360" w:lineRule="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en-US" w:eastAsia="zh-CN"/>
        </w:rPr>
        <w:t>9</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《拒绝政府采购领域商业贿赂承诺书》（格式）</w:t>
      </w:r>
      <w:bookmarkEnd w:id="127"/>
      <w:bookmarkEnd w:id="128"/>
      <w:bookmarkEnd w:id="129"/>
    </w:p>
    <w:p>
      <w:pPr>
        <w:widowControl/>
        <w:spacing w:line="480" w:lineRule="exact"/>
        <w:jc w:val="center"/>
        <w:rPr>
          <w:rFonts w:cs="宋体" w:asciiTheme="minorEastAsia" w:hAnsiTheme="minorEastAsia"/>
          <w:b/>
          <w:bCs/>
          <w:sz w:val="28"/>
          <w:szCs w:val="28"/>
        </w:rPr>
      </w:pPr>
      <w:r>
        <w:rPr>
          <w:rFonts w:hint="eastAsia" w:cs="宋体" w:asciiTheme="minorEastAsia" w:hAnsiTheme="minorEastAsia"/>
          <w:b/>
          <w:bCs/>
          <w:sz w:val="28"/>
          <w:szCs w:val="28"/>
        </w:rPr>
        <w:t>陕西省政府采购供应商</w:t>
      </w:r>
    </w:p>
    <w:p>
      <w:pPr>
        <w:widowControl/>
        <w:spacing w:line="480" w:lineRule="exact"/>
        <w:jc w:val="center"/>
        <w:rPr>
          <w:rFonts w:cs="宋体" w:asciiTheme="minorEastAsia" w:hAnsiTheme="minorEastAsia"/>
          <w:b/>
          <w:bCs/>
          <w:sz w:val="28"/>
          <w:szCs w:val="28"/>
        </w:rPr>
      </w:pPr>
      <w:r>
        <w:rPr>
          <w:rFonts w:hint="eastAsia" w:cs="宋体" w:asciiTheme="minorEastAsia" w:hAnsiTheme="minorEastAsia"/>
          <w:b/>
          <w:bCs/>
          <w:sz w:val="28"/>
          <w:szCs w:val="28"/>
        </w:rPr>
        <w:t>拒绝政府采购领域商业贿赂承诺书</w:t>
      </w:r>
    </w:p>
    <w:p>
      <w:pPr>
        <w:widowControl/>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为响应党中央、国务院关于治理政府采购领域商业贿赂行为的号召，我单位在此庄严承诺：</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在参与政府采购活动中遵纪守法、诚信经营、公平竞标。</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不向采购人、采购代理机构和政府采购评审专家进行任何形式的商业贿赂以谋取交易机会。</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不向政府采购代理机构和采购人提供虚假资质文件或采用虚假应标方式参与政府采购市场竞争并谋取中标、成交。</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不采取“围标、陪标”等商业欺诈手段获得政府采购定单。</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不采取不正当手段低毁、排挤其他供应商。</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不在提供商品和服务时“偷梁换柱、以次充好”损害采购人的合法权益。</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不与采购人、采购代理机构、政府采购评审专家或其它供应商恶意串通，进行质疑和投诉，维护政府采购市场秩序。</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尊重和接受政府采购监督管理部门的监督和政府采购代理机构采购要求，承担因违约行为给采购人造成的损失。</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不发生其他有悖于政府采购公开、公平、公正和诚信原则的行为。</w:t>
      </w:r>
    </w:p>
    <w:p>
      <w:pPr>
        <w:widowControl/>
        <w:spacing w:line="520" w:lineRule="exact"/>
        <w:jc w:val="left"/>
        <w:rPr>
          <w:rFonts w:cs="宋体" w:asciiTheme="minorEastAsia" w:hAnsiTheme="minorEastAsia"/>
          <w:sz w:val="28"/>
          <w:szCs w:val="28"/>
        </w:rPr>
      </w:pP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承诺单位：</w:t>
      </w:r>
      <w:r>
        <w:rPr>
          <w:rFonts w:hint="eastAsia" w:cs="宋体" w:asciiTheme="minorEastAsia" w:hAnsiTheme="minorEastAsia"/>
          <w:sz w:val="28"/>
          <w:szCs w:val="28"/>
          <w:u w:val="single"/>
        </w:rPr>
        <w:t>　　　　　　　　　　　</w:t>
      </w:r>
      <w:r>
        <w:rPr>
          <w:rFonts w:hint="eastAsia" w:cs="宋体" w:asciiTheme="minorEastAsia" w:hAnsiTheme="minorEastAsia"/>
          <w:sz w:val="28"/>
          <w:szCs w:val="28"/>
        </w:rPr>
        <w:t>（盖章）</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全权代表：</w:t>
      </w:r>
      <w:r>
        <w:rPr>
          <w:rFonts w:hint="eastAsia" w:cs="宋体" w:asciiTheme="minorEastAsia" w:hAnsiTheme="minorEastAsia"/>
          <w:sz w:val="28"/>
          <w:szCs w:val="28"/>
          <w:u w:val="single"/>
        </w:rPr>
        <w:t>　　　　　　　　　　　</w:t>
      </w:r>
      <w:r>
        <w:rPr>
          <w:rFonts w:hint="eastAsia" w:cs="宋体" w:asciiTheme="minorEastAsia" w:hAnsiTheme="minorEastAsia"/>
          <w:sz w:val="28"/>
          <w:szCs w:val="28"/>
        </w:rPr>
        <w:t>（签字）</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地　　址：</w:t>
      </w:r>
      <w:r>
        <w:rPr>
          <w:rFonts w:hint="eastAsia" w:cs="宋体" w:asciiTheme="minorEastAsia" w:hAnsiTheme="minorEastAsia"/>
          <w:sz w:val="28"/>
          <w:szCs w:val="28"/>
          <w:u w:val="single"/>
        </w:rPr>
        <w:t>　　　　　　　　　　　</w:t>
      </w:r>
    </w:p>
    <w:p>
      <w:pPr>
        <w:widowControl/>
        <w:spacing w:line="520" w:lineRule="exact"/>
        <w:ind w:firstLine="1120" w:firstLineChars="400"/>
        <w:jc w:val="left"/>
        <w:rPr>
          <w:rFonts w:cs="宋体" w:asciiTheme="minorEastAsia" w:hAnsiTheme="minorEastAsia"/>
          <w:sz w:val="28"/>
          <w:szCs w:val="28"/>
          <w:u w:val="single"/>
        </w:rPr>
      </w:pPr>
      <w:r>
        <w:rPr>
          <w:rFonts w:hint="eastAsia" w:cs="宋体" w:asciiTheme="minorEastAsia" w:hAnsiTheme="minorEastAsia"/>
          <w:sz w:val="28"/>
          <w:szCs w:val="28"/>
        </w:rPr>
        <w:t>邮　　编：</w:t>
      </w:r>
      <w:r>
        <w:rPr>
          <w:rFonts w:hint="eastAsia" w:cs="宋体" w:asciiTheme="minorEastAsia" w:hAnsiTheme="minorEastAsia"/>
          <w:sz w:val="28"/>
          <w:szCs w:val="28"/>
          <w:u w:val="single"/>
        </w:rPr>
        <w:t>　　　　　　　　　　　</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电　　话：</w:t>
      </w:r>
      <w:r>
        <w:rPr>
          <w:rFonts w:hint="eastAsia" w:cs="宋体" w:asciiTheme="minorEastAsia" w:hAnsiTheme="minorEastAsia"/>
          <w:sz w:val="28"/>
          <w:szCs w:val="28"/>
          <w:u w:val="single"/>
        </w:rPr>
        <w:t>　　　　　　　　　　　</w:t>
      </w:r>
    </w:p>
    <w:p>
      <w:pPr>
        <w:spacing w:line="340" w:lineRule="exact"/>
        <w:ind w:firstLine="7280"/>
        <w:rPr>
          <w:rFonts w:hint="eastAsia" w:cs="宋体" w:asciiTheme="minorEastAsia" w:hAnsiTheme="minorEastAsia"/>
          <w:sz w:val="28"/>
          <w:szCs w:val="28"/>
        </w:rPr>
      </w:pPr>
      <w:r>
        <w:rPr>
          <w:rFonts w:hint="eastAsia" w:cs="宋体" w:asciiTheme="minorEastAsia" w:hAnsiTheme="minorEastAsia"/>
          <w:sz w:val="28"/>
          <w:szCs w:val="28"/>
        </w:rPr>
        <w:t>年　　月　　日</w:t>
      </w:r>
    </w:p>
    <w:p>
      <w:pPr>
        <w:pStyle w:val="4"/>
        <w:spacing w:before="0" w:after="0" w:line="240" w:lineRule="auto"/>
        <w:rPr>
          <w:rFonts w:ascii="宋体" w:hAnsi="宋体" w:eastAsia="宋体"/>
          <w:sz w:val="28"/>
          <w:szCs w:val="28"/>
        </w:rPr>
      </w:pPr>
      <w:bookmarkStart w:id="131" w:name="_Toc5888432"/>
      <w:bookmarkStart w:id="132" w:name="_Toc19044_WPSOffice_Level1"/>
      <w:r>
        <w:rPr>
          <w:rFonts w:hint="eastAsia" w:ascii="宋体" w:hAnsi="宋体" w:eastAsia="宋体"/>
          <w:sz w:val="28"/>
          <w:szCs w:val="28"/>
          <w:lang w:val="en-US" w:eastAsia="zh-CN"/>
        </w:rPr>
        <w:t>10</w:t>
      </w:r>
      <w:r>
        <w:rPr>
          <w:rFonts w:hint="eastAsia" w:ascii="宋体" w:hAnsi="宋体" w:eastAsia="宋体"/>
          <w:sz w:val="28"/>
          <w:szCs w:val="28"/>
        </w:rPr>
        <w:t>.《中小企业声明函》及证明文件（若有）</w:t>
      </w:r>
    </w:p>
    <w:p>
      <w:pPr>
        <w:spacing w:line="480" w:lineRule="exact"/>
        <w:rPr>
          <w:rFonts w:ascii="宋体" w:hAnsi="宋体"/>
          <w:sz w:val="28"/>
          <w:szCs w:val="28"/>
          <w:u w:val="single"/>
        </w:rPr>
      </w:pPr>
      <w:r>
        <w:rPr>
          <w:rFonts w:hint="eastAsia" w:ascii="宋体" w:hAnsi="宋体"/>
          <w:sz w:val="28"/>
          <w:szCs w:val="28"/>
        </w:rPr>
        <w:t>致：</w:t>
      </w:r>
      <w:r>
        <w:rPr>
          <w:rFonts w:hint="eastAsia" w:ascii="宋体" w:hAnsi="宋体"/>
          <w:sz w:val="28"/>
          <w:szCs w:val="28"/>
          <w:u w:val="single"/>
        </w:rPr>
        <w:t>陕西恒瑞项目管理有限公司</w:t>
      </w:r>
    </w:p>
    <w:p>
      <w:pPr>
        <w:spacing w:line="460" w:lineRule="exact"/>
        <w:ind w:firstLine="560" w:firstLineChars="200"/>
        <w:jc w:val="center"/>
        <w:rPr>
          <w:rFonts w:ascii="宋体" w:hAnsi="宋体" w:cs="宋体"/>
          <w:sz w:val="28"/>
          <w:szCs w:val="28"/>
        </w:rPr>
      </w:pPr>
      <w:r>
        <w:rPr>
          <w:rFonts w:hint="eastAsia" w:ascii="宋体" w:hAnsi="宋体" w:cs="宋体"/>
          <w:sz w:val="28"/>
          <w:szCs w:val="28"/>
        </w:rPr>
        <w:t>中小企业声明函</w:t>
      </w:r>
    </w:p>
    <w:p>
      <w:pPr>
        <w:spacing w:line="460" w:lineRule="exact"/>
        <w:ind w:firstLine="560" w:firstLineChars="200"/>
        <w:jc w:val="left"/>
        <w:rPr>
          <w:rFonts w:ascii="宋体" w:hAnsi="宋体" w:cs="宋体"/>
          <w:sz w:val="28"/>
          <w:szCs w:val="28"/>
        </w:rPr>
      </w:pPr>
      <w:r>
        <w:rPr>
          <w:rFonts w:hint="eastAsia" w:ascii="宋体" w:hAnsi="宋体" w:cs="宋体"/>
          <w:sz w:val="28"/>
          <w:szCs w:val="28"/>
        </w:rPr>
        <w:t>（</w:t>
      </w:r>
      <w:r>
        <w:rPr>
          <w:rFonts w:ascii="宋体" w:hAnsi="宋体" w:cs="宋体"/>
          <w:sz w:val="28"/>
          <w:szCs w:val="28"/>
        </w:rPr>
        <w:t>本公司（联合体）郑重声明，根据《政府采购促进中小企业发展管理办法》（财库﹝2020﹞46 号）的规定，本公司 （联合体）参加</w:t>
      </w:r>
      <w:r>
        <w:rPr>
          <w:rFonts w:ascii="宋体" w:hAnsi="宋体" w:cs="宋体"/>
          <w:sz w:val="28"/>
          <w:szCs w:val="28"/>
          <w:u w:val="single"/>
        </w:rPr>
        <w:t>（单位名称）</w:t>
      </w:r>
      <w:r>
        <w:rPr>
          <w:rFonts w:ascii="宋体" w:hAnsi="宋体" w:cs="宋体"/>
          <w:sz w:val="28"/>
          <w:szCs w:val="28"/>
        </w:rPr>
        <w:t>的</w:t>
      </w:r>
      <w:r>
        <w:rPr>
          <w:rFonts w:ascii="宋体" w:hAnsi="宋体" w:cs="宋体"/>
          <w:sz w:val="28"/>
          <w:szCs w:val="28"/>
          <w:u w:val="single"/>
        </w:rPr>
        <w:t>（项目名称）</w:t>
      </w:r>
      <w:r>
        <w:rPr>
          <w:rFonts w:ascii="宋体" w:hAnsi="宋体" w:cs="宋体"/>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1.</w:t>
      </w:r>
      <w:r>
        <w:rPr>
          <w:rFonts w:ascii="宋体" w:hAnsi="宋体" w:cs="宋体"/>
          <w:sz w:val="28"/>
          <w:szCs w:val="28"/>
          <w:u w:val="single"/>
        </w:rPr>
        <w:t xml:space="preserve"> （标的名称） </w:t>
      </w:r>
      <w:r>
        <w:rPr>
          <w:rFonts w:ascii="宋体" w:hAnsi="宋体" w:cs="宋体"/>
          <w:sz w:val="28"/>
          <w:szCs w:val="28"/>
        </w:rPr>
        <w:t>，属于</w:t>
      </w:r>
      <w:r>
        <w:rPr>
          <w:rFonts w:ascii="宋体" w:hAnsi="宋体" w:cs="宋体"/>
          <w:sz w:val="28"/>
          <w:szCs w:val="28"/>
          <w:u w:val="single"/>
        </w:rPr>
        <w:t>（采购文件中明确的所属行业）</w:t>
      </w:r>
      <w:r>
        <w:rPr>
          <w:rFonts w:ascii="宋体" w:hAnsi="宋体" w:cs="宋体"/>
          <w:sz w:val="28"/>
          <w:szCs w:val="28"/>
        </w:rPr>
        <w:t>承建（承接）企业为</w:t>
      </w:r>
      <w:r>
        <w:rPr>
          <w:rFonts w:ascii="宋体" w:hAnsi="宋体" w:cs="宋体"/>
          <w:sz w:val="28"/>
          <w:szCs w:val="28"/>
          <w:u w:val="single"/>
        </w:rPr>
        <w:t>（企业名称）</w:t>
      </w:r>
      <w:r>
        <w:rPr>
          <w:rFonts w:ascii="宋体" w:hAnsi="宋体" w:cs="宋体"/>
          <w:sz w:val="28"/>
          <w:szCs w:val="28"/>
        </w:rPr>
        <w:t>，从业人员</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人，营业收入为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w:t>
      </w:r>
      <w:r>
        <w:rPr>
          <w:rFonts w:hint="eastAsia" w:ascii="宋体" w:hAnsi="宋体" w:cs="宋体"/>
          <w:sz w:val="28"/>
          <w:szCs w:val="28"/>
        </w:rPr>
        <w:t>，</w:t>
      </w:r>
      <w:r>
        <w:rPr>
          <w:rFonts w:ascii="宋体" w:hAnsi="宋体" w:cs="宋体"/>
          <w:sz w:val="28"/>
          <w:szCs w:val="28"/>
        </w:rPr>
        <w:t>资产总额为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 ，属于（</w:t>
      </w:r>
      <w:r>
        <w:rPr>
          <w:rFonts w:ascii="宋体" w:hAnsi="宋体" w:cs="宋体"/>
          <w:sz w:val="28"/>
          <w:szCs w:val="28"/>
          <w:u w:val="single"/>
        </w:rPr>
        <w:t>中型企业、 小型企业、微型企业</w:t>
      </w:r>
      <w:r>
        <w:rPr>
          <w:rFonts w:ascii="宋体" w:hAnsi="宋体" w:cs="宋体"/>
          <w:sz w:val="28"/>
          <w:szCs w:val="28"/>
        </w:rPr>
        <w:t>）；</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2.</w:t>
      </w:r>
      <w:r>
        <w:rPr>
          <w:rFonts w:ascii="宋体" w:hAnsi="宋体" w:cs="宋体"/>
          <w:sz w:val="28"/>
          <w:szCs w:val="28"/>
          <w:u w:val="single"/>
        </w:rPr>
        <w:t xml:space="preserve"> （标的名称） </w:t>
      </w:r>
      <w:r>
        <w:rPr>
          <w:rFonts w:ascii="宋体" w:hAnsi="宋体" w:cs="宋体"/>
          <w:sz w:val="28"/>
          <w:szCs w:val="28"/>
        </w:rPr>
        <w:t>，属于</w:t>
      </w:r>
      <w:r>
        <w:rPr>
          <w:rFonts w:ascii="宋体" w:hAnsi="宋体" w:cs="宋体"/>
          <w:sz w:val="28"/>
          <w:szCs w:val="28"/>
          <w:u w:val="single"/>
        </w:rPr>
        <w:t>（采购文件中明确的所属行业）</w:t>
      </w:r>
      <w:r>
        <w:rPr>
          <w:rFonts w:ascii="宋体" w:hAnsi="宋体" w:cs="宋体"/>
          <w:sz w:val="28"/>
          <w:szCs w:val="28"/>
        </w:rPr>
        <w:t>；承建（承接）企业为</w:t>
      </w:r>
      <w:r>
        <w:rPr>
          <w:rFonts w:ascii="宋体" w:hAnsi="宋体" w:cs="宋体"/>
          <w:sz w:val="28"/>
          <w:szCs w:val="28"/>
          <w:u w:val="single"/>
        </w:rPr>
        <w:t>（企业名称）</w:t>
      </w:r>
      <w:r>
        <w:rPr>
          <w:rFonts w:ascii="宋体" w:hAnsi="宋体" w:cs="宋体"/>
          <w:sz w:val="28"/>
          <w:szCs w:val="28"/>
        </w:rPr>
        <w:t>，从业人员</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人，营业收入为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万元，资产总额为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万元，属于（</w:t>
      </w:r>
      <w:r>
        <w:rPr>
          <w:rFonts w:ascii="宋体" w:hAnsi="宋体" w:cs="宋体"/>
          <w:sz w:val="28"/>
          <w:szCs w:val="28"/>
          <w:u w:val="single"/>
        </w:rPr>
        <w:t>中型企业、 小型企业、微型企业</w:t>
      </w:r>
      <w:r>
        <w:rPr>
          <w:rFonts w:ascii="宋体" w:hAnsi="宋体" w:cs="宋体"/>
          <w:sz w:val="28"/>
          <w:szCs w:val="28"/>
        </w:rPr>
        <w:t>）；</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 </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以上企业，不属于大企业的分支机构，不存在控股股东为大企业的情形，也不存在与大企业的负责人为同一人的情形。 </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本企业对上述声明内容的真实性负责。如有虚假，将依法承担相应责任。 </w:t>
      </w:r>
    </w:p>
    <w:p>
      <w:pPr>
        <w:spacing w:line="460" w:lineRule="exact"/>
        <w:ind w:firstLine="560" w:firstLineChars="200"/>
        <w:jc w:val="left"/>
        <w:rPr>
          <w:rFonts w:ascii="宋体" w:hAnsi="宋体" w:cs="宋体"/>
          <w:sz w:val="28"/>
          <w:szCs w:val="28"/>
        </w:rPr>
      </w:pPr>
    </w:p>
    <w:p>
      <w:pPr>
        <w:spacing w:line="460" w:lineRule="exact"/>
        <w:ind w:firstLine="560" w:firstLineChars="200"/>
        <w:jc w:val="left"/>
        <w:rPr>
          <w:rFonts w:ascii="宋体" w:hAnsi="宋体" w:cs="宋体"/>
          <w:sz w:val="28"/>
          <w:szCs w:val="28"/>
        </w:rPr>
      </w:pPr>
    </w:p>
    <w:p>
      <w:pPr>
        <w:spacing w:line="460" w:lineRule="exact"/>
        <w:ind w:firstLine="560" w:firstLineChars="200"/>
        <w:jc w:val="center"/>
        <w:rPr>
          <w:rFonts w:ascii="宋体" w:hAnsi="宋体" w:cs="宋体"/>
          <w:sz w:val="28"/>
          <w:szCs w:val="28"/>
        </w:rPr>
      </w:pPr>
      <w:r>
        <w:rPr>
          <w:rFonts w:ascii="宋体" w:hAnsi="宋体" w:cs="宋体"/>
          <w:sz w:val="28"/>
          <w:szCs w:val="28"/>
        </w:rPr>
        <w:t xml:space="preserve">企业名称（盖章）： </w:t>
      </w:r>
    </w:p>
    <w:p>
      <w:pPr>
        <w:spacing w:line="460" w:lineRule="exact"/>
        <w:ind w:firstLine="560" w:firstLineChars="200"/>
        <w:jc w:val="center"/>
        <w:rPr>
          <w:sz w:val="28"/>
          <w:szCs w:val="28"/>
        </w:rPr>
      </w:pPr>
      <w:r>
        <w:rPr>
          <w:rFonts w:ascii="宋体" w:hAnsi="宋体" w:cs="宋体"/>
          <w:sz w:val="28"/>
          <w:szCs w:val="28"/>
        </w:rPr>
        <w:t>日 期：</w:t>
      </w:r>
    </w:p>
    <w:p>
      <w:pPr>
        <w:spacing w:line="480" w:lineRule="exact"/>
        <w:rPr>
          <w:rFonts w:ascii="宋体" w:hAnsi="宋体"/>
          <w:sz w:val="28"/>
          <w:szCs w:val="28"/>
        </w:rPr>
      </w:pPr>
    </w:p>
    <w:p>
      <w:pPr>
        <w:spacing w:line="480" w:lineRule="exact"/>
        <w:rPr>
          <w:rFonts w:ascii="宋体" w:hAnsi="宋体"/>
          <w:sz w:val="28"/>
          <w:szCs w:val="28"/>
        </w:rPr>
      </w:pPr>
    </w:p>
    <w:p/>
    <w:p>
      <w:pPr>
        <w:pStyle w:val="4"/>
        <w:spacing w:before="0" w:after="0" w:line="360" w:lineRule="auto"/>
        <w:rPr>
          <w:rFonts w:ascii="宋体" w:hAnsi="宋体" w:cs="宋体"/>
          <w:sz w:val="28"/>
          <w:szCs w:val="28"/>
        </w:rPr>
      </w:pPr>
    </w:p>
    <w:p>
      <w:pPr>
        <w:pStyle w:val="4"/>
        <w:spacing w:before="0" w:after="0" w:line="360" w:lineRule="auto"/>
        <w:rPr>
          <w:rFonts w:ascii="宋体" w:hAnsi="宋体" w:cs="宋体"/>
          <w:sz w:val="28"/>
          <w:szCs w:val="28"/>
        </w:rPr>
      </w:pPr>
    </w:p>
    <w:p/>
    <w:p>
      <w:pPr>
        <w:pStyle w:val="4"/>
        <w:spacing w:before="0" w:after="0" w:line="360" w:lineRule="auto"/>
        <w:rPr>
          <w:rFonts w:ascii="宋体" w:cs="宋体"/>
          <w:sz w:val="28"/>
          <w:szCs w:val="28"/>
        </w:rPr>
      </w:pPr>
      <w:r>
        <w:rPr>
          <w:rFonts w:ascii="宋体" w:hAnsi="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cs="宋体"/>
          <w:sz w:val="28"/>
          <w:szCs w:val="28"/>
        </w:rPr>
        <w:t>《残疾人福利性单位声明函》（若有）</w:t>
      </w:r>
      <w:bookmarkEnd w:id="131"/>
      <w:bookmarkEnd w:id="132"/>
    </w:p>
    <w:p>
      <w:pPr>
        <w:spacing w:line="500" w:lineRule="exact"/>
        <w:jc w:val="center"/>
        <w:rPr>
          <w:rFonts w:ascii="宋体" w:cs="宋体"/>
          <w:b/>
          <w:sz w:val="28"/>
          <w:szCs w:val="28"/>
        </w:rPr>
      </w:pPr>
    </w:p>
    <w:p>
      <w:pPr>
        <w:spacing w:line="500" w:lineRule="exact"/>
        <w:jc w:val="center"/>
        <w:rPr>
          <w:rFonts w:ascii="宋体" w:cs="宋体"/>
          <w:b/>
          <w:sz w:val="28"/>
          <w:szCs w:val="28"/>
        </w:rPr>
      </w:pPr>
      <w:r>
        <w:rPr>
          <w:rFonts w:hint="eastAsia" w:ascii="宋体" w:hAnsi="宋体" w:cs="宋体"/>
          <w:b/>
          <w:sz w:val="28"/>
          <w:szCs w:val="28"/>
        </w:rPr>
        <w:t>残疾人福利性单位声明函</w:t>
      </w:r>
    </w:p>
    <w:p>
      <w:pPr>
        <w:spacing w:line="500" w:lineRule="exact"/>
        <w:jc w:val="center"/>
        <w:rPr>
          <w:rFonts w:ascii="宋体" w:cs="宋体"/>
          <w:b/>
          <w:sz w:val="28"/>
          <w:szCs w:val="28"/>
        </w:rPr>
      </w:pPr>
    </w:p>
    <w:p>
      <w:pPr>
        <w:spacing w:line="500" w:lineRule="exact"/>
        <w:ind w:firstLine="560" w:firstLineChars="200"/>
        <w:rPr>
          <w:rFonts w:ascii="宋体" w:cs="宋体"/>
          <w:sz w:val="28"/>
          <w:szCs w:val="28"/>
        </w:rPr>
      </w:pPr>
      <w:r>
        <w:rPr>
          <w:rFonts w:hint="eastAsia" w:ascii="宋体" w:hAnsi="宋体" w:cs="宋体"/>
          <w:sz w:val="28"/>
          <w:szCs w:val="28"/>
        </w:rPr>
        <w:t>本单位郑重声明，根据《财政部</w:t>
      </w:r>
      <w:r>
        <w:rPr>
          <w:rFonts w:ascii="宋体" w:hAnsi="宋体" w:cs="宋体"/>
          <w:sz w:val="28"/>
          <w:szCs w:val="28"/>
        </w:rPr>
        <w:t xml:space="preserve"> </w:t>
      </w:r>
      <w:r>
        <w:rPr>
          <w:rFonts w:hint="eastAsia" w:ascii="宋体" w:hAnsi="宋体" w:cs="宋体"/>
          <w:sz w:val="28"/>
          <w:szCs w:val="28"/>
        </w:rPr>
        <w:t>民政部</w:t>
      </w:r>
      <w:r>
        <w:rPr>
          <w:rFonts w:ascii="宋体" w:hAnsi="宋体" w:cs="宋体"/>
          <w:sz w:val="28"/>
          <w:szCs w:val="28"/>
        </w:rPr>
        <w:t xml:space="preserve"> </w:t>
      </w:r>
      <w:r>
        <w:rPr>
          <w:rFonts w:hint="eastAsia" w:ascii="宋体" w:hAnsi="宋体" w:cs="宋体"/>
          <w:sz w:val="28"/>
          <w:szCs w:val="28"/>
        </w:rPr>
        <w:t>中国残疾人联合会关于促进残疾人就业政府采购政策的通知》（财库〔</w:t>
      </w:r>
      <w:r>
        <w:rPr>
          <w:rFonts w:ascii="宋体" w:hAnsi="宋体" w:cs="宋体"/>
          <w:sz w:val="28"/>
          <w:szCs w:val="28"/>
        </w:rPr>
        <w:t>2017</w:t>
      </w:r>
      <w:r>
        <w:rPr>
          <w:rFonts w:hint="eastAsia" w:ascii="宋体" w:hAnsi="宋体" w:cs="宋体"/>
          <w:sz w:val="28"/>
          <w:szCs w:val="28"/>
        </w:rPr>
        <w:t>〕</w:t>
      </w:r>
      <w:r>
        <w:rPr>
          <w:rFonts w:ascii="宋体" w:hAnsi="宋体" w:cs="宋体"/>
          <w:sz w:val="28"/>
          <w:szCs w:val="28"/>
        </w:rPr>
        <w:t>141</w:t>
      </w:r>
      <w:r>
        <w:rPr>
          <w:rFonts w:hint="eastAsia" w:ascii="宋体" w:hAnsi="宋体" w:cs="宋体"/>
          <w:sz w:val="28"/>
          <w:szCs w:val="28"/>
        </w:rPr>
        <w:t>号）的规定，本单位为符合条件的残疾人福利性单位，且本单位参加</w:t>
      </w:r>
      <w:r>
        <w:rPr>
          <w:rFonts w:ascii="宋体" w:hAnsi="宋体" w:cs="宋体"/>
          <w:sz w:val="28"/>
          <w:szCs w:val="28"/>
        </w:rPr>
        <w:t>______</w:t>
      </w:r>
      <w:r>
        <w:rPr>
          <w:rFonts w:hint="eastAsia" w:ascii="宋体" w:hAnsi="宋体" w:cs="宋体"/>
          <w:sz w:val="28"/>
          <w:szCs w:val="28"/>
        </w:rPr>
        <w:t>单位的</w:t>
      </w:r>
      <w:r>
        <w:rPr>
          <w:rFonts w:ascii="宋体" w:hAnsi="宋体" w:cs="宋体"/>
          <w:sz w:val="28"/>
          <w:szCs w:val="28"/>
        </w:rPr>
        <w:t>______</w:t>
      </w:r>
      <w:r>
        <w:rPr>
          <w:rFonts w:hint="eastAsia" w:ascii="宋体" w:hAnsi="宋体" w:cs="宋体"/>
          <w:sz w:val="28"/>
          <w:szCs w:val="28"/>
        </w:rPr>
        <w:t>项目采购活动提供本单位制造的货物（由本单位承担工程</w:t>
      </w:r>
      <w:r>
        <w:rPr>
          <w:rFonts w:ascii="宋体" w:hAnsi="宋体" w:cs="宋体"/>
          <w:sz w:val="28"/>
          <w:szCs w:val="28"/>
        </w:rPr>
        <w:t>/</w:t>
      </w:r>
      <w:r>
        <w:rPr>
          <w:rFonts w:hint="eastAsia" w:ascii="宋体" w:hAnsi="宋体" w:cs="宋体"/>
          <w:sz w:val="28"/>
          <w:szCs w:val="28"/>
        </w:rPr>
        <w:t>提供服务），或者提供其他残疾人福利性单位制造的货物（不包括使用非残疾人福利性单位注册商标的货物）。</w:t>
      </w:r>
    </w:p>
    <w:p>
      <w:pPr>
        <w:spacing w:line="500" w:lineRule="exact"/>
        <w:ind w:firstLine="560"/>
        <w:rPr>
          <w:rFonts w:ascii="宋体" w:cs="宋体"/>
          <w:sz w:val="28"/>
          <w:szCs w:val="28"/>
        </w:rPr>
      </w:pPr>
      <w:r>
        <w:rPr>
          <w:rFonts w:hint="eastAsia" w:ascii="宋体" w:hAnsi="宋体" w:cs="宋体"/>
          <w:sz w:val="28"/>
          <w:szCs w:val="28"/>
        </w:rPr>
        <w:t>本单位对上述声明的真实性负责。如有虚假，将依法承担相应责任。</w:t>
      </w:r>
    </w:p>
    <w:p>
      <w:pPr>
        <w:spacing w:line="500" w:lineRule="exact"/>
        <w:jc w:val="center"/>
        <w:rPr>
          <w:rFonts w:ascii="宋体" w:cs="宋体"/>
          <w:sz w:val="28"/>
          <w:szCs w:val="28"/>
        </w:rPr>
      </w:pPr>
    </w:p>
    <w:p>
      <w:pPr>
        <w:spacing w:line="500" w:lineRule="exact"/>
        <w:jc w:val="center"/>
        <w:rPr>
          <w:rFonts w:ascii="宋体" w:cs="宋体"/>
          <w:sz w:val="28"/>
          <w:szCs w:val="28"/>
        </w:rPr>
      </w:pPr>
    </w:p>
    <w:p>
      <w:pPr>
        <w:spacing w:line="500" w:lineRule="exact"/>
        <w:jc w:val="center"/>
        <w:rPr>
          <w:rFonts w:ascii="宋体" w:cs="宋体"/>
          <w:sz w:val="28"/>
          <w:szCs w:val="28"/>
        </w:rPr>
      </w:pPr>
      <w:bookmarkStart w:id="133" w:name="_Toc8019_WPSOffice_Level1"/>
      <w:bookmarkEnd w:id="133"/>
      <w:bookmarkStart w:id="134" w:name="_Toc10958_WPSOffice_Level1"/>
      <w:bookmarkStart w:id="135" w:name="_Toc25244_WPSOffice_Level1"/>
      <w:r>
        <w:rPr>
          <w:rFonts w:hint="eastAsia" w:ascii="宋体" w:hAnsi="宋体" w:cs="宋体"/>
          <w:sz w:val="28"/>
          <w:szCs w:val="28"/>
        </w:rPr>
        <w:t>单位名称（盖章）：</w:t>
      </w:r>
      <w:bookmarkEnd w:id="134"/>
      <w:bookmarkEnd w:id="135"/>
    </w:p>
    <w:p>
      <w:pPr>
        <w:pStyle w:val="22"/>
        <w:rPr>
          <w:rFonts w:ascii="宋体"/>
        </w:rPr>
      </w:pPr>
    </w:p>
    <w:p>
      <w:pPr>
        <w:spacing w:line="500" w:lineRule="exact"/>
        <w:ind w:firstLine="3500" w:firstLineChars="1250"/>
        <w:rPr>
          <w:rFonts w:ascii="宋体" w:cs="宋体"/>
          <w:sz w:val="28"/>
          <w:szCs w:val="28"/>
        </w:rPr>
      </w:pPr>
      <w:bookmarkStart w:id="136" w:name="_Toc4531_WPSOffice_Level1"/>
      <w:bookmarkEnd w:id="136"/>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p>
    <w:p>
      <w:pPr>
        <w:rPr>
          <w:rFonts w:asciiTheme="minorEastAsia" w:hAnsiTheme="minorEastAsia"/>
        </w:rPr>
      </w:pPr>
    </w:p>
    <w:p>
      <w:pPr>
        <w:tabs>
          <w:tab w:val="center" w:pos="4748"/>
        </w:tabs>
        <w:rPr>
          <w:rFonts w:asciiTheme="minorEastAsia" w:hAnsiTheme="minorEastAsia"/>
        </w:rPr>
        <w:sectPr>
          <w:headerReference r:id="rId31" w:type="first"/>
          <w:footerReference r:id="rId33" w:type="first"/>
          <w:headerReference r:id="rId30" w:type="default"/>
          <w:footerReference r:id="rId32" w:type="default"/>
          <w:endnotePr>
            <w:numFmt w:val="decimal"/>
          </w:endnotePr>
          <w:pgSz w:w="11907" w:h="16840"/>
          <w:pgMar w:top="1418" w:right="992" w:bottom="1418" w:left="1418" w:header="851" w:footer="1021" w:gutter="0"/>
          <w:pgNumType w:fmt="decimal"/>
          <w:cols w:space="720" w:num="1"/>
          <w:titlePg/>
        </w:sectPr>
      </w:pPr>
      <w:r>
        <w:rPr>
          <w:rFonts w:asciiTheme="minorEastAsia" w:hAnsiTheme="minorEastAsia"/>
        </w:rPr>
        <w:tab/>
      </w:r>
    </w:p>
    <w:bookmarkEnd w:id="130"/>
    <w:p>
      <w:pPr>
        <w:pStyle w:val="4"/>
        <w:spacing w:before="0" w:after="0" w:line="360" w:lineRule="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附件三、</w:t>
      </w:r>
    </w:p>
    <w:p>
      <w:pPr>
        <w:spacing w:line="500" w:lineRule="exact"/>
        <w:ind w:left="210" w:leftChars="100"/>
        <w:jc w:val="center"/>
        <w:rPr>
          <w:rFonts w:cs="宋体" w:asciiTheme="minorEastAsia" w:hAnsiTheme="minorEastAsia"/>
          <w:b/>
          <w:bCs/>
          <w:sz w:val="28"/>
          <w:szCs w:val="28"/>
        </w:rPr>
      </w:pPr>
      <w:r>
        <w:rPr>
          <w:rFonts w:hint="eastAsia" w:cs="宋体" w:asciiTheme="minorEastAsia" w:hAnsiTheme="minorEastAsia"/>
          <w:b/>
          <w:bCs/>
          <w:sz w:val="28"/>
          <w:szCs w:val="28"/>
        </w:rPr>
        <w:t>磋商报价一览表（二次）</w:t>
      </w:r>
    </w:p>
    <w:p>
      <w:pPr>
        <w:spacing w:line="480" w:lineRule="exact"/>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 xml:space="preserve">供应商名称： </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 xml:space="preserve">      </w:t>
      </w:r>
    </w:p>
    <w:tbl>
      <w:tblPr>
        <w:tblStyle w:val="23"/>
        <w:tblW w:w="9037" w:type="dxa"/>
        <w:tblInd w:w="15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7"/>
        <w:gridCol w:w="2895"/>
        <w:gridCol w:w="2047"/>
        <w:gridCol w:w="1144"/>
        <w:gridCol w:w="11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42" w:hRule="atLeast"/>
        </w:trPr>
        <w:tc>
          <w:tcPr>
            <w:tcW w:w="1807" w:type="dxa"/>
            <w:vAlign w:val="center"/>
          </w:tcPr>
          <w:p>
            <w:pPr>
              <w:spacing w:line="480" w:lineRule="exact"/>
              <w:ind w:right="143" w:rightChars="68" w:firstLine="138" w:firstLineChars="49"/>
              <w:jc w:val="center"/>
              <w:rPr>
                <w:rFonts w:asciiTheme="minorEastAsia" w:hAnsiTheme="minorEastAsia"/>
                <w:b/>
                <w:sz w:val="28"/>
                <w:szCs w:val="28"/>
              </w:rPr>
            </w:pPr>
            <w:r>
              <w:rPr>
                <w:rFonts w:hint="eastAsia" w:asciiTheme="minorEastAsia" w:hAnsiTheme="minorEastAsia"/>
                <w:b/>
                <w:sz w:val="28"/>
                <w:szCs w:val="28"/>
              </w:rPr>
              <w:t>项目编号</w:t>
            </w:r>
          </w:p>
        </w:tc>
        <w:tc>
          <w:tcPr>
            <w:tcW w:w="2895" w:type="dxa"/>
            <w:vAlign w:val="center"/>
          </w:tcPr>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磋商总报价</w:t>
            </w:r>
          </w:p>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（人民币:元）</w:t>
            </w:r>
          </w:p>
        </w:tc>
        <w:tc>
          <w:tcPr>
            <w:tcW w:w="2047" w:type="dxa"/>
            <w:tcMar>
              <w:top w:w="57" w:type="dxa"/>
              <w:left w:w="28" w:type="dxa"/>
              <w:bottom w:w="57" w:type="dxa"/>
              <w:right w:w="28" w:type="dxa"/>
            </w:tcMar>
            <w:vAlign w:val="center"/>
          </w:tcPr>
          <w:p>
            <w:pPr>
              <w:spacing w:line="480" w:lineRule="exact"/>
              <w:jc w:val="center"/>
              <w:rPr>
                <w:rFonts w:hint="eastAsia" w:asciiTheme="minorEastAsia" w:hAnsiTheme="minorEastAsia" w:eastAsiaTheme="minorEastAsia"/>
                <w:b/>
                <w:sz w:val="28"/>
                <w:szCs w:val="28"/>
                <w:lang w:eastAsia="zh-CN"/>
              </w:rPr>
            </w:pPr>
            <w:r>
              <w:rPr>
                <w:rFonts w:hint="eastAsia" w:asciiTheme="minorEastAsia" w:hAnsiTheme="minorEastAsia"/>
                <w:b/>
                <w:sz w:val="28"/>
                <w:szCs w:val="28"/>
              </w:rPr>
              <w:t>服务期</w:t>
            </w:r>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日历天</w:t>
            </w:r>
            <w:r>
              <w:rPr>
                <w:rFonts w:hint="eastAsia" w:asciiTheme="minorEastAsia" w:hAnsiTheme="minorEastAsia"/>
                <w:b/>
                <w:sz w:val="28"/>
                <w:szCs w:val="28"/>
                <w:lang w:eastAsia="zh-CN"/>
              </w:rPr>
              <w:t>）</w:t>
            </w:r>
          </w:p>
        </w:tc>
        <w:tc>
          <w:tcPr>
            <w:tcW w:w="1144" w:type="dxa"/>
            <w:vAlign w:val="center"/>
          </w:tcPr>
          <w:p>
            <w:pPr>
              <w:spacing w:line="480" w:lineRule="exact"/>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质量</w:t>
            </w:r>
          </w:p>
        </w:tc>
        <w:tc>
          <w:tcPr>
            <w:tcW w:w="1144" w:type="dxa"/>
            <w:vAlign w:val="center"/>
          </w:tcPr>
          <w:p>
            <w:pPr>
              <w:spacing w:line="480" w:lineRule="exact"/>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23" w:hRule="atLeast"/>
        </w:trPr>
        <w:tc>
          <w:tcPr>
            <w:tcW w:w="1807" w:type="dxa"/>
            <w:vMerge w:val="restart"/>
            <w:vAlign w:val="center"/>
          </w:tcPr>
          <w:p>
            <w:pPr>
              <w:spacing w:line="480" w:lineRule="exact"/>
              <w:ind w:left="210" w:leftChars="100"/>
              <w:jc w:val="center"/>
              <w:rPr>
                <w:rFonts w:asciiTheme="minorEastAsia" w:hAnsiTheme="minorEastAsia"/>
                <w:sz w:val="28"/>
                <w:szCs w:val="28"/>
              </w:rPr>
            </w:pPr>
          </w:p>
        </w:tc>
        <w:tc>
          <w:tcPr>
            <w:tcW w:w="2895" w:type="dxa"/>
            <w:vAlign w:val="center"/>
          </w:tcPr>
          <w:p>
            <w:pPr>
              <w:spacing w:line="480" w:lineRule="exact"/>
              <w:ind w:left="210" w:leftChars="100"/>
              <w:jc w:val="center"/>
              <w:rPr>
                <w:rFonts w:asciiTheme="minorEastAsia" w:hAnsiTheme="minorEastAsia"/>
                <w:sz w:val="28"/>
                <w:szCs w:val="28"/>
              </w:rPr>
            </w:pPr>
          </w:p>
        </w:tc>
        <w:tc>
          <w:tcPr>
            <w:tcW w:w="2047" w:type="dxa"/>
            <w:tcMar>
              <w:top w:w="57" w:type="dxa"/>
              <w:left w:w="28" w:type="dxa"/>
              <w:bottom w:w="57" w:type="dxa"/>
              <w:right w:w="28" w:type="dxa"/>
            </w:tcMar>
            <w:vAlign w:val="center"/>
          </w:tcPr>
          <w:p>
            <w:pPr>
              <w:spacing w:line="480" w:lineRule="exact"/>
              <w:ind w:left="210" w:leftChars="100"/>
              <w:jc w:val="center"/>
              <w:rPr>
                <w:rFonts w:asciiTheme="minorEastAsia" w:hAnsiTheme="minorEastAsia"/>
                <w:b/>
                <w:sz w:val="28"/>
                <w:szCs w:val="28"/>
              </w:rPr>
            </w:pPr>
          </w:p>
        </w:tc>
        <w:tc>
          <w:tcPr>
            <w:tcW w:w="1144" w:type="dxa"/>
            <w:vAlign w:val="center"/>
          </w:tcPr>
          <w:p>
            <w:pPr>
              <w:spacing w:line="480" w:lineRule="exact"/>
              <w:ind w:left="210" w:leftChars="100"/>
              <w:jc w:val="center"/>
              <w:rPr>
                <w:rFonts w:asciiTheme="minorEastAsia" w:hAnsiTheme="minorEastAsia"/>
                <w:b/>
                <w:sz w:val="28"/>
                <w:szCs w:val="28"/>
              </w:rPr>
            </w:pPr>
          </w:p>
        </w:tc>
        <w:tc>
          <w:tcPr>
            <w:tcW w:w="1144" w:type="dxa"/>
            <w:vAlign w:val="center"/>
          </w:tcPr>
          <w:p>
            <w:pPr>
              <w:spacing w:line="480" w:lineRule="exact"/>
              <w:ind w:left="210" w:leftChars="100"/>
              <w:jc w:val="center"/>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43" w:hRule="atLeast"/>
        </w:trPr>
        <w:tc>
          <w:tcPr>
            <w:tcW w:w="1807" w:type="dxa"/>
            <w:vMerge w:val="continue"/>
            <w:vAlign w:val="center"/>
          </w:tcPr>
          <w:p>
            <w:pPr>
              <w:spacing w:line="480" w:lineRule="exact"/>
              <w:ind w:left="210" w:leftChars="100"/>
              <w:jc w:val="center"/>
              <w:rPr>
                <w:rFonts w:asciiTheme="minorEastAsia" w:hAnsiTheme="minorEastAsia"/>
                <w:sz w:val="28"/>
                <w:szCs w:val="28"/>
              </w:rPr>
            </w:pPr>
          </w:p>
        </w:tc>
        <w:tc>
          <w:tcPr>
            <w:tcW w:w="7230" w:type="dxa"/>
            <w:gridSpan w:val="4"/>
            <w:vAlign w:val="center"/>
          </w:tcPr>
          <w:p>
            <w:pPr>
              <w:spacing w:line="480" w:lineRule="exact"/>
              <w:ind w:left="210" w:leftChars="100"/>
              <w:rPr>
                <w:rFonts w:hint="eastAsia" w:asciiTheme="minorEastAsia" w:hAnsiTheme="minorEastAsia"/>
                <w:sz w:val="28"/>
                <w:szCs w:val="28"/>
              </w:rPr>
            </w:pPr>
            <w:r>
              <w:rPr>
                <w:rFonts w:hint="eastAsia" w:asciiTheme="minorEastAsia" w:hAnsiTheme="minorEastAsia"/>
                <w:sz w:val="28"/>
                <w:szCs w:val="28"/>
              </w:rPr>
              <w:t>（大写）</w:t>
            </w:r>
          </w:p>
        </w:tc>
      </w:tr>
    </w:tbl>
    <w:p>
      <w:pPr>
        <w:spacing w:line="500" w:lineRule="exact"/>
        <w:rPr>
          <w:rFonts w:ascii="宋体" w:hAnsi="宋体" w:eastAsia="宋体" w:cs="宋体"/>
          <w:b/>
          <w:bCs/>
        </w:rPr>
      </w:pPr>
      <w:r>
        <w:rPr>
          <w:rFonts w:hint="eastAsia" w:ascii="宋体" w:hAnsi="宋体" w:eastAsia="宋体" w:cs="宋体"/>
        </w:rPr>
        <w:t xml:space="preserve">注： </w:t>
      </w:r>
      <w:r>
        <w:rPr>
          <w:rFonts w:hint="eastAsia" w:ascii="宋体" w:hAnsi="宋体" w:eastAsia="宋体" w:cs="宋体"/>
          <w:b/>
          <w:bCs/>
        </w:rPr>
        <w:t>1、本表各供应商应加盖单位公章后手持，用于磋商后现场二次报价。</w:t>
      </w:r>
    </w:p>
    <w:p>
      <w:pPr>
        <w:spacing w:line="500" w:lineRule="exact"/>
        <w:ind w:firstLine="630" w:firstLineChars="300"/>
        <w:rPr>
          <w:rFonts w:ascii="宋体" w:hAnsi="宋体" w:eastAsia="宋体" w:cs="宋体"/>
        </w:rPr>
      </w:pPr>
      <w:r>
        <w:rPr>
          <w:rFonts w:hint="eastAsia" w:ascii="宋体" w:hAnsi="宋体" w:eastAsia="宋体" w:cs="宋体"/>
        </w:rPr>
        <w:t>2、该报价一次报死，不受市场因素的影响。</w:t>
      </w:r>
    </w:p>
    <w:p>
      <w:pPr>
        <w:spacing w:line="500" w:lineRule="exact"/>
        <w:ind w:firstLine="630" w:firstLineChars="300"/>
        <w:rPr>
          <w:rFonts w:ascii="宋体" w:hAnsi="宋体" w:eastAsia="宋体" w:cs="宋体"/>
        </w:rPr>
      </w:pPr>
      <w:r>
        <w:rPr>
          <w:rFonts w:hint="eastAsia" w:ascii="宋体" w:hAnsi="宋体" w:eastAsia="宋体" w:cs="宋体"/>
        </w:rPr>
        <w:t>3、本表价格应按磋商后总价填写。</w:t>
      </w:r>
    </w:p>
    <w:p>
      <w:pPr>
        <w:spacing w:line="500" w:lineRule="exact"/>
        <w:ind w:firstLine="630" w:firstLineChars="300"/>
        <w:rPr>
          <w:rFonts w:ascii="宋体" w:hAnsi="宋体" w:eastAsia="宋体" w:cs="宋体"/>
          <w:sz w:val="24"/>
          <w:szCs w:val="24"/>
        </w:rPr>
      </w:pPr>
      <w:r>
        <w:rPr>
          <w:rFonts w:hint="eastAsia" w:ascii="宋体" w:hAnsi="宋体" w:eastAsia="宋体" w:cs="宋体"/>
        </w:rPr>
        <w:t xml:space="preserve"> 4、报价精确到小数点后两位。                               </w:t>
      </w:r>
      <w:r>
        <w:rPr>
          <w:rFonts w:hint="eastAsia" w:ascii="宋体" w:hAnsi="宋体" w:eastAsia="宋体" w:cs="宋体"/>
          <w:sz w:val="24"/>
          <w:szCs w:val="24"/>
        </w:rPr>
        <w:t xml:space="preserve"> </w:t>
      </w:r>
    </w:p>
    <w:p>
      <w:pPr>
        <w:spacing w:line="500" w:lineRule="exact"/>
        <w:ind w:firstLine="720" w:firstLineChars="300"/>
        <w:rPr>
          <w:rFonts w:ascii="宋体" w:hAnsi="宋体" w:eastAsia="宋体" w:cs="宋体"/>
          <w:sz w:val="24"/>
          <w:szCs w:val="24"/>
        </w:rPr>
      </w:pPr>
    </w:p>
    <w:p>
      <w:pPr>
        <w:spacing w:line="500" w:lineRule="exact"/>
        <w:ind w:firstLine="720" w:firstLineChars="300"/>
        <w:rPr>
          <w:rFonts w:ascii="宋体" w:hAnsi="宋体" w:eastAsia="宋体" w:cs="宋体"/>
          <w:sz w:val="24"/>
          <w:szCs w:val="24"/>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spacing w:line="500" w:lineRule="exact"/>
        <w:ind w:firstLine="2625" w:firstLineChars="1250"/>
        <w:rPr>
          <w:rFonts w:asciiTheme="minorEastAsia" w:hAnsiTheme="minorEastAsia"/>
        </w:rPr>
      </w:pPr>
    </w:p>
    <w:sectPr>
      <w:headerReference r:id="rId35" w:type="first"/>
      <w:footerReference r:id="rId37" w:type="first"/>
      <w:headerReference r:id="rId34" w:type="default"/>
      <w:footerReference r:id="rId36" w:type="default"/>
      <w:endnotePr>
        <w:numFmt w:val="decimal"/>
      </w:endnotePr>
      <w:pgSz w:w="11907" w:h="16840"/>
      <w:pgMar w:top="1418" w:right="992" w:bottom="1418" w:left="1418" w:header="851" w:footer="1021"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2010609060101010101"/>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新宋体" w:hAnsi="新宋体" w:eastAsia="新宋体" w:cs="新宋体"/>
        <w:sz w:val="48"/>
        <w:szCs w:val="48"/>
      </w:rPr>
    </w:pPr>
    <w:r>
      <w:rPr>
        <w:sz w:val="48"/>
      </w:rPr>
      <w:pict>
        <v:shape id="文本框 36" o:spid="_x0000_s4097" o:spt="202" type="#_x0000_t202" style="position:absolute;left:0pt;margin-top:0pt;height:144pt;width:15.85pt;mso-position-horizontal:center;mso-position-horizontal-relative:margin;z-index:251660288;mso-width-relative:page;mso-height-relative:page;" filled="f" stroked="f" coordsize="21600,21600">
          <v:path/>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7968654"/>
                            <w:docPartObj>
                              <w:docPartGallery w:val="autotext"/>
                            </w:docPartObj>
                          </w:sdtPr>
                          <w:sdtContent>
                            <w:p>
                              <w:pPr>
                                <w:pStyle w:val="15"/>
                                <w:jc w:val="center"/>
                              </w:pPr>
                              <w:r>
                                <w:fldChar w:fldCharType="begin"/>
                              </w:r>
                              <w:r>
                                <w:instrText xml:space="preserve">PAGE   \* MERGEFORMAT</w:instrText>
                              </w:r>
                              <w:r>
                                <w:fldChar w:fldCharType="separate"/>
                              </w:r>
                              <w:r>
                                <w:rPr>
                                  <w:lang w:val="zh-CN"/>
                                </w:rPr>
                                <w:t>51</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557968654"/>
                      <w:docPartObj>
                        <w:docPartGallery w:val="autotext"/>
                      </w:docPartObj>
                    </w:sdtPr>
                    <w:sdtContent>
                      <w:p>
                        <w:pPr>
                          <w:pStyle w:val="15"/>
                          <w:jc w:val="center"/>
                        </w:pPr>
                        <w:r>
                          <w:fldChar w:fldCharType="begin"/>
                        </w:r>
                        <w:r>
                          <w:instrText xml:space="preserve">PAGE   \* MERGEFORMAT</w:instrText>
                        </w:r>
                        <w:r>
                          <w:fldChar w:fldCharType="separate"/>
                        </w:r>
                        <w:r>
                          <w:rPr>
                            <w:lang w:val="zh-CN"/>
                          </w:rPr>
                          <w:t>51</w:t>
                        </w:r>
                        <w:r>
                          <w:fldChar w:fldCharType="end"/>
                        </w:r>
                      </w:p>
                    </w:sdtContent>
                  </w:sdt>
                  <w:p>
                    <w:pPr>
                      <w:pStyle w:val="7"/>
                    </w:pPr>
                  </w:p>
                </w:txbxContent>
              </v:textbox>
            </v:shape>
          </w:pict>
        </mc:Fallback>
      </mc:AlternateContent>
    </w:r>
  </w:p>
  <w:p>
    <w:pPr>
      <w:pStyle w:val="1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90237996"/>
                            <w:docPartObj>
                              <w:docPartGallery w:val="autotext"/>
                            </w:docPartObj>
                          </w:sdtPr>
                          <w:sdtContent>
                            <w:p>
                              <w:pPr>
                                <w:pStyle w:val="15"/>
                                <w:jc w:val="center"/>
                              </w:pPr>
                              <w:r>
                                <w:fldChar w:fldCharType="begin"/>
                              </w:r>
                              <w:r>
                                <w:instrText xml:space="preserve">PAGE   \* MERGEFORMAT</w:instrText>
                              </w:r>
                              <w:r>
                                <w:fldChar w:fldCharType="separate"/>
                              </w:r>
                              <w:r>
                                <w:rPr>
                                  <w:lang w:val="zh-CN"/>
                                </w:rPr>
                                <w:t>52</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790237996"/>
                      <w:docPartObj>
                        <w:docPartGallery w:val="autotext"/>
                      </w:docPartObj>
                    </w:sdtPr>
                    <w:sdtContent>
                      <w:p>
                        <w:pPr>
                          <w:pStyle w:val="15"/>
                          <w:jc w:val="center"/>
                        </w:pPr>
                        <w:r>
                          <w:fldChar w:fldCharType="begin"/>
                        </w:r>
                        <w:r>
                          <w:instrText xml:space="preserve">PAGE   \* MERGEFORMAT</w:instrText>
                        </w:r>
                        <w:r>
                          <w:fldChar w:fldCharType="separate"/>
                        </w:r>
                        <w:r>
                          <w:rPr>
                            <w:lang w:val="zh-CN"/>
                          </w:rPr>
                          <w:t>52</w:t>
                        </w:r>
                        <w:r>
                          <w:fldChar w:fldCharType="end"/>
                        </w:r>
                      </w:p>
                    </w:sdtContent>
                  </w:sdt>
                  <w:p>
                    <w:pPr>
                      <w:pStyle w:val="7"/>
                    </w:pPr>
                  </w:p>
                </w:txbxContent>
              </v:textbox>
            </v:shape>
          </w:pict>
        </mc:Fallback>
      </mc:AlternateContent>
    </w:r>
  </w:p>
  <w:p>
    <w:pPr>
      <w:pStyle w:val="15"/>
      <w:jc w:val="center"/>
      <w:rPr>
        <w:rStyle w:val="27"/>
        <w:rFonts w:ascii="宋体"/>
        <w:b/>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7026043"/>
                            <w:docPartObj>
                              <w:docPartGallery w:val="autotext"/>
                            </w:docPartObj>
                          </w:sdtPr>
                          <w:sdtContent>
                            <w:p>
                              <w:pPr>
                                <w:pStyle w:val="15"/>
                                <w:jc w:val="center"/>
                              </w:pPr>
                              <w:r>
                                <w:fldChar w:fldCharType="begin"/>
                              </w:r>
                              <w:r>
                                <w:instrText xml:space="preserve">PAGE   \* MERGEFORMAT</w:instrText>
                              </w:r>
                              <w:r>
                                <w:fldChar w:fldCharType="separate"/>
                              </w:r>
                              <w:r>
                                <w:rPr>
                                  <w:lang w:val="zh-CN"/>
                                </w:rPr>
                                <w:t>54</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547026043"/>
                      <w:docPartObj>
                        <w:docPartGallery w:val="autotext"/>
                      </w:docPartObj>
                    </w:sdtPr>
                    <w:sdtContent>
                      <w:p>
                        <w:pPr>
                          <w:pStyle w:val="15"/>
                          <w:jc w:val="center"/>
                        </w:pPr>
                        <w:r>
                          <w:fldChar w:fldCharType="begin"/>
                        </w:r>
                        <w:r>
                          <w:instrText xml:space="preserve">PAGE   \* MERGEFORMAT</w:instrText>
                        </w:r>
                        <w:r>
                          <w:fldChar w:fldCharType="separate"/>
                        </w:r>
                        <w:r>
                          <w:rPr>
                            <w:lang w:val="zh-CN"/>
                          </w:rPr>
                          <w:t>54</w:t>
                        </w:r>
                        <w:r>
                          <w:fldChar w:fldCharType="end"/>
                        </w:r>
                      </w:p>
                    </w:sdtContent>
                  </w:sdt>
                  <w:p>
                    <w:pPr>
                      <w:pStyle w:val="7"/>
                    </w:pPr>
                  </w:p>
                </w:txbxContent>
              </v:textbox>
            </v:shape>
          </w:pict>
        </mc:Fallback>
      </mc:AlternateContent>
    </w:r>
  </w:p>
  <w:p>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504036"/>
                            <w:docPartObj>
                              <w:docPartGallery w:val="autotext"/>
                            </w:docPartObj>
                          </w:sdtPr>
                          <w:sdtContent>
                            <w:p>
                              <w:pPr>
                                <w:pStyle w:val="15"/>
                                <w:jc w:val="center"/>
                              </w:pPr>
                              <w:r>
                                <w:fldChar w:fldCharType="begin"/>
                              </w:r>
                              <w:r>
                                <w:instrText xml:space="preserve">PAGE   \* MERGEFORMAT</w:instrText>
                              </w:r>
                              <w:r>
                                <w:fldChar w:fldCharType="separate"/>
                              </w:r>
                              <w:r>
                                <w:rPr>
                                  <w:lang w:val="zh-CN"/>
                                </w:rPr>
                                <w:t>55</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3504036"/>
                      <w:docPartObj>
                        <w:docPartGallery w:val="autotext"/>
                      </w:docPartObj>
                    </w:sdtPr>
                    <w:sdtContent>
                      <w:p>
                        <w:pPr>
                          <w:pStyle w:val="15"/>
                          <w:jc w:val="center"/>
                        </w:pPr>
                        <w:r>
                          <w:fldChar w:fldCharType="begin"/>
                        </w:r>
                        <w:r>
                          <w:instrText xml:space="preserve">PAGE   \* MERGEFORMAT</w:instrText>
                        </w:r>
                        <w:r>
                          <w:fldChar w:fldCharType="separate"/>
                        </w:r>
                        <w:r>
                          <w:rPr>
                            <w:lang w:val="zh-CN"/>
                          </w:rPr>
                          <w:t>55</w:t>
                        </w:r>
                        <w:r>
                          <w:fldChar w:fldCharType="end"/>
                        </w:r>
                      </w:p>
                    </w:sdtContent>
                  </w:sdt>
                  <w:p>
                    <w:pPr>
                      <w:pStyle w:val="7"/>
                    </w:pPr>
                  </w:p>
                </w:txbxContent>
              </v:textbox>
            </v:shape>
          </w:pict>
        </mc:Fallback>
      </mc:AlternateContent>
    </w:r>
  </w:p>
  <w:p>
    <w:pPr>
      <w:spacing w:line="280" w:lineRule="exact"/>
      <w:jc w:val="center"/>
      <w:rPr>
        <w:b/>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0041197"/>
                            <w:docPartObj>
                              <w:docPartGallery w:val="autotext"/>
                            </w:docPartObj>
                          </w:sdtPr>
                          <w:sdtContent>
                            <w:p>
                              <w:pPr>
                                <w:pStyle w:val="15"/>
                                <w:jc w:val="center"/>
                              </w:pPr>
                              <w:r>
                                <w:fldChar w:fldCharType="begin"/>
                              </w:r>
                              <w:r>
                                <w:instrText xml:space="preserve">PAGE   \* MERGEFORMAT</w:instrText>
                              </w:r>
                              <w:r>
                                <w:fldChar w:fldCharType="separate"/>
                              </w:r>
                              <w:r>
                                <w:rPr>
                                  <w:lang w:val="zh-CN"/>
                                </w:rPr>
                                <w:t>56</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2080041197"/>
                      <w:docPartObj>
                        <w:docPartGallery w:val="autotext"/>
                      </w:docPartObj>
                    </w:sdtPr>
                    <w:sdtContent>
                      <w:p>
                        <w:pPr>
                          <w:pStyle w:val="15"/>
                          <w:jc w:val="center"/>
                        </w:pPr>
                        <w:r>
                          <w:fldChar w:fldCharType="begin"/>
                        </w:r>
                        <w:r>
                          <w:instrText xml:space="preserve">PAGE   \* MERGEFORMAT</w:instrText>
                        </w:r>
                        <w:r>
                          <w:fldChar w:fldCharType="separate"/>
                        </w:r>
                        <w:r>
                          <w:rPr>
                            <w:lang w:val="zh-CN"/>
                          </w:rPr>
                          <w:t>56</w:t>
                        </w:r>
                        <w:r>
                          <w:fldChar w:fldCharType="end"/>
                        </w:r>
                      </w:p>
                    </w:sdtContent>
                  </w:sdt>
                  <w:p>
                    <w:pPr>
                      <w:pStyle w:val="7"/>
                    </w:pPr>
                  </w:p>
                </w:txbxContent>
              </v:textbox>
            </v:shape>
          </w:pict>
        </mc:Fallback>
      </mc:AlternateContent>
    </w:r>
  </w:p>
  <w:p>
    <w:pPr>
      <w:spacing w:line="280" w:lineRule="exact"/>
      <w:jc w:val="center"/>
      <w:rPr>
        <w:b/>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5471630"/>
                            <w:docPartObj>
                              <w:docPartGallery w:val="autotext"/>
                            </w:docPartObj>
                          </w:sdtPr>
                          <w:sdtContent>
                            <w:p>
                              <w:pPr>
                                <w:pStyle w:val="15"/>
                                <w:jc w:val="center"/>
                              </w:pPr>
                              <w:r>
                                <w:fldChar w:fldCharType="begin"/>
                              </w:r>
                              <w:r>
                                <w:instrText xml:space="preserve">PAGE   \* MERGEFORMAT</w:instrText>
                              </w:r>
                              <w:r>
                                <w:fldChar w:fldCharType="separate"/>
                              </w:r>
                              <w:r>
                                <w:rPr>
                                  <w:lang w:val="zh-CN"/>
                                </w:rPr>
                                <w:t>59</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955471630"/>
                      <w:docPartObj>
                        <w:docPartGallery w:val="autotext"/>
                      </w:docPartObj>
                    </w:sdtPr>
                    <w:sdtContent>
                      <w:p>
                        <w:pPr>
                          <w:pStyle w:val="15"/>
                          <w:jc w:val="center"/>
                        </w:pPr>
                        <w:r>
                          <w:fldChar w:fldCharType="begin"/>
                        </w:r>
                        <w:r>
                          <w:instrText xml:space="preserve">PAGE   \* MERGEFORMAT</w:instrText>
                        </w:r>
                        <w:r>
                          <w:fldChar w:fldCharType="separate"/>
                        </w:r>
                        <w:r>
                          <w:rPr>
                            <w:lang w:val="zh-CN"/>
                          </w:rPr>
                          <w:t>59</w:t>
                        </w:r>
                        <w:r>
                          <w:fldChar w:fldCharType="end"/>
                        </w:r>
                      </w:p>
                    </w:sdtContent>
                  </w:sdt>
                  <w:p>
                    <w:pPr>
                      <w:pStyle w:val="7"/>
                    </w:pPr>
                  </w:p>
                </w:txbxContent>
              </v:textbox>
            </v:shape>
          </w:pict>
        </mc:Fallback>
      </mc:AlternateContent>
    </w:r>
  </w:p>
  <w:p>
    <w:pP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3246750"/>
                            <w:docPartObj>
                              <w:docPartGallery w:val="autotext"/>
                            </w:docPartObj>
                          </w:sdtPr>
                          <w:sdtContent>
                            <w:p>
                              <w:pPr>
                                <w:pStyle w:val="15"/>
                                <w:jc w:val="center"/>
                              </w:pPr>
                              <w:r>
                                <w:fldChar w:fldCharType="begin"/>
                              </w:r>
                              <w:r>
                                <w:instrText xml:space="preserve">PAGE   \* MERGEFORMAT</w:instrText>
                              </w:r>
                              <w:r>
                                <w:fldChar w:fldCharType="separate"/>
                              </w:r>
                              <w:r>
                                <w:rPr>
                                  <w:lang w:val="zh-CN"/>
                                </w:rPr>
                                <w:t>57</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613246750"/>
                      <w:docPartObj>
                        <w:docPartGallery w:val="autotext"/>
                      </w:docPartObj>
                    </w:sdtPr>
                    <w:sdtContent>
                      <w:p>
                        <w:pPr>
                          <w:pStyle w:val="15"/>
                          <w:jc w:val="center"/>
                        </w:pPr>
                        <w:r>
                          <w:fldChar w:fldCharType="begin"/>
                        </w:r>
                        <w:r>
                          <w:instrText xml:space="preserve">PAGE   \* MERGEFORMAT</w:instrText>
                        </w:r>
                        <w:r>
                          <w:fldChar w:fldCharType="separate"/>
                        </w:r>
                        <w:r>
                          <w:rPr>
                            <w:lang w:val="zh-CN"/>
                          </w:rPr>
                          <w:t>57</w:t>
                        </w:r>
                        <w:r>
                          <w:fldChar w:fldCharType="end"/>
                        </w:r>
                      </w:p>
                    </w:sdtContent>
                  </w:sdt>
                  <w:p>
                    <w:pPr>
                      <w:pStyle w:val="7"/>
                    </w:pPr>
                  </w:p>
                </w:txbxContent>
              </v:textbox>
            </v:shape>
          </w:pict>
        </mc:Fallback>
      </mc:AlternateContent>
    </w:r>
  </w:p>
  <w:p>
    <w:pPr>
      <w:spacing w:line="280" w:lineRule="exact"/>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01633729"/>
                            <w:docPartObj>
                              <w:docPartGallery w:val="autotext"/>
                            </w:docPartObj>
                          </w:sdtPr>
                          <w:sdtContent>
                            <w:p>
                              <w:pPr>
                                <w:pStyle w:val="15"/>
                                <w:jc w:val="center"/>
                              </w:pPr>
                              <w:r>
                                <w:fldChar w:fldCharType="begin"/>
                              </w:r>
                              <w:r>
                                <w:instrText xml:space="preserve">PAGE   \* MERGEFORMAT</w:instrText>
                              </w:r>
                              <w:r>
                                <w:fldChar w:fldCharType="separate"/>
                              </w:r>
                              <w:r>
                                <w:rPr>
                                  <w:lang w:val="zh-CN"/>
                                </w:rPr>
                                <w:t>35</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901633729"/>
                      <w:docPartObj>
                        <w:docPartGallery w:val="autotext"/>
                      </w:docPartObj>
                    </w:sdtPr>
                    <w:sdtContent>
                      <w:p>
                        <w:pPr>
                          <w:pStyle w:val="15"/>
                          <w:jc w:val="center"/>
                        </w:pPr>
                        <w:r>
                          <w:fldChar w:fldCharType="begin"/>
                        </w:r>
                        <w:r>
                          <w:instrText xml:space="preserve">PAGE   \* MERGEFORMAT</w:instrText>
                        </w:r>
                        <w:r>
                          <w:fldChar w:fldCharType="separate"/>
                        </w:r>
                        <w:r>
                          <w:rPr>
                            <w:lang w:val="zh-CN"/>
                          </w:rPr>
                          <w:t>35</w:t>
                        </w:r>
                        <w:r>
                          <w:fldChar w:fldCharType="end"/>
                        </w:r>
                      </w:p>
                    </w:sdtContent>
                  </w:sdt>
                  <w:p>
                    <w:pPr>
                      <w:pStyle w:val="7"/>
                    </w:pPr>
                  </w:p>
                </w:txbxContent>
              </v:textbox>
            </v:shape>
          </w:pict>
        </mc:Fallback>
      </mc:AlternateContent>
    </w:r>
  </w:p>
  <w:p>
    <w:pPr>
      <w:jc w:val="center"/>
      <w:rPr>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43783608"/>
                            <w:docPartObj>
                              <w:docPartGallery w:val="autotext"/>
                            </w:docPartObj>
                          </w:sdtPr>
                          <w:sdtContent>
                            <w:p>
                              <w:pPr>
                                <w:pStyle w:val="15"/>
                                <w:jc w:val="center"/>
                              </w:pPr>
                              <w:r>
                                <w:fldChar w:fldCharType="begin"/>
                              </w:r>
                              <w:r>
                                <w:instrText xml:space="preserve">PAGE   \* MERGEFORMAT</w:instrText>
                              </w:r>
                              <w:r>
                                <w:fldChar w:fldCharType="separate"/>
                              </w:r>
                              <w:r>
                                <w:rPr>
                                  <w:lang w:val="zh-CN"/>
                                </w:rPr>
                                <w:t>41</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043783608"/>
                      <w:docPartObj>
                        <w:docPartGallery w:val="autotext"/>
                      </w:docPartObj>
                    </w:sdtPr>
                    <w:sdtContent>
                      <w:p>
                        <w:pPr>
                          <w:pStyle w:val="15"/>
                          <w:jc w:val="center"/>
                        </w:pPr>
                        <w:r>
                          <w:fldChar w:fldCharType="begin"/>
                        </w:r>
                        <w:r>
                          <w:instrText xml:space="preserve">PAGE   \* MERGEFORMAT</w:instrText>
                        </w:r>
                        <w:r>
                          <w:fldChar w:fldCharType="separate"/>
                        </w:r>
                        <w:r>
                          <w:rPr>
                            <w:lang w:val="zh-CN"/>
                          </w:rPr>
                          <w:t>41</w:t>
                        </w:r>
                        <w:r>
                          <w:fldChar w:fldCharType="end"/>
                        </w:r>
                      </w:p>
                    </w:sdtContent>
                  </w:sdt>
                  <w:p>
                    <w:pPr>
                      <w:pStyle w:val="7"/>
                    </w:pPr>
                  </w:p>
                </w:txbxContent>
              </v:textbox>
            </v:shape>
          </w:pict>
        </mc:Fallback>
      </mc:AlternateContent>
    </w: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新宋体" w:hAnsi="新宋体" w:eastAsia="新宋体" w:cs="新宋体"/>
        <w:sz w:val="48"/>
        <w:szCs w:val="48"/>
      </w:rPr>
    </w:pPr>
    <w:r>
      <w:rPr>
        <w:sz w:val="4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12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1295"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15.85pt;mso-position-horizontal:center;mso-position-horizontal-relative:margin;z-index:251660288;mso-width-relative:page;mso-height-relative:page;" filled="f" stroked="f" coordsize="21600,21600" o:gfxdata="UEsDBAoAAAAAAIdO4kAAAAAAAAAAAAAAAAAEAAAAZHJzL1BLAwQUAAAACACHTuJAZT1AX9IAAAAE&#10;AQAADwAAAGRycy9kb3ducmV2LnhtbE2PsU7EMBBEeyT+wVokGsTZDtIRQpwrEDR0HDR0vnhJIux1&#10;FO8l4b4eQwPNSqMZzbytd2vwYsYpDZEM6I0CgdRGN1Bn4O316boEkdiSsz4SGvjCBLvm/Ky2lYsL&#10;veC8507kEkqVNdAzj5WUqe0x2LSJI1L2PuIULGc5ddJNdsnlwctCqa0MdqC80NsRH3psP/fHYGC7&#10;Po5Xz3dYLKfWz/R+0ppRG3N5odU9CMaV/8Lwg5/RoclMh3gkl4Q3kB/h35u9G30L4mCgKEsFsqnl&#10;f/jmG1BLAwQUAAAACACHTuJA/qQPwMUBAACMAwAADgAAAGRycy9lMm9Eb2MueG1srVNLbtswEN0X&#10;yB0I7mPKBlK4guWghZGgQNEWSHMAmiItAvyBQ1vyBdobdNVN9z2Xz9EhJTttusmiG2o0M3rz3uNo&#10;dTtYQw4ygvauofNZRYl0wrfa7Rr6+OXuekkJJO5abryTDT1KoLfrq1erPtRy4TtvWhkJgjio+9DQ&#10;LqVQMwaik5bDzAfpsKh8tDzha9yxNvIe0a1hi6p6zXof2xC9kACY3YxFOiHGlwB6pbSQGy/2Vro0&#10;okZpeEJJ0OkAdF3YKiVF+qQUyERMQ1FpKicOwXibT7Ze8XoXeei0mCjwl1B4psly7XDoBWrDEyf7&#10;qP+BslpED16lmfCWjUKKI6hiXj3z5qHjQRYtaDWEi+nw/2DFx8PnSHSLm0CJ4xYv/PT92+nHr9PP&#10;r2Se7ekD1Nj1ELAvDe/8kFunPGAyqx5UtPmJegjW0dzjxVw5JCIwifoWb24oEViaLxfLZVXcZ09f&#10;hwjpXnpLctDQiJdXPOWHD5BwIraeW/Iw5++0MeUCjfsrgY05wzL1kWKO0rAdJt5b3x5Rjnnv0Mq8&#10;FucgnoPtOdiHqHdd2Zs8A8LbfcLBhU9GHaGmYXhJhea0UHkL/nwvXU8/0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T1AX9IAAAAEAQAADwAAAAAAAAABACAAAAAiAAAAZHJzL2Rvd25yZXYueG1s&#10;UEsBAhQAFAAAAAgAh07iQP6kD8DFAQAAjAMAAA4AAAAAAAAAAQAgAAAAIQ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ind w:firstLine="3060" w:firstLineChars="1700"/>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r>
      <w:rPr>
        <w:rFonts w:hint="eastAsia" w:ascii="宋体" w:hAnsi="宋体"/>
        <w:b/>
        <w:szCs w:val="21"/>
        <w:u w:val="single"/>
      </w:rPr>
      <w:t>宝鸡市金台区蟠龙镇卫生院医用DR及影像系统采购项目               项目编号:ZBZB-2018-</w:t>
    </w:r>
    <w:r>
      <w:rPr>
        <w:rFonts w:hint="eastAsia" w:ascii="宋体" w:hAnsi="宋体" w:eastAsia="宋体"/>
        <w:b/>
        <w:szCs w:val="21"/>
        <w:u w:val="single"/>
      </w:rPr>
      <w:t>755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宋体" w:hAnsi="宋体"/>
        <w:b/>
        <w:szCs w:val="21"/>
        <w:u w:val="single"/>
        <w:shd w:val="pct10" w:color="auto" w:fill="FFFFFF"/>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firstLine="422" w:firstLineChars="200"/>
      <w:rPr>
        <w:rFonts w:ascii="宋体" w:hAnsi="宋体" w:eastAsia="宋体" w:cs="宋体"/>
        <w:b/>
        <w:szCs w:val="21"/>
        <w:shd w:val="pct10" w:color="auto" w:fill="FFFFFF"/>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distribute"/>
    </w:pPr>
    <w:r>
      <w:rPr>
        <w:rFonts w:hint="eastAsia" w:ascii="宋体" w:hAnsi="宋体"/>
        <w:b/>
        <w:szCs w:val="21"/>
        <w:u w:val="single"/>
        <w:shd w:val="pct10" w:color="auto" w:fill="FFFFFF"/>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eastAsia="宋体" w:cs="宋体"/>
        <w:b/>
        <w:szCs w:val="21"/>
        <w:u w:val="single"/>
        <w:shd w:val="pct10" w:color="auto" w:fill="FFFFF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rPr>
        <w:rFonts w:hint="eastAsia" w:ascii="宋体" w:hAnsi="宋体" w:eastAsia="宋体" w:cs="宋体"/>
        <w:bCs/>
        <w:szCs w:val="21"/>
        <w:u w:val="single"/>
      </w:rPr>
    </w:pPr>
    <w:r>
      <w:rPr>
        <w:rFonts w:hint="eastAsia" w:ascii="宋体" w:hAnsi="宋体" w:cs="宋体"/>
        <w:color w:val="auto"/>
        <w:sz w:val="15"/>
        <w:szCs w:val="15"/>
        <w:lang w:val="en-US" w:eastAsia="zh-CN"/>
      </w:rPr>
      <w:t xml:space="preserve">  </w:t>
    </w:r>
    <w:r>
      <w:rPr>
        <w:rFonts w:hint="eastAsia" w:ascii="宋体" w:hAnsi="宋体" w:eastAsia="宋体" w:cs="宋体"/>
        <w:bCs/>
        <w:szCs w:val="21"/>
        <w:u w:val="single"/>
        <w:lang w:val="en-US" w:eastAsia="zh-CN"/>
      </w:rPr>
      <w:t>眉县燃气专项规划项目</w:t>
    </w:r>
    <w:r>
      <w:rPr>
        <w:rFonts w:hint="eastAsia" w:ascii="宋体" w:hAnsi="宋体" w:eastAsia="宋体" w:cs="宋体"/>
        <w:bCs/>
        <w:szCs w:val="21"/>
        <w:u w:val="single"/>
      </w:rPr>
      <w:t xml:space="preserve">                          竞争性磋商文件</w:t>
    </w:r>
  </w:p>
  <w:p>
    <w:pPr>
      <w:pStyle w:val="16"/>
      <w:pBdr>
        <w:bottom w:val="none" w:color="auto" w:sz="0" w:space="1"/>
      </w:pBdr>
      <w:jc w:val="both"/>
      <w:rPr>
        <w:rFonts w:hint="eastAsia" w:eastAsia="宋体"/>
        <w:sz w:val="15"/>
        <w:szCs w:val="15"/>
        <w:lang w:eastAsia="zh-CN"/>
      </w:rPr>
    </w:pPr>
    <w:r>
      <w:rPr>
        <w:rFonts w:hint="eastAsia" w:ascii="宋体" w:hAnsi="宋体" w:cs="宋体"/>
        <w:color w:val="auto"/>
        <w:sz w:val="15"/>
        <w:szCs w:val="15"/>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sz w:val="15"/>
        <w:szCs w:val="15"/>
      </w:rPr>
    </w:pPr>
    <w:r>
      <w:rPr>
        <w:rFonts w:hint="eastAsia" w:ascii="宋体" w:hAnsi="宋体" w:cs="宋体"/>
        <w:sz w:val="15"/>
        <w:szCs w:val="15"/>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宋体" w:hAnsi="宋体"/>
        <w:b/>
        <w:szCs w:val="21"/>
        <w:u w:val="single"/>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8782"/>
    <w:multiLevelType w:val="singleLevel"/>
    <w:tmpl w:val="AAF98782"/>
    <w:lvl w:ilvl="0" w:tentative="0">
      <w:start w:val="1"/>
      <w:numFmt w:val="decimal"/>
      <w:suff w:val="nothing"/>
      <w:lvlText w:val="%1、"/>
      <w:lvlJc w:val="left"/>
    </w:lvl>
  </w:abstractNum>
  <w:abstractNum w:abstractNumId="1">
    <w:nsid w:val="D9A51E89"/>
    <w:multiLevelType w:val="singleLevel"/>
    <w:tmpl w:val="D9A51E89"/>
    <w:lvl w:ilvl="0" w:tentative="0">
      <w:start w:val="4"/>
      <w:numFmt w:val="chineseCounting"/>
      <w:suff w:val="space"/>
      <w:lvlText w:val="第%1部分"/>
      <w:lvlJc w:val="left"/>
      <w:rPr>
        <w:rFonts w:hint="eastAsia"/>
      </w:rPr>
    </w:lvl>
  </w:abstractNum>
  <w:abstractNum w:abstractNumId="2">
    <w:nsid w:val="738005FD"/>
    <w:multiLevelType w:val="singleLevel"/>
    <w:tmpl w:val="738005FD"/>
    <w:lvl w:ilvl="0" w:tentative="0">
      <w:start w:val="6"/>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MmQwZDA0NmY4ZTdlNTJjMTMzNTAxZDY4YTgwNjcifQ=="/>
  </w:docVars>
  <w:rsids>
    <w:rsidRoot w:val="00A13057"/>
    <w:rsid w:val="00001C7B"/>
    <w:rsid w:val="00001DDE"/>
    <w:rsid w:val="00002CF9"/>
    <w:rsid w:val="00004375"/>
    <w:rsid w:val="00005733"/>
    <w:rsid w:val="0001340F"/>
    <w:rsid w:val="00013EF1"/>
    <w:rsid w:val="000146AB"/>
    <w:rsid w:val="00015E89"/>
    <w:rsid w:val="00017C8C"/>
    <w:rsid w:val="00021A37"/>
    <w:rsid w:val="00021CFF"/>
    <w:rsid w:val="000246EB"/>
    <w:rsid w:val="00024D26"/>
    <w:rsid w:val="000268A7"/>
    <w:rsid w:val="00027E8A"/>
    <w:rsid w:val="000301AB"/>
    <w:rsid w:val="00031774"/>
    <w:rsid w:val="000343C0"/>
    <w:rsid w:val="0003549D"/>
    <w:rsid w:val="00035FAE"/>
    <w:rsid w:val="00036F80"/>
    <w:rsid w:val="00040524"/>
    <w:rsid w:val="000419E5"/>
    <w:rsid w:val="0004262D"/>
    <w:rsid w:val="00042E98"/>
    <w:rsid w:val="00042EF1"/>
    <w:rsid w:val="0004365A"/>
    <w:rsid w:val="00045392"/>
    <w:rsid w:val="00046BEF"/>
    <w:rsid w:val="000474A9"/>
    <w:rsid w:val="00054BA1"/>
    <w:rsid w:val="00054E1F"/>
    <w:rsid w:val="00055137"/>
    <w:rsid w:val="00055452"/>
    <w:rsid w:val="00055BE1"/>
    <w:rsid w:val="000602BF"/>
    <w:rsid w:val="00061433"/>
    <w:rsid w:val="0006584D"/>
    <w:rsid w:val="00066187"/>
    <w:rsid w:val="000668A9"/>
    <w:rsid w:val="00070F6F"/>
    <w:rsid w:val="00076E47"/>
    <w:rsid w:val="000770E5"/>
    <w:rsid w:val="00082234"/>
    <w:rsid w:val="00082823"/>
    <w:rsid w:val="00082FD5"/>
    <w:rsid w:val="00083E0D"/>
    <w:rsid w:val="00084A08"/>
    <w:rsid w:val="0008592F"/>
    <w:rsid w:val="00086F53"/>
    <w:rsid w:val="00093AE5"/>
    <w:rsid w:val="00096175"/>
    <w:rsid w:val="000B1AEB"/>
    <w:rsid w:val="000B4C47"/>
    <w:rsid w:val="000B5494"/>
    <w:rsid w:val="000B698C"/>
    <w:rsid w:val="000B7337"/>
    <w:rsid w:val="000C09E9"/>
    <w:rsid w:val="000C13A5"/>
    <w:rsid w:val="000C1AE6"/>
    <w:rsid w:val="000C1F30"/>
    <w:rsid w:val="000C7BA5"/>
    <w:rsid w:val="000D13F1"/>
    <w:rsid w:val="000D1620"/>
    <w:rsid w:val="000D1E2E"/>
    <w:rsid w:val="000D44A5"/>
    <w:rsid w:val="000D4FC0"/>
    <w:rsid w:val="000D769D"/>
    <w:rsid w:val="000D7C7F"/>
    <w:rsid w:val="000E044E"/>
    <w:rsid w:val="000E3B0B"/>
    <w:rsid w:val="000E5747"/>
    <w:rsid w:val="000F162E"/>
    <w:rsid w:val="000F2445"/>
    <w:rsid w:val="000F2471"/>
    <w:rsid w:val="000F352E"/>
    <w:rsid w:val="000F555A"/>
    <w:rsid w:val="000F7BAA"/>
    <w:rsid w:val="00101B86"/>
    <w:rsid w:val="0010203E"/>
    <w:rsid w:val="00104658"/>
    <w:rsid w:val="00104749"/>
    <w:rsid w:val="00107F3E"/>
    <w:rsid w:val="00112874"/>
    <w:rsid w:val="00114893"/>
    <w:rsid w:val="001169ED"/>
    <w:rsid w:val="001179D4"/>
    <w:rsid w:val="00120136"/>
    <w:rsid w:val="00126DAA"/>
    <w:rsid w:val="00127865"/>
    <w:rsid w:val="00130FFE"/>
    <w:rsid w:val="00131098"/>
    <w:rsid w:val="00131238"/>
    <w:rsid w:val="00131B8A"/>
    <w:rsid w:val="00132CBF"/>
    <w:rsid w:val="00133AE3"/>
    <w:rsid w:val="001361E1"/>
    <w:rsid w:val="00137D20"/>
    <w:rsid w:val="0014333C"/>
    <w:rsid w:val="00143623"/>
    <w:rsid w:val="001436EF"/>
    <w:rsid w:val="001443B4"/>
    <w:rsid w:val="00145697"/>
    <w:rsid w:val="00145F45"/>
    <w:rsid w:val="0014665A"/>
    <w:rsid w:val="001473AB"/>
    <w:rsid w:val="001504FC"/>
    <w:rsid w:val="0015063E"/>
    <w:rsid w:val="00151199"/>
    <w:rsid w:val="00151E7F"/>
    <w:rsid w:val="001550AC"/>
    <w:rsid w:val="00155973"/>
    <w:rsid w:val="00155C0D"/>
    <w:rsid w:val="0016097E"/>
    <w:rsid w:val="001639F7"/>
    <w:rsid w:val="00163AD5"/>
    <w:rsid w:val="0016500B"/>
    <w:rsid w:val="001656CD"/>
    <w:rsid w:val="00165BC9"/>
    <w:rsid w:val="001663D7"/>
    <w:rsid w:val="001664C1"/>
    <w:rsid w:val="00170944"/>
    <w:rsid w:val="00173006"/>
    <w:rsid w:val="00174B09"/>
    <w:rsid w:val="0017512F"/>
    <w:rsid w:val="00176859"/>
    <w:rsid w:val="00176ED4"/>
    <w:rsid w:val="00177C34"/>
    <w:rsid w:val="001837B9"/>
    <w:rsid w:val="0018467E"/>
    <w:rsid w:val="00185887"/>
    <w:rsid w:val="001922A1"/>
    <w:rsid w:val="00193F95"/>
    <w:rsid w:val="00196AA2"/>
    <w:rsid w:val="00196F0B"/>
    <w:rsid w:val="001A2A65"/>
    <w:rsid w:val="001A6554"/>
    <w:rsid w:val="001A6F37"/>
    <w:rsid w:val="001B04D9"/>
    <w:rsid w:val="001B5099"/>
    <w:rsid w:val="001C53EC"/>
    <w:rsid w:val="001C7104"/>
    <w:rsid w:val="001D2EBC"/>
    <w:rsid w:val="001D729F"/>
    <w:rsid w:val="001E01E2"/>
    <w:rsid w:val="001E2542"/>
    <w:rsid w:val="001E2F50"/>
    <w:rsid w:val="001E36C9"/>
    <w:rsid w:val="001E4F70"/>
    <w:rsid w:val="001E542C"/>
    <w:rsid w:val="001E6CDD"/>
    <w:rsid w:val="001F36A9"/>
    <w:rsid w:val="001F3E4B"/>
    <w:rsid w:val="002015BD"/>
    <w:rsid w:val="0020568D"/>
    <w:rsid w:val="00206952"/>
    <w:rsid w:val="0021017E"/>
    <w:rsid w:val="00211285"/>
    <w:rsid w:val="0021210B"/>
    <w:rsid w:val="0021379F"/>
    <w:rsid w:val="0021391F"/>
    <w:rsid w:val="00213ADF"/>
    <w:rsid w:val="0021442A"/>
    <w:rsid w:val="00221F6E"/>
    <w:rsid w:val="00222B72"/>
    <w:rsid w:val="0022402B"/>
    <w:rsid w:val="0022663E"/>
    <w:rsid w:val="002300BB"/>
    <w:rsid w:val="00237ECF"/>
    <w:rsid w:val="00240585"/>
    <w:rsid w:val="00250541"/>
    <w:rsid w:val="00252DF9"/>
    <w:rsid w:val="00263F8E"/>
    <w:rsid w:val="002656F3"/>
    <w:rsid w:val="0026639A"/>
    <w:rsid w:val="00266560"/>
    <w:rsid w:val="002736D3"/>
    <w:rsid w:val="00273889"/>
    <w:rsid w:val="002741EA"/>
    <w:rsid w:val="00277508"/>
    <w:rsid w:val="00280091"/>
    <w:rsid w:val="00286239"/>
    <w:rsid w:val="002903F6"/>
    <w:rsid w:val="00291068"/>
    <w:rsid w:val="00293201"/>
    <w:rsid w:val="0029323E"/>
    <w:rsid w:val="002958D1"/>
    <w:rsid w:val="00296F90"/>
    <w:rsid w:val="00297076"/>
    <w:rsid w:val="00297552"/>
    <w:rsid w:val="002A1000"/>
    <w:rsid w:val="002A47F6"/>
    <w:rsid w:val="002A4C74"/>
    <w:rsid w:val="002A7499"/>
    <w:rsid w:val="002B016A"/>
    <w:rsid w:val="002B04F2"/>
    <w:rsid w:val="002B3A2A"/>
    <w:rsid w:val="002B535E"/>
    <w:rsid w:val="002B6553"/>
    <w:rsid w:val="002B6912"/>
    <w:rsid w:val="002B7667"/>
    <w:rsid w:val="002C0948"/>
    <w:rsid w:val="002C1459"/>
    <w:rsid w:val="002C289A"/>
    <w:rsid w:val="002C4734"/>
    <w:rsid w:val="002C5589"/>
    <w:rsid w:val="002D488F"/>
    <w:rsid w:val="002D6BF4"/>
    <w:rsid w:val="002E3115"/>
    <w:rsid w:val="002E4078"/>
    <w:rsid w:val="002E4426"/>
    <w:rsid w:val="002E53A9"/>
    <w:rsid w:val="002E695A"/>
    <w:rsid w:val="002F0316"/>
    <w:rsid w:val="002F0CED"/>
    <w:rsid w:val="002F6925"/>
    <w:rsid w:val="002F6C45"/>
    <w:rsid w:val="002F6D52"/>
    <w:rsid w:val="00301426"/>
    <w:rsid w:val="00303175"/>
    <w:rsid w:val="003075BF"/>
    <w:rsid w:val="00314667"/>
    <w:rsid w:val="003156EA"/>
    <w:rsid w:val="003203B3"/>
    <w:rsid w:val="00324EDD"/>
    <w:rsid w:val="00325A9A"/>
    <w:rsid w:val="00326715"/>
    <w:rsid w:val="00327594"/>
    <w:rsid w:val="003330E6"/>
    <w:rsid w:val="00334994"/>
    <w:rsid w:val="00335186"/>
    <w:rsid w:val="00337632"/>
    <w:rsid w:val="00337688"/>
    <w:rsid w:val="00337890"/>
    <w:rsid w:val="003413AD"/>
    <w:rsid w:val="0034360D"/>
    <w:rsid w:val="00345F59"/>
    <w:rsid w:val="00352559"/>
    <w:rsid w:val="0035320A"/>
    <w:rsid w:val="00354D28"/>
    <w:rsid w:val="0035656A"/>
    <w:rsid w:val="00356C37"/>
    <w:rsid w:val="0035753B"/>
    <w:rsid w:val="00361365"/>
    <w:rsid w:val="00361FAC"/>
    <w:rsid w:val="003623B0"/>
    <w:rsid w:val="003664B2"/>
    <w:rsid w:val="00366571"/>
    <w:rsid w:val="003718FE"/>
    <w:rsid w:val="0037221D"/>
    <w:rsid w:val="00374842"/>
    <w:rsid w:val="00376374"/>
    <w:rsid w:val="00376DC6"/>
    <w:rsid w:val="00377629"/>
    <w:rsid w:val="003810B0"/>
    <w:rsid w:val="003814B0"/>
    <w:rsid w:val="00382A43"/>
    <w:rsid w:val="003830CC"/>
    <w:rsid w:val="00384228"/>
    <w:rsid w:val="0038673C"/>
    <w:rsid w:val="0038754D"/>
    <w:rsid w:val="00392BB1"/>
    <w:rsid w:val="00392F8A"/>
    <w:rsid w:val="003938D9"/>
    <w:rsid w:val="003949BB"/>
    <w:rsid w:val="003A1A75"/>
    <w:rsid w:val="003A4DD9"/>
    <w:rsid w:val="003A5130"/>
    <w:rsid w:val="003A5997"/>
    <w:rsid w:val="003A664B"/>
    <w:rsid w:val="003B25E2"/>
    <w:rsid w:val="003B2789"/>
    <w:rsid w:val="003B46FC"/>
    <w:rsid w:val="003B4B39"/>
    <w:rsid w:val="003C39AE"/>
    <w:rsid w:val="003C60BB"/>
    <w:rsid w:val="003C71DA"/>
    <w:rsid w:val="003D1173"/>
    <w:rsid w:val="003D5B68"/>
    <w:rsid w:val="003D649F"/>
    <w:rsid w:val="003D7ED6"/>
    <w:rsid w:val="003E079F"/>
    <w:rsid w:val="003E1206"/>
    <w:rsid w:val="003E5107"/>
    <w:rsid w:val="003E60E0"/>
    <w:rsid w:val="003F16F5"/>
    <w:rsid w:val="003F68D6"/>
    <w:rsid w:val="003F7C6A"/>
    <w:rsid w:val="00400AFB"/>
    <w:rsid w:val="004027C6"/>
    <w:rsid w:val="00410AA2"/>
    <w:rsid w:val="004114EE"/>
    <w:rsid w:val="0041308D"/>
    <w:rsid w:val="0041446F"/>
    <w:rsid w:val="00416B1E"/>
    <w:rsid w:val="00416E23"/>
    <w:rsid w:val="00432460"/>
    <w:rsid w:val="00432A12"/>
    <w:rsid w:val="00432A38"/>
    <w:rsid w:val="004378E2"/>
    <w:rsid w:val="00442673"/>
    <w:rsid w:val="00446651"/>
    <w:rsid w:val="004478B7"/>
    <w:rsid w:val="00450E1B"/>
    <w:rsid w:val="00450F4D"/>
    <w:rsid w:val="00451ED9"/>
    <w:rsid w:val="0045364F"/>
    <w:rsid w:val="004544B7"/>
    <w:rsid w:val="00456B6B"/>
    <w:rsid w:val="00457A97"/>
    <w:rsid w:val="00460397"/>
    <w:rsid w:val="0046451F"/>
    <w:rsid w:val="00465590"/>
    <w:rsid w:val="0046732B"/>
    <w:rsid w:val="00472025"/>
    <w:rsid w:val="00472F92"/>
    <w:rsid w:val="00475811"/>
    <w:rsid w:val="00475821"/>
    <w:rsid w:val="004800FD"/>
    <w:rsid w:val="00480B7D"/>
    <w:rsid w:val="00481FE2"/>
    <w:rsid w:val="00482133"/>
    <w:rsid w:val="00485695"/>
    <w:rsid w:val="00490097"/>
    <w:rsid w:val="004900D9"/>
    <w:rsid w:val="004903FE"/>
    <w:rsid w:val="00492496"/>
    <w:rsid w:val="00492603"/>
    <w:rsid w:val="004934A3"/>
    <w:rsid w:val="00496B26"/>
    <w:rsid w:val="004A0EFF"/>
    <w:rsid w:val="004A3685"/>
    <w:rsid w:val="004A64A6"/>
    <w:rsid w:val="004A7530"/>
    <w:rsid w:val="004B178A"/>
    <w:rsid w:val="004B3C98"/>
    <w:rsid w:val="004B4D01"/>
    <w:rsid w:val="004C2FB4"/>
    <w:rsid w:val="004C4741"/>
    <w:rsid w:val="004C4C2D"/>
    <w:rsid w:val="004C5C68"/>
    <w:rsid w:val="004C5CD2"/>
    <w:rsid w:val="004C7401"/>
    <w:rsid w:val="004C7E34"/>
    <w:rsid w:val="004D1385"/>
    <w:rsid w:val="004D1999"/>
    <w:rsid w:val="004D219A"/>
    <w:rsid w:val="004E31FB"/>
    <w:rsid w:val="004E5711"/>
    <w:rsid w:val="004E6DEA"/>
    <w:rsid w:val="004F202E"/>
    <w:rsid w:val="004F2A81"/>
    <w:rsid w:val="004F31AE"/>
    <w:rsid w:val="004F7272"/>
    <w:rsid w:val="004F7D2E"/>
    <w:rsid w:val="00501DD2"/>
    <w:rsid w:val="005031B2"/>
    <w:rsid w:val="005042C3"/>
    <w:rsid w:val="005047B0"/>
    <w:rsid w:val="00504A5C"/>
    <w:rsid w:val="0050609D"/>
    <w:rsid w:val="00506FAA"/>
    <w:rsid w:val="005077AC"/>
    <w:rsid w:val="005129C1"/>
    <w:rsid w:val="00520D79"/>
    <w:rsid w:val="00530843"/>
    <w:rsid w:val="00530D31"/>
    <w:rsid w:val="005316D2"/>
    <w:rsid w:val="00532150"/>
    <w:rsid w:val="005332DD"/>
    <w:rsid w:val="0053393C"/>
    <w:rsid w:val="005346AD"/>
    <w:rsid w:val="005346B2"/>
    <w:rsid w:val="00543C73"/>
    <w:rsid w:val="00550078"/>
    <w:rsid w:val="0055045E"/>
    <w:rsid w:val="00550732"/>
    <w:rsid w:val="00550E1F"/>
    <w:rsid w:val="00551AAF"/>
    <w:rsid w:val="0055505E"/>
    <w:rsid w:val="00555EC8"/>
    <w:rsid w:val="0055657E"/>
    <w:rsid w:val="00557AAD"/>
    <w:rsid w:val="005621B7"/>
    <w:rsid w:val="005626D8"/>
    <w:rsid w:val="00563274"/>
    <w:rsid w:val="00564530"/>
    <w:rsid w:val="0056549A"/>
    <w:rsid w:val="005673B8"/>
    <w:rsid w:val="00567B90"/>
    <w:rsid w:val="00570CF6"/>
    <w:rsid w:val="00571B91"/>
    <w:rsid w:val="00571D32"/>
    <w:rsid w:val="005726BA"/>
    <w:rsid w:val="00574395"/>
    <w:rsid w:val="00574F62"/>
    <w:rsid w:val="00577E58"/>
    <w:rsid w:val="00581C44"/>
    <w:rsid w:val="0058280B"/>
    <w:rsid w:val="005835B3"/>
    <w:rsid w:val="00584920"/>
    <w:rsid w:val="0058588E"/>
    <w:rsid w:val="00587972"/>
    <w:rsid w:val="00590A3F"/>
    <w:rsid w:val="00595C30"/>
    <w:rsid w:val="005A059E"/>
    <w:rsid w:val="005A2BF6"/>
    <w:rsid w:val="005A2FCD"/>
    <w:rsid w:val="005A3628"/>
    <w:rsid w:val="005A4043"/>
    <w:rsid w:val="005A7234"/>
    <w:rsid w:val="005A7712"/>
    <w:rsid w:val="005B0A69"/>
    <w:rsid w:val="005B4A1A"/>
    <w:rsid w:val="005B534D"/>
    <w:rsid w:val="005B6FB1"/>
    <w:rsid w:val="005C1305"/>
    <w:rsid w:val="005C36F8"/>
    <w:rsid w:val="005C4C48"/>
    <w:rsid w:val="005C75BA"/>
    <w:rsid w:val="005D00D6"/>
    <w:rsid w:val="005D08A7"/>
    <w:rsid w:val="005D0990"/>
    <w:rsid w:val="005D3C47"/>
    <w:rsid w:val="005D51C1"/>
    <w:rsid w:val="005D5451"/>
    <w:rsid w:val="005D5D1B"/>
    <w:rsid w:val="005D7677"/>
    <w:rsid w:val="005E0BBA"/>
    <w:rsid w:val="005E1142"/>
    <w:rsid w:val="005E2D43"/>
    <w:rsid w:val="005E6988"/>
    <w:rsid w:val="005F6DA1"/>
    <w:rsid w:val="00602B61"/>
    <w:rsid w:val="00605412"/>
    <w:rsid w:val="00605535"/>
    <w:rsid w:val="0060609E"/>
    <w:rsid w:val="00606CDE"/>
    <w:rsid w:val="00607ECE"/>
    <w:rsid w:val="00611656"/>
    <w:rsid w:val="00611675"/>
    <w:rsid w:val="006236F5"/>
    <w:rsid w:val="00631925"/>
    <w:rsid w:val="00631D4C"/>
    <w:rsid w:val="00633AC4"/>
    <w:rsid w:val="0063467A"/>
    <w:rsid w:val="006352ED"/>
    <w:rsid w:val="006438B6"/>
    <w:rsid w:val="0064688F"/>
    <w:rsid w:val="00646A59"/>
    <w:rsid w:val="00647060"/>
    <w:rsid w:val="006474B3"/>
    <w:rsid w:val="006503F4"/>
    <w:rsid w:val="0065345A"/>
    <w:rsid w:val="00653B6F"/>
    <w:rsid w:val="0066499C"/>
    <w:rsid w:val="00671798"/>
    <w:rsid w:val="00671A78"/>
    <w:rsid w:val="00671EB0"/>
    <w:rsid w:val="00675BFA"/>
    <w:rsid w:val="006764C0"/>
    <w:rsid w:val="00676BE8"/>
    <w:rsid w:val="00677297"/>
    <w:rsid w:val="0067758E"/>
    <w:rsid w:val="006809EF"/>
    <w:rsid w:val="006815E4"/>
    <w:rsid w:val="00684D7F"/>
    <w:rsid w:val="00685639"/>
    <w:rsid w:val="006874EA"/>
    <w:rsid w:val="00687C34"/>
    <w:rsid w:val="00687C86"/>
    <w:rsid w:val="00694898"/>
    <w:rsid w:val="006963C9"/>
    <w:rsid w:val="006A40E9"/>
    <w:rsid w:val="006A5BEA"/>
    <w:rsid w:val="006A69E0"/>
    <w:rsid w:val="006B479C"/>
    <w:rsid w:val="006B4D79"/>
    <w:rsid w:val="006B74CA"/>
    <w:rsid w:val="006C1BC3"/>
    <w:rsid w:val="006C294A"/>
    <w:rsid w:val="006C3F35"/>
    <w:rsid w:val="006C646A"/>
    <w:rsid w:val="006D037F"/>
    <w:rsid w:val="006D0BFD"/>
    <w:rsid w:val="006D6A7E"/>
    <w:rsid w:val="006D6CC0"/>
    <w:rsid w:val="006D6F38"/>
    <w:rsid w:val="006E1439"/>
    <w:rsid w:val="006E18AA"/>
    <w:rsid w:val="006E1C10"/>
    <w:rsid w:val="006E3005"/>
    <w:rsid w:val="006E6569"/>
    <w:rsid w:val="006F1396"/>
    <w:rsid w:val="006F18F8"/>
    <w:rsid w:val="006F57F0"/>
    <w:rsid w:val="006F6AE1"/>
    <w:rsid w:val="00700677"/>
    <w:rsid w:val="007012CD"/>
    <w:rsid w:val="007015D6"/>
    <w:rsid w:val="00703E02"/>
    <w:rsid w:val="0070497D"/>
    <w:rsid w:val="0070542D"/>
    <w:rsid w:val="00706497"/>
    <w:rsid w:val="007075B6"/>
    <w:rsid w:val="00714BBD"/>
    <w:rsid w:val="007159CA"/>
    <w:rsid w:val="0071758C"/>
    <w:rsid w:val="00717F8E"/>
    <w:rsid w:val="00720A51"/>
    <w:rsid w:val="00724FEB"/>
    <w:rsid w:val="00727BA6"/>
    <w:rsid w:val="0073045C"/>
    <w:rsid w:val="00732497"/>
    <w:rsid w:val="00732E4D"/>
    <w:rsid w:val="00733758"/>
    <w:rsid w:val="00733C6C"/>
    <w:rsid w:val="00736AF1"/>
    <w:rsid w:val="0074130C"/>
    <w:rsid w:val="007415BA"/>
    <w:rsid w:val="00741AB2"/>
    <w:rsid w:val="00744144"/>
    <w:rsid w:val="00747CB2"/>
    <w:rsid w:val="00747DA1"/>
    <w:rsid w:val="00756A66"/>
    <w:rsid w:val="00760C23"/>
    <w:rsid w:val="00771BBD"/>
    <w:rsid w:val="00771E13"/>
    <w:rsid w:val="007742EA"/>
    <w:rsid w:val="00775FB2"/>
    <w:rsid w:val="00781779"/>
    <w:rsid w:val="00785032"/>
    <w:rsid w:val="007850DF"/>
    <w:rsid w:val="007867CE"/>
    <w:rsid w:val="007870C0"/>
    <w:rsid w:val="00790697"/>
    <w:rsid w:val="00790897"/>
    <w:rsid w:val="00791D40"/>
    <w:rsid w:val="0079424A"/>
    <w:rsid w:val="00794817"/>
    <w:rsid w:val="007973F7"/>
    <w:rsid w:val="007A06C0"/>
    <w:rsid w:val="007A0D90"/>
    <w:rsid w:val="007A12E6"/>
    <w:rsid w:val="007A1983"/>
    <w:rsid w:val="007A5C16"/>
    <w:rsid w:val="007A7C73"/>
    <w:rsid w:val="007B211C"/>
    <w:rsid w:val="007B2B64"/>
    <w:rsid w:val="007B3061"/>
    <w:rsid w:val="007B496A"/>
    <w:rsid w:val="007B6850"/>
    <w:rsid w:val="007B7323"/>
    <w:rsid w:val="007B751D"/>
    <w:rsid w:val="007C124B"/>
    <w:rsid w:val="007C13D9"/>
    <w:rsid w:val="007C2095"/>
    <w:rsid w:val="007C3BFA"/>
    <w:rsid w:val="007C4669"/>
    <w:rsid w:val="007C4761"/>
    <w:rsid w:val="007C55DD"/>
    <w:rsid w:val="007C59F9"/>
    <w:rsid w:val="007D0852"/>
    <w:rsid w:val="007D10A5"/>
    <w:rsid w:val="007D392E"/>
    <w:rsid w:val="007D5B53"/>
    <w:rsid w:val="007D69DC"/>
    <w:rsid w:val="007E0CF9"/>
    <w:rsid w:val="007E3DBE"/>
    <w:rsid w:val="007E6D24"/>
    <w:rsid w:val="007E6E94"/>
    <w:rsid w:val="007E7CDE"/>
    <w:rsid w:val="007F7D1B"/>
    <w:rsid w:val="008031BE"/>
    <w:rsid w:val="00804325"/>
    <w:rsid w:val="008064A5"/>
    <w:rsid w:val="0080778E"/>
    <w:rsid w:val="00811230"/>
    <w:rsid w:val="00811DF2"/>
    <w:rsid w:val="008143DB"/>
    <w:rsid w:val="00814E0C"/>
    <w:rsid w:val="00820935"/>
    <w:rsid w:val="00821905"/>
    <w:rsid w:val="008226CB"/>
    <w:rsid w:val="00823B64"/>
    <w:rsid w:val="00823FF9"/>
    <w:rsid w:val="00835E94"/>
    <w:rsid w:val="00836188"/>
    <w:rsid w:val="00840C56"/>
    <w:rsid w:val="00842828"/>
    <w:rsid w:val="00843FCB"/>
    <w:rsid w:val="00845DBA"/>
    <w:rsid w:val="008541F8"/>
    <w:rsid w:val="008548C3"/>
    <w:rsid w:val="00855D61"/>
    <w:rsid w:val="00860141"/>
    <w:rsid w:val="008605E9"/>
    <w:rsid w:val="00861275"/>
    <w:rsid w:val="00862997"/>
    <w:rsid w:val="008639C1"/>
    <w:rsid w:val="00864F97"/>
    <w:rsid w:val="008676DF"/>
    <w:rsid w:val="00867CFE"/>
    <w:rsid w:val="00870973"/>
    <w:rsid w:val="00872F37"/>
    <w:rsid w:val="00875E12"/>
    <w:rsid w:val="00877E34"/>
    <w:rsid w:val="00880831"/>
    <w:rsid w:val="00883BEF"/>
    <w:rsid w:val="00886CEF"/>
    <w:rsid w:val="00891198"/>
    <w:rsid w:val="0089119C"/>
    <w:rsid w:val="00891AB2"/>
    <w:rsid w:val="00895BA3"/>
    <w:rsid w:val="008A12BD"/>
    <w:rsid w:val="008A6F57"/>
    <w:rsid w:val="008A778B"/>
    <w:rsid w:val="008B43A5"/>
    <w:rsid w:val="008B51F9"/>
    <w:rsid w:val="008B540B"/>
    <w:rsid w:val="008B5D72"/>
    <w:rsid w:val="008B65F1"/>
    <w:rsid w:val="008C1542"/>
    <w:rsid w:val="008C2160"/>
    <w:rsid w:val="008C2A08"/>
    <w:rsid w:val="008C2D2B"/>
    <w:rsid w:val="008C32BF"/>
    <w:rsid w:val="008C6C96"/>
    <w:rsid w:val="008D088E"/>
    <w:rsid w:val="008D214C"/>
    <w:rsid w:val="008D51CD"/>
    <w:rsid w:val="008E15F8"/>
    <w:rsid w:val="008E2106"/>
    <w:rsid w:val="008E4157"/>
    <w:rsid w:val="008E4B83"/>
    <w:rsid w:val="008E7538"/>
    <w:rsid w:val="008F0C9D"/>
    <w:rsid w:val="008F33E0"/>
    <w:rsid w:val="008F4A05"/>
    <w:rsid w:val="008F5B2F"/>
    <w:rsid w:val="008F635A"/>
    <w:rsid w:val="00900790"/>
    <w:rsid w:val="00903E4A"/>
    <w:rsid w:val="00903FF9"/>
    <w:rsid w:val="0090517B"/>
    <w:rsid w:val="00905269"/>
    <w:rsid w:val="00910569"/>
    <w:rsid w:val="00911E1B"/>
    <w:rsid w:val="00912DDF"/>
    <w:rsid w:val="009151CF"/>
    <w:rsid w:val="00917F30"/>
    <w:rsid w:val="00921AA5"/>
    <w:rsid w:val="00923911"/>
    <w:rsid w:val="0092510B"/>
    <w:rsid w:val="009275D4"/>
    <w:rsid w:val="00931890"/>
    <w:rsid w:val="009324D5"/>
    <w:rsid w:val="00933B66"/>
    <w:rsid w:val="00934620"/>
    <w:rsid w:val="00935064"/>
    <w:rsid w:val="00935A04"/>
    <w:rsid w:val="00941F0F"/>
    <w:rsid w:val="00942432"/>
    <w:rsid w:val="00942FBE"/>
    <w:rsid w:val="00947651"/>
    <w:rsid w:val="00953050"/>
    <w:rsid w:val="00957114"/>
    <w:rsid w:val="00963960"/>
    <w:rsid w:val="009663B1"/>
    <w:rsid w:val="0097173C"/>
    <w:rsid w:val="0097398B"/>
    <w:rsid w:val="009744FC"/>
    <w:rsid w:val="009752AF"/>
    <w:rsid w:val="00977882"/>
    <w:rsid w:val="00981D99"/>
    <w:rsid w:val="0098211C"/>
    <w:rsid w:val="00984BE0"/>
    <w:rsid w:val="009859D8"/>
    <w:rsid w:val="0098725D"/>
    <w:rsid w:val="00990EB6"/>
    <w:rsid w:val="00992B73"/>
    <w:rsid w:val="009942DA"/>
    <w:rsid w:val="009948D9"/>
    <w:rsid w:val="00997025"/>
    <w:rsid w:val="00997CC1"/>
    <w:rsid w:val="009A407D"/>
    <w:rsid w:val="009B0A8E"/>
    <w:rsid w:val="009B2053"/>
    <w:rsid w:val="009B212F"/>
    <w:rsid w:val="009B36C1"/>
    <w:rsid w:val="009B5115"/>
    <w:rsid w:val="009B5279"/>
    <w:rsid w:val="009B7B8E"/>
    <w:rsid w:val="009B7E38"/>
    <w:rsid w:val="009C06E2"/>
    <w:rsid w:val="009C2357"/>
    <w:rsid w:val="009C6C84"/>
    <w:rsid w:val="009D00B8"/>
    <w:rsid w:val="009D17CD"/>
    <w:rsid w:val="009D28BA"/>
    <w:rsid w:val="009D292E"/>
    <w:rsid w:val="009D3243"/>
    <w:rsid w:val="009D3301"/>
    <w:rsid w:val="009D4353"/>
    <w:rsid w:val="009D4E47"/>
    <w:rsid w:val="009D6CE1"/>
    <w:rsid w:val="009E18BC"/>
    <w:rsid w:val="009E2F4E"/>
    <w:rsid w:val="009E3CB6"/>
    <w:rsid w:val="009E4E16"/>
    <w:rsid w:val="009E6200"/>
    <w:rsid w:val="009E7842"/>
    <w:rsid w:val="009E7B41"/>
    <w:rsid w:val="009F00DA"/>
    <w:rsid w:val="009F2253"/>
    <w:rsid w:val="009F3E6D"/>
    <w:rsid w:val="009F78A6"/>
    <w:rsid w:val="00A00C2C"/>
    <w:rsid w:val="00A02368"/>
    <w:rsid w:val="00A031D2"/>
    <w:rsid w:val="00A03AC7"/>
    <w:rsid w:val="00A04522"/>
    <w:rsid w:val="00A04DF1"/>
    <w:rsid w:val="00A064BD"/>
    <w:rsid w:val="00A0673E"/>
    <w:rsid w:val="00A13057"/>
    <w:rsid w:val="00A13A46"/>
    <w:rsid w:val="00A16DF3"/>
    <w:rsid w:val="00A177B0"/>
    <w:rsid w:val="00A21376"/>
    <w:rsid w:val="00A222C6"/>
    <w:rsid w:val="00A24DA8"/>
    <w:rsid w:val="00A2565F"/>
    <w:rsid w:val="00A25BE3"/>
    <w:rsid w:val="00A262B9"/>
    <w:rsid w:val="00A26B7F"/>
    <w:rsid w:val="00A33ED1"/>
    <w:rsid w:val="00A35551"/>
    <w:rsid w:val="00A37D4B"/>
    <w:rsid w:val="00A37E7E"/>
    <w:rsid w:val="00A41484"/>
    <w:rsid w:val="00A43437"/>
    <w:rsid w:val="00A43688"/>
    <w:rsid w:val="00A43B90"/>
    <w:rsid w:val="00A44630"/>
    <w:rsid w:val="00A44725"/>
    <w:rsid w:val="00A4536F"/>
    <w:rsid w:val="00A45FFB"/>
    <w:rsid w:val="00A5022A"/>
    <w:rsid w:val="00A50FED"/>
    <w:rsid w:val="00A52D15"/>
    <w:rsid w:val="00A53C2B"/>
    <w:rsid w:val="00A55839"/>
    <w:rsid w:val="00A56B97"/>
    <w:rsid w:val="00A6042D"/>
    <w:rsid w:val="00A6099F"/>
    <w:rsid w:val="00A61AD0"/>
    <w:rsid w:val="00A639A5"/>
    <w:rsid w:val="00A668B9"/>
    <w:rsid w:val="00A676F4"/>
    <w:rsid w:val="00A67A11"/>
    <w:rsid w:val="00A71565"/>
    <w:rsid w:val="00A71B91"/>
    <w:rsid w:val="00A72867"/>
    <w:rsid w:val="00A74FAB"/>
    <w:rsid w:val="00A837A5"/>
    <w:rsid w:val="00A83DBC"/>
    <w:rsid w:val="00A854EE"/>
    <w:rsid w:val="00A86F21"/>
    <w:rsid w:val="00A8727D"/>
    <w:rsid w:val="00A92A46"/>
    <w:rsid w:val="00A93F22"/>
    <w:rsid w:val="00A94A5B"/>
    <w:rsid w:val="00A951DF"/>
    <w:rsid w:val="00A964EE"/>
    <w:rsid w:val="00A96DEB"/>
    <w:rsid w:val="00A97637"/>
    <w:rsid w:val="00A978E1"/>
    <w:rsid w:val="00AA0159"/>
    <w:rsid w:val="00AA5746"/>
    <w:rsid w:val="00AA774D"/>
    <w:rsid w:val="00AB025E"/>
    <w:rsid w:val="00AB14A9"/>
    <w:rsid w:val="00AB1C29"/>
    <w:rsid w:val="00AB2C11"/>
    <w:rsid w:val="00AB5669"/>
    <w:rsid w:val="00AB7DDF"/>
    <w:rsid w:val="00AC069F"/>
    <w:rsid w:val="00AC44BD"/>
    <w:rsid w:val="00AC4E99"/>
    <w:rsid w:val="00AC4F82"/>
    <w:rsid w:val="00AC54D7"/>
    <w:rsid w:val="00AC6491"/>
    <w:rsid w:val="00AD024D"/>
    <w:rsid w:val="00AD2B5A"/>
    <w:rsid w:val="00AD47DB"/>
    <w:rsid w:val="00AD7B1A"/>
    <w:rsid w:val="00AE208D"/>
    <w:rsid w:val="00AE2223"/>
    <w:rsid w:val="00AE3394"/>
    <w:rsid w:val="00AE3754"/>
    <w:rsid w:val="00AE6070"/>
    <w:rsid w:val="00AF352C"/>
    <w:rsid w:val="00AF3CE6"/>
    <w:rsid w:val="00AF4B69"/>
    <w:rsid w:val="00AF5A85"/>
    <w:rsid w:val="00AF7385"/>
    <w:rsid w:val="00B00B58"/>
    <w:rsid w:val="00B013EA"/>
    <w:rsid w:val="00B04CD3"/>
    <w:rsid w:val="00B04EC9"/>
    <w:rsid w:val="00B055C7"/>
    <w:rsid w:val="00B06014"/>
    <w:rsid w:val="00B06FD4"/>
    <w:rsid w:val="00B0764B"/>
    <w:rsid w:val="00B10071"/>
    <w:rsid w:val="00B109B7"/>
    <w:rsid w:val="00B16D8D"/>
    <w:rsid w:val="00B17161"/>
    <w:rsid w:val="00B22AA5"/>
    <w:rsid w:val="00B239BB"/>
    <w:rsid w:val="00B261C2"/>
    <w:rsid w:val="00B30BFA"/>
    <w:rsid w:val="00B31710"/>
    <w:rsid w:val="00B4006A"/>
    <w:rsid w:val="00B40959"/>
    <w:rsid w:val="00B43AD3"/>
    <w:rsid w:val="00B44C66"/>
    <w:rsid w:val="00B471DC"/>
    <w:rsid w:val="00B473F9"/>
    <w:rsid w:val="00B47B19"/>
    <w:rsid w:val="00B47C12"/>
    <w:rsid w:val="00B5095B"/>
    <w:rsid w:val="00B518A5"/>
    <w:rsid w:val="00B540C3"/>
    <w:rsid w:val="00B5487D"/>
    <w:rsid w:val="00B56EB2"/>
    <w:rsid w:val="00B63682"/>
    <w:rsid w:val="00B65877"/>
    <w:rsid w:val="00B67B86"/>
    <w:rsid w:val="00B7019F"/>
    <w:rsid w:val="00B717FD"/>
    <w:rsid w:val="00B7671B"/>
    <w:rsid w:val="00B83328"/>
    <w:rsid w:val="00B83C9A"/>
    <w:rsid w:val="00B87D41"/>
    <w:rsid w:val="00B956FB"/>
    <w:rsid w:val="00BA5DE0"/>
    <w:rsid w:val="00BA6020"/>
    <w:rsid w:val="00BA6630"/>
    <w:rsid w:val="00BA681F"/>
    <w:rsid w:val="00BB0FC7"/>
    <w:rsid w:val="00BB24EA"/>
    <w:rsid w:val="00BB31BD"/>
    <w:rsid w:val="00BB38BA"/>
    <w:rsid w:val="00BB4179"/>
    <w:rsid w:val="00BC24BC"/>
    <w:rsid w:val="00BC3584"/>
    <w:rsid w:val="00BC3827"/>
    <w:rsid w:val="00BC3DE3"/>
    <w:rsid w:val="00BC487B"/>
    <w:rsid w:val="00BD0368"/>
    <w:rsid w:val="00BD0B80"/>
    <w:rsid w:val="00BD1594"/>
    <w:rsid w:val="00BD3971"/>
    <w:rsid w:val="00BD4B83"/>
    <w:rsid w:val="00BE05E9"/>
    <w:rsid w:val="00BE0EA9"/>
    <w:rsid w:val="00BE1673"/>
    <w:rsid w:val="00BE2731"/>
    <w:rsid w:val="00BE5096"/>
    <w:rsid w:val="00BE5860"/>
    <w:rsid w:val="00BF03D5"/>
    <w:rsid w:val="00BF406B"/>
    <w:rsid w:val="00BF7D79"/>
    <w:rsid w:val="00C03988"/>
    <w:rsid w:val="00C069C7"/>
    <w:rsid w:val="00C12319"/>
    <w:rsid w:val="00C12ACA"/>
    <w:rsid w:val="00C14873"/>
    <w:rsid w:val="00C15DA7"/>
    <w:rsid w:val="00C21DCF"/>
    <w:rsid w:val="00C234A4"/>
    <w:rsid w:val="00C27C8D"/>
    <w:rsid w:val="00C342E3"/>
    <w:rsid w:val="00C42121"/>
    <w:rsid w:val="00C42197"/>
    <w:rsid w:val="00C426F2"/>
    <w:rsid w:val="00C43D92"/>
    <w:rsid w:val="00C46A22"/>
    <w:rsid w:val="00C504A0"/>
    <w:rsid w:val="00C54CDA"/>
    <w:rsid w:val="00C55057"/>
    <w:rsid w:val="00C603FA"/>
    <w:rsid w:val="00C62FEC"/>
    <w:rsid w:val="00C64630"/>
    <w:rsid w:val="00C64634"/>
    <w:rsid w:val="00C65E6E"/>
    <w:rsid w:val="00C67447"/>
    <w:rsid w:val="00C731CC"/>
    <w:rsid w:val="00C74113"/>
    <w:rsid w:val="00C7633B"/>
    <w:rsid w:val="00C80C05"/>
    <w:rsid w:val="00C85457"/>
    <w:rsid w:val="00C85BFE"/>
    <w:rsid w:val="00C87586"/>
    <w:rsid w:val="00C91AD0"/>
    <w:rsid w:val="00C930E0"/>
    <w:rsid w:val="00C9332C"/>
    <w:rsid w:val="00C93DBA"/>
    <w:rsid w:val="00C97A56"/>
    <w:rsid w:val="00CA1434"/>
    <w:rsid w:val="00CA3BF0"/>
    <w:rsid w:val="00CA45C6"/>
    <w:rsid w:val="00CA4AB0"/>
    <w:rsid w:val="00CA5BDD"/>
    <w:rsid w:val="00CB2EDF"/>
    <w:rsid w:val="00CB3E8E"/>
    <w:rsid w:val="00CB4011"/>
    <w:rsid w:val="00CB58E6"/>
    <w:rsid w:val="00CB5E68"/>
    <w:rsid w:val="00CC01DD"/>
    <w:rsid w:val="00CC184D"/>
    <w:rsid w:val="00CC3B1C"/>
    <w:rsid w:val="00CC3E6A"/>
    <w:rsid w:val="00CC46F0"/>
    <w:rsid w:val="00CC5B2B"/>
    <w:rsid w:val="00CC6605"/>
    <w:rsid w:val="00CC7C12"/>
    <w:rsid w:val="00CD1B80"/>
    <w:rsid w:val="00CD2AB9"/>
    <w:rsid w:val="00CD3C82"/>
    <w:rsid w:val="00CD69CF"/>
    <w:rsid w:val="00CD7DB5"/>
    <w:rsid w:val="00CE014A"/>
    <w:rsid w:val="00CE15D3"/>
    <w:rsid w:val="00CE2AE0"/>
    <w:rsid w:val="00CE34AC"/>
    <w:rsid w:val="00CE423E"/>
    <w:rsid w:val="00CE54EC"/>
    <w:rsid w:val="00CE5CB1"/>
    <w:rsid w:val="00CE5F4D"/>
    <w:rsid w:val="00CF1C70"/>
    <w:rsid w:val="00CF421B"/>
    <w:rsid w:val="00D01D11"/>
    <w:rsid w:val="00D028F3"/>
    <w:rsid w:val="00D05F36"/>
    <w:rsid w:val="00D05FF3"/>
    <w:rsid w:val="00D1117B"/>
    <w:rsid w:val="00D136B1"/>
    <w:rsid w:val="00D168EA"/>
    <w:rsid w:val="00D21A09"/>
    <w:rsid w:val="00D23568"/>
    <w:rsid w:val="00D23DDC"/>
    <w:rsid w:val="00D26A4B"/>
    <w:rsid w:val="00D306D4"/>
    <w:rsid w:val="00D30A09"/>
    <w:rsid w:val="00D31011"/>
    <w:rsid w:val="00D32CB8"/>
    <w:rsid w:val="00D340F7"/>
    <w:rsid w:val="00D346E0"/>
    <w:rsid w:val="00D352C8"/>
    <w:rsid w:val="00D3590D"/>
    <w:rsid w:val="00D369D1"/>
    <w:rsid w:val="00D5054C"/>
    <w:rsid w:val="00D50A77"/>
    <w:rsid w:val="00D50E01"/>
    <w:rsid w:val="00D62774"/>
    <w:rsid w:val="00D62BB7"/>
    <w:rsid w:val="00D64689"/>
    <w:rsid w:val="00D65ED0"/>
    <w:rsid w:val="00D6724B"/>
    <w:rsid w:val="00D70BBB"/>
    <w:rsid w:val="00D81BF8"/>
    <w:rsid w:val="00D822F4"/>
    <w:rsid w:val="00D82396"/>
    <w:rsid w:val="00D87BDC"/>
    <w:rsid w:val="00D90076"/>
    <w:rsid w:val="00D94BB7"/>
    <w:rsid w:val="00D94ED6"/>
    <w:rsid w:val="00D96A97"/>
    <w:rsid w:val="00D96BCA"/>
    <w:rsid w:val="00D96C11"/>
    <w:rsid w:val="00D97067"/>
    <w:rsid w:val="00DA078D"/>
    <w:rsid w:val="00DA4E90"/>
    <w:rsid w:val="00DA6406"/>
    <w:rsid w:val="00DA6A16"/>
    <w:rsid w:val="00DA7027"/>
    <w:rsid w:val="00DA762B"/>
    <w:rsid w:val="00DB0532"/>
    <w:rsid w:val="00DB0B83"/>
    <w:rsid w:val="00DB229E"/>
    <w:rsid w:val="00DB2931"/>
    <w:rsid w:val="00DB29D2"/>
    <w:rsid w:val="00DB34BF"/>
    <w:rsid w:val="00DB4891"/>
    <w:rsid w:val="00DB5202"/>
    <w:rsid w:val="00DB59B8"/>
    <w:rsid w:val="00DB69D3"/>
    <w:rsid w:val="00DC3B87"/>
    <w:rsid w:val="00DC7995"/>
    <w:rsid w:val="00DD1495"/>
    <w:rsid w:val="00DD34FA"/>
    <w:rsid w:val="00DD3B87"/>
    <w:rsid w:val="00DD49D0"/>
    <w:rsid w:val="00DD6B21"/>
    <w:rsid w:val="00DE597F"/>
    <w:rsid w:val="00DE6A64"/>
    <w:rsid w:val="00DF1455"/>
    <w:rsid w:val="00DF6735"/>
    <w:rsid w:val="00DF7D03"/>
    <w:rsid w:val="00E016D7"/>
    <w:rsid w:val="00E01C71"/>
    <w:rsid w:val="00E04180"/>
    <w:rsid w:val="00E04951"/>
    <w:rsid w:val="00E07EA1"/>
    <w:rsid w:val="00E10028"/>
    <w:rsid w:val="00E10498"/>
    <w:rsid w:val="00E115C2"/>
    <w:rsid w:val="00E11B46"/>
    <w:rsid w:val="00E24C51"/>
    <w:rsid w:val="00E27158"/>
    <w:rsid w:val="00E32051"/>
    <w:rsid w:val="00E33925"/>
    <w:rsid w:val="00E43FA6"/>
    <w:rsid w:val="00E4416B"/>
    <w:rsid w:val="00E44D79"/>
    <w:rsid w:val="00E46E64"/>
    <w:rsid w:val="00E50A06"/>
    <w:rsid w:val="00E51C7E"/>
    <w:rsid w:val="00E52463"/>
    <w:rsid w:val="00E539A1"/>
    <w:rsid w:val="00E543CD"/>
    <w:rsid w:val="00E55F00"/>
    <w:rsid w:val="00E6014E"/>
    <w:rsid w:val="00E607D7"/>
    <w:rsid w:val="00E638F8"/>
    <w:rsid w:val="00E654E5"/>
    <w:rsid w:val="00E66E47"/>
    <w:rsid w:val="00E72AE4"/>
    <w:rsid w:val="00E74836"/>
    <w:rsid w:val="00E76678"/>
    <w:rsid w:val="00E76FC4"/>
    <w:rsid w:val="00E77B49"/>
    <w:rsid w:val="00E844B5"/>
    <w:rsid w:val="00E85496"/>
    <w:rsid w:val="00E9025D"/>
    <w:rsid w:val="00E902BD"/>
    <w:rsid w:val="00E928E3"/>
    <w:rsid w:val="00E934D7"/>
    <w:rsid w:val="00E9474A"/>
    <w:rsid w:val="00E961C1"/>
    <w:rsid w:val="00E9644B"/>
    <w:rsid w:val="00E96588"/>
    <w:rsid w:val="00E97782"/>
    <w:rsid w:val="00EA219F"/>
    <w:rsid w:val="00EA3FC7"/>
    <w:rsid w:val="00EA5289"/>
    <w:rsid w:val="00EB0B16"/>
    <w:rsid w:val="00EB2CC6"/>
    <w:rsid w:val="00EB2F14"/>
    <w:rsid w:val="00EB3BF7"/>
    <w:rsid w:val="00EB41F8"/>
    <w:rsid w:val="00EB56B9"/>
    <w:rsid w:val="00EC1661"/>
    <w:rsid w:val="00EC5B45"/>
    <w:rsid w:val="00EC7D85"/>
    <w:rsid w:val="00ED2725"/>
    <w:rsid w:val="00ED412A"/>
    <w:rsid w:val="00EE44A3"/>
    <w:rsid w:val="00EE491B"/>
    <w:rsid w:val="00EF43E2"/>
    <w:rsid w:val="00EF4D92"/>
    <w:rsid w:val="00EF70EA"/>
    <w:rsid w:val="00F058C7"/>
    <w:rsid w:val="00F0624D"/>
    <w:rsid w:val="00F07C78"/>
    <w:rsid w:val="00F10A7C"/>
    <w:rsid w:val="00F2296B"/>
    <w:rsid w:val="00F2313D"/>
    <w:rsid w:val="00F2767A"/>
    <w:rsid w:val="00F3184D"/>
    <w:rsid w:val="00F3219B"/>
    <w:rsid w:val="00F328DE"/>
    <w:rsid w:val="00F3744E"/>
    <w:rsid w:val="00F410DD"/>
    <w:rsid w:val="00F44E78"/>
    <w:rsid w:val="00F45476"/>
    <w:rsid w:val="00F471CA"/>
    <w:rsid w:val="00F50019"/>
    <w:rsid w:val="00F50D74"/>
    <w:rsid w:val="00F51949"/>
    <w:rsid w:val="00F53970"/>
    <w:rsid w:val="00F5496D"/>
    <w:rsid w:val="00F576F6"/>
    <w:rsid w:val="00F6015A"/>
    <w:rsid w:val="00F63A75"/>
    <w:rsid w:val="00F6548E"/>
    <w:rsid w:val="00F674AA"/>
    <w:rsid w:val="00F714B7"/>
    <w:rsid w:val="00F72611"/>
    <w:rsid w:val="00F74BDE"/>
    <w:rsid w:val="00F80D2A"/>
    <w:rsid w:val="00F82014"/>
    <w:rsid w:val="00F87212"/>
    <w:rsid w:val="00F900EC"/>
    <w:rsid w:val="00F908C6"/>
    <w:rsid w:val="00F91DC0"/>
    <w:rsid w:val="00F9487C"/>
    <w:rsid w:val="00F95FB9"/>
    <w:rsid w:val="00FA1356"/>
    <w:rsid w:val="00FA1745"/>
    <w:rsid w:val="00FA1986"/>
    <w:rsid w:val="00FA2B0F"/>
    <w:rsid w:val="00FA735D"/>
    <w:rsid w:val="00FB1ED4"/>
    <w:rsid w:val="00FB45FB"/>
    <w:rsid w:val="00FB525B"/>
    <w:rsid w:val="00FB734A"/>
    <w:rsid w:val="00FC1A1E"/>
    <w:rsid w:val="00FC2F6D"/>
    <w:rsid w:val="00FC2F6F"/>
    <w:rsid w:val="00FC335C"/>
    <w:rsid w:val="00FC4386"/>
    <w:rsid w:val="00FD0736"/>
    <w:rsid w:val="00FD419C"/>
    <w:rsid w:val="00FD52DE"/>
    <w:rsid w:val="00FD76C1"/>
    <w:rsid w:val="00FD79E8"/>
    <w:rsid w:val="00FE0CE8"/>
    <w:rsid w:val="00FE1366"/>
    <w:rsid w:val="00FE4E58"/>
    <w:rsid w:val="00FE7CBD"/>
    <w:rsid w:val="00FF0992"/>
    <w:rsid w:val="00FF0E3C"/>
    <w:rsid w:val="00FF1FCF"/>
    <w:rsid w:val="00FF3442"/>
    <w:rsid w:val="00FF36E5"/>
    <w:rsid w:val="00FF461C"/>
    <w:rsid w:val="00FF4B3A"/>
    <w:rsid w:val="011443A1"/>
    <w:rsid w:val="012651FB"/>
    <w:rsid w:val="01347A59"/>
    <w:rsid w:val="014A20CC"/>
    <w:rsid w:val="01501A4C"/>
    <w:rsid w:val="01666EB8"/>
    <w:rsid w:val="019D07A6"/>
    <w:rsid w:val="01A16193"/>
    <w:rsid w:val="01A77C4E"/>
    <w:rsid w:val="01B666C0"/>
    <w:rsid w:val="01C44238"/>
    <w:rsid w:val="01EC6B93"/>
    <w:rsid w:val="021D3647"/>
    <w:rsid w:val="022476BB"/>
    <w:rsid w:val="023C54A4"/>
    <w:rsid w:val="025008C3"/>
    <w:rsid w:val="02745C23"/>
    <w:rsid w:val="027F0F66"/>
    <w:rsid w:val="02A4476B"/>
    <w:rsid w:val="02AD4F8D"/>
    <w:rsid w:val="02DD7AD5"/>
    <w:rsid w:val="02E131FA"/>
    <w:rsid w:val="02FA2B86"/>
    <w:rsid w:val="032D29B2"/>
    <w:rsid w:val="033F79D3"/>
    <w:rsid w:val="03461A68"/>
    <w:rsid w:val="03597F60"/>
    <w:rsid w:val="03616C3D"/>
    <w:rsid w:val="036B01C4"/>
    <w:rsid w:val="037C1244"/>
    <w:rsid w:val="039773C3"/>
    <w:rsid w:val="03A25420"/>
    <w:rsid w:val="03AE4CDE"/>
    <w:rsid w:val="03C406EF"/>
    <w:rsid w:val="03C50542"/>
    <w:rsid w:val="03EF5EB9"/>
    <w:rsid w:val="040922D5"/>
    <w:rsid w:val="0439561C"/>
    <w:rsid w:val="044F0706"/>
    <w:rsid w:val="0450736C"/>
    <w:rsid w:val="04622300"/>
    <w:rsid w:val="04874344"/>
    <w:rsid w:val="049A5681"/>
    <w:rsid w:val="04A642CD"/>
    <w:rsid w:val="04BA3531"/>
    <w:rsid w:val="04DA1CE2"/>
    <w:rsid w:val="04E40D5A"/>
    <w:rsid w:val="04FB7346"/>
    <w:rsid w:val="04FC3020"/>
    <w:rsid w:val="05126E79"/>
    <w:rsid w:val="052027CE"/>
    <w:rsid w:val="052C32A1"/>
    <w:rsid w:val="05964DD0"/>
    <w:rsid w:val="05BC354D"/>
    <w:rsid w:val="05E76E48"/>
    <w:rsid w:val="05F82B92"/>
    <w:rsid w:val="06422A77"/>
    <w:rsid w:val="065273B5"/>
    <w:rsid w:val="06565D7C"/>
    <w:rsid w:val="067837D9"/>
    <w:rsid w:val="06856661"/>
    <w:rsid w:val="06993764"/>
    <w:rsid w:val="06C228DA"/>
    <w:rsid w:val="06DD56F0"/>
    <w:rsid w:val="06EE0BD4"/>
    <w:rsid w:val="06F60598"/>
    <w:rsid w:val="072A4BA1"/>
    <w:rsid w:val="0747113B"/>
    <w:rsid w:val="075A189C"/>
    <w:rsid w:val="07610E7C"/>
    <w:rsid w:val="07700DBC"/>
    <w:rsid w:val="077D625E"/>
    <w:rsid w:val="07863085"/>
    <w:rsid w:val="0792569A"/>
    <w:rsid w:val="07A74DDB"/>
    <w:rsid w:val="07E6312F"/>
    <w:rsid w:val="080C528C"/>
    <w:rsid w:val="0810599E"/>
    <w:rsid w:val="084D0DC2"/>
    <w:rsid w:val="085A1EEE"/>
    <w:rsid w:val="085D1644"/>
    <w:rsid w:val="08A2799E"/>
    <w:rsid w:val="090A6465"/>
    <w:rsid w:val="090A7334"/>
    <w:rsid w:val="093C74AB"/>
    <w:rsid w:val="094A667C"/>
    <w:rsid w:val="094C4E45"/>
    <w:rsid w:val="095B1740"/>
    <w:rsid w:val="097453C3"/>
    <w:rsid w:val="098B53D8"/>
    <w:rsid w:val="099E1F14"/>
    <w:rsid w:val="09A11D31"/>
    <w:rsid w:val="09A7320D"/>
    <w:rsid w:val="09C000DC"/>
    <w:rsid w:val="09C15C02"/>
    <w:rsid w:val="09CA6767"/>
    <w:rsid w:val="09CA6E4B"/>
    <w:rsid w:val="0A282CB1"/>
    <w:rsid w:val="0A2E7241"/>
    <w:rsid w:val="0A2F7DE4"/>
    <w:rsid w:val="0A563996"/>
    <w:rsid w:val="0A790811"/>
    <w:rsid w:val="0A933186"/>
    <w:rsid w:val="0ACB4F8A"/>
    <w:rsid w:val="0AE52F3A"/>
    <w:rsid w:val="0AFC03FA"/>
    <w:rsid w:val="0B1B484C"/>
    <w:rsid w:val="0B28730C"/>
    <w:rsid w:val="0B3E0926"/>
    <w:rsid w:val="0B3E6C3B"/>
    <w:rsid w:val="0B5605CC"/>
    <w:rsid w:val="0B594CD8"/>
    <w:rsid w:val="0B7E5184"/>
    <w:rsid w:val="0B831701"/>
    <w:rsid w:val="0B903ADE"/>
    <w:rsid w:val="0B912C63"/>
    <w:rsid w:val="0BD151AC"/>
    <w:rsid w:val="0BD45369"/>
    <w:rsid w:val="0BD47733"/>
    <w:rsid w:val="0BE46BAC"/>
    <w:rsid w:val="0C1741FF"/>
    <w:rsid w:val="0C265C27"/>
    <w:rsid w:val="0C7842D7"/>
    <w:rsid w:val="0C7C305E"/>
    <w:rsid w:val="0C833BF7"/>
    <w:rsid w:val="0C9C39DE"/>
    <w:rsid w:val="0CA2623D"/>
    <w:rsid w:val="0CA60E61"/>
    <w:rsid w:val="0CC23E2E"/>
    <w:rsid w:val="0D0604B9"/>
    <w:rsid w:val="0D0F6AD1"/>
    <w:rsid w:val="0D596ABA"/>
    <w:rsid w:val="0D655B60"/>
    <w:rsid w:val="0D757A07"/>
    <w:rsid w:val="0D8E5F16"/>
    <w:rsid w:val="0DA56811"/>
    <w:rsid w:val="0DB22432"/>
    <w:rsid w:val="0DC0261F"/>
    <w:rsid w:val="0DE03A53"/>
    <w:rsid w:val="0DE57EBA"/>
    <w:rsid w:val="0DFB5282"/>
    <w:rsid w:val="0E063882"/>
    <w:rsid w:val="0E1B7FD7"/>
    <w:rsid w:val="0E1E2B7E"/>
    <w:rsid w:val="0E52151F"/>
    <w:rsid w:val="0E702E57"/>
    <w:rsid w:val="0E8B73B1"/>
    <w:rsid w:val="0E8C4A21"/>
    <w:rsid w:val="0EDC6323"/>
    <w:rsid w:val="0F017A6B"/>
    <w:rsid w:val="0F07055B"/>
    <w:rsid w:val="0F083A37"/>
    <w:rsid w:val="0F23294A"/>
    <w:rsid w:val="0F4313EC"/>
    <w:rsid w:val="0F4D159A"/>
    <w:rsid w:val="0F6E4181"/>
    <w:rsid w:val="0F81684C"/>
    <w:rsid w:val="0F8C1821"/>
    <w:rsid w:val="0F912E8A"/>
    <w:rsid w:val="1013696E"/>
    <w:rsid w:val="10180E21"/>
    <w:rsid w:val="101978A8"/>
    <w:rsid w:val="10264A11"/>
    <w:rsid w:val="10401898"/>
    <w:rsid w:val="104230C2"/>
    <w:rsid w:val="104D01F0"/>
    <w:rsid w:val="106B2FA8"/>
    <w:rsid w:val="106D0892"/>
    <w:rsid w:val="10856DB0"/>
    <w:rsid w:val="10945E1E"/>
    <w:rsid w:val="109A2FDC"/>
    <w:rsid w:val="109F1479"/>
    <w:rsid w:val="10A428DE"/>
    <w:rsid w:val="10AD0074"/>
    <w:rsid w:val="10FE773C"/>
    <w:rsid w:val="1119116A"/>
    <w:rsid w:val="113F741D"/>
    <w:rsid w:val="114670F8"/>
    <w:rsid w:val="114A0BD3"/>
    <w:rsid w:val="114B7927"/>
    <w:rsid w:val="11763BE0"/>
    <w:rsid w:val="11AB7A3D"/>
    <w:rsid w:val="11B0158F"/>
    <w:rsid w:val="11BB562D"/>
    <w:rsid w:val="11C11655"/>
    <w:rsid w:val="11D87F8D"/>
    <w:rsid w:val="11E76422"/>
    <w:rsid w:val="11E956F5"/>
    <w:rsid w:val="12033415"/>
    <w:rsid w:val="121456D5"/>
    <w:rsid w:val="121755A1"/>
    <w:rsid w:val="122676F1"/>
    <w:rsid w:val="122D4DAA"/>
    <w:rsid w:val="123527D6"/>
    <w:rsid w:val="1236499F"/>
    <w:rsid w:val="123E0EF8"/>
    <w:rsid w:val="123F2509"/>
    <w:rsid w:val="1246545E"/>
    <w:rsid w:val="124B22C2"/>
    <w:rsid w:val="125D75D4"/>
    <w:rsid w:val="12933EBA"/>
    <w:rsid w:val="129A5602"/>
    <w:rsid w:val="129C545E"/>
    <w:rsid w:val="129E60FC"/>
    <w:rsid w:val="12AB7A04"/>
    <w:rsid w:val="12C12E10"/>
    <w:rsid w:val="12E07C52"/>
    <w:rsid w:val="12E12BAC"/>
    <w:rsid w:val="130701D5"/>
    <w:rsid w:val="131E2317"/>
    <w:rsid w:val="132D01A7"/>
    <w:rsid w:val="134A3EE5"/>
    <w:rsid w:val="136977A7"/>
    <w:rsid w:val="137052C2"/>
    <w:rsid w:val="13B64F28"/>
    <w:rsid w:val="13BB4F30"/>
    <w:rsid w:val="13D50C28"/>
    <w:rsid w:val="13E057DC"/>
    <w:rsid w:val="13F67382"/>
    <w:rsid w:val="141434E0"/>
    <w:rsid w:val="14380635"/>
    <w:rsid w:val="149F6058"/>
    <w:rsid w:val="14A5769C"/>
    <w:rsid w:val="14C83AE8"/>
    <w:rsid w:val="14D9469E"/>
    <w:rsid w:val="14F54579"/>
    <w:rsid w:val="15214F05"/>
    <w:rsid w:val="15263243"/>
    <w:rsid w:val="152767F8"/>
    <w:rsid w:val="15302DB8"/>
    <w:rsid w:val="153A4E05"/>
    <w:rsid w:val="15650F7D"/>
    <w:rsid w:val="159702CF"/>
    <w:rsid w:val="15A028F5"/>
    <w:rsid w:val="15A86CC3"/>
    <w:rsid w:val="15B5150B"/>
    <w:rsid w:val="15BE6ADA"/>
    <w:rsid w:val="15F14576"/>
    <w:rsid w:val="15F33733"/>
    <w:rsid w:val="15F829AC"/>
    <w:rsid w:val="16107AA5"/>
    <w:rsid w:val="161201F3"/>
    <w:rsid w:val="161D655F"/>
    <w:rsid w:val="16266269"/>
    <w:rsid w:val="164E6A70"/>
    <w:rsid w:val="16695541"/>
    <w:rsid w:val="166C078C"/>
    <w:rsid w:val="166C3F8F"/>
    <w:rsid w:val="16A53511"/>
    <w:rsid w:val="16B91C62"/>
    <w:rsid w:val="16C10D44"/>
    <w:rsid w:val="16C620A5"/>
    <w:rsid w:val="16CF62B3"/>
    <w:rsid w:val="16E32626"/>
    <w:rsid w:val="16E6586E"/>
    <w:rsid w:val="16F41248"/>
    <w:rsid w:val="17107FB0"/>
    <w:rsid w:val="171A3B87"/>
    <w:rsid w:val="171C4696"/>
    <w:rsid w:val="1720791B"/>
    <w:rsid w:val="172B6C29"/>
    <w:rsid w:val="176F57CF"/>
    <w:rsid w:val="17B35623"/>
    <w:rsid w:val="17C613F6"/>
    <w:rsid w:val="17ED7592"/>
    <w:rsid w:val="17FD24FB"/>
    <w:rsid w:val="18011497"/>
    <w:rsid w:val="18027281"/>
    <w:rsid w:val="180C5D42"/>
    <w:rsid w:val="182101B7"/>
    <w:rsid w:val="18290656"/>
    <w:rsid w:val="182A30E6"/>
    <w:rsid w:val="185C25CD"/>
    <w:rsid w:val="18750965"/>
    <w:rsid w:val="189629CB"/>
    <w:rsid w:val="18B37CA3"/>
    <w:rsid w:val="18B80FB4"/>
    <w:rsid w:val="18CF1E5E"/>
    <w:rsid w:val="18D40EC0"/>
    <w:rsid w:val="18F03E0E"/>
    <w:rsid w:val="18F64AA4"/>
    <w:rsid w:val="19051B2C"/>
    <w:rsid w:val="197A6855"/>
    <w:rsid w:val="197F61D0"/>
    <w:rsid w:val="1980101B"/>
    <w:rsid w:val="19807EFE"/>
    <w:rsid w:val="199D432D"/>
    <w:rsid w:val="19A5181B"/>
    <w:rsid w:val="19C749DB"/>
    <w:rsid w:val="19D043A9"/>
    <w:rsid w:val="19F01230"/>
    <w:rsid w:val="1A1348E4"/>
    <w:rsid w:val="1A1D0E49"/>
    <w:rsid w:val="1A361E78"/>
    <w:rsid w:val="1A420699"/>
    <w:rsid w:val="1A4259D1"/>
    <w:rsid w:val="1A697E26"/>
    <w:rsid w:val="1A701100"/>
    <w:rsid w:val="1A9F789A"/>
    <w:rsid w:val="1AAB412E"/>
    <w:rsid w:val="1AB31035"/>
    <w:rsid w:val="1AB71175"/>
    <w:rsid w:val="1ABA2925"/>
    <w:rsid w:val="1ABC7451"/>
    <w:rsid w:val="1AEB0FE0"/>
    <w:rsid w:val="1AEC6857"/>
    <w:rsid w:val="1AF04599"/>
    <w:rsid w:val="1AF60A5A"/>
    <w:rsid w:val="1AF8706E"/>
    <w:rsid w:val="1B2D4769"/>
    <w:rsid w:val="1B424584"/>
    <w:rsid w:val="1B663AED"/>
    <w:rsid w:val="1B6678C8"/>
    <w:rsid w:val="1BA46D39"/>
    <w:rsid w:val="1BA71985"/>
    <w:rsid w:val="1BBC447B"/>
    <w:rsid w:val="1BEC7A9D"/>
    <w:rsid w:val="1BFB4C41"/>
    <w:rsid w:val="1C2838BF"/>
    <w:rsid w:val="1C2C3343"/>
    <w:rsid w:val="1C340D5E"/>
    <w:rsid w:val="1C365D8E"/>
    <w:rsid w:val="1C5A0DE8"/>
    <w:rsid w:val="1C622EAD"/>
    <w:rsid w:val="1C69015F"/>
    <w:rsid w:val="1C8B6560"/>
    <w:rsid w:val="1CBC0BD7"/>
    <w:rsid w:val="1CD425E2"/>
    <w:rsid w:val="1CD6462C"/>
    <w:rsid w:val="1CD85CB8"/>
    <w:rsid w:val="1D181DAD"/>
    <w:rsid w:val="1D197394"/>
    <w:rsid w:val="1D3408FB"/>
    <w:rsid w:val="1D6E6F07"/>
    <w:rsid w:val="1D74163C"/>
    <w:rsid w:val="1DA44A30"/>
    <w:rsid w:val="1DC83DE3"/>
    <w:rsid w:val="1E1B7B7F"/>
    <w:rsid w:val="1E260F5D"/>
    <w:rsid w:val="1E2825DB"/>
    <w:rsid w:val="1E5310C7"/>
    <w:rsid w:val="1E615359"/>
    <w:rsid w:val="1E6A3387"/>
    <w:rsid w:val="1E727B44"/>
    <w:rsid w:val="1E76670A"/>
    <w:rsid w:val="1E7D4C1A"/>
    <w:rsid w:val="1ED402D9"/>
    <w:rsid w:val="1EDA2927"/>
    <w:rsid w:val="1EEA4BB7"/>
    <w:rsid w:val="1EEC2DF9"/>
    <w:rsid w:val="1EEC4699"/>
    <w:rsid w:val="1F461580"/>
    <w:rsid w:val="1F834AFE"/>
    <w:rsid w:val="1FC13959"/>
    <w:rsid w:val="1FC42E9D"/>
    <w:rsid w:val="1FD73D6A"/>
    <w:rsid w:val="1FFB6682"/>
    <w:rsid w:val="200D7401"/>
    <w:rsid w:val="202B157C"/>
    <w:rsid w:val="202C7E22"/>
    <w:rsid w:val="202F4F42"/>
    <w:rsid w:val="203820EA"/>
    <w:rsid w:val="20561F1B"/>
    <w:rsid w:val="20655740"/>
    <w:rsid w:val="206E1790"/>
    <w:rsid w:val="20822BBE"/>
    <w:rsid w:val="20A200E4"/>
    <w:rsid w:val="20B0636F"/>
    <w:rsid w:val="20B06F8B"/>
    <w:rsid w:val="20D60A69"/>
    <w:rsid w:val="20E51814"/>
    <w:rsid w:val="20F01CAE"/>
    <w:rsid w:val="20FC3A77"/>
    <w:rsid w:val="21191420"/>
    <w:rsid w:val="21276408"/>
    <w:rsid w:val="214B07EA"/>
    <w:rsid w:val="214C5406"/>
    <w:rsid w:val="215341E5"/>
    <w:rsid w:val="215D225D"/>
    <w:rsid w:val="217A4D61"/>
    <w:rsid w:val="218D2B42"/>
    <w:rsid w:val="219B28C5"/>
    <w:rsid w:val="21A90CDF"/>
    <w:rsid w:val="21AB4186"/>
    <w:rsid w:val="21C912AC"/>
    <w:rsid w:val="21E169EA"/>
    <w:rsid w:val="21F05116"/>
    <w:rsid w:val="224617EF"/>
    <w:rsid w:val="22576CAC"/>
    <w:rsid w:val="228A2D71"/>
    <w:rsid w:val="22A160E7"/>
    <w:rsid w:val="22A61E66"/>
    <w:rsid w:val="22F83907"/>
    <w:rsid w:val="22FA4F96"/>
    <w:rsid w:val="231237F0"/>
    <w:rsid w:val="23446460"/>
    <w:rsid w:val="23502079"/>
    <w:rsid w:val="23720241"/>
    <w:rsid w:val="2374288F"/>
    <w:rsid w:val="237F79BD"/>
    <w:rsid w:val="2383244E"/>
    <w:rsid w:val="238A10F1"/>
    <w:rsid w:val="23A91789"/>
    <w:rsid w:val="23CA592E"/>
    <w:rsid w:val="23F07156"/>
    <w:rsid w:val="23F52C20"/>
    <w:rsid w:val="24083577"/>
    <w:rsid w:val="240F7DFF"/>
    <w:rsid w:val="24151BA3"/>
    <w:rsid w:val="24175A98"/>
    <w:rsid w:val="24275EEE"/>
    <w:rsid w:val="242A5635"/>
    <w:rsid w:val="244514B2"/>
    <w:rsid w:val="246408F0"/>
    <w:rsid w:val="247C4CEF"/>
    <w:rsid w:val="248340A5"/>
    <w:rsid w:val="249B37C8"/>
    <w:rsid w:val="24BE3012"/>
    <w:rsid w:val="24D35B8B"/>
    <w:rsid w:val="24E703A6"/>
    <w:rsid w:val="24F3089A"/>
    <w:rsid w:val="24F75B5A"/>
    <w:rsid w:val="2510775C"/>
    <w:rsid w:val="251C1E65"/>
    <w:rsid w:val="257635E8"/>
    <w:rsid w:val="25800831"/>
    <w:rsid w:val="2580651A"/>
    <w:rsid w:val="259C4F4E"/>
    <w:rsid w:val="25AC4C5F"/>
    <w:rsid w:val="25B54415"/>
    <w:rsid w:val="25B817F9"/>
    <w:rsid w:val="25BA659F"/>
    <w:rsid w:val="25F411F9"/>
    <w:rsid w:val="25F428E9"/>
    <w:rsid w:val="25F77C7F"/>
    <w:rsid w:val="263D02FD"/>
    <w:rsid w:val="26695E5D"/>
    <w:rsid w:val="26776C6B"/>
    <w:rsid w:val="2685203A"/>
    <w:rsid w:val="26B6575C"/>
    <w:rsid w:val="26B90781"/>
    <w:rsid w:val="26C71AEB"/>
    <w:rsid w:val="26CC132C"/>
    <w:rsid w:val="26DD1E76"/>
    <w:rsid w:val="26FB67A0"/>
    <w:rsid w:val="272156D1"/>
    <w:rsid w:val="273B0DCC"/>
    <w:rsid w:val="278C22A7"/>
    <w:rsid w:val="278D2F87"/>
    <w:rsid w:val="27B84691"/>
    <w:rsid w:val="27CB1E72"/>
    <w:rsid w:val="27E15995"/>
    <w:rsid w:val="27E6478F"/>
    <w:rsid w:val="27F51C04"/>
    <w:rsid w:val="27FD3E57"/>
    <w:rsid w:val="280E2D78"/>
    <w:rsid w:val="282E04AF"/>
    <w:rsid w:val="284F5F17"/>
    <w:rsid w:val="28567B91"/>
    <w:rsid w:val="286876AF"/>
    <w:rsid w:val="28AB0C22"/>
    <w:rsid w:val="28AF0C54"/>
    <w:rsid w:val="28DB0637"/>
    <w:rsid w:val="28DD537A"/>
    <w:rsid w:val="28E82D54"/>
    <w:rsid w:val="28FF5EF4"/>
    <w:rsid w:val="292D674F"/>
    <w:rsid w:val="29957CC3"/>
    <w:rsid w:val="29AC4353"/>
    <w:rsid w:val="29B502AC"/>
    <w:rsid w:val="29B73AF8"/>
    <w:rsid w:val="29D02C19"/>
    <w:rsid w:val="29EB32BC"/>
    <w:rsid w:val="29F921E1"/>
    <w:rsid w:val="2A1367AF"/>
    <w:rsid w:val="2A1A518F"/>
    <w:rsid w:val="2A292424"/>
    <w:rsid w:val="2A375D41"/>
    <w:rsid w:val="2A475858"/>
    <w:rsid w:val="2A5311F6"/>
    <w:rsid w:val="2A8D1A1A"/>
    <w:rsid w:val="2A9C532C"/>
    <w:rsid w:val="2AB91E28"/>
    <w:rsid w:val="2AC670C5"/>
    <w:rsid w:val="2ACD2201"/>
    <w:rsid w:val="2AE5610E"/>
    <w:rsid w:val="2AE636CE"/>
    <w:rsid w:val="2AF824D0"/>
    <w:rsid w:val="2AFE23BA"/>
    <w:rsid w:val="2B16703F"/>
    <w:rsid w:val="2B204A27"/>
    <w:rsid w:val="2B4C102F"/>
    <w:rsid w:val="2B4F6C25"/>
    <w:rsid w:val="2B5B5A8E"/>
    <w:rsid w:val="2B9F5F29"/>
    <w:rsid w:val="2BBC5144"/>
    <w:rsid w:val="2BDF3C68"/>
    <w:rsid w:val="2BE36287"/>
    <w:rsid w:val="2BE42183"/>
    <w:rsid w:val="2BE634C1"/>
    <w:rsid w:val="2C274699"/>
    <w:rsid w:val="2C3F3C29"/>
    <w:rsid w:val="2C571C43"/>
    <w:rsid w:val="2CA97EA8"/>
    <w:rsid w:val="2CAC2DE6"/>
    <w:rsid w:val="2CBA4A07"/>
    <w:rsid w:val="2CDD458A"/>
    <w:rsid w:val="2CE01447"/>
    <w:rsid w:val="2CF510EE"/>
    <w:rsid w:val="2D343CBB"/>
    <w:rsid w:val="2D353C66"/>
    <w:rsid w:val="2D43330F"/>
    <w:rsid w:val="2D4728AF"/>
    <w:rsid w:val="2D525C3B"/>
    <w:rsid w:val="2D7E3C87"/>
    <w:rsid w:val="2D847DA7"/>
    <w:rsid w:val="2D967001"/>
    <w:rsid w:val="2DA2601A"/>
    <w:rsid w:val="2DAA1BDC"/>
    <w:rsid w:val="2DAC00B7"/>
    <w:rsid w:val="2DD22CBC"/>
    <w:rsid w:val="2DF7663E"/>
    <w:rsid w:val="2E1E1189"/>
    <w:rsid w:val="2E314855"/>
    <w:rsid w:val="2E625B1F"/>
    <w:rsid w:val="2E7A61FC"/>
    <w:rsid w:val="2E7F121C"/>
    <w:rsid w:val="2ECA25D8"/>
    <w:rsid w:val="2ED66ACC"/>
    <w:rsid w:val="2EDA582A"/>
    <w:rsid w:val="2EFD551D"/>
    <w:rsid w:val="2F146F23"/>
    <w:rsid w:val="2F47498F"/>
    <w:rsid w:val="2F503401"/>
    <w:rsid w:val="2F5E6D2E"/>
    <w:rsid w:val="2F724220"/>
    <w:rsid w:val="2F8135BA"/>
    <w:rsid w:val="2F825A3A"/>
    <w:rsid w:val="2FAC01A2"/>
    <w:rsid w:val="2FAC155E"/>
    <w:rsid w:val="2FD0231D"/>
    <w:rsid w:val="2FE242D2"/>
    <w:rsid w:val="2FF409E7"/>
    <w:rsid w:val="302570AB"/>
    <w:rsid w:val="302D77EA"/>
    <w:rsid w:val="303A501C"/>
    <w:rsid w:val="303B0F31"/>
    <w:rsid w:val="30770327"/>
    <w:rsid w:val="30AB5CDA"/>
    <w:rsid w:val="30C10112"/>
    <w:rsid w:val="30DC0173"/>
    <w:rsid w:val="30F01958"/>
    <w:rsid w:val="30F05416"/>
    <w:rsid w:val="31172428"/>
    <w:rsid w:val="31466B3D"/>
    <w:rsid w:val="315A3932"/>
    <w:rsid w:val="318F600C"/>
    <w:rsid w:val="31CF291F"/>
    <w:rsid w:val="31D021BE"/>
    <w:rsid w:val="31DC27E3"/>
    <w:rsid w:val="31DC63AE"/>
    <w:rsid w:val="31DC73B4"/>
    <w:rsid w:val="31E54BBE"/>
    <w:rsid w:val="31EC7411"/>
    <w:rsid w:val="320374D7"/>
    <w:rsid w:val="321A2132"/>
    <w:rsid w:val="322301DC"/>
    <w:rsid w:val="32327D02"/>
    <w:rsid w:val="323567C2"/>
    <w:rsid w:val="32764F2C"/>
    <w:rsid w:val="327C185A"/>
    <w:rsid w:val="32845543"/>
    <w:rsid w:val="32B85FBA"/>
    <w:rsid w:val="32BA12BD"/>
    <w:rsid w:val="32DC5071"/>
    <w:rsid w:val="32F453AB"/>
    <w:rsid w:val="33000825"/>
    <w:rsid w:val="330C0334"/>
    <w:rsid w:val="33167CFF"/>
    <w:rsid w:val="33171828"/>
    <w:rsid w:val="331C1677"/>
    <w:rsid w:val="33414BBC"/>
    <w:rsid w:val="336C1921"/>
    <w:rsid w:val="337B25A0"/>
    <w:rsid w:val="337C54AD"/>
    <w:rsid w:val="337D06A9"/>
    <w:rsid w:val="337E4B6F"/>
    <w:rsid w:val="33AC6B35"/>
    <w:rsid w:val="33BB353F"/>
    <w:rsid w:val="33D942AB"/>
    <w:rsid w:val="33F407B6"/>
    <w:rsid w:val="33F96D31"/>
    <w:rsid w:val="343B7E9C"/>
    <w:rsid w:val="344A2B14"/>
    <w:rsid w:val="344C1A5E"/>
    <w:rsid w:val="345814E8"/>
    <w:rsid w:val="34643AA5"/>
    <w:rsid w:val="34655954"/>
    <w:rsid w:val="3469450D"/>
    <w:rsid w:val="346D0636"/>
    <w:rsid w:val="346E05B1"/>
    <w:rsid w:val="3470650D"/>
    <w:rsid w:val="34A25E30"/>
    <w:rsid w:val="34B5061B"/>
    <w:rsid w:val="34E012F0"/>
    <w:rsid w:val="352949E1"/>
    <w:rsid w:val="3570640E"/>
    <w:rsid w:val="3579545F"/>
    <w:rsid w:val="357C0EB5"/>
    <w:rsid w:val="357F67EE"/>
    <w:rsid w:val="35874B0D"/>
    <w:rsid w:val="358D2CB9"/>
    <w:rsid w:val="35B44BB1"/>
    <w:rsid w:val="35C0497C"/>
    <w:rsid w:val="35F20D6E"/>
    <w:rsid w:val="35F920FC"/>
    <w:rsid w:val="362266D8"/>
    <w:rsid w:val="36245BE2"/>
    <w:rsid w:val="36465143"/>
    <w:rsid w:val="3680659E"/>
    <w:rsid w:val="36807EED"/>
    <w:rsid w:val="368B493D"/>
    <w:rsid w:val="36954142"/>
    <w:rsid w:val="369A30A2"/>
    <w:rsid w:val="36A93ABC"/>
    <w:rsid w:val="36BB0910"/>
    <w:rsid w:val="36BD5B41"/>
    <w:rsid w:val="36CA6A16"/>
    <w:rsid w:val="36CB28D9"/>
    <w:rsid w:val="36DB4549"/>
    <w:rsid w:val="36EA5EE9"/>
    <w:rsid w:val="36F67248"/>
    <w:rsid w:val="37052810"/>
    <w:rsid w:val="37164F30"/>
    <w:rsid w:val="37177FCA"/>
    <w:rsid w:val="374028EC"/>
    <w:rsid w:val="374F6B75"/>
    <w:rsid w:val="37DE0D9D"/>
    <w:rsid w:val="37E24755"/>
    <w:rsid w:val="37F0752F"/>
    <w:rsid w:val="380F6B37"/>
    <w:rsid w:val="381B0506"/>
    <w:rsid w:val="381B3F7A"/>
    <w:rsid w:val="384F74E4"/>
    <w:rsid w:val="388E4E9B"/>
    <w:rsid w:val="38975BFC"/>
    <w:rsid w:val="38C0729E"/>
    <w:rsid w:val="38F21661"/>
    <w:rsid w:val="38FD705B"/>
    <w:rsid w:val="39014BAE"/>
    <w:rsid w:val="392C54F2"/>
    <w:rsid w:val="395F5D54"/>
    <w:rsid w:val="39872B7F"/>
    <w:rsid w:val="399A2704"/>
    <w:rsid w:val="39A23B30"/>
    <w:rsid w:val="39A52F16"/>
    <w:rsid w:val="39AD7684"/>
    <w:rsid w:val="39BF20A0"/>
    <w:rsid w:val="39CA42A5"/>
    <w:rsid w:val="39E16F8D"/>
    <w:rsid w:val="39E22891"/>
    <w:rsid w:val="3A094288"/>
    <w:rsid w:val="3A1679DA"/>
    <w:rsid w:val="3A1A0F67"/>
    <w:rsid w:val="3A2A7FC3"/>
    <w:rsid w:val="3A384FCA"/>
    <w:rsid w:val="3A4E37F2"/>
    <w:rsid w:val="3A53088C"/>
    <w:rsid w:val="3A6366DE"/>
    <w:rsid w:val="3A6719C0"/>
    <w:rsid w:val="3A756673"/>
    <w:rsid w:val="3A8C79E3"/>
    <w:rsid w:val="3A9B7C26"/>
    <w:rsid w:val="3AA57B47"/>
    <w:rsid w:val="3AA8173B"/>
    <w:rsid w:val="3AB678FE"/>
    <w:rsid w:val="3ACD7D7B"/>
    <w:rsid w:val="3AD251B2"/>
    <w:rsid w:val="3ADB2718"/>
    <w:rsid w:val="3ADF0E53"/>
    <w:rsid w:val="3AEF3ACE"/>
    <w:rsid w:val="3AF15A98"/>
    <w:rsid w:val="3AFC6B6F"/>
    <w:rsid w:val="3B044408"/>
    <w:rsid w:val="3B461B5F"/>
    <w:rsid w:val="3B8149DC"/>
    <w:rsid w:val="3BA1126C"/>
    <w:rsid w:val="3BB9317F"/>
    <w:rsid w:val="3BD335CC"/>
    <w:rsid w:val="3BEB0739"/>
    <w:rsid w:val="3BFD5F5A"/>
    <w:rsid w:val="3C053902"/>
    <w:rsid w:val="3C2B0000"/>
    <w:rsid w:val="3C37709C"/>
    <w:rsid w:val="3C386D5C"/>
    <w:rsid w:val="3C545D58"/>
    <w:rsid w:val="3C68233C"/>
    <w:rsid w:val="3C7249B6"/>
    <w:rsid w:val="3C846829"/>
    <w:rsid w:val="3CAA1B3E"/>
    <w:rsid w:val="3CB13731"/>
    <w:rsid w:val="3CC154A2"/>
    <w:rsid w:val="3CDE7A31"/>
    <w:rsid w:val="3CDF0B2B"/>
    <w:rsid w:val="3CE84C78"/>
    <w:rsid w:val="3D1465E4"/>
    <w:rsid w:val="3D37784B"/>
    <w:rsid w:val="3D436353"/>
    <w:rsid w:val="3D474095"/>
    <w:rsid w:val="3D4D4685"/>
    <w:rsid w:val="3D615732"/>
    <w:rsid w:val="3D7D03C8"/>
    <w:rsid w:val="3DC470D3"/>
    <w:rsid w:val="3DE559F5"/>
    <w:rsid w:val="3DF018DA"/>
    <w:rsid w:val="3DFA4FA3"/>
    <w:rsid w:val="3E110C74"/>
    <w:rsid w:val="3E12061C"/>
    <w:rsid w:val="3E1C0BF4"/>
    <w:rsid w:val="3E315FAE"/>
    <w:rsid w:val="3E3368D7"/>
    <w:rsid w:val="3E484DCE"/>
    <w:rsid w:val="3E8344E4"/>
    <w:rsid w:val="3E835835"/>
    <w:rsid w:val="3E950E30"/>
    <w:rsid w:val="3E9A1FA2"/>
    <w:rsid w:val="3EB71949"/>
    <w:rsid w:val="3ED915CF"/>
    <w:rsid w:val="3EDF5FA5"/>
    <w:rsid w:val="3EF26FD2"/>
    <w:rsid w:val="3F0B4C4E"/>
    <w:rsid w:val="3F286941"/>
    <w:rsid w:val="3F39662D"/>
    <w:rsid w:val="3F5B4644"/>
    <w:rsid w:val="3F65277C"/>
    <w:rsid w:val="3F870779"/>
    <w:rsid w:val="3F887E02"/>
    <w:rsid w:val="3F9115F7"/>
    <w:rsid w:val="3FAA26B9"/>
    <w:rsid w:val="3FCB6E92"/>
    <w:rsid w:val="3FE1257F"/>
    <w:rsid w:val="3FFB6830"/>
    <w:rsid w:val="40080673"/>
    <w:rsid w:val="400F7574"/>
    <w:rsid w:val="401F20E8"/>
    <w:rsid w:val="40497D6F"/>
    <w:rsid w:val="40710D05"/>
    <w:rsid w:val="40765F16"/>
    <w:rsid w:val="407C39FC"/>
    <w:rsid w:val="408305B0"/>
    <w:rsid w:val="40B05E22"/>
    <w:rsid w:val="40B24E46"/>
    <w:rsid w:val="40B557B9"/>
    <w:rsid w:val="40BE37B3"/>
    <w:rsid w:val="40D6431E"/>
    <w:rsid w:val="40E1210B"/>
    <w:rsid w:val="40F00E4A"/>
    <w:rsid w:val="41054182"/>
    <w:rsid w:val="4107126B"/>
    <w:rsid w:val="411F6999"/>
    <w:rsid w:val="41305D95"/>
    <w:rsid w:val="413B5CBF"/>
    <w:rsid w:val="41884FF2"/>
    <w:rsid w:val="41AD1F26"/>
    <w:rsid w:val="41C7444A"/>
    <w:rsid w:val="41E37F5C"/>
    <w:rsid w:val="41E55C2A"/>
    <w:rsid w:val="420E5181"/>
    <w:rsid w:val="421D3616"/>
    <w:rsid w:val="423147C9"/>
    <w:rsid w:val="423A0CFF"/>
    <w:rsid w:val="42805697"/>
    <w:rsid w:val="42867A6B"/>
    <w:rsid w:val="42A42315"/>
    <w:rsid w:val="42A94EAA"/>
    <w:rsid w:val="42CB1CE0"/>
    <w:rsid w:val="43076557"/>
    <w:rsid w:val="430E6AD2"/>
    <w:rsid w:val="43292D4B"/>
    <w:rsid w:val="43562E9B"/>
    <w:rsid w:val="43716328"/>
    <w:rsid w:val="43754D8C"/>
    <w:rsid w:val="439D67BD"/>
    <w:rsid w:val="43AA435A"/>
    <w:rsid w:val="43D634B0"/>
    <w:rsid w:val="43E206AE"/>
    <w:rsid w:val="44306BA9"/>
    <w:rsid w:val="4449065B"/>
    <w:rsid w:val="444A1A18"/>
    <w:rsid w:val="44546B60"/>
    <w:rsid w:val="44627B9D"/>
    <w:rsid w:val="449905D1"/>
    <w:rsid w:val="44A712E6"/>
    <w:rsid w:val="44CF0F0A"/>
    <w:rsid w:val="44E54B93"/>
    <w:rsid w:val="451C51EF"/>
    <w:rsid w:val="451F7124"/>
    <w:rsid w:val="452256FD"/>
    <w:rsid w:val="454C0551"/>
    <w:rsid w:val="45513181"/>
    <w:rsid w:val="45532AFD"/>
    <w:rsid w:val="456D77C7"/>
    <w:rsid w:val="4577128F"/>
    <w:rsid w:val="459C4852"/>
    <w:rsid w:val="45AC718B"/>
    <w:rsid w:val="45D70EA3"/>
    <w:rsid w:val="46182566"/>
    <w:rsid w:val="4650368C"/>
    <w:rsid w:val="4652360C"/>
    <w:rsid w:val="46574DD6"/>
    <w:rsid w:val="465B470D"/>
    <w:rsid w:val="4666239A"/>
    <w:rsid w:val="466F1F67"/>
    <w:rsid w:val="467D4684"/>
    <w:rsid w:val="469517D4"/>
    <w:rsid w:val="46B463A9"/>
    <w:rsid w:val="46B66E6C"/>
    <w:rsid w:val="46DC103C"/>
    <w:rsid w:val="46EB08A6"/>
    <w:rsid w:val="46EC5FB5"/>
    <w:rsid w:val="470038DD"/>
    <w:rsid w:val="47107C02"/>
    <w:rsid w:val="472F6688"/>
    <w:rsid w:val="473967C5"/>
    <w:rsid w:val="47431429"/>
    <w:rsid w:val="475A6CB7"/>
    <w:rsid w:val="47604C12"/>
    <w:rsid w:val="478415DD"/>
    <w:rsid w:val="478A0B74"/>
    <w:rsid w:val="47A73950"/>
    <w:rsid w:val="47BE546E"/>
    <w:rsid w:val="47BE6C39"/>
    <w:rsid w:val="47BE7A64"/>
    <w:rsid w:val="47E377CC"/>
    <w:rsid w:val="47E56507"/>
    <w:rsid w:val="48006081"/>
    <w:rsid w:val="483C2E76"/>
    <w:rsid w:val="487157B9"/>
    <w:rsid w:val="48966868"/>
    <w:rsid w:val="48995230"/>
    <w:rsid w:val="489A7384"/>
    <w:rsid w:val="489C5A47"/>
    <w:rsid w:val="48A303B6"/>
    <w:rsid w:val="48AD483A"/>
    <w:rsid w:val="48DA0226"/>
    <w:rsid w:val="48EE1869"/>
    <w:rsid w:val="48F33F10"/>
    <w:rsid w:val="48FC1DCD"/>
    <w:rsid w:val="490746D8"/>
    <w:rsid w:val="491C5119"/>
    <w:rsid w:val="49456888"/>
    <w:rsid w:val="497334BE"/>
    <w:rsid w:val="49B84DE2"/>
    <w:rsid w:val="49C227B1"/>
    <w:rsid w:val="49C25E90"/>
    <w:rsid w:val="49CA2B89"/>
    <w:rsid w:val="49D85AFB"/>
    <w:rsid w:val="49DA240D"/>
    <w:rsid w:val="49FC75DE"/>
    <w:rsid w:val="4A0408AD"/>
    <w:rsid w:val="4A094CEA"/>
    <w:rsid w:val="4A152ADF"/>
    <w:rsid w:val="4A1900E9"/>
    <w:rsid w:val="4A1E0406"/>
    <w:rsid w:val="4A3D77E4"/>
    <w:rsid w:val="4A572642"/>
    <w:rsid w:val="4A58222E"/>
    <w:rsid w:val="4A637F68"/>
    <w:rsid w:val="4A6F5E39"/>
    <w:rsid w:val="4A793F21"/>
    <w:rsid w:val="4ABC62D4"/>
    <w:rsid w:val="4ACC3E2B"/>
    <w:rsid w:val="4AEE3DA2"/>
    <w:rsid w:val="4AF75F0A"/>
    <w:rsid w:val="4AF77174"/>
    <w:rsid w:val="4AF80F9A"/>
    <w:rsid w:val="4B4F7EC3"/>
    <w:rsid w:val="4B543CB7"/>
    <w:rsid w:val="4BBD24CC"/>
    <w:rsid w:val="4BDE5BC4"/>
    <w:rsid w:val="4BE56F53"/>
    <w:rsid w:val="4BF8469F"/>
    <w:rsid w:val="4C035DFD"/>
    <w:rsid w:val="4C1E052A"/>
    <w:rsid w:val="4C2A6304"/>
    <w:rsid w:val="4C3468A5"/>
    <w:rsid w:val="4C547C35"/>
    <w:rsid w:val="4C564E4E"/>
    <w:rsid w:val="4C7049F4"/>
    <w:rsid w:val="4CAC181F"/>
    <w:rsid w:val="4CBB38E9"/>
    <w:rsid w:val="4CBC3A7A"/>
    <w:rsid w:val="4CDE12DC"/>
    <w:rsid w:val="4CE33643"/>
    <w:rsid w:val="4CE97F67"/>
    <w:rsid w:val="4CF74C52"/>
    <w:rsid w:val="4CF82D92"/>
    <w:rsid w:val="4CFB09F8"/>
    <w:rsid w:val="4D0F55F5"/>
    <w:rsid w:val="4D123956"/>
    <w:rsid w:val="4D3330A5"/>
    <w:rsid w:val="4D7B4D60"/>
    <w:rsid w:val="4D8A5497"/>
    <w:rsid w:val="4D9B7F55"/>
    <w:rsid w:val="4DA632C6"/>
    <w:rsid w:val="4DB50819"/>
    <w:rsid w:val="4DCB3AF2"/>
    <w:rsid w:val="4DCD6E17"/>
    <w:rsid w:val="4DEC62CE"/>
    <w:rsid w:val="4E330C3B"/>
    <w:rsid w:val="4E6A438F"/>
    <w:rsid w:val="4E8A0F30"/>
    <w:rsid w:val="4E8A2033"/>
    <w:rsid w:val="4E987EE7"/>
    <w:rsid w:val="4EC956B6"/>
    <w:rsid w:val="4ED44768"/>
    <w:rsid w:val="4ED51044"/>
    <w:rsid w:val="4EEB003B"/>
    <w:rsid w:val="4EF641FB"/>
    <w:rsid w:val="4F024A2A"/>
    <w:rsid w:val="4F035F78"/>
    <w:rsid w:val="4F162D10"/>
    <w:rsid w:val="4F1749C6"/>
    <w:rsid w:val="4F196FB8"/>
    <w:rsid w:val="4F351E33"/>
    <w:rsid w:val="4F351EFE"/>
    <w:rsid w:val="4F77022A"/>
    <w:rsid w:val="4FA57265"/>
    <w:rsid w:val="4FA83DE9"/>
    <w:rsid w:val="4FBF58DF"/>
    <w:rsid w:val="4FDB1D88"/>
    <w:rsid w:val="4FDE045B"/>
    <w:rsid w:val="4FE24CD5"/>
    <w:rsid w:val="50012607"/>
    <w:rsid w:val="5021187F"/>
    <w:rsid w:val="50263CB6"/>
    <w:rsid w:val="5032028D"/>
    <w:rsid w:val="504878CE"/>
    <w:rsid w:val="50582591"/>
    <w:rsid w:val="507C3A0C"/>
    <w:rsid w:val="507E1724"/>
    <w:rsid w:val="509A1EB3"/>
    <w:rsid w:val="50B12EEA"/>
    <w:rsid w:val="50B67155"/>
    <w:rsid w:val="510B2A49"/>
    <w:rsid w:val="513B0983"/>
    <w:rsid w:val="5164091A"/>
    <w:rsid w:val="516969B3"/>
    <w:rsid w:val="516B21ED"/>
    <w:rsid w:val="516F2B57"/>
    <w:rsid w:val="51711E0D"/>
    <w:rsid w:val="518F3A9F"/>
    <w:rsid w:val="51B56CE5"/>
    <w:rsid w:val="51B61003"/>
    <w:rsid w:val="51BC5B2A"/>
    <w:rsid w:val="51E25CE3"/>
    <w:rsid w:val="5206262F"/>
    <w:rsid w:val="520E7D88"/>
    <w:rsid w:val="526528AA"/>
    <w:rsid w:val="52781F26"/>
    <w:rsid w:val="528A42C9"/>
    <w:rsid w:val="528A5513"/>
    <w:rsid w:val="52984367"/>
    <w:rsid w:val="529C44B2"/>
    <w:rsid w:val="52DC6832"/>
    <w:rsid w:val="53282C81"/>
    <w:rsid w:val="533936E2"/>
    <w:rsid w:val="53432167"/>
    <w:rsid w:val="53466863"/>
    <w:rsid w:val="535A3C65"/>
    <w:rsid w:val="53643F5E"/>
    <w:rsid w:val="536A3A41"/>
    <w:rsid w:val="53B42001"/>
    <w:rsid w:val="53C30866"/>
    <w:rsid w:val="53E00BED"/>
    <w:rsid w:val="53ED118E"/>
    <w:rsid w:val="53F268CE"/>
    <w:rsid w:val="540E0C09"/>
    <w:rsid w:val="5433223F"/>
    <w:rsid w:val="543446C5"/>
    <w:rsid w:val="54555902"/>
    <w:rsid w:val="54BB5C9C"/>
    <w:rsid w:val="54CC4F98"/>
    <w:rsid w:val="54D933CD"/>
    <w:rsid w:val="54F93A6F"/>
    <w:rsid w:val="54FC01BE"/>
    <w:rsid w:val="55183D6B"/>
    <w:rsid w:val="55184B50"/>
    <w:rsid w:val="551C1FC6"/>
    <w:rsid w:val="5548064E"/>
    <w:rsid w:val="555369CE"/>
    <w:rsid w:val="559519EA"/>
    <w:rsid w:val="55B910E0"/>
    <w:rsid w:val="55BD0D37"/>
    <w:rsid w:val="560A4CFE"/>
    <w:rsid w:val="56215531"/>
    <w:rsid w:val="5625491E"/>
    <w:rsid w:val="56326745"/>
    <w:rsid w:val="56344410"/>
    <w:rsid w:val="567C59FA"/>
    <w:rsid w:val="56840B5C"/>
    <w:rsid w:val="56952843"/>
    <w:rsid w:val="56997B26"/>
    <w:rsid w:val="569D042A"/>
    <w:rsid w:val="569E44D7"/>
    <w:rsid w:val="56B67741"/>
    <w:rsid w:val="56EE66DB"/>
    <w:rsid w:val="570375C9"/>
    <w:rsid w:val="5706231D"/>
    <w:rsid w:val="571132F2"/>
    <w:rsid w:val="571561AB"/>
    <w:rsid w:val="571D7433"/>
    <w:rsid w:val="574065EE"/>
    <w:rsid w:val="574972C4"/>
    <w:rsid w:val="575256B8"/>
    <w:rsid w:val="57532D67"/>
    <w:rsid w:val="57717AAB"/>
    <w:rsid w:val="577A31F7"/>
    <w:rsid w:val="579B3F7E"/>
    <w:rsid w:val="579D62ED"/>
    <w:rsid w:val="57A00E2D"/>
    <w:rsid w:val="57A80093"/>
    <w:rsid w:val="57D22476"/>
    <w:rsid w:val="57E917B3"/>
    <w:rsid w:val="57F47740"/>
    <w:rsid w:val="584251C8"/>
    <w:rsid w:val="586C125B"/>
    <w:rsid w:val="58797B0F"/>
    <w:rsid w:val="587C3899"/>
    <w:rsid w:val="58A41022"/>
    <w:rsid w:val="58E04BAF"/>
    <w:rsid w:val="58E63666"/>
    <w:rsid w:val="58F37843"/>
    <w:rsid w:val="590A7AD2"/>
    <w:rsid w:val="590B3D71"/>
    <w:rsid w:val="59170968"/>
    <w:rsid w:val="591C0BD6"/>
    <w:rsid w:val="59283BAC"/>
    <w:rsid w:val="59327716"/>
    <w:rsid w:val="59344A07"/>
    <w:rsid w:val="59621264"/>
    <w:rsid w:val="59633BAD"/>
    <w:rsid w:val="59746121"/>
    <w:rsid w:val="598802E5"/>
    <w:rsid w:val="59AC1E0A"/>
    <w:rsid w:val="59AF5201"/>
    <w:rsid w:val="5A2C0443"/>
    <w:rsid w:val="5A821E11"/>
    <w:rsid w:val="5A8C5871"/>
    <w:rsid w:val="5A94237B"/>
    <w:rsid w:val="5A9575CD"/>
    <w:rsid w:val="5A9658BC"/>
    <w:rsid w:val="5A9B2ED2"/>
    <w:rsid w:val="5AAB7FC9"/>
    <w:rsid w:val="5AB85ACC"/>
    <w:rsid w:val="5ABD465D"/>
    <w:rsid w:val="5AD32F5C"/>
    <w:rsid w:val="5AD73DEA"/>
    <w:rsid w:val="5AEE1AF4"/>
    <w:rsid w:val="5AFC6B2F"/>
    <w:rsid w:val="5B0B6B1F"/>
    <w:rsid w:val="5B706361"/>
    <w:rsid w:val="5B8A0A2A"/>
    <w:rsid w:val="5B93080E"/>
    <w:rsid w:val="5B93261C"/>
    <w:rsid w:val="5B950E80"/>
    <w:rsid w:val="5B9F4F9C"/>
    <w:rsid w:val="5BA30865"/>
    <w:rsid w:val="5BD3008F"/>
    <w:rsid w:val="5BD41273"/>
    <w:rsid w:val="5BE340C8"/>
    <w:rsid w:val="5BED177B"/>
    <w:rsid w:val="5C3034C2"/>
    <w:rsid w:val="5CA32EFF"/>
    <w:rsid w:val="5CAA1CD6"/>
    <w:rsid w:val="5CBF2525"/>
    <w:rsid w:val="5CC20AD1"/>
    <w:rsid w:val="5CE943C9"/>
    <w:rsid w:val="5CED4E44"/>
    <w:rsid w:val="5D155BE0"/>
    <w:rsid w:val="5D302B4D"/>
    <w:rsid w:val="5D322125"/>
    <w:rsid w:val="5D3C1953"/>
    <w:rsid w:val="5D5348B5"/>
    <w:rsid w:val="5D5C38A7"/>
    <w:rsid w:val="5D953179"/>
    <w:rsid w:val="5D964551"/>
    <w:rsid w:val="5D973E01"/>
    <w:rsid w:val="5DA37DD3"/>
    <w:rsid w:val="5DA50348"/>
    <w:rsid w:val="5DA64206"/>
    <w:rsid w:val="5DBA573B"/>
    <w:rsid w:val="5DD23255"/>
    <w:rsid w:val="5DDE730D"/>
    <w:rsid w:val="5E0301A7"/>
    <w:rsid w:val="5E233D0F"/>
    <w:rsid w:val="5E254B43"/>
    <w:rsid w:val="5E3E49DB"/>
    <w:rsid w:val="5E525F9E"/>
    <w:rsid w:val="5E6C52B2"/>
    <w:rsid w:val="5E6D0F5F"/>
    <w:rsid w:val="5E994914"/>
    <w:rsid w:val="5ED30E8D"/>
    <w:rsid w:val="5F025C16"/>
    <w:rsid w:val="5F1013CB"/>
    <w:rsid w:val="5F105C3D"/>
    <w:rsid w:val="5F275E5B"/>
    <w:rsid w:val="5F475CDD"/>
    <w:rsid w:val="5F5B57C1"/>
    <w:rsid w:val="5F6710D6"/>
    <w:rsid w:val="5F6D5921"/>
    <w:rsid w:val="5F6F1569"/>
    <w:rsid w:val="5FB23198"/>
    <w:rsid w:val="5FD654FD"/>
    <w:rsid w:val="5FF90FB6"/>
    <w:rsid w:val="60093841"/>
    <w:rsid w:val="60210924"/>
    <w:rsid w:val="6065645C"/>
    <w:rsid w:val="606E79B5"/>
    <w:rsid w:val="609D30EB"/>
    <w:rsid w:val="60A10301"/>
    <w:rsid w:val="60DA7EC3"/>
    <w:rsid w:val="60ED42DD"/>
    <w:rsid w:val="60ED6CA4"/>
    <w:rsid w:val="60FB46CB"/>
    <w:rsid w:val="60FE69B5"/>
    <w:rsid w:val="610E1C03"/>
    <w:rsid w:val="61187099"/>
    <w:rsid w:val="61595B96"/>
    <w:rsid w:val="616677E4"/>
    <w:rsid w:val="61852D39"/>
    <w:rsid w:val="61921F01"/>
    <w:rsid w:val="61D9547D"/>
    <w:rsid w:val="61D96F5C"/>
    <w:rsid w:val="61F733E7"/>
    <w:rsid w:val="623A4581"/>
    <w:rsid w:val="62510507"/>
    <w:rsid w:val="62717E41"/>
    <w:rsid w:val="6285474B"/>
    <w:rsid w:val="628B4DC5"/>
    <w:rsid w:val="62CF347D"/>
    <w:rsid w:val="62CF7BBD"/>
    <w:rsid w:val="635F7B1D"/>
    <w:rsid w:val="636B37C7"/>
    <w:rsid w:val="6388461A"/>
    <w:rsid w:val="638A464A"/>
    <w:rsid w:val="63985936"/>
    <w:rsid w:val="639A3569"/>
    <w:rsid w:val="63AD43A2"/>
    <w:rsid w:val="63B40013"/>
    <w:rsid w:val="63B514A9"/>
    <w:rsid w:val="63F85FA3"/>
    <w:rsid w:val="64015286"/>
    <w:rsid w:val="640E2967"/>
    <w:rsid w:val="6418776D"/>
    <w:rsid w:val="641C33CA"/>
    <w:rsid w:val="643F0D32"/>
    <w:rsid w:val="646709F5"/>
    <w:rsid w:val="64746C6E"/>
    <w:rsid w:val="647A6441"/>
    <w:rsid w:val="64844B71"/>
    <w:rsid w:val="64923598"/>
    <w:rsid w:val="64AA4BF6"/>
    <w:rsid w:val="64CB0C4E"/>
    <w:rsid w:val="64FF4B89"/>
    <w:rsid w:val="65005A23"/>
    <w:rsid w:val="650556E5"/>
    <w:rsid w:val="65573919"/>
    <w:rsid w:val="655E2142"/>
    <w:rsid w:val="656754D8"/>
    <w:rsid w:val="656B62C3"/>
    <w:rsid w:val="65A705FE"/>
    <w:rsid w:val="65B7117E"/>
    <w:rsid w:val="65D379C4"/>
    <w:rsid w:val="65E451A4"/>
    <w:rsid w:val="65EB12B8"/>
    <w:rsid w:val="66000516"/>
    <w:rsid w:val="66265500"/>
    <w:rsid w:val="663568D1"/>
    <w:rsid w:val="66644AA2"/>
    <w:rsid w:val="666B4E1E"/>
    <w:rsid w:val="668D027E"/>
    <w:rsid w:val="66A17B48"/>
    <w:rsid w:val="66B43C9A"/>
    <w:rsid w:val="66CB3266"/>
    <w:rsid w:val="66D165FA"/>
    <w:rsid w:val="66EE7364"/>
    <w:rsid w:val="67265FFB"/>
    <w:rsid w:val="67636E23"/>
    <w:rsid w:val="67726FED"/>
    <w:rsid w:val="67752EAC"/>
    <w:rsid w:val="67760F4F"/>
    <w:rsid w:val="67B3323A"/>
    <w:rsid w:val="67B93B82"/>
    <w:rsid w:val="67EC1211"/>
    <w:rsid w:val="67F85E08"/>
    <w:rsid w:val="680C0CB3"/>
    <w:rsid w:val="681749C1"/>
    <w:rsid w:val="683567A2"/>
    <w:rsid w:val="68705450"/>
    <w:rsid w:val="68815DFE"/>
    <w:rsid w:val="68894764"/>
    <w:rsid w:val="689A0DB9"/>
    <w:rsid w:val="68A420FA"/>
    <w:rsid w:val="68BF628B"/>
    <w:rsid w:val="68C47DD2"/>
    <w:rsid w:val="68D46DEE"/>
    <w:rsid w:val="68D807A4"/>
    <w:rsid w:val="68F71B6F"/>
    <w:rsid w:val="68F972F6"/>
    <w:rsid w:val="6908207B"/>
    <w:rsid w:val="69340B79"/>
    <w:rsid w:val="693845EE"/>
    <w:rsid w:val="6939141D"/>
    <w:rsid w:val="69444673"/>
    <w:rsid w:val="698C6808"/>
    <w:rsid w:val="699C109C"/>
    <w:rsid w:val="69EB71DC"/>
    <w:rsid w:val="69EF332B"/>
    <w:rsid w:val="6A072332"/>
    <w:rsid w:val="6A4439C0"/>
    <w:rsid w:val="6A477110"/>
    <w:rsid w:val="6A5B6FB7"/>
    <w:rsid w:val="6A7F3B86"/>
    <w:rsid w:val="6A85448C"/>
    <w:rsid w:val="6A8C56DA"/>
    <w:rsid w:val="6A915F5F"/>
    <w:rsid w:val="6AE757CE"/>
    <w:rsid w:val="6B0B19AE"/>
    <w:rsid w:val="6B3D32AF"/>
    <w:rsid w:val="6B4168A5"/>
    <w:rsid w:val="6B4F6715"/>
    <w:rsid w:val="6B660F02"/>
    <w:rsid w:val="6B67326E"/>
    <w:rsid w:val="6B745B64"/>
    <w:rsid w:val="6B761D3E"/>
    <w:rsid w:val="6B767D32"/>
    <w:rsid w:val="6BAB4DBC"/>
    <w:rsid w:val="6BBB33F3"/>
    <w:rsid w:val="6BD81C08"/>
    <w:rsid w:val="6BDB75D3"/>
    <w:rsid w:val="6BE853C0"/>
    <w:rsid w:val="6BF447F4"/>
    <w:rsid w:val="6BF72459"/>
    <w:rsid w:val="6C00488C"/>
    <w:rsid w:val="6C27569F"/>
    <w:rsid w:val="6C3867D3"/>
    <w:rsid w:val="6C3F3982"/>
    <w:rsid w:val="6C550A0C"/>
    <w:rsid w:val="6C697426"/>
    <w:rsid w:val="6C7E4F0E"/>
    <w:rsid w:val="6C81675E"/>
    <w:rsid w:val="6C924135"/>
    <w:rsid w:val="6CC32969"/>
    <w:rsid w:val="6CEF53EE"/>
    <w:rsid w:val="6D2700D5"/>
    <w:rsid w:val="6D282002"/>
    <w:rsid w:val="6D3671B7"/>
    <w:rsid w:val="6D473750"/>
    <w:rsid w:val="6D500D6C"/>
    <w:rsid w:val="6D88378A"/>
    <w:rsid w:val="6D9114D9"/>
    <w:rsid w:val="6D9825C8"/>
    <w:rsid w:val="6DA12FED"/>
    <w:rsid w:val="6DD051E7"/>
    <w:rsid w:val="6DE067E2"/>
    <w:rsid w:val="6DFC5F78"/>
    <w:rsid w:val="6E596016"/>
    <w:rsid w:val="6E5A6BD0"/>
    <w:rsid w:val="6E944F17"/>
    <w:rsid w:val="6EB014AD"/>
    <w:rsid w:val="6EB36DC1"/>
    <w:rsid w:val="6EEE31FF"/>
    <w:rsid w:val="6EF54EEB"/>
    <w:rsid w:val="6EFC61F3"/>
    <w:rsid w:val="6F1A6664"/>
    <w:rsid w:val="6F257776"/>
    <w:rsid w:val="6F3D6CFC"/>
    <w:rsid w:val="6F410855"/>
    <w:rsid w:val="6F694FA1"/>
    <w:rsid w:val="6FA26D85"/>
    <w:rsid w:val="6FA82C4E"/>
    <w:rsid w:val="6FB3461C"/>
    <w:rsid w:val="6FD3332A"/>
    <w:rsid w:val="6FFD45AE"/>
    <w:rsid w:val="70076BE8"/>
    <w:rsid w:val="701D01BA"/>
    <w:rsid w:val="702C23C1"/>
    <w:rsid w:val="70354243"/>
    <w:rsid w:val="704801A2"/>
    <w:rsid w:val="704C75BA"/>
    <w:rsid w:val="704E5418"/>
    <w:rsid w:val="70533446"/>
    <w:rsid w:val="706406DD"/>
    <w:rsid w:val="70765DB7"/>
    <w:rsid w:val="709B06D9"/>
    <w:rsid w:val="709C42D2"/>
    <w:rsid w:val="70AB4A1A"/>
    <w:rsid w:val="70CC12B3"/>
    <w:rsid w:val="70D02DB2"/>
    <w:rsid w:val="70E04B95"/>
    <w:rsid w:val="70E62A30"/>
    <w:rsid w:val="71081A4A"/>
    <w:rsid w:val="710C314C"/>
    <w:rsid w:val="7129483F"/>
    <w:rsid w:val="71470ADE"/>
    <w:rsid w:val="715212B7"/>
    <w:rsid w:val="7157392D"/>
    <w:rsid w:val="717E0039"/>
    <w:rsid w:val="71944064"/>
    <w:rsid w:val="71A47151"/>
    <w:rsid w:val="71B4042F"/>
    <w:rsid w:val="71B57DFF"/>
    <w:rsid w:val="71C0420A"/>
    <w:rsid w:val="71D76C79"/>
    <w:rsid w:val="71E01DE7"/>
    <w:rsid w:val="721E3F11"/>
    <w:rsid w:val="721E62BD"/>
    <w:rsid w:val="725007FC"/>
    <w:rsid w:val="725A2BF1"/>
    <w:rsid w:val="7260273C"/>
    <w:rsid w:val="72812A24"/>
    <w:rsid w:val="72940CDD"/>
    <w:rsid w:val="72A76461"/>
    <w:rsid w:val="72AB4FB2"/>
    <w:rsid w:val="72AF7718"/>
    <w:rsid w:val="72CF4120"/>
    <w:rsid w:val="72E856AD"/>
    <w:rsid w:val="72F061AD"/>
    <w:rsid w:val="731A2D07"/>
    <w:rsid w:val="732225A7"/>
    <w:rsid w:val="732459FB"/>
    <w:rsid w:val="73421F7A"/>
    <w:rsid w:val="73574536"/>
    <w:rsid w:val="735822FD"/>
    <w:rsid w:val="73685746"/>
    <w:rsid w:val="736A259F"/>
    <w:rsid w:val="737142A0"/>
    <w:rsid w:val="7393173C"/>
    <w:rsid w:val="739D610B"/>
    <w:rsid w:val="73D52FCF"/>
    <w:rsid w:val="73E90041"/>
    <w:rsid w:val="73ED07EB"/>
    <w:rsid w:val="73F1702B"/>
    <w:rsid w:val="73F55911"/>
    <w:rsid w:val="7442400C"/>
    <w:rsid w:val="744A1535"/>
    <w:rsid w:val="74561E88"/>
    <w:rsid w:val="74582216"/>
    <w:rsid w:val="746F2FAE"/>
    <w:rsid w:val="74C2753A"/>
    <w:rsid w:val="74FC053B"/>
    <w:rsid w:val="750556C0"/>
    <w:rsid w:val="752612C1"/>
    <w:rsid w:val="7535559D"/>
    <w:rsid w:val="753F6EDE"/>
    <w:rsid w:val="75C86DBF"/>
    <w:rsid w:val="75CF4594"/>
    <w:rsid w:val="75F12A2A"/>
    <w:rsid w:val="75FA4745"/>
    <w:rsid w:val="760539AD"/>
    <w:rsid w:val="760A11E0"/>
    <w:rsid w:val="76130365"/>
    <w:rsid w:val="763172F6"/>
    <w:rsid w:val="76327877"/>
    <w:rsid w:val="76364BD5"/>
    <w:rsid w:val="763D2C34"/>
    <w:rsid w:val="76405304"/>
    <w:rsid w:val="764E3F42"/>
    <w:rsid w:val="765406AD"/>
    <w:rsid w:val="766C0F0C"/>
    <w:rsid w:val="766E141F"/>
    <w:rsid w:val="76701BCD"/>
    <w:rsid w:val="7692428D"/>
    <w:rsid w:val="76987AD3"/>
    <w:rsid w:val="769F13A8"/>
    <w:rsid w:val="76D25E19"/>
    <w:rsid w:val="76D87530"/>
    <w:rsid w:val="76EE5395"/>
    <w:rsid w:val="77103E58"/>
    <w:rsid w:val="771E660D"/>
    <w:rsid w:val="771E6AE2"/>
    <w:rsid w:val="772C579E"/>
    <w:rsid w:val="77304C77"/>
    <w:rsid w:val="775F37AE"/>
    <w:rsid w:val="77666E30"/>
    <w:rsid w:val="776963DA"/>
    <w:rsid w:val="776E4D9F"/>
    <w:rsid w:val="77732DB5"/>
    <w:rsid w:val="77784C58"/>
    <w:rsid w:val="7780103A"/>
    <w:rsid w:val="77886504"/>
    <w:rsid w:val="778B2AB3"/>
    <w:rsid w:val="77A745BD"/>
    <w:rsid w:val="77DE0B76"/>
    <w:rsid w:val="77E14B67"/>
    <w:rsid w:val="77E258D5"/>
    <w:rsid w:val="77F04406"/>
    <w:rsid w:val="781C7A0D"/>
    <w:rsid w:val="78904211"/>
    <w:rsid w:val="789F0878"/>
    <w:rsid w:val="78D83818"/>
    <w:rsid w:val="78DB50B6"/>
    <w:rsid w:val="78E31044"/>
    <w:rsid w:val="78FE181A"/>
    <w:rsid w:val="792F7D7F"/>
    <w:rsid w:val="796440D1"/>
    <w:rsid w:val="798120EB"/>
    <w:rsid w:val="798A10D7"/>
    <w:rsid w:val="799440C3"/>
    <w:rsid w:val="79AF1920"/>
    <w:rsid w:val="79BF0CDA"/>
    <w:rsid w:val="79D8637F"/>
    <w:rsid w:val="79DA3A26"/>
    <w:rsid w:val="79EE2BC7"/>
    <w:rsid w:val="7A12267E"/>
    <w:rsid w:val="7A3E76AA"/>
    <w:rsid w:val="7A5944E4"/>
    <w:rsid w:val="7A59570F"/>
    <w:rsid w:val="7A815037"/>
    <w:rsid w:val="7A8F16C3"/>
    <w:rsid w:val="7AB84DBF"/>
    <w:rsid w:val="7AD97CFF"/>
    <w:rsid w:val="7AEA593B"/>
    <w:rsid w:val="7B0B3F98"/>
    <w:rsid w:val="7B22169F"/>
    <w:rsid w:val="7B224999"/>
    <w:rsid w:val="7B59093F"/>
    <w:rsid w:val="7B686CFF"/>
    <w:rsid w:val="7B874E3B"/>
    <w:rsid w:val="7B89704B"/>
    <w:rsid w:val="7B900603"/>
    <w:rsid w:val="7B9104CA"/>
    <w:rsid w:val="7B9A0697"/>
    <w:rsid w:val="7BBA0741"/>
    <w:rsid w:val="7BBB2152"/>
    <w:rsid w:val="7BC262E0"/>
    <w:rsid w:val="7BDD485D"/>
    <w:rsid w:val="7C10501E"/>
    <w:rsid w:val="7C1A110D"/>
    <w:rsid w:val="7C1C1F33"/>
    <w:rsid w:val="7C1E4212"/>
    <w:rsid w:val="7C4371FA"/>
    <w:rsid w:val="7C5A0918"/>
    <w:rsid w:val="7C607091"/>
    <w:rsid w:val="7C725D31"/>
    <w:rsid w:val="7C785652"/>
    <w:rsid w:val="7CA66D27"/>
    <w:rsid w:val="7CAB5F75"/>
    <w:rsid w:val="7CCA063B"/>
    <w:rsid w:val="7CCD11BA"/>
    <w:rsid w:val="7CD13769"/>
    <w:rsid w:val="7CD30048"/>
    <w:rsid w:val="7CD37C5E"/>
    <w:rsid w:val="7CF130FA"/>
    <w:rsid w:val="7CFF0000"/>
    <w:rsid w:val="7D056BA5"/>
    <w:rsid w:val="7D0B4845"/>
    <w:rsid w:val="7D2F100A"/>
    <w:rsid w:val="7D4567B7"/>
    <w:rsid w:val="7D643A5A"/>
    <w:rsid w:val="7D695389"/>
    <w:rsid w:val="7D6F4586"/>
    <w:rsid w:val="7D816191"/>
    <w:rsid w:val="7D9129B7"/>
    <w:rsid w:val="7D983576"/>
    <w:rsid w:val="7D995817"/>
    <w:rsid w:val="7DA939D5"/>
    <w:rsid w:val="7DB016BA"/>
    <w:rsid w:val="7DED635A"/>
    <w:rsid w:val="7DF20F7A"/>
    <w:rsid w:val="7E01376B"/>
    <w:rsid w:val="7E194762"/>
    <w:rsid w:val="7E2F0B62"/>
    <w:rsid w:val="7E373FAD"/>
    <w:rsid w:val="7E42088D"/>
    <w:rsid w:val="7E696CC0"/>
    <w:rsid w:val="7E780B47"/>
    <w:rsid w:val="7EAA4C49"/>
    <w:rsid w:val="7EB27F74"/>
    <w:rsid w:val="7EC927C4"/>
    <w:rsid w:val="7ED92CB4"/>
    <w:rsid w:val="7EF42C97"/>
    <w:rsid w:val="7EFB200E"/>
    <w:rsid w:val="7F0416F9"/>
    <w:rsid w:val="7F192045"/>
    <w:rsid w:val="7F204931"/>
    <w:rsid w:val="7F2F7F0A"/>
    <w:rsid w:val="7F7B6CAB"/>
    <w:rsid w:val="7FB64187"/>
    <w:rsid w:val="7FC37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99"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1"/>
      <w:sz w:val="21"/>
      <w:szCs w:val="22"/>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sz w:val="44"/>
      <w:szCs w:val="44"/>
    </w:rPr>
  </w:style>
  <w:style w:type="paragraph" w:styleId="4">
    <w:name w:val="heading 2"/>
    <w:basedOn w:val="1"/>
    <w:next w:val="1"/>
    <w:link w:val="57"/>
    <w:qFormat/>
    <w:uiPriority w:val="0"/>
    <w:pPr>
      <w:keepNext/>
      <w:keepLines/>
      <w:spacing w:before="260" w:after="260" w:line="415" w:lineRule="auto"/>
      <w:outlineLvl w:val="1"/>
    </w:pPr>
    <w:rPr>
      <w:rFonts w:ascii="Calibri Light" w:hAnsi="Calibri Light" w:eastAsia="Calibri Light"/>
      <w:b/>
      <w:bCs/>
      <w:sz w:val="32"/>
      <w:szCs w:val="32"/>
    </w:rPr>
  </w:style>
  <w:style w:type="paragraph" w:styleId="5">
    <w:name w:val="heading 4"/>
    <w:basedOn w:val="1"/>
    <w:next w:val="1"/>
    <w:unhideWhenUsed/>
    <w:qFormat/>
    <w:uiPriority w:val="0"/>
    <w:pPr>
      <w:keepNext/>
      <w:keepLines/>
      <w:jc w:val="left"/>
      <w:outlineLvl w:val="3"/>
    </w:pPr>
    <w:rPr>
      <w:rFonts w:hint="eastAsia" w:ascii="Arial" w:hAnsi="Arial" w:eastAsia="宋体"/>
      <w:b/>
      <w:sz w:val="32"/>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7">
    <w:name w:val="Normal Indent"/>
    <w:basedOn w:val="1"/>
    <w:link w:val="97"/>
    <w:qFormat/>
    <w:uiPriority w:val="0"/>
    <w:pPr>
      <w:ind w:firstLine="420"/>
    </w:pPr>
  </w:style>
  <w:style w:type="paragraph" w:styleId="8">
    <w:name w:val="Document Map"/>
    <w:basedOn w:val="1"/>
    <w:link w:val="49"/>
    <w:semiHidden/>
    <w:unhideWhenUsed/>
    <w:qFormat/>
    <w:uiPriority w:val="99"/>
    <w:rPr>
      <w:rFonts w:ascii="宋体" w:eastAsia="宋体"/>
      <w:sz w:val="18"/>
      <w:szCs w:val="18"/>
    </w:rPr>
  </w:style>
  <w:style w:type="paragraph" w:styleId="9">
    <w:name w:val="annotation text"/>
    <w:basedOn w:val="1"/>
    <w:link w:val="94"/>
    <w:qFormat/>
    <w:uiPriority w:val="0"/>
    <w:pPr>
      <w:jc w:val="left"/>
    </w:pPr>
    <w:rPr>
      <w:rFonts w:ascii="Times New Roman" w:hAnsi="Times New Roman" w:eastAsia="宋体"/>
      <w:kern w:val="2"/>
      <w:szCs w:val="24"/>
    </w:rPr>
  </w:style>
  <w:style w:type="paragraph" w:styleId="10">
    <w:name w:val="Body Text Indent"/>
    <w:basedOn w:val="1"/>
    <w:next w:val="11"/>
    <w:qFormat/>
    <w:uiPriority w:val="0"/>
    <w:pPr>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link w:val="61"/>
    <w:qFormat/>
    <w:uiPriority w:val="0"/>
    <w:rPr>
      <w:rFonts w:ascii="宋体" w:hAnsi="Courier New" w:eastAsia="宋体"/>
      <w:kern w:val="2"/>
      <w:szCs w:val="20"/>
    </w:rPr>
  </w:style>
  <w:style w:type="paragraph" w:styleId="13">
    <w:name w:val="Date"/>
    <w:basedOn w:val="1"/>
    <w:next w:val="1"/>
    <w:qFormat/>
    <w:uiPriority w:val="0"/>
    <w:pPr>
      <w:ind w:left="100" w:leftChars="2500"/>
    </w:pPr>
  </w:style>
  <w:style w:type="paragraph" w:styleId="14">
    <w:name w:val="Balloon Text"/>
    <w:basedOn w:val="1"/>
    <w:link w:val="48"/>
    <w:semiHidden/>
    <w:unhideWhenUsed/>
    <w:qFormat/>
    <w:uiPriority w:val="99"/>
    <w:rPr>
      <w:sz w:val="18"/>
      <w:szCs w:val="18"/>
    </w:rPr>
  </w:style>
  <w:style w:type="paragraph" w:styleId="15">
    <w:name w:val="footer"/>
    <w:basedOn w:val="1"/>
    <w:link w:val="62"/>
    <w:qFormat/>
    <w:uiPriority w:val="99"/>
    <w:pPr>
      <w:tabs>
        <w:tab w:val="center" w:pos="4153"/>
        <w:tab w:val="right" w:pos="8306"/>
      </w:tabs>
    </w:pPr>
    <w:rPr>
      <w:sz w:val="18"/>
      <w:szCs w:val="18"/>
    </w:rPr>
  </w:style>
  <w:style w:type="paragraph" w:styleId="16">
    <w:name w:val="header"/>
    <w:basedOn w:val="1"/>
    <w:link w:val="60"/>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Body Text 2"/>
    <w:basedOn w:val="1"/>
    <w:unhideWhenUsed/>
    <w:qFormat/>
    <w:uiPriority w:val="99"/>
    <w:rPr>
      <w:sz w:val="28"/>
    </w:rPr>
  </w:style>
  <w:style w:type="paragraph" w:styleId="20">
    <w:name w:val="Normal (Web)"/>
    <w:basedOn w:val="1"/>
    <w:qFormat/>
    <w:uiPriority w:val="99"/>
    <w:pPr>
      <w:spacing w:beforeAutospacing="1" w:afterAutospacing="1"/>
      <w:jc w:val="left"/>
    </w:pPr>
    <w:rPr>
      <w:kern w:val="0"/>
      <w:sz w:val="24"/>
    </w:rPr>
  </w:style>
  <w:style w:type="paragraph" w:styleId="21">
    <w:name w:val="Body Text First Indent"/>
    <w:basedOn w:val="2"/>
    <w:next w:val="22"/>
    <w:qFormat/>
    <w:uiPriority w:val="0"/>
    <w:pPr>
      <w:ind w:firstLine="420" w:firstLineChars="100"/>
    </w:pPr>
    <w:rPr>
      <w:rFonts w:eastAsia="仿宋_GB2312"/>
      <w:sz w:val="28"/>
    </w:rPr>
  </w:style>
  <w:style w:type="paragraph" w:styleId="22">
    <w:name w:val="Body Text First Indent 2"/>
    <w:basedOn w:val="10"/>
    <w:next w:val="21"/>
    <w:link w:val="99"/>
    <w:qFormat/>
    <w:uiPriority w:val="0"/>
    <w:pPr>
      <w:ind w:firstLine="420" w:firstLineChars="200"/>
    </w:pPr>
  </w:style>
  <w:style w:type="table" w:styleId="24">
    <w:name w:val="Table Grid"/>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style>
  <w:style w:type="character" w:styleId="28">
    <w:name w:val="FollowedHyperlink"/>
    <w:basedOn w:val="25"/>
    <w:semiHidden/>
    <w:unhideWhenUsed/>
    <w:qFormat/>
    <w:uiPriority w:val="99"/>
    <w:rPr>
      <w:color w:val="800080"/>
      <w:u w:val="none"/>
    </w:rPr>
  </w:style>
  <w:style w:type="character" w:styleId="29">
    <w:name w:val="Emphasis"/>
    <w:basedOn w:val="25"/>
    <w:qFormat/>
    <w:uiPriority w:val="99"/>
  </w:style>
  <w:style w:type="character" w:styleId="30">
    <w:name w:val="HTML Definition"/>
    <w:basedOn w:val="25"/>
    <w:semiHidden/>
    <w:unhideWhenUsed/>
    <w:qFormat/>
    <w:uiPriority w:val="99"/>
    <w:rPr>
      <w:i/>
      <w:iCs/>
    </w:rPr>
  </w:style>
  <w:style w:type="character" w:styleId="31">
    <w:name w:val="HTML Typewriter"/>
    <w:basedOn w:val="25"/>
    <w:semiHidden/>
    <w:unhideWhenUsed/>
    <w:qFormat/>
    <w:uiPriority w:val="99"/>
    <w:rPr>
      <w:rFonts w:hint="default" w:ascii="monospace" w:hAnsi="monospace" w:eastAsia="monospace" w:cs="monospace"/>
      <w:sz w:val="20"/>
    </w:rPr>
  </w:style>
  <w:style w:type="character" w:styleId="32">
    <w:name w:val="HTML Acronym"/>
    <w:basedOn w:val="25"/>
    <w:semiHidden/>
    <w:unhideWhenUsed/>
    <w:qFormat/>
    <w:uiPriority w:val="99"/>
  </w:style>
  <w:style w:type="character" w:styleId="33">
    <w:name w:val="HTML Variable"/>
    <w:basedOn w:val="25"/>
    <w:semiHidden/>
    <w:unhideWhenUsed/>
    <w:qFormat/>
    <w:uiPriority w:val="99"/>
    <w:rPr>
      <w:vertAlign w:val="baseline"/>
    </w:rPr>
  </w:style>
  <w:style w:type="character" w:styleId="34">
    <w:name w:val="Hyperlink"/>
    <w:basedOn w:val="25"/>
    <w:unhideWhenUsed/>
    <w:qFormat/>
    <w:uiPriority w:val="99"/>
    <w:rPr>
      <w:color w:val="0000FF" w:themeColor="hyperlink"/>
      <w:u w:val="single"/>
      <w14:textFill>
        <w14:solidFill>
          <w14:schemeClr w14:val="hlink"/>
        </w14:solidFill>
      </w14:textFill>
    </w:rPr>
  </w:style>
  <w:style w:type="character" w:styleId="35">
    <w:name w:val="HTML Code"/>
    <w:basedOn w:val="25"/>
    <w:semiHidden/>
    <w:unhideWhenUsed/>
    <w:qFormat/>
    <w:uiPriority w:val="99"/>
    <w:rPr>
      <w:rFonts w:hint="default" w:ascii="Consolas" w:hAnsi="Consolas" w:eastAsia="Consolas" w:cs="Consolas"/>
      <w:color w:val="C7254E"/>
      <w:sz w:val="21"/>
      <w:szCs w:val="21"/>
      <w:shd w:val="clear" w:color="auto" w:fill="F9F2F4"/>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ascii="Consolas" w:hAnsi="Consolas" w:eastAsia="Consolas" w:cs="Consolas"/>
      <w:color w:val="FFFFFF"/>
      <w:sz w:val="21"/>
      <w:szCs w:val="21"/>
      <w:shd w:val="clear" w:color="auto" w:fill="333333"/>
    </w:rPr>
  </w:style>
  <w:style w:type="character" w:styleId="38">
    <w:name w:val="HTML Sample"/>
    <w:basedOn w:val="25"/>
    <w:semiHidden/>
    <w:unhideWhenUsed/>
    <w:qFormat/>
    <w:uiPriority w:val="99"/>
    <w:rPr>
      <w:rFonts w:hint="default" w:ascii="Consolas" w:hAnsi="Consolas" w:eastAsia="Consolas" w:cs="Consolas"/>
      <w:sz w:val="21"/>
      <w:szCs w:val="21"/>
    </w:rPr>
  </w:style>
  <w:style w:type="paragraph" w:customStyle="1" w:styleId="39">
    <w:name w:val="列出段落1"/>
    <w:basedOn w:val="1"/>
    <w:qFormat/>
    <w:uiPriority w:val="34"/>
    <w:pPr>
      <w:ind w:firstLine="420" w:firstLineChars="200"/>
    </w:pPr>
    <w:rPr>
      <w:rFonts w:ascii="Times New Roman" w:hAnsi="Times New Roman" w:eastAsia="宋体"/>
      <w:szCs w:val="21"/>
    </w:rPr>
  </w:style>
  <w:style w:type="paragraph" w:customStyle="1" w:styleId="4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批注文字1"/>
    <w:qFormat/>
    <w:uiPriority w:val="0"/>
    <w:pPr>
      <w:widowControl w:val="0"/>
    </w:pPr>
    <w:rPr>
      <w:rFonts w:ascii="Calibri" w:hAnsi="Calibri" w:cs="Times New Roman" w:eastAsiaTheme="minorEastAsia"/>
      <w:kern w:val="1"/>
      <w:sz w:val="21"/>
      <w:szCs w:val="22"/>
      <w:lang w:val="en-US" w:eastAsia="zh-CN" w:bidi="ar-SA"/>
    </w:rPr>
  </w:style>
  <w:style w:type="paragraph" w:customStyle="1" w:styleId="42">
    <w:name w:val="WPSOffice手动目录 1"/>
    <w:qFormat/>
    <w:uiPriority w:val="0"/>
    <w:rPr>
      <w:rFonts w:ascii="Calibri" w:hAnsi="Calibri" w:cs="Times New Roman" w:eastAsiaTheme="minorEastAsia"/>
      <w:lang w:val="en-US" w:eastAsia="zh-CN" w:bidi="ar-SA"/>
    </w:rPr>
  </w:style>
  <w:style w:type="paragraph" w:styleId="43">
    <w:name w:val="List Paragraph"/>
    <w:basedOn w:val="1"/>
    <w:qFormat/>
    <w:uiPriority w:val="99"/>
    <w:pPr>
      <w:ind w:firstLine="420"/>
    </w:pPr>
  </w:style>
  <w:style w:type="paragraph" w:customStyle="1" w:styleId="44">
    <w:name w:val="p15"/>
    <w:link w:val="50"/>
    <w:qFormat/>
    <w:uiPriority w:val="99"/>
    <w:pPr>
      <w:jc w:val="both"/>
    </w:pPr>
    <w:rPr>
      <w:rFonts w:ascii="Calibri" w:hAnsi="Calibri" w:cs="Times New Roman" w:eastAsiaTheme="minorEastAsia"/>
      <w:kern w:val="1"/>
      <w:sz w:val="21"/>
      <w:szCs w:val="21"/>
      <w:lang w:val="en-US" w:eastAsia="zh-CN" w:bidi="ar-SA"/>
    </w:rPr>
  </w:style>
  <w:style w:type="paragraph" w:customStyle="1" w:styleId="45">
    <w:name w:val="09正文_wh"/>
    <w:qFormat/>
    <w:uiPriority w:val="0"/>
    <w:pPr>
      <w:spacing w:line="300" w:lineRule="auto"/>
      <w:ind w:firstLine="200"/>
      <w:jc w:val="both"/>
    </w:pPr>
    <w:rPr>
      <w:rFonts w:ascii="Times New Roman" w:hAnsi="Times New Roman" w:eastAsia="宋体" w:cs="Times New Roman"/>
      <w:sz w:val="28"/>
      <w:szCs w:val="22"/>
      <w:lang w:val="en-US" w:eastAsia="zh-CN" w:bidi="ar-SA"/>
    </w:rPr>
  </w:style>
  <w:style w:type="character" w:customStyle="1" w:styleId="46">
    <w:name w:val="font11"/>
    <w:qFormat/>
    <w:uiPriority w:val="0"/>
    <w:rPr>
      <w:rFonts w:hint="eastAsia" w:ascii="微软雅黑" w:hAnsi="微软雅黑" w:eastAsia="微软雅黑" w:cs="微软雅黑"/>
      <w:color w:val="000000"/>
      <w:sz w:val="20"/>
      <w:szCs w:val="20"/>
      <w:u w:val="none"/>
    </w:rPr>
  </w:style>
  <w:style w:type="paragraph" w:customStyle="1" w:styleId="47">
    <w:name w:val="Char1 Char Char Char"/>
    <w:basedOn w:val="1"/>
    <w:qFormat/>
    <w:uiPriority w:val="0"/>
    <w:rPr>
      <w:rFonts w:ascii="Tahoma" w:hAnsi="Tahoma" w:eastAsia="宋体"/>
      <w:kern w:val="2"/>
      <w:sz w:val="30"/>
      <w:szCs w:val="30"/>
    </w:rPr>
  </w:style>
  <w:style w:type="character" w:customStyle="1" w:styleId="48">
    <w:name w:val="批注框文本 字符"/>
    <w:basedOn w:val="25"/>
    <w:link w:val="14"/>
    <w:semiHidden/>
    <w:qFormat/>
    <w:uiPriority w:val="99"/>
    <w:rPr>
      <w:rFonts w:eastAsiaTheme="minorEastAsia"/>
      <w:kern w:val="1"/>
      <w:sz w:val="18"/>
      <w:szCs w:val="18"/>
    </w:rPr>
  </w:style>
  <w:style w:type="character" w:customStyle="1" w:styleId="49">
    <w:name w:val="文档结构图 字符"/>
    <w:basedOn w:val="25"/>
    <w:link w:val="8"/>
    <w:semiHidden/>
    <w:qFormat/>
    <w:uiPriority w:val="99"/>
    <w:rPr>
      <w:rFonts w:ascii="宋体"/>
      <w:kern w:val="1"/>
      <w:sz w:val="18"/>
      <w:szCs w:val="18"/>
    </w:rPr>
  </w:style>
  <w:style w:type="character" w:customStyle="1" w:styleId="50">
    <w:name w:val="p15 Char"/>
    <w:link w:val="44"/>
    <w:qFormat/>
    <w:uiPriority w:val="99"/>
    <w:rPr>
      <w:rFonts w:eastAsiaTheme="minorEastAsia"/>
      <w:kern w:val="1"/>
      <w:sz w:val="21"/>
      <w:szCs w:val="21"/>
    </w:rPr>
  </w:style>
  <w:style w:type="paragraph" w:customStyle="1" w:styleId="5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2">
    <w:name w:val="列出段落2"/>
    <w:basedOn w:val="1"/>
    <w:qFormat/>
    <w:uiPriority w:val="99"/>
    <w:pPr>
      <w:ind w:firstLine="420" w:firstLineChars="200"/>
    </w:pPr>
  </w:style>
  <w:style w:type="paragraph" w:customStyle="1" w:styleId="53">
    <w:name w:val="正文 New"/>
    <w:qFormat/>
    <w:uiPriority w:val="99"/>
    <w:pPr>
      <w:widowControl w:val="0"/>
      <w:jc w:val="both"/>
    </w:pPr>
    <w:rPr>
      <w:rFonts w:ascii="Calibri" w:hAnsi="Calibri" w:eastAsia="微软雅黑" w:cs="Times New Roman"/>
      <w:lang w:val="en-US" w:eastAsia="zh-CN" w:bidi="ar-SA"/>
    </w:rPr>
  </w:style>
  <w:style w:type="paragraph" w:customStyle="1" w:styleId="54">
    <w:name w:val="title1"/>
    <w:basedOn w:val="1"/>
    <w:qFormat/>
    <w:uiPriority w:val="0"/>
    <w:pPr>
      <w:spacing w:before="100"/>
      <w:jc w:val="left"/>
    </w:pPr>
    <w:rPr>
      <w:b/>
      <w:kern w:val="0"/>
      <w:sz w:val="15"/>
      <w:szCs w:val="15"/>
    </w:rPr>
  </w:style>
  <w:style w:type="character" w:customStyle="1" w:styleId="55">
    <w:name w:val="标题 1 字符"/>
    <w:basedOn w:val="25"/>
    <w:link w:val="3"/>
    <w:qFormat/>
    <w:uiPriority w:val="0"/>
    <w:rPr>
      <w:rFonts w:ascii="Calibri" w:hAnsi="Calibri" w:eastAsiaTheme="minorEastAsia"/>
      <w:b/>
      <w:bCs/>
      <w:kern w:val="1"/>
      <w:sz w:val="44"/>
      <w:szCs w:val="44"/>
    </w:rPr>
  </w:style>
  <w:style w:type="paragraph" w:customStyle="1" w:styleId="56">
    <w:name w:val="标准"/>
    <w:basedOn w:val="1"/>
    <w:qFormat/>
    <w:uiPriority w:val="0"/>
    <w:pPr>
      <w:spacing w:line="360" w:lineRule="auto"/>
      <w:ind w:firstLine="200" w:firstLineChars="200"/>
    </w:pPr>
    <w:rPr>
      <w:rFonts w:ascii="Times New Roman" w:hAnsi="Times New Roman" w:eastAsia="宋体" w:cs="宋体"/>
      <w:kern w:val="2"/>
      <w:szCs w:val="20"/>
    </w:rPr>
  </w:style>
  <w:style w:type="character" w:customStyle="1" w:styleId="57">
    <w:name w:val="标题 2 字符"/>
    <w:link w:val="4"/>
    <w:qFormat/>
    <w:uiPriority w:val="0"/>
    <w:rPr>
      <w:rFonts w:ascii="Arial" w:hAnsi="Arial" w:eastAsia="黑体" w:cs="Times New Roman"/>
      <w:b/>
      <w:bCs/>
      <w:kern w:val="2"/>
      <w:sz w:val="32"/>
      <w:szCs w:val="32"/>
    </w:rPr>
  </w:style>
  <w:style w:type="character" w:customStyle="1" w:styleId="58">
    <w:name w:val="纯文本 Char"/>
    <w:qFormat/>
    <w:uiPriority w:val="0"/>
    <w:rPr>
      <w:rFonts w:ascii="宋体" w:hAnsi="Courier New" w:eastAsia="宋体" w:cs="Times New Roman"/>
      <w:kern w:val="2"/>
      <w:sz w:val="21"/>
    </w:rPr>
  </w:style>
  <w:style w:type="character" w:customStyle="1" w:styleId="59">
    <w:name w:val="apple-converted-space"/>
    <w:basedOn w:val="25"/>
    <w:qFormat/>
    <w:uiPriority w:val="0"/>
    <w:rPr>
      <w:rFonts w:ascii="Calibri" w:hAnsi="Calibri" w:eastAsia="宋体" w:cs="Times New Roman"/>
    </w:rPr>
  </w:style>
  <w:style w:type="character" w:customStyle="1" w:styleId="60">
    <w:name w:val="页眉 字符"/>
    <w:link w:val="16"/>
    <w:qFormat/>
    <w:uiPriority w:val="0"/>
    <w:rPr>
      <w:rFonts w:ascii="Times New Roman" w:hAnsi="Times New Roman" w:eastAsia="宋体" w:cs="Times New Roman"/>
      <w:sz w:val="18"/>
      <w:szCs w:val="18"/>
    </w:rPr>
  </w:style>
  <w:style w:type="character" w:customStyle="1" w:styleId="61">
    <w:name w:val="纯文本 字符"/>
    <w:link w:val="12"/>
    <w:semiHidden/>
    <w:qFormat/>
    <w:uiPriority w:val="99"/>
    <w:rPr>
      <w:rFonts w:ascii="宋体" w:hAnsi="Courier New" w:eastAsia="宋体" w:cs="Courier New"/>
      <w:kern w:val="2"/>
      <w:sz w:val="21"/>
      <w:szCs w:val="21"/>
    </w:rPr>
  </w:style>
  <w:style w:type="character" w:customStyle="1" w:styleId="62">
    <w:name w:val="页脚 字符"/>
    <w:link w:val="15"/>
    <w:qFormat/>
    <w:uiPriority w:val="99"/>
    <w:rPr>
      <w:rFonts w:ascii="Times New Roman" w:hAnsi="Times New Roman" w:eastAsia="宋体" w:cs="Times New Roman"/>
      <w:sz w:val="18"/>
      <w:szCs w:val="18"/>
    </w:rPr>
  </w:style>
  <w:style w:type="character" w:customStyle="1" w:styleId="63">
    <w:name w:val="number"/>
    <w:basedOn w:val="25"/>
    <w:qFormat/>
    <w:uiPriority w:val="0"/>
    <w:rPr>
      <w:color w:val="FF8833"/>
      <w:sz w:val="18"/>
      <w:szCs w:val="18"/>
    </w:rPr>
  </w:style>
  <w:style w:type="character" w:customStyle="1" w:styleId="64">
    <w:name w:val="span-long"/>
    <w:basedOn w:val="25"/>
    <w:qFormat/>
    <w:uiPriority w:val="0"/>
  </w:style>
  <w:style w:type="character" w:customStyle="1" w:styleId="65">
    <w:name w:val="button"/>
    <w:basedOn w:val="25"/>
    <w:qFormat/>
    <w:uiPriority w:val="0"/>
  </w:style>
  <w:style w:type="character" w:customStyle="1" w:styleId="66">
    <w:name w:val="phone"/>
    <w:basedOn w:val="25"/>
    <w:qFormat/>
    <w:uiPriority w:val="0"/>
    <w:rPr>
      <w:color w:val="FF8833"/>
      <w:sz w:val="18"/>
      <w:szCs w:val="18"/>
    </w:rPr>
  </w:style>
  <w:style w:type="character" w:customStyle="1" w:styleId="67">
    <w:name w:val="stclosebtn"/>
    <w:basedOn w:val="25"/>
    <w:qFormat/>
    <w:uiPriority w:val="0"/>
  </w:style>
  <w:style w:type="character" w:customStyle="1" w:styleId="68">
    <w:name w:val="proollist"/>
    <w:basedOn w:val="25"/>
    <w:qFormat/>
    <w:uiPriority w:val="0"/>
  </w:style>
  <w:style w:type="character" w:customStyle="1" w:styleId="69">
    <w:name w:val="input-direction"/>
    <w:basedOn w:val="25"/>
    <w:qFormat/>
    <w:uiPriority w:val="0"/>
    <w:rPr>
      <w:color w:val="FF6600"/>
    </w:rPr>
  </w:style>
  <w:style w:type="character" w:customStyle="1" w:styleId="70">
    <w:name w:val="beforeinfotext"/>
    <w:basedOn w:val="25"/>
    <w:qFormat/>
    <w:uiPriority w:val="0"/>
    <w:rPr>
      <w:color w:val="666666"/>
    </w:rPr>
  </w:style>
  <w:style w:type="character" w:customStyle="1" w:styleId="71">
    <w:name w:val="active6"/>
    <w:basedOn w:val="25"/>
    <w:qFormat/>
    <w:uiPriority w:val="0"/>
    <w:rPr>
      <w:color w:val="00FF00"/>
      <w:shd w:val="clear" w:color="auto" w:fill="000000"/>
    </w:rPr>
  </w:style>
  <w:style w:type="character" w:customStyle="1" w:styleId="72">
    <w:name w:val="hilite5"/>
    <w:basedOn w:val="25"/>
    <w:qFormat/>
    <w:uiPriority w:val="0"/>
    <w:rPr>
      <w:color w:val="FFFFFF"/>
      <w:shd w:val="clear" w:color="auto" w:fill="666677"/>
    </w:rPr>
  </w:style>
  <w:style w:type="character" w:customStyle="1" w:styleId="73">
    <w:name w:val="tmpztreemove_arrow"/>
    <w:basedOn w:val="25"/>
    <w:qFormat/>
    <w:uiPriority w:val="0"/>
  </w:style>
  <w:style w:type="character" w:customStyle="1" w:styleId="74">
    <w:name w:val="hilite6"/>
    <w:basedOn w:val="25"/>
    <w:qFormat/>
    <w:uiPriority w:val="0"/>
    <w:rPr>
      <w:color w:val="FFFFFF"/>
      <w:shd w:val="clear" w:color="auto" w:fill="666677"/>
    </w:rPr>
  </w:style>
  <w:style w:type="character" w:customStyle="1" w:styleId="75">
    <w:name w:val="active4"/>
    <w:basedOn w:val="25"/>
    <w:qFormat/>
    <w:uiPriority w:val="0"/>
    <w:rPr>
      <w:color w:val="00FF00"/>
      <w:shd w:val="clear" w:color="auto" w:fill="000000"/>
    </w:rPr>
  </w:style>
  <w:style w:type="character" w:customStyle="1" w:styleId="76">
    <w:name w:val="button2"/>
    <w:basedOn w:val="25"/>
    <w:qFormat/>
    <w:uiPriority w:val="0"/>
  </w:style>
  <w:style w:type="character" w:customStyle="1" w:styleId="77">
    <w:name w:val="hilite"/>
    <w:basedOn w:val="25"/>
    <w:qFormat/>
    <w:uiPriority w:val="0"/>
    <w:rPr>
      <w:color w:val="FFFFFF"/>
      <w:shd w:val="clear" w:color="auto" w:fill="666677"/>
    </w:rPr>
  </w:style>
  <w:style w:type="character" w:customStyle="1" w:styleId="78">
    <w:name w:val="active"/>
    <w:basedOn w:val="25"/>
    <w:qFormat/>
    <w:uiPriority w:val="0"/>
    <w:rPr>
      <w:color w:val="00FF00"/>
      <w:shd w:val="clear" w:color="auto" w:fill="000000"/>
    </w:rPr>
  </w:style>
  <w:style w:type="paragraph" w:customStyle="1" w:styleId="79">
    <w:name w:val="title11"/>
    <w:basedOn w:val="1"/>
    <w:qFormat/>
    <w:uiPriority w:val="0"/>
    <w:pPr>
      <w:spacing w:before="150"/>
      <w:jc w:val="left"/>
    </w:pPr>
    <w:rPr>
      <w:b/>
      <w:bCs/>
      <w:kern w:val="0"/>
      <w:sz w:val="22"/>
    </w:rPr>
  </w:style>
  <w:style w:type="paragraph" w:customStyle="1" w:styleId="80">
    <w:name w:val="title13"/>
    <w:basedOn w:val="1"/>
    <w:qFormat/>
    <w:uiPriority w:val="0"/>
    <w:pPr>
      <w:spacing w:before="150"/>
      <w:jc w:val="left"/>
    </w:pPr>
    <w:rPr>
      <w:b/>
      <w:bCs/>
      <w:kern w:val="0"/>
      <w:sz w:val="22"/>
    </w:rPr>
  </w:style>
  <w:style w:type="character" w:customStyle="1" w:styleId="81">
    <w:name w:val="hour_am"/>
    <w:basedOn w:val="25"/>
    <w:qFormat/>
    <w:uiPriority w:val="0"/>
  </w:style>
  <w:style w:type="character" w:customStyle="1" w:styleId="82">
    <w:name w:val="hour_pm"/>
    <w:basedOn w:val="25"/>
    <w:qFormat/>
    <w:uiPriority w:val="0"/>
  </w:style>
  <w:style w:type="character" w:customStyle="1" w:styleId="83">
    <w:name w:val="hover3"/>
    <w:basedOn w:val="25"/>
    <w:qFormat/>
    <w:uiPriority w:val="0"/>
    <w:rPr>
      <w:shd w:val="clear" w:color="auto" w:fill="EEEEEE"/>
    </w:rPr>
  </w:style>
  <w:style w:type="character" w:customStyle="1" w:styleId="84">
    <w:name w:val="old"/>
    <w:basedOn w:val="25"/>
    <w:qFormat/>
    <w:uiPriority w:val="0"/>
    <w:rPr>
      <w:color w:val="999999"/>
    </w:rPr>
  </w:style>
  <w:style w:type="character" w:customStyle="1" w:styleId="85">
    <w:name w:val="glyphicon4"/>
    <w:basedOn w:val="25"/>
    <w:qFormat/>
    <w:uiPriority w:val="0"/>
  </w:style>
  <w:style w:type="character" w:customStyle="1" w:styleId="86">
    <w:name w:val="indent"/>
    <w:basedOn w:val="25"/>
    <w:qFormat/>
    <w:uiPriority w:val="0"/>
  </w:style>
  <w:style w:type="character" w:customStyle="1" w:styleId="87">
    <w:name w:val="font71"/>
    <w:basedOn w:val="25"/>
    <w:qFormat/>
    <w:uiPriority w:val="0"/>
    <w:rPr>
      <w:rFonts w:hint="eastAsia" w:ascii="宋体" w:hAnsi="宋体" w:eastAsia="宋体" w:cs="宋体"/>
      <w:color w:val="000000"/>
      <w:sz w:val="20"/>
      <w:szCs w:val="20"/>
      <w:u w:val="single"/>
    </w:rPr>
  </w:style>
  <w:style w:type="character" w:customStyle="1" w:styleId="88">
    <w:name w:val="font01"/>
    <w:basedOn w:val="25"/>
    <w:qFormat/>
    <w:uiPriority w:val="0"/>
    <w:rPr>
      <w:rFonts w:ascii="Arial" w:hAnsi="Arial" w:cs="Arial"/>
      <w:color w:val="000000"/>
      <w:sz w:val="20"/>
      <w:szCs w:val="20"/>
      <w:u w:val="none"/>
    </w:rPr>
  </w:style>
  <w:style w:type="character" w:customStyle="1" w:styleId="89">
    <w:name w:val="font61"/>
    <w:basedOn w:val="25"/>
    <w:qFormat/>
    <w:uiPriority w:val="0"/>
    <w:rPr>
      <w:rFonts w:hint="eastAsia" w:ascii="宋体" w:hAnsi="宋体" w:eastAsia="宋体" w:cs="宋体"/>
      <w:color w:val="000000"/>
      <w:sz w:val="20"/>
      <w:szCs w:val="20"/>
      <w:u w:val="single"/>
    </w:rPr>
  </w:style>
  <w:style w:type="character" w:customStyle="1" w:styleId="90">
    <w:name w:val="font41"/>
    <w:basedOn w:val="25"/>
    <w:qFormat/>
    <w:uiPriority w:val="0"/>
    <w:rPr>
      <w:rFonts w:hint="eastAsia" w:ascii="宋体" w:hAnsi="宋体" w:eastAsia="宋体" w:cs="宋体"/>
      <w:color w:val="000000"/>
      <w:sz w:val="20"/>
      <w:szCs w:val="20"/>
      <w:u w:val="single"/>
    </w:rPr>
  </w:style>
  <w:style w:type="character" w:customStyle="1" w:styleId="91">
    <w:name w:val="font51"/>
    <w:basedOn w:val="25"/>
    <w:qFormat/>
    <w:uiPriority w:val="0"/>
    <w:rPr>
      <w:rFonts w:hint="eastAsia" w:ascii="宋体" w:hAnsi="宋体" w:eastAsia="宋体" w:cs="宋体"/>
      <w:color w:val="000000"/>
      <w:sz w:val="20"/>
      <w:szCs w:val="20"/>
      <w:u w:val="single"/>
    </w:rPr>
  </w:style>
  <w:style w:type="character" w:customStyle="1" w:styleId="92">
    <w:name w:val="font21"/>
    <w:basedOn w:val="25"/>
    <w:qFormat/>
    <w:uiPriority w:val="0"/>
    <w:rPr>
      <w:rFonts w:hint="default" w:ascii="Calibri" w:hAnsi="Calibri" w:cs="Calibri"/>
      <w:color w:val="000000"/>
      <w:sz w:val="22"/>
      <w:szCs w:val="22"/>
      <w:u w:val="none"/>
    </w:rPr>
  </w:style>
  <w:style w:type="table" w:customStyle="1" w:styleId="93">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4">
    <w:name w:val="批注文字 字符"/>
    <w:link w:val="9"/>
    <w:qFormat/>
    <w:uiPriority w:val="0"/>
    <w:rPr>
      <w:kern w:val="2"/>
      <w:sz w:val="21"/>
      <w:szCs w:val="24"/>
    </w:rPr>
  </w:style>
  <w:style w:type="character" w:customStyle="1" w:styleId="95">
    <w:name w:val="批注文字 字符1"/>
    <w:basedOn w:val="25"/>
    <w:semiHidden/>
    <w:qFormat/>
    <w:uiPriority w:val="99"/>
    <w:rPr>
      <w:rFonts w:ascii="Calibri" w:hAnsi="Calibri" w:eastAsiaTheme="minorEastAsia"/>
      <w:kern w:val="1"/>
      <w:sz w:val="21"/>
      <w:szCs w:val="22"/>
    </w:rPr>
  </w:style>
  <w:style w:type="paragraph" w:customStyle="1" w:styleId="96">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97">
    <w:name w:val="正文缩进 字符"/>
    <w:link w:val="7"/>
    <w:qFormat/>
    <w:uiPriority w:val="0"/>
    <w:rPr>
      <w:rFonts w:ascii="Calibri" w:hAnsi="Calibri" w:eastAsiaTheme="minorEastAsia"/>
      <w:kern w:val="1"/>
      <w:sz w:val="21"/>
      <w:szCs w:val="22"/>
    </w:rPr>
  </w:style>
  <w:style w:type="paragraph" w:customStyle="1" w:styleId="98">
    <w:name w:val="默认段落字体 Para Char Char Char Char"/>
    <w:basedOn w:val="1"/>
    <w:qFormat/>
    <w:uiPriority w:val="0"/>
    <w:rPr>
      <w:rFonts w:ascii="Times New Roman" w:hAnsi="Times New Roman" w:eastAsia="宋体"/>
      <w:kern w:val="2"/>
      <w:sz w:val="28"/>
      <w:szCs w:val="20"/>
    </w:rPr>
  </w:style>
  <w:style w:type="character" w:customStyle="1" w:styleId="99">
    <w:name w:val="正文首行缩进 2 字符"/>
    <w:basedOn w:val="25"/>
    <w:link w:val="22"/>
    <w:qFormat/>
    <w:uiPriority w:val="0"/>
    <w:rPr>
      <w:rFonts w:ascii="Calibri" w:hAnsi="Calibri" w:eastAsiaTheme="minorEastAsia"/>
      <w:kern w:val="1"/>
      <w:sz w:val="21"/>
      <w:szCs w:val="22"/>
    </w:rPr>
  </w:style>
  <w:style w:type="paragraph" w:customStyle="1" w:styleId="100">
    <w:name w:val="列出段落3"/>
    <w:basedOn w:val="1"/>
    <w:qFormat/>
    <w:uiPriority w:val="0"/>
    <w:pPr>
      <w:ind w:firstLine="420" w:firstLineChars="200"/>
    </w:pPr>
    <w:rPr>
      <w:rFonts w:ascii="宋体" w:hAnsi="Times New Roman"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E9E26-61D4-4AE4-BE86-1278A6959AC3}">
  <ds:schemaRefs/>
</ds:datastoreItem>
</file>

<file path=docProps/app.xml><?xml version="1.0" encoding="utf-8"?>
<Properties xmlns="http://schemas.openxmlformats.org/officeDocument/2006/extended-properties" xmlns:vt="http://schemas.openxmlformats.org/officeDocument/2006/docPropsVTypes">
  <Template>Normal</Template>
  <Pages>62</Pages>
  <Words>26612</Words>
  <Characters>28102</Characters>
  <Lines>205</Lines>
  <Paragraphs>57</Paragraphs>
  <TotalTime>3</TotalTime>
  <ScaleCrop>false</ScaleCrop>
  <LinksUpToDate>false</LinksUpToDate>
  <CharactersWithSpaces>29724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2019-09-10T00:33:00Z</dcterms:created>
  <dc:creator>Administrator</dc:creator>
  <cp:lastModifiedBy>加菲猫</cp:lastModifiedBy>
  <cp:lastPrinted>2022-10-11T06:31:49Z</cp:lastPrinted>
  <dcterms:modified xsi:type="dcterms:W3CDTF">2022-10-11T06:32:03Z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DC346F4565AC48368FDB5524B9B01475</vt:lpwstr>
  </property>
  <property fmtid="{D5CDD505-2E9C-101B-9397-08002B2CF9AE}" pid="4" name="commondata">
    <vt:lpwstr>eyJoZGlkIjoiM2Q2MmQwZDA0NmY4ZTdlNTJjMTMzNTAxZDY4YTgwNjcifQ==</vt:lpwstr>
  </property>
</Properties>
</file>