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bdr w:val="single" w:color="auto" w:sz="4" w:space="0"/>
          <w:shd w:val="pct10" w:color="auto" w:fill="FFFFFF"/>
        </w:rPr>
        <w:t>政府采购项目</w:t>
      </w:r>
    </w:p>
    <w:p>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eastAsia="宋体" w:cs="宋体"/>
          <w:b/>
          <w:color w:val="auto"/>
          <w:sz w:val="36"/>
          <w:szCs w:val="36"/>
          <w:highlight w:val="none"/>
        </w:rPr>
        <w:t xml:space="preserve">文件编号: </w:t>
      </w:r>
      <w:r>
        <w:rPr>
          <w:rFonts w:hint="eastAsia" w:ascii="宋体" w:hAnsi="宋体" w:eastAsia="宋体" w:cs="宋体"/>
          <w:b/>
          <w:sz w:val="36"/>
          <w:szCs w:val="36"/>
          <w:highlight w:val="none"/>
          <w:lang w:eastAsia="zh-CN"/>
        </w:rPr>
        <w:t>BJFMT2022(043)号</w:t>
      </w:r>
    </w:p>
    <w:p>
      <w:pPr>
        <w:spacing w:before="120" w:beforeLines="50" w:line="360" w:lineRule="auto"/>
        <w:jc w:val="center"/>
        <w:rPr>
          <w:rFonts w:hint="eastAsia" w:ascii="宋体" w:hAnsi="宋体" w:eastAsia="宋体" w:cs="宋体"/>
          <w:b/>
          <w:bCs/>
          <w:color w:val="auto"/>
          <w:spacing w:val="20"/>
          <w:kern w:val="0"/>
          <w:sz w:val="28"/>
          <w:szCs w:val="28"/>
          <w:highlight w:val="none"/>
          <w:u w:val="none" w:color="auto"/>
        </w:rPr>
      </w:pPr>
    </w:p>
    <w:p>
      <w:pPr>
        <w:pStyle w:val="2"/>
        <w:jc w:val="center"/>
        <w:rPr>
          <w:rFonts w:hint="eastAsia" w:ascii="宋体" w:hAnsi="宋体" w:eastAsia="宋体" w:cs="宋体"/>
          <w:color w:val="auto"/>
          <w:sz w:val="20"/>
          <w:szCs w:val="18"/>
          <w:highlight w:val="none"/>
        </w:rPr>
      </w:pPr>
      <w:r>
        <w:rPr>
          <w:rFonts w:hint="eastAsia" w:ascii="宋体" w:hAnsi="宋体" w:eastAsia="宋体" w:cs="宋体"/>
          <w:b/>
          <w:bCs/>
          <w:color w:val="auto"/>
          <w:spacing w:val="20"/>
          <w:kern w:val="0"/>
          <w:sz w:val="48"/>
          <w:szCs w:val="48"/>
          <w:highlight w:val="none"/>
          <w:u w:val="none" w:color="auto"/>
          <w:lang w:eastAsia="zh-CN"/>
        </w:rPr>
        <w:t>关于对特困供养对象生活用房2号楼、3号楼加装外挂式医用电梯项目</w:t>
      </w:r>
    </w:p>
    <w:p>
      <w:pPr>
        <w:pStyle w:val="2"/>
        <w:rPr>
          <w:rFonts w:hint="eastAsia" w:ascii="宋体" w:hAnsi="宋体" w:eastAsia="宋体" w:cs="宋体"/>
          <w:color w:val="auto"/>
          <w:highlight w:val="none"/>
        </w:rPr>
      </w:pPr>
    </w:p>
    <w:p>
      <w:pPr>
        <w:spacing w:before="120" w:beforeLines="50" w:line="360" w:lineRule="auto"/>
        <w:jc w:val="center"/>
        <w:rPr>
          <w:rFonts w:hint="eastAsia" w:ascii="宋体" w:hAnsi="宋体" w:eastAsia="宋体" w:cs="宋体"/>
          <w:b/>
          <w:bCs/>
          <w:color w:val="auto"/>
          <w:spacing w:val="20"/>
          <w:kern w:val="0"/>
          <w:sz w:val="72"/>
          <w:szCs w:val="72"/>
          <w:highlight w:val="none"/>
          <w:u w:val="none" w:color="auto"/>
        </w:rPr>
      </w:pPr>
    </w:p>
    <w:p>
      <w:pPr>
        <w:spacing w:before="120" w:beforeLines="50" w:line="360" w:lineRule="auto"/>
        <w:jc w:val="center"/>
        <w:rPr>
          <w:rFonts w:hint="eastAsia" w:ascii="宋体" w:hAnsi="宋体" w:eastAsia="宋体" w:cs="宋体"/>
          <w:b/>
          <w:bCs/>
          <w:color w:val="auto"/>
          <w:spacing w:val="20"/>
          <w:kern w:val="0"/>
          <w:sz w:val="72"/>
          <w:szCs w:val="72"/>
          <w:highlight w:val="none"/>
          <w:u w:val="none" w:color="auto"/>
        </w:rPr>
      </w:pPr>
      <w:r>
        <w:rPr>
          <w:rFonts w:hint="eastAsia" w:ascii="宋体" w:hAnsi="宋体" w:eastAsia="宋体" w:cs="宋体"/>
          <w:b/>
          <w:bCs/>
          <w:color w:val="auto"/>
          <w:spacing w:val="20"/>
          <w:kern w:val="0"/>
          <w:sz w:val="72"/>
          <w:szCs w:val="72"/>
          <w:highlight w:val="none"/>
          <w:u w:val="none" w:color="auto"/>
        </w:rPr>
        <w:t>公开招标文件</w:t>
      </w:r>
    </w:p>
    <w:p>
      <w:pPr>
        <w:pStyle w:val="15"/>
        <w:rPr>
          <w:rFonts w:hint="eastAsia" w:ascii="宋体" w:hAnsi="宋体" w:eastAsia="宋体" w:cs="宋体"/>
          <w:b/>
          <w:bCs/>
          <w:color w:val="auto"/>
          <w:spacing w:val="20"/>
          <w:kern w:val="0"/>
          <w:sz w:val="72"/>
          <w:szCs w:val="72"/>
          <w:highlight w:val="none"/>
          <w:u w:val="none" w:color="auto"/>
        </w:rPr>
      </w:pPr>
    </w:p>
    <w:p>
      <w:pPr>
        <w:rPr>
          <w:rFonts w:hint="eastAsia" w:ascii="宋体" w:hAnsi="宋体" w:eastAsia="宋体" w:cs="宋体"/>
          <w:b/>
          <w:bCs/>
          <w:color w:val="auto"/>
          <w:spacing w:val="20"/>
          <w:kern w:val="0"/>
          <w:sz w:val="72"/>
          <w:szCs w:val="72"/>
          <w:highlight w:val="none"/>
          <w:u w:val="none" w:color="auto"/>
        </w:rPr>
      </w:pPr>
    </w:p>
    <w:p>
      <w:pPr>
        <w:pStyle w:val="15"/>
        <w:rPr>
          <w:rFonts w:hint="eastAsia" w:ascii="宋体" w:hAnsi="宋体" w:eastAsia="宋体" w:cs="宋体"/>
          <w:highlight w:val="none"/>
        </w:rPr>
      </w:pPr>
    </w:p>
    <w:p>
      <w:pPr>
        <w:rPr>
          <w:rFonts w:hint="eastAsia" w:ascii="宋体" w:hAnsi="宋体" w:eastAsia="宋体" w:cs="宋体"/>
          <w:color w:val="auto"/>
          <w:highlight w:val="none"/>
          <w:lang w:eastAsia="zh-CN"/>
        </w:rPr>
      </w:pPr>
    </w:p>
    <w:p>
      <w:pPr>
        <w:pStyle w:val="2"/>
        <w:rPr>
          <w:rFonts w:hint="eastAsia" w:ascii="宋体" w:hAnsi="宋体" w:eastAsia="宋体" w:cs="宋体"/>
          <w:b/>
          <w:bCs/>
          <w:color w:val="auto"/>
          <w:sz w:val="32"/>
          <w:szCs w:val="32"/>
          <w:highlight w:val="none"/>
          <w:u w:val="none" w:color="auto"/>
          <w:lang w:eastAsia="zh-CN"/>
        </w:rPr>
      </w:pPr>
    </w:p>
    <w:p>
      <w:pPr>
        <w:pStyle w:val="2"/>
        <w:ind w:firstLine="1928" w:firstLineChars="600"/>
        <w:jc w:val="both"/>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采购单位</w:t>
      </w:r>
      <w:r>
        <w:rPr>
          <w:rFonts w:hint="eastAsia" w:ascii="宋体" w:hAnsi="宋体" w:eastAsia="宋体" w:cs="宋体"/>
          <w:b/>
          <w:bCs/>
          <w:kern w:val="2"/>
          <w:sz w:val="32"/>
          <w:szCs w:val="32"/>
          <w:highlight w:val="none"/>
          <w:lang w:val="en-US" w:eastAsia="zh-CN" w:bidi="ar-SA"/>
        </w:rPr>
        <w:t>：</w:t>
      </w:r>
      <w:r>
        <w:rPr>
          <w:rFonts w:hint="eastAsia" w:ascii="宋体" w:hAnsi="宋体" w:eastAsia="宋体" w:cs="宋体"/>
          <w:b/>
          <w:bCs/>
          <w:sz w:val="32"/>
          <w:szCs w:val="32"/>
          <w:highlight w:val="none"/>
          <w:lang w:val="en-US" w:eastAsia="zh-CN"/>
        </w:rPr>
        <w:t>陇县中心敬老院</w:t>
      </w: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ind w:firstLine="1928" w:firstLineChars="600"/>
        <w:jc w:val="both"/>
        <w:rPr>
          <w:rFonts w:hint="eastAsia" w:ascii="宋体" w:hAnsi="宋体" w:eastAsia="宋体" w:cs="宋体"/>
          <w:highlight w:val="none"/>
          <w:lang w:eastAsia="zh-CN"/>
        </w:rPr>
      </w:pP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eastAsia="zh-CN"/>
        </w:rPr>
        <w:t>宝鸡福美特项目管理有限公司</w:t>
      </w:r>
    </w:p>
    <w:p>
      <w:pPr>
        <w:spacing w:beforeLines="70" w:line="360" w:lineRule="auto"/>
        <w:rPr>
          <w:rFonts w:hint="eastAsia" w:ascii="宋体" w:hAnsi="宋体" w:eastAsia="宋体" w:cs="宋体"/>
          <w:b/>
          <w:bCs/>
          <w:sz w:val="32"/>
          <w:szCs w:val="32"/>
          <w:highlight w:val="none"/>
        </w:rPr>
      </w:pPr>
    </w:p>
    <w:p>
      <w:pPr>
        <w:spacing w:beforeLines="70" w:line="360" w:lineRule="auto"/>
        <w:ind w:firstLine="2891" w:firstLineChars="900"/>
        <w:jc w:val="both"/>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w:t>
      </w:r>
      <w:r>
        <w:rPr>
          <w:rFonts w:hint="eastAsia" w:ascii="宋体" w:hAnsi="宋体" w:eastAsia="宋体" w:cs="宋体"/>
          <w:b/>
          <w:bCs/>
          <w:sz w:val="32"/>
          <w:szCs w:val="32"/>
          <w:highlight w:val="none"/>
          <w:lang w:val="en-US" w:eastAsia="zh-CN"/>
        </w:rPr>
        <w:t>〇</w:t>
      </w:r>
      <w:r>
        <w:rPr>
          <w:rFonts w:hint="eastAsia" w:ascii="宋体" w:hAnsi="宋体" w:eastAsia="宋体" w:cs="宋体"/>
          <w:b/>
          <w:bCs/>
          <w:sz w:val="32"/>
          <w:szCs w:val="32"/>
          <w:highlight w:val="none"/>
        </w:rPr>
        <w:t>二</w:t>
      </w:r>
      <w:r>
        <w:rPr>
          <w:rFonts w:hint="eastAsia" w:ascii="宋体" w:hAnsi="宋体" w:eastAsia="宋体" w:cs="宋体"/>
          <w:b/>
          <w:bCs/>
          <w:sz w:val="32"/>
          <w:szCs w:val="32"/>
          <w:highlight w:val="none"/>
          <w:lang w:eastAsia="zh-CN"/>
        </w:rPr>
        <w:t>二</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月</w:t>
      </w:r>
    </w:p>
    <w:p>
      <w:pPr>
        <w:pStyle w:val="2"/>
        <w:rPr>
          <w:rFonts w:hint="eastAsia" w:ascii="宋体" w:hAnsi="宋体" w:eastAsia="宋体" w:cs="宋体"/>
          <w:color w:val="auto"/>
          <w:highlight w:val="none"/>
          <w:lang w:val="zh-CN"/>
        </w:rPr>
        <w:sectPr>
          <w:headerReference r:id="rId4" w:type="first"/>
          <w:footerReference r:id="rId6" w:type="first"/>
          <w:headerReference r:id="rId3" w:type="default"/>
          <w:footerReference r:id="rId5" w:type="even"/>
          <w:pgSz w:w="11907" w:h="16840"/>
          <w:pgMar w:top="1417" w:right="1134" w:bottom="1417" w:left="1304" w:header="935" w:footer="680" w:gutter="567"/>
          <w:pgBorders>
            <w:top w:val="none" w:sz="0" w:space="0"/>
            <w:left w:val="none" w:sz="0" w:space="0"/>
            <w:bottom w:val="none" w:sz="0" w:space="0"/>
            <w:right w:val="none" w:sz="0" w:space="0"/>
          </w:pgBorders>
          <w:pgNumType w:fmt="decimal" w:start="1"/>
          <w:cols w:space="0" w:num="1"/>
          <w:rtlGutter w:val="0"/>
          <w:docGrid w:linePitch="312" w:charSpace="0"/>
        </w:sectPr>
      </w:pPr>
    </w:p>
    <w:p>
      <w:pPr>
        <w:pStyle w:val="47"/>
        <w:spacing w:before="0" w:line="360" w:lineRule="auto"/>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目 录</w:t>
      </w:r>
    </w:p>
    <w:p>
      <w:pPr>
        <w:spacing w:line="360" w:lineRule="auto"/>
        <w:rPr>
          <w:rFonts w:hint="eastAsia" w:ascii="宋体" w:hAnsi="宋体" w:eastAsia="宋体" w:cs="宋体"/>
          <w:color w:val="auto"/>
          <w:highlight w:val="none"/>
          <w:lang w:val="zh-CN"/>
        </w:rPr>
      </w:pP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_Toc2616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_Toc2616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_Toc28481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_Toc28481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_Toc16706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一、投标人须知前附表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_Toc16706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_Toc30549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二、项目说明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_Toc30549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_Toc5770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三、招标文件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_Toc5770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_Toc25485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四、投标文件</w:t>
      </w:r>
      <w:r>
        <w:rPr>
          <w:rFonts w:hint="eastAsia" w:ascii="宋体" w:hAnsi="宋体" w:eastAsia="宋体" w:cs="宋体"/>
          <w:kern w:val="0"/>
          <w:szCs w:val="28"/>
          <w:highlight w:val="none"/>
          <w:lang w:eastAsia="zh-CN"/>
        </w:rPr>
        <w:t>的编制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_Toc25485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_Toc28619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五、投标担保</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_Toc28619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_Toc22445 </w:instrText>
      </w:r>
      <w:r>
        <w:rPr>
          <w:rFonts w:hint="eastAsia" w:ascii="宋体" w:hAnsi="宋体" w:eastAsia="宋体" w:cs="宋体"/>
          <w:szCs w:val="24"/>
          <w:highlight w:val="none"/>
        </w:rPr>
        <w:fldChar w:fldCharType="separate"/>
      </w:r>
      <w:r>
        <w:rPr>
          <w:rFonts w:hint="eastAsia" w:ascii="宋体" w:hAnsi="宋体" w:eastAsia="宋体" w:cs="宋体"/>
          <w:bCs/>
          <w:kern w:val="0"/>
          <w:szCs w:val="28"/>
          <w:highlight w:val="none"/>
        </w:rPr>
        <w:t>六、投标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_Toc22445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_Toc1764 </w:instrText>
      </w:r>
      <w:r>
        <w:rPr>
          <w:rFonts w:hint="eastAsia" w:ascii="宋体" w:hAnsi="宋体" w:eastAsia="宋体" w:cs="宋体"/>
          <w:szCs w:val="24"/>
          <w:highlight w:val="none"/>
        </w:rPr>
        <w:fldChar w:fldCharType="separate"/>
      </w:r>
      <w:r>
        <w:rPr>
          <w:rFonts w:hint="eastAsia" w:ascii="宋体" w:hAnsi="宋体" w:eastAsia="宋体" w:cs="宋体"/>
          <w:bCs/>
          <w:kern w:val="0"/>
          <w:szCs w:val="28"/>
          <w:highlight w:val="none"/>
        </w:rPr>
        <w:t>七、开标、资格审查、评标和定标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_Toc1764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_Toc24214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lang w:eastAsia="zh-CN"/>
        </w:rPr>
        <w:t>八</w:t>
      </w:r>
      <w:r>
        <w:rPr>
          <w:rFonts w:hint="eastAsia" w:ascii="宋体" w:hAnsi="宋体" w:eastAsia="宋体" w:cs="宋体"/>
          <w:kern w:val="0"/>
          <w:szCs w:val="28"/>
          <w:highlight w:val="none"/>
        </w:rPr>
        <w:t>、合同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_Toc24214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_Toc6572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lang w:eastAsia="zh-CN"/>
        </w:rPr>
        <w:t>九</w:t>
      </w:r>
      <w:r>
        <w:rPr>
          <w:rFonts w:hint="eastAsia" w:ascii="宋体" w:hAnsi="宋体" w:eastAsia="宋体" w:cs="宋体"/>
          <w:kern w:val="0"/>
          <w:szCs w:val="28"/>
          <w:highlight w:val="none"/>
        </w:rPr>
        <w:t>、合同的履约验收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_Toc6572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_Toc2904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十、招标服务费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_Toc2904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_Toc20796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lang w:eastAsia="zh-CN"/>
        </w:rPr>
        <w:t>十</w:t>
      </w:r>
      <w:r>
        <w:rPr>
          <w:rFonts w:hint="eastAsia" w:ascii="宋体" w:hAnsi="宋体" w:eastAsia="宋体" w:cs="宋体"/>
          <w:kern w:val="0"/>
          <w:szCs w:val="28"/>
          <w:highlight w:val="none"/>
        </w:rPr>
        <w:t>一</w:t>
      </w:r>
      <w:r>
        <w:rPr>
          <w:rFonts w:hint="eastAsia" w:ascii="宋体" w:hAnsi="宋体" w:eastAsia="宋体" w:cs="宋体"/>
          <w:kern w:val="0"/>
          <w:szCs w:val="28"/>
          <w:highlight w:val="none"/>
          <w:lang w:eastAsia="zh-CN"/>
        </w:rPr>
        <w:t>、重新组织采购活动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_Toc20796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_Toc25543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十</w:t>
      </w:r>
      <w:r>
        <w:rPr>
          <w:rFonts w:hint="eastAsia" w:ascii="宋体" w:hAnsi="宋体" w:eastAsia="宋体" w:cs="宋体"/>
          <w:kern w:val="0"/>
          <w:szCs w:val="28"/>
          <w:highlight w:val="none"/>
          <w:lang w:eastAsia="zh-CN"/>
        </w:rPr>
        <w:t>二</w:t>
      </w:r>
      <w:r>
        <w:rPr>
          <w:rFonts w:hint="eastAsia" w:ascii="宋体" w:hAnsi="宋体" w:eastAsia="宋体" w:cs="宋体"/>
          <w:kern w:val="0"/>
          <w:szCs w:val="28"/>
          <w:highlight w:val="none"/>
        </w:rPr>
        <w:t>、询问、质疑与投诉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_Toc25543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_Toc8369 </w:instrText>
      </w:r>
      <w:r>
        <w:rPr>
          <w:rFonts w:hint="eastAsia" w:ascii="宋体" w:hAnsi="宋体" w:eastAsia="宋体" w:cs="宋体"/>
          <w:szCs w:val="24"/>
          <w:highlight w:val="none"/>
        </w:rPr>
        <w:fldChar w:fldCharType="separate"/>
      </w:r>
      <w:r>
        <w:rPr>
          <w:rFonts w:hint="eastAsia" w:ascii="宋体" w:hAnsi="宋体" w:eastAsia="宋体" w:cs="宋体"/>
          <w:kern w:val="0"/>
          <w:szCs w:val="28"/>
          <w:highlight w:val="none"/>
        </w:rPr>
        <w:t>十</w:t>
      </w:r>
      <w:r>
        <w:rPr>
          <w:rFonts w:hint="eastAsia" w:ascii="宋体" w:hAnsi="宋体" w:eastAsia="宋体" w:cs="宋体"/>
          <w:kern w:val="0"/>
          <w:szCs w:val="28"/>
          <w:highlight w:val="none"/>
          <w:lang w:eastAsia="zh-CN"/>
        </w:rPr>
        <w:t>三</w:t>
      </w:r>
      <w:r>
        <w:rPr>
          <w:rFonts w:hint="eastAsia" w:ascii="宋体" w:hAnsi="宋体" w:eastAsia="宋体" w:cs="宋体"/>
          <w:kern w:val="0"/>
          <w:szCs w:val="28"/>
          <w:highlight w:val="none"/>
        </w:rPr>
        <w:t>、拒绝商业贿赂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_Toc8369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_Toc26815 </w:instrText>
      </w:r>
      <w:r>
        <w:rPr>
          <w:rFonts w:hint="eastAsia" w:ascii="宋体" w:hAnsi="宋体" w:eastAsia="宋体" w:cs="宋体"/>
          <w:szCs w:val="24"/>
          <w:highlight w:val="none"/>
        </w:rPr>
        <w:fldChar w:fldCharType="separate"/>
      </w:r>
      <w:r>
        <w:rPr>
          <w:rFonts w:hint="eastAsia" w:ascii="宋体" w:hAnsi="宋体" w:eastAsia="宋体" w:cs="宋体"/>
          <w:bCs/>
          <w:kern w:val="0"/>
          <w:highlight w:val="none"/>
          <w:lang w:eastAsia="zh-CN"/>
        </w:rPr>
        <w:t>第三章</w:t>
      </w:r>
      <w:r>
        <w:rPr>
          <w:rFonts w:hint="eastAsia" w:ascii="宋体" w:hAnsi="宋体" w:eastAsia="宋体" w:cs="宋体"/>
          <w:bCs/>
          <w:kern w:val="0"/>
          <w:highlight w:val="none"/>
          <w:lang w:val="en-US" w:eastAsia="zh-CN"/>
        </w:rPr>
        <w:t xml:space="preserve"> </w:t>
      </w:r>
      <w:r>
        <w:rPr>
          <w:rFonts w:hint="eastAsia" w:ascii="宋体" w:hAnsi="宋体" w:eastAsia="宋体" w:cs="宋体"/>
          <w:bCs/>
          <w:kern w:val="0"/>
          <w:highlight w:val="none"/>
        </w:rPr>
        <w:t>采购内</w:t>
      </w:r>
      <w:r>
        <w:rPr>
          <w:rFonts w:hint="eastAsia" w:ascii="宋体" w:hAnsi="宋体" w:eastAsia="宋体" w:cs="宋体"/>
          <w:bCs/>
          <w:kern w:val="0"/>
          <w:highlight w:val="none"/>
          <w:shd w:val="clear" w:fill="FFFFFF" w:themeFill="background1"/>
        </w:rPr>
        <w:t>容</w:t>
      </w:r>
      <w:r>
        <w:rPr>
          <w:rFonts w:hint="eastAsia" w:ascii="宋体" w:hAnsi="宋体" w:eastAsia="宋体" w:cs="宋体"/>
          <w:bCs/>
          <w:kern w:val="0"/>
          <w:highlight w:val="none"/>
          <w:shd w:val="clear" w:fill="FFFFFF" w:themeFill="background1"/>
          <w:lang w:eastAsia="zh-CN"/>
        </w:rPr>
        <w:t>及技术要求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_Toc26815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_Toc16099 </w:instrText>
      </w:r>
      <w:r>
        <w:rPr>
          <w:rFonts w:hint="eastAsia" w:ascii="宋体" w:hAnsi="宋体" w:eastAsia="宋体" w:cs="宋体"/>
          <w:szCs w:val="24"/>
          <w:highlight w:val="none"/>
        </w:rPr>
        <w:fldChar w:fldCharType="separate"/>
      </w:r>
      <w:r>
        <w:rPr>
          <w:rFonts w:hint="eastAsia" w:ascii="宋体" w:hAnsi="宋体" w:eastAsia="宋体" w:cs="宋体"/>
          <w:bCs/>
          <w:kern w:val="2"/>
          <w:szCs w:val="24"/>
          <w:highlight w:val="none"/>
          <w:lang w:val="en-US" w:eastAsia="zh-CN" w:bidi="ar-SA"/>
        </w:rPr>
        <w:t>第四章  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_Toc16099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_Toc29050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合同条款</w:t>
      </w:r>
      <w:r>
        <w:rPr>
          <w:rFonts w:hint="eastAsia" w:ascii="宋体" w:hAnsi="宋体" w:eastAsia="宋体" w:cs="宋体"/>
          <w:highlight w:val="none"/>
          <w:lang w:eastAsia="zh-CN"/>
        </w:rPr>
        <w:t>（仅供参考）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_Toc29050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902"/>
        </w:tabs>
        <w:spacing w:line="360" w:lineRule="auto"/>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_Toc15071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w:t>
      </w:r>
      <w:r>
        <w:rPr>
          <w:rFonts w:hint="eastAsia" w:ascii="宋体" w:hAnsi="宋体" w:eastAsia="宋体" w:cs="宋体"/>
          <w:highlight w:val="none"/>
          <w:lang w:val="en-US" w:eastAsia="zh-CN"/>
        </w:rPr>
        <w:t>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_Toc15071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pPr>
        <w:pStyle w:val="23"/>
        <w:tabs>
          <w:tab w:val="right" w:leader="dot" w:pos="8902"/>
        </w:tabs>
        <w:spacing w:line="360" w:lineRule="auto"/>
        <w:rPr>
          <w:rFonts w:hint="eastAsia" w:ascii="宋体" w:hAnsi="宋体" w:eastAsia="宋体" w:cs="宋体"/>
          <w:highlight w:val="none"/>
        </w:rPr>
      </w:pPr>
    </w:p>
    <w:p>
      <w:pPr>
        <w:pStyle w:val="23"/>
        <w:tabs>
          <w:tab w:val="right" w:leader="dot" w:pos="8902"/>
        </w:tabs>
        <w:spacing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both"/>
        <w:textAlignment w:val="auto"/>
        <w:outlineLvl w:val="9"/>
        <w:rPr>
          <w:rFonts w:hint="eastAsia" w:ascii="宋体" w:hAnsi="宋体" w:eastAsia="宋体" w:cs="宋体"/>
          <w:color w:val="auto"/>
          <w:sz w:val="24"/>
          <w:szCs w:val="24"/>
          <w:highlight w:val="none"/>
        </w:rPr>
        <w:sectPr>
          <w:footerReference r:id="rId7" w:type="default"/>
          <w:pgSz w:w="11907" w:h="16840"/>
          <w:pgMar w:top="1417" w:right="1134" w:bottom="1417" w:left="1304" w:header="935" w:footer="680" w:gutter="567"/>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color w:val="auto"/>
          <w:szCs w:val="24"/>
          <w:highlight w:val="none"/>
        </w:rPr>
        <w:fldChar w:fldCharType="end"/>
      </w:r>
    </w:p>
    <w:p>
      <w:pPr>
        <w:pStyle w:val="3"/>
        <w:numPr>
          <w:ilvl w:val="0"/>
          <w:numId w:val="2"/>
        </w:numPr>
        <w:spacing w:before="0" w:after="0" w:line="240" w:lineRule="auto"/>
        <w:jc w:val="center"/>
        <w:rPr>
          <w:rFonts w:hint="eastAsia" w:ascii="宋体" w:hAnsi="宋体" w:eastAsia="宋体" w:cs="宋体"/>
          <w:color w:val="auto"/>
          <w:highlight w:val="none"/>
        </w:rPr>
      </w:pPr>
      <w:bookmarkStart w:id="0" w:name="_Toc19866"/>
      <w:bookmarkStart w:id="1" w:name="_Toc458617452"/>
      <w:bookmarkStart w:id="2" w:name="_Toc30185"/>
      <w:bookmarkStart w:id="3" w:name="_Toc458617729"/>
      <w:r>
        <w:rPr>
          <w:rFonts w:hint="eastAsia" w:ascii="宋体" w:hAnsi="宋体" w:eastAsia="宋体" w:cs="宋体"/>
          <w:color w:val="auto"/>
          <w:highlight w:val="none"/>
        </w:rPr>
        <w:t xml:space="preserve"> </w:t>
      </w:r>
      <w:bookmarkStart w:id="4" w:name="_Toc27785"/>
      <w:bookmarkStart w:id="5" w:name="_Toc2616"/>
      <w:r>
        <w:rPr>
          <w:rFonts w:hint="eastAsia" w:ascii="宋体" w:hAnsi="宋体" w:eastAsia="宋体" w:cs="宋体"/>
          <w:color w:val="auto"/>
          <w:highlight w:val="none"/>
        </w:rPr>
        <w:t>招标公告</w:t>
      </w:r>
      <w:bookmarkEnd w:id="0"/>
      <w:bookmarkEnd w:id="1"/>
      <w:bookmarkEnd w:id="2"/>
      <w:bookmarkEnd w:id="3"/>
      <w:bookmarkEnd w:id="4"/>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843" w:firstLineChars="300"/>
        <w:jc w:val="center"/>
        <w:textAlignment w:val="baseline"/>
        <w:rPr>
          <w:rFonts w:hint="eastAsia" w:ascii="宋体" w:hAnsi="宋体" w:eastAsia="宋体" w:cs="宋体"/>
          <w:b/>
          <w:bCs/>
          <w:i w:val="0"/>
          <w:iCs w:val="0"/>
          <w:caps w:val="0"/>
          <w:color w:val="333333"/>
          <w:spacing w:val="0"/>
          <w:kern w:val="0"/>
          <w:sz w:val="28"/>
          <w:szCs w:val="28"/>
          <w:highlight w:val="none"/>
          <w:shd w:val="clear" w:fill="FFFFFF"/>
          <w:vertAlign w:val="baseline"/>
          <w:lang w:val="en-US" w:eastAsia="zh-CN" w:bidi="ar"/>
        </w:rPr>
      </w:pPr>
      <w:bookmarkStart w:id="6" w:name="_Toc12514"/>
      <w:bookmarkStart w:id="7" w:name="_Toc11652"/>
      <w:bookmarkStart w:id="8" w:name="_Toc11506"/>
      <w:r>
        <w:rPr>
          <w:rFonts w:hint="eastAsia" w:ascii="宋体" w:hAnsi="宋体" w:eastAsia="宋体" w:cs="宋体"/>
          <w:b/>
          <w:bCs/>
          <w:i w:val="0"/>
          <w:iCs w:val="0"/>
          <w:caps w:val="0"/>
          <w:color w:val="333333"/>
          <w:spacing w:val="0"/>
          <w:kern w:val="0"/>
          <w:sz w:val="28"/>
          <w:szCs w:val="28"/>
          <w:highlight w:val="none"/>
          <w:shd w:val="clear" w:fill="FFFFFF"/>
          <w:vertAlign w:val="baseline"/>
          <w:lang w:val="en-US" w:eastAsia="zh-CN" w:bidi="ar"/>
        </w:rPr>
        <w:t>关于对特困供养对象生活用房2号楼、3号楼加装外挂式医用电梯项目招标公告</w:t>
      </w:r>
      <w:bookmarkEnd w:id="6"/>
      <w:bookmarkEnd w:id="7"/>
      <w:bookmarkEnd w:id="8"/>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项目概况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lang w:eastAsia="zh-CN"/>
        </w:rPr>
        <w:t>关于对特困供养对象生活用房2号楼、3号楼加装外挂式医用电梯项目</w:t>
      </w:r>
      <w:r>
        <w:rPr>
          <w:rFonts w:hint="eastAsia" w:ascii="宋体" w:hAnsi="宋体" w:eastAsia="宋体" w:cs="宋体"/>
          <w:i w:val="0"/>
          <w:iCs w:val="0"/>
          <w:caps w:val="0"/>
          <w:color w:val="333333"/>
          <w:spacing w:val="0"/>
          <w:sz w:val="21"/>
          <w:szCs w:val="21"/>
          <w:highlight w:val="none"/>
          <w:shd w:val="clear" w:fill="FFFFFF"/>
          <w:vertAlign w:val="baseline"/>
        </w:rPr>
        <w:t>招标项目的潜在投标人应在全国公共资源交易平台（陕西省·宝鸡市）宝鸡市公共资源交易中心（http://bj.sxggzyjy.cn/）获取招标文件</w:t>
      </w:r>
      <w:r>
        <w:rPr>
          <w:rFonts w:hint="eastAsia" w:ascii="宋体" w:hAnsi="宋体" w:eastAsia="宋体" w:cs="宋体"/>
          <w:i w:val="0"/>
          <w:iCs w:val="0"/>
          <w:caps w:val="0"/>
          <w:color w:val="333333"/>
          <w:spacing w:val="0"/>
          <w:sz w:val="21"/>
          <w:szCs w:val="21"/>
          <w:highlight w:val="none"/>
          <w:shd w:val="clear" w:fill="FFFFFF"/>
          <w:vertAlign w:val="baseline"/>
          <w:lang w:eastAsia="zh-CN"/>
        </w:rPr>
        <w:t>，并于 2022年06月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29</w:t>
      </w:r>
      <w:r>
        <w:rPr>
          <w:rFonts w:hint="eastAsia" w:ascii="宋体" w:hAnsi="宋体" w:eastAsia="宋体" w:cs="宋体"/>
          <w:i w:val="0"/>
          <w:iCs w:val="0"/>
          <w:caps w:val="0"/>
          <w:color w:val="333333"/>
          <w:spacing w:val="0"/>
          <w:sz w:val="21"/>
          <w:szCs w:val="21"/>
          <w:highlight w:val="none"/>
          <w:shd w:val="clear" w:fill="FFFFFF"/>
          <w:vertAlign w:val="baseline"/>
          <w:lang w:eastAsia="zh-CN"/>
        </w:rPr>
        <w:t>日 09时00分 （北京时间）前递交投标文件。</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bookmarkStart w:id="9" w:name="_Toc458617453"/>
      <w:bookmarkStart w:id="10" w:name="_Toc458617730"/>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一、项目基本情况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项目编号：</w:t>
      </w:r>
      <w:r>
        <w:rPr>
          <w:rFonts w:hint="eastAsia" w:ascii="宋体" w:hAnsi="宋体" w:eastAsia="宋体" w:cs="宋体"/>
          <w:i w:val="0"/>
          <w:iCs w:val="0"/>
          <w:caps w:val="0"/>
          <w:color w:val="333333"/>
          <w:spacing w:val="0"/>
          <w:sz w:val="21"/>
          <w:szCs w:val="21"/>
          <w:highlight w:val="none"/>
          <w:shd w:val="clear" w:fill="FFFFFF"/>
          <w:vertAlign w:val="baseline"/>
          <w:lang w:eastAsia="zh-CN"/>
        </w:rPr>
        <w:t>BJFMT2022(043)号</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项目名称：</w:t>
      </w:r>
      <w:r>
        <w:rPr>
          <w:rFonts w:hint="eastAsia" w:ascii="宋体" w:hAnsi="宋体" w:eastAsia="宋体" w:cs="宋体"/>
          <w:i w:val="0"/>
          <w:iCs w:val="0"/>
          <w:caps w:val="0"/>
          <w:color w:val="333333"/>
          <w:spacing w:val="0"/>
          <w:sz w:val="21"/>
          <w:szCs w:val="21"/>
          <w:highlight w:val="none"/>
          <w:shd w:val="clear" w:fill="FFFFFF"/>
          <w:vertAlign w:val="baseline"/>
          <w:lang w:eastAsia="zh-CN"/>
        </w:rPr>
        <w:t>关于对特困供养对象生活用房2号楼、3号楼加装外挂式医用电梯项目</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采购方式：公开招标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预算金额：</w:t>
      </w:r>
      <w:r>
        <w:rPr>
          <w:rFonts w:hint="eastAsia" w:ascii="宋体" w:hAnsi="宋体" w:eastAsia="宋体" w:cs="宋体"/>
          <w:i w:val="0"/>
          <w:iCs w:val="0"/>
          <w:caps w:val="0"/>
          <w:color w:val="333333"/>
          <w:spacing w:val="0"/>
          <w:sz w:val="21"/>
          <w:szCs w:val="21"/>
          <w:highlight w:val="none"/>
          <w:shd w:val="clear" w:fill="FFFFFF"/>
          <w:vertAlign w:val="baseline"/>
          <w:lang w:eastAsia="zh-CN"/>
        </w:rPr>
        <w:t>1,100,000.00元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采购需求：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合同包1(</w:t>
      </w:r>
      <w:r>
        <w:rPr>
          <w:rFonts w:hint="eastAsia" w:ascii="宋体" w:hAnsi="宋体" w:eastAsia="宋体" w:cs="宋体"/>
          <w:i w:val="0"/>
          <w:iCs w:val="0"/>
          <w:caps w:val="0"/>
          <w:color w:val="333333"/>
          <w:spacing w:val="0"/>
          <w:sz w:val="21"/>
          <w:szCs w:val="21"/>
          <w:highlight w:val="none"/>
          <w:shd w:val="clear" w:fill="FFFFFF"/>
          <w:vertAlign w:val="baseline"/>
          <w:lang w:eastAsia="zh-CN"/>
        </w:rPr>
        <w:t>关于对特困供养对象生活用房2号楼、3号楼加装外挂式医用电梯项目</w:t>
      </w:r>
      <w:r>
        <w:rPr>
          <w:rFonts w:hint="eastAsia" w:ascii="宋体" w:hAnsi="宋体" w:eastAsia="宋体" w:cs="宋体"/>
          <w:i w:val="0"/>
          <w:iCs w:val="0"/>
          <w:caps w:val="0"/>
          <w:color w:val="333333"/>
          <w:spacing w:val="0"/>
          <w:sz w:val="21"/>
          <w:szCs w:val="21"/>
          <w:highlight w:val="none"/>
          <w:shd w:val="clear" w:fill="FFFFFF"/>
          <w:vertAlign w:val="baseline"/>
        </w:rPr>
        <w:t>):</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13"/>
          <w:szCs w:val="13"/>
          <w:highlight w:val="no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合同包预算金额：</w:t>
      </w:r>
      <w:r>
        <w:rPr>
          <w:rFonts w:hint="eastAsia" w:ascii="宋体" w:hAnsi="宋体" w:eastAsia="宋体" w:cs="宋体"/>
          <w:i w:val="0"/>
          <w:iCs w:val="0"/>
          <w:caps w:val="0"/>
          <w:color w:val="333333"/>
          <w:spacing w:val="0"/>
          <w:sz w:val="21"/>
          <w:szCs w:val="21"/>
          <w:highlight w:val="none"/>
          <w:shd w:val="clear" w:fill="FFFFFF"/>
          <w:vertAlign w:val="baseline"/>
          <w:lang w:eastAsia="zh-CN"/>
        </w:rPr>
        <w:t>1,100,000.00元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highlight w:val="no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合同包最高限价：</w:t>
      </w:r>
      <w:r>
        <w:rPr>
          <w:rFonts w:hint="eastAsia" w:ascii="宋体" w:hAnsi="宋体" w:eastAsia="宋体" w:cs="宋体"/>
          <w:i w:val="0"/>
          <w:iCs w:val="0"/>
          <w:caps w:val="0"/>
          <w:color w:val="333333"/>
          <w:spacing w:val="0"/>
          <w:sz w:val="21"/>
          <w:szCs w:val="21"/>
          <w:highlight w:val="none"/>
          <w:shd w:val="clear" w:fill="FFFFFF"/>
          <w:vertAlign w:val="baseline"/>
          <w:lang w:eastAsia="zh-CN"/>
        </w:rPr>
        <w:t>1,100,000.00元</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6"/>
        <w:gridCol w:w="1465"/>
        <w:gridCol w:w="1465"/>
        <w:gridCol w:w="1171"/>
        <w:gridCol w:w="1681"/>
        <w:gridCol w:w="1327"/>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采购外挂式医用电梯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采购外挂式医用电梯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1,100,000.00元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1,100,000.00元</w:t>
            </w:r>
          </w:p>
        </w:tc>
      </w:tr>
    </w:tbl>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本合同包不接受联合体投标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合同履行期限：自合同签订之日起30日历天内完成</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二、申请人的资格要求：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1.满足《中华人民共和国政府采购法》第二十二条规定;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2.落实政府采购政策需满足的资格要求：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w:t>
      </w:r>
      <w:r>
        <w:rPr>
          <w:rFonts w:hint="eastAsia" w:ascii="宋体" w:hAnsi="宋体" w:eastAsia="宋体" w:cs="宋体"/>
          <w:i w:val="0"/>
          <w:iCs w:val="0"/>
          <w:caps w:val="0"/>
          <w:color w:val="333333"/>
          <w:spacing w:val="0"/>
          <w:sz w:val="21"/>
          <w:szCs w:val="21"/>
          <w:highlight w:val="none"/>
          <w:shd w:val="clear" w:fill="FFFFFF"/>
          <w:vertAlign w:val="baseline"/>
          <w:lang w:eastAsia="zh-CN"/>
        </w:rPr>
        <w:t>关于对特困供养对象生活用房2号楼、3号楼加装外挂式医用电梯项目</w:t>
      </w:r>
      <w:r>
        <w:rPr>
          <w:rFonts w:hint="eastAsia" w:ascii="宋体" w:hAnsi="宋体" w:eastAsia="宋体" w:cs="宋体"/>
          <w:i w:val="0"/>
          <w:iCs w:val="0"/>
          <w:caps w:val="0"/>
          <w:color w:val="333333"/>
          <w:spacing w:val="0"/>
          <w:sz w:val="21"/>
          <w:szCs w:val="21"/>
          <w:highlight w:val="none"/>
          <w:shd w:val="clear" w:fill="FFFFFF"/>
          <w:vertAlign w:val="baseline"/>
        </w:rPr>
        <w:t>)落实政府采购政策需满足的资格要求如下: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 （4）《政府采购促进中小企业发展管理办法》（财库〔2020〕46号）；（5）《财政部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中小企业政府采购信用融资办法》（陕财办采〔2018〕23号）。</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3.本项目的特定资格要求：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合同包1(</w:t>
      </w:r>
      <w:r>
        <w:rPr>
          <w:rFonts w:hint="eastAsia" w:ascii="宋体" w:hAnsi="宋体" w:eastAsia="宋体" w:cs="宋体"/>
          <w:i w:val="0"/>
          <w:iCs w:val="0"/>
          <w:caps w:val="0"/>
          <w:color w:val="333333"/>
          <w:spacing w:val="0"/>
          <w:sz w:val="21"/>
          <w:szCs w:val="21"/>
          <w:highlight w:val="none"/>
          <w:shd w:val="clear" w:fill="FFFFFF"/>
          <w:vertAlign w:val="baseline"/>
          <w:lang w:eastAsia="zh-CN"/>
        </w:rPr>
        <w:t>关于对特困供养对象生活用房2号楼、3号楼加装外挂式医用电梯项目</w:t>
      </w:r>
      <w:r>
        <w:rPr>
          <w:rFonts w:hint="eastAsia" w:ascii="宋体" w:hAnsi="宋体" w:eastAsia="宋体" w:cs="宋体"/>
          <w:i w:val="0"/>
          <w:iCs w:val="0"/>
          <w:caps w:val="0"/>
          <w:color w:val="333333"/>
          <w:spacing w:val="0"/>
          <w:sz w:val="21"/>
          <w:szCs w:val="21"/>
          <w:highlight w:val="none"/>
          <w:shd w:val="clear" w:fill="FFFFFF"/>
          <w:vertAlign w:val="baseline"/>
        </w:rPr>
        <w:t>)特定资格要求如下:</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textAlignment w:val="baseline"/>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（1）投标人须是具有独立承担民事责任能力的法人、其他组织或自然人，并出具合法有效的营业执照或事业单位法人证书等国家规定的相关证明，自然人参与的提供其身份证明；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（2）投标人须提供2020年度或2021年度财务审计报告（至少包括资产负债表和利润表，成立时间至提交投标文件截止时间不足一年的可提供成立后任意时段的资产负债表）； </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（3）投标人须提供2022年至今已缴存的至少一个月的社会保险参保缴费情况证明；</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（4）投标人须提供2022年至今已缴纳的至少一个月的纳税证明或完税证明，依法免税的单位应提供相关证明材料；</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5）投标人不得为“信用中国”网站（www.creditchina.gov.cn）中列入失信被执行人和税收违法黑名单投标人，不得为中国政府采购网（www.ccgp.gov.cn）政府采购严重违法失信行为记录名单中被财政部门禁止参加政府采购活动的投标人；</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（6）单位负责人为同一人或者存在直接控股、管理关系的不同投标人，不得参加同一合同项下的政府采购活动；（通过“国家企业信用信息公示系统”上查询的打印件或截图，加盖投标人公章）；</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（7）企业开具的近三年在经营活动中无重大违法记录声明; </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8）投标人应授权合法的人员参加投标全过程，其中法定代表人直接参加投标的，须出具法定代表人资格证明书及身份证，并与营业执照上信息一致，法定代表人授权代表参加投标的，须出具法定代表人资格证明书、授权书及被授权代表身份证；</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（9）提供具有履行合同所必需的设备和专业技术能力的承诺书；</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（10）投标人须在陕西省政府采购网（http://www.ccgp-shaanxi.gov.cn/），按照“投标人注册注意事项”要求，完成注册审核；（注册公示截图加盖投标人公章）；</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11）投标人为制造商：需具有《中华人民共和国特种设备制造许可证》B级及以上资质和《中华人民共和国特种设备安装改造维修许可证》（电梯）B级及以上资质（旧证）或《中华人民共和国特种设备生产许可证》电梯制造（含安装、修理、改造）B级及以上资质（新证）；</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投标人为代理商：需提供所投产品生产厂家的《中华人民共和国特种设备制造许可证》B级及以上资质（旧证）或《中华人民共和国特种设备生产许可证》电梯制造（含安装、修理、改造）B级及以上资质（新证），并具有投标人的《中华人民共和国特种设备安装改造维修许可证》（电梯）B级及以上资质（旧证）或《中华人民共和国特种设备生产许可证》电梯安装（含修理）B级及以上资质（新证）；（代理商提供厂家证件为复印件或扫描件）；</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  本项目不接受联合体投标。</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三、获取招标文件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时间： 2022年0</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08</w:t>
      </w:r>
      <w:r>
        <w:rPr>
          <w:rFonts w:hint="eastAsia" w:ascii="宋体" w:hAnsi="宋体" w:eastAsia="宋体" w:cs="宋体"/>
          <w:i w:val="0"/>
          <w:iCs w:val="0"/>
          <w:caps w:val="0"/>
          <w:color w:val="333333"/>
          <w:spacing w:val="0"/>
          <w:sz w:val="21"/>
          <w:szCs w:val="21"/>
          <w:highlight w:val="none"/>
          <w:shd w:val="clear" w:fill="FFFFFF"/>
          <w:vertAlign w:val="baseline"/>
        </w:rPr>
        <w:t>日 至 2022年0</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14</w:t>
      </w:r>
      <w:r>
        <w:rPr>
          <w:rFonts w:hint="eastAsia" w:ascii="宋体" w:hAnsi="宋体" w:eastAsia="宋体" w:cs="宋体"/>
          <w:i w:val="0"/>
          <w:iCs w:val="0"/>
          <w:caps w:val="0"/>
          <w:color w:val="333333"/>
          <w:spacing w:val="0"/>
          <w:sz w:val="21"/>
          <w:szCs w:val="21"/>
          <w:highlight w:val="none"/>
          <w:shd w:val="clear" w:fill="FFFFFF"/>
          <w:vertAlign w:val="baseline"/>
        </w:rPr>
        <w:t>日 ，每天上午 09:00:00 至 12:00:00 ，下午 12:00:00 至 17:00:00 （北京时间,法定节假日除外）</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地点：全国公共资源交易平台（陕西省·宝鸡市）宝鸡市公共资源交易中心（http://bj.sxggzyjy.cn/）</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方式：在线获取</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售价： 500元</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四、提交投标文件截止时间、开标时间和地点</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2022年06月</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29</w:t>
      </w:r>
      <w:r>
        <w:rPr>
          <w:rFonts w:hint="eastAsia" w:ascii="宋体" w:hAnsi="宋体" w:eastAsia="宋体" w:cs="宋体"/>
          <w:i w:val="0"/>
          <w:iCs w:val="0"/>
          <w:caps w:val="0"/>
          <w:color w:val="333333"/>
          <w:spacing w:val="0"/>
          <w:sz w:val="21"/>
          <w:szCs w:val="21"/>
          <w:highlight w:val="none"/>
          <w:shd w:val="clear" w:fill="FFFFFF"/>
          <w:vertAlign w:val="baseline"/>
        </w:rPr>
        <w:t>日 09时00分00秒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地点：宝鸡市公共资源交易中心三楼第20开标室（不见面开标室</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1</w:t>
      </w:r>
      <w:r>
        <w:rPr>
          <w:rFonts w:hint="eastAsia" w:ascii="宋体" w:hAnsi="宋体" w:eastAsia="宋体" w:cs="宋体"/>
          <w:i w:val="0"/>
          <w:iCs w:val="0"/>
          <w:caps w:val="0"/>
          <w:color w:val="333333"/>
          <w:spacing w:val="0"/>
          <w:sz w:val="21"/>
          <w:szCs w:val="21"/>
          <w:highlight w:val="none"/>
          <w:shd w:val="clear" w:fill="FFFFFF"/>
          <w:vertAlign w:val="baseline"/>
        </w:rPr>
        <w:t>）</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五、公告期限</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ascii="宋体" w:hAnsi="宋体" w:eastAsia="宋体" w:cs="宋体"/>
          <w:i w:val="0"/>
          <w:iCs w:val="0"/>
          <w:caps w:val="0"/>
          <w:color w:val="333333"/>
          <w:spacing w:val="0"/>
          <w:sz w:val="21"/>
          <w:szCs w:val="21"/>
          <w:highlight w:val="none"/>
          <w:shd w:val="clear" w:fill="FFFFFF"/>
          <w:vertAlign w:val="baseline"/>
        </w:rPr>
        <w:t>自本公告发布之日起5个工作日。</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六、其他补充事宜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本项目开标地点：宝鸡市公共资源交易中心三楼第20开标室（不见面开标室1）</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1、本项目有意向投标人须登录全国公共资源交易平台（陕西省·宝鸡市）宝鸡市公共资源交易中心（http://bj.sxggzyjy.cn/），交易平台〖首页〉电子交易平台〉企业端〗后，在〖招标公告/出让公告〗模块中选择有意向的项目点击“我要投标”，并打印回执单。在发售时间内2022年06月08日至2022年06月14日09:00:00-17:00:00（双休日及法定节假日除外）持网上确认单、介绍信、本人身份证原件及复印件加盖单位公章至宝鸡市行政东路三迪金融中心8楼801室进行确认及招标文件购买。购买成功后即可从〖我的项目〉项目流程〉交易文件下载〗中下载电子招标文件（*.SXSZF格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2、投标人在网上填写单位信息（单位名称、营业执照相关信息）时应与招标文件要求及后期上传的电子投标文件中相关信息一致，否则造成资格审查不通过的后果自负；</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3、本项目采用不见面开标方式，各投标人可登录（http://bj.sxggzyjy.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4、未完成网上投标或未在规定时间内在平台上下载电子招标文件的，导致无法完成后续流程的责任自负；</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5、如有技术性问题，请先翻阅操作手册或致电软件开发商，技术支持热线：4009280095、4009980000；</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kern w:val="0"/>
          <w:sz w:val="21"/>
          <w:szCs w:val="21"/>
          <w:highlight w:val="none"/>
          <w:shd w:val="clear" w:fill="FFFFFF"/>
          <w:vertAlign w:val="baseline"/>
          <w:lang w:val="en-US" w:eastAsia="zh-CN" w:bidi="ar"/>
        </w:rPr>
        <w:t>6、严格执行我市防疫最新要求，请各位做好个人防护，自觉检视自身情况是否符合疫情防控要求，进入宝鸡市行政东路三迪金融中心8楼801室时须主动配合疫情监管，未按要求执行不可进场确认报名信息。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4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注意事项：投标人应随时留意可能发布的变更公告，当澄清或修改的内容影响响应文件编制时，将在交易平台上同步发布答疑文件，此时供应商应从“项目流程”答疑文件下载、下载最新发布的答疑文件进行投标文件的制作。</w:t>
      </w: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p>
    <w:p>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0" w:rightChars="0"/>
        <w:jc w:val="left"/>
        <w:textAlignment w:val="baseline"/>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bCs/>
          <w:i w:val="0"/>
          <w:iCs w:val="0"/>
          <w:caps w:val="0"/>
          <w:color w:val="333333"/>
          <w:spacing w:val="0"/>
          <w:kern w:val="0"/>
          <w:sz w:val="21"/>
          <w:szCs w:val="21"/>
          <w:highlight w:val="none"/>
          <w:shd w:val="clear" w:fill="FFFFFF"/>
          <w:vertAlign w:val="baseline"/>
          <w:lang w:val="en-US" w:eastAsia="zh-CN" w:bidi="ar"/>
        </w:rPr>
        <w:t>七、对本次招标提出询问，请按以下方式联系。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737" w:leftChars="174" w:right="0" w:hanging="319" w:hangingChars="152"/>
        <w:jc w:val="left"/>
        <w:textAlignment w:val="baseline"/>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1.采购人信息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名称</w:t>
      </w:r>
      <w:r>
        <w:rPr>
          <w:rFonts w:hint="eastAsia" w:ascii="宋体" w:hAnsi="宋体" w:eastAsia="宋体" w:cs="宋体"/>
          <w:i w:val="0"/>
          <w:iCs w:val="0"/>
          <w:caps w:val="0"/>
          <w:color w:val="333333"/>
          <w:spacing w:val="0"/>
          <w:sz w:val="21"/>
          <w:szCs w:val="21"/>
          <w:highlight w:val="none"/>
          <w:shd w:val="clear" w:fill="FFFFFF"/>
          <w:vertAlign w:val="baseline"/>
        </w:rPr>
        <w:t>：</w:t>
      </w:r>
      <w:r>
        <w:rPr>
          <w:rFonts w:hint="eastAsia" w:ascii="宋体" w:hAnsi="宋体" w:eastAsia="宋体" w:cs="宋体"/>
          <w:i w:val="0"/>
          <w:iCs w:val="0"/>
          <w:caps w:val="0"/>
          <w:color w:val="333333"/>
          <w:spacing w:val="0"/>
          <w:sz w:val="21"/>
          <w:szCs w:val="21"/>
          <w:highlight w:val="none"/>
          <w:shd w:val="clear" w:fill="FFFFFF"/>
          <w:vertAlign w:val="baseline"/>
          <w:lang w:eastAsia="zh-CN"/>
        </w:rPr>
        <w:t>陇县中心敬老院</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lang w:eastAsia="zh-CN"/>
        </w:rPr>
      </w:pPr>
      <w:r>
        <w:rPr>
          <w:rFonts w:hint="eastAsia" w:ascii="宋体" w:hAnsi="宋体" w:eastAsia="宋体" w:cs="宋体"/>
          <w:i w:val="0"/>
          <w:iCs w:val="0"/>
          <w:caps w:val="0"/>
          <w:color w:val="333333"/>
          <w:spacing w:val="0"/>
          <w:sz w:val="21"/>
          <w:szCs w:val="21"/>
          <w:highlight w:val="none"/>
          <w:shd w:val="clear" w:fill="FFFFFF"/>
          <w:vertAlign w:val="baseline"/>
        </w:rPr>
        <w:t>地址：</w:t>
      </w:r>
      <w:r>
        <w:rPr>
          <w:rFonts w:hint="eastAsia" w:ascii="宋体" w:hAnsi="宋体" w:eastAsia="宋体" w:cs="宋体"/>
          <w:i w:val="0"/>
          <w:iCs w:val="0"/>
          <w:caps w:val="0"/>
          <w:color w:val="333333"/>
          <w:spacing w:val="0"/>
          <w:sz w:val="21"/>
          <w:szCs w:val="21"/>
          <w:highlight w:val="none"/>
          <w:shd w:val="clear" w:fill="FFFFFF"/>
          <w:vertAlign w:val="baseline"/>
          <w:lang w:eastAsia="zh-CN"/>
        </w:rPr>
        <w:t>宝鸡市陇县</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联系方式：0917</w:t>
      </w:r>
      <w:r>
        <w:rPr>
          <w:rFonts w:hint="eastAsia" w:ascii="宋体" w:hAnsi="宋体" w:eastAsia="宋体" w:cs="宋体"/>
          <w:i w:val="0"/>
          <w:iCs w:val="0"/>
          <w:caps w:val="0"/>
          <w:color w:val="333333"/>
          <w:spacing w:val="0"/>
          <w:sz w:val="21"/>
          <w:szCs w:val="21"/>
          <w:highlight w:val="none"/>
          <w:shd w:val="clear" w:fill="FFFFFF"/>
          <w:vertAlign w:val="baseline"/>
          <w:lang w:eastAsia="zh-CN"/>
        </w:rPr>
        <w:t>-</w:t>
      </w:r>
      <w:r>
        <w:rPr>
          <w:rFonts w:hint="eastAsia" w:ascii="宋体" w:hAnsi="宋体" w:eastAsia="宋体" w:cs="宋体"/>
          <w:i w:val="0"/>
          <w:iCs w:val="0"/>
          <w:caps w:val="0"/>
          <w:color w:val="333333"/>
          <w:spacing w:val="0"/>
          <w:sz w:val="21"/>
          <w:szCs w:val="21"/>
          <w:highlight w:val="none"/>
          <w:shd w:val="clear" w:fill="FFFFFF"/>
          <w:vertAlign w:val="baseline"/>
          <w:lang w:val="en-US" w:eastAsia="zh-CN"/>
        </w:rPr>
        <w:t>4508096</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737" w:leftChars="174" w:right="0" w:hanging="319" w:hangingChars="152"/>
        <w:jc w:val="left"/>
        <w:textAlignment w:val="baseline"/>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2.采购代理机构信息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名称：宝鸡</w:t>
      </w:r>
      <w:r>
        <w:rPr>
          <w:rFonts w:hint="eastAsia" w:ascii="宋体" w:hAnsi="宋体" w:eastAsia="宋体" w:cs="宋体"/>
          <w:i w:val="0"/>
          <w:iCs w:val="0"/>
          <w:caps w:val="0"/>
          <w:color w:val="333333"/>
          <w:spacing w:val="0"/>
          <w:sz w:val="21"/>
          <w:szCs w:val="21"/>
          <w:highlight w:val="none"/>
          <w:shd w:val="clear" w:fill="FFFFFF"/>
          <w:vertAlign w:val="baseline"/>
        </w:rPr>
        <w:t>福美特项目管理有限公司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地址：陕西省宝鸡市金台区三迪金融中心8楼805室</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联系方式：13319178519</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737" w:leftChars="174" w:right="0" w:hanging="319" w:hangingChars="152"/>
        <w:jc w:val="left"/>
        <w:textAlignment w:val="baseline"/>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t>3.项目联系方式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项目联系人：刘女士</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fill="FFFFFF"/>
          <w:vertAlign w:val="baseline"/>
        </w:rPr>
        <w:t>电话：13319178519</w:t>
      </w:r>
    </w:p>
    <w:p>
      <w:pPr>
        <w:rPr>
          <w:rFonts w:hint="eastAsia" w:ascii="宋体" w:hAnsi="宋体" w:eastAsia="宋体" w:cs="宋体"/>
          <w:sz w:val="22"/>
          <w:szCs w:val="22"/>
          <w:highlight w:val="none"/>
          <w:lang w:val="en-US" w:eastAsia="zh-CN"/>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before="0" w:after="0" w:line="360" w:lineRule="auto"/>
        <w:jc w:val="center"/>
        <w:rPr>
          <w:rFonts w:hint="eastAsia" w:ascii="宋体" w:hAnsi="宋体" w:eastAsia="宋体" w:cs="宋体"/>
          <w:color w:val="auto"/>
          <w:highlight w:val="none"/>
        </w:rPr>
      </w:pPr>
      <w:bookmarkStart w:id="11" w:name="_Toc24716"/>
      <w:bookmarkStart w:id="12" w:name="_Toc28481"/>
      <w:r>
        <w:rPr>
          <w:rFonts w:hint="eastAsia" w:ascii="宋体" w:hAnsi="宋体" w:eastAsia="宋体" w:cs="宋体"/>
          <w:color w:val="auto"/>
          <w:highlight w:val="none"/>
        </w:rPr>
        <w:t>第二章  投标人须知</w:t>
      </w:r>
      <w:bookmarkEnd w:id="9"/>
      <w:bookmarkEnd w:id="10"/>
      <w:bookmarkEnd w:id="11"/>
      <w:bookmarkEnd w:id="12"/>
    </w:p>
    <w:p>
      <w:pPr>
        <w:pStyle w:val="4"/>
        <w:pageBreakBefore w:val="0"/>
        <w:wordWrap/>
        <w:topLinePunct w:val="0"/>
        <w:bidi w:val="0"/>
        <w:spacing w:before="0" w:after="0" w:line="365" w:lineRule="auto"/>
        <w:jc w:val="left"/>
        <w:textAlignment w:val="auto"/>
        <w:rPr>
          <w:rFonts w:hint="eastAsia" w:ascii="宋体" w:hAnsi="宋体" w:eastAsia="宋体" w:cs="宋体"/>
          <w:b/>
          <w:color w:val="auto"/>
          <w:sz w:val="15"/>
          <w:szCs w:val="15"/>
          <w:highlight w:val="none"/>
        </w:rPr>
      </w:pPr>
      <w:bookmarkStart w:id="13" w:name="_Toc20846"/>
      <w:bookmarkStart w:id="14" w:name="_Toc458617454"/>
      <w:bookmarkStart w:id="15" w:name="_Toc458617731"/>
      <w:bookmarkStart w:id="16" w:name="_Toc16706"/>
      <w:r>
        <w:rPr>
          <w:rFonts w:hint="eastAsia" w:ascii="宋体" w:hAnsi="宋体" w:eastAsia="宋体" w:cs="宋体"/>
          <w:color w:val="auto"/>
          <w:sz w:val="28"/>
          <w:szCs w:val="28"/>
          <w:highlight w:val="none"/>
        </w:rPr>
        <w:t>一、投标人须知前附表</w:t>
      </w:r>
      <w:bookmarkEnd w:id="13"/>
      <w:bookmarkEnd w:id="14"/>
      <w:bookmarkEnd w:id="15"/>
      <w:bookmarkEnd w:id="16"/>
    </w:p>
    <w:tbl>
      <w:tblPr>
        <w:tblStyle w:val="2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911"/>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条款名称</w:t>
            </w:r>
          </w:p>
        </w:tc>
        <w:tc>
          <w:tcPr>
            <w:tcW w:w="6925"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采购人</w:t>
            </w:r>
          </w:p>
        </w:tc>
        <w:tc>
          <w:tcPr>
            <w:tcW w:w="6925" w:type="dxa"/>
            <w:shd w:val="clear" w:color="auto" w:fill="auto"/>
            <w:vAlign w:val="top"/>
          </w:tcPr>
          <w:p>
            <w:pPr>
              <w:keepNext w:val="0"/>
              <w:keepLines w:val="0"/>
              <w:pageBreakBefore w:val="0"/>
              <w:suppressLineNumbers w:val="0"/>
              <w:shd w:val="clear"/>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名    称：陇县中心敬老院</w:t>
            </w:r>
          </w:p>
          <w:p>
            <w:pPr>
              <w:keepNext w:val="0"/>
              <w:keepLines w:val="0"/>
              <w:pageBreakBefore w:val="0"/>
              <w:suppressLineNumbers w:val="0"/>
              <w:shd w:val="clear"/>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地    址：宝鸡市陇县</w:t>
            </w:r>
          </w:p>
          <w:p>
            <w:pPr>
              <w:keepNext w:val="0"/>
              <w:keepLines w:val="0"/>
              <w:pageBreakBefore w:val="0"/>
              <w:suppressLineNumbers w:val="0"/>
              <w:shd w:val="clear"/>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联 系 人：李先生</w:t>
            </w:r>
          </w:p>
          <w:p>
            <w:pPr>
              <w:keepNext w:val="0"/>
              <w:keepLines w:val="0"/>
              <w:pageBreakBefore w:val="0"/>
              <w:suppressLineNumbers w:val="0"/>
              <w:shd w:val="clear"/>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联系方式：0917-4508096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w:t>
            </w:r>
          </w:p>
        </w:tc>
        <w:tc>
          <w:tcPr>
            <w:tcW w:w="6925" w:type="dxa"/>
            <w:shd w:val="clear" w:color="auto" w:fill="auto"/>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宝鸡福美特项目管理有限公司</w:t>
            </w:r>
          </w:p>
          <w:p>
            <w:pPr>
              <w:keepNext w:val="0"/>
              <w:keepLines w:val="0"/>
              <w:pageBreakBefore w:val="0"/>
              <w:suppressLineNumbers w:val="0"/>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宝鸡市金台区行政东路三迪金融中心</w:t>
            </w:r>
            <w:r>
              <w:rPr>
                <w:rFonts w:hint="eastAsia" w:ascii="宋体" w:hAnsi="宋体" w:eastAsia="宋体" w:cs="宋体"/>
                <w:color w:val="auto"/>
                <w:sz w:val="24"/>
                <w:highlight w:val="none"/>
                <w:lang w:val="en-US" w:eastAsia="zh-CN"/>
              </w:rPr>
              <w:t>8楼</w:t>
            </w:r>
          </w:p>
          <w:p>
            <w:pPr>
              <w:keepNext w:val="0"/>
              <w:keepLines w:val="0"/>
              <w:pageBreakBefore w:val="0"/>
              <w:suppressLineNumbers w:val="0"/>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刘女士</w:t>
            </w:r>
          </w:p>
          <w:p>
            <w:pPr>
              <w:keepNext w:val="0"/>
              <w:keepLines w:val="0"/>
              <w:pageBreakBefore w:val="0"/>
              <w:suppressLineNumbers w:val="0"/>
              <w:wordWrap/>
              <w:topLinePunct w:val="0"/>
              <w:bidi w:val="0"/>
              <w:spacing w:before="0" w:beforeAutospacing="0" w:after="0" w:afterAutospacing="0" w:line="365" w:lineRule="auto"/>
              <w:ind w:left="0" w:right="0"/>
              <w:textAlignment w:val="auto"/>
              <w:outlineLvl w:val="9"/>
              <w:rPr>
                <w:rFonts w:hint="eastAsia" w:ascii="宋体" w:hAnsi="宋体" w:eastAsia="宋体" w:cs="宋体"/>
                <w:color w:val="auto"/>
                <w:szCs w:val="24"/>
                <w:highlight w:val="none"/>
                <w:lang w:val="en-US"/>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13319178519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监督管理机构</w:t>
            </w:r>
          </w:p>
        </w:tc>
        <w:tc>
          <w:tcPr>
            <w:tcW w:w="6925" w:type="dxa"/>
            <w:shd w:val="clear" w:color="auto" w:fill="auto"/>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b w:val="0"/>
                <w:bCs/>
                <w:color w:val="auto"/>
                <w:sz w:val="24"/>
                <w:szCs w:val="24"/>
                <w:highlight w:val="none"/>
                <w:u w:val="none" w:color="FF0000"/>
                <w:lang w:val="en-US" w:eastAsia="zh-CN"/>
              </w:rPr>
              <w:t>陇县财政局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项目名称</w:t>
            </w:r>
          </w:p>
        </w:tc>
        <w:tc>
          <w:tcPr>
            <w:tcW w:w="6925" w:type="dxa"/>
            <w:shd w:val="clear" w:color="auto" w:fill="auto"/>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b w:val="0"/>
                <w:bCs/>
                <w:color w:val="auto"/>
                <w:sz w:val="24"/>
                <w:szCs w:val="24"/>
                <w:highlight w:val="none"/>
                <w:u w:val="none" w:color="FF0000"/>
                <w:lang w:val="en-US" w:eastAsia="zh-CN"/>
              </w:rPr>
              <w:t>关于对特困供养对象生活用房2号楼、3号楼加装外挂式医用电梯项目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项目编号</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jc w:val="left"/>
              <w:textAlignment w:val="auto"/>
              <w:rPr>
                <w:rFonts w:hint="eastAsia" w:ascii="宋体" w:hAnsi="宋体" w:eastAsia="宋体" w:cs="宋体"/>
                <w:color w:val="auto"/>
                <w:szCs w:val="24"/>
                <w:highlight w:val="none"/>
                <w:u w:val="none" w:color="auto"/>
                <w:lang w:val="en-US" w:eastAsia="zh-CN"/>
              </w:rPr>
            </w:pPr>
            <w:r>
              <w:rPr>
                <w:rFonts w:hint="eastAsia" w:ascii="宋体" w:hAnsi="宋体" w:eastAsia="宋体" w:cs="宋体"/>
                <w:szCs w:val="24"/>
                <w:highlight w:val="none"/>
                <w:lang w:eastAsia="zh-CN"/>
              </w:rPr>
              <w:t>BJFMT2022(043)号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资金性质</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项目预算</w:t>
            </w:r>
          </w:p>
        </w:tc>
        <w:tc>
          <w:tcPr>
            <w:tcW w:w="6925" w:type="dxa"/>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5" w:lineRule="auto"/>
              <w:ind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1,100,000.00元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项目用途</w:t>
            </w:r>
          </w:p>
        </w:tc>
        <w:tc>
          <w:tcPr>
            <w:tcW w:w="6925"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公</w:t>
            </w:r>
            <w:r>
              <w:rPr>
                <w:rFonts w:hint="eastAsia" w:ascii="宋体" w:hAnsi="宋体" w:eastAsia="宋体" w:cs="宋体"/>
                <w:b w:val="0"/>
                <w:bCs/>
                <w:color w:val="auto"/>
                <w:sz w:val="24"/>
                <w:szCs w:val="24"/>
                <w:highlight w:val="none"/>
                <w:lang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采购内容和要求</w:t>
            </w:r>
          </w:p>
        </w:tc>
        <w:tc>
          <w:tcPr>
            <w:tcW w:w="6925" w:type="dxa"/>
            <w:vAlign w:val="center"/>
          </w:tcPr>
          <w:p>
            <w:pPr>
              <w:pStyle w:val="26"/>
              <w:keepNext w:val="0"/>
              <w:keepLines w:val="0"/>
              <w:pageBreakBefore w:val="0"/>
              <w:widowControl/>
              <w:suppressLineNumbers w:val="0"/>
              <w:wordWrap/>
              <w:topLinePunct w:val="0"/>
              <w:bidi w:val="0"/>
              <w:spacing w:line="365"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Cs w:val="24"/>
                <w:highlight w:val="none"/>
              </w:rPr>
              <w:t>详见</w:t>
            </w:r>
            <w:r>
              <w:rPr>
                <w:rFonts w:hint="eastAsia" w:ascii="宋体" w:hAnsi="宋体" w:eastAsia="宋体" w:cs="宋体"/>
                <w:b w:val="0"/>
                <w:bCs/>
                <w:color w:val="auto"/>
                <w:sz w:val="24"/>
                <w:szCs w:val="24"/>
                <w:highlight w:val="none"/>
                <w:u w:val="none" w:color="FF0000"/>
                <w:lang w:val="en-US" w:eastAsia="zh-CN"/>
              </w:rPr>
              <w:t>关于对特困供养对象生活用房2号楼、3号楼加装外挂式医用电梯项目采购清单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0</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响应</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"http://baike.baidu.com/view/8707.htm" \t "_blank"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招标</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color="auto"/>
              </w:rPr>
              <w:t>投标人资格要求</w:t>
            </w:r>
          </w:p>
        </w:tc>
        <w:tc>
          <w:tcPr>
            <w:tcW w:w="6925" w:type="dxa"/>
            <w:shd w:val="clear" w:color="auto" w:fill="auto"/>
            <w:vAlign w:val="top"/>
          </w:tcPr>
          <w:p>
            <w:pPr>
              <w:pStyle w:val="26"/>
              <w:keepNext w:val="0"/>
              <w:keepLines w:val="0"/>
              <w:pageBreakBefore w:val="0"/>
              <w:widowControl/>
              <w:suppressLineNumbers w:val="0"/>
              <w:wordWrap/>
              <w:topLinePunct w:val="0"/>
              <w:bidi w:val="0"/>
              <w:spacing w:before="0" w:beforeAutospacing="0" w:after="0" w:afterAutospacing="0" w:line="365"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）基本资格条件：符合《中华人民共和国政府采购法》第二十二条的规定；</w:t>
            </w:r>
          </w:p>
          <w:p>
            <w:pPr>
              <w:pStyle w:val="26"/>
              <w:keepNext w:val="0"/>
              <w:keepLines w:val="0"/>
              <w:pageBreakBefore w:val="0"/>
              <w:widowControl/>
              <w:suppressLineNumbers w:val="0"/>
              <w:wordWrap/>
              <w:topLinePunct w:val="0"/>
              <w:bidi w:val="0"/>
              <w:spacing w:before="0" w:beforeAutospacing="0" w:after="0" w:afterAutospacing="0" w:line="365" w:lineRule="auto"/>
              <w:ind w:left="0" w:right="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）特定资格条件：</w:t>
            </w:r>
          </w:p>
          <w:p>
            <w:pPr>
              <w:keepNext w:val="0"/>
              <w:keepLines w:val="0"/>
              <w:suppressLineNumbers w:val="0"/>
              <w:shd w:val="clear" w:fill="FFFFFF" w:themeFill="background1"/>
              <w:tabs>
                <w:tab w:val="left" w:pos="0"/>
              </w:tabs>
              <w:spacing w:before="0" w:beforeAutospacing="0" w:after="0" w:afterAutospacing="0" w:line="46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（1）投标人须是具有独立承担民事责任能力的法人、其他组织或自然人，并出具合法有效的营业执照或事业单位法人证书等国家规定的相关证明，自然人参与的提供其身份证明；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（2）投标人须提供2020年度或2021年度财务审计报告（至少包括资产负债表和利润表，成立时间至提交投标文件截止时间不足一年的可提供成立后任意时段的资产负债表）； </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（3）投标人须提供2022年至今已缴存的至少一个月的社会保险参保缴费情况证明；</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（4）投标人须提供2022年至今已缴纳的至少一个月的纳税证明或完税证明，依法免税的单位应提供相关证明材料；</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5）投标人不得为“信用中国”网站（www.creditchina.gov.cn）中列入失信被执行人和税收违法黑名单投标人，不得为中国政府采购网（www.ccgp.gov.cn）政府采购严重违法失信行为记录名单中被财政部门禁止参加政府采购活动的投标人；</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（6）单位负责人为同一人或者存在直接控股、管理关系的不同投标人，不得参加同一合同项下的政府采购活动；（通过“国家企业信用信息公示系统”上查询的打印件或截图，加盖投标人公章）；</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（7）企业开具的近三年在经营活动中无重大违法记录声明; </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8）投标人应授权合法的人员参加投标全过程，其中法定代表人直接参加投标的，须出具法定代表人资格证明书及身份证，并与营业执照上信息一致，法定代表人授权代表参加投标的，须出具法定代表人资格证明书、授权书及被授权代表身份证；</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（9）提供具有履行合同所必需的设备和专业技术能力的承诺书；</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（10）投标人须在陕西省政府采购网（http://www.ccgp-shaanxi.gov.cn/），按照“投标人注册注意事项”要求，完成注册审核；（注册公示截图加盖投标人公章）；</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11）投标人为制造商：需具有《中华人民共和国特种设备制造许可证》B级及以上资质和《中华人民共和国特种设备安装改造维修许可证》（电梯）B级及以上资质（旧证）或《中华人民共和国特种设备生产许可证》电梯制造（含安装、修理、改造）B级及以上资质（新证）；</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投标人为代理商：需提供所投产品生产厂家的《中华人民共和国特种设备制造许可证》B级及以上资质（旧证）或《中华人民共和国特种设备生产许可证》电梯制造（含安装、修理、改造）B级及以上资质（新证），并具有投标人的《中华人民共和国特种设备安装改造维修许可证》（电梯）B级及以上资质（旧证）或《中华人民共和国特种设备生产许可证》电梯安装（含修理）B级及以上资质（新证）；（代理商提供厂家证件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color="auto"/>
                <w:lang w:eastAsia="zh-CN"/>
              </w:rPr>
              <w:t>项目</w:t>
            </w:r>
            <w:r>
              <w:rPr>
                <w:rFonts w:hint="eastAsia" w:ascii="宋体" w:hAnsi="宋体" w:eastAsia="宋体" w:cs="宋体"/>
                <w:color w:val="auto"/>
                <w:szCs w:val="24"/>
                <w:highlight w:val="none"/>
                <w:u w:val="none" w:color="auto"/>
                <w:lang w:val="en-US" w:eastAsia="zh-CN"/>
              </w:rPr>
              <w:t>供货期</w:t>
            </w:r>
            <w:r>
              <w:rPr>
                <w:rFonts w:hint="eastAsia" w:ascii="宋体" w:hAnsi="宋体" w:eastAsia="宋体" w:cs="宋体"/>
                <w:color w:val="auto"/>
                <w:szCs w:val="24"/>
                <w:highlight w:val="none"/>
                <w:u w:val="none" w:color="auto"/>
              </w:rPr>
              <w:t>、</w:t>
            </w:r>
            <w:r>
              <w:rPr>
                <w:rFonts w:hint="eastAsia" w:ascii="宋体" w:hAnsi="宋体" w:eastAsia="宋体" w:cs="宋体"/>
                <w:color w:val="auto"/>
                <w:szCs w:val="24"/>
                <w:highlight w:val="none"/>
                <w:u w:val="none" w:color="auto"/>
                <w:lang w:eastAsia="zh-CN"/>
              </w:rPr>
              <w:t>项目</w:t>
            </w:r>
            <w:r>
              <w:rPr>
                <w:rFonts w:hint="eastAsia" w:ascii="宋体" w:hAnsi="宋体" w:eastAsia="宋体" w:cs="宋体"/>
                <w:color w:val="auto"/>
                <w:szCs w:val="24"/>
                <w:highlight w:val="none"/>
                <w:u w:val="none" w:color="auto"/>
              </w:rPr>
              <w:t>地点</w:t>
            </w:r>
          </w:p>
        </w:tc>
        <w:tc>
          <w:tcPr>
            <w:tcW w:w="6925" w:type="dxa"/>
            <w:shd w:val="clear" w:color="auto" w:fill="auto"/>
            <w:vAlign w:val="top"/>
          </w:tcPr>
          <w:p>
            <w:pPr>
              <w:keepNext w:val="0"/>
              <w:keepLines w:val="0"/>
              <w:pageBreakBefore w:val="0"/>
              <w:suppressLineNumbers w:val="0"/>
              <w:wordWrap/>
              <w:topLinePunct w:val="0"/>
              <w:bidi w:val="0"/>
              <w:spacing w:before="0" w:beforeAutospacing="0" w:after="0" w:afterAutospacing="0" w:line="365" w:lineRule="auto"/>
              <w:ind w:left="0" w:right="0"/>
              <w:jc w:val="both"/>
              <w:textAlignment w:val="auto"/>
              <w:rPr>
                <w:rFonts w:hint="eastAsia" w:ascii="宋体" w:hAnsi="宋体" w:eastAsia="宋体" w:cs="宋体"/>
                <w:color w:val="auto"/>
                <w:sz w:val="24"/>
                <w:highlight w:val="none"/>
                <w:shd w:val="clear"/>
                <w:lang w:val="en-US" w:eastAsia="zh-CN"/>
              </w:rPr>
            </w:pPr>
            <w:r>
              <w:rPr>
                <w:rFonts w:hint="eastAsia" w:ascii="宋体" w:hAnsi="宋体" w:eastAsia="宋体" w:cs="宋体"/>
                <w:color w:val="auto"/>
                <w:sz w:val="24"/>
                <w:highlight w:val="none"/>
                <w:lang w:val="en-US" w:eastAsia="zh-CN"/>
              </w:rPr>
              <w:t>供货</w:t>
            </w:r>
            <w:r>
              <w:rPr>
                <w:rFonts w:hint="eastAsia" w:ascii="宋体" w:hAnsi="宋体" w:eastAsia="宋体" w:cs="宋体"/>
                <w:color w:val="auto"/>
                <w:sz w:val="24"/>
                <w:highlight w:val="none"/>
                <w:lang w:eastAsia="zh-CN"/>
              </w:rPr>
              <w:t>期：</w:t>
            </w:r>
            <w:r>
              <w:rPr>
                <w:rFonts w:hint="eastAsia" w:ascii="宋体" w:hAnsi="宋体" w:eastAsia="宋体" w:cs="宋体"/>
                <w:color w:val="auto"/>
                <w:sz w:val="24"/>
                <w:highlight w:val="none"/>
                <w:shd w:val="clear"/>
              </w:rPr>
              <w:t>自合同签订之日起</w:t>
            </w:r>
            <w:r>
              <w:rPr>
                <w:rFonts w:hint="eastAsia" w:ascii="宋体" w:hAnsi="宋体" w:eastAsia="宋体" w:cs="宋体"/>
                <w:color w:val="auto"/>
                <w:sz w:val="24"/>
                <w:highlight w:val="none"/>
                <w:shd w:val="clear"/>
                <w:lang w:val="en-US" w:eastAsia="zh-CN"/>
              </w:rPr>
              <w:t>30日历天内完成</w:t>
            </w:r>
            <w:r>
              <w:rPr>
                <w:rFonts w:hint="eastAsia" w:ascii="宋体" w:hAnsi="宋体" w:eastAsia="宋体" w:cs="宋体"/>
                <w:color w:val="auto"/>
                <w:sz w:val="24"/>
                <w:highlight w:val="none"/>
                <w:shd w:val="clear"/>
                <w:lang w:eastAsia="zh-CN"/>
              </w:rPr>
              <w:t>。</w:t>
            </w:r>
          </w:p>
          <w:p>
            <w:pPr>
              <w:keepNext w:val="0"/>
              <w:keepLines w:val="0"/>
              <w:pageBreakBefore w:val="0"/>
              <w:suppressLineNumbers w:val="0"/>
              <w:shd w:val="clear"/>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项目</w:t>
            </w:r>
            <w:r>
              <w:rPr>
                <w:rFonts w:hint="eastAsia" w:ascii="宋体" w:hAnsi="宋体" w:eastAsia="宋体" w:cs="宋体"/>
                <w:color w:val="auto"/>
                <w:szCs w:val="24"/>
                <w:highlight w:val="none"/>
              </w:rPr>
              <w:t>地点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u w:val="wavyHeavy" w:color="5B9BD5" w:themeColor="accent1"/>
              </w:rPr>
            </w:pPr>
            <w:r>
              <w:rPr>
                <w:rFonts w:hint="eastAsia" w:ascii="宋体" w:hAnsi="宋体" w:eastAsia="宋体" w:cs="宋体"/>
                <w:color w:val="auto"/>
                <w:szCs w:val="24"/>
                <w:highlight w:val="none"/>
                <w:u w:val="none" w:color="auto"/>
              </w:rPr>
              <w:t>招标文件发售</w:t>
            </w:r>
          </w:p>
        </w:tc>
        <w:tc>
          <w:tcPr>
            <w:tcW w:w="6925" w:type="dxa"/>
            <w:shd w:val="clear" w:color="auto" w:fill="auto"/>
            <w:vAlign w:val="top"/>
          </w:tcPr>
          <w:p>
            <w:pPr>
              <w:pStyle w:val="49"/>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发售时</w:t>
            </w:r>
            <w:r>
              <w:rPr>
                <w:rFonts w:hint="eastAsia" w:ascii="宋体" w:hAnsi="宋体" w:eastAsia="宋体" w:cs="宋体"/>
                <w:color w:val="auto"/>
                <w:sz w:val="24"/>
                <w:szCs w:val="24"/>
                <w:highlight w:val="none"/>
                <w:lang w:eastAsia="zh-CN"/>
              </w:rPr>
              <w:t>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日至202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9:0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时止（节假日除外）。</w:t>
            </w:r>
          </w:p>
          <w:p>
            <w:pPr>
              <w:pStyle w:val="49"/>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发售地点：</w:t>
            </w:r>
            <w:r>
              <w:rPr>
                <w:rFonts w:hint="eastAsia" w:ascii="宋体" w:hAnsi="宋体" w:eastAsia="宋体" w:cs="宋体"/>
                <w:color w:val="auto"/>
                <w:sz w:val="24"/>
                <w:szCs w:val="24"/>
                <w:highlight w:val="none"/>
                <w:lang w:eastAsia="zh-CN"/>
              </w:rPr>
              <w:t>在线获取。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联合体投标</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现场勘查、标前答疑会</w:t>
            </w:r>
          </w:p>
        </w:tc>
        <w:tc>
          <w:tcPr>
            <w:tcW w:w="6925" w:type="dxa"/>
            <w:vAlign w:val="center"/>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投标人对招标文件提出质疑的时间</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构成招标文件的其他文件</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招标文件的澄清、</w:t>
            </w:r>
            <w:r>
              <w:rPr>
                <w:rFonts w:hint="eastAsia" w:ascii="宋体" w:hAnsi="宋体" w:eastAsia="宋体" w:cs="宋体"/>
                <w:color w:val="auto"/>
                <w:szCs w:val="24"/>
                <w:highlight w:val="none"/>
                <w:u w:val="none" w:color="auto"/>
              </w:rPr>
              <w:t>修改</w:t>
            </w:r>
            <w:r>
              <w:rPr>
                <w:rFonts w:hint="eastAsia" w:ascii="宋体" w:hAnsi="宋体" w:eastAsia="宋体" w:cs="宋体"/>
                <w:color w:val="auto"/>
                <w:szCs w:val="24"/>
                <w:highlight w:val="none"/>
                <w:u w:val="none" w:color="auto"/>
                <w:lang w:eastAsia="zh-CN"/>
              </w:rPr>
              <w:t>书</w:t>
            </w:r>
            <w:r>
              <w:rPr>
                <w:rFonts w:hint="eastAsia" w:ascii="宋体" w:hAnsi="宋体" w:eastAsia="宋体" w:cs="宋体"/>
                <w:color w:val="auto"/>
                <w:szCs w:val="24"/>
                <w:highlight w:val="none"/>
                <w:u w:val="none" w:color="auto"/>
              </w:rPr>
              <w:t>及</w:t>
            </w:r>
            <w:r>
              <w:rPr>
                <w:rFonts w:hint="eastAsia" w:ascii="宋体" w:hAnsi="宋体" w:eastAsia="宋体" w:cs="宋体"/>
                <w:color w:val="auto"/>
                <w:szCs w:val="24"/>
                <w:highlight w:val="none"/>
              </w:rPr>
              <w:t>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p>
        </w:tc>
        <w:tc>
          <w:tcPr>
            <w:tcW w:w="1911" w:type="dxa"/>
            <w:shd w:val="clear" w:color="auto" w:fill="auto"/>
            <w:vAlign w:val="center"/>
          </w:tcPr>
          <w:p>
            <w:pPr>
              <w:pStyle w:val="49"/>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u w:val="none" w:color="auto"/>
              </w:rPr>
              <w:t>投标文件提交截止时间、开标时间和地点</w:t>
            </w:r>
          </w:p>
        </w:tc>
        <w:tc>
          <w:tcPr>
            <w:tcW w:w="6925" w:type="dxa"/>
            <w:shd w:val="clear" w:color="auto" w:fill="auto"/>
            <w:vAlign w:val="top"/>
          </w:tcPr>
          <w:p>
            <w:pPr>
              <w:pStyle w:val="49"/>
              <w:keepNext w:val="0"/>
              <w:keepLines w:val="0"/>
              <w:pageBreakBefore w:val="0"/>
              <w:suppressLineNumbers w:val="0"/>
              <w:shd w:val="clear"/>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1、投标文件提交截止时间：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w:t>
            </w:r>
          </w:p>
          <w:p>
            <w:pPr>
              <w:pStyle w:val="49"/>
              <w:keepNext w:val="0"/>
              <w:keepLines w:val="0"/>
              <w:pageBreakBefore w:val="0"/>
              <w:suppressLineNumbers w:val="0"/>
              <w:shd w:val="clear"/>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2、开标时间：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w:t>
            </w:r>
          </w:p>
          <w:p>
            <w:pPr>
              <w:pStyle w:val="49"/>
              <w:keepNext w:val="0"/>
              <w:keepLines w:val="0"/>
              <w:pageBreakBefore w:val="0"/>
              <w:suppressLineNumbers w:val="0"/>
              <w:shd w:val="clear"/>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3、投标、开标地点：不见面开标，电子化投标</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19</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w:t>
            </w:r>
          </w:p>
        </w:tc>
        <w:tc>
          <w:tcPr>
            <w:tcW w:w="6925" w:type="dxa"/>
            <w:vAlign w:val="top"/>
          </w:tcPr>
          <w:p>
            <w:pPr>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0</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color="auto"/>
              </w:rPr>
              <w:t>投标担保</w:t>
            </w:r>
          </w:p>
        </w:tc>
        <w:tc>
          <w:tcPr>
            <w:tcW w:w="6925" w:type="dxa"/>
            <w:vAlign w:val="top"/>
          </w:tcPr>
          <w:p>
            <w:pPr>
              <w:keepNext w:val="0"/>
              <w:keepLines w:val="0"/>
              <w:pageBreakBefore w:val="0"/>
              <w:suppressLineNumbers w:val="0"/>
              <w:tabs>
                <w:tab w:val="left" w:pos="7013"/>
              </w:tabs>
              <w:wordWrap/>
              <w:topLinePunct w:val="0"/>
              <w:bidi w:val="0"/>
              <w:spacing w:before="0" w:beforeAutospacing="0" w:after="0" w:afterAutospacing="0" w:line="365" w:lineRule="auto"/>
              <w:ind w:left="0" w:right="0"/>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Cs w:val="24"/>
                <w:highlight w:val="none"/>
                <w:u w:val="none" w:color="auto"/>
                <w:lang w:eastAsia="zh-CN"/>
              </w:rPr>
              <w:t>投标保证金金额：</w:t>
            </w:r>
            <w:r>
              <w:rPr>
                <w:rFonts w:hint="eastAsia" w:ascii="宋体" w:hAnsi="宋体" w:eastAsia="宋体" w:cs="宋体"/>
                <w:b w:val="0"/>
                <w:bCs w:val="0"/>
                <w:color w:val="auto"/>
                <w:szCs w:val="24"/>
                <w:highlight w:val="none"/>
                <w:u w:val="none" w:color="auto"/>
              </w:rPr>
              <w:t>人民币</w:t>
            </w:r>
            <w:r>
              <w:rPr>
                <w:rFonts w:hint="eastAsia" w:ascii="宋体" w:hAnsi="宋体" w:eastAsia="宋体" w:cs="宋体"/>
                <w:b w:val="0"/>
                <w:bCs w:val="0"/>
                <w:color w:val="auto"/>
                <w:szCs w:val="24"/>
                <w:highlight w:val="none"/>
                <w:u w:val="none" w:color="auto"/>
                <w:lang w:eastAsia="zh-CN"/>
              </w:rPr>
              <w:t>贰万元整（</w:t>
            </w:r>
            <w:r>
              <w:rPr>
                <w:rFonts w:hint="eastAsia" w:ascii="宋体" w:hAnsi="宋体" w:eastAsia="宋体" w:cs="宋体"/>
                <w:b w:val="0"/>
                <w:bCs w:val="0"/>
                <w:color w:val="auto"/>
                <w:szCs w:val="24"/>
                <w:highlight w:val="none"/>
                <w:u w:val="none" w:color="auto"/>
                <w:lang w:val="en-US" w:eastAsia="zh-CN"/>
              </w:rPr>
              <w:t>20000.00元）</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投标保证金的形式：银行保函或基本户转账</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投标保证金账户名：宝鸡市公共资源交易中心保证金专户</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开户行：长安银行股份有限公司宝鸡分行营业部</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账  号：80602000142101980601472</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1、银行保函</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必须为投标人基本账户开户银行出具的银行保函，将银行保函及“基本账户开户许可证或基本存款账户信息”附在投标文件中，作为保证金缴纳凭证。以保函形式交纳保证金须在代理机构和宝鸡市公共资源交易中心进行备案。</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2、基本户转账</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必须为投标人基本账户以转账形式在投标截止时间前到达上述账号（以资金到账时间为确认保证金缴纳完毕时间），未按规定时间前或按额汇到指定账户的将否决其投标。投标保证金转账完成后，将“转账凭证”附在投标文件中，作为保证金缴纳的凭证。</w:t>
            </w:r>
          </w:p>
          <w:p>
            <w:pPr>
              <w:keepNext w:val="0"/>
              <w:keepLines w:val="0"/>
              <w:pageBreakBefore w:val="0"/>
              <w:suppressLineNumbers w:val="0"/>
              <w:tabs>
                <w:tab w:val="left" w:pos="8280"/>
              </w:tabs>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b w:val="0"/>
                <w:bCs/>
                <w:color w:val="auto"/>
                <w:sz w:val="24"/>
                <w:szCs w:val="24"/>
                <w:highlight w:val="none"/>
              </w:rPr>
              <w:t>注：转账时必须备注：</w:t>
            </w:r>
            <w:r>
              <w:rPr>
                <w:rFonts w:hint="eastAsia" w:ascii="宋体" w:hAnsi="宋体" w:eastAsia="宋体" w:cs="宋体"/>
                <w:b w:val="0"/>
                <w:bCs/>
                <w:color w:val="auto"/>
                <w:sz w:val="24"/>
                <w:szCs w:val="24"/>
                <w:highlight w:val="none"/>
                <w:u w:val="none" w:color="FF0000"/>
                <w:lang w:val="en-US" w:eastAsia="zh-CN"/>
              </w:rPr>
              <w:t>关于对特困供养对象生活用房2号楼、3号楼加装外挂式医用电梯项目投标</w:t>
            </w:r>
            <w:r>
              <w:rPr>
                <w:rFonts w:hint="eastAsia" w:ascii="宋体" w:hAnsi="宋体" w:eastAsia="宋体" w:cs="宋体"/>
                <w:b w:val="0"/>
                <w:bCs/>
                <w:color w:val="auto"/>
                <w:sz w:val="24"/>
                <w:szCs w:val="24"/>
                <w:highlight w:val="none"/>
              </w:rPr>
              <w:t>保证金，否则导致的查账延误责任自负。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1</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备选投标方案</w:t>
            </w:r>
          </w:p>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和报价</w:t>
            </w:r>
          </w:p>
        </w:tc>
        <w:tc>
          <w:tcPr>
            <w:tcW w:w="6925" w:type="dxa"/>
            <w:vAlign w:val="center"/>
          </w:tcPr>
          <w:p>
            <w:pPr>
              <w:keepNext w:val="0"/>
              <w:keepLines w:val="0"/>
              <w:pageBreakBefore w:val="0"/>
              <w:suppressLineNumbers w:val="0"/>
              <w:tabs>
                <w:tab w:val="left" w:pos="7013"/>
              </w:tabs>
              <w:wordWrap/>
              <w:topLinePunct w:val="0"/>
              <w:bidi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投标文件的</w:t>
            </w:r>
            <w:r>
              <w:rPr>
                <w:rFonts w:hint="eastAsia" w:ascii="宋体" w:hAnsi="宋体" w:eastAsia="宋体" w:cs="宋体"/>
                <w:bCs/>
                <w:color w:val="auto"/>
                <w:szCs w:val="24"/>
                <w:highlight w:val="none"/>
                <w:lang w:eastAsia="zh-CN"/>
              </w:rPr>
              <w:t>递交</w:t>
            </w:r>
          </w:p>
        </w:tc>
        <w:tc>
          <w:tcPr>
            <w:tcW w:w="692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为确保采购项目顺利开展，本项目采用电子投标文件方式投标。电子</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可于提交</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截止时间前任意时段登录全国公共资源交易平台（陕西省·宝鸡市）网站[电子交易平台-企业端]进行提交，逾期系统将拒绝接收。提交时，</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登录全国公共资源交易中心平台（陕西省·宝鸡市），选择[“首页&gt;电子交易平台&gt;企业端&gt;我的项目”，点击[项目流程]，在打开的[项目管理]对话框中选择[上传响应文件]，上传加密的电子投标文件（*.SXSTF），上传成功后，电子化平台将予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23</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投标文件的</w:t>
            </w:r>
            <w:r>
              <w:rPr>
                <w:rFonts w:hint="eastAsia" w:ascii="宋体" w:hAnsi="宋体" w:eastAsia="宋体" w:cs="宋体"/>
                <w:color w:val="auto"/>
                <w:szCs w:val="21"/>
                <w:highlight w:val="none"/>
                <w:lang w:eastAsia="zh-CN"/>
              </w:rPr>
              <w:t>制作和签署</w:t>
            </w:r>
          </w:p>
        </w:tc>
        <w:tc>
          <w:tcPr>
            <w:tcW w:w="6925" w:type="dxa"/>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highlight w:val="none"/>
              </w:rPr>
            </w:pPr>
            <w:r>
              <w:rPr>
                <w:rFonts w:hint="eastAsia" w:ascii="宋体" w:hAnsi="宋体" w:eastAsia="宋体" w:cs="宋体"/>
                <w:highlight w:val="none"/>
              </w:rPr>
              <w:t>编制电子投标文件时，应使用最新发布的电子招标文件及专用制作工具进行编制。并使用数字认证证书（CA）对电子投标文件进行签署、加密、递交及开标时解密等相关操作。</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电子招标文件下载</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highlight w:val="none"/>
              </w:rPr>
            </w:pPr>
            <w:r>
              <w:rPr>
                <w:rFonts w:hint="eastAsia" w:ascii="宋体" w:hAnsi="宋体" w:eastAsia="宋体" w:cs="宋体"/>
                <w:highlight w:val="none"/>
                <w:lang w:eastAsia="zh-CN"/>
              </w:rPr>
              <w:t>投标人</w:t>
            </w:r>
            <w:r>
              <w:rPr>
                <w:rFonts w:hint="eastAsia" w:ascii="宋体" w:hAnsi="宋体" w:eastAsia="宋体" w:cs="宋体"/>
                <w:highlight w:val="none"/>
              </w:rPr>
              <w:t>登录全国公共资源交易平台</w:t>
            </w:r>
            <w:r>
              <w:rPr>
                <w:rFonts w:hint="eastAsia" w:ascii="宋体" w:hAnsi="宋体" w:eastAsia="宋体" w:cs="宋体"/>
                <w:color w:val="auto"/>
                <w:szCs w:val="24"/>
                <w:highlight w:val="none"/>
              </w:rPr>
              <w:t>（陕西省·宝鸡市）</w:t>
            </w:r>
            <w:r>
              <w:rPr>
                <w:rFonts w:hint="eastAsia" w:ascii="宋体" w:hAnsi="宋体" w:eastAsia="宋体" w:cs="宋体"/>
                <w:highlight w:val="none"/>
              </w:rPr>
              <w:t>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电子招标文件需要使用专用软件打开、浏览</w:t>
            </w:r>
            <w:r>
              <w:rPr>
                <w:rFonts w:hint="eastAsia" w:ascii="宋体" w:hAnsi="宋体" w:eastAsia="宋体" w:cs="宋体"/>
                <w:highlight w:val="none"/>
                <w:lang w:eastAsia="zh-CN"/>
              </w:rPr>
              <w:t>投标人</w:t>
            </w:r>
            <w:r>
              <w:rPr>
                <w:rFonts w:hint="eastAsia" w:ascii="宋体" w:hAnsi="宋体" w:eastAsia="宋体" w:cs="宋体"/>
                <w:highlight w:val="none"/>
              </w:rPr>
              <w:t>登录全国公共资源交易平台（</w:t>
            </w:r>
            <w:r>
              <w:rPr>
                <w:rFonts w:hint="eastAsia" w:ascii="宋体" w:hAnsi="宋体" w:eastAsia="宋体" w:cs="宋体"/>
                <w:color w:val="auto"/>
                <w:szCs w:val="24"/>
                <w:highlight w:val="none"/>
              </w:rPr>
              <w:t>陕西省·宝鸡市</w:t>
            </w:r>
            <w:r>
              <w:rPr>
                <w:rFonts w:hint="eastAsia" w:ascii="宋体" w:hAnsi="宋体" w:eastAsia="宋体" w:cs="宋体"/>
                <w:highlight w:val="none"/>
              </w:rPr>
              <w:t>）网站[服务指南-下载专区]免费下载《陕西省公共资源交易平台政府采购电子标书制作工具》，并升级至最新版本，使用该客户端可以打开电子招标文件。软件操作手册详见全国公共资源交易平台（</w:t>
            </w:r>
            <w:r>
              <w:rPr>
                <w:rFonts w:hint="eastAsia" w:ascii="宋体" w:hAnsi="宋体" w:eastAsia="宋体" w:cs="宋体"/>
                <w:color w:val="auto"/>
                <w:szCs w:val="24"/>
                <w:highlight w:val="none"/>
              </w:rPr>
              <w:t>陕西省·宝鸡市</w:t>
            </w:r>
            <w:r>
              <w:rPr>
                <w:rFonts w:hint="eastAsia" w:ascii="宋体" w:hAnsi="宋体" w:eastAsia="宋体" w:cs="宋体"/>
                <w:highlight w:val="none"/>
              </w:rPr>
              <w:t>）网站[服务指南-下载专区]中的《陕西省公共资源交易（政府采购类）投标文件制作软件操作手册》；</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制作电子投标文件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电子投标文件同样需要使用上述软件进行编制。在编制过程中，如有技术性问题，请先翻阅操作手册或致电软件开发商，技术支持热线：4009280095、4009980000；</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4、按招标文件指定位置要求“签字或盖章”的签字或盖章均可，要求签字处必须由签署人亲笔签名，盖章无效。其余页码逐页加盖投标人公章。</w:t>
            </w:r>
          </w:p>
          <w:p>
            <w:pPr>
              <w:pStyle w:val="16"/>
              <w:keepNext w:val="0"/>
              <w:keepLines w:val="0"/>
              <w:suppressLineNumbers w:val="0"/>
              <w:spacing w:before="0" w:beforeAutospacing="0" w:afterAutospacing="0"/>
              <w:ind w:left="0" w:right="0"/>
              <w:rPr>
                <w:rFonts w:hint="eastAsia" w:ascii="宋体" w:hAnsi="宋体" w:eastAsia="宋体" w:cs="宋体"/>
                <w:highlight w:val="none"/>
              </w:rPr>
            </w:pPr>
            <w:r>
              <w:rPr>
                <w:rFonts w:hint="eastAsia" w:ascii="宋体" w:hAnsi="宋体" w:eastAsia="宋体" w:cs="宋体"/>
                <w:b/>
                <w:bCs/>
                <w:color w:val="auto"/>
                <w:kern w:val="2"/>
                <w:sz w:val="24"/>
                <w:szCs w:val="21"/>
                <w:highlight w:val="none"/>
                <w:lang w:val="en-US" w:eastAsia="zh-CN" w:bidi="ar-SA"/>
              </w:rPr>
              <w:t>注：如未按照上述要求进行投标文件制作和签署的均视其为无效投标文件。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无效文件说明</w:t>
            </w:r>
          </w:p>
        </w:tc>
        <w:tc>
          <w:tcPr>
            <w:tcW w:w="6925" w:type="dxa"/>
            <w:vAlign w:val="center"/>
          </w:tcPr>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在开标环节出现下列情况之一的，其投标文件视为无效文件：</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szCs w:val="24"/>
                <w:highlight w:val="none"/>
                <w:lang w:eastAsia="zh-CN"/>
              </w:rPr>
              <w:t>投标人</w:t>
            </w:r>
            <w:r>
              <w:rPr>
                <w:rFonts w:hint="eastAsia" w:ascii="宋体" w:hAnsi="宋体" w:eastAsia="宋体" w:cs="宋体"/>
                <w:b/>
                <w:color w:val="auto"/>
                <w:szCs w:val="24"/>
                <w:highlight w:val="none"/>
              </w:rPr>
              <w:t>在规定时间内对</w:t>
            </w:r>
            <w:r>
              <w:rPr>
                <w:rFonts w:hint="eastAsia" w:ascii="宋体" w:hAnsi="宋体" w:eastAsia="宋体" w:cs="宋体"/>
                <w:b/>
                <w:color w:val="auto"/>
                <w:szCs w:val="24"/>
                <w:highlight w:val="none"/>
                <w:lang w:eastAsia="zh-CN"/>
              </w:rPr>
              <w:t>未</w:t>
            </w:r>
            <w:r>
              <w:rPr>
                <w:rFonts w:hint="eastAsia" w:ascii="宋体" w:hAnsi="宋体" w:eastAsia="宋体" w:cs="宋体"/>
                <w:b/>
                <w:color w:val="auto"/>
                <w:szCs w:val="24"/>
                <w:highlight w:val="none"/>
              </w:rPr>
              <w:t>电子投标文件进行解密的；</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w:t>
            </w:r>
            <w:r>
              <w:rPr>
                <w:rFonts w:hint="eastAsia" w:ascii="宋体" w:hAnsi="宋体" w:eastAsia="宋体" w:cs="宋体"/>
                <w:b/>
                <w:color w:val="auto"/>
                <w:szCs w:val="24"/>
                <w:highlight w:val="none"/>
              </w:rPr>
              <w:t>上传的电子投标文件无法打开的；</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政府采购法律法规规定的其他无效情形</w:t>
            </w:r>
            <w:r>
              <w:rPr>
                <w:rFonts w:hint="eastAsia" w:ascii="宋体" w:hAnsi="宋体" w:eastAsia="宋体" w:cs="宋体"/>
                <w:b/>
                <w:color w:val="auto"/>
                <w:szCs w:val="24"/>
                <w:highlight w:val="none"/>
                <w:lang w:eastAsia="zh-CN"/>
              </w:rPr>
              <w:t>；</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lang w:eastAsia="zh-CN"/>
              </w:rPr>
              <w:t>投标人</w:t>
            </w:r>
            <w:r>
              <w:rPr>
                <w:rFonts w:hint="eastAsia" w:ascii="宋体" w:hAnsi="宋体" w:eastAsia="宋体" w:cs="宋体"/>
                <w:b/>
                <w:color w:val="auto"/>
                <w:szCs w:val="24"/>
                <w:highlight w:val="none"/>
              </w:rPr>
              <w:t>拒绝对电子投标文件进行解密的；</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因</w:t>
            </w:r>
            <w:r>
              <w:rPr>
                <w:rFonts w:hint="eastAsia" w:ascii="宋体" w:hAnsi="宋体" w:eastAsia="宋体" w:cs="宋体"/>
                <w:b/>
                <w:color w:val="auto"/>
                <w:szCs w:val="24"/>
                <w:highlight w:val="none"/>
                <w:lang w:eastAsia="zh-CN"/>
              </w:rPr>
              <w:t>投标人</w:t>
            </w:r>
            <w:r>
              <w:rPr>
                <w:rFonts w:hint="eastAsia" w:ascii="宋体" w:hAnsi="宋体" w:eastAsia="宋体" w:cs="宋体"/>
                <w:b/>
                <w:color w:val="auto"/>
                <w:szCs w:val="24"/>
                <w:highlight w:val="none"/>
              </w:rPr>
              <w:t>自身原因（如未带CA锁、或所带CA锁与制作电子投标文件使用的CA锁不一致、或沿用旧版招标文件编制投标文件等情形），导致在规定时间内无法解密投标文件的；</w:t>
            </w:r>
          </w:p>
          <w:p>
            <w:pPr>
              <w:keepNext w:val="0"/>
              <w:keepLines w:val="0"/>
              <w:suppressLineNumbers w:val="0"/>
              <w:spacing w:before="0" w:beforeAutospacing="0" w:after="0" w:afterAutospacing="0" w:line="360" w:lineRule="auto"/>
              <w:ind w:left="0" w:right="0" w:firstLine="0"/>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特殊情形下的应急处置</w:t>
            </w:r>
            <w:r>
              <w:rPr>
                <w:rFonts w:hint="eastAsia" w:ascii="宋体" w:hAnsi="宋体" w:eastAsia="宋体" w:cs="宋体"/>
                <w:b/>
                <w:color w:val="auto"/>
                <w:szCs w:val="24"/>
                <w:highlight w:val="none"/>
                <w:lang w:eastAsia="zh-CN"/>
              </w:rPr>
              <w:t>：</w:t>
            </w:r>
          </w:p>
          <w:p>
            <w:pPr>
              <w:keepNext w:val="0"/>
              <w:keepLines w:val="0"/>
              <w:pageBreakBefore w:val="0"/>
              <w:suppressLineNumbers w:val="0"/>
              <w:wordWrap/>
              <w:topLinePunct w:val="0"/>
              <w:autoSpaceDE w:val="0"/>
              <w:autoSpaceDN w:val="0"/>
              <w:bidi w:val="0"/>
              <w:adjustRightInd w:val="0"/>
              <w:snapToGrid w:val="0"/>
              <w:spacing w:before="0" w:beforeAutospacing="0" w:after="0" w:afterAutospacing="0" w:line="365" w:lineRule="auto"/>
              <w:ind w:left="0" w:right="0"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在开标、评审过程中，如因停电、断网、电子化系统故障等特殊原因导致电子化开、评标无法正常进行时，将</w:t>
            </w:r>
            <w:r>
              <w:rPr>
                <w:rFonts w:hint="eastAsia" w:ascii="宋体" w:hAnsi="宋体" w:eastAsia="宋体" w:cs="宋体"/>
                <w:b/>
                <w:color w:val="auto"/>
                <w:szCs w:val="24"/>
                <w:highlight w:val="none"/>
                <w:lang w:eastAsia="zh-CN"/>
              </w:rPr>
              <w:t>延后</w:t>
            </w:r>
            <w:r>
              <w:rPr>
                <w:rFonts w:hint="eastAsia" w:ascii="宋体" w:hAnsi="宋体" w:eastAsia="宋体" w:cs="宋体"/>
                <w:b/>
                <w:color w:val="auto"/>
                <w:szCs w:val="24"/>
                <w:highlight w:val="none"/>
              </w:rPr>
              <w:t>开展后续采购活动。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25</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6925" w:type="dxa"/>
            <w:vAlign w:val="center"/>
          </w:tcPr>
          <w:p>
            <w:pPr>
              <w:keepNext w:val="0"/>
              <w:keepLines w:val="0"/>
              <w:pageBreakBefore w:val="0"/>
              <w:suppressLineNumbers w:val="0"/>
              <w:wordWrap/>
              <w:topLinePunct w:val="0"/>
              <w:autoSpaceDE w:val="0"/>
              <w:autoSpaceDN w:val="0"/>
              <w:bidi w:val="0"/>
              <w:adjustRightInd w:val="0"/>
              <w:snapToGrid w:val="0"/>
              <w:spacing w:before="0" w:beforeAutospacing="0" w:after="0" w:afterAutospacing="0" w:line="365"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投标报价：投标人应在投标报价表中标明完成本次招标所要求的货物</w:t>
            </w:r>
            <w:r>
              <w:rPr>
                <w:rFonts w:hint="eastAsia" w:ascii="宋体" w:hAnsi="宋体" w:eastAsia="宋体" w:cs="宋体"/>
                <w:color w:val="auto"/>
                <w:szCs w:val="24"/>
                <w:highlight w:val="none"/>
                <w:lang w:eastAsia="zh-CN"/>
              </w:rPr>
              <w:t>及安装</w:t>
            </w:r>
            <w:r>
              <w:rPr>
                <w:rFonts w:hint="eastAsia" w:ascii="宋体" w:hAnsi="宋体" w:eastAsia="宋体" w:cs="宋体"/>
                <w:color w:val="auto"/>
                <w:szCs w:val="24"/>
                <w:highlight w:val="none"/>
              </w:rPr>
              <w:t>且验收合格的所有费用，即产品到达使用地点，达到正常使用条件下的所有费用，包括但不限于产品费、仓储保管费、技术培训、售后服务、运输费、装卸费</w:t>
            </w:r>
            <w:r>
              <w:rPr>
                <w:rFonts w:hint="eastAsia" w:ascii="宋体" w:hAnsi="宋体" w:eastAsia="宋体" w:cs="宋体"/>
                <w:color w:val="auto"/>
                <w:szCs w:val="24"/>
                <w:highlight w:val="none"/>
                <w:lang w:eastAsia="zh-CN"/>
              </w:rPr>
              <w:t>、安装费、</w:t>
            </w:r>
            <w:r>
              <w:rPr>
                <w:rFonts w:hint="eastAsia" w:ascii="宋体" w:hAnsi="宋体" w:eastAsia="宋体" w:cs="宋体"/>
                <w:color w:val="auto"/>
                <w:szCs w:val="24"/>
                <w:highlight w:val="none"/>
                <w:lang w:val="en-US" w:eastAsia="zh-CN"/>
              </w:rPr>
              <w:t>调试费</w:t>
            </w:r>
            <w:r>
              <w:rPr>
                <w:rFonts w:hint="eastAsia" w:ascii="宋体" w:hAnsi="宋体" w:eastAsia="宋体" w:cs="宋体"/>
                <w:color w:val="auto"/>
                <w:szCs w:val="24"/>
                <w:highlight w:val="none"/>
              </w:rPr>
              <w:t>和保险费等其他一切相关费用。投标报价表中标明本次货物</w:t>
            </w:r>
            <w:r>
              <w:rPr>
                <w:rFonts w:hint="eastAsia" w:ascii="宋体" w:hAnsi="宋体" w:eastAsia="宋体" w:cs="宋体"/>
                <w:color w:val="auto"/>
                <w:szCs w:val="24"/>
                <w:highlight w:val="none"/>
                <w:lang w:eastAsia="zh-CN"/>
              </w:rPr>
              <w:t>及安装</w:t>
            </w:r>
            <w:r>
              <w:rPr>
                <w:rFonts w:hint="eastAsia" w:ascii="宋体" w:hAnsi="宋体" w:eastAsia="宋体" w:cs="宋体"/>
                <w:color w:val="auto"/>
                <w:szCs w:val="24"/>
                <w:highlight w:val="none"/>
              </w:rPr>
              <w:t>的所有单项价格和总价，任何有选择的报价将不予接受，否则按无效投标处理。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26</w:t>
            </w:r>
          </w:p>
        </w:tc>
        <w:tc>
          <w:tcPr>
            <w:tcW w:w="1911" w:type="dxa"/>
            <w:shd w:val="clear" w:color="auto" w:fill="auto"/>
            <w:vAlign w:val="center"/>
          </w:tcPr>
          <w:p>
            <w:pPr>
              <w:keepNext w:val="0"/>
              <w:keepLines w:val="0"/>
              <w:pageBreakBefore w:val="0"/>
              <w:suppressLineNumbers w:val="0"/>
              <w:wordWrap/>
              <w:topLinePunct w:val="0"/>
              <w:autoSpaceDE w:val="0"/>
              <w:autoSpaceDN w:val="0"/>
              <w:bidi w:val="0"/>
              <w:adjustRightInd w:val="0"/>
              <w:snapToGrid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付款方式</w:t>
            </w:r>
          </w:p>
        </w:tc>
        <w:tc>
          <w:tcPr>
            <w:tcW w:w="6925" w:type="dxa"/>
            <w:shd w:val="clear" w:color="auto" w:fill="auto"/>
            <w:vAlign w:val="center"/>
          </w:tcPr>
          <w:p>
            <w:pPr>
              <w:keepNext w:val="0"/>
              <w:keepLines w:val="0"/>
              <w:pageBreakBefore w:val="0"/>
              <w:suppressLineNumbers w:val="0"/>
              <w:wordWrap/>
              <w:topLinePunct w:val="0"/>
              <w:autoSpaceDE w:val="0"/>
              <w:autoSpaceDN w:val="0"/>
              <w:bidi w:val="0"/>
              <w:adjustRightInd w:val="0"/>
              <w:snapToGrid w:val="0"/>
              <w:spacing w:before="0" w:beforeAutospacing="0" w:after="0" w:afterAutospacing="0" w:line="365" w:lineRule="auto"/>
              <w:ind w:left="0"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电梯安装验收合格后付至合同价的90%，剩余10%质保期满后一次性付清</w:t>
            </w:r>
            <w:r>
              <w:rPr>
                <w:rFonts w:hint="eastAsia" w:ascii="宋体" w:hAnsi="宋体" w:eastAsia="宋体" w:cs="宋体"/>
                <w:color w:val="auto"/>
                <w:szCs w:val="24"/>
                <w:highlight w:val="none"/>
                <w:lang w:val="zh-CN" w:eastAsia="zh-CN"/>
              </w:rPr>
              <w:t>（不计利息）</w:t>
            </w:r>
            <w:r>
              <w:rPr>
                <w:rFonts w:hint="eastAsia" w:ascii="宋体" w:hAnsi="宋体" w:eastAsia="宋体" w:cs="宋体"/>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27</w:t>
            </w:r>
          </w:p>
        </w:tc>
        <w:tc>
          <w:tcPr>
            <w:tcW w:w="1911"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履约保证金</w:t>
            </w:r>
          </w:p>
        </w:tc>
        <w:tc>
          <w:tcPr>
            <w:tcW w:w="6925" w:type="dxa"/>
            <w:shd w:val="clear" w:color="auto" w:fill="auto"/>
            <w:vAlign w:val="center"/>
          </w:tcPr>
          <w:p>
            <w:pPr>
              <w:keepNext w:val="0"/>
              <w:keepLines w:val="0"/>
              <w:pageBreakBefore w:val="0"/>
              <w:suppressLineNumbers w:val="0"/>
              <w:wordWrap/>
              <w:topLinePunct w:val="0"/>
              <w:bidi w:val="0"/>
              <w:spacing w:before="0" w:beforeAutospacing="0" w:after="0" w:afterAutospacing="0" w:line="365" w:lineRule="auto"/>
              <w:ind w:left="0" w:right="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28</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评标办法及标准</w:t>
            </w:r>
          </w:p>
        </w:tc>
        <w:tc>
          <w:tcPr>
            <w:tcW w:w="6925" w:type="dxa"/>
            <w:vAlign w:val="center"/>
          </w:tcPr>
          <w:p>
            <w:pPr>
              <w:pStyle w:val="49"/>
              <w:keepNext w:val="0"/>
              <w:keepLines w:val="0"/>
              <w:pageBreakBefore w:val="0"/>
              <w:suppressLineNumbers w:val="0"/>
              <w:wordWrap/>
              <w:topLinePunct w:val="0"/>
              <w:bidi w:val="0"/>
              <w:spacing w:before="0" w:beforeAutospacing="0" w:after="0" w:afterAutospacing="0" w:line="365"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本项目采用综合评分法进行评审，</w:t>
            </w:r>
            <w:r>
              <w:rPr>
                <w:rFonts w:hint="eastAsia" w:ascii="宋体" w:hAnsi="宋体" w:eastAsia="宋体" w:cs="宋体"/>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9</w:t>
            </w:r>
          </w:p>
        </w:tc>
        <w:tc>
          <w:tcPr>
            <w:tcW w:w="1911" w:type="dxa"/>
            <w:vAlign w:val="center"/>
          </w:tcPr>
          <w:p>
            <w:pPr>
              <w:keepNext w:val="0"/>
              <w:keepLines w:val="0"/>
              <w:pageBreakBefore w:val="0"/>
              <w:suppressLineNumbers w:val="0"/>
              <w:wordWrap/>
              <w:topLinePunct w:val="0"/>
              <w:bidi w:val="0"/>
              <w:spacing w:before="0" w:beforeAutospacing="0" w:after="0" w:afterAutospacing="0" w:line="365" w:lineRule="auto"/>
              <w:ind w:left="0" w:right="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其它事项</w:t>
            </w:r>
          </w:p>
        </w:tc>
        <w:tc>
          <w:tcPr>
            <w:tcW w:w="6925" w:type="dxa"/>
            <w:vAlign w:val="center"/>
          </w:tcPr>
          <w:p>
            <w:pPr>
              <w:keepNext w:val="0"/>
              <w:keepLines w:val="0"/>
              <w:pageBreakBefore w:val="0"/>
              <w:suppressLineNumbers w:val="0"/>
              <w:wordWrap/>
              <w:topLinePunct w:val="0"/>
              <w:bidi w:val="0"/>
              <w:adjustRightInd w:val="0"/>
              <w:snapToGrid w:val="0"/>
              <w:spacing w:before="0" w:beforeAutospacing="0" w:after="0" w:afterAutospacing="0" w:line="365"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本次采购、投标报价、评审和合同授予均以项目为单位，投标人必须就一个完整项目进行响应。中标投标人与采购人在中标通知书发出30</w:t>
            </w:r>
            <w:r>
              <w:rPr>
                <w:rFonts w:hint="eastAsia" w:ascii="宋体" w:hAnsi="宋体" w:eastAsia="宋体" w:cs="宋体"/>
                <w:color w:val="auto"/>
                <w:szCs w:val="24"/>
                <w:highlight w:val="none"/>
                <w:lang w:eastAsia="zh-CN"/>
              </w:rPr>
              <w:t>日历日</w:t>
            </w:r>
            <w:r>
              <w:rPr>
                <w:rFonts w:hint="eastAsia" w:ascii="宋体" w:hAnsi="宋体" w:eastAsia="宋体" w:cs="宋体"/>
                <w:color w:val="auto"/>
                <w:szCs w:val="24"/>
                <w:highlight w:val="none"/>
              </w:rPr>
              <w:t>内签订合同，不及时签订视为自动放弃。非经采购人同意，本项目不允许中标后另行转包或者分包。</w:t>
            </w:r>
            <w:r>
              <w:rPr>
                <w:rFonts w:hint="eastAsia" w:ascii="宋体" w:hAnsi="宋体" w:eastAsia="宋体" w:cs="宋体"/>
                <w:color w:val="auto"/>
                <w:kern w:val="0"/>
                <w:szCs w:val="24"/>
                <w:highlight w:val="none"/>
              </w:rPr>
              <w:t>中标人无正当理由不得放弃中标。</w:t>
            </w:r>
            <w:r>
              <w:rPr>
                <w:rFonts w:hint="eastAsia" w:ascii="宋体" w:hAnsi="宋体" w:eastAsia="宋体" w:cs="宋体"/>
                <w:color w:val="auto"/>
                <w:szCs w:val="24"/>
                <w:highlight w:val="none"/>
              </w:rPr>
              <w:t>因自身原因拒绝签订政府采购合同的或者未按合同约定进行履约的，中标人不得参加对该项目重新开展的招标活动。</w:t>
            </w:r>
          </w:p>
        </w:tc>
      </w:tr>
    </w:tbl>
    <w:p>
      <w:pPr>
        <w:pStyle w:val="4"/>
        <w:pageBreakBefore w:val="0"/>
        <w:wordWrap/>
        <w:topLinePunct w:val="0"/>
        <w:autoSpaceDE/>
        <w:autoSpaceDN/>
        <w:bidi w:val="0"/>
        <w:spacing w:before="0" w:after="0" w:line="365" w:lineRule="auto"/>
        <w:textAlignment w:val="auto"/>
        <w:rPr>
          <w:rFonts w:hint="eastAsia" w:ascii="宋体" w:hAnsi="宋体" w:eastAsia="宋体" w:cs="宋体"/>
          <w:color w:val="auto"/>
          <w:kern w:val="0"/>
          <w:sz w:val="28"/>
          <w:szCs w:val="28"/>
          <w:highlight w:val="none"/>
        </w:rPr>
      </w:pPr>
      <w:bookmarkStart w:id="17" w:name="_Toc23844"/>
      <w:bookmarkStart w:id="18" w:name="_Toc30549"/>
      <w:r>
        <w:rPr>
          <w:rFonts w:hint="eastAsia" w:ascii="宋体" w:hAnsi="宋体" w:eastAsia="宋体" w:cs="宋体"/>
          <w:color w:val="auto"/>
          <w:kern w:val="0"/>
          <w:sz w:val="28"/>
          <w:szCs w:val="28"/>
          <w:highlight w:val="none"/>
        </w:rPr>
        <w:t>二、项目说明</w:t>
      </w:r>
      <w:bookmarkEnd w:id="17"/>
      <w:bookmarkEnd w:id="18"/>
    </w:p>
    <w:p>
      <w:pPr>
        <w:pageBreakBefore w:val="0"/>
        <w:wordWrap/>
        <w:topLinePunct w:val="0"/>
        <w:autoSpaceDE/>
        <w:autoSpaceDN/>
        <w:bidi w:val="0"/>
        <w:spacing w:line="365" w:lineRule="auto"/>
        <w:ind w:firstLine="57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1、本项目说明详见投标人须知前附表。</w:t>
      </w:r>
      <w:bookmarkStart w:id="19" w:name="_Toc458617732"/>
      <w:bookmarkStart w:id="20" w:name="_Toc458617455"/>
    </w:p>
    <w:p>
      <w:pPr>
        <w:pageBreakBefore w:val="0"/>
        <w:wordWrap/>
        <w:topLinePunct w:val="0"/>
        <w:autoSpaceDE/>
        <w:autoSpaceDN/>
        <w:bidi w:val="0"/>
        <w:spacing w:line="365" w:lineRule="auto"/>
        <w:ind w:firstLine="57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2、本项目按照《中华人民共和国政府采购法》等有关法律、行政法规和部门规章，通过公开招标方式择优选定中标人。</w:t>
      </w:r>
    </w:p>
    <w:bookmarkEnd w:id="19"/>
    <w:bookmarkEnd w:id="20"/>
    <w:p>
      <w:pPr>
        <w:pStyle w:val="4"/>
        <w:pageBreakBefore w:val="0"/>
        <w:widowControl w:val="0"/>
        <w:wordWrap/>
        <w:overflowPunct/>
        <w:topLinePunct w:val="0"/>
        <w:autoSpaceDE/>
        <w:autoSpaceDN/>
        <w:bidi w:val="0"/>
        <w:adjustRightInd/>
        <w:snapToGrid/>
        <w:spacing w:before="0" w:after="0" w:line="365" w:lineRule="auto"/>
        <w:ind w:left="0" w:leftChars="0" w:right="0" w:rightChars="0"/>
        <w:jc w:val="both"/>
        <w:textAlignment w:val="auto"/>
        <w:rPr>
          <w:rFonts w:hint="eastAsia" w:ascii="宋体" w:hAnsi="宋体" w:eastAsia="宋体" w:cs="宋体"/>
          <w:color w:val="auto"/>
          <w:kern w:val="0"/>
          <w:sz w:val="28"/>
          <w:szCs w:val="28"/>
          <w:highlight w:val="none"/>
        </w:rPr>
      </w:pPr>
      <w:bookmarkStart w:id="21" w:name="_Toc458617733"/>
      <w:bookmarkStart w:id="22" w:name="_Toc5770"/>
      <w:bookmarkStart w:id="23" w:name="_Toc458617456"/>
      <w:bookmarkStart w:id="24" w:name="_Toc23200"/>
      <w:r>
        <w:rPr>
          <w:rFonts w:hint="eastAsia" w:ascii="宋体" w:hAnsi="宋体" w:eastAsia="宋体" w:cs="宋体"/>
          <w:color w:val="auto"/>
          <w:kern w:val="0"/>
          <w:sz w:val="28"/>
          <w:szCs w:val="28"/>
          <w:highlight w:val="none"/>
        </w:rPr>
        <w:t>三、招标文件</w:t>
      </w:r>
      <w:bookmarkEnd w:id="21"/>
      <w:bookmarkEnd w:id="22"/>
      <w:bookmarkEnd w:id="23"/>
      <w:bookmarkEnd w:id="24"/>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1、招标文件购买：投标人须经过正常渠道购买招标文件，且投标人名称与登记领取招标文件的单位名称一致，否则将作为</w:t>
      </w:r>
      <w:r>
        <w:rPr>
          <w:rFonts w:hint="eastAsia" w:ascii="宋体" w:hAnsi="宋体" w:eastAsia="宋体" w:cs="宋体"/>
          <w:color w:val="auto"/>
          <w:szCs w:val="24"/>
          <w:highlight w:val="none"/>
          <w:u w:val="none" w:color="auto"/>
        </w:rPr>
        <w:t>无效投标处理。</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2、招标文件的组成：包括目录中所列的前</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 xml:space="preserve">章。 </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4、招标文件的澄清或修改：</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b/>
          <w:color w:val="auto"/>
          <w:kern w:val="0"/>
          <w:sz w:val="18"/>
          <w:szCs w:val="18"/>
          <w:highlight w:val="none"/>
          <w:u w:val="none" w:color="FF0000"/>
          <w:lang w:val="en-US" w:eastAsia="zh-CN" w:bidi="ar-SA"/>
        </w:rPr>
      </w:pPr>
      <w:bookmarkStart w:id="25" w:name="_Toc458617734"/>
      <w:bookmarkStart w:id="26" w:name="_Toc458617457"/>
      <w:r>
        <w:rPr>
          <w:rFonts w:hint="eastAsia" w:ascii="宋体" w:hAnsi="宋体" w:eastAsia="宋体" w:cs="宋体"/>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w:t>
      </w:r>
      <w:r>
        <w:rPr>
          <w:rFonts w:hint="eastAsia" w:ascii="宋体" w:hAnsi="宋体" w:eastAsia="宋体" w:cs="宋体"/>
          <w:color w:val="auto"/>
          <w:szCs w:val="24"/>
          <w:highlight w:val="none"/>
          <w:u w:val="none" w:color="auto"/>
        </w:rPr>
        <w:t>截止时间15日</w:t>
      </w:r>
      <w:r>
        <w:rPr>
          <w:rFonts w:hint="eastAsia" w:ascii="宋体" w:hAnsi="宋体" w:eastAsia="宋体" w:cs="宋体"/>
          <w:color w:val="auto"/>
          <w:szCs w:val="24"/>
          <w:highlight w:val="none"/>
        </w:rPr>
        <w:t>前以书面形通知所有获取招标文件的潜在投标人；</w:t>
      </w:r>
      <w:r>
        <w:rPr>
          <w:rFonts w:hint="eastAsia" w:ascii="宋体" w:hAnsi="宋体" w:eastAsia="宋体" w:cs="宋体"/>
          <w:color w:val="auto"/>
          <w:szCs w:val="24"/>
          <w:highlight w:val="none"/>
          <w:u w:val="none" w:color="auto"/>
        </w:rPr>
        <w:t>不足15日的，</w:t>
      </w:r>
      <w:r>
        <w:rPr>
          <w:rFonts w:hint="eastAsia" w:ascii="宋体" w:hAnsi="宋体" w:eastAsia="宋体" w:cs="宋体"/>
          <w:color w:val="auto"/>
          <w:szCs w:val="24"/>
          <w:highlight w:val="none"/>
        </w:rPr>
        <w:t>采购人或者采购代理机构应当顺延提交投标文件的截止时间。</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5、投标人若对招标文件有任何疑问，可以以书面形式向采购代理机构提出询问。</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6、投标人认为招标文件使自己的权益受到损害的，在收到采购文件之日</w:t>
      </w:r>
      <w:r>
        <w:rPr>
          <w:rFonts w:hint="eastAsia" w:ascii="宋体" w:hAnsi="宋体" w:eastAsia="宋体" w:cs="宋体"/>
          <w:color w:val="auto"/>
          <w:kern w:val="0"/>
          <w:szCs w:val="24"/>
          <w:highlight w:val="none"/>
        </w:rPr>
        <w:t>起七个工作日内</w:t>
      </w:r>
      <w:r>
        <w:rPr>
          <w:rFonts w:hint="eastAsia" w:ascii="宋体" w:hAnsi="宋体" w:eastAsia="宋体" w:cs="宋体"/>
          <w:color w:val="auto"/>
          <w:szCs w:val="24"/>
          <w:highlight w:val="none"/>
        </w:rPr>
        <w:t>以书面形式向采购代理机构提出质疑，逾期提出的无效，</w:t>
      </w:r>
      <w:bookmarkStart w:id="27" w:name="OLE_LINK6"/>
      <w:r>
        <w:rPr>
          <w:rFonts w:hint="eastAsia" w:ascii="宋体" w:hAnsi="宋体" w:eastAsia="宋体" w:cs="宋体"/>
          <w:color w:val="auto"/>
          <w:szCs w:val="24"/>
          <w:highlight w:val="none"/>
        </w:rPr>
        <w:t>因此带来的一切不利后果由投标人自负。</w:t>
      </w:r>
      <w:bookmarkEnd w:id="27"/>
    </w:p>
    <w:p>
      <w:pPr>
        <w:pageBreakBefore w:val="0"/>
        <w:widowControl w:val="0"/>
        <w:kinsoku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8" w:name="OLE_LINK7"/>
      <w:r>
        <w:rPr>
          <w:rFonts w:hint="eastAsia" w:ascii="宋体" w:hAnsi="宋体" w:eastAsia="宋体" w:cs="宋体"/>
          <w:color w:val="auto"/>
          <w:szCs w:val="24"/>
          <w:highlight w:val="none"/>
        </w:rPr>
        <w:t>采购代理机构和投标人的权利和义务将受到新的截止期的约束。</w:t>
      </w:r>
    </w:p>
    <w:bookmarkEnd w:id="28"/>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8、投标人必须从采购代理机构购买招标文件，投标人自行转让或复制招标文件视为无效。招标文件售后不退，仅作为本次招标使用。</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9、招标文件的解释权归采购代理机构，如发现招标文件内容与现行法律法规不相符的情况，以现行法律法规为准。</w:t>
      </w:r>
    </w:p>
    <w:p>
      <w:pPr>
        <w:pageBreakBefore w:val="0"/>
        <w:widowControl w:val="0"/>
        <w:wordWrap/>
        <w:overflowPunct/>
        <w:topLinePunct w:val="0"/>
        <w:autoSpaceDE/>
        <w:autoSpaceDN/>
        <w:bidi w:val="0"/>
        <w:adjustRightInd/>
        <w:snapToGrid/>
        <w:spacing w:line="365" w:lineRule="auto"/>
        <w:ind w:left="0" w:leftChars="0" w:right="0" w:rightChars="0"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10、现场勘查、标前答疑会：见须知前附表。</w:t>
      </w:r>
    </w:p>
    <w:p>
      <w:pPr>
        <w:pStyle w:val="4"/>
        <w:pageBreakBefore w:val="0"/>
        <w:wordWrap/>
        <w:topLinePunct w:val="0"/>
        <w:autoSpaceDE/>
        <w:autoSpaceDN/>
        <w:bidi w:val="0"/>
        <w:spacing w:before="0" w:after="0" w:line="365" w:lineRule="auto"/>
        <w:textAlignment w:val="auto"/>
        <w:rPr>
          <w:rFonts w:hint="eastAsia" w:ascii="宋体" w:hAnsi="宋体" w:eastAsia="宋体" w:cs="宋体"/>
          <w:color w:val="auto"/>
          <w:kern w:val="0"/>
          <w:sz w:val="28"/>
          <w:szCs w:val="28"/>
          <w:highlight w:val="none"/>
          <w:lang w:eastAsia="zh-CN"/>
        </w:rPr>
      </w:pPr>
      <w:bookmarkStart w:id="29" w:name="_Toc25485"/>
      <w:bookmarkStart w:id="30" w:name="_Toc3393"/>
      <w:r>
        <w:rPr>
          <w:rFonts w:hint="eastAsia" w:ascii="宋体" w:hAnsi="宋体" w:eastAsia="宋体" w:cs="宋体"/>
          <w:color w:val="auto"/>
          <w:kern w:val="0"/>
          <w:sz w:val="28"/>
          <w:szCs w:val="28"/>
          <w:highlight w:val="none"/>
        </w:rPr>
        <w:t>四、投标文件</w:t>
      </w:r>
      <w:bookmarkEnd w:id="25"/>
      <w:bookmarkEnd w:id="26"/>
      <w:r>
        <w:rPr>
          <w:rFonts w:hint="eastAsia" w:ascii="宋体" w:hAnsi="宋体" w:eastAsia="宋体" w:cs="宋体"/>
          <w:color w:val="auto"/>
          <w:kern w:val="0"/>
          <w:sz w:val="28"/>
          <w:szCs w:val="28"/>
          <w:highlight w:val="none"/>
          <w:lang w:eastAsia="zh-CN"/>
        </w:rPr>
        <w:t>的编制</w:t>
      </w:r>
      <w:bookmarkEnd w:id="29"/>
      <w:bookmarkEnd w:id="30"/>
    </w:p>
    <w:p>
      <w:pPr>
        <w:spacing w:before="0" w:after="0" w:line="360" w:lineRule="auto"/>
        <w:ind w:firstLine="0"/>
        <w:outlineLvl w:val="2"/>
        <w:rPr>
          <w:rFonts w:hint="eastAsia" w:ascii="宋体" w:hAnsi="宋体" w:eastAsia="宋体" w:cs="宋体"/>
          <w:b/>
          <w:color w:val="auto"/>
          <w:szCs w:val="24"/>
          <w:highlight w:val="none"/>
        </w:rPr>
      </w:pPr>
      <w:bookmarkStart w:id="31" w:name="_Toc3408"/>
      <w:bookmarkStart w:id="32" w:name="_Toc35442383"/>
      <w:bookmarkStart w:id="33" w:name="_Toc26888"/>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szCs w:val="24"/>
          <w:highlight w:val="none"/>
        </w:rPr>
        <w:t>.投标语言和投标货币</w:t>
      </w:r>
      <w:bookmarkEnd w:id="31"/>
      <w:bookmarkEnd w:id="32"/>
      <w:bookmarkEnd w:id="33"/>
    </w:p>
    <w:p>
      <w:pPr>
        <w:spacing w:before="0" w:after="0"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提交的投标文件以及</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与采购代理机构就有关投标的所有来往函电均应使用中文。</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.2投标应以人民币报价。任何包含非人民币报价的投标将按无效投标处理。</w:t>
      </w:r>
    </w:p>
    <w:p>
      <w:pPr>
        <w:spacing w:before="0" w:after="0" w:line="360" w:lineRule="auto"/>
        <w:ind w:firstLine="0"/>
        <w:outlineLvl w:val="2"/>
        <w:rPr>
          <w:rFonts w:hint="eastAsia" w:ascii="宋体" w:hAnsi="宋体" w:eastAsia="宋体" w:cs="宋体"/>
          <w:b/>
          <w:color w:val="auto"/>
          <w:szCs w:val="24"/>
          <w:highlight w:val="none"/>
        </w:rPr>
      </w:pPr>
      <w:bookmarkStart w:id="34" w:name="_Toc35442384"/>
      <w:bookmarkStart w:id="35" w:name="_Toc14781"/>
      <w:bookmarkStart w:id="36" w:name="_Toc782"/>
      <w:r>
        <w:rPr>
          <w:rFonts w:hint="eastAsia" w:ascii="宋体" w:hAnsi="宋体" w:eastAsia="宋体" w:cs="宋体"/>
          <w:b/>
          <w:color w:val="auto"/>
          <w:szCs w:val="24"/>
          <w:highlight w:val="none"/>
          <w:lang w:val="en-US" w:eastAsia="zh-CN"/>
        </w:rPr>
        <w:t>2</w:t>
      </w:r>
      <w:r>
        <w:rPr>
          <w:rFonts w:hint="eastAsia" w:ascii="宋体" w:hAnsi="宋体" w:eastAsia="宋体" w:cs="宋体"/>
          <w:b/>
          <w:color w:val="auto"/>
          <w:szCs w:val="24"/>
          <w:highlight w:val="none"/>
        </w:rPr>
        <w:t>.投标文件的构成</w:t>
      </w:r>
      <w:bookmarkEnd w:id="34"/>
      <w:bookmarkEnd w:id="35"/>
      <w:bookmarkEnd w:id="36"/>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提交的投标文件应包括下列部分的内容：</w:t>
      </w:r>
    </w:p>
    <w:p>
      <w:pPr>
        <w:spacing w:before="0" w:after="0" w:line="360" w:lineRule="auto"/>
        <w:ind w:firstLine="0"/>
        <w:outlineLvl w:val="2"/>
        <w:rPr>
          <w:rFonts w:hint="eastAsia" w:ascii="宋体" w:hAnsi="宋体" w:eastAsia="宋体" w:cs="宋体"/>
          <w:color w:val="auto"/>
          <w:szCs w:val="24"/>
          <w:highlight w:val="none"/>
          <w:lang w:eastAsia="zh-CN"/>
        </w:rPr>
      </w:pPr>
      <w:bookmarkStart w:id="37" w:name="_Toc3398"/>
      <w:bookmarkStart w:id="38" w:name="_Toc4443"/>
      <w:bookmarkStart w:id="39" w:name="_Toc35442385"/>
      <w:r>
        <w:rPr>
          <w:rFonts w:hint="eastAsia" w:ascii="宋体" w:hAnsi="宋体" w:eastAsia="宋体" w:cs="宋体"/>
          <w:color w:val="auto"/>
          <w:szCs w:val="24"/>
          <w:highlight w:val="none"/>
        </w:rPr>
        <w:t>投标文件应包括下列内容：</w:t>
      </w:r>
      <w:bookmarkEnd w:id="37"/>
      <w:bookmarkEnd w:id="38"/>
      <w:r>
        <w:rPr>
          <w:rFonts w:hint="eastAsia" w:ascii="宋体" w:hAnsi="宋体" w:eastAsia="宋体" w:cs="宋体"/>
          <w:color w:val="auto"/>
          <w:szCs w:val="24"/>
          <w:highlight w:val="none"/>
        </w:rPr>
        <w:t xml:space="preserve"> </w:t>
      </w:r>
    </w:p>
    <w:p>
      <w:pPr>
        <w:spacing w:before="0" w:after="0"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（一）投标格式</w:t>
      </w:r>
    </w:p>
    <w:p>
      <w:pPr>
        <w:spacing w:before="0" w:after="0"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（二）资质证明文件</w:t>
      </w:r>
    </w:p>
    <w:p>
      <w:pPr>
        <w:spacing w:before="0" w:after="0"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（三）符合性证明文件</w:t>
      </w:r>
    </w:p>
    <w:p>
      <w:pPr>
        <w:pStyle w:val="2"/>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投标人在评标过程中作出的符合法律法规和招标文件规定的澄清确认，构成投标文件的组成部分。 </w:t>
      </w:r>
    </w:p>
    <w:p>
      <w:pPr>
        <w:spacing w:before="0" w:after="0" w:line="360" w:lineRule="auto"/>
        <w:ind w:firstLine="0"/>
        <w:outlineLvl w:val="2"/>
        <w:rPr>
          <w:rFonts w:hint="eastAsia" w:ascii="宋体" w:hAnsi="宋体" w:eastAsia="宋体" w:cs="宋体"/>
          <w:b/>
          <w:color w:val="auto"/>
          <w:szCs w:val="24"/>
          <w:highlight w:val="none"/>
        </w:rPr>
      </w:pPr>
      <w:bookmarkStart w:id="40" w:name="_Toc22952"/>
      <w:bookmarkStart w:id="41" w:name="_Toc3010"/>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.投标文件格式</w:t>
      </w:r>
      <w:bookmarkEnd w:id="39"/>
      <w:bookmarkEnd w:id="40"/>
      <w:bookmarkEnd w:id="41"/>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应按照招标文件中第六章所提供的格式和要求制作投标文件，明确表达投标意愿，详细说明投标方案、承诺及价格。</w:t>
      </w:r>
    </w:p>
    <w:p>
      <w:pPr>
        <w:spacing w:before="0" w:after="0"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w:t>
      </w:r>
      <w:r>
        <w:rPr>
          <w:rFonts w:hint="eastAsia" w:ascii="宋体" w:hAnsi="宋体" w:eastAsia="宋体" w:cs="宋体"/>
          <w:color w:val="auto"/>
          <w:szCs w:val="21"/>
          <w:highlight w:val="none"/>
        </w:rPr>
        <w:t>投标人应完整地提供招标文件要求的所有数据和资料。</w:t>
      </w:r>
    </w:p>
    <w:p>
      <w:pPr>
        <w:spacing w:before="0" w:after="0" w:line="360" w:lineRule="auto"/>
        <w:ind w:firstLine="0"/>
        <w:outlineLvl w:val="2"/>
        <w:rPr>
          <w:rFonts w:hint="eastAsia" w:ascii="宋体" w:hAnsi="宋体" w:eastAsia="宋体" w:cs="宋体"/>
          <w:b/>
          <w:color w:val="auto"/>
          <w:szCs w:val="24"/>
          <w:highlight w:val="none"/>
        </w:rPr>
      </w:pPr>
      <w:bookmarkStart w:id="42" w:name="_Toc35442386"/>
      <w:bookmarkStart w:id="43" w:name="_Toc12555"/>
      <w:bookmarkStart w:id="44" w:name="_Toc4348"/>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rPr>
        <w:t>.投标报价</w:t>
      </w:r>
      <w:bookmarkEnd w:id="42"/>
      <w:bookmarkEnd w:id="43"/>
      <w:bookmarkEnd w:id="44"/>
    </w:p>
    <w:p>
      <w:pPr>
        <w:spacing w:before="0" w:after="0" w:line="360" w:lineRule="auto"/>
        <w:ind w:firstLine="480" w:firstLineChars="200"/>
        <w:rPr>
          <w:rFonts w:hint="eastAsia" w:ascii="宋体" w:hAnsi="宋体" w:eastAsia="宋体" w:cs="宋体"/>
          <w:color w:val="FF0000"/>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.1投标报价：见</w:t>
      </w:r>
      <w:r>
        <w:rPr>
          <w:rFonts w:hint="eastAsia" w:ascii="宋体" w:hAnsi="宋体" w:eastAsia="宋体" w:cs="宋体"/>
          <w:color w:val="auto"/>
          <w:szCs w:val="24"/>
          <w:highlight w:val="none"/>
          <w:lang w:eastAsia="zh-CN"/>
        </w:rPr>
        <w:t>投标人须知前附表</w:t>
      </w:r>
      <w:r>
        <w:rPr>
          <w:rFonts w:hint="eastAsia" w:ascii="宋体" w:hAnsi="宋体" w:eastAsia="宋体" w:cs="宋体"/>
          <w:color w:val="auto"/>
          <w:szCs w:val="24"/>
          <w:highlight w:val="none"/>
        </w:rPr>
        <w:t>。</w:t>
      </w:r>
    </w:p>
    <w:p>
      <w:pPr>
        <w:spacing w:before="0" w:after="0" w:line="360" w:lineRule="auto"/>
        <w:ind w:firstLine="480" w:firstLineChars="200"/>
        <w:rPr>
          <w:rFonts w:hint="eastAsia" w:ascii="宋体" w:hAnsi="宋体" w:eastAsia="宋体" w:cs="宋体"/>
          <w:color w:val="FF0000"/>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.2投标报价表中标明的价格应为履行合同的固定价格，不得以任何理由予以变更。以可调整的价格提交的投标文件将按无效投标处理。</w:t>
      </w:r>
    </w:p>
    <w:p>
      <w:pPr>
        <w:spacing w:before="0" w:after="0" w:line="360" w:lineRule="auto"/>
        <w:ind w:firstLine="0"/>
        <w:outlineLvl w:val="2"/>
        <w:rPr>
          <w:rFonts w:hint="eastAsia" w:ascii="宋体" w:hAnsi="宋体" w:eastAsia="宋体" w:cs="宋体"/>
          <w:b/>
          <w:color w:val="auto"/>
          <w:szCs w:val="24"/>
          <w:highlight w:val="none"/>
        </w:rPr>
      </w:pPr>
      <w:bookmarkStart w:id="45" w:name="_Toc31598"/>
      <w:bookmarkStart w:id="46" w:name="_Toc35442387"/>
      <w:bookmarkStart w:id="47" w:name="_Toc30258"/>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.证明</w:t>
      </w:r>
      <w:r>
        <w:rPr>
          <w:rFonts w:hint="eastAsia" w:ascii="宋体" w:hAnsi="宋体" w:eastAsia="宋体" w:cs="宋体"/>
          <w:b/>
          <w:color w:val="auto"/>
          <w:szCs w:val="24"/>
          <w:highlight w:val="none"/>
          <w:lang w:eastAsia="zh-CN"/>
        </w:rPr>
        <w:t>投标人</w:t>
      </w:r>
      <w:r>
        <w:rPr>
          <w:rFonts w:hint="eastAsia" w:ascii="宋体" w:hAnsi="宋体" w:eastAsia="宋体" w:cs="宋体"/>
          <w:b/>
          <w:color w:val="auto"/>
          <w:szCs w:val="24"/>
          <w:highlight w:val="none"/>
        </w:rPr>
        <w:t>合格和资格的文件</w:t>
      </w:r>
      <w:bookmarkEnd w:id="45"/>
      <w:bookmarkEnd w:id="46"/>
      <w:bookmarkEnd w:id="47"/>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应按照招标文件“</w:t>
      </w:r>
      <w:r>
        <w:rPr>
          <w:rFonts w:hint="eastAsia" w:ascii="宋体" w:hAnsi="宋体" w:eastAsia="宋体" w:cs="宋体"/>
          <w:color w:val="auto"/>
          <w:szCs w:val="24"/>
          <w:highlight w:val="none"/>
          <w:lang w:eastAsia="zh-CN"/>
        </w:rPr>
        <w:t>投标人须知前附表</w:t>
      </w:r>
      <w:r>
        <w:rPr>
          <w:rFonts w:hint="eastAsia" w:ascii="宋体" w:hAnsi="宋体" w:eastAsia="宋体" w:cs="宋体"/>
          <w:color w:val="auto"/>
          <w:szCs w:val="24"/>
          <w:highlight w:val="none"/>
        </w:rPr>
        <w:t>”的要求，在投标文件中提交合格的资格证明文件。如果资格证明文件不齐全或不合格的，其投标将按无效投标处理。</w:t>
      </w:r>
    </w:p>
    <w:p>
      <w:pPr>
        <w:spacing w:before="0" w:after="0" w:line="360" w:lineRule="auto"/>
        <w:ind w:firstLine="0"/>
        <w:outlineLvl w:val="2"/>
        <w:rPr>
          <w:rFonts w:hint="eastAsia" w:ascii="宋体" w:hAnsi="宋体" w:eastAsia="宋体" w:cs="宋体"/>
          <w:color w:val="auto"/>
          <w:highlight w:val="none"/>
        </w:rPr>
      </w:pPr>
      <w:bookmarkStart w:id="48" w:name="_Toc35442388"/>
      <w:bookmarkStart w:id="49" w:name="_Toc1889"/>
      <w:bookmarkStart w:id="50" w:name="_Toc23991"/>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.证明货物（含伴随服务）符合招标文件规定的文件</w:t>
      </w:r>
      <w:bookmarkEnd w:id="48"/>
      <w:bookmarkEnd w:id="49"/>
      <w:bookmarkEnd w:id="50"/>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.2上述证明文件可以是文字资料、图纸、图片、数据、宣传彩页等，所有证明文件表达意思必须统一（如需</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提供样品，样品必须与投标文件的表述完全符合）。包括：</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pPr>
        <w:spacing w:before="0" w:after="0" w:line="360" w:lineRule="auto"/>
        <w:ind w:firstLine="0"/>
        <w:outlineLvl w:val="2"/>
        <w:rPr>
          <w:rFonts w:hint="eastAsia" w:ascii="宋体" w:hAnsi="宋体" w:eastAsia="宋体" w:cs="宋体"/>
          <w:b/>
          <w:color w:val="auto"/>
          <w:szCs w:val="24"/>
          <w:highlight w:val="none"/>
        </w:rPr>
      </w:pPr>
      <w:bookmarkStart w:id="51" w:name="_Toc30566"/>
      <w:bookmarkStart w:id="52" w:name="_Toc5282"/>
      <w:bookmarkStart w:id="53" w:name="_Toc35442389"/>
      <w:r>
        <w:rPr>
          <w:rFonts w:hint="eastAsia" w:ascii="宋体" w:hAnsi="宋体" w:eastAsia="宋体" w:cs="宋体"/>
          <w:b/>
          <w:color w:val="auto"/>
          <w:szCs w:val="24"/>
          <w:highlight w:val="none"/>
          <w:lang w:val="en-US" w:eastAsia="zh-CN"/>
        </w:rPr>
        <w:t>7</w:t>
      </w:r>
      <w:r>
        <w:rPr>
          <w:rFonts w:hint="eastAsia" w:ascii="宋体" w:hAnsi="宋体" w:eastAsia="宋体" w:cs="宋体"/>
          <w:b/>
          <w:color w:val="auto"/>
          <w:szCs w:val="24"/>
          <w:highlight w:val="none"/>
        </w:rPr>
        <w:t>.投标保证金</w:t>
      </w:r>
      <w:bookmarkEnd w:id="51"/>
      <w:bookmarkEnd w:id="52"/>
      <w:bookmarkEnd w:id="53"/>
    </w:p>
    <w:p>
      <w:pPr>
        <w:pStyle w:val="48"/>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见投标人须知前附表。</w:t>
      </w:r>
    </w:p>
    <w:p>
      <w:pPr>
        <w:spacing w:before="0" w:after="0" w:line="360" w:lineRule="auto"/>
        <w:ind w:firstLine="0"/>
        <w:outlineLvl w:val="2"/>
        <w:rPr>
          <w:rFonts w:hint="eastAsia" w:ascii="宋体" w:hAnsi="宋体" w:eastAsia="宋体" w:cs="宋体"/>
          <w:b/>
          <w:color w:val="auto"/>
          <w:szCs w:val="24"/>
          <w:highlight w:val="none"/>
        </w:rPr>
      </w:pPr>
      <w:bookmarkStart w:id="54" w:name="_Toc6674"/>
      <w:bookmarkStart w:id="55" w:name="_Toc24775"/>
      <w:bookmarkStart w:id="56" w:name="_Toc35442390"/>
      <w:r>
        <w:rPr>
          <w:rFonts w:hint="eastAsia" w:ascii="宋体" w:hAnsi="宋体" w:eastAsia="宋体" w:cs="宋体"/>
          <w:b/>
          <w:color w:val="auto"/>
          <w:szCs w:val="24"/>
          <w:highlight w:val="none"/>
          <w:lang w:val="en-US" w:eastAsia="zh-CN"/>
        </w:rPr>
        <w:t>8</w:t>
      </w:r>
      <w:r>
        <w:rPr>
          <w:rFonts w:hint="eastAsia" w:ascii="宋体" w:hAnsi="宋体" w:eastAsia="宋体" w:cs="宋体"/>
          <w:b/>
          <w:color w:val="auto"/>
          <w:szCs w:val="24"/>
          <w:highlight w:val="none"/>
        </w:rPr>
        <w:t>.投标有效期</w:t>
      </w:r>
      <w:bookmarkEnd w:id="54"/>
      <w:bookmarkEnd w:id="55"/>
      <w:bookmarkEnd w:id="56"/>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.1投标有效期：见</w:t>
      </w:r>
      <w:r>
        <w:rPr>
          <w:rFonts w:hint="eastAsia" w:ascii="宋体" w:hAnsi="宋体" w:eastAsia="宋体" w:cs="宋体"/>
          <w:color w:val="auto"/>
          <w:szCs w:val="24"/>
          <w:highlight w:val="none"/>
          <w:lang w:eastAsia="zh-CN"/>
        </w:rPr>
        <w:t>投标人须知前附表</w:t>
      </w:r>
      <w:r>
        <w:rPr>
          <w:rFonts w:hint="eastAsia" w:ascii="宋体" w:hAnsi="宋体" w:eastAsia="宋体" w:cs="宋体"/>
          <w:color w:val="auto"/>
          <w:szCs w:val="24"/>
          <w:highlight w:val="none"/>
        </w:rPr>
        <w:t>。投标文件应在投标有效期内保持有效。投标有效期不满足规定有效期的投标文件将被视为无效投标而拒绝。</w:t>
      </w:r>
    </w:p>
    <w:p>
      <w:pPr>
        <w:spacing w:before="0" w:after="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.2特殊情况下，在原投标有效期期满之前，采购代理机构可向</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提出延长投标有效期的要求。这种要求与答复均应以书面的形式。</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可以拒绝采购代理机构的这种要求,其投标保证金也不被没收。同意延长的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既不能要求也不允许修改其投标文件，但要相应延长其投标保证金的有效期。在这种情况下，本章第</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条有关投标保证金的退还和没收的规定将在延长了的有效期内</w:t>
      </w:r>
      <w:r>
        <w:rPr>
          <w:rFonts w:hint="eastAsia" w:ascii="宋体" w:hAnsi="宋体" w:eastAsia="宋体" w:cs="宋体"/>
          <w:color w:val="auto"/>
          <w:highlight w:val="none"/>
        </w:rPr>
        <w:t>继续有效。</w:t>
      </w:r>
    </w:p>
    <w:p>
      <w:pPr>
        <w:spacing w:before="0" w:after="0" w:line="360" w:lineRule="auto"/>
        <w:ind w:firstLine="0"/>
        <w:outlineLvl w:val="2"/>
        <w:rPr>
          <w:rFonts w:hint="eastAsia" w:ascii="宋体" w:hAnsi="宋体" w:eastAsia="宋体" w:cs="宋体"/>
          <w:b/>
          <w:color w:val="auto"/>
          <w:szCs w:val="24"/>
          <w:highlight w:val="none"/>
        </w:rPr>
      </w:pPr>
      <w:bookmarkStart w:id="57" w:name="_Toc407"/>
      <w:bookmarkStart w:id="58" w:name="_Toc35442391"/>
      <w:bookmarkStart w:id="59" w:name="_Toc19215"/>
      <w:r>
        <w:rPr>
          <w:rFonts w:hint="eastAsia" w:ascii="宋体" w:hAnsi="宋体" w:eastAsia="宋体" w:cs="宋体"/>
          <w:b/>
          <w:color w:val="auto"/>
          <w:szCs w:val="24"/>
          <w:highlight w:val="none"/>
          <w:lang w:val="en-US" w:eastAsia="zh-CN"/>
        </w:rPr>
        <w:t>9</w:t>
      </w:r>
      <w:r>
        <w:rPr>
          <w:rFonts w:hint="eastAsia" w:ascii="宋体" w:hAnsi="宋体" w:eastAsia="宋体" w:cs="宋体"/>
          <w:b/>
          <w:color w:val="auto"/>
          <w:szCs w:val="24"/>
          <w:highlight w:val="none"/>
        </w:rPr>
        <w:t>.投标文件的式样和签署</w:t>
      </w:r>
      <w:bookmarkEnd w:id="57"/>
      <w:bookmarkEnd w:id="58"/>
      <w:bookmarkEnd w:id="59"/>
    </w:p>
    <w:p>
      <w:pPr>
        <w:pStyle w:val="20"/>
        <w:spacing w:line="360" w:lineRule="auto"/>
        <w:ind w:firstLine="482" w:firstLineChars="2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详见投标人须知前附表23条</w:t>
      </w:r>
      <w:r>
        <w:rPr>
          <w:rFonts w:hint="eastAsia" w:ascii="宋体" w:hAnsi="宋体" w:eastAsia="宋体" w:cs="宋体"/>
          <w:b/>
          <w:bCs/>
          <w:sz w:val="24"/>
          <w:szCs w:val="24"/>
          <w:highlight w:val="none"/>
          <w:lang w:eastAsia="zh-CN"/>
        </w:rPr>
        <w:t>。</w:t>
      </w:r>
    </w:p>
    <w:p>
      <w:pPr>
        <w:pStyle w:val="4"/>
        <w:pageBreakBefore w:val="0"/>
        <w:wordWrap/>
        <w:topLinePunct w:val="0"/>
        <w:autoSpaceDE/>
        <w:autoSpaceDN/>
        <w:bidi w:val="0"/>
        <w:spacing w:before="0" w:after="0" w:line="365" w:lineRule="auto"/>
        <w:textAlignment w:val="auto"/>
        <w:rPr>
          <w:rFonts w:hint="eastAsia" w:ascii="宋体" w:hAnsi="宋体" w:eastAsia="宋体" w:cs="宋体"/>
          <w:color w:val="auto"/>
          <w:kern w:val="0"/>
          <w:sz w:val="28"/>
          <w:szCs w:val="28"/>
          <w:highlight w:val="none"/>
        </w:rPr>
      </w:pPr>
      <w:bookmarkStart w:id="60" w:name="_Toc458617458"/>
      <w:bookmarkStart w:id="61" w:name="_Toc24767"/>
      <w:bookmarkStart w:id="62" w:name="_Toc5736"/>
      <w:bookmarkStart w:id="63" w:name="_Toc458617735"/>
      <w:bookmarkStart w:id="64" w:name="_Toc28619"/>
      <w:r>
        <w:rPr>
          <w:rFonts w:hint="eastAsia" w:ascii="宋体" w:hAnsi="宋体" w:eastAsia="宋体" w:cs="宋体"/>
          <w:color w:val="auto"/>
          <w:kern w:val="0"/>
          <w:sz w:val="28"/>
          <w:szCs w:val="28"/>
          <w:highlight w:val="none"/>
        </w:rPr>
        <w:t>五、投标担保</w:t>
      </w:r>
      <w:bookmarkEnd w:id="60"/>
      <w:bookmarkEnd w:id="61"/>
      <w:bookmarkEnd w:id="62"/>
      <w:bookmarkEnd w:id="63"/>
      <w:bookmarkEnd w:id="64"/>
    </w:p>
    <w:p>
      <w:pPr>
        <w:pageBreakBefore w:val="0"/>
        <w:tabs>
          <w:tab w:val="left" w:pos="7013"/>
        </w:tabs>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1、担保方式：见投标人须知前附表。</w:t>
      </w:r>
      <w:r>
        <w:rPr>
          <w:rFonts w:hint="eastAsia" w:ascii="宋体" w:hAnsi="宋体" w:eastAsia="宋体" w:cs="宋体"/>
          <w:color w:val="auto"/>
          <w:szCs w:val="24"/>
          <w:highlight w:val="none"/>
        </w:rPr>
        <w:tab/>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2、投标担保递交截止时间：见投标人须知前附表。</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3、投标人投标时，必须以招标文件规定的方式提交投标担保，并作为其投标的一部分。若未在投标担保递交截止时间收到足额投标保证金，或</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未在</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中附</w:t>
      </w:r>
      <w:r>
        <w:rPr>
          <w:rFonts w:hint="eastAsia" w:ascii="宋体" w:hAnsi="宋体" w:eastAsia="宋体" w:cs="宋体"/>
          <w:color w:val="auto"/>
          <w:sz w:val="24"/>
          <w:szCs w:val="24"/>
          <w:highlight w:val="none"/>
          <w:lang w:eastAsia="zh-CN"/>
        </w:rPr>
        <w:t>银行汇（存）款回执单或担保机构出具的担保函</w:t>
      </w:r>
      <w:r>
        <w:rPr>
          <w:rFonts w:hint="eastAsia" w:ascii="宋体" w:hAnsi="宋体" w:eastAsia="宋体" w:cs="宋体"/>
          <w:color w:val="auto"/>
          <w:szCs w:val="24"/>
          <w:highlight w:val="none"/>
          <w:lang w:eastAsia="zh-CN"/>
        </w:rPr>
        <w:t>，其投标无效。</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4、退还投标保证金：</w:t>
      </w:r>
    </w:p>
    <w:p>
      <w:pPr>
        <w:keepNext w:val="0"/>
        <w:keepLines w:val="0"/>
        <w:pageBreakBefore w:val="0"/>
        <w:widowControl w:val="0"/>
        <w:kinsoku/>
        <w:wordWrap/>
        <w:overflowPunct/>
        <w:topLinePunct w:val="0"/>
        <w:autoSpaceDE/>
        <w:autoSpaceDN/>
        <w:bidi w:val="0"/>
        <w:adjustRightInd/>
        <w:snapToGrid/>
        <w:spacing w:line="365" w:lineRule="auto"/>
        <w:ind w:firstLine="482" w:firstLineChars="200"/>
        <w:textAlignment w:val="auto"/>
        <w:outlineLvl w:val="9"/>
        <w:rPr>
          <w:rFonts w:hint="eastAsia" w:ascii="宋体" w:hAnsi="宋体" w:eastAsia="宋体" w:cs="宋体"/>
          <w:b/>
          <w:bCs/>
          <w:color w:val="auto"/>
          <w:szCs w:val="24"/>
          <w:highlight w:val="none"/>
          <w:u w:val="single"/>
        </w:rPr>
      </w:pPr>
      <w:r>
        <w:rPr>
          <w:rFonts w:hint="eastAsia" w:ascii="宋体" w:hAnsi="宋体" w:eastAsia="宋体" w:cs="宋体"/>
          <w:b/>
          <w:bCs/>
          <w:color w:val="auto"/>
          <w:szCs w:val="24"/>
          <w:highlight w:val="none"/>
        </w:rPr>
        <w:t>（1）</w:t>
      </w:r>
      <w:r>
        <w:rPr>
          <w:rFonts w:hint="eastAsia" w:ascii="宋体" w:hAnsi="宋体" w:eastAsia="宋体" w:cs="宋体"/>
          <w:b/>
          <w:bCs/>
          <w:color w:val="auto"/>
          <w:szCs w:val="24"/>
          <w:highlight w:val="none"/>
          <w:u w:val="single"/>
        </w:rPr>
        <w:t>在投标截止时间前撤回已提交投标文件的投标人的投标保证金，将在采购代理机构收到投标人书面撤回通知之日起5个工作日内退还（无息）。</w:t>
      </w:r>
    </w:p>
    <w:p>
      <w:pPr>
        <w:keepNext w:val="0"/>
        <w:keepLines w:val="0"/>
        <w:pageBreakBefore w:val="0"/>
        <w:widowControl w:val="0"/>
        <w:kinsoku/>
        <w:wordWrap/>
        <w:overflowPunct/>
        <w:topLinePunct w:val="0"/>
        <w:autoSpaceDE/>
        <w:autoSpaceDN/>
        <w:bidi w:val="0"/>
        <w:adjustRightInd/>
        <w:snapToGrid/>
        <w:spacing w:line="365" w:lineRule="auto"/>
        <w:ind w:firstLine="482" w:firstLineChars="200"/>
        <w:textAlignment w:val="auto"/>
        <w:outlineLvl w:val="9"/>
        <w:rPr>
          <w:rFonts w:hint="eastAsia" w:ascii="宋体" w:hAnsi="宋体" w:eastAsia="宋体" w:cs="宋体"/>
          <w:b/>
          <w:color w:val="auto"/>
          <w:szCs w:val="24"/>
          <w:highlight w:val="none"/>
          <w:u w:val="single"/>
        </w:rPr>
      </w:pPr>
      <w:r>
        <w:rPr>
          <w:rFonts w:hint="eastAsia" w:ascii="宋体" w:hAnsi="宋体" w:eastAsia="宋体" w:cs="宋体"/>
          <w:b/>
          <w:color w:val="auto"/>
          <w:szCs w:val="24"/>
          <w:highlight w:val="none"/>
        </w:rPr>
        <w:t>（2）</w:t>
      </w:r>
      <w:r>
        <w:rPr>
          <w:rFonts w:hint="eastAsia" w:ascii="宋体" w:hAnsi="宋体" w:eastAsia="宋体" w:cs="宋体"/>
          <w:b/>
          <w:color w:val="auto"/>
          <w:spacing w:val="-14"/>
          <w:szCs w:val="24"/>
          <w:highlight w:val="none"/>
          <w:u w:val="single"/>
        </w:rPr>
        <w:t>所</w:t>
      </w:r>
      <w:r>
        <w:rPr>
          <w:rFonts w:hint="eastAsia" w:ascii="宋体" w:hAnsi="宋体" w:eastAsia="宋体" w:cs="宋体"/>
          <w:b/>
          <w:color w:val="auto"/>
          <w:szCs w:val="24"/>
          <w:highlight w:val="none"/>
          <w:u w:val="single"/>
        </w:rPr>
        <w:t>有未中标人的投标保证金，将在中标通知书发出后5个工作日内退还（无息）。</w:t>
      </w:r>
    </w:p>
    <w:p>
      <w:pPr>
        <w:keepNext w:val="0"/>
        <w:keepLines w:val="0"/>
        <w:pageBreakBefore w:val="0"/>
        <w:widowControl w:val="0"/>
        <w:kinsoku/>
        <w:wordWrap/>
        <w:overflowPunct/>
        <w:topLinePunct w:val="0"/>
        <w:autoSpaceDE/>
        <w:autoSpaceDN/>
        <w:bidi w:val="0"/>
        <w:adjustRightInd/>
        <w:snapToGrid/>
        <w:spacing w:line="365" w:lineRule="auto"/>
        <w:ind w:firstLine="482" w:firstLineChars="200"/>
        <w:textAlignment w:val="auto"/>
        <w:outlineLvl w:val="9"/>
        <w:rPr>
          <w:rFonts w:hint="eastAsia" w:ascii="宋体" w:hAnsi="宋体" w:eastAsia="宋体" w:cs="宋体"/>
          <w:b/>
          <w:bCs/>
          <w:color w:val="auto"/>
          <w:szCs w:val="24"/>
          <w:highlight w:val="none"/>
          <w:u w:val="single"/>
        </w:rPr>
      </w:pPr>
      <w:r>
        <w:rPr>
          <w:rFonts w:hint="eastAsia" w:ascii="宋体" w:hAnsi="宋体" w:eastAsia="宋体" w:cs="宋体"/>
          <w:b/>
          <w:bCs/>
          <w:color w:val="auto"/>
          <w:szCs w:val="24"/>
          <w:highlight w:val="none"/>
        </w:rPr>
        <w:t>（3）</w:t>
      </w:r>
      <w:r>
        <w:rPr>
          <w:rFonts w:hint="eastAsia" w:ascii="宋体" w:hAnsi="宋体" w:eastAsia="宋体" w:cs="宋体"/>
          <w:b/>
          <w:bCs/>
          <w:color w:val="auto"/>
          <w:szCs w:val="24"/>
          <w:highlight w:val="none"/>
          <w:u w:val="single"/>
        </w:rPr>
        <w:t>中标人的投标保证金，将在签订合同后</w:t>
      </w:r>
      <w:r>
        <w:rPr>
          <w:rFonts w:hint="eastAsia" w:ascii="宋体" w:hAnsi="宋体" w:eastAsia="宋体" w:cs="宋体"/>
          <w:b/>
          <w:color w:val="auto"/>
          <w:szCs w:val="24"/>
          <w:highlight w:val="none"/>
          <w:u w:val="single"/>
        </w:rPr>
        <w:t>5个工作日内</w:t>
      </w:r>
      <w:r>
        <w:rPr>
          <w:rFonts w:hint="eastAsia" w:ascii="宋体" w:hAnsi="宋体" w:eastAsia="宋体" w:cs="宋体"/>
          <w:b/>
          <w:bCs/>
          <w:color w:val="auto"/>
          <w:szCs w:val="24"/>
          <w:highlight w:val="none"/>
          <w:u w:val="single"/>
        </w:rPr>
        <w:t>执合同予以退还（无息）。</w:t>
      </w:r>
    </w:p>
    <w:p>
      <w:pPr>
        <w:pageBreakBefore w:val="0"/>
        <w:tabs>
          <w:tab w:val="left" w:pos="2700"/>
        </w:tabs>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5、发生下列情况之一时，投标保证金将不予退还：</w:t>
      </w:r>
    </w:p>
    <w:p>
      <w:pPr>
        <w:pageBreakBefore w:val="0"/>
        <w:wordWrap/>
        <w:topLinePunct w:val="0"/>
        <w:autoSpaceDE/>
        <w:autoSpaceDN/>
        <w:bidi w:val="0"/>
        <w:spacing w:line="365" w:lineRule="auto"/>
        <w:ind w:left="574" w:leftChars="239"/>
        <w:textAlignment w:val="auto"/>
        <w:rPr>
          <w:rFonts w:hint="eastAsia" w:ascii="宋体" w:hAnsi="宋体" w:eastAsia="宋体" w:cs="宋体"/>
          <w:color w:val="auto"/>
          <w:szCs w:val="24"/>
          <w:highlight w:val="none"/>
          <w:u w:val="single"/>
          <w:lang w:eastAsia="zh-CN"/>
        </w:rPr>
      </w:pPr>
      <w:r>
        <w:rPr>
          <w:rFonts w:hint="eastAsia" w:ascii="宋体" w:hAnsi="宋体" w:eastAsia="宋体" w:cs="宋体"/>
          <w:color w:val="auto"/>
          <w:szCs w:val="24"/>
          <w:highlight w:val="none"/>
        </w:rPr>
        <w:t>5-1、</w:t>
      </w:r>
      <w:r>
        <w:rPr>
          <w:rFonts w:hint="eastAsia" w:ascii="宋体" w:hAnsi="宋体" w:eastAsia="宋体" w:cs="宋体"/>
          <w:color w:val="auto"/>
          <w:szCs w:val="24"/>
          <w:highlight w:val="none"/>
          <w:u w:val="single"/>
        </w:rPr>
        <w:t>投标人提供虚假资质谋取中标的；</w:t>
      </w:r>
    </w:p>
    <w:p>
      <w:pPr>
        <w:pageBreakBefore w:val="0"/>
        <w:wordWrap/>
        <w:topLinePunct w:val="0"/>
        <w:autoSpaceDE/>
        <w:autoSpaceDN/>
        <w:bidi w:val="0"/>
        <w:spacing w:line="365" w:lineRule="auto"/>
        <w:ind w:left="574" w:leftChars="239"/>
        <w:textAlignment w:val="auto"/>
        <w:rPr>
          <w:rFonts w:hint="eastAsia" w:ascii="宋体" w:hAnsi="宋体" w:eastAsia="宋体" w:cs="宋体"/>
          <w:color w:val="auto"/>
          <w:szCs w:val="24"/>
          <w:highlight w:val="none"/>
          <w:u w:val="single"/>
          <w:lang w:eastAsia="zh-CN"/>
        </w:rPr>
      </w:pPr>
      <w:r>
        <w:rPr>
          <w:rFonts w:hint="eastAsia" w:ascii="宋体" w:hAnsi="宋体" w:eastAsia="宋体" w:cs="宋体"/>
          <w:color w:val="auto"/>
          <w:szCs w:val="24"/>
          <w:highlight w:val="none"/>
        </w:rPr>
        <w:t>5-2、</w:t>
      </w:r>
      <w:r>
        <w:rPr>
          <w:rFonts w:hint="eastAsia" w:ascii="宋体" w:hAnsi="宋体" w:eastAsia="宋体" w:cs="宋体"/>
          <w:color w:val="auto"/>
          <w:szCs w:val="24"/>
          <w:highlight w:val="none"/>
          <w:u w:val="single"/>
        </w:rPr>
        <w:t>有围标、串标现象，经查证属实的；</w:t>
      </w:r>
    </w:p>
    <w:p>
      <w:pPr>
        <w:pageBreakBefore w:val="0"/>
        <w:wordWrap/>
        <w:topLinePunct w:val="0"/>
        <w:autoSpaceDE/>
        <w:autoSpaceDN/>
        <w:bidi w:val="0"/>
        <w:spacing w:line="365" w:lineRule="auto"/>
        <w:ind w:left="574" w:leftChars="239"/>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5-3、</w:t>
      </w:r>
      <w:r>
        <w:rPr>
          <w:rFonts w:hint="eastAsia" w:ascii="宋体" w:hAnsi="宋体" w:eastAsia="宋体" w:cs="宋体"/>
          <w:color w:val="auto"/>
          <w:szCs w:val="24"/>
          <w:highlight w:val="none"/>
          <w:u w:val="single"/>
        </w:rPr>
        <w:t>投标人在招标文件规定的投标有效期内撤回投标的；</w:t>
      </w:r>
    </w:p>
    <w:p>
      <w:pPr>
        <w:pageBreakBefore w:val="0"/>
        <w:wordWrap/>
        <w:topLinePunct w:val="0"/>
        <w:autoSpaceDE/>
        <w:autoSpaceDN/>
        <w:bidi w:val="0"/>
        <w:spacing w:line="365" w:lineRule="auto"/>
        <w:ind w:left="1294" w:leftChars="239" w:hanging="720" w:hangingChars="300"/>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投标人自行放弃中标资格的；</w:t>
      </w:r>
    </w:p>
    <w:p>
      <w:pPr>
        <w:pageBreakBefore w:val="0"/>
        <w:wordWrap/>
        <w:topLinePunct w:val="0"/>
        <w:autoSpaceDE/>
        <w:autoSpaceDN/>
        <w:bidi w:val="0"/>
        <w:spacing w:line="365" w:lineRule="auto"/>
        <w:ind w:left="1294" w:leftChars="239" w:hanging="720" w:hangingChars="300"/>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中标单位不在规定的时效内领取《中标通知书》的；</w:t>
      </w:r>
    </w:p>
    <w:p>
      <w:pPr>
        <w:pageBreakBefore w:val="0"/>
        <w:wordWrap/>
        <w:topLinePunct w:val="0"/>
        <w:autoSpaceDE/>
        <w:autoSpaceDN/>
        <w:bidi w:val="0"/>
        <w:spacing w:line="365" w:lineRule="auto"/>
        <w:ind w:left="1294" w:leftChars="239" w:hanging="720" w:hangingChars="300"/>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中标人不按规定支付招标服务费的；</w:t>
      </w:r>
    </w:p>
    <w:p>
      <w:pPr>
        <w:pageBreakBefore w:val="0"/>
        <w:wordWrap/>
        <w:topLinePunct w:val="0"/>
        <w:autoSpaceDE/>
        <w:autoSpaceDN/>
        <w:bidi w:val="0"/>
        <w:spacing w:line="365" w:lineRule="auto"/>
        <w:ind w:left="1294" w:leftChars="239" w:hanging="720" w:hangingChars="300"/>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中标人因自身原因未能在规定期限内与采购人签订合同的。</w:t>
      </w:r>
    </w:p>
    <w:p>
      <w:pPr>
        <w:pageBreakBefore w:val="0"/>
        <w:wordWrap/>
        <w:topLinePunct w:val="0"/>
        <w:autoSpaceDE/>
        <w:autoSpaceDN/>
        <w:bidi w:val="0"/>
        <w:spacing w:line="365" w:lineRule="auto"/>
        <w:ind w:left="1294" w:leftChars="239" w:hanging="720" w:hangingChars="3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5-8、</w:t>
      </w:r>
      <w:r>
        <w:rPr>
          <w:rFonts w:hint="eastAsia" w:ascii="宋体" w:hAnsi="宋体" w:eastAsia="宋体" w:cs="宋体"/>
          <w:color w:val="auto"/>
          <w:szCs w:val="24"/>
          <w:highlight w:val="none"/>
          <w:u w:val="single"/>
        </w:rPr>
        <w:t>投标人交纳投标保证金后，无故不参加投标活动的</w:t>
      </w:r>
      <w:r>
        <w:rPr>
          <w:rFonts w:hint="eastAsia" w:ascii="宋体" w:hAnsi="宋体" w:eastAsia="宋体" w:cs="宋体"/>
          <w:color w:val="auto"/>
          <w:szCs w:val="24"/>
          <w:highlight w:val="none"/>
          <w:u w:val="single"/>
          <w:lang w:eastAsia="zh-CN"/>
        </w:rPr>
        <w:t>。</w:t>
      </w:r>
    </w:p>
    <w:p>
      <w:pPr>
        <w:pStyle w:val="4"/>
        <w:pageBreakBefore w:val="0"/>
        <w:wordWrap/>
        <w:topLinePunct w:val="0"/>
        <w:autoSpaceDE/>
        <w:autoSpaceDN/>
        <w:bidi w:val="0"/>
        <w:spacing w:before="0" w:after="0" w:line="365" w:lineRule="auto"/>
        <w:textAlignment w:val="auto"/>
        <w:rPr>
          <w:rFonts w:hint="eastAsia" w:ascii="宋体" w:hAnsi="宋体" w:eastAsia="宋体" w:cs="宋体"/>
          <w:b/>
          <w:bCs/>
          <w:color w:val="auto"/>
          <w:kern w:val="0"/>
          <w:sz w:val="28"/>
          <w:szCs w:val="28"/>
          <w:highlight w:val="none"/>
        </w:rPr>
      </w:pPr>
      <w:bookmarkStart w:id="65" w:name="_Toc458617459"/>
      <w:bookmarkStart w:id="66" w:name="_Toc14272"/>
      <w:bookmarkStart w:id="67" w:name="_Toc458617736"/>
      <w:bookmarkStart w:id="68" w:name="_Toc8203"/>
      <w:bookmarkStart w:id="69" w:name="_Toc22445"/>
      <w:r>
        <w:rPr>
          <w:rFonts w:hint="eastAsia" w:ascii="宋体" w:hAnsi="宋体" w:eastAsia="宋体" w:cs="宋体"/>
          <w:b/>
          <w:bCs/>
          <w:color w:val="auto"/>
          <w:kern w:val="0"/>
          <w:sz w:val="28"/>
          <w:szCs w:val="28"/>
          <w:highlight w:val="none"/>
        </w:rPr>
        <w:t>六、投标</w:t>
      </w:r>
      <w:bookmarkEnd w:id="65"/>
      <w:bookmarkEnd w:id="66"/>
      <w:bookmarkEnd w:id="67"/>
      <w:bookmarkEnd w:id="68"/>
      <w:bookmarkEnd w:id="69"/>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1、投标文件的提交</w:t>
      </w:r>
      <w:r>
        <w:rPr>
          <w:rFonts w:hint="eastAsia" w:ascii="宋体" w:hAnsi="宋体" w:eastAsia="宋体" w:cs="宋体"/>
          <w:b/>
          <w:bCs/>
          <w:color w:val="auto"/>
          <w:szCs w:val="24"/>
          <w:highlight w:val="none"/>
          <w:lang w:eastAsia="zh-CN"/>
        </w:rPr>
        <w:t>：</w:t>
      </w:r>
    </w:p>
    <w:p>
      <w:pPr>
        <w:pageBreakBefore w:val="0"/>
        <w:wordWrap/>
        <w:topLinePunct w:val="0"/>
        <w:autoSpaceDE/>
        <w:autoSpaceDN/>
        <w:bidi w:val="0"/>
        <w:spacing w:line="365" w:lineRule="auto"/>
        <w:ind w:firstLine="470" w:firstLineChars="196"/>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电子投标文件可于提交投标文件截止时间前任意时段登录全国公共资源交易平台 （陕西省）网站[电子交易平台-企业端]进行提交，逾期系统将拒绝接收。提交时，</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逾期上传的将被拒绝接收。</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rPr>
        <w:t>投标文件递交截止时间系统将自动关闭上传通道；</w:t>
      </w:r>
    </w:p>
    <w:p>
      <w:pPr>
        <w:pageBreakBefore w:val="0"/>
        <w:wordWrap/>
        <w:topLinePunct w:val="0"/>
        <w:autoSpaceDE/>
        <w:autoSpaceDN/>
        <w:bidi w:val="0"/>
        <w:spacing w:line="365" w:lineRule="auto"/>
        <w:ind w:firstLine="472" w:firstLineChars="196"/>
        <w:textAlignment w:val="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2、文件开启与解密</w:t>
      </w:r>
      <w:r>
        <w:rPr>
          <w:rFonts w:hint="eastAsia" w:ascii="宋体" w:hAnsi="宋体" w:eastAsia="宋体" w:cs="宋体"/>
          <w:b/>
          <w:bCs/>
          <w:color w:val="auto"/>
          <w:szCs w:val="24"/>
          <w:highlight w:val="none"/>
          <w:lang w:eastAsia="zh-CN"/>
        </w:rPr>
        <w:t>：</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开标时，投标人须使用电子投标文件加密时所用的数字认证证书（CA 锁）在不见面开标大厅中，在规定的时间内自行解密电子投标文件（超过系统默认解密时间未解密成功的视为解密失败，其投标文件按无效文件处理），投标单位需在解密时间规定内完成标书解密。所有投标单位解密完成后由开标人员将投标文件导入开评标系统。</w:t>
      </w:r>
    </w:p>
    <w:p>
      <w:pPr>
        <w:pageBreakBefore w:val="0"/>
        <w:wordWrap/>
        <w:topLinePunct w:val="0"/>
        <w:autoSpaceDE/>
        <w:autoSpaceDN/>
        <w:bidi w:val="0"/>
        <w:spacing w:line="365" w:lineRule="auto"/>
        <w:ind w:firstLine="472" w:firstLineChars="196"/>
        <w:textAlignment w:val="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rPr>
        <w:t>提交投标文件截止时间</w:t>
      </w:r>
      <w:r>
        <w:rPr>
          <w:rFonts w:hint="eastAsia" w:ascii="宋体" w:hAnsi="宋体" w:eastAsia="宋体" w:cs="宋体"/>
          <w:b/>
          <w:bCs/>
          <w:color w:val="auto"/>
          <w:szCs w:val="24"/>
          <w:highlight w:val="none"/>
          <w:lang w:eastAsia="zh-CN"/>
        </w:rPr>
        <w:t>：</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3-1、电子投标文件须按照招标文件规定的时间、地点上传。在递交投标文件截止时间以后上传的投标文件，系统将拒绝接收。</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3-2、 采购代理机构可以按本须知规定，通知因修改招标文件而适当延长投标截 止期。在此情况下，招标采购单位和投标人受投标截止期制约的所有权利和义务均应延长至新的截止期。</w:t>
      </w:r>
    </w:p>
    <w:p>
      <w:pPr>
        <w:pageBreakBefore w:val="0"/>
        <w:wordWrap/>
        <w:topLinePunct w:val="0"/>
        <w:autoSpaceDE/>
        <w:autoSpaceDN/>
        <w:bidi w:val="0"/>
        <w:spacing w:line="365"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rPr>
        <w:t>、投标有效期：</w:t>
      </w:r>
    </w:p>
    <w:p>
      <w:pPr>
        <w:pStyle w:val="48"/>
        <w:pageBreakBefore w:val="0"/>
        <w:wordWrap/>
        <w:topLinePunct w:val="0"/>
        <w:autoSpaceDE/>
        <w:autoSpaceDN/>
        <w:bidi w:val="0"/>
        <w:spacing w:line="365" w:lineRule="auto"/>
        <w:ind w:firstLine="464"/>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-1、自提交投标文件的截止之日起90个日历日。</w:t>
      </w:r>
      <w:bookmarkStart w:id="70" w:name="OLE_LINK15"/>
      <w:r>
        <w:rPr>
          <w:rFonts w:hint="eastAsia" w:ascii="宋体" w:hAnsi="宋体" w:eastAsia="宋体" w:cs="宋体"/>
          <w:color w:val="auto"/>
          <w:spacing w:val="-4"/>
          <w:sz w:val="24"/>
          <w:szCs w:val="24"/>
          <w:highlight w:val="none"/>
        </w:rPr>
        <w:t>投标人投标有效期短于招标文件规定</w:t>
      </w:r>
      <w:r>
        <w:rPr>
          <w:rFonts w:hint="eastAsia" w:ascii="宋体" w:hAnsi="宋体" w:eastAsia="宋体" w:cs="宋体"/>
          <w:color w:val="auto"/>
          <w:kern w:val="2"/>
          <w:sz w:val="24"/>
          <w:szCs w:val="24"/>
          <w:highlight w:val="none"/>
        </w:rPr>
        <w:t>的投标有效期，按无效投标处理。中标单位的投标有效期延长至合同执行完毕。</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70"/>
      <w:bookmarkStart w:id="71" w:name="_Toc458617460"/>
      <w:bookmarkStart w:id="72" w:name="_Toc458617737"/>
    </w:p>
    <w:p>
      <w:pPr>
        <w:pStyle w:val="48"/>
        <w:pageBreakBefore w:val="0"/>
        <w:wordWrap/>
        <w:topLinePunct w:val="0"/>
        <w:autoSpaceDE/>
        <w:autoSpaceDN/>
        <w:bidi w:val="0"/>
        <w:spacing w:line="365" w:lineRule="auto"/>
        <w:ind w:firstLine="48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kern w:val="2"/>
          <w:sz w:val="24"/>
          <w:szCs w:val="24"/>
          <w:highlight w:val="none"/>
        </w:rPr>
        <w:t>有下列情形之一的，属于恶意串通，对其依照《中华人民共和国政府采购法》第七十七条第一款的规定追究法律责任，投标无效：</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-1、投标人直接或者间接从采购人或采购代理机构处获得其他投标人的相关情况并修改其投标文件；</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-2、投标人按照采购人或采购代理机构的授意撤换、修改投标文件；</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-3、投标人之间协商报价、技术方案等投标文件的实质性内容；</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-4、属于同一集团、协会、商会等组织成员的投标人按照该组织要求协同参加政府采购活动；</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-5、投标人之间事先约定由某一特定投标人中标；</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-6、投标人之间商定部分投标人放弃参加政府采购活动或放弃中标；</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-7、投标人相互之间，为谋求特定投标人中标或排斥其他投标人的其他串通行为。</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、有下列情形之一的，视为投标人串通投标，其投标无效：</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-1、不同投标人的投标文件由同一单位或者个人编制；</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-2、不同投标人委托同一单位或者个人办理投标事宜；</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-3、不同投标人的投标文件载明的项目管理成员或者联系人为同一人；</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-4、不同投标人的投标文件异常一致或者投标报价呈现规律性差异；</w:t>
      </w:r>
    </w:p>
    <w:p>
      <w:pPr>
        <w:pStyle w:val="48"/>
        <w:pageBreakBefore w:val="0"/>
        <w:wordWrap/>
        <w:topLinePunct w:val="0"/>
        <w:autoSpaceDE/>
        <w:autoSpaceDN/>
        <w:bidi w:val="0"/>
        <w:spacing w:line="365" w:lineRule="auto"/>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、不同投标人的投标保证金从同一单位或者个人的账户转出。</w:t>
      </w:r>
    </w:p>
    <w:p>
      <w:pPr>
        <w:pStyle w:val="4"/>
        <w:pageBreakBefore w:val="0"/>
        <w:wordWrap/>
        <w:topLinePunct w:val="0"/>
        <w:autoSpaceDE/>
        <w:autoSpaceDN/>
        <w:bidi w:val="0"/>
        <w:spacing w:before="0" w:after="0" w:line="365" w:lineRule="auto"/>
        <w:textAlignment w:val="auto"/>
        <w:rPr>
          <w:rFonts w:hint="eastAsia" w:ascii="宋体" w:hAnsi="宋体" w:eastAsia="宋体" w:cs="宋体"/>
          <w:b/>
          <w:bCs/>
          <w:color w:val="auto"/>
          <w:kern w:val="0"/>
          <w:sz w:val="28"/>
          <w:szCs w:val="28"/>
          <w:highlight w:val="none"/>
        </w:rPr>
      </w:pPr>
      <w:bookmarkStart w:id="73" w:name="_Toc10051"/>
      <w:bookmarkStart w:id="74" w:name="_Toc2818"/>
      <w:bookmarkStart w:id="75" w:name="_Toc1764"/>
      <w:r>
        <w:rPr>
          <w:rFonts w:hint="eastAsia" w:ascii="宋体" w:hAnsi="宋体" w:eastAsia="宋体" w:cs="宋体"/>
          <w:b/>
          <w:bCs/>
          <w:color w:val="auto"/>
          <w:kern w:val="0"/>
          <w:sz w:val="28"/>
          <w:szCs w:val="28"/>
          <w:highlight w:val="none"/>
        </w:rPr>
        <w:t>七、开标、资格审查、评标和定标</w:t>
      </w:r>
      <w:bookmarkEnd w:id="71"/>
      <w:bookmarkEnd w:id="72"/>
      <w:bookmarkEnd w:id="73"/>
      <w:bookmarkEnd w:id="74"/>
      <w:bookmarkEnd w:id="75"/>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1、开标</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1-1、开标程序</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（1）开标会议由采购代理机构主持。</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（2）投标人应提前1小时登录远程不见面开标大厅，调试设备至正常状态，并在远程不见面开标大厅中进行远程签到。</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（3）开标时，由投标人在规定时间内进行远程解密。开标系统将自动记录投标人的名称、项目名称、投标价格等。</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（4）由采购人查验投标人必备资格文件，未通过审查的按废标处理。</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（5）采购代理机构对开标过程进行摄像、文字记录，并存档备查。</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(6)只有在开标时唱出的价格和价格变动声明，评标时才能考虑。</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(7)以邮寄方式递交投标文件的为无效投标，不予接受。</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(8)投标人未参加开标的，视同认可开标结果。</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1-2、在开标环节出现下列情况之一的，其电子及投标文件视为无效文件：</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（1）投标人拒绝对电子投标文件进行解密的；</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（2）因投标人自身原因（如未带CA锁、或所带CA锁与制作电子投标文件使用的CA锁不一致、或沿用旧版招标文件编制投标文件等情形），导致在规定时间内无法解密投标文件的；</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（3）上传的电子投标文件无法打开的；</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（4）政府采购法律法规规定的其他无效情形。</w:t>
      </w:r>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color w:val="auto"/>
          <w:szCs w:val="24"/>
          <w:highlight w:val="none"/>
          <w:u w:val="none" w:color="auto"/>
          <w:lang w:eastAsia="zh-CN"/>
        </w:rPr>
      </w:pPr>
      <w:r>
        <w:rPr>
          <w:rFonts w:hint="eastAsia" w:ascii="宋体" w:hAnsi="宋体" w:eastAsia="宋体" w:cs="宋体"/>
          <w:b/>
          <w:color w:val="auto"/>
          <w:szCs w:val="24"/>
          <w:highlight w:val="none"/>
          <w:u w:val="none" w:color="auto"/>
        </w:rPr>
        <w:t>2、资格审查</w:t>
      </w:r>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bCs/>
          <w:color w:val="auto"/>
          <w:szCs w:val="24"/>
          <w:highlight w:val="none"/>
        </w:rPr>
      </w:pPr>
      <w:r>
        <w:rPr>
          <w:rFonts w:hint="eastAsia" w:ascii="宋体" w:hAnsi="宋体" w:eastAsia="宋体" w:cs="宋体"/>
          <w:b/>
          <w:color w:val="auto"/>
          <w:kern w:val="0"/>
          <w:sz w:val="24"/>
          <w:szCs w:val="24"/>
          <w:highlight w:val="none"/>
          <w:lang w:val="en-US" w:eastAsia="zh-CN" w:bidi="ar-SA"/>
        </w:rPr>
        <w:t>由</w:t>
      </w:r>
      <w:r>
        <w:rPr>
          <w:rFonts w:hint="eastAsia" w:ascii="宋体" w:hAnsi="宋体" w:eastAsia="宋体" w:cs="宋体"/>
          <w:b/>
          <w:bCs/>
          <w:color w:val="auto"/>
          <w:szCs w:val="24"/>
          <w:highlight w:val="none"/>
        </w:rPr>
        <w:t>采购人</w:t>
      </w:r>
      <w:r>
        <w:rPr>
          <w:rFonts w:hint="eastAsia" w:ascii="宋体" w:hAnsi="宋体" w:eastAsia="宋体" w:cs="宋体"/>
          <w:b/>
          <w:color w:val="auto"/>
          <w:kern w:val="0"/>
          <w:sz w:val="24"/>
          <w:szCs w:val="24"/>
          <w:highlight w:val="none"/>
          <w:lang w:val="en-US" w:eastAsia="zh-CN" w:bidi="ar-SA"/>
        </w:rPr>
        <w:t>依法对</w:t>
      </w:r>
      <w:r>
        <w:rPr>
          <w:rFonts w:hint="eastAsia" w:ascii="宋体" w:hAnsi="宋体" w:eastAsia="宋体" w:cs="宋体"/>
          <w:b/>
          <w:bCs/>
          <w:color w:val="auto"/>
          <w:szCs w:val="24"/>
          <w:highlight w:val="none"/>
        </w:rPr>
        <w:t>投标人</w:t>
      </w:r>
      <w:r>
        <w:rPr>
          <w:rFonts w:hint="eastAsia" w:ascii="宋体" w:hAnsi="宋体" w:eastAsia="宋体" w:cs="宋体"/>
          <w:b/>
          <w:color w:val="auto"/>
          <w:kern w:val="0"/>
          <w:sz w:val="24"/>
          <w:szCs w:val="24"/>
          <w:highlight w:val="none"/>
          <w:lang w:val="en-US" w:eastAsia="zh-CN" w:bidi="ar-SA"/>
        </w:rPr>
        <w:t>的资格进行审查, 审查合格的</w:t>
      </w:r>
      <w:r>
        <w:rPr>
          <w:rFonts w:hint="eastAsia" w:ascii="宋体" w:hAnsi="宋体" w:eastAsia="宋体" w:cs="宋体"/>
          <w:b/>
          <w:bCs/>
          <w:color w:val="auto"/>
          <w:szCs w:val="24"/>
          <w:highlight w:val="none"/>
        </w:rPr>
        <w:t>投标人</w:t>
      </w:r>
      <w:r>
        <w:rPr>
          <w:rFonts w:hint="eastAsia" w:ascii="宋体" w:hAnsi="宋体" w:eastAsia="宋体" w:cs="宋体"/>
          <w:b/>
          <w:color w:val="auto"/>
          <w:kern w:val="0"/>
          <w:sz w:val="24"/>
          <w:szCs w:val="24"/>
          <w:highlight w:val="none"/>
          <w:lang w:val="en-US" w:eastAsia="zh-CN" w:bidi="ar-SA"/>
        </w:rPr>
        <w:t>方可进入下一评审阶段。缺项或一项不符合要求即不合格，</w:t>
      </w:r>
      <w:r>
        <w:rPr>
          <w:rFonts w:hint="eastAsia" w:ascii="宋体" w:hAnsi="宋体" w:eastAsia="宋体" w:cs="宋体"/>
          <w:b/>
          <w:bCs/>
          <w:color w:val="auto"/>
          <w:szCs w:val="24"/>
          <w:highlight w:val="none"/>
        </w:rPr>
        <w:t>不合格的投标人其投标无效。</w:t>
      </w:r>
      <w:r>
        <w:rPr>
          <w:rFonts w:hint="eastAsia" w:ascii="宋体" w:hAnsi="宋体" w:eastAsia="宋体" w:cs="宋体"/>
          <w:b/>
          <w:bCs/>
          <w:color w:val="auto"/>
          <w:szCs w:val="24"/>
          <w:highlight w:val="none"/>
          <w:lang w:eastAsia="zh-CN"/>
        </w:rPr>
        <w:t>投标人资质证明</w:t>
      </w:r>
      <w:r>
        <w:rPr>
          <w:rFonts w:hint="eastAsia" w:ascii="宋体" w:hAnsi="宋体" w:eastAsia="宋体" w:cs="宋体"/>
          <w:b/>
          <w:bCs/>
          <w:color w:val="auto"/>
          <w:szCs w:val="24"/>
          <w:highlight w:val="none"/>
          <w:lang w:val="en-US" w:eastAsia="zh-CN"/>
        </w:rPr>
        <w:t>资料：</w:t>
      </w:r>
    </w:p>
    <w:p>
      <w:pPr>
        <w:pageBreakBefore w:val="0"/>
        <w:wordWrap/>
        <w:topLinePunct w:val="0"/>
        <w:autoSpaceDE/>
        <w:autoSpaceDN/>
        <w:bidi w:val="0"/>
        <w:spacing w:line="365" w:lineRule="auto"/>
        <w:textAlignment w:val="auto"/>
        <w:rPr>
          <w:rFonts w:hint="eastAsia" w:ascii="宋体" w:hAnsi="宋体" w:eastAsia="宋体" w:cs="宋体"/>
          <w:b/>
          <w:color w:val="auto"/>
          <w:szCs w:val="24"/>
          <w:highlight w:val="none"/>
        </w:rPr>
      </w:pP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（1）投标人须是具有独立承担民事责任能力的法人、其他组织或自然人，并出具合法有效的营业执照或事业单位法人证书等国家规定的相关证明，自然人参与的提供其身份证明；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（2）投标人须提供2020年度或2021年度财务审计报告（至少包括资产负债表和利润表，成立时间至提交投标文件截止时间不足一年的可提供成立后任意时段的资产负债表）； </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（3）投标人须提供2022年至今已缴存的至少一个月的社会保险参保缴费情况证明；</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（4）投标人须提供2022年至今已缴纳的至少一个月的纳税证明或完税证明，依法免税的单位应提供相关证明材料；</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5）投标人不得为“信用中国”网站（www.creditchina.gov.cn）中列入失信被执行人和税收违法黑名单投标人，不得为中国政府采购网（www.ccgp.gov.cn）政府采购严重违法失信行为记录名单中被财政部门禁止参加政府采购活动的投标人；</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（6）单位负责人为同一人或者存在直接控股、管理关系的不同投标人，不得参加同一合同项下的政府采购活动；（通过“国家企业信用信息公示系统”上查询的打印件或截图，加盖投标人公章）；</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（7）企业开具的近三年在经营活动中无重大违法记录声明; </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8）投标人应授权合法的人员参加投标全过程，其中法定代表人直接参加投标的，须出具法定代表人资格证明书及身份证，并与营业执照上信息一致，法定代表人授权代表参加投标的，须出具法定代表人资格证明书、授权书及被授权代表身份证；</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（9）提供具有履行合同所必需的设备和专业技术能力的承诺书；</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（10）投标人须在陕西省政府采购网（http://www.ccgp-shaanxi.gov.cn/），按照“投标人注册注意事项”要求，完成注册审核；（注册公示截图加盖投标人公章）；</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11）投标人为制造商：需具有《中华人民共和国特种设备制造许可证》B级及以上资质和《中华人民共和国特种设备安装改造维修许可证》（电梯）B级及以上资质（旧证）或《中华人民共和国特种设备生产许可证》电梯制造（含安装、修理、改造）B级及以上资质（新证）；</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br w:type="textWrapping"/>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投标人为代理商：需提供所投产品生产厂家的《中华人民共和国特种设备制造许可证》B级及以上资质（旧证）或《中华人民共和国特种设备生产许可证》电梯制造（含安装、修理、改造）B级及以上资质（新证），并具有投标人的《中华人民共和国特种设备安装改造维修许可证》（电梯）B级及以上资质（旧证）或《中华人民共和国特种设备生产许可证》电梯安装（含修理）B级及以上资质（新证）；（代理商提供厂家证件为复印件或扫描件）；</w:t>
      </w:r>
      <w:r>
        <w:rPr>
          <w:rFonts w:hint="eastAsia" w:ascii="宋体" w:hAnsi="宋体" w:eastAsia="宋体" w:cs="宋体"/>
          <w:b w:val="0"/>
          <w:bCs w:val="0"/>
          <w:i w:val="0"/>
          <w:iCs w:val="0"/>
          <w:caps w:val="0"/>
          <w:color w:val="333333"/>
          <w:spacing w:val="0"/>
          <w:kern w:val="0"/>
          <w:sz w:val="21"/>
          <w:szCs w:val="21"/>
          <w:highlight w:val="none"/>
          <w:shd w:val="clear" w:fill="FFFFFF"/>
          <w:vertAlign w:val="baseline"/>
          <w:lang w:val="en-US" w:eastAsia="zh-CN" w:bidi="ar"/>
        </w:rPr>
        <w:br w:type="textWrapping"/>
      </w:r>
      <w:r>
        <w:rPr>
          <w:rFonts w:hint="eastAsia" w:ascii="宋体" w:hAnsi="宋体" w:eastAsia="宋体" w:cs="宋体"/>
          <w:b/>
          <w:color w:val="auto"/>
          <w:szCs w:val="24"/>
          <w:highlight w:val="none"/>
        </w:rPr>
        <w:t>3、评标</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ascii="宋体" w:hAnsi="宋体" w:eastAsia="宋体" w:cs="宋体"/>
          <w:bCs/>
          <w:color w:val="auto"/>
          <w:szCs w:val="24"/>
          <w:highlight w:val="none"/>
        </w:rPr>
        <w:t>评标委员会</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（1）采购代理机构根据《中华人民共和国政府采购法》及其实施条例、《政府采购货物和服务招标投标管理办法》（财政部令第87号）等规定，依法组建评标委员会。</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（2）采购人派代表进入评标委员会时，须向采购代理机构出具授权函。</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（3）评标委员会应推荐一名评审专家担任评审组长，并由评审组长牵头组织该项目评审工作，采购人代表不得担任评审组长。</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（4）评标委员会成员不得参加开标活动。</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（5）评标委员会成员应当遵守并履行下列职责义务：</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a、遵纪守法，客观、公正、认真负责地履行职责，根据招标文件规定的评标程序、评标方法和评标标准审查投标文件；</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b、符合性审查、评价投标文件是否符合招标文件的商务、技术等实质性要求；</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c、要求投标人对投标文件有关事项作出澄清或者说明；</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d、对投标文件进行比较和评价；</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e、确定中标候选人名单，以及根据采购人委托直接确定中标人；</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f、向采购人、采购代理机构或者有关部门报告评标中发现的违法行为； </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g、对评标过程及各投标人的商业机密予以保密；</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h、配合采购人、采购代理机构答复各投标人提出的质疑；</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i、配合各部门的投诉处理和监督检查工作。</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3-2、在政府采购活动中，采购人员及相关人员（包括评标委员会）与投标人有下列利害关系之一的，应当回避：</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（1）参加采购活动前3年内与投标人存在劳动关系；</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（2）参加采购活动前3年内担任投标人的董事、监事；</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（3）参加采购活动前3年内是投标人的控股股东或者实际控制人；</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（4）与投标人的法表人或者负责人有夫妻、直系血亲、三代以内旁定代系血亲或者近姻亲关系；</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（5）与投标人有其他可能影响政府采购活动公平、公正进行的关系。</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3-3、评标原则：</w:t>
      </w:r>
      <w:r>
        <w:rPr>
          <w:rFonts w:hint="eastAsia" w:ascii="宋体" w:hAnsi="宋体" w:eastAsia="宋体" w:cs="宋体"/>
          <w:color w:val="auto"/>
          <w:szCs w:val="24"/>
          <w:highlight w:val="none"/>
        </w:rPr>
        <w:t>坚持公平、公正、科学、择优原则，禁止不正当竞争。</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3-4、评标办法</w:t>
      </w:r>
      <w:r>
        <w:rPr>
          <w:rFonts w:hint="eastAsia" w:ascii="宋体" w:hAnsi="宋体" w:eastAsia="宋体" w:cs="宋体"/>
          <w:color w:val="auto"/>
          <w:szCs w:val="24"/>
          <w:highlight w:val="none"/>
        </w:rPr>
        <w:t>：本次招标采用综合评分法（详见本节评分标准）。</w:t>
      </w:r>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3-5、评标工作程序：</w:t>
      </w:r>
      <w:r>
        <w:rPr>
          <w:rFonts w:hint="eastAsia" w:ascii="宋体" w:hAnsi="宋体" w:eastAsia="宋体" w:cs="宋体"/>
          <w:color w:val="auto"/>
          <w:szCs w:val="24"/>
          <w:highlight w:val="none"/>
        </w:rPr>
        <w:t>符合性审查、澄清、评价、推荐中标候选人的工作程序进行评标。</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3-5-1、投标文件符合性审查</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依据招标文件的规定，</w:t>
      </w:r>
      <w:r>
        <w:rPr>
          <w:rFonts w:hint="eastAsia" w:ascii="宋体" w:hAnsi="宋体" w:eastAsia="宋体" w:cs="宋体"/>
          <w:color w:val="auto"/>
          <w:szCs w:val="24"/>
          <w:highlight w:val="none"/>
        </w:rPr>
        <w:t>对资格合格者投标文件的完整性、有效性和对招标文件的响应程度进行审查，以确定是否对招标文件的实质性内容做出响应，包含但不限于以下内容：</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（1）投标人名称是否与购买招标文件的单位名称一致；</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）投标文件是否按照招标文件的要求盖章签字；</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）投标内容是否有重大缺漏项；</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投标保证金是否按照招标文件要求提供；</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 xml:space="preserve">投标报价是否超过采购预算或最高限价； </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）投标有效期是否符合招标文件的要求；</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）对招标文件商务要求是否作了明确且实质性响应；</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 xml:space="preserve">）对招标文件技术要求是否作了明确响应，对不得偏离的要求是否作了实质性响应； </w:t>
      </w:r>
    </w:p>
    <w:p>
      <w:pPr>
        <w:pageBreakBefore w:val="0"/>
        <w:wordWrap/>
        <w:topLinePunct w:val="0"/>
        <w:autoSpaceDE/>
        <w:autoSpaceDN/>
        <w:bidi w:val="0"/>
        <w:spacing w:line="365" w:lineRule="auto"/>
        <w:ind w:left="480" w:left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）投标文件是否含有采购人不能接受的附</w:t>
      </w:r>
      <w:r>
        <w:rPr>
          <w:rFonts w:hint="eastAsia" w:ascii="宋体" w:hAnsi="宋体" w:eastAsia="宋体" w:cs="宋体"/>
          <w:color w:val="auto"/>
          <w:szCs w:val="24"/>
          <w:highlight w:val="none"/>
          <w:lang w:eastAsia="zh-CN"/>
        </w:rPr>
        <w:t>加</w:t>
      </w:r>
      <w:r>
        <w:rPr>
          <w:rFonts w:hint="eastAsia" w:ascii="宋体" w:hAnsi="宋体" w:eastAsia="宋体" w:cs="宋体"/>
          <w:color w:val="auto"/>
          <w:szCs w:val="24"/>
          <w:highlight w:val="none"/>
        </w:rPr>
        <w:t>条件；</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）是否符合法律、法规和招标文件规定的其他无效投标情形。</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3-5-2、投标文件的澄清：</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（2）书写错误的评审标准：</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评标委员会在评标过程中，发现投标文件出现下列情况之一者，按以下原则修正：</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szCs w:val="24"/>
          <w:highlight w:val="none"/>
        </w:rPr>
        <w:t>投标文件有关内容与“开标一览表”不一致的，以“开标一览表”为准</w:t>
      </w:r>
      <w:r>
        <w:rPr>
          <w:rFonts w:hint="eastAsia" w:ascii="宋体" w:hAnsi="宋体" w:eastAsia="宋体" w:cs="宋体"/>
          <w:color w:val="auto"/>
          <w:highlight w:val="none"/>
        </w:rPr>
        <w:t>；</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szCs w:val="24"/>
          <w:highlight w:val="none"/>
        </w:rPr>
        <w:t>大写金额与小写金额不一致的，以大写金额为准</w:t>
      </w:r>
      <w:r>
        <w:rPr>
          <w:rFonts w:hint="eastAsia" w:ascii="宋体" w:hAnsi="宋体" w:eastAsia="宋体" w:cs="宋体"/>
          <w:color w:val="auto"/>
          <w:highlight w:val="none"/>
        </w:rPr>
        <w:t>；</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c、单价金额小数点或者百分比有明显错位的，以“</w:t>
      </w:r>
      <w:r>
        <w:rPr>
          <w:rFonts w:hint="eastAsia" w:ascii="宋体" w:hAnsi="宋体" w:eastAsia="宋体" w:cs="宋体"/>
          <w:color w:val="auto"/>
          <w:szCs w:val="24"/>
          <w:highlight w:val="none"/>
        </w:rPr>
        <w:t>开标一览表</w:t>
      </w:r>
      <w:r>
        <w:rPr>
          <w:rFonts w:hint="eastAsia" w:ascii="宋体" w:hAnsi="宋体" w:eastAsia="宋体" w:cs="宋体"/>
          <w:color w:val="auto"/>
          <w:highlight w:val="none"/>
        </w:rPr>
        <w:t>”的总价为准，并修改单价；</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d、总价金额与按</w:t>
      </w:r>
      <w:r>
        <w:rPr>
          <w:rFonts w:hint="eastAsia" w:ascii="宋体" w:hAnsi="宋体" w:eastAsia="宋体" w:cs="宋体"/>
          <w:color w:val="auto"/>
          <w:szCs w:val="24"/>
          <w:highlight w:val="none"/>
        </w:rPr>
        <w:t>单价汇总金额不一致的，以单价乘以数量的计算结果为准</w:t>
      </w:r>
      <w:r>
        <w:rPr>
          <w:rFonts w:hint="eastAsia" w:ascii="宋体" w:hAnsi="宋体" w:eastAsia="宋体" w:cs="宋体"/>
          <w:color w:val="auto"/>
          <w:highlight w:val="none"/>
        </w:rPr>
        <w:t>；</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szCs w:val="24"/>
          <w:highlight w:val="none"/>
        </w:rPr>
        <w:t>投标文件图表与文字不符时，以文字为准</w:t>
      </w:r>
      <w:r>
        <w:rPr>
          <w:rFonts w:hint="eastAsia" w:ascii="宋体" w:hAnsi="宋体" w:eastAsia="宋体" w:cs="宋体"/>
          <w:color w:val="auto"/>
          <w:highlight w:val="none"/>
        </w:rPr>
        <w:t>；</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f、投标文件正本与副本不符时，以正本为准；</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g、对不同文字文本投标文件的解释发生异议的，以中文文本为准；</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h、</w:t>
      </w:r>
      <w:r>
        <w:rPr>
          <w:rFonts w:hint="eastAsia" w:ascii="宋体" w:hAnsi="宋体" w:eastAsia="宋体" w:cs="宋体"/>
          <w:color w:val="auto"/>
          <w:szCs w:val="24"/>
          <w:highlight w:val="none"/>
        </w:rPr>
        <w:t>多处内容交叉不符时，以评标委员会评审结果为准。</w:t>
      </w:r>
    </w:p>
    <w:p>
      <w:pPr>
        <w:pageBreakBefore w:val="0"/>
        <w:wordWrap/>
        <w:topLinePunct w:val="0"/>
        <w:autoSpaceDE/>
        <w:autoSpaceDN/>
        <w:bidi w:val="0"/>
        <w:spacing w:line="365" w:lineRule="auto"/>
        <w:ind w:firstLine="482" w:firstLineChars="200"/>
        <w:textAlignment w:val="auto"/>
        <w:rPr>
          <w:rFonts w:hint="eastAsia" w:ascii="宋体" w:hAnsi="宋体" w:eastAsia="宋体" w:cs="宋体"/>
          <w:b/>
          <w:color w:val="auto"/>
          <w:szCs w:val="24"/>
          <w:highlight w:val="none"/>
          <w:u w:val="none" w:color="auto"/>
        </w:rPr>
      </w:pPr>
      <w:r>
        <w:rPr>
          <w:rFonts w:hint="eastAsia" w:ascii="宋体" w:hAnsi="宋体" w:eastAsia="宋体" w:cs="宋体"/>
          <w:b/>
          <w:color w:val="auto"/>
          <w:szCs w:val="24"/>
          <w:highlight w:val="none"/>
        </w:rPr>
        <w:t>注：按上述方法修正的内容（其中，同时出现上述a至d两种以上不一致的，按上述规定的顺序修正），经投标人确认后产生约束力，投标人不确认的，其</w:t>
      </w:r>
      <w:r>
        <w:rPr>
          <w:rFonts w:hint="eastAsia" w:ascii="宋体" w:hAnsi="宋体" w:eastAsia="宋体" w:cs="宋体"/>
          <w:b/>
          <w:color w:val="auto"/>
          <w:szCs w:val="24"/>
          <w:highlight w:val="none"/>
          <w:u w:val="none" w:color="auto"/>
        </w:rPr>
        <w:t>投标无效。</w:t>
      </w:r>
    </w:p>
    <w:p>
      <w:pPr>
        <w:pageBreakBefore w:val="0"/>
        <w:wordWrap/>
        <w:topLinePunct w:val="0"/>
        <w:autoSpaceDE/>
        <w:autoSpaceDN/>
        <w:bidi w:val="0"/>
        <w:spacing w:line="365" w:lineRule="auto"/>
        <w:ind w:firstLine="465"/>
        <w:textAlignment w:val="auto"/>
        <w:rPr>
          <w:rFonts w:hint="eastAsia" w:ascii="宋体" w:hAnsi="宋体" w:eastAsia="宋体" w:cs="宋体"/>
          <w:color w:val="auto"/>
          <w:szCs w:val="24"/>
          <w:highlight w:val="none"/>
          <w:u w:val="none" w:color="auto"/>
        </w:rPr>
      </w:pPr>
      <w:r>
        <w:rPr>
          <w:rFonts w:hint="eastAsia" w:ascii="宋体" w:hAnsi="宋体" w:eastAsia="宋体" w:cs="宋体"/>
          <w:color w:val="auto"/>
          <w:szCs w:val="24"/>
          <w:highlight w:val="none"/>
          <w:u w:val="none" w:color="auto"/>
        </w:rPr>
        <w:t>（3）评标委员会认为投标人的报价明显低于其他通过符合性审查投标人的报价，有可能影响产品</w:t>
      </w:r>
      <w:r>
        <w:rPr>
          <w:rFonts w:hint="eastAsia" w:ascii="宋体" w:hAnsi="宋体" w:eastAsia="宋体" w:cs="宋体"/>
          <w:color w:val="auto"/>
          <w:szCs w:val="24"/>
          <w:highlight w:val="none"/>
          <w:u w:val="none" w:color="auto"/>
          <w:lang w:val="en-US" w:eastAsia="zh-CN"/>
        </w:rPr>
        <w:t>/服务</w:t>
      </w:r>
      <w:r>
        <w:rPr>
          <w:rFonts w:hint="eastAsia" w:ascii="宋体" w:hAnsi="宋体" w:eastAsia="宋体" w:cs="宋体"/>
          <w:color w:val="auto"/>
          <w:szCs w:val="24"/>
          <w:highlight w:val="none"/>
          <w:u w:val="none" w:color="auto"/>
        </w:rPr>
        <w:t>质量或者不能诚信履约的，应当要求其在评标现场合理的时间内提供书面说明，必要时提交相关证明材料；投标人不能证明其报价合理性的，评标委员会应当将其作为无效投标处理。</w:t>
      </w:r>
    </w:p>
    <w:p>
      <w:pPr>
        <w:pageBreakBefore w:val="0"/>
        <w:wordWrap/>
        <w:topLinePunct w:val="0"/>
        <w:autoSpaceDE/>
        <w:autoSpaceDN/>
        <w:bidi w:val="0"/>
        <w:spacing w:line="365"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3-5-3、评价：</w:t>
      </w:r>
    </w:p>
    <w:p>
      <w:pPr>
        <w:pageBreakBefore w:val="0"/>
        <w:wordWrap/>
        <w:topLinePunct w:val="0"/>
        <w:autoSpaceDE/>
        <w:autoSpaceDN/>
        <w:bidi w:val="0"/>
        <w:spacing w:line="365" w:lineRule="auto"/>
        <w:ind w:firstLine="46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（1）评标委员会评审投标文件符合性只根据投标文件本身的内容，而不寻求其他外部证据。</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（2）</w:t>
      </w:r>
      <w:r>
        <w:rPr>
          <w:rFonts w:hint="eastAsia" w:ascii="宋体" w:hAnsi="宋体" w:eastAsia="宋体" w:cs="宋体"/>
          <w:color w:val="auto"/>
          <w:highlight w:val="none"/>
        </w:rPr>
        <w:t>评标采取逐项分步评审方式，每一步评审不符合者，不进入下一步评审，全部评审合格的投标人进行最后的综合评审和打分，按最后得分由高向低排序，推荐中标候选人。</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（3）其他需说明的情况：</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a、对于投标文件中不构成实质性偏差的小的不正规、不一致或不规则，采购人可以接受，但这种接受不能损害或影响任何投标人的相对排序；</w:t>
      </w:r>
    </w:p>
    <w:p>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b、最低报价不是中标的唯一条件；</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c、如果投标实质上没有响应招标文件的要求，其投标将被拒绝，投标人不得通过修正或撤消不合要求的偏离或保留从而使其投标成为实质上响应的投标。</w:t>
      </w:r>
    </w:p>
    <w:p>
      <w:pPr>
        <w:pageBreakBefore w:val="0"/>
        <w:wordWrap/>
        <w:overflowPunct w:val="0"/>
        <w:topLinePunct w:val="0"/>
        <w:autoSpaceDE/>
        <w:autoSpaceDN/>
        <w:bidi w:val="0"/>
        <w:adjustRightInd w:val="0"/>
        <w:snapToGrid w:val="0"/>
        <w:spacing w:line="365"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szCs w:val="24"/>
          <w:highlight w:val="none"/>
        </w:rPr>
        <w:t>无论投标的结果如何，投标期间一切费用自理。</w:t>
      </w:r>
    </w:p>
    <w:p>
      <w:pPr>
        <w:pageBreakBefore w:val="0"/>
        <w:kinsoku/>
        <w:wordWrap/>
        <w:overflowPunct/>
        <w:topLinePunct w:val="0"/>
        <w:autoSpaceDE/>
        <w:autoSpaceDN/>
        <w:bidi w:val="0"/>
        <w:spacing w:line="365" w:lineRule="auto"/>
        <w:ind w:firstLine="600" w:firstLineChars="249"/>
        <w:textAlignment w:val="auto"/>
        <w:rPr>
          <w:rFonts w:hint="eastAsia" w:ascii="宋体" w:hAnsi="宋体" w:eastAsia="宋体" w:cs="宋体"/>
          <w:b/>
          <w:color w:val="auto"/>
          <w:szCs w:val="24"/>
          <w:highlight w:val="none"/>
          <w:u w:val="none" w:color="auto"/>
        </w:rPr>
      </w:pPr>
      <w:r>
        <w:rPr>
          <w:rFonts w:hint="eastAsia" w:ascii="宋体" w:hAnsi="宋体" w:eastAsia="宋体" w:cs="宋体"/>
          <w:b/>
          <w:color w:val="auto"/>
          <w:szCs w:val="24"/>
          <w:highlight w:val="none"/>
          <w:u w:val="none" w:color="auto"/>
        </w:rPr>
        <w:t>3-6、评分标准：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6"/>
        <w:gridCol w:w="857"/>
        <w:gridCol w:w="898"/>
        <w:gridCol w:w="5486"/>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99" w:hRule="atLeast"/>
          <w:jc w:val="center"/>
        </w:trPr>
        <w:tc>
          <w:tcPr>
            <w:tcW w:w="8352" w:type="dxa"/>
            <w:gridSpan w:val="5"/>
            <w:shd w:val="clear" w:color="auto" w:fill="auto"/>
            <w:noWrap w:val="0"/>
            <w:vAlign w:val="center"/>
          </w:tcPr>
          <w:p>
            <w:pPr>
              <w:pStyle w:val="16"/>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400" w:lineRule="exact"/>
              <w:ind w:left="0" w:right="0" w:firstLine="3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823" w:hRule="atLeast"/>
          <w:jc w:val="center"/>
        </w:trPr>
        <w:tc>
          <w:tcPr>
            <w:tcW w:w="110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评标内容</w:t>
            </w: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分值</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评分因素</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06" w:hRule="atLeast"/>
          <w:jc w:val="center"/>
        </w:trPr>
        <w:tc>
          <w:tcPr>
            <w:tcW w:w="110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投标</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报价</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（30分）</w:t>
            </w: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30分</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报 价</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价格分统一采用低价优先法计算，即满足招标文件要求且投标价格最低的投标报价为评标基准价，其价格分为满分。其他投标人的价格分统一按照下列公式计算：</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投标报价得分=(评标基准价／投标报价)×价格权值×100               </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计算分数时四舍五入取小数点后两位</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注：（1）根据《政府采购促进中小企业发展管理办法》的相关规定，对小型和微型企业的价格给予6%的扣除，用扣除后的价格参与评审。</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（2）根据《财政部民政部中国残疾人联合会关于促进残疾人就业政府采购政策的通知》（财库〔2017〕141号）的规定，对符合条件的残疾人福利性单位设备的价格给予6%的扣除，用扣除后的价格参与评审。</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小型、微型企业和监狱企业级符合财政部、民政部、中国残疾人联合会关于促进残疾人就业政府采购政策的通知，以上政策同时具备的仅对其进行一次6%的价格扣除，不重复扣除。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90" w:hRule="atLeast"/>
          <w:jc w:val="center"/>
        </w:trPr>
        <w:tc>
          <w:tcPr>
            <w:tcW w:w="1106" w:type="dxa"/>
            <w:vMerge w:val="restart"/>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技术部分（56分）</w:t>
            </w: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26分</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实施方案</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（1）按所投产品规格描述是否详细，产品选型是否满足要求，整个产品配置是否合理，是否达到实用、先进、稳定、耐用的要求进行评审，根据其响应程度计1-6分。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（2）按所投产品布置、结构形式是否先进合理、易于维修、操作简便、功能体现直观、合理进行进行评审，根据其响应程度计1-5分。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（3）按所投产品是否有详细的电梯深化图纸，并提供彩页等情况进行评审，根据其响应程度计1-2分,不提供不得分。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（4）按备货、项目实施进度及保证措施是否科学、合理、完善进行评审，根据其响应程度计1-5分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（5）来源渠道：所投产品货源正规，确保无假货、水货、翻新货，无产权纠纷。提供货物来源渠道证明材料（得0-3分，不提供不得分）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（产品的合法来源渠道证明文件包括但不限于产品采购合同、进货单、购货发票、制造厂商授权、销售协议、代理协议、原厂授权等。）</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（6）按产品供货、安装、检测、调试等方面保证措施是否科学、合理、完善进行评审，根据其响应程度计1-5分。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974" w:hRule="atLeast"/>
          <w:jc w:val="center"/>
        </w:trPr>
        <w:tc>
          <w:tcPr>
            <w:tcW w:w="1106" w:type="dxa"/>
            <w:vMerge w:val="continue"/>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15分</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质量保证</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（1）按设备供应渠道正常、质量保证，各关键部件检验手续齐全有效，产品无产权纠纷情况进行评审，根据其响应程度计1-4分。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（2）按设备的质量标准、检测标准是否符合国家标准、测试手段是否先进，是否具有检测报告进行评审，根据其响应程度计1-4分。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（3）投标时提供曳引机型式实验报告（原厂原品牌），提供得3分，不提供不得分。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（4）所投产品通过VDI和ISＯ能效等级认证得4分，每有一项得2分，不提供，不得分。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90" w:hRule="atLeast"/>
          <w:jc w:val="center"/>
        </w:trPr>
        <w:tc>
          <w:tcPr>
            <w:tcW w:w="1106" w:type="dxa"/>
            <w:vMerge w:val="continue"/>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15分</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售后服务</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售后服务方案详细、具体、可行（包括供应商本地化售后服务网点的设定、拟投入本项目售后服务人员配置情况、年保养费用、项目交付用户后出现故障问题响应时间、针对突发事件有具体可行的应急措施和解决方案等），按其响应程度计0-8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（2）投标人在宝鸡市陇县售后服务机构的得2，未设有不得分。（以房产证明或办公场地租赁证明为准）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根据供应商提供的设备（产品）、关键零部件、安装辅材及备品备件等配备情况进行赋分。关键零部件、安装辅材及备品备件等配备齐全，供货渠道的证明材料齐全得（3-5分）；关键零部件、安装辅材及备品备件等配备基本齐全，供货渠道证明材料基本齐全得（0-3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jc w:val="both"/>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en-US" w:eastAsia="zh-CN"/>
              </w:rPr>
              <w:t>（证明材料包括但不限于购销合同、代理协议、厂家授权或代理授权等。）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1603" w:hRule="atLeast"/>
          <w:jc w:val="center"/>
        </w:trPr>
        <w:tc>
          <w:tcPr>
            <w:tcW w:w="1106" w:type="dxa"/>
            <w:vMerge w:val="restart"/>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商务</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部分</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（14分）</w:t>
            </w: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人员配置</w:t>
            </w:r>
          </w:p>
        </w:tc>
        <w:tc>
          <w:tcPr>
            <w:tcW w:w="5486"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人员配置：</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（1）拟派本项目项目负责人：具有机电相关专业职称，高级职称得3分，中级职称得1分；具有同类项目安装工作经历，每提供一份证明材料得1分，满分2分。（与公司业绩不重复计）；</w:t>
            </w:r>
          </w:p>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（2）其他人员：根据人员配置情况、结构组成合理性、拟投入现场的技术人员职称、从业资格情况横向比较综合评定，得0-5分；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23" w:hRule="atLeast"/>
          <w:jc w:val="center"/>
        </w:trPr>
        <w:tc>
          <w:tcPr>
            <w:tcW w:w="1106" w:type="dxa"/>
            <w:vMerge w:val="continue"/>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firstLine="480" w:firstLineChars="200"/>
              <w:rPr>
                <w:rFonts w:hint="eastAsia" w:ascii="宋体" w:hAnsi="宋体" w:eastAsia="宋体" w:cs="宋体"/>
                <w:color w:val="auto"/>
                <w:szCs w:val="24"/>
                <w:highlight w:val="none"/>
                <w:lang w:val="en-US" w:eastAsia="zh-CN"/>
              </w:rPr>
            </w:pPr>
          </w:p>
        </w:tc>
        <w:tc>
          <w:tcPr>
            <w:tcW w:w="857"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4分</w:t>
            </w:r>
          </w:p>
        </w:tc>
        <w:tc>
          <w:tcPr>
            <w:tcW w:w="898" w:type="dxa"/>
            <w:shd w:val="clear" w:color="auto" w:fill="FFFFFF" w:themeFill="background1"/>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项目业绩</w:t>
            </w:r>
          </w:p>
        </w:tc>
        <w:tc>
          <w:tcPr>
            <w:tcW w:w="5486" w:type="dxa"/>
            <w:shd w:val="clear" w:color="auto" w:fill="FFFFFF" w:themeFill="background1"/>
            <w:noWrap w:val="0"/>
            <w:vAlign w:val="center"/>
          </w:tcPr>
          <w:p>
            <w:pPr>
              <w:pStyle w:val="2"/>
              <w:keepNext w:val="0"/>
              <w:keepLines w:val="0"/>
              <w:pageBreakBefore w:val="0"/>
              <w:suppressLineNumbers w:val="0"/>
              <w:kinsoku/>
              <w:wordWrap/>
              <w:overflowPunct/>
              <w:topLinePunct w:val="0"/>
              <w:autoSpaceDE/>
              <w:autoSpaceDN/>
              <w:bidi w:val="0"/>
              <w:adjustRightInd/>
              <w:snapToGrid/>
              <w:spacing w:before="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提供投标人2019年6月至今（以合同签订日期为准）类似项目业绩，提供合同协议或中标（成交）通知书，每提供1个得1分，最高得4分。</w:t>
            </w:r>
          </w:p>
        </w:tc>
      </w:tr>
    </w:tbl>
    <w:p>
      <w:pPr>
        <w:rPr>
          <w:rFonts w:hint="eastAsia" w:ascii="宋体" w:hAnsi="宋体" w:eastAsia="宋体" w:cs="宋体"/>
          <w:b/>
          <w:bCs/>
          <w:color w:val="auto"/>
          <w:szCs w:val="24"/>
          <w:highlight w:val="none"/>
        </w:rPr>
      </w:pP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注：1）评委打分超过得分界限或未按本方法赋分时，该评委的打分按废</w:t>
      </w:r>
      <w:r>
        <w:rPr>
          <w:rFonts w:hint="eastAsia" w:ascii="宋体" w:hAnsi="宋体" w:eastAsia="宋体" w:cs="宋体"/>
          <w:color w:val="auto"/>
          <w:szCs w:val="24"/>
          <w:highlight w:val="none"/>
          <w:lang w:eastAsia="zh-CN"/>
        </w:rPr>
        <w:t>标</w:t>
      </w:r>
      <w:r>
        <w:rPr>
          <w:rFonts w:hint="eastAsia" w:ascii="宋体" w:hAnsi="宋体" w:eastAsia="宋体" w:cs="宋体"/>
          <w:color w:val="auto"/>
          <w:szCs w:val="24"/>
          <w:highlight w:val="none"/>
        </w:rPr>
        <w:t>处理。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各种计算数字均保留两位小数，第三位“四舍五入”。 </w:t>
      </w:r>
    </w:p>
    <w:p>
      <w:pPr>
        <w:pageBreakBefore w:val="0"/>
        <w:kinsoku/>
        <w:wordWrap/>
        <w:overflowPunct/>
        <w:topLinePunct w:val="0"/>
        <w:autoSpaceDE/>
        <w:autoSpaceDN/>
        <w:bidi w:val="0"/>
        <w:spacing w:line="365"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3）特殊情况处理</w:t>
      </w:r>
      <w:r>
        <w:rPr>
          <w:rFonts w:hint="eastAsia" w:ascii="宋体" w:hAnsi="宋体" w:eastAsia="宋体" w:cs="宋体"/>
          <w:color w:val="auto"/>
          <w:szCs w:val="24"/>
          <w:highlight w:val="none"/>
        </w:rPr>
        <w:t>：</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a、当投标人某评分项出现未报、漏报或零报价时，该分项得零分，并不参与投标报价分的计算。</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b、相同品牌产品</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非单一产品采购项目，多家投标人提供的核心产品品牌相同的，按照前款规定处理。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d、评标过程中，若出现本评标方法以外的特殊情况时，将暂停评标，待评委商榷后再进行复会。</w:t>
      </w:r>
    </w:p>
    <w:p>
      <w:pPr>
        <w:pageBreakBefore w:val="0"/>
        <w:kinsoku/>
        <w:wordWrap/>
        <w:overflowPunct/>
        <w:topLinePunct w:val="0"/>
        <w:autoSpaceDE/>
        <w:autoSpaceDN/>
        <w:bidi w:val="0"/>
        <w:spacing w:line="365" w:lineRule="auto"/>
        <w:ind w:firstLine="600" w:firstLineChars="24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3-7、政府采购政策评分标准</w:t>
      </w:r>
    </w:p>
    <w:p>
      <w:pPr>
        <w:pageBreakBefore w:val="0"/>
        <w:kinsoku/>
        <w:wordWrap/>
        <w:overflowPunct/>
        <w:topLinePunct w:val="0"/>
        <w:autoSpaceDE/>
        <w:autoSpaceDN/>
        <w:bidi w:val="0"/>
        <w:spacing w:line="365" w:lineRule="auto"/>
        <w:ind w:firstLine="597" w:firstLineChars="2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3-7-1、小微企业的价格评分标准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根据财政部《</w:t>
      </w:r>
      <w:r>
        <w:rPr>
          <w:rFonts w:hint="eastAsia" w:ascii="宋体" w:hAnsi="宋体" w:eastAsia="宋体" w:cs="宋体"/>
          <w:color w:val="auto"/>
          <w:sz w:val="24"/>
          <w:szCs w:val="24"/>
          <w:highlight w:val="none"/>
          <w:lang w:val="en-US" w:eastAsia="zh-CN"/>
        </w:rPr>
        <w:t>政府采购促进中小企业发展管理办法</w:t>
      </w:r>
      <w:r>
        <w:rPr>
          <w:rFonts w:hint="eastAsia" w:ascii="宋体" w:hAnsi="宋体" w:eastAsia="宋体" w:cs="宋体"/>
          <w:color w:val="auto"/>
          <w:sz w:val="24"/>
          <w:szCs w:val="24"/>
          <w:highlight w:val="none"/>
          <w:lang w:val="en-US" w:eastAsia="en-US"/>
        </w:rPr>
        <w:t>》(财库(2020)46号)规定，符合条件的中小企业，享受政府采购扶持政策。</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 享受政府采购扶持政策的中小企业，应当符合以下条件：</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①符合中小企业划分标准（中小企业划分标准是指国务院有关部门根据企业从业人员、营业收入、资产总额等指标制定的中小企业划型标准（工信部联企业〔2011〕300号））。</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②需提供《中小企业声明函》的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，未提供或提供有瑕疵的，在评审时不享受政府采购优惠政策。</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所投产品均是中小微企业制造的，其产品报价给予 6％的扣除，用扣除后的价格参与评审。</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3-7-2、监狱企业的价格评分标准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根据财库[2014]68 号《财政部司法部关于政府采购支持监狱企业发展有关问题的通知》规定，符合条件的监狱企业，享受政府采购扶持政策。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投标产品是监狱企业制造的，其产品报价给予一定比例的扣除，其产品报价给予 6％的扣除，用扣除后的价格参与报价计算，如同时属于小型、微型企业的，其享受的价格不重复计算。</w:t>
      </w:r>
    </w:p>
    <w:p>
      <w:pPr>
        <w:pageBreakBefore w:val="0"/>
        <w:kinsoku/>
        <w:wordWrap/>
        <w:overflowPunct/>
        <w:topLinePunct w:val="0"/>
        <w:autoSpaceDE/>
        <w:autoSpaceDN/>
        <w:bidi w:val="0"/>
        <w:spacing w:line="365"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3-7-3、残疾人福利性单位的价格评分标准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投标产品是残疾人福利性单位的，其产品报价给予一定比例的扣除，其产品报价给予 6％的扣除，用扣除后的价格参与投标报价计算。残疾人福利性单位同时属于小型、微型企业的，其享受的价格优惠不重复计算。</w:t>
      </w:r>
    </w:p>
    <w:p>
      <w:pPr>
        <w:pageBreakBefore w:val="0"/>
        <w:kinsoku/>
        <w:wordWrap/>
        <w:overflowPunct/>
        <w:topLinePunct w:val="0"/>
        <w:autoSpaceDE/>
        <w:autoSpaceDN/>
        <w:bidi w:val="0"/>
        <w:spacing w:line="365" w:lineRule="auto"/>
        <w:ind w:firstLine="597" w:firstLineChars="2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3-7-4、节能产品、环境标志产品政策</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”的品目为政府强制采购的节能产品，其他品目为政府优先采购的节能产品。</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ageBreakBefore w:val="0"/>
        <w:kinsoku/>
        <w:wordWrap/>
        <w:overflowPunct/>
        <w:topLinePunct w:val="0"/>
        <w:autoSpaceDE/>
        <w:autoSpaceDN/>
        <w:bidi w:val="0"/>
        <w:spacing w:line="365"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w:t>
      </w:r>
      <w:r>
        <w:rPr>
          <w:rFonts w:hint="eastAsia" w:ascii="宋体" w:hAnsi="宋体" w:eastAsia="宋体" w:cs="宋体"/>
          <w:b/>
          <w:bCs/>
          <w:color w:val="auto"/>
          <w:szCs w:val="24"/>
          <w:highlight w:val="none"/>
        </w:rPr>
        <w:t>定标</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4-1、定标程序</w:t>
      </w:r>
    </w:p>
    <w:p>
      <w:pPr>
        <w:pageBreakBefore w:val="0"/>
        <w:numPr>
          <w:ilvl w:val="0"/>
          <w:numId w:val="3"/>
        </w:numPr>
        <w:kinsoku/>
        <w:wordWrap/>
        <w:overflowPunct/>
        <w:topLinePunct w:val="0"/>
        <w:autoSpaceDE/>
        <w:autoSpaceDN/>
        <w:bidi w:val="0"/>
        <w:spacing w:line="365"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评标委员会依据评标办法，经过符合性审查、澄清、比较与评价等程序后，在最大限度满足招标文件实质性要求前提下进行综合评审，以评标总得分</w:t>
      </w:r>
      <w:r>
        <w:rPr>
          <w:rFonts w:hint="eastAsia" w:ascii="宋体" w:hAnsi="宋体" w:eastAsia="宋体" w:cs="宋体"/>
          <w:color w:val="auto"/>
          <w:szCs w:val="24"/>
          <w:highlight w:val="none"/>
          <w:lang w:eastAsia="zh-CN"/>
        </w:rPr>
        <w:t>由</w:t>
      </w:r>
      <w:r>
        <w:rPr>
          <w:rFonts w:hint="eastAsia" w:ascii="宋体" w:hAnsi="宋体" w:eastAsia="宋体" w:cs="宋体"/>
          <w:color w:val="auto"/>
          <w:szCs w:val="24"/>
          <w:highlight w:val="none"/>
        </w:rPr>
        <w:t>高到低的顺序推荐3名以上中标候选人，并编写</w:t>
      </w:r>
      <w:bookmarkStart w:id="76" w:name="OLE_LINK4"/>
      <w:r>
        <w:rPr>
          <w:rFonts w:hint="eastAsia" w:ascii="宋体" w:hAnsi="宋体" w:eastAsia="宋体" w:cs="宋体"/>
          <w:color w:val="auto"/>
          <w:szCs w:val="24"/>
          <w:highlight w:val="none"/>
        </w:rPr>
        <w:t>评标</w:t>
      </w:r>
      <w:bookmarkEnd w:id="76"/>
      <w:r>
        <w:rPr>
          <w:rFonts w:hint="eastAsia" w:ascii="宋体" w:hAnsi="宋体" w:eastAsia="宋体" w:cs="宋体"/>
          <w:color w:val="auto"/>
          <w:szCs w:val="24"/>
          <w:highlight w:val="none"/>
        </w:rPr>
        <w:t>报告。</w:t>
      </w:r>
      <w:r>
        <w:rPr>
          <w:rFonts w:hint="eastAsia" w:ascii="宋体" w:hAnsi="宋体" w:eastAsia="宋体" w:cs="宋体"/>
          <w:color w:val="auto"/>
          <w:kern w:val="0"/>
          <w:szCs w:val="24"/>
          <w:highlight w:val="none"/>
        </w:rPr>
        <w:t>　</w:t>
      </w:r>
    </w:p>
    <w:p>
      <w:pPr>
        <w:pageBreakBefore w:val="0"/>
        <w:numPr>
          <w:ilvl w:val="0"/>
          <w:numId w:val="3"/>
        </w:numPr>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bookmarkStart w:id="77" w:name="OLE_LINK18"/>
      <w:r>
        <w:rPr>
          <w:rFonts w:hint="eastAsia" w:ascii="宋体" w:hAnsi="宋体" w:eastAsia="宋体" w:cs="宋体"/>
          <w:color w:val="auto"/>
          <w:szCs w:val="24"/>
          <w:highlight w:val="none"/>
        </w:rPr>
        <w:t>评标委员会成员应当在评标报告上签字，对自己的评审意见承担法律责任。</w:t>
      </w: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77"/>
    <w:p>
      <w:pPr>
        <w:pageBreakBefore w:val="0"/>
        <w:numPr>
          <w:ilvl w:val="0"/>
          <w:numId w:val="3"/>
        </w:numPr>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采购代理机构应当自评审结束之日起2个工作日内将评标报告送交采购人。采购人在收到评审报告5个工作日内，从评审报告推荐的中标候选人中，按</w:t>
      </w:r>
      <w:r>
        <w:rPr>
          <w:rFonts w:hint="eastAsia" w:ascii="宋体" w:hAnsi="宋体" w:eastAsia="宋体" w:cs="宋体"/>
          <w:color w:val="auto"/>
          <w:szCs w:val="24"/>
          <w:highlight w:val="none"/>
          <w:lang w:eastAsia="zh-CN"/>
        </w:rPr>
        <w:t>由</w:t>
      </w:r>
      <w:r>
        <w:rPr>
          <w:rFonts w:hint="eastAsia" w:ascii="宋体" w:hAnsi="宋体" w:eastAsia="宋体" w:cs="宋体"/>
          <w:color w:val="auto"/>
          <w:szCs w:val="24"/>
          <w:highlight w:val="none"/>
        </w:rPr>
        <w:t>高到低</w:t>
      </w:r>
      <w:r>
        <w:rPr>
          <w:rFonts w:hint="eastAsia" w:ascii="宋体" w:hAnsi="宋体" w:eastAsia="宋体" w:cs="宋体"/>
          <w:color w:val="auto"/>
          <w:szCs w:val="24"/>
          <w:highlight w:val="none"/>
          <w:lang w:eastAsia="zh-CN"/>
        </w:rPr>
        <w:t>的</w:t>
      </w:r>
      <w:r>
        <w:rPr>
          <w:rFonts w:hint="eastAsia" w:ascii="宋体" w:hAnsi="宋体" w:eastAsia="宋体" w:cs="宋体"/>
          <w:color w:val="auto"/>
          <w:szCs w:val="24"/>
          <w:highlight w:val="none"/>
        </w:rPr>
        <w:t>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pageBreakBefore w:val="0"/>
        <w:numPr>
          <w:ilvl w:val="0"/>
          <w:numId w:val="3"/>
        </w:numPr>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pageBreakBefore w:val="0"/>
        <w:kinsoku/>
        <w:wordWrap/>
        <w:overflowPunct/>
        <w:topLinePunct w:val="0"/>
        <w:autoSpaceDE/>
        <w:autoSpaceDN/>
        <w:bidi w:val="0"/>
        <w:spacing w:line="365" w:lineRule="auto"/>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、中标人确定后，采购人和采购代理机构对未中标原因不作任何解释，投标文件不予退还。</w:t>
      </w:r>
    </w:p>
    <w:p>
      <w:pPr>
        <w:pageBreakBefore w:val="0"/>
        <w:kinsoku/>
        <w:wordWrap/>
        <w:overflowPunct/>
        <w:topLinePunct w:val="0"/>
        <w:autoSpaceDE/>
        <w:autoSpaceDN/>
        <w:bidi w:val="0"/>
        <w:adjustRightInd w:val="0"/>
        <w:snapToGrid w:val="0"/>
        <w:spacing w:line="365" w:lineRule="auto"/>
        <w:ind w:firstLine="482" w:firstLineChars="200"/>
        <w:rPr>
          <w:rFonts w:hint="eastAsia" w:ascii="宋体" w:hAnsi="宋体" w:eastAsia="宋体" w:cs="宋体"/>
          <w:color w:val="auto"/>
          <w:szCs w:val="24"/>
          <w:highlight w:val="none"/>
        </w:rPr>
      </w:pPr>
      <w:bookmarkStart w:id="78" w:name="_Toc458617738"/>
      <w:bookmarkStart w:id="79" w:name="_Toc458617461"/>
      <w:r>
        <w:rPr>
          <w:rFonts w:hint="eastAsia" w:ascii="宋体" w:hAnsi="宋体" w:eastAsia="宋体" w:cs="宋体"/>
          <w:b/>
          <w:color w:val="auto"/>
          <w:szCs w:val="24"/>
          <w:highlight w:val="none"/>
        </w:rPr>
        <w:t>5、</w:t>
      </w:r>
      <w:r>
        <w:rPr>
          <w:rFonts w:hint="eastAsia" w:ascii="宋体" w:hAnsi="宋体" w:eastAsia="宋体" w:cs="宋体"/>
          <w:b/>
          <w:color w:val="auto"/>
          <w:szCs w:val="24"/>
          <w:highlight w:val="none"/>
          <w:u w:val="none" w:color="auto"/>
        </w:rPr>
        <w:t>投标无效的情形：</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5-1、未按照招标文件的规定提交投标保证金的；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5-2、投标文件未按招标文件要求签署、盖章的；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5-3、不具备招标文件中规定的资格要求的；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5-4、报价超过招标文件中规定的预算金额或者最高限价的；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5-5、投标文件含有采购人不能接受的附加条件的；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5-6、</w:t>
      </w:r>
      <w:r>
        <w:rPr>
          <w:rFonts w:hint="eastAsia" w:ascii="宋体" w:hAnsi="宋体" w:eastAsia="宋体" w:cs="宋体"/>
          <w:color w:val="auto"/>
          <w:kern w:val="0"/>
          <w:szCs w:val="24"/>
          <w:highlight w:val="none"/>
        </w:rPr>
        <w:t>提供虚假材料谋取中标的；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5-7、采取不正当手段诋毁、排挤其他投标人的；</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5-8、</w:t>
      </w:r>
      <w:r>
        <w:rPr>
          <w:rFonts w:hint="eastAsia" w:ascii="宋体" w:hAnsi="宋体" w:eastAsia="宋体" w:cs="宋体"/>
          <w:color w:val="auto"/>
          <w:szCs w:val="24"/>
          <w:highlight w:val="none"/>
        </w:rPr>
        <w:t>法律、法规和招标文件规定的其他无效情形。</w:t>
      </w:r>
    </w:p>
    <w:p>
      <w:pPr>
        <w:pageBreakBefore w:val="0"/>
        <w:kinsoku/>
        <w:wordWrap/>
        <w:overflowPunct/>
        <w:topLinePunct w:val="0"/>
        <w:autoSpaceDE/>
        <w:autoSpaceDN/>
        <w:bidi w:val="0"/>
        <w:spacing w:line="365" w:lineRule="auto"/>
        <w:ind w:firstLine="472" w:firstLineChars="196"/>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6、中标通知</w:t>
      </w:r>
      <w:bookmarkEnd w:id="78"/>
      <w:bookmarkEnd w:id="79"/>
      <w:r>
        <w:rPr>
          <w:rFonts w:hint="eastAsia" w:ascii="宋体" w:hAnsi="宋体" w:eastAsia="宋体" w:cs="宋体"/>
          <w:b/>
          <w:color w:val="auto"/>
          <w:szCs w:val="24"/>
          <w:highlight w:val="none"/>
        </w:rPr>
        <w:t>书</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6-1、中标通知书及未中标通知书将在中标公告发布的同时由采购代理机构发出。</w:t>
      </w:r>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6-2、中标人应在接到采购代理机构通知之日起七日内领取中标通知书。</w:t>
      </w:r>
      <w:r>
        <w:rPr>
          <w:rFonts w:hint="eastAsia" w:ascii="宋体" w:hAnsi="宋体" w:eastAsia="宋体" w:cs="宋体"/>
          <w:b/>
          <w:bCs/>
          <w:color w:val="auto"/>
          <w:szCs w:val="24"/>
          <w:highlight w:val="none"/>
        </w:rPr>
        <w:t>未在规定时间内领取中标通知书的，投标保证金不予退还。</w:t>
      </w:r>
      <w:r>
        <w:rPr>
          <w:rFonts w:hint="eastAsia" w:ascii="宋体" w:hAnsi="宋体" w:eastAsia="宋体" w:cs="宋体"/>
          <w:color w:val="auto"/>
          <w:szCs w:val="24"/>
          <w:highlight w:val="none"/>
        </w:rPr>
        <w:t>提供投标担保的投标人将由专业担保机构先行偿付采购人损失。</w:t>
      </w:r>
      <w:bookmarkStart w:id="80" w:name="_Toc458617462"/>
      <w:bookmarkStart w:id="81" w:name="_Toc458617739"/>
      <w:bookmarkStart w:id="82" w:name="_Toc458617790"/>
    </w:p>
    <w:p>
      <w:pPr>
        <w:pageBreakBefore w:val="0"/>
        <w:kinsoku/>
        <w:wordWrap/>
        <w:overflowPunct/>
        <w:topLinePunct w:val="0"/>
        <w:autoSpaceDE/>
        <w:autoSpaceDN/>
        <w:bidi w:val="0"/>
        <w:adjustRightInd w:val="0"/>
        <w:snapToGrid w:val="0"/>
        <w:spacing w:line="365"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kern w:val="0"/>
          <w:szCs w:val="24"/>
          <w:highlight w:val="none"/>
        </w:rPr>
        <w:t>中标通知书发出后，采购人不得违法改变中标结果，中标人无正当理由不得弃中标。</w:t>
      </w:r>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rPr>
      </w:pPr>
      <w:bookmarkStart w:id="83" w:name="_Toc17675"/>
      <w:bookmarkStart w:id="84" w:name="_Toc24214"/>
      <w:bookmarkStart w:id="85" w:name="_Toc12212"/>
      <w:r>
        <w:rPr>
          <w:rFonts w:hint="eastAsia" w:ascii="宋体" w:hAnsi="宋体" w:eastAsia="宋体" w:cs="宋体"/>
          <w:color w:val="auto"/>
          <w:kern w:val="0"/>
          <w:sz w:val="28"/>
          <w:szCs w:val="28"/>
          <w:highlight w:val="none"/>
          <w:lang w:eastAsia="zh-CN"/>
        </w:rPr>
        <w:t>八</w:t>
      </w:r>
      <w:r>
        <w:rPr>
          <w:rFonts w:hint="eastAsia" w:ascii="宋体" w:hAnsi="宋体" w:eastAsia="宋体" w:cs="宋体"/>
          <w:color w:val="auto"/>
          <w:kern w:val="0"/>
          <w:sz w:val="28"/>
          <w:szCs w:val="28"/>
          <w:highlight w:val="none"/>
        </w:rPr>
        <w:t>、合同</w:t>
      </w:r>
      <w:bookmarkEnd w:id="80"/>
      <w:bookmarkEnd w:id="81"/>
      <w:bookmarkEnd w:id="82"/>
      <w:bookmarkEnd w:id="83"/>
      <w:bookmarkEnd w:id="84"/>
      <w:bookmarkEnd w:id="85"/>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1、中标人在收到中标通知书后三十（30）个日历日内，应按招标文件的要求与采购人签订合同。</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宋体" w:hAnsi="宋体" w:eastAsia="宋体" w:cs="宋体"/>
          <w:color w:val="auto"/>
          <w:highlight w:val="none"/>
        </w:rPr>
        <w:t>同时，采购人可以按照评审报告推荐的中标候选人名单排序，确定下一候选人为中标人，</w:t>
      </w:r>
      <w:r>
        <w:rPr>
          <w:rFonts w:hint="eastAsia" w:ascii="宋体" w:hAnsi="宋体" w:eastAsia="宋体" w:cs="宋体"/>
          <w:color w:val="auto"/>
          <w:szCs w:val="24"/>
          <w:highlight w:val="none"/>
        </w:rPr>
        <w:t>以此类推，</w:t>
      </w:r>
      <w:r>
        <w:rPr>
          <w:rFonts w:hint="eastAsia" w:ascii="宋体" w:hAnsi="宋体" w:eastAsia="宋体" w:cs="宋体"/>
          <w:color w:val="auto"/>
          <w:highlight w:val="none"/>
        </w:rPr>
        <w:t>也可以重新开展政府采购活动。</w:t>
      </w:r>
      <w:r>
        <w:rPr>
          <w:rFonts w:hint="eastAsia" w:ascii="宋体" w:hAnsi="宋体" w:eastAsia="宋体" w:cs="宋体"/>
          <w:color w:val="auto"/>
          <w:szCs w:val="24"/>
          <w:highlight w:val="none"/>
        </w:rPr>
        <w:t>因自身原因拒绝签订政府采购合同的或者未按合同约定进行履约的，中标人不得参加对该项目重新开展的招标活动。</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3、中标通知书将是合同的重要组成部分。招标文件、中标人的投标文件及评议过程中有关的澄清文件均作为合同附件。</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w:t>
      </w:r>
      <w:r>
        <w:rPr>
          <w:rFonts w:hint="eastAsia" w:ascii="宋体" w:hAnsi="宋体" w:eastAsia="宋体" w:cs="宋体"/>
          <w:color w:val="auto"/>
          <w:szCs w:val="24"/>
          <w:highlight w:val="none"/>
          <w:lang w:val="en-US" w:eastAsia="zh-CN"/>
        </w:rPr>
        <w:t>连带</w:t>
      </w:r>
      <w:r>
        <w:rPr>
          <w:rFonts w:hint="eastAsia" w:ascii="宋体" w:hAnsi="宋体" w:eastAsia="宋体" w:cs="宋体"/>
          <w:color w:val="auto"/>
          <w:szCs w:val="24"/>
          <w:highlight w:val="none"/>
        </w:rPr>
        <w:t>责任。中小企业根据《</w:t>
      </w:r>
      <w:r>
        <w:rPr>
          <w:rFonts w:hint="eastAsia" w:ascii="宋体" w:hAnsi="宋体" w:eastAsia="宋体" w:cs="宋体"/>
          <w:color w:val="auto"/>
          <w:szCs w:val="24"/>
          <w:highlight w:val="none"/>
          <w:lang w:eastAsia="zh-CN"/>
        </w:rPr>
        <w:t>政府采购促进中小企业发展管理办法</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财库( 2020 ) 46 号</w:t>
      </w:r>
      <w:r>
        <w:rPr>
          <w:rFonts w:hint="eastAsia" w:ascii="宋体" w:hAnsi="宋体" w:eastAsia="宋体" w:cs="宋体"/>
          <w:color w:val="auto"/>
          <w:szCs w:val="24"/>
          <w:highlight w:val="none"/>
        </w:rPr>
        <w:t>）规定的政策获取政府采购合同后，小型、微型企业不得分包或转包给大型、中型企业，中型企业不得分包或转包给大型企业。</w:t>
      </w:r>
    </w:p>
    <w:p>
      <w:pPr>
        <w:pageBreakBefore w:val="0"/>
        <w:kinsoku/>
        <w:wordWrap/>
        <w:overflowPunct/>
        <w:topLinePunct w:val="0"/>
        <w:autoSpaceDE/>
        <w:autoSpaceDN/>
        <w:bidi w:val="0"/>
        <w:spacing w:line="365" w:lineRule="auto"/>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5、所签订的合同不得对招标文件确定的事项和中标人投标文件作实质性修改。</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86" w:name="_Toc458617740"/>
      <w:bookmarkStart w:id="87" w:name="_Toc458617463"/>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rPr>
      </w:pPr>
      <w:bookmarkStart w:id="88" w:name="_Toc11888"/>
      <w:bookmarkStart w:id="89" w:name="_Toc13252"/>
      <w:bookmarkStart w:id="90" w:name="_Toc6572"/>
      <w:r>
        <w:rPr>
          <w:rFonts w:hint="eastAsia" w:ascii="宋体" w:hAnsi="宋体" w:eastAsia="宋体" w:cs="宋体"/>
          <w:color w:val="auto"/>
          <w:kern w:val="0"/>
          <w:sz w:val="28"/>
          <w:szCs w:val="28"/>
          <w:highlight w:val="none"/>
          <w:lang w:eastAsia="zh-CN"/>
        </w:rPr>
        <w:t>九</w:t>
      </w:r>
      <w:r>
        <w:rPr>
          <w:rFonts w:hint="eastAsia" w:ascii="宋体" w:hAnsi="宋体" w:eastAsia="宋体" w:cs="宋体"/>
          <w:color w:val="auto"/>
          <w:kern w:val="0"/>
          <w:sz w:val="28"/>
          <w:szCs w:val="28"/>
          <w:highlight w:val="none"/>
        </w:rPr>
        <w:t>、合同的履约验收</w:t>
      </w:r>
      <w:bookmarkEnd w:id="88"/>
      <w:bookmarkEnd w:id="89"/>
      <w:bookmarkEnd w:id="90"/>
    </w:p>
    <w:p>
      <w:pPr>
        <w:pageBreakBefore w:val="0"/>
        <w:kinsoku/>
        <w:wordWrap/>
        <w:overflowPunct/>
        <w:topLinePunct w:val="0"/>
        <w:autoSpaceDE/>
        <w:autoSpaceDN/>
        <w:bidi w:val="0"/>
        <w:spacing w:line="365"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采购人应按照政府采购合同约定的技术、服务、安全标准组织对投标人每一项技术、服务、安全标准的履约情况进行验收，并出具验收书。</w:t>
      </w:r>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rPr>
      </w:pPr>
      <w:bookmarkStart w:id="91" w:name="_Toc21232"/>
      <w:bookmarkStart w:id="92" w:name="_Toc10336"/>
      <w:bookmarkStart w:id="93" w:name="_Toc2904"/>
      <w:r>
        <w:rPr>
          <w:rFonts w:hint="eastAsia" w:ascii="宋体" w:hAnsi="宋体" w:eastAsia="宋体" w:cs="宋体"/>
          <w:color w:val="auto"/>
          <w:kern w:val="0"/>
          <w:sz w:val="28"/>
          <w:szCs w:val="28"/>
          <w:highlight w:val="none"/>
        </w:rPr>
        <w:t>十、招标服务费</w:t>
      </w:r>
      <w:bookmarkEnd w:id="86"/>
      <w:bookmarkEnd w:id="87"/>
      <w:bookmarkEnd w:id="91"/>
      <w:bookmarkEnd w:id="92"/>
      <w:bookmarkEnd w:id="93"/>
    </w:p>
    <w:p>
      <w:pPr>
        <w:widowControl/>
        <w:spacing w:line="360" w:lineRule="auto"/>
        <w:ind w:firstLine="482" w:firstLineChars="201"/>
        <w:rPr>
          <w:rFonts w:hint="eastAsia" w:ascii="宋体" w:hAnsi="宋体" w:eastAsia="宋体" w:cs="宋体"/>
          <w:color w:val="auto"/>
          <w:sz w:val="24"/>
          <w:szCs w:val="24"/>
          <w:highlight w:val="none"/>
        </w:rPr>
      </w:pPr>
      <w:bookmarkStart w:id="94" w:name="_Toc20000"/>
      <w:bookmarkStart w:id="95" w:name="_Toc458617465"/>
      <w:bookmarkStart w:id="96" w:name="_Toc45861774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本项目代理费为本项目预算金额的1.0%，由成交单位在成交结果公示期满后七日内一次性向采购代理机构缴纳</w:t>
      </w:r>
      <w:r>
        <w:rPr>
          <w:rFonts w:hint="eastAsia" w:ascii="宋体" w:hAnsi="宋体" w:eastAsia="宋体" w:cs="宋体"/>
          <w:color w:val="auto"/>
          <w:sz w:val="24"/>
          <w:szCs w:val="24"/>
          <w:highlight w:val="none"/>
        </w:rPr>
        <w:t>，采购人不再单独列项支付。</w:t>
      </w:r>
    </w:p>
    <w:p>
      <w:pPr>
        <w:pageBreakBefore w:val="0"/>
        <w:numPr>
          <w:ilvl w:val="0"/>
          <w:numId w:val="0"/>
        </w:numPr>
        <w:kinsoku/>
        <w:wordWrap/>
        <w:overflowPunct/>
        <w:topLinePunct w:val="0"/>
        <w:autoSpaceDE/>
        <w:autoSpaceDN/>
        <w:bidi w:val="0"/>
        <w:spacing w:line="365" w:lineRule="auto"/>
        <w:ind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本项目专家评审费在本项目成交结果公示期满后七日内,由</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单位一次性向采购代理机构缴纳，本项目采购预算中已包含该项费用，采购人不再单独列项支付。</w:t>
      </w:r>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lang w:eastAsia="zh-CN"/>
        </w:rPr>
      </w:pPr>
      <w:bookmarkStart w:id="97" w:name="_Toc3537"/>
      <w:bookmarkStart w:id="98" w:name="_Toc32088"/>
      <w:bookmarkStart w:id="99" w:name="_Toc20796"/>
      <w:r>
        <w:rPr>
          <w:rFonts w:hint="eastAsia" w:ascii="宋体" w:hAnsi="宋体" w:eastAsia="宋体" w:cs="宋体"/>
          <w:color w:val="auto"/>
          <w:kern w:val="0"/>
          <w:sz w:val="28"/>
          <w:szCs w:val="28"/>
          <w:highlight w:val="none"/>
          <w:lang w:eastAsia="zh-CN"/>
        </w:rPr>
        <w:t>十</w:t>
      </w:r>
      <w:r>
        <w:rPr>
          <w:rFonts w:hint="eastAsia" w:ascii="宋体" w:hAnsi="宋体" w:eastAsia="宋体" w:cs="宋体"/>
          <w:color w:val="auto"/>
          <w:kern w:val="0"/>
          <w:sz w:val="28"/>
          <w:szCs w:val="28"/>
          <w:highlight w:val="none"/>
        </w:rPr>
        <w:t>一</w:t>
      </w:r>
      <w:r>
        <w:rPr>
          <w:rFonts w:hint="eastAsia" w:ascii="宋体" w:hAnsi="宋体" w:eastAsia="宋体" w:cs="宋体"/>
          <w:color w:val="auto"/>
          <w:kern w:val="0"/>
          <w:sz w:val="28"/>
          <w:szCs w:val="28"/>
          <w:highlight w:val="none"/>
          <w:lang w:eastAsia="zh-CN"/>
        </w:rPr>
        <w:t>、重新组织采购活动</w:t>
      </w:r>
      <w:bookmarkEnd w:id="94"/>
      <w:bookmarkEnd w:id="97"/>
      <w:bookmarkEnd w:id="98"/>
      <w:bookmarkEnd w:id="99"/>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如果发生下列情况之一，采购人和采购代理机构将按《政府采购法》、《政府采购货物和服务招标投标管理办法》（财政部第87号）等有关规定重新组织采购活动：</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（1）因重大变故，采购任务取消的；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（2）招标文件存在不合理条款或者招标程序不符合规定的；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（3）出现影响采购公正的违法、违规行为的；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（4）投标截止后投标人不足3家或者通过资格审查或符合性审查的投标人不足3家的；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（5）所有投标人的报价均超出采购预算或最高限价，采购人不能支付的。</w:t>
      </w:r>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rPr>
      </w:pPr>
      <w:bookmarkStart w:id="100" w:name="_Toc25543"/>
      <w:bookmarkStart w:id="101" w:name="_Toc1654"/>
      <w:bookmarkStart w:id="102" w:name="_Toc17598"/>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eastAsia="zh-CN"/>
        </w:rPr>
        <w:t>二</w:t>
      </w:r>
      <w:r>
        <w:rPr>
          <w:rFonts w:hint="eastAsia" w:ascii="宋体" w:hAnsi="宋体" w:eastAsia="宋体" w:cs="宋体"/>
          <w:color w:val="auto"/>
          <w:kern w:val="0"/>
          <w:sz w:val="28"/>
          <w:szCs w:val="28"/>
          <w:highlight w:val="none"/>
        </w:rPr>
        <w:t>、</w:t>
      </w:r>
      <w:bookmarkEnd w:id="95"/>
      <w:bookmarkEnd w:id="96"/>
      <w:bookmarkStart w:id="103" w:name="_Toc458617743"/>
      <w:bookmarkStart w:id="104" w:name="_Toc458617466"/>
      <w:r>
        <w:rPr>
          <w:rFonts w:hint="eastAsia" w:ascii="宋体" w:hAnsi="宋体" w:eastAsia="宋体" w:cs="宋体"/>
          <w:color w:val="auto"/>
          <w:kern w:val="0"/>
          <w:sz w:val="28"/>
          <w:szCs w:val="28"/>
          <w:highlight w:val="none"/>
        </w:rPr>
        <w:t>询问、质疑与投诉</w:t>
      </w:r>
      <w:bookmarkEnd w:id="100"/>
      <w:bookmarkEnd w:id="101"/>
      <w:bookmarkEnd w:id="102"/>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1.询问</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投标单位对政府采购活动事项有疑问的，可以向</w:t>
      </w:r>
      <w:r>
        <w:rPr>
          <w:rFonts w:hint="eastAsia" w:ascii="宋体" w:hAnsi="宋体" w:eastAsia="宋体" w:cs="宋体"/>
          <w:color w:val="auto"/>
          <w:sz w:val="24"/>
          <w:szCs w:val="22"/>
          <w:highlight w:val="none"/>
          <w:lang w:eastAsia="zh-CN"/>
        </w:rPr>
        <w:t>采购</w:t>
      </w:r>
      <w:r>
        <w:rPr>
          <w:rFonts w:hint="eastAsia" w:ascii="宋体" w:hAnsi="宋体" w:eastAsia="宋体" w:cs="宋体"/>
          <w:color w:val="auto"/>
          <w:sz w:val="24"/>
          <w:szCs w:val="22"/>
          <w:highlight w:val="none"/>
        </w:rPr>
        <w:t>代理机构或采购人提出询问。</w:t>
      </w:r>
      <w:r>
        <w:rPr>
          <w:rFonts w:hint="eastAsia" w:ascii="宋体" w:hAnsi="宋体" w:eastAsia="宋体" w:cs="宋体"/>
          <w:color w:val="auto"/>
          <w:sz w:val="24"/>
          <w:szCs w:val="22"/>
          <w:highlight w:val="none"/>
          <w:lang w:eastAsia="zh-CN"/>
        </w:rPr>
        <w:t>采购</w:t>
      </w:r>
      <w:r>
        <w:rPr>
          <w:rFonts w:hint="eastAsia" w:ascii="宋体" w:hAnsi="宋体" w:eastAsia="宋体" w:cs="宋体"/>
          <w:color w:val="auto"/>
          <w:sz w:val="24"/>
          <w:szCs w:val="22"/>
          <w:highlight w:val="none"/>
        </w:rPr>
        <w:t>代理机构或采购人将在3个工作日内对投标单位依法提出的询问作出答复。</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投标单位提出的询问超出采购人对</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代理机构委托授权范围的，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代理机构将告知投标单位向采购人提出。</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2.质疑和投诉</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投标单位认为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、招标过程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中标结果使自身的合法权益受到损害，可以在</w:t>
      </w:r>
      <w:r>
        <w:rPr>
          <w:rFonts w:hint="eastAsia" w:ascii="宋体" w:hAnsi="宋体" w:eastAsia="宋体" w:cs="宋体"/>
          <w:color w:val="auto"/>
          <w:sz w:val="24"/>
          <w:szCs w:val="24"/>
          <w:highlight w:val="none"/>
          <w:lang w:eastAsia="zh-CN"/>
        </w:rPr>
        <w:t>知道或者应当知道其自身权益收到损害之日起七个工作日</w:t>
      </w:r>
      <w:r>
        <w:rPr>
          <w:rFonts w:hint="eastAsia" w:ascii="宋体" w:hAnsi="宋体" w:eastAsia="宋体" w:cs="宋体"/>
          <w:color w:val="auto"/>
          <w:sz w:val="24"/>
          <w:szCs w:val="24"/>
          <w:highlight w:val="none"/>
        </w:rPr>
        <w:t>，以书面形式（纸质版加盖公章）向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代理机构或采购人提出质疑。</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2.1、质疑书应当包括以下主要内容：被质疑项目名称、项目编号、标段、招标公告/中标公告发布时间、质疑事项、证据材料、法律依据（具体条款）、质疑人有效联系方式等。</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3.有下列情形之一的，属于无效质疑，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代理机构和采购人不予受理：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（1）质疑人不是参与本次政府采购项目的投标单位或潜在投标单位；</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（4）质疑未以书面形式提出，或质疑书主要内容构成不完整的；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（5）质疑书没有合法有效的签字、盖章或授权的；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（8）不符合法律、法规、规章和监管机构规定的其他条件的。</w:t>
      </w:r>
    </w:p>
    <w:bookmarkEnd w:id="103"/>
    <w:bookmarkEnd w:id="104"/>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代理机构或采购人将在收到书面质疑后7个工作日内做出答复，并以书面形式通知质疑人和其他有关投标单位。</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5、质疑人对</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代理机构或采购人的答复不满意，以及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代理机构或采购人未在规定时间内做出答复的，可以在答复期满后15个工作日内按照《政府采购质疑和投诉办法》（财政部94号令）相关规定向政府采购监管机构提出投诉。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投诉的事项不得超出已质疑事项的范围。</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6、对捏造事实、提供虚假材料进行质疑、投诉的行为予以严肃处理：</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7、对捏造事实诬告陷害他人、诽谤他人的法律适用：</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pPr>
        <w:pStyle w:val="4"/>
        <w:pageBreakBefore w:val="0"/>
        <w:kinsoku/>
        <w:wordWrap/>
        <w:overflowPunct/>
        <w:topLinePunct w:val="0"/>
        <w:autoSpaceDE/>
        <w:autoSpaceDN/>
        <w:bidi w:val="0"/>
        <w:spacing w:before="0" w:after="0" w:line="365" w:lineRule="auto"/>
        <w:rPr>
          <w:rFonts w:hint="eastAsia" w:ascii="宋体" w:hAnsi="宋体" w:eastAsia="宋体" w:cs="宋体"/>
          <w:color w:val="auto"/>
          <w:kern w:val="0"/>
          <w:sz w:val="28"/>
          <w:szCs w:val="28"/>
          <w:highlight w:val="none"/>
        </w:rPr>
      </w:pPr>
      <w:bookmarkStart w:id="105" w:name="_Toc8369"/>
      <w:bookmarkStart w:id="106" w:name="_Toc12725"/>
      <w:bookmarkStart w:id="107" w:name="_Toc1852"/>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eastAsia="zh-CN"/>
        </w:rPr>
        <w:t>三</w:t>
      </w:r>
      <w:r>
        <w:rPr>
          <w:rFonts w:hint="eastAsia" w:ascii="宋体" w:hAnsi="宋体" w:eastAsia="宋体" w:cs="宋体"/>
          <w:color w:val="auto"/>
          <w:kern w:val="0"/>
          <w:sz w:val="28"/>
          <w:szCs w:val="28"/>
          <w:highlight w:val="none"/>
        </w:rPr>
        <w:t>、拒绝商业贿赂</w:t>
      </w:r>
      <w:bookmarkEnd w:id="105"/>
      <w:bookmarkEnd w:id="106"/>
      <w:bookmarkEnd w:id="107"/>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spacing w:line="365" w:lineRule="auto"/>
        <w:ind w:firstLine="480" w:firstLineChars="200"/>
        <w:rPr>
          <w:rFonts w:hint="eastAsia" w:ascii="宋体" w:hAnsi="宋体" w:eastAsia="宋体" w:cs="宋体"/>
          <w:color w:val="auto"/>
          <w:szCs w:val="24"/>
          <w:highlight w:val="none"/>
        </w:rPr>
        <w:sectPr>
          <w:headerReference r:id="rId9" w:type="first"/>
          <w:footerReference r:id="rId11" w:type="first"/>
          <w:headerReference r:id="rId8" w:type="default"/>
          <w:footerReference r:id="rId10" w:type="default"/>
          <w:pgSz w:w="11907" w:h="16840"/>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rPr>
        <w:t>2、投标人必须填写《拒绝政府采购领域商业贿赂承诺书》并附在投标文件中。</w:t>
      </w:r>
    </w:p>
    <w:p>
      <w:pPr>
        <w:pStyle w:val="3"/>
        <w:numPr>
          <w:ilvl w:val="0"/>
          <w:numId w:val="0"/>
        </w:numPr>
        <w:shd w:val="clear"/>
        <w:spacing w:before="0" w:after="0" w:line="360" w:lineRule="auto"/>
        <w:ind w:leftChars="0"/>
        <w:jc w:val="center"/>
        <w:rPr>
          <w:rFonts w:hint="eastAsia" w:ascii="宋体" w:hAnsi="宋体" w:eastAsia="宋体" w:cs="宋体"/>
          <w:b/>
          <w:bCs/>
          <w:color w:val="auto"/>
          <w:sz w:val="28"/>
          <w:szCs w:val="28"/>
          <w:highlight w:val="none"/>
          <w:lang w:val="en-US" w:eastAsia="zh-CN"/>
        </w:rPr>
      </w:pPr>
      <w:bookmarkStart w:id="108" w:name="_Toc33"/>
      <w:bookmarkStart w:id="109" w:name="_Toc26815"/>
      <w:r>
        <w:rPr>
          <w:rFonts w:hint="eastAsia" w:ascii="宋体" w:hAnsi="宋体" w:eastAsia="宋体" w:cs="宋体"/>
          <w:b/>
          <w:bCs/>
          <w:color w:val="auto"/>
          <w:kern w:val="0"/>
          <w:highlight w:val="none"/>
          <w:lang w:eastAsia="zh-CN"/>
        </w:rPr>
        <w:t>第三章</w:t>
      </w:r>
      <w:r>
        <w:rPr>
          <w:rFonts w:hint="eastAsia" w:ascii="宋体" w:hAnsi="宋体" w:eastAsia="宋体" w:cs="宋体"/>
          <w:b/>
          <w:bCs/>
          <w:color w:val="auto"/>
          <w:kern w:val="0"/>
          <w:highlight w:val="none"/>
          <w:lang w:val="en-US" w:eastAsia="zh-CN"/>
        </w:rPr>
        <w:t xml:space="preserve"> </w:t>
      </w:r>
      <w:r>
        <w:rPr>
          <w:rFonts w:hint="eastAsia" w:ascii="宋体" w:hAnsi="宋体" w:eastAsia="宋体" w:cs="宋体"/>
          <w:b/>
          <w:bCs/>
          <w:color w:val="auto"/>
          <w:kern w:val="0"/>
          <w:highlight w:val="none"/>
        </w:rPr>
        <w:t>采购内</w:t>
      </w:r>
      <w:r>
        <w:rPr>
          <w:rFonts w:hint="eastAsia" w:ascii="宋体" w:hAnsi="宋体" w:eastAsia="宋体" w:cs="宋体"/>
          <w:b/>
          <w:bCs/>
          <w:color w:val="auto"/>
          <w:kern w:val="0"/>
          <w:highlight w:val="none"/>
          <w:shd w:val="clear" w:fill="FFFFFF" w:themeFill="background1"/>
        </w:rPr>
        <w:t>容</w:t>
      </w:r>
      <w:r>
        <w:rPr>
          <w:rFonts w:hint="eastAsia" w:ascii="宋体" w:hAnsi="宋体" w:eastAsia="宋体" w:cs="宋体"/>
          <w:b/>
          <w:bCs/>
          <w:color w:val="auto"/>
          <w:kern w:val="0"/>
          <w:highlight w:val="none"/>
          <w:shd w:val="clear" w:fill="FFFFFF" w:themeFill="background1"/>
          <w:lang w:eastAsia="zh-CN"/>
        </w:rPr>
        <w:t>及技术要求</w:t>
      </w:r>
      <w:bookmarkEnd w:id="108"/>
      <w:bookmarkEnd w:id="109"/>
    </w:p>
    <w:p>
      <w:pPr>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关于对特困供养对象生活用房2号楼、3号楼加装外挂式医用电梯项目采购清单及技术要求</w:t>
      </w:r>
    </w:p>
    <w:p>
      <w:pPr>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（一）安装部分采购清单1</w:t>
      </w:r>
    </w:p>
    <w:tbl>
      <w:tblPr>
        <w:tblStyle w:val="2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6"/>
        <w:gridCol w:w="5079"/>
        <w:gridCol w:w="65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5"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1.原场地地面破除</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2.电梯基础完成地面修补</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3.拆除建筑物，修补拆除</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4.垃圾清理、外运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挖基础土方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1.基础类型:设备基础</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2.挖土深度:3m内</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3.弃土运距:余土外运1km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素土回填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1.土质要求:素土（人工）</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3:7灰土回填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1.土质要求:3:7灰土（人工）</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砖基础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1.砖品种、规格、强度等级:实心砖</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2.砂浆强度等级:M10水泥砂浆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实心砖墙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1.砖品种、规格、强度等级:实心砖</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2.墙体厚度:240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3.砂浆强度等级、配合比:M10水泥砂浆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筏板基础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1.C30商品混凝土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1.C15商品混凝土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直形墙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1.墙厚度:200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2.C30商品混凝土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散水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1.60厚C15混凝土撒1:1水泥砂子,压实赶光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2.150厚3:7灰土垫层,宽出面层300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3.具体做法详见陕09j01-散3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混凝土坡道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1.30厚1:2水泥砂浆抹面,做出60mm宽6mm深锯齿(齿朝上坡)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2.水泥浆结合层一道(内掺建筑胶)</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3.100厚C15混凝土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4.300厚3:7灰土垫层分两层夯实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现浇混凝土钢筋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1.圆钢ф10以内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现浇混凝土钢筋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1.螺纹钢Φ10以上(含Φ10)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钢梁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1.钢材品种、规格:Q235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钢柱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1.钢材品种、规格:Q235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压型钢板楼板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1.钢材品种、规格:YXB-200-600-0.8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2.C30混凝土浇筑板，平台及翻沿</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3.配Φ8@200双层双向钢筋网片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钢支撑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1.钢材品种、规格:Q235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钢平台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1.钢材品种、规格:Q235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1.钢材品种、规格:Q235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预埋铁件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1.预埋钢构件</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2.地脚螺栓，化学锚栓等安装</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3.除锈、刷漆，详见图纸设计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涂膜防水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1.地体基坑涂膜防水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1.墙体类型:砖墙</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2.面层厚度、砂浆配合比:外砖墙20mm厚水泥砂浆墙面</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3.装饰面材料种类:刮腻子，刷外墙涂料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1.墙体类型:砖墙</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2.砖基础外砖墙20mm厚水泥防水砂浆墙面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全玻幕墙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1.钢化玻璃幕墙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全玻雨棚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1.成品钢化玻雨棚（含型钢支架）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r>
    </w:tbl>
    <w:p>
      <w:pPr>
        <w:pageBreakBefore w:val="0"/>
        <w:kinsoku/>
        <w:wordWrap/>
        <w:overflowPunct/>
        <w:topLinePunct w:val="0"/>
        <w:autoSpaceDE/>
        <w:autoSpaceDN/>
        <w:bidi w:val="0"/>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电梯部分采购清单2</w:t>
      </w:r>
    </w:p>
    <w:tbl>
      <w:tblPr>
        <w:tblStyle w:val="2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341"/>
        <w:gridCol w:w="3558"/>
        <w:gridCol w:w="1263"/>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货物名称</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规格型号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单位</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有机房</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医用电梯</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1.梯号：</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2.型号：</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3.速度：1.0m/s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4.载重量1600kg</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r>
    </w:tbl>
    <w:p>
      <w:pPr>
        <w:pStyle w:val="2"/>
        <w:shd w:val="clear" w:fill="FFFFFF" w:themeFill="background1"/>
        <w:rPr>
          <w:rFonts w:hint="eastAsia" w:ascii="宋体" w:hAnsi="宋体" w:eastAsia="宋体" w:cs="宋体"/>
          <w:highlight w:val="none"/>
        </w:rPr>
      </w:pPr>
    </w:p>
    <w:p>
      <w:pPr>
        <w:shd w:val="clea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（二）技术参数</w:t>
      </w:r>
    </w:p>
    <w:p>
      <w:pPr>
        <w:pStyle w:val="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井道参数：</w:t>
      </w:r>
    </w:p>
    <w:p>
      <w:pPr>
        <w:pStyle w:val="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井道尺寸（宽×深）：2500mm*2900mm  底坑：1500mm  顶层高度4450mm</w:t>
      </w:r>
    </w:p>
    <w:p>
      <w:pPr>
        <w:pStyle w:val="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提升高度6900mm  ；</w:t>
      </w:r>
    </w:p>
    <w:p>
      <w:pPr>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采购台数：2台。</w:t>
      </w:r>
    </w:p>
    <w:p>
      <w:pPr>
        <w:shd w:val="clear"/>
        <w:rPr>
          <w:rFonts w:hint="eastAsia" w:ascii="宋体" w:hAnsi="宋体" w:eastAsia="宋体" w:cs="宋体"/>
          <w:color w:val="auto"/>
          <w:kern w:val="2"/>
          <w:sz w:val="24"/>
          <w:szCs w:val="24"/>
          <w:highlight w:val="none"/>
          <w:lang w:val="en-US" w:eastAsia="zh-CN" w:bidi="ar-SA"/>
        </w:rPr>
      </w:pPr>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0" w:name="_Toc30871"/>
      <w:r>
        <w:rPr>
          <w:rFonts w:hint="eastAsia" w:ascii="宋体" w:hAnsi="宋体" w:eastAsia="宋体" w:cs="宋体"/>
          <w:color w:val="auto"/>
          <w:kern w:val="2"/>
          <w:sz w:val="24"/>
          <w:szCs w:val="24"/>
          <w:highlight w:val="none"/>
          <w:lang w:val="en-US" w:eastAsia="zh-CN" w:bidi="ar-SA"/>
        </w:rPr>
        <w:t>1、电梯类型：有机房医用电梯</w:t>
      </w:r>
      <w:bookmarkEnd w:id="110"/>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1" w:name="_Toc10103"/>
      <w:r>
        <w:rPr>
          <w:rFonts w:hint="eastAsia" w:ascii="宋体" w:hAnsi="宋体" w:eastAsia="宋体" w:cs="宋体"/>
          <w:color w:val="auto"/>
          <w:kern w:val="2"/>
          <w:sz w:val="24"/>
          <w:szCs w:val="24"/>
          <w:highlight w:val="none"/>
          <w:lang w:val="en-US" w:eastAsia="zh-CN" w:bidi="ar-SA"/>
        </w:rPr>
        <w:t>2、电梯载重：1600kg  层站：3/3/4  速度：1.0m/s  一楼贯通</w:t>
      </w:r>
      <w:bookmarkEnd w:id="111"/>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2" w:name="_Toc18370"/>
      <w:r>
        <w:rPr>
          <w:rFonts w:hint="eastAsia" w:ascii="宋体" w:hAnsi="宋体" w:eastAsia="宋体" w:cs="宋体"/>
          <w:color w:val="auto"/>
          <w:kern w:val="2"/>
          <w:sz w:val="24"/>
          <w:szCs w:val="24"/>
          <w:highlight w:val="none"/>
          <w:lang w:val="en-US" w:eastAsia="zh-CN" w:bidi="ar-SA"/>
        </w:rPr>
        <w:t>3、开门方式：轿厢净尺寸（宽×深×高）：1400mm×2400mm×2600mm（净高）；开门净尺寸（宽×高）：中分：1100mm×2100mm；</w:t>
      </w:r>
      <w:bookmarkEnd w:id="112"/>
      <w:r>
        <w:rPr>
          <w:rFonts w:hint="eastAsia" w:ascii="宋体" w:hAnsi="宋体" w:eastAsia="宋体" w:cs="宋体"/>
          <w:color w:val="auto"/>
          <w:kern w:val="2"/>
          <w:sz w:val="24"/>
          <w:szCs w:val="24"/>
          <w:highlight w:val="none"/>
          <w:lang w:val="en-US" w:eastAsia="zh-CN" w:bidi="ar-SA"/>
        </w:rPr>
        <w:t xml:space="preserve"> </w:t>
      </w:r>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3" w:name="_Toc16143"/>
      <w:r>
        <w:rPr>
          <w:rFonts w:hint="eastAsia" w:ascii="宋体" w:hAnsi="宋体" w:eastAsia="宋体" w:cs="宋体"/>
          <w:color w:val="auto"/>
          <w:kern w:val="2"/>
          <w:sz w:val="24"/>
          <w:szCs w:val="24"/>
          <w:highlight w:val="none"/>
          <w:lang w:val="en-US" w:eastAsia="zh-CN" w:bidi="ar-SA"/>
        </w:rPr>
        <w:t>4、控制及驱动方式：VVVF32位电脑变频变压调速技术。曳引机：永磁同步无齿轮曳引机（原厂原品牌）。</w:t>
      </w:r>
      <w:bookmarkEnd w:id="113"/>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4" w:name="_Toc29642"/>
      <w:r>
        <w:rPr>
          <w:rFonts w:hint="eastAsia" w:ascii="宋体" w:hAnsi="宋体" w:eastAsia="宋体" w:cs="宋体"/>
          <w:color w:val="auto"/>
          <w:kern w:val="2"/>
          <w:sz w:val="24"/>
          <w:szCs w:val="24"/>
          <w:highlight w:val="none"/>
          <w:lang w:val="en-US" w:eastAsia="zh-CN" w:bidi="ar-SA"/>
        </w:rPr>
        <w:t>5、门机系统：全数字化门机控制系统；</w:t>
      </w:r>
      <w:bookmarkEnd w:id="114"/>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5" w:name="_Toc23584"/>
      <w:r>
        <w:rPr>
          <w:rFonts w:hint="eastAsia" w:ascii="宋体" w:hAnsi="宋体" w:eastAsia="宋体" w:cs="宋体"/>
          <w:color w:val="auto"/>
          <w:kern w:val="2"/>
          <w:sz w:val="24"/>
          <w:szCs w:val="24"/>
          <w:highlight w:val="none"/>
          <w:lang w:val="en-US" w:eastAsia="zh-CN" w:bidi="ar-SA"/>
        </w:rPr>
        <w:t>6、限速器、安全钳原厂原品牌；</w:t>
      </w:r>
      <w:bookmarkEnd w:id="115"/>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6" w:name="_Toc19513"/>
      <w:r>
        <w:rPr>
          <w:rFonts w:hint="eastAsia" w:ascii="宋体" w:hAnsi="宋体" w:eastAsia="宋体" w:cs="宋体"/>
          <w:color w:val="auto"/>
          <w:kern w:val="2"/>
          <w:sz w:val="24"/>
          <w:szCs w:val="24"/>
          <w:highlight w:val="none"/>
          <w:lang w:val="en-US" w:eastAsia="zh-CN" w:bidi="ar-SA"/>
        </w:rPr>
        <w:t>7、显示召唤（轿厢、外呼）：黑底白底白色段码数字显示；</w:t>
      </w:r>
      <w:bookmarkEnd w:id="116"/>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7" w:name="_Toc2705"/>
      <w:r>
        <w:rPr>
          <w:rFonts w:hint="eastAsia" w:ascii="宋体" w:hAnsi="宋体" w:eastAsia="宋体" w:cs="宋体"/>
          <w:color w:val="auto"/>
          <w:kern w:val="2"/>
          <w:sz w:val="24"/>
          <w:szCs w:val="24"/>
          <w:highlight w:val="none"/>
          <w:lang w:val="en-US" w:eastAsia="zh-CN" w:bidi="ar-SA"/>
        </w:rPr>
        <w:t>8、轿厢门、层站门：304发纹不锈钢。</w:t>
      </w:r>
      <w:bookmarkEnd w:id="117"/>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8" w:name="_Toc17872"/>
      <w:r>
        <w:rPr>
          <w:rFonts w:hint="eastAsia" w:ascii="宋体" w:hAnsi="宋体" w:eastAsia="宋体" w:cs="宋体"/>
          <w:color w:val="auto"/>
          <w:kern w:val="2"/>
          <w:sz w:val="24"/>
          <w:szCs w:val="24"/>
          <w:highlight w:val="none"/>
          <w:lang w:val="en-US" w:eastAsia="zh-CN" w:bidi="ar-SA"/>
        </w:rPr>
        <w:t>9、轿厢：304发纹不锈钢两侧带扁平发纹不锈钢扶手；</w:t>
      </w:r>
      <w:bookmarkEnd w:id="118"/>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19" w:name="_Toc2733"/>
      <w:r>
        <w:rPr>
          <w:rFonts w:hint="eastAsia" w:ascii="宋体" w:hAnsi="宋体" w:eastAsia="宋体" w:cs="宋体"/>
          <w:color w:val="auto"/>
          <w:kern w:val="2"/>
          <w:sz w:val="24"/>
          <w:szCs w:val="24"/>
          <w:highlight w:val="none"/>
          <w:lang w:val="en-US" w:eastAsia="zh-CN" w:bidi="ar-SA"/>
        </w:rPr>
        <w:t>10、门套：304发纹不锈钢小门套。</w:t>
      </w:r>
      <w:bookmarkEnd w:id="119"/>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0" w:name="_Toc3066"/>
      <w:r>
        <w:rPr>
          <w:rFonts w:hint="eastAsia" w:ascii="宋体" w:hAnsi="宋体" w:eastAsia="宋体" w:cs="宋体"/>
          <w:color w:val="auto"/>
          <w:kern w:val="2"/>
          <w:sz w:val="24"/>
          <w:szCs w:val="24"/>
          <w:highlight w:val="none"/>
          <w:lang w:val="en-US" w:eastAsia="zh-CN" w:bidi="ar-SA"/>
        </w:rPr>
        <w:t>11、轿内操纵箱：白色段码显示，发纹不锈钢面板；</w:t>
      </w:r>
      <w:bookmarkEnd w:id="120"/>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1" w:name="_Toc15703"/>
      <w:r>
        <w:rPr>
          <w:rFonts w:hint="eastAsia" w:ascii="宋体" w:hAnsi="宋体" w:eastAsia="宋体" w:cs="宋体"/>
          <w:color w:val="auto"/>
          <w:kern w:val="2"/>
          <w:sz w:val="24"/>
          <w:szCs w:val="24"/>
          <w:highlight w:val="none"/>
          <w:lang w:val="en-US" w:eastAsia="zh-CN" w:bidi="ar-SA"/>
        </w:rPr>
        <w:t>12、配残疾人操纵盘。</w:t>
      </w:r>
      <w:bookmarkEnd w:id="121"/>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2" w:name="_Toc23208"/>
      <w:r>
        <w:rPr>
          <w:rFonts w:hint="eastAsia" w:ascii="宋体" w:hAnsi="宋体" w:eastAsia="宋体" w:cs="宋体"/>
          <w:color w:val="auto"/>
          <w:kern w:val="2"/>
          <w:sz w:val="24"/>
          <w:szCs w:val="24"/>
          <w:highlight w:val="none"/>
          <w:lang w:val="en-US" w:eastAsia="zh-CN" w:bidi="ar-SA"/>
        </w:rPr>
        <w:t>13、轿顶：LED照明。</w:t>
      </w:r>
      <w:bookmarkEnd w:id="122"/>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3" w:name="_Toc15084"/>
      <w:r>
        <w:rPr>
          <w:rFonts w:hint="eastAsia" w:ascii="宋体" w:hAnsi="宋体" w:eastAsia="宋体" w:cs="宋体"/>
          <w:color w:val="auto"/>
          <w:kern w:val="2"/>
          <w:sz w:val="24"/>
          <w:szCs w:val="24"/>
          <w:highlight w:val="none"/>
          <w:lang w:val="en-US" w:eastAsia="zh-CN" w:bidi="ar-SA"/>
        </w:rPr>
        <w:t>14、地板：PVC石塑耐磨地坪。</w:t>
      </w:r>
      <w:bookmarkEnd w:id="123"/>
      <w:r>
        <w:rPr>
          <w:rFonts w:hint="eastAsia" w:ascii="宋体" w:hAnsi="宋体" w:eastAsia="宋体" w:cs="宋体"/>
          <w:color w:val="auto"/>
          <w:kern w:val="2"/>
          <w:sz w:val="24"/>
          <w:szCs w:val="24"/>
          <w:highlight w:val="none"/>
          <w:lang w:val="en-US" w:eastAsia="zh-CN" w:bidi="ar-SA"/>
        </w:rPr>
        <w:t xml:space="preserve"> </w:t>
      </w:r>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4" w:name="_Toc19499"/>
      <w:r>
        <w:rPr>
          <w:rFonts w:hint="eastAsia" w:ascii="宋体" w:hAnsi="宋体" w:eastAsia="宋体" w:cs="宋体"/>
          <w:color w:val="auto"/>
          <w:kern w:val="2"/>
          <w:sz w:val="24"/>
          <w:szCs w:val="24"/>
          <w:highlight w:val="none"/>
          <w:lang w:val="en-US" w:eastAsia="zh-CN" w:bidi="ar-SA"/>
        </w:rPr>
        <w:t>15、五方通话：有线五方通话，接通至值班台。</w:t>
      </w:r>
      <w:bookmarkEnd w:id="124"/>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sectPr>
          <w:headerReference r:id="rId12" w:type="default"/>
          <w:footerReference r:id="rId13" w:type="default"/>
          <w:pgSz w:w="11905" w:h="16838"/>
          <w:pgMar w:top="1417" w:right="1134" w:bottom="1417" w:left="1304" w:header="935" w:footer="1020" w:gutter="567"/>
          <w:pgBorders>
            <w:top w:val="none" w:sz="0" w:space="0"/>
            <w:left w:val="none" w:sz="0" w:space="0"/>
            <w:bottom w:val="none" w:sz="0" w:space="0"/>
            <w:right w:val="none" w:sz="0" w:space="0"/>
          </w:pgBorders>
          <w:pgNumType w:fmt="decimal"/>
          <w:cols w:space="0" w:num="1"/>
          <w:titlePg/>
          <w:rtlGutter w:val="0"/>
          <w:docGrid w:linePitch="312" w:charSpace="0"/>
        </w:sectPr>
      </w:pPr>
    </w:p>
    <w:p>
      <w:pPr>
        <w:shd w:val="clear"/>
        <w:spacing w:line="360" w:lineRule="auto"/>
        <w:jc w:val="center"/>
        <w:outlineLvl w:val="2"/>
        <w:rPr>
          <w:rFonts w:hint="eastAsia" w:ascii="宋体" w:hAnsi="宋体" w:eastAsia="宋体" w:cs="宋体"/>
          <w:b/>
          <w:bCs/>
          <w:color w:val="auto"/>
          <w:kern w:val="2"/>
          <w:sz w:val="24"/>
          <w:szCs w:val="24"/>
          <w:highlight w:val="none"/>
          <w:lang w:val="en-US" w:eastAsia="zh-CN" w:bidi="ar-SA"/>
        </w:rPr>
      </w:pPr>
      <w:bookmarkStart w:id="125" w:name="_Toc12861"/>
      <w:r>
        <w:rPr>
          <w:rFonts w:hint="eastAsia" w:ascii="宋体" w:hAnsi="宋体" w:eastAsia="宋体" w:cs="宋体"/>
          <w:b/>
          <w:bCs/>
          <w:color w:val="auto"/>
          <w:kern w:val="2"/>
          <w:sz w:val="24"/>
          <w:szCs w:val="24"/>
          <w:highlight w:val="none"/>
          <w:lang w:val="en-US" w:eastAsia="zh-CN" w:bidi="ar-SA"/>
        </w:rPr>
        <w:t>（三）电梯功能要求</w:t>
      </w:r>
      <w:bookmarkEnd w:id="125"/>
    </w:p>
    <w:p>
      <w:pPr>
        <w:shd w:val="clear"/>
        <w:spacing w:line="360" w:lineRule="auto"/>
        <w:jc w:val="left"/>
        <w:outlineLvl w:val="2"/>
        <w:rPr>
          <w:rFonts w:hint="eastAsia" w:ascii="宋体" w:hAnsi="宋体" w:eastAsia="宋体" w:cs="宋体"/>
          <w:color w:val="auto"/>
          <w:kern w:val="2"/>
          <w:sz w:val="24"/>
          <w:szCs w:val="24"/>
          <w:highlight w:val="none"/>
          <w:lang w:val="en-US" w:eastAsia="zh-CN" w:bidi="ar-SA"/>
        </w:rPr>
      </w:pPr>
      <w:bookmarkStart w:id="126" w:name="_Toc25291"/>
      <w:r>
        <w:rPr>
          <w:rFonts w:hint="eastAsia" w:ascii="宋体" w:hAnsi="宋体" w:eastAsia="宋体" w:cs="宋体"/>
          <w:color w:val="auto"/>
          <w:kern w:val="2"/>
          <w:sz w:val="24"/>
          <w:szCs w:val="24"/>
          <w:highlight w:val="none"/>
          <w:lang w:val="en-US" w:eastAsia="zh-CN" w:bidi="ar-SA"/>
        </w:rPr>
        <w:t>本次采购电梯需满足（不限于）以下功能要求：</w:t>
      </w:r>
      <w:bookmarkEnd w:id="126"/>
    </w:p>
    <w:tbl>
      <w:tblPr>
        <w:tblStyle w:val="2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27" w:name="_Toc22593"/>
            <w:r>
              <w:rPr>
                <w:rFonts w:hint="eastAsia" w:ascii="宋体" w:hAnsi="宋体" w:eastAsia="宋体" w:cs="宋体"/>
                <w:color w:val="auto"/>
                <w:kern w:val="2"/>
                <w:sz w:val="24"/>
                <w:szCs w:val="24"/>
                <w:highlight w:val="none"/>
                <w:lang w:val="en-US" w:eastAsia="zh-CN" w:bidi="ar-SA"/>
              </w:rPr>
              <w:t>1.集选控制</w:t>
            </w:r>
            <w:bookmarkEnd w:id="127"/>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28" w:name="_Toc5164"/>
            <w:r>
              <w:rPr>
                <w:rFonts w:hint="eastAsia" w:ascii="宋体" w:hAnsi="宋体" w:eastAsia="宋体" w:cs="宋体"/>
                <w:color w:val="auto"/>
                <w:kern w:val="2"/>
                <w:sz w:val="24"/>
                <w:szCs w:val="24"/>
                <w:highlight w:val="none"/>
                <w:lang w:val="en-US" w:eastAsia="zh-CN" w:bidi="ar-SA"/>
              </w:rPr>
              <w:t>2.司机控制</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29" w:name="_Toc13938"/>
            <w:r>
              <w:rPr>
                <w:rFonts w:hint="eastAsia" w:ascii="宋体" w:hAnsi="宋体" w:eastAsia="宋体" w:cs="宋体"/>
                <w:color w:val="auto"/>
                <w:kern w:val="2"/>
                <w:sz w:val="24"/>
                <w:szCs w:val="24"/>
                <w:highlight w:val="none"/>
                <w:lang w:val="en-US" w:eastAsia="zh-CN" w:bidi="ar-SA"/>
              </w:rPr>
              <w:t>3.满载直驶</w:t>
            </w:r>
            <w:bookmarkEnd w:id="129"/>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0" w:name="_Toc3263"/>
            <w:r>
              <w:rPr>
                <w:rFonts w:hint="eastAsia" w:ascii="宋体" w:hAnsi="宋体" w:eastAsia="宋体" w:cs="宋体"/>
                <w:color w:val="auto"/>
                <w:kern w:val="2"/>
                <w:sz w:val="24"/>
                <w:szCs w:val="24"/>
                <w:highlight w:val="none"/>
                <w:lang w:val="en-US" w:eastAsia="zh-CN" w:bidi="ar-SA"/>
              </w:rPr>
              <w:t>4.本层厅外开门</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1" w:name="_Toc21742"/>
            <w:r>
              <w:rPr>
                <w:rFonts w:hint="eastAsia" w:ascii="宋体" w:hAnsi="宋体" w:eastAsia="宋体" w:cs="宋体"/>
                <w:color w:val="auto"/>
                <w:kern w:val="2"/>
                <w:sz w:val="24"/>
                <w:szCs w:val="24"/>
                <w:highlight w:val="none"/>
                <w:lang w:val="en-US" w:eastAsia="zh-CN" w:bidi="ar-SA"/>
              </w:rPr>
              <w:t>5.厅门、轿门时间分别控制</w:t>
            </w:r>
            <w:bookmarkEnd w:id="131"/>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2" w:name="_Toc21453"/>
            <w:r>
              <w:rPr>
                <w:rFonts w:hint="eastAsia" w:ascii="宋体" w:hAnsi="宋体" w:eastAsia="宋体" w:cs="宋体"/>
                <w:color w:val="auto"/>
                <w:kern w:val="2"/>
                <w:sz w:val="24"/>
                <w:szCs w:val="24"/>
                <w:highlight w:val="none"/>
                <w:lang w:val="en-US" w:eastAsia="zh-CN" w:bidi="ar-SA"/>
              </w:rPr>
              <w:t>6.层高自动测定</w:t>
            </w:r>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3" w:name="_Toc26329"/>
            <w:r>
              <w:rPr>
                <w:rFonts w:hint="eastAsia" w:ascii="宋体" w:hAnsi="宋体" w:eastAsia="宋体" w:cs="宋体"/>
                <w:color w:val="auto"/>
                <w:kern w:val="2"/>
                <w:sz w:val="24"/>
                <w:szCs w:val="24"/>
                <w:highlight w:val="none"/>
                <w:lang w:val="en-US" w:eastAsia="zh-CN" w:bidi="ar-SA"/>
              </w:rPr>
              <w:t>7.轿内误指令消除</w:t>
            </w:r>
            <w:bookmarkEnd w:id="133"/>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4" w:name="_Toc31977"/>
            <w:r>
              <w:rPr>
                <w:rFonts w:hint="eastAsia" w:ascii="宋体" w:hAnsi="宋体" w:eastAsia="宋体" w:cs="宋体"/>
                <w:color w:val="auto"/>
                <w:kern w:val="2"/>
                <w:sz w:val="24"/>
                <w:szCs w:val="24"/>
                <w:highlight w:val="none"/>
                <w:lang w:val="en-US" w:eastAsia="zh-CN" w:bidi="ar-SA"/>
              </w:rPr>
              <w:t>8.直接停靠</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5" w:name="_Toc4753"/>
            <w:r>
              <w:rPr>
                <w:rFonts w:hint="eastAsia" w:ascii="宋体" w:hAnsi="宋体" w:eastAsia="宋体" w:cs="宋体"/>
                <w:color w:val="auto"/>
                <w:kern w:val="2"/>
                <w:sz w:val="24"/>
                <w:szCs w:val="24"/>
                <w:highlight w:val="none"/>
                <w:lang w:val="en-US" w:eastAsia="zh-CN" w:bidi="ar-SA"/>
              </w:rPr>
              <w:t>9.超载保护</w:t>
            </w:r>
            <w:bookmarkEnd w:id="135"/>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6" w:name="_Toc14783"/>
            <w:r>
              <w:rPr>
                <w:rFonts w:hint="eastAsia" w:ascii="宋体" w:hAnsi="宋体" w:eastAsia="宋体" w:cs="宋体"/>
                <w:color w:val="auto"/>
                <w:kern w:val="2"/>
                <w:sz w:val="24"/>
                <w:szCs w:val="24"/>
                <w:highlight w:val="none"/>
                <w:lang w:val="en-US" w:eastAsia="zh-CN" w:bidi="ar-SA"/>
              </w:rPr>
              <w:t>10.超载报警</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7" w:name="_Toc31919"/>
            <w:r>
              <w:rPr>
                <w:rFonts w:hint="eastAsia" w:ascii="宋体" w:hAnsi="宋体" w:eastAsia="宋体" w:cs="宋体"/>
                <w:color w:val="auto"/>
                <w:kern w:val="2"/>
                <w:sz w:val="24"/>
                <w:szCs w:val="24"/>
                <w:highlight w:val="none"/>
                <w:lang w:val="en-US" w:eastAsia="zh-CN" w:bidi="ar-SA"/>
              </w:rPr>
              <w:t>11.光幕保护</w:t>
            </w:r>
            <w:bookmarkEnd w:id="137"/>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8" w:name="_Toc30627"/>
            <w:r>
              <w:rPr>
                <w:rFonts w:hint="eastAsia" w:ascii="宋体" w:hAnsi="宋体" w:eastAsia="宋体" w:cs="宋体"/>
                <w:color w:val="auto"/>
                <w:kern w:val="2"/>
                <w:sz w:val="24"/>
                <w:szCs w:val="24"/>
                <w:highlight w:val="none"/>
                <w:lang w:val="en-US" w:eastAsia="zh-CN" w:bidi="ar-SA"/>
              </w:rPr>
              <w:t>12.运行时间保护</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39" w:name="_Toc13294"/>
            <w:r>
              <w:rPr>
                <w:rFonts w:hint="eastAsia" w:ascii="宋体" w:hAnsi="宋体" w:eastAsia="宋体" w:cs="宋体"/>
                <w:color w:val="auto"/>
                <w:kern w:val="2"/>
                <w:sz w:val="24"/>
                <w:szCs w:val="24"/>
                <w:highlight w:val="none"/>
                <w:lang w:val="en-US" w:eastAsia="zh-CN" w:bidi="ar-SA"/>
              </w:rPr>
              <w:t>13.关门受阻保护</w:t>
            </w:r>
            <w:bookmarkEnd w:id="139"/>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0" w:name="_Toc20041"/>
            <w:r>
              <w:rPr>
                <w:rFonts w:hint="eastAsia" w:ascii="宋体" w:hAnsi="宋体" w:eastAsia="宋体" w:cs="宋体"/>
                <w:color w:val="auto"/>
                <w:kern w:val="2"/>
                <w:sz w:val="24"/>
                <w:szCs w:val="24"/>
                <w:highlight w:val="none"/>
                <w:lang w:val="en-US" w:eastAsia="zh-CN" w:bidi="ar-SA"/>
              </w:rPr>
              <w:t>14.位置异常自动校正</w:t>
            </w:r>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1" w:name="_Toc19823"/>
            <w:r>
              <w:rPr>
                <w:rFonts w:hint="eastAsia" w:ascii="宋体" w:hAnsi="宋体" w:eastAsia="宋体" w:cs="宋体"/>
                <w:color w:val="auto"/>
                <w:kern w:val="2"/>
                <w:sz w:val="24"/>
                <w:szCs w:val="24"/>
                <w:highlight w:val="none"/>
                <w:lang w:val="en-US" w:eastAsia="zh-CN" w:bidi="ar-SA"/>
              </w:rPr>
              <w:t>15.故障自动检测和存储</w:t>
            </w:r>
            <w:bookmarkEnd w:id="141"/>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2" w:name="_Toc29070"/>
            <w:r>
              <w:rPr>
                <w:rFonts w:hint="eastAsia" w:ascii="宋体" w:hAnsi="宋体" w:eastAsia="宋体" w:cs="宋体"/>
                <w:color w:val="auto"/>
                <w:kern w:val="2"/>
                <w:sz w:val="24"/>
                <w:szCs w:val="24"/>
                <w:highlight w:val="none"/>
                <w:lang w:val="en-US" w:eastAsia="zh-CN" w:bidi="ar-SA"/>
              </w:rPr>
              <w:t>16.抱闸监控功能</w:t>
            </w:r>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3" w:name="_Toc15343"/>
            <w:r>
              <w:rPr>
                <w:rFonts w:hint="eastAsia" w:ascii="宋体" w:hAnsi="宋体" w:eastAsia="宋体" w:cs="宋体"/>
                <w:color w:val="auto"/>
                <w:kern w:val="2"/>
                <w:sz w:val="24"/>
                <w:szCs w:val="24"/>
                <w:highlight w:val="none"/>
                <w:lang w:val="en-US" w:eastAsia="zh-CN" w:bidi="ar-SA"/>
              </w:rPr>
              <w:t>17.手动盘车保护功能</w:t>
            </w:r>
            <w:bookmarkEnd w:id="143"/>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4" w:name="_Toc9788"/>
            <w:r>
              <w:rPr>
                <w:rFonts w:hint="eastAsia" w:ascii="宋体" w:hAnsi="宋体" w:eastAsia="宋体" w:cs="宋体"/>
                <w:color w:val="auto"/>
                <w:kern w:val="2"/>
                <w:sz w:val="24"/>
                <w:szCs w:val="24"/>
                <w:highlight w:val="none"/>
                <w:lang w:val="en-US" w:eastAsia="zh-CN" w:bidi="ar-SA"/>
              </w:rPr>
              <w:t>18.接触器反馈检测功能</w:t>
            </w:r>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5" w:name="_Toc498"/>
            <w:r>
              <w:rPr>
                <w:rFonts w:hint="eastAsia" w:ascii="宋体" w:hAnsi="宋体" w:eastAsia="宋体" w:cs="宋体"/>
                <w:color w:val="auto"/>
                <w:kern w:val="2"/>
                <w:sz w:val="24"/>
                <w:szCs w:val="24"/>
                <w:highlight w:val="none"/>
                <w:lang w:val="en-US" w:eastAsia="zh-CN" w:bidi="ar-SA"/>
              </w:rPr>
              <w:t>19.终端楼层保护</w:t>
            </w:r>
            <w:bookmarkEnd w:id="145"/>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6" w:name="_Toc31273"/>
            <w:r>
              <w:rPr>
                <w:rFonts w:hint="eastAsia" w:ascii="宋体" w:hAnsi="宋体" w:eastAsia="宋体" w:cs="宋体"/>
                <w:color w:val="auto"/>
                <w:kern w:val="2"/>
                <w:sz w:val="24"/>
                <w:szCs w:val="24"/>
                <w:highlight w:val="none"/>
                <w:lang w:val="en-US" w:eastAsia="zh-CN" w:bidi="ar-SA"/>
              </w:rPr>
              <w:t>20.检修操作</w:t>
            </w:r>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7" w:name="_Toc7657"/>
            <w:r>
              <w:rPr>
                <w:rFonts w:hint="eastAsia" w:ascii="宋体" w:hAnsi="宋体" w:eastAsia="宋体" w:cs="宋体"/>
                <w:color w:val="auto"/>
                <w:kern w:val="2"/>
                <w:sz w:val="24"/>
                <w:szCs w:val="24"/>
                <w:highlight w:val="none"/>
                <w:lang w:val="en-US" w:eastAsia="zh-CN" w:bidi="ar-SA"/>
              </w:rPr>
              <w:t>21.五方通话</w:t>
            </w:r>
            <w:bookmarkEnd w:id="147"/>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8" w:name="_Toc16937"/>
            <w:r>
              <w:rPr>
                <w:rFonts w:hint="eastAsia" w:ascii="宋体" w:hAnsi="宋体" w:eastAsia="宋体" w:cs="宋体"/>
                <w:color w:val="auto"/>
                <w:kern w:val="2"/>
                <w:sz w:val="24"/>
                <w:szCs w:val="24"/>
                <w:highlight w:val="none"/>
                <w:lang w:val="en-US" w:eastAsia="zh-CN" w:bidi="ar-SA"/>
              </w:rPr>
              <w:t>22.自动返基站</w:t>
            </w:r>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49" w:name="_Toc18651"/>
            <w:r>
              <w:rPr>
                <w:rFonts w:hint="eastAsia" w:ascii="宋体" w:hAnsi="宋体" w:eastAsia="宋体" w:cs="宋体"/>
                <w:color w:val="auto"/>
                <w:kern w:val="2"/>
                <w:sz w:val="24"/>
                <w:szCs w:val="24"/>
                <w:highlight w:val="none"/>
                <w:lang w:val="en-US" w:eastAsia="zh-CN" w:bidi="ar-SA"/>
              </w:rPr>
              <w:t>23.自动泊梯</w:t>
            </w:r>
            <w:bookmarkEnd w:id="149"/>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0" w:name="_Toc13475"/>
            <w:r>
              <w:rPr>
                <w:rFonts w:hint="eastAsia" w:ascii="宋体" w:hAnsi="宋体" w:eastAsia="宋体" w:cs="宋体"/>
                <w:color w:val="auto"/>
                <w:kern w:val="2"/>
                <w:sz w:val="24"/>
                <w:szCs w:val="24"/>
                <w:highlight w:val="none"/>
                <w:lang w:val="en-US" w:eastAsia="zh-CN" w:bidi="ar-SA"/>
              </w:rPr>
              <w:t>24.轿厢警铃</w:t>
            </w:r>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1" w:name="_Toc8993"/>
            <w:r>
              <w:rPr>
                <w:rFonts w:hint="eastAsia" w:ascii="宋体" w:hAnsi="宋体" w:eastAsia="宋体" w:cs="宋体"/>
                <w:color w:val="auto"/>
                <w:kern w:val="2"/>
                <w:sz w:val="24"/>
                <w:szCs w:val="24"/>
                <w:highlight w:val="none"/>
                <w:lang w:val="en-US" w:eastAsia="zh-CN" w:bidi="ar-SA"/>
              </w:rPr>
              <w:t>25.消防返回</w:t>
            </w:r>
            <w:bookmarkEnd w:id="151"/>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2" w:name="_Toc28113"/>
            <w:r>
              <w:rPr>
                <w:rFonts w:hint="eastAsia" w:ascii="宋体" w:hAnsi="宋体" w:eastAsia="宋体" w:cs="宋体"/>
                <w:color w:val="auto"/>
                <w:kern w:val="2"/>
                <w:sz w:val="24"/>
                <w:szCs w:val="24"/>
                <w:highlight w:val="none"/>
                <w:lang w:val="en-US" w:eastAsia="zh-CN" w:bidi="ar-SA"/>
              </w:rPr>
              <w:t>26.故障自救功能</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3" w:name="_Toc2098"/>
            <w:r>
              <w:rPr>
                <w:rFonts w:hint="eastAsia" w:ascii="宋体" w:hAnsi="宋体" w:eastAsia="宋体" w:cs="宋体"/>
                <w:color w:val="auto"/>
                <w:kern w:val="2"/>
                <w:sz w:val="24"/>
                <w:szCs w:val="24"/>
                <w:highlight w:val="none"/>
                <w:lang w:val="en-US" w:eastAsia="zh-CN" w:bidi="ar-SA"/>
              </w:rPr>
              <w:t>27.开门异常手动选层自救功能</w:t>
            </w:r>
            <w:bookmarkEnd w:id="153"/>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4" w:name="_Toc21230"/>
            <w:r>
              <w:rPr>
                <w:rFonts w:hint="eastAsia" w:ascii="宋体" w:hAnsi="宋体" w:eastAsia="宋体" w:cs="宋体"/>
                <w:color w:val="auto"/>
                <w:kern w:val="2"/>
                <w:sz w:val="24"/>
                <w:szCs w:val="24"/>
                <w:highlight w:val="none"/>
                <w:lang w:val="en-US" w:eastAsia="zh-CN" w:bidi="ar-SA"/>
              </w:rPr>
              <w:t>28.到站钟</w:t>
            </w:r>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5" w:name="_Toc18831"/>
            <w:r>
              <w:rPr>
                <w:rFonts w:hint="eastAsia" w:ascii="宋体" w:hAnsi="宋体" w:eastAsia="宋体" w:cs="宋体"/>
                <w:color w:val="auto"/>
                <w:kern w:val="2"/>
                <w:sz w:val="24"/>
                <w:szCs w:val="24"/>
                <w:highlight w:val="none"/>
                <w:lang w:val="en-US" w:eastAsia="zh-CN" w:bidi="ar-SA"/>
              </w:rPr>
              <w:t>29.运行次数显示</w:t>
            </w:r>
            <w:bookmarkEnd w:id="155"/>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6" w:name="_Toc13277"/>
            <w:r>
              <w:rPr>
                <w:rFonts w:hint="eastAsia" w:ascii="宋体" w:hAnsi="宋体" w:eastAsia="宋体" w:cs="宋体"/>
                <w:color w:val="auto"/>
                <w:kern w:val="2"/>
                <w:sz w:val="24"/>
                <w:szCs w:val="24"/>
                <w:highlight w:val="none"/>
                <w:lang w:val="en-US" w:eastAsia="zh-CN" w:bidi="ar-SA"/>
              </w:rPr>
              <w:t>30.运行时间显示</w:t>
            </w:r>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7" w:name="_Toc21071"/>
            <w:r>
              <w:rPr>
                <w:rFonts w:hint="eastAsia" w:ascii="宋体" w:hAnsi="宋体" w:eastAsia="宋体" w:cs="宋体"/>
                <w:color w:val="auto"/>
                <w:kern w:val="2"/>
                <w:sz w:val="24"/>
                <w:szCs w:val="24"/>
                <w:highlight w:val="none"/>
                <w:lang w:val="en-US" w:eastAsia="zh-CN" w:bidi="ar-SA"/>
              </w:rPr>
              <w:t>31.轿内及厅外数码显示</w:t>
            </w:r>
            <w:bookmarkEnd w:id="157"/>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8" w:name="_Toc18197"/>
            <w:r>
              <w:rPr>
                <w:rFonts w:hint="eastAsia" w:ascii="宋体" w:hAnsi="宋体" w:eastAsia="宋体" w:cs="宋体"/>
                <w:color w:val="auto"/>
                <w:kern w:val="2"/>
                <w:sz w:val="24"/>
                <w:szCs w:val="24"/>
                <w:highlight w:val="none"/>
                <w:lang w:val="en-US" w:eastAsia="zh-CN" w:bidi="ar-SA"/>
              </w:rPr>
              <w:t>32.轿内及厅外方向显示</w:t>
            </w:r>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59" w:name="_Toc32738"/>
            <w:r>
              <w:rPr>
                <w:rFonts w:hint="eastAsia" w:ascii="宋体" w:hAnsi="宋体" w:eastAsia="宋体" w:cs="宋体"/>
                <w:color w:val="auto"/>
                <w:kern w:val="2"/>
                <w:sz w:val="24"/>
                <w:szCs w:val="24"/>
                <w:highlight w:val="none"/>
                <w:lang w:val="en-US" w:eastAsia="zh-CN" w:bidi="ar-SA"/>
              </w:rPr>
              <w:t>33.检修状态提醒显示</w:t>
            </w:r>
            <w:bookmarkEnd w:id="159"/>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0" w:name="_Toc14800"/>
            <w:r>
              <w:rPr>
                <w:rFonts w:hint="eastAsia" w:ascii="宋体" w:hAnsi="宋体" w:eastAsia="宋体" w:cs="宋体"/>
                <w:color w:val="auto"/>
                <w:kern w:val="2"/>
                <w:sz w:val="24"/>
                <w:szCs w:val="24"/>
                <w:highlight w:val="none"/>
                <w:lang w:val="en-US" w:eastAsia="zh-CN" w:bidi="ar-SA"/>
              </w:rPr>
              <w:t>34.报警装置</w:t>
            </w:r>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1" w:name="_Toc8698"/>
            <w:r>
              <w:rPr>
                <w:rFonts w:hint="eastAsia" w:ascii="宋体" w:hAnsi="宋体" w:eastAsia="宋体" w:cs="宋体"/>
                <w:color w:val="auto"/>
                <w:kern w:val="2"/>
                <w:sz w:val="24"/>
                <w:szCs w:val="24"/>
                <w:highlight w:val="none"/>
                <w:lang w:val="en-US" w:eastAsia="zh-CN" w:bidi="ar-SA"/>
              </w:rPr>
              <w:t>35.应急照明</w:t>
            </w:r>
            <w:bookmarkEnd w:id="161"/>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2" w:name="_Toc7887"/>
            <w:r>
              <w:rPr>
                <w:rFonts w:hint="eastAsia" w:ascii="宋体" w:hAnsi="宋体" w:eastAsia="宋体" w:cs="宋体"/>
                <w:color w:val="auto"/>
                <w:kern w:val="2"/>
                <w:sz w:val="24"/>
                <w:szCs w:val="24"/>
                <w:highlight w:val="none"/>
                <w:lang w:val="en-US" w:eastAsia="zh-CN" w:bidi="ar-SA"/>
              </w:rPr>
              <w:t>36.机房紧急电动运行</w:t>
            </w:r>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3" w:name="_Toc25284"/>
            <w:r>
              <w:rPr>
                <w:rFonts w:hint="eastAsia" w:ascii="宋体" w:hAnsi="宋体" w:eastAsia="宋体" w:cs="宋体"/>
                <w:color w:val="auto"/>
                <w:kern w:val="2"/>
                <w:sz w:val="24"/>
                <w:szCs w:val="24"/>
                <w:highlight w:val="none"/>
                <w:lang w:val="en-US" w:eastAsia="zh-CN" w:bidi="ar-SA"/>
              </w:rPr>
              <w:t>37.轿内风扇自动控制</w:t>
            </w:r>
            <w:bookmarkEnd w:id="163"/>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4" w:name="_Toc6201"/>
            <w:r>
              <w:rPr>
                <w:rFonts w:hint="eastAsia" w:ascii="宋体" w:hAnsi="宋体" w:eastAsia="宋体" w:cs="宋体"/>
                <w:color w:val="auto"/>
                <w:kern w:val="2"/>
                <w:sz w:val="24"/>
                <w:szCs w:val="24"/>
                <w:highlight w:val="none"/>
                <w:lang w:val="en-US" w:eastAsia="zh-CN" w:bidi="ar-SA"/>
              </w:rPr>
              <w:t>38.轿内照明自动控制</w:t>
            </w:r>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5" w:name="_Toc8656"/>
            <w:r>
              <w:rPr>
                <w:rFonts w:hint="eastAsia" w:ascii="宋体" w:hAnsi="宋体" w:eastAsia="宋体" w:cs="宋体"/>
                <w:color w:val="auto"/>
                <w:kern w:val="2"/>
                <w:sz w:val="24"/>
                <w:szCs w:val="24"/>
                <w:highlight w:val="none"/>
                <w:lang w:val="en-US" w:eastAsia="zh-CN" w:bidi="ar-SA"/>
              </w:rPr>
              <w:t>39.停止服务锁</w:t>
            </w:r>
            <w:bookmarkEnd w:id="165"/>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6" w:name="_Toc15700"/>
            <w:r>
              <w:rPr>
                <w:rFonts w:hint="eastAsia" w:ascii="宋体" w:hAnsi="宋体" w:eastAsia="宋体" w:cs="宋体"/>
                <w:color w:val="auto"/>
                <w:kern w:val="2"/>
                <w:sz w:val="24"/>
                <w:szCs w:val="24"/>
                <w:highlight w:val="none"/>
                <w:lang w:val="en-US" w:eastAsia="zh-CN" w:bidi="ar-SA"/>
              </w:rPr>
              <w:t>40. 预留视频电缆</w:t>
            </w:r>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7" w:name="_Toc24414"/>
            <w:r>
              <w:rPr>
                <w:rFonts w:hint="eastAsia" w:ascii="宋体" w:hAnsi="宋体" w:eastAsia="宋体" w:cs="宋体"/>
                <w:color w:val="auto"/>
                <w:kern w:val="2"/>
                <w:sz w:val="24"/>
                <w:szCs w:val="24"/>
                <w:highlight w:val="none"/>
                <w:lang w:val="en-US" w:eastAsia="zh-CN" w:bidi="ar-SA"/>
              </w:rPr>
              <w:t>41.超速保护</w:t>
            </w:r>
            <w:bookmarkEnd w:id="167"/>
          </w:p>
        </w:tc>
        <w:tc>
          <w:tcPr>
            <w:tcW w:w="4443"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8" w:name="_Toc813"/>
            <w:r>
              <w:rPr>
                <w:rFonts w:hint="eastAsia" w:ascii="宋体" w:hAnsi="宋体" w:eastAsia="宋体" w:cs="宋体"/>
                <w:color w:val="auto"/>
                <w:kern w:val="2"/>
                <w:sz w:val="24"/>
                <w:szCs w:val="24"/>
                <w:highlight w:val="none"/>
                <w:lang w:val="en-US" w:eastAsia="zh-CN" w:bidi="ar-SA"/>
              </w:rPr>
              <w:t>42.轿厢意外移动保护功能</w:t>
            </w:r>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pPr>
              <w:keepNext w:val="0"/>
              <w:keepLines w:val="0"/>
              <w:suppressLineNumbers w:val="0"/>
              <w:shd w:val="clear"/>
              <w:spacing w:before="0" w:beforeAutospacing="0" w:after="0" w:afterAutospacing="0" w:line="360" w:lineRule="auto"/>
              <w:ind w:left="0" w:right="0"/>
              <w:jc w:val="left"/>
              <w:outlineLvl w:val="2"/>
              <w:rPr>
                <w:rFonts w:hint="eastAsia" w:ascii="宋体" w:hAnsi="宋体" w:eastAsia="宋体" w:cs="宋体"/>
                <w:color w:val="auto"/>
                <w:kern w:val="2"/>
                <w:sz w:val="24"/>
                <w:szCs w:val="24"/>
                <w:highlight w:val="none"/>
                <w:lang w:val="en-US" w:eastAsia="zh-CN" w:bidi="ar-SA"/>
              </w:rPr>
            </w:pPr>
            <w:bookmarkStart w:id="169" w:name="_Toc745"/>
            <w:r>
              <w:rPr>
                <w:rFonts w:hint="eastAsia" w:ascii="宋体" w:hAnsi="宋体" w:eastAsia="宋体" w:cs="宋体"/>
                <w:color w:val="auto"/>
                <w:kern w:val="2"/>
                <w:sz w:val="24"/>
                <w:szCs w:val="24"/>
                <w:highlight w:val="none"/>
                <w:lang w:val="en-US" w:eastAsia="zh-CN" w:bidi="ar-SA"/>
              </w:rPr>
              <w:t>43.轿厢内配备摄像录像装置</w:t>
            </w:r>
            <w:bookmarkEnd w:id="169"/>
          </w:p>
        </w:tc>
        <w:tc>
          <w:tcPr>
            <w:tcW w:w="4443" w:type="dxa"/>
            <w:vAlign w:val="center"/>
          </w:tcPr>
          <w:p>
            <w:pPr>
              <w:keepNext w:val="0"/>
              <w:keepLines w:val="0"/>
              <w:suppressLineNumbers w:val="0"/>
              <w:shd w:val="clear"/>
              <w:spacing w:before="0" w:beforeAutospacing="0" w:after="0" w:afterAutospacing="0" w:line="360" w:lineRule="auto"/>
              <w:ind w:left="480" w:leftChars="200" w:right="0"/>
              <w:outlineLvl w:val="2"/>
              <w:rPr>
                <w:rFonts w:hint="eastAsia" w:ascii="宋体" w:hAnsi="宋体" w:eastAsia="宋体" w:cs="宋体"/>
                <w:color w:val="000000" w:themeColor="text1"/>
                <w:szCs w:val="24"/>
                <w:highlight w:val="none"/>
                <w:shd w:val="clear" w:color="FFFFFF" w:fill="D9D9D9"/>
                <w14:textFill>
                  <w14:solidFill>
                    <w14:schemeClr w14:val="tx1"/>
                  </w14:solidFill>
                </w14:textFill>
              </w:rPr>
            </w:pPr>
          </w:p>
        </w:tc>
      </w:tr>
    </w:tbl>
    <w:p>
      <w:pPr>
        <w:pStyle w:val="2"/>
        <w:shd w:val="clear"/>
        <w:rPr>
          <w:rFonts w:hint="eastAsia" w:ascii="宋体" w:hAnsi="宋体" w:eastAsia="宋体" w:cs="宋体"/>
          <w:color w:val="000000" w:themeColor="text1"/>
          <w:highlight w:val="none"/>
          <w:shd w:val="clear" w:color="FFFFFF" w:fill="D9D9D9"/>
          <w14:textFill>
            <w14:solidFill>
              <w14:schemeClr w14:val="tx1"/>
            </w14:solidFill>
          </w14:textFill>
        </w:rPr>
        <w:sectPr>
          <w:pgSz w:w="11905" w:h="16838"/>
          <w:pgMar w:top="1417" w:right="1134" w:bottom="1417" w:left="1304" w:header="935" w:footer="1020" w:gutter="567"/>
          <w:pgBorders>
            <w:top w:val="none" w:sz="0" w:space="0"/>
            <w:left w:val="none" w:sz="0" w:space="0"/>
            <w:bottom w:val="none" w:sz="0" w:space="0"/>
            <w:right w:val="none" w:sz="0" w:space="0"/>
          </w:pgBorders>
          <w:pgNumType w:fmt="decimal"/>
          <w:cols w:space="0" w:num="1"/>
          <w:titlePg/>
          <w:rtlGutter w:val="0"/>
          <w:docGrid w:linePitch="312" w:charSpace="0"/>
        </w:sectPr>
      </w:pPr>
    </w:p>
    <w:p>
      <w:pPr>
        <w:shd w:val="clear"/>
        <w:spacing w:line="360" w:lineRule="auto"/>
        <w:jc w:val="center"/>
        <w:outlineLvl w:val="0"/>
        <w:rPr>
          <w:rFonts w:hint="eastAsia" w:ascii="宋体" w:hAnsi="宋体" w:eastAsia="宋体" w:cs="宋体"/>
          <w:b/>
          <w:bCs/>
          <w:color w:val="auto"/>
          <w:kern w:val="2"/>
          <w:sz w:val="24"/>
          <w:szCs w:val="24"/>
          <w:highlight w:val="none"/>
          <w:lang w:val="en-US" w:eastAsia="zh-CN" w:bidi="ar-SA"/>
        </w:rPr>
      </w:pPr>
      <w:bookmarkStart w:id="170" w:name="_Toc16099"/>
      <w:bookmarkStart w:id="171" w:name="_Toc26479"/>
      <w:r>
        <w:rPr>
          <w:rFonts w:hint="eastAsia" w:ascii="宋体" w:hAnsi="宋体" w:eastAsia="宋体" w:cs="宋体"/>
          <w:b/>
          <w:bCs/>
          <w:color w:val="auto"/>
          <w:kern w:val="2"/>
          <w:sz w:val="24"/>
          <w:szCs w:val="24"/>
          <w:highlight w:val="none"/>
          <w:lang w:val="en-US" w:eastAsia="zh-CN" w:bidi="ar-SA"/>
        </w:rPr>
        <w:t>第四章  商务要求</w:t>
      </w:r>
      <w:bookmarkEnd w:id="170"/>
      <w:bookmarkEnd w:id="171"/>
    </w:p>
    <w:p>
      <w:pPr>
        <w:pageBreakBefore w:val="0"/>
        <w:shd w:val="clear"/>
        <w:kinsoku/>
        <w:wordWrap/>
        <w:overflowPunct/>
        <w:topLinePunct w:val="0"/>
        <w:autoSpaceDE/>
        <w:bidi w:val="0"/>
        <w:spacing w:line="500" w:lineRule="exact"/>
        <w:textAlignment w:val="auto"/>
        <w:rPr>
          <w:rFonts w:hint="eastAsia" w:ascii="宋体" w:hAnsi="宋体" w:eastAsia="宋体" w:cs="宋体"/>
          <w:b/>
          <w:bCs/>
          <w:color w:val="auto"/>
          <w:kern w:val="2"/>
          <w:sz w:val="24"/>
          <w:szCs w:val="24"/>
          <w:highlight w:val="none"/>
          <w:lang w:val="en-US" w:eastAsia="zh-CN" w:bidi="ar-SA"/>
        </w:rPr>
      </w:pPr>
      <w:bookmarkStart w:id="172" w:name="_Toc458617469"/>
      <w:bookmarkStart w:id="173" w:name="_Toc458617746"/>
      <w:r>
        <w:rPr>
          <w:rFonts w:hint="eastAsia" w:ascii="宋体" w:hAnsi="宋体" w:eastAsia="宋体" w:cs="宋体"/>
          <w:b/>
          <w:bCs/>
          <w:color w:val="auto"/>
          <w:kern w:val="2"/>
          <w:sz w:val="24"/>
          <w:szCs w:val="24"/>
          <w:highlight w:val="none"/>
          <w:lang w:val="en-US" w:eastAsia="zh-CN" w:bidi="ar-SA"/>
        </w:rPr>
        <w:t>一、基本要求：</w:t>
      </w:r>
      <w:bookmarkStart w:id="174" w:name="_Toc167712839"/>
      <w:bookmarkStart w:id="175" w:name="_Toc167715234"/>
      <w:bookmarkStart w:id="176" w:name="_Toc167714037"/>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bookmarkEnd w:id="174"/>
      <w:bookmarkEnd w:id="175"/>
      <w:bookmarkEnd w:id="176"/>
      <w:r>
        <w:rPr>
          <w:rFonts w:hint="eastAsia" w:ascii="宋体" w:hAnsi="宋体" w:eastAsia="宋体" w:cs="宋体"/>
          <w:color w:val="auto"/>
          <w:kern w:val="2"/>
          <w:sz w:val="24"/>
          <w:szCs w:val="24"/>
          <w:highlight w:val="none"/>
          <w:lang w:val="en-US" w:eastAsia="zh-CN" w:bidi="ar-SA"/>
        </w:rPr>
        <w:t>交货期：自合同签订之日起30日历天内完成。</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2、地  点： 采购人指定地点。</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3、质保期：2年，质保期内由中标人免费保修及保养。</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4、质  量：符合国家现行相关规范“合格”标准。</w:t>
      </w:r>
    </w:p>
    <w:p>
      <w:pPr>
        <w:pageBreakBefore w:val="0"/>
        <w:shd w:val="clear"/>
        <w:kinsoku/>
        <w:wordWrap/>
        <w:overflowPunct/>
        <w:topLinePunct w:val="0"/>
        <w:autoSpaceDE/>
        <w:bidi w:val="0"/>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二、包装、运输、安装、调试及培训要求：</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1、包装：应采取防潮、防晒、防腐蚀、防震动及防止其它损坏的必要措施。成交人应承担由于其包装或防护措施不妥而引起的货物锈蚀、损坏和丢失等任何损失造成的责任或费用。</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2、运输：选择运输风险小、运费低、距离短的运输路线。运杂费一次包死在总价内，包括生产厂到施工现场所需的装卸、运输（含保险费）、现场保管费、二次倒运费、吊装费等费用。</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安装、调试及培训：成交人负责所有设备的安装、调试、培训工作，所有费用一次包死在总价内。每套设备安装调试完毕后，成交人必须安排技术人员对使用单位的设备管理人员进行操作应用及维护保养方面的技能培训，使其掌握基本技能。</w:t>
      </w:r>
    </w:p>
    <w:p>
      <w:pPr>
        <w:pageBreakBefore w:val="0"/>
        <w:shd w:val="clear"/>
        <w:kinsoku/>
        <w:wordWrap/>
        <w:overflowPunct/>
        <w:topLinePunct w:val="0"/>
        <w:autoSpaceDE/>
        <w:bidi w:val="0"/>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三、付款方式：</w:t>
      </w:r>
    </w:p>
    <w:p>
      <w:pPr>
        <w:pageBreakBefore w:val="0"/>
        <w:shd w:val="clear"/>
        <w:kinsoku/>
        <w:wordWrap/>
        <w:overflowPunct/>
        <w:topLinePunct w:val="0"/>
        <w:autoSpaceDE/>
        <w:bidi w:val="0"/>
        <w:adjustRightInd w:val="0"/>
        <w:snapToGrid w:val="0"/>
        <w:spacing w:line="500" w:lineRule="exact"/>
        <w:ind w:firstLine="480" w:firstLineChars="200"/>
        <w:textAlignment w:val="auto"/>
        <w:rPr>
          <w:rFonts w:hint="eastAsia" w:ascii="宋体" w:hAnsi="宋体" w:eastAsia="宋体" w:cs="宋体"/>
          <w:color w:val="auto"/>
          <w:kern w:val="2"/>
          <w:sz w:val="24"/>
          <w:szCs w:val="24"/>
          <w:highlight w:val="none"/>
          <w:lang w:val="zh-CN" w:eastAsia="zh-CN" w:bidi="ar-SA"/>
        </w:rPr>
      </w:pPr>
      <w:bookmarkStart w:id="177" w:name="_Toc246433712"/>
      <w:bookmarkStart w:id="178" w:name="_Toc167714041"/>
      <w:bookmarkStart w:id="179" w:name="_Toc167712843"/>
      <w:bookmarkStart w:id="180" w:name="_Toc167715238"/>
      <w:r>
        <w:rPr>
          <w:rFonts w:hint="eastAsia" w:ascii="宋体" w:hAnsi="宋体" w:eastAsia="宋体" w:cs="宋体"/>
          <w:color w:val="auto"/>
          <w:kern w:val="2"/>
          <w:sz w:val="24"/>
          <w:szCs w:val="24"/>
          <w:highlight w:val="none"/>
          <w:lang w:val="en-US" w:eastAsia="zh-CN" w:bidi="ar-SA"/>
        </w:rPr>
        <w:t>电梯安装验收合格后付至合同价的90%，剩余10%质保期满后一次性付清。</w:t>
      </w:r>
      <w:r>
        <w:rPr>
          <w:rFonts w:hint="eastAsia" w:ascii="宋体" w:hAnsi="宋体" w:eastAsia="宋体" w:cs="宋体"/>
          <w:color w:val="auto"/>
          <w:kern w:val="2"/>
          <w:sz w:val="24"/>
          <w:szCs w:val="24"/>
          <w:highlight w:val="none"/>
          <w:lang w:val="zh-CN" w:eastAsia="zh-CN" w:bidi="ar-SA"/>
        </w:rPr>
        <w:t>（不计利息）。</w:t>
      </w:r>
    </w:p>
    <w:p>
      <w:pPr>
        <w:pageBreakBefore w:val="0"/>
        <w:shd w:val="clear"/>
        <w:kinsoku/>
        <w:wordWrap/>
        <w:overflowPunct/>
        <w:topLinePunct w:val="0"/>
        <w:autoSpaceDE/>
        <w:bidi w:val="0"/>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End w:id="177"/>
      <w:r>
        <w:rPr>
          <w:rFonts w:hint="eastAsia" w:ascii="宋体" w:hAnsi="宋体" w:eastAsia="宋体" w:cs="宋体"/>
          <w:b/>
          <w:bCs/>
          <w:color w:val="auto"/>
          <w:kern w:val="2"/>
          <w:sz w:val="24"/>
          <w:szCs w:val="24"/>
          <w:highlight w:val="none"/>
          <w:lang w:val="en-US" w:eastAsia="zh-CN" w:bidi="ar-SA"/>
        </w:rPr>
        <w:t>电梯质量保证及售后服务要求</w:t>
      </w:r>
    </w:p>
    <w:p>
      <w:pPr>
        <w:pageBreakBefore w:val="0"/>
        <w:shd w:val="clear"/>
        <w:kinsoku/>
        <w:wordWrap/>
        <w:overflowPunct/>
        <w:topLinePunct w:val="0"/>
        <w:autoSpaceDE/>
        <w:autoSpaceDN w:val="0"/>
        <w:bidi w:val="0"/>
        <w:snapToGrid w:val="0"/>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（1）质量保证要求：</w:t>
      </w:r>
    </w:p>
    <w:p>
      <w:pPr>
        <w:pStyle w:val="2"/>
        <w:shd w:val="clea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1.供应商应按本招标文件规定的电梯技术要求提供全新产品。</w:t>
      </w:r>
    </w:p>
    <w:p>
      <w:pPr>
        <w:pStyle w:val="2"/>
        <w:shd w:val="clea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2.供应商提供的设备应通过国际ISO9001质量体系认证，符合中华人共和国国家标准和相关规范。</w:t>
      </w:r>
    </w:p>
    <w:p>
      <w:pPr>
        <w:pStyle w:val="2"/>
        <w:shd w:val="clea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3.供应商应保证所提供的设备在正常使用条件下运行良好，在质保期内对由于设备、工艺安装或材料等原因所造成的故障，供应商负责免费更换或修理。</w:t>
      </w:r>
    </w:p>
    <w:p>
      <w:pPr>
        <w:pStyle w:val="2"/>
        <w:shd w:val="clea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4.电梯进场后由电梯厂家通知各方代表开箱检验，并须随机提供整机和主要部件质量证明资料，包括出厂合格证、型式实验等。</w:t>
      </w:r>
    </w:p>
    <w:p>
      <w:pPr>
        <w:pStyle w:val="2"/>
        <w:shd w:val="clea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color w:val="auto"/>
          <w:kern w:val="2"/>
          <w:sz w:val="24"/>
          <w:szCs w:val="24"/>
          <w:highlight w:val="none"/>
          <w:lang w:val="en-US" w:eastAsia="zh-CN" w:bidi="ar-SA"/>
        </w:rPr>
        <w:t>5、投标单位所投产品必须满足特种设备标准安全要求。</w:t>
      </w:r>
    </w:p>
    <w:p>
      <w:pPr>
        <w:pStyle w:val="2"/>
        <w:shd w:val="clear"/>
        <w:ind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（2）售后服务要求：</w:t>
      </w:r>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1" w:name="_Toc24351"/>
      <w:r>
        <w:rPr>
          <w:rFonts w:hint="eastAsia" w:ascii="宋体" w:hAnsi="宋体" w:eastAsia="宋体" w:cs="宋体"/>
          <w:color w:val="auto"/>
          <w:kern w:val="2"/>
          <w:sz w:val="24"/>
          <w:szCs w:val="24"/>
          <w:highlight w:val="none"/>
          <w:lang w:val="en-US" w:eastAsia="zh-CN" w:bidi="ar-SA"/>
        </w:rPr>
        <w:t>1.免费提供易损件（例如：滑块、靴衬、按钮、保险管、照明灯、安全开关）；</w:t>
      </w:r>
      <w:bookmarkEnd w:id="181"/>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2" w:name="_Toc22260"/>
      <w:r>
        <w:rPr>
          <w:rFonts w:hint="eastAsia" w:ascii="宋体" w:hAnsi="宋体" w:eastAsia="宋体" w:cs="宋体"/>
          <w:color w:val="auto"/>
          <w:kern w:val="2"/>
          <w:sz w:val="24"/>
          <w:szCs w:val="24"/>
          <w:highlight w:val="none"/>
          <w:lang w:val="en-US" w:eastAsia="zh-CN" w:bidi="ar-SA"/>
        </w:rPr>
        <w:t>2.出现故障须30分钟内到达现场处理。一般故障1小时内解决，故障停用不超过24小时，提供24小时服务热线；</w:t>
      </w:r>
      <w:bookmarkEnd w:id="182"/>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3" w:name="_Toc9911"/>
      <w:r>
        <w:rPr>
          <w:rFonts w:hint="eastAsia" w:ascii="宋体" w:hAnsi="宋体" w:eastAsia="宋体" w:cs="宋体"/>
          <w:color w:val="auto"/>
          <w:kern w:val="2"/>
          <w:sz w:val="24"/>
          <w:szCs w:val="24"/>
          <w:highlight w:val="none"/>
          <w:lang w:val="en-US" w:eastAsia="zh-CN" w:bidi="ar-SA"/>
        </w:rPr>
        <w:t>3.在免费日常维护保养和维修期内，服务质量应符合《特种设备安全监察条例》、《电梯维护保养规则》；</w:t>
      </w:r>
      <w:bookmarkEnd w:id="183"/>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4" w:name="_Toc21973"/>
      <w:r>
        <w:rPr>
          <w:rFonts w:hint="eastAsia" w:ascii="宋体" w:hAnsi="宋体" w:eastAsia="宋体" w:cs="宋体"/>
          <w:color w:val="auto"/>
          <w:kern w:val="2"/>
          <w:sz w:val="24"/>
          <w:szCs w:val="24"/>
          <w:highlight w:val="none"/>
          <w:lang w:val="en-US" w:eastAsia="zh-CN" w:bidi="ar-SA"/>
        </w:rPr>
        <w:t>4.年检工作应在年度检验日期前完成并取得合格使用标志。</w:t>
      </w:r>
      <w:bookmarkEnd w:id="184"/>
    </w:p>
    <w:p>
      <w:pPr>
        <w:shd w:val="clear"/>
        <w:spacing w:line="360" w:lineRule="auto"/>
        <w:ind w:firstLine="482" w:firstLineChars="200"/>
        <w:jc w:val="left"/>
        <w:outlineLvl w:val="2"/>
        <w:rPr>
          <w:rFonts w:hint="eastAsia" w:ascii="宋体" w:hAnsi="宋体" w:eastAsia="宋体" w:cs="宋体"/>
          <w:b/>
          <w:bCs/>
          <w:color w:val="auto"/>
          <w:kern w:val="2"/>
          <w:sz w:val="24"/>
          <w:szCs w:val="24"/>
          <w:highlight w:val="none"/>
          <w:lang w:val="en-US" w:eastAsia="zh-CN" w:bidi="ar-SA"/>
        </w:rPr>
      </w:pPr>
      <w:bookmarkStart w:id="185" w:name="_Toc246433713"/>
      <w:bookmarkStart w:id="186" w:name="_Toc24761"/>
      <w:r>
        <w:rPr>
          <w:rFonts w:hint="eastAsia" w:ascii="宋体" w:hAnsi="宋体" w:eastAsia="宋体" w:cs="宋体"/>
          <w:b/>
          <w:bCs/>
          <w:color w:val="auto"/>
          <w:kern w:val="2"/>
          <w:sz w:val="24"/>
          <w:szCs w:val="24"/>
          <w:highlight w:val="none"/>
          <w:lang w:val="en-US" w:eastAsia="zh-CN" w:bidi="ar-SA"/>
        </w:rPr>
        <w:t>五、</w:t>
      </w:r>
      <w:bookmarkEnd w:id="185"/>
      <w:r>
        <w:rPr>
          <w:rFonts w:hint="eastAsia" w:ascii="宋体" w:hAnsi="宋体" w:eastAsia="宋体" w:cs="宋体"/>
          <w:b/>
          <w:bCs/>
          <w:color w:val="auto"/>
          <w:kern w:val="2"/>
          <w:sz w:val="24"/>
          <w:szCs w:val="24"/>
          <w:highlight w:val="none"/>
          <w:lang w:val="en-US" w:eastAsia="zh-CN" w:bidi="ar-SA"/>
        </w:rPr>
        <w:t>电梯安装技术要求</w:t>
      </w:r>
      <w:bookmarkEnd w:id="186"/>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7" w:name="_Toc23811"/>
      <w:r>
        <w:rPr>
          <w:rFonts w:hint="eastAsia" w:ascii="宋体" w:hAnsi="宋体" w:eastAsia="宋体" w:cs="宋体"/>
          <w:color w:val="auto"/>
          <w:kern w:val="2"/>
          <w:sz w:val="24"/>
          <w:szCs w:val="24"/>
          <w:highlight w:val="none"/>
          <w:lang w:val="en-US" w:eastAsia="zh-CN" w:bidi="ar-SA"/>
        </w:rPr>
        <w:t>1.投标人根据采购人的施工图纸进行电梯安装工程施工；</w:t>
      </w:r>
      <w:bookmarkEnd w:id="187"/>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8" w:name="_Toc8241"/>
      <w:r>
        <w:rPr>
          <w:rFonts w:hint="eastAsia" w:ascii="宋体" w:hAnsi="宋体" w:eastAsia="宋体" w:cs="宋体"/>
          <w:color w:val="auto"/>
          <w:kern w:val="2"/>
          <w:sz w:val="24"/>
          <w:szCs w:val="24"/>
          <w:highlight w:val="none"/>
          <w:lang w:val="en-US" w:eastAsia="zh-CN" w:bidi="ar-SA"/>
        </w:rPr>
        <w:t>2.投标人负责电梯的供应、搬运、现场管理安装调试和维护工作（包括井道照明）及相关工作的衔接，负责整个电梯安装过程中所需的主辅材及有关工具；</w:t>
      </w:r>
      <w:bookmarkEnd w:id="188"/>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89" w:name="_Toc16821"/>
      <w:r>
        <w:rPr>
          <w:rFonts w:hint="eastAsia" w:ascii="宋体" w:hAnsi="宋体" w:eastAsia="宋体" w:cs="宋体"/>
          <w:color w:val="auto"/>
          <w:kern w:val="2"/>
          <w:sz w:val="24"/>
          <w:szCs w:val="24"/>
          <w:highlight w:val="none"/>
          <w:lang w:val="en-US" w:eastAsia="zh-CN" w:bidi="ar-SA"/>
        </w:rPr>
        <w:t>3.投标人负责施工现场设备的保管搬运及吊装工作，负责安装期间安全、保卫、消防工作；</w:t>
      </w:r>
      <w:bookmarkEnd w:id="189"/>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0" w:name="_Toc8813"/>
      <w:r>
        <w:rPr>
          <w:rFonts w:hint="eastAsia" w:ascii="宋体" w:hAnsi="宋体" w:eastAsia="宋体" w:cs="宋体"/>
          <w:color w:val="auto"/>
          <w:kern w:val="2"/>
          <w:sz w:val="24"/>
          <w:szCs w:val="24"/>
          <w:highlight w:val="none"/>
          <w:lang w:val="en-US" w:eastAsia="zh-CN" w:bidi="ar-SA"/>
        </w:rPr>
        <w:t>4.设备到货后，投标人负责运到采购人指定的施工现场，并进行现场保管；</w:t>
      </w:r>
      <w:bookmarkEnd w:id="190"/>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1" w:name="_Toc23850"/>
      <w:r>
        <w:rPr>
          <w:rFonts w:hint="eastAsia" w:ascii="宋体" w:hAnsi="宋体" w:eastAsia="宋体" w:cs="宋体"/>
          <w:color w:val="auto"/>
          <w:kern w:val="2"/>
          <w:sz w:val="24"/>
          <w:szCs w:val="24"/>
          <w:highlight w:val="none"/>
          <w:lang w:val="en-US" w:eastAsia="zh-CN" w:bidi="ar-SA"/>
        </w:rPr>
        <w:t>5.设备到货后，采购人及成交方共同开箱验收，并在指定的时间内进行安装；</w:t>
      </w:r>
      <w:bookmarkEnd w:id="191"/>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2" w:name="_Toc20529"/>
      <w:r>
        <w:rPr>
          <w:rFonts w:hint="eastAsia" w:ascii="宋体" w:hAnsi="宋体" w:eastAsia="宋体" w:cs="宋体"/>
          <w:color w:val="auto"/>
          <w:kern w:val="2"/>
          <w:sz w:val="24"/>
          <w:szCs w:val="24"/>
          <w:highlight w:val="none"/>
          <w:lang w:val="en-US" w:eastAsia="zh-CN" w:bidi="ar-SA"/>
        </w:rPr>
        <w:t>6.施工期内的水、电费用由成交方承担，食宿自理；</w:t>
      </w:r>
      <w:bookmarkEnd w:id="192"/>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3" w:name="_Toc8080"/>
      <w:r>
        <w:rPr>
          <w:rFonts w:hint="eastAsia" w:ascii="宋体" w:hAnsi="宋体" w:eastAsia="宋体" w:cs="宋体"/>
          <w:color w:val="auto"/>
          <w:kern w:val="2"/>
          <w:sz w:val="24"/>
          <w:szCs w:val="24"/>
          <w:highlight w:val="none"/>
          <w:lang w:val="en-US" w:eastAsia="zh-CN" w:bidi="ar-SA"/>
        </w:rPr>
        <w:t>7.电梯安装结束后，中标单位应当按照相关安全技术规范的要求，组织对电梯进行校验和调试，并对校验和调试结果负责。</w:t>
      </w:r>
      <w:bookmarkEnd w:id="193"/>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4" w:name="_Toc16777"/>
      <w:r>
        <w:rPr>
          <w:rFonts w:hint="eastAsia" w:ascii="宋体" w:hAnsi="宋体" w:eastAsia="宋体" w:cs="宋体"/>
          <w:color w:val="auto"/>
          <w:kern w:val="2"/>
          <w:sz w:val="24"/>
          <w:szCs w:val="24"/>
          <w:highlight w:val="none"/>
          <w:lang w:val="en-US" w:eastAsia="zh-CN" w:bidi="ar-SA"/>
        </w:rPr>
        <w:t>8.施工要求：</w:t>
      </w:r>
      <w:bookmarkEnd w:id="194"/>
      <w:r>
        <w:rPr>
          <w:rFonts w:hint="eastAsia" w:ascii="宋体" w:hAnsi="宋体" w:eastAsia="宋体" w:cs="宋体"/>
          <w:color w:val="auto"/>
          <w:kern w:val="2"/>
          <w:sz w:val="24"/>
          <w:szCs w:val="24"/>
          <w:highlight w:val="none"/>
          <w:lang w:val="en-US" w:eastAsia="zh-CN" w:bidi="ar-SA"/>
        </w:rPr>
        <w:t xml:space="preserve"> </w:t>
      </w:r>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5" w:name="_Toc20239"/>
      <w:r>
        <w:rPr>
          <w:rFonts w:hint="eastAsia" w:ascii="宋体" w:hAnsi="宋体" w:eastAsia="宋体" w:cs="宋体"/>
          <w:color w:val="auto"/>
          <w:kern w:val="2"/>
          <w:sz w:val="24"/>
          <w:szCs w:val="24"/>
          <w:highlight w:val="none"/>
          <w:lang w:val="en-US" w:eastAsia="zh-CN" w:bidi="ar-SA"/>
        </w:rPr>
        <w:t>8.1电梯安装工程项目负责人要求技术水平高、责任心强、有丰富的工程实践经验；</w:t>
      </w:r>
      <w:bookmarkEnd w:id="195"/>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6" w:name="_Toc8475"/>
      <w:r>
        <w:rPr>
          <w:rFonts w:hint="eastAsia" w:ascii="宋体" w:hAnsi="宋体" w:eastAsia="宋体" w:cs="宋体"/>
          <w:color w:val="auto"/>
          <w:kern w:val="2"/>
          <w:sz w:val="24"/>
          <w:szCs w:val="24"/>
          <w:highlight w:val="none"/>
          <w:lang w:val="en-US" w:eastAsia="zh-CN" w:bidi="ar-SA"/>
        </w:rPr>
        <w:t>8.2电梯安装单位办理施工过程中一切手续；</w:t>
      </w:r>
      <w:bookmarkEnd w:id="196"/>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7" w:name="_Toc31819"/>
      <w:r>
        <w:rPr>
          <w:rFonts w:hint="eastAsia" w:ascii="宋体" w:hAnsi="宋体" w:eastAsia="宋体" w:cs="宋体"/>
          <w:color w:val="auto"/>
          <w:kern w:val="2"/>
          <w:sz w:val="24"/>
          <w:szCs w:val="24"/>
          <w:highlight w:val="none"/>
          <w:lang w:val="en-US" w:eastAsia="zh-CN" w:bidi="ar-SA"/>
        </w:rPr>
        <w:t>9.工程验收：</w:t>
      </w:r>
      <w:bookmarkEnd w:id="197"/>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8" w:name="_Toc29487"/>
      <w:r>
        <w:rPr>
          <w:rFonts w:hint="eastAsia" w:ascii="宋体" w:hAnsi="宋体" w:eastAsia="宋体" w:cs="宋体"/>
          <w:color w:val="auto"/>
          <w:kern w:val="2"/>
          <w:sz w:val="24"/>
          <w:szCs w:val="24"/>
          <w:highlight w:val="none"/>
          <w:lang w:val="en-US" w:eastAsia="zh-CN" w:bidi="ar-SA"/>
        </w:rPr>
        <w:t>9.1设备安装调试完毕，中标人向采购人递交设备安装调试记录和竣工通知书，经采购人认可后10天内，委托电梯法定的检验人进行验收，中标单位配合验收，且由中标单位将结果和资料一起交采购人，期间产生的一切费用由中标人承担，其验收结果作为最终验收的依据。</w:t>
      </w:r>
      <w:bookmarkEnd w:id="198"/>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199" w:name="_Toc16347"/>
      <w:r>
        <w:rPr>
          <w:rFonts w:hint="eastAsia" w:ascii="宋体" w:hAnsi="宋体" w:eastAsia="宋体" w:cs="宋体"/>
          <w:color w:val="auto"/>
          <w:kern w:val="2"/>
          <w:sz w:val="24"/>
          <w:szCs w:val="24"/>
          <w:highlight w:val="none"/>
          <w:lang w:val="en-US" w:eastAsia="zh-CN" w:bidi="ar-SA"/>
        </w:rPr>
        <w:t>9.2中标人对最终的产品质量负完全责任；</w:t>
      </w:r>
      <w:bookmarkEnd w:id="199"/>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200" w:name="_Toc9664"/>
      <w:r>
        <w:rPr>
          <w:rFonts w:hint="eastAsia" w:ascii="宋体" w:hAnsi="宋体" w:eastAsia="宋体" w:cs="宋体"/>
          <w:color w:val="auto"/>
          <w:kern w:val="2"/>
          <w:sz w:val="24"/>
          <w:szCs w:val="24"/>
          <w:highlight w:val="none"/>
          <w:lang w:val="en-US" w:eastAsia="zh-CN" w:bidi="ar-SA"/>
        </w:rPr>
        <w:t>9.3检测费由成交单位承担。</w:t>
      </w:r>
      <w:bookmarkEnd w:id="200"/>
    </w:p>
    <w:p>
      <w:pPr>
        <w:shd w:val="clear"/>
        <w:spacing w:line="360" w:lineRule="auto"/>
        <w:ind w:firstLine="482" w:firstLineChars="200"/>
        <w:jc w:val="left"/>
        <w:outlineLvl w:val="2"/>
        <w:rPr>
          <w:rFonts w:hint="eastAsia" w:ascii="宋体" w:hAnsi="宋体" w:eastAsia="宋体" w:cs="宋体"/>
          <w:b/>
          <w:bCs/>
          <w:color w:val="auto"/>
          <w:kern w:val="2"/>
          <w:sz w:val="24"/>
          <w:szCs w:val="24"/>
          <w:highlight w:val="none"/>
          <w:lang w:val="en-US" w:eastAsia="zh-CN" w:bidi="ar-SA"/>
        </w:rPr>
      </w:pPr>
      <w:bookmarkStart w:id="201" w:name="_Toc12419"/>
      <w:bookmarkStart w:id="202" w:name="_Toc246433715"/>
      <w:r>
        <w:rPr>
          <w:rFonts w:hint="eastAsia" w:ascii="宋体" w:hAnsi="宋体" w:eastAsia="宋体" w:cs="宋体"/>
          <w:b/>
          <w:bCs/>
          <w:color w:val="auto"/>
          <w:kern w:val="2"/>
          <w:sz w:val="24"/>
          <w:szCs w:val="24"/>
          <w:highlight w:val="none"/>
          <w:lang w:val="en-US" w:eastAsia="zh-CN" w:bidi="ar-SA"/>
        </w:rPr>
        <w:t>六、国家标准及验收规范</w:t>
      </w:r>
      <w:bookmarkEnd w:id="201"/>
      <w:bookmarkEnd w:id="202"/>
    </w:p>
    <w:p>
      <w:pPr>
        <w:shd w:val="clear"/>
        <w:spacing w:line="360" w:lineRule="auto"/>
        <w:ind w:firstLine="480" w:firstLineChars="200"/>
        <w:jc w:val="left"/>
        <w:outlineLvl w:val="2"/>
        <w:rPr>
          <w:rFonts w:hint="eastAsia" w:ascii="宋体" w:hAnsi="宋体" w:eastAsia="宋体" w:cs="宋体"/>
          <w:color w:val="auto"/>
          <w:kern w:val="2"/>
          <w:sz w:val="24"/>
          <w:szCs w:val="24"/>
          <w:highlight w:val="none"/>
          <w:lang w:val="en-US" w:eastAsia="zh-CN" w:bidi="ar-SA"/>
        </w:rPr>
      </w:pPr>
      <w:bookmarkStart w:id="203" w:name="_Toc14935"/>
      <w:r>
        <w:rPr>
          <w:rFonts w:hint="eastAsia" w:ascii="宋体" w:hAnsi="宋体" w:eastAsia="宋体" w:cs="宋体"/>
          <w:color w:val="auto"/>
          <w:kern w:val="2"/>
          <w:sz w:val="24"/>
          <w:szCs w:val="24"/>
          <w:highlight w:val="none"/>
          <w:lang w:val="en-US" w:eastAsia="zh-CN" w:bidi="ar-SA"/>
        </w:rPr>
        <w:t>凡涉及到国家标准、产品生产国标准、行业标准、企业标准的按最高标准执行。一般现场设施、安全防护和环境设施等执行国家、陕西省及行业相关文件执行。</w:t>
      </w:r>
      <w:bookmarkEnd w:id="203"/>
    </w:p>
    <w:p>
      <w:pPr>
        <w:shd w:val="clear"/>
        <w:tabs>
          <w:tab w:val="left" w:pos="3918"/>
        </w:tabs>
        <w:adjustRightInd w:val="0"/>
        <w:snapToGrid w:val="0"/>
        <w:spacing w:line="500" w:lineRule="exact"/>
        <w:ind w:firstLine="472" w:firstLineChars="196"/>
        <w:rPr>
          <w:rFonts w:hint="eastAsia" w:ascii="宋体" w:hAnsi="宋体" w:eastAsia="宋体" w:cs="宋体"/>
          <w:b/>
          <w:color w:val="FF0000"/>
          <w:sz w:val="24"/>
          <w:highlight w:val="none"/>
        </w:rPr>
      </w:pPr>
    </w:p>
    <w:p>
      <w:pPr>
        <w:tabs>
          <w:tab w:val="left" w:pos="3918"/>
        </w:tabs>
        <w:adjustRightInd w:val="0"/>
        <w:snapToGrid w:val="0"/>
        <w:spacing w:line="500" w:lineRule="exact"/>
        <w:ind w:firstLine="472" w:firstLineChars="196"/>
        <w:rPr>
          <w:rFonts w:hint="eastAsia" w:ascii="宋体" w:hAnsi="宋体" w:eastAsia="宋体" w:cs="宋体"/>
          <w:b/>
          <w:color w:val="FF0000"/>
          <w:sz w:val="24"/>
          <w:highlight w:val="none"/>
        </w:rPr>
      </w:pPr>
    </w:p>
    <w:p>
      <w:pPr>
        <w:tabs>
          <w:tab w:val="left" w:pos="3918"/>
        </w:tabs>
        <w:adjustRightInd w:val="0"/>
        <w:snapToGrid w:val="0"/>
        <w:spacing w:line="500" w:lineRule="exact"/>
        <w:ind w:firstLine="472" w:firstLineChars="196"/>
        <w:rPr>
          <w:rFonts w:hint="eastAsia" w:ascii="宋体" w:hAnsi="宋体" w:eastAsia="宋体" w:cs="宋体"/>
          <w:b/>
          <w:color w:val="FF0000"/>
          <w:sz w:val="24"/>
          <w:highlight w:val="none"/>
        </w:rPr>
      </w:pPr>
    </w:p>
    <w:p>
      <w:pPr>
        <w:tabs>
          <w:tab w:val="left" w:pos="3918"/>
        </w:tabs>
        <w:adjustRightInd w:val="0"/>
        <w:snapToGrid w:val="0"/>
        <w:spacing w:line="500" w:lineRule="exact"/>
        <w:ind w:firstLine="472" w:firstLineChars="196"/>
        <w:rPr>
          <w:rFonts w:hint="eastAsia" w:ascii="宋体" w:hAnsi="宋体" w:eastAsia="宋体" w:cs="宋体"/>
          <w:b/>
          <w:color w:val="FF0000"/>
          <w:sz w:val="24"/>
          <w:highlight w:val="none"/>
        </w:rPr>
      </w:pPr>
    </w:p>
    <w:p>
      <w:pPr>
        <w:tabs>
          <w:tab w:val="left" w:pos="3918"/>
        </w:tabs>
        <w:adjustRightInd w:val="0"/>
        <w:snapToGrid w:val="0"/>
        <w:spacing w:line="500" w:lineRule="exact"/>
        <w:ind w:firstLine="472" w:firstLineChars="196"/>
        <w:rPr>
          <w:rFonts w:hint="eastAsia" w:ascii="宋体" w:hAnsi="宋体" w:eastAsia="宋体" w:cs="宋体"/>
          <w:b/>
          <w:color w:val="FF0000"/>
          <w:sz w:val="24"/>
          <w:highlight w:val="none"/>
        </w:rPr>
      </w:pPr>
      <w:r>
        <w:rPr>
          <w:rFonts w:hint="eastAsia" w:ascii="宋体" w:hAnsi="宋体" w:eastAsia="宋体" w:cs="宋体"/>
          <w:b/>
          <w:color w:val="FF0000"/>
          <w:sz w:val="24"/>
          <w:highlight w:val="none"/>
        </w:rPr>
        <w:tab/>
      </w:r>
    </w:p>
    <w:bookmarkEnd w:id="178"/>
    <w:bookmarkEnd w:id="179"/>
    <w:bookmarkEnd w:id="180"/>
    <w:p>
      <w:pPr>
        <w:pStyle w:val="48"/>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p>
    <w:p>
      <w:pPr>
        <w:adjustRightInd w:val="0"/>
        <w:spacing w:line="360" w:lineRule="auto"/>
        <w:ind w:firstLine="482" w:firstLineChars="200"/>
        <w:rPr>
          <w:rFonts w:hint="eastAsia" w:ascii="宋体" w:hAnsi="宋体" w:eastAsia="宋体" w:cs="宋体"/>
          <w:b w:val="0"/>
          <w:bCs w:val="0"/>
          <w:color w:val="auto"/>
          <w:szCs w:val="24"/>
          <w:highlight w:val="none"/>
          <w:lang w:val="en-US" w:eastAsia="zh-CN"/>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90170</wp:posOffset>
                </wp:positionV>
                <wp:extent cx="5487670" cy="437515"/>
                <wp:effectExtent l="4445" t="4445" r="13335" b="15240"/>
                <wp:wrapSquare wrapText="bothSides"/>
                <wp:docPr id="14" name="Text Box 2"/>
                <wp:cNvGraphicFramePr/>
                <a:graphic xmlns:a="http://schemas.openxmlformats.org/drawingml/2006/main">
                  <a:graphicData uri="http://schemas.microsoft.com/office/word/2010/wordprocessingShape">
                    <wps:wsp>
                      <wps:cNvSpPr txBox="1"/>
                      <wps:spPr>
                        <a:xfrm>
                          <a:off x="0" y="0"/>
                          <a:ext cx="548767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3485"/>
                              </w:tabs>
                              <w:spacing w:line="5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注：商务要求为实质性要求，不得负偏离。</w:t>
                            </w:r>
                          </w:p>
                        </w:txbxContent>
                      </wps:txbx>
                      <wps:bodyPr wrap="square" upright="1">
                        <a:noAutofit/>
                      </wps:bodyPr>
                    </wps:wsp>
                  </a:graphicData>
                </a:graphic>
              </wp:anchor>
            </w:drawing>
          </mc:Choice>
          <mc:Fallback>
            <w:pict>
              <v:shape id="Text Box 2" o:spid="_x0000_s1026" o:spt="202" type="#_x0000_t202" style="position:absolute;left:0pt;margin-left:-3.05pt;margin-top:7.1pt;height:34.4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NBuFD9cAAAAI&#10;AQAADwAAAGRycy9kb3ducmV2LnhtbE2PQU/DMAyF70j8h8hIXNCWdhullKY7IIHgNgaCa9Z4bUXi&#10;lCTrxr/HnOBmv/f0/Llen5wVE4Y4eFKQzzMQSK03A3UK3l4fZiWImDQZbT2hgm+MsG7Oz2pdGX+k&#10;F5y2qRNcQrHSCvqUxkrK2PbodJz7EYm9vQ9OJ15DJ03QRy53Vi6yrJBOD8QXej3ifY/t5/bgFJSr&#10;p+kjPi83722xt7fp6mZ6/ApKXV7k2R2IhKf0F4ZffEaHhpl2/kAmCqtgVuScZH21AMF+eV2ysONh&#10;mYNsavn/geYHUEsDBBQAAAAIAIdO4kAWHFbtEQIAAF4EAAAOAAAAZHJzL2Uyb0RvYy54bWytVE2P&#10;0zAQvSPxHyzfadrS7i5R0xVQygUB0i4/wPVHYslfeNwm/feMnW67u3DogRyS8Xj8Zt6bcVb3gzXk&#10;ICNo7xo6m0wpkY57oV3b0F+P23d3lEBiTjDjnWzoUQK9X799s+pDLee+80bISBDEQd2HhnYphbqq&#10;gHfSMpj4IB1uKh8tS7iMbSUi6xHdmmo+nd5UvY8iRM8lAHo34yY9IcZrAL1SmsuN53srXRpRozQs&#10;ISXodAC6LtUqJXn6oRTIRExDkWkqb0yC9i6/q/WK1W1kodP8VAK7poRXnCzTDpOeoTYsMbKP+i8o&#10;q3n04FWacG+rkUhRBFnMpq+0eehYkIULSg3hLDr8P1j+/fAzEi1wEhaUOGax449ySOSTH8g8y9MH&#10;qDHqIWBcGtCNoU9+QGdmPaho8xf5ENxHcY9ncTMYR+dycXd7c4tbHPcW72+Xs2WGqS6nQ4T0VXpL&#10;stHQiM0rmrLDN0hj6FNITgbeaLHVxpRFbHefTSQHho3elueE/iLMONI39MNyvsQ6GE6vwqlB0wZU&#10;AFxb8r04Ac+Bp+X5F3AubMOgGwsoCDmM1VYnGYvVSSa+OEHSMaDIDi8XzcVYKSgxEu9itkpkYtpc&#10;E4naGYcS5haNrchWGnYDwmRz58UR29bjfCO933sWMec+RN12KPCssHX+4z55pYvCl0MnWBy70qPT&#10;Fclz/Xxdoi6/h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BuFD9cAAAAIAQAADwAAAAAAAAAB&#10;ACAAAAAiAAAAZHJzL2Rvd25yZXYueG1sUEsBAhQAFAAAAAgAh07iQBYcVu0RAgAAXgQAAA4AAAAA&#10;AAAAAQAgAAAAJgEAAGRycy9lMm9Eb2MueG1sUEsFBgAAAAAGAAYAWQEAAKkFAAAAAA==&#10;">
                <v:fill on="t" focussize="0,0"/>
                <v:stroke color="#000000" joinstyle="miter"/>
                <v:imagedata o:title=""/>
                <o:lock v:ext="edit" aspectratio="f"/>
                <v:textbox>
                  <w:txbxContent>
                    <w:p>
                      <w:pPr>
                        <w:tabs>
                          <w:tab w:val="left" w:pos="3485"/>
                        </w:tabs>
                        <w:spacing w:line="5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注：商务要求为实质性要求，不得负偏离。</w:t>
                      </w:r>
                    </w:p>
                  </w:txbxContent>
                </v:textbox>
                <w10:wrap type="square"/>
              </v:shape>
            </w:pict>
          </mc:Fallback>
        </mc:AlternateContent>
      </w:r>
    </w:p>
    <w:bookmarkEnd w:id="172"/>
    <w:bookmarkEnd w:id="173"/>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spacing w:before="0" w:after="0" w:line="360" w:lineRule="auto"/>
        <w:jc w:val="center"/>
        <w:rPr>
          <w:rFonts w:hint="eastAsia" w:ascii="宋体" w:hAnsi="宋体" w:eastAsia="宋体" w:cs="宋体"/>
          <w:b/>
          <w:color w:val="auto"/>
          <w:sz w:val="24"/>
          <w:szCs w:val="24"/>
          <w:highlight w:val="none"/>
          <w:lang w:eastAsia="zh-CN"/>
        </w:rPr>
      </w:pPr>
      <w:bookmarkStart w:id="204" w:name="_Toc29050"/>
      <w:bookmarkStart w:id="205" w:name="_Toc16435"/>
      <w:r>
        <w:rPr>
          <w:rFonts w:hint="eastAsia" w:ascii="宋体" w:hAnsi="宋体" w:eastAsia="宋体" w:cs="宋体"/>
          <w:color w:val="auto"/>
          <w:highlight w:val="none"/>
        </w:rPr>
        <w:t>第五章  合同条款</w:t>
      </w:r>
      <w:r>
        <w:rPr>
          <w:rFonts w:hint="eastAsia" w:ascii="宋体" w:hAnsi="宋体" w:eastAsia="宋体" w:cs="宋体"/>
          <w:color w:val="auto"/>
          <w:highlight w:val="none"/>
          <w:lang w:eastAsia="zh-CN"/>
        </w:rPr>
        <w:t>（仅供参考）</w:t>
      </w:r>
      <w:bookmarkEnd w:id="204"/>
      <w:bookmarkEnd w:id="205"/>
    </w:p>
    <w:p>
      <w:pPr>
        <w:spacing w:line="360" w:lineRule="auto"/>
        <w:jc w:val="center"/>
        <w:rPr>
          <w:rFonts w:hint="eastAsia" w:ascii="宋体" w:hAnsi="宋体" w:eastAsia="宋体" w:cs="宋体"/>
          <w:b/>
          <w:color w:val="auto"/>
          <w:sz w:val="48"/>
          <w:szCs w:val="48"/>
          <w:highlight w:val="none"/>
        </w:rPr>
      </w:pPr>
      <w:bookmarkStart w:id="206" w:name="_Toc458617747"/>
      <w:bookmarkStart w:id="207" w:name="_Toc458617470"/>
      <w:r>
        <w:rPr>
          <w:rFonts w:hint="eastAsia" w:ascii="宋体" w:hAnsi="宋体" w:eastAsia="宋体" w:cs="宋体"/>
          <w:b/>
          <w:bCs/>
          <w:color w:val="auto"/>
          <w:sz w:val="48"/>
          <w:szCs w:val="48"/>
          <w:highlight w:val="none"/>
          <w:u w:val="single"/>
        </w:rPr>
        <w:t xml:space="preserve">                   </w:t>
      </w:r>
      <w:r>
        <w:rPr>
          <w:rFonts w:hint="eastAsia" w:ascii="宋体" w:hAnsi="宋体" w:eastAsia="宋体" w:cs="宋体"/>
          <w:b/>
          <w:bCs/>
          <w:color w:val="auto"/>
          <w:sz w:val="48"/>
          <w:szCs w:val="48"/>
          <w:highlight w:val="none"/>
        </w:rPr>
        <w:t>项目</w:t>
      </w: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合同书</w:t>
      </w:r>
    </w:p>
    <w:p>
      <w:pPr>
        <w:jc w:val="center"/>
        <w:rPr>
          <w:rFonts w:hint="eastAsia" w:ascii="宋体" w:hAnsi="宋体" w:eastAsia="宋体" w:cs="宋体"/>
          <w:b/>
          <w:color w:val="auto"/>
          <w:sz w:val="48"/>
          <w:szCs w:val="48"/>
          <w:highlight w:val="none"/>
        </w:rPr>
      </w:pPr>
    </w:p>
    <w:p>
      <w:pPr>
        <w:pStyle w:val="46"/>
        <w:rPr>
          <w:rFonts w:hint="eastAsia" w:ascii="宋体" w:hAnsi="宋体" w:eastAsia="宋体" w:cs="宋体"/>
          <w:color w:val="auto"/>
          <w:highlight w:val="none"/>
        </w:rPr>
      </w:pPr>
    </w:p>
    <w:p>
      <w:pPr>
        <w:pStyle w:val="46"/>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spacing w:line="360" w:lineRule="auto"/>
        <w:ind w:left="2057" w:leftChars="857"/>
        <w:rPr>
          <w:rFonts w:hint="eastAsia" w:ascii="宋体" w:hAnsi="宋体" w:eastAsia="宋体" w:cs="宋体"/>
          <w:color w:val="auto"/>
          <w:sz w:val="26"/>
          <w:highlight w:val="none"/>
          <w:u w:val="single"/>
        </w:rPr>
      </w:pPr>
      <w:r>
        <w:rPr>
          <w:rFonts w:hint="eastAsia" w:ascii="宋体" w:hAnsi="宋体" w:eastAsia="宋体" w:cs="宋体"/>
          <w:color w:val="auto"/>
          <w:sz w:val="26"/>
          <w:highlight w:val="none"/>
        </w:rPr>
        <w:t>合同编号：</w:t>
      </w:r>
      <w:r>
        <w:rPr>
          <w:rFonts w:hint="eastAsia" w:ascii="宋体" w:hAnsi="宋体" w:eastAsia="宋体" w:cs="宋体"/>
          <w:color w:val="auto"/>
          <w:sz w:val="26"/>
          <w:highlight w:val="none"/>
          <w:u w:val="single"/>
        </w:rPr>
        <w:t xml:space="preserve">                         </w:t>
      </w:r>
      <w:r>
        <w:rPr>
          <w:rFonts w:hint="eastAsia" w:ascii="宋体" w:hAnsi="宋体" w:eastAsia="宋体" w:cs="宋体"/>
          <w:color w:val="auto"/>
          <w:sz w:val="26"/>
          <w:highlight w:val="none"/>
          <w:u w:val="single"/>
        </w:rPr>
        <w:cr/>
      </w:r>
    </w:p>
    <w:p>
      <w:pPr>
        <w:spacing w:line="360" w:lineRule="auto"/>
        <w:ind w:left="2057" w:leftChars="857"/>
        <w:rPr>
          <w:rFonts w:hint="eastAsia" w:ascii="宋体" w:hAnsi="宋体" w:eastAsia="宋体" w:cs="宋体"/>
          <w:color w:val="auto"/>
          <w:sz w:val="26"/>
          <w:highlight w:val="none"/>
        </w:rPr>
      </w:pPr>
      <w:r>
        <w:rPr>
          <w:rFonts w:hint="eastAsia" w:ascii="宋体" w:hAnsi="宋体" w:eastAsia="宋体" w:cs="宋体"/>
          <w:color w:val="auto"/>
          <w:sz w:val="26"/>
          <w:highlight w:val="none"/>
        </w:rPr>
        <w:t>合同类别：</w:t>
      </w:r>
      <w:r>
        <w:rPr>
          <w:rFonts w:hint="eastAsia" w:ascii="宋体" w:hAnsi="宋体" w:eastAsia="宋体" w:cs="宋体"/>
          <w:color w:val="auto"/>
          <w:sz w:val="26"/>
          <w:highlight w:val="none"/>
          <w:u w:val="single"/>
        </w:rPr>
        <w:t xml:space="preserve">                         </w:t>
      </w:r>
    </w:p>
    <w:p>
      <w:pPr>
        <w:spacing w:line="360" w:lineRule="auto"/>
        <w:ind w:firstLine="1042" w:firstLineChars="346"/>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spacing w:line="360" w:lineRule="auto"/>
        <w:ind w:right="58" w:rightChars="24" w:firstLine="1620" w:firstLineChars="538"/>
        <w:rPr>
          <w:rFonts w:hint="eastAsia" w:ascii="宋体" w:hAnsi="宋体" w:eastAsia="宋体" w:cs="宋体"/>
          <w:b/>
          <w:color w:val="auto"/>
          <w:sz w:val="30"/>
          <w:szCs w:val="30"/>
          <w:highlight w:val="none"/>
        </w:rPr>
      </w:pPr>
    </w:p>
    <w:p>
      <w:pPr>
        <w:spacing w:line="360" w:lineRule="auto"/>
        <w:ind w:right="58" w:rightChars="24" w:firstLine="1620" w:firstLineChars="538"/>
        <w:rPr>
          <w:rFonts w:hint="eastAsia" w:ascii="宋体" w:hAnsi="宋体" w:eastAsia="宋体" w:cs="宋体"/>
          <w:b/>
          <w:color w:val="auto"/>
          <w:sz w:val="30"/>
          <w:szCs w:val="30"/>
          <w:highlight w:val="none"/>
        </w:rPr>
      </w:pPr>
    </w:p>
    <w:p>
      <w:pPr>
        <w:spacing w:line="360" w:lineRule="auto"/>
        <w:ind w:right="58" w:rightChars="24" w:firstLine="1620" w:firstLineChars="538"/>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甲方：</w:t>
      </w:r>
      <w:r>
        <w:rPr>
          <w:rFonts w:hint="eastAsia" w:ascii="宋体" w:hAnsi="宋体" w:eastAsia="宋体" w:cs="宋体"/>
          <w:b/>
          <w:color w:val="auto"/>
          <w:sz w:val="30"/>
          <w:szCs w:val="30"/>
          <w:highlight w:val="none"/>
          <w:u w:val="single"/>
        </w:rPr>
        <w:t xml:space="preserve">                       </w:t>
      </w:r>
    </w:p>
    <w:p>
      <w:pPr>
        <w:spacing w:line="360" w:lineRule="auto"/>
        <w:ind w:firstLine="1620" w:firstLineChars="538"/>
        <w:rPr>
          <w:rFonts w:hint="eastAsia" w:ascii="宋体" w:hAnsi="宋体" w:eastAsia="宋体" w:cs="宋体"/>
          <w:b/>
          <w:color w:val="auto"/>
          <w:sz w:val="30"/>
          <w:szCs w:val="30"/>
          <w:highlight w:val="none"/>
        </w:rPr>
      </w:pPr>
    </w:p>
    <w:p>
      <w:pPr>
        <w:spacing w:line="360" w:lineRule="auto"/>
        <w:ind w:firstLine="1620" w:firstLineChars="538"/>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乙方：</w:t>
      </w:r>
      <w:r>
        <w:rPr>
          <w:rFonts w:hint="eastAsia" w:ascii="宋体" w:hAnsi="宋体" w:eastAsia="宋体" w:cs="宋体"/>
          <w:b/>
          <w:color w:val="auto"/>
          <w:sz w:val="30"/>
          <w:szCs w:val="30"/>
          <w:highlight w:val="none"/>
          <w:u w:val="single"/>
        </w:rPr>
        <w:t xml:space="preserve">                       </w:t>
      </w:r>
    </w:p>
    <w:p>
      <w:pPr>
        <w:spacing w:line="360" w:lineRule="auto"/>
        <w:jc w:val="both"/>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签订日期：202</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年  月</w:t>
      </w:r>
      <w:r>
        <w:rPr>
          <w:rFonts w:hint="eastAsia" w:ascii="宋体" w:hAnsi="宋体" w:eastAsia="宋体" w:cs="宋体"/>
          <w:b/>
          <w:bCs/>
          <w:color w:val="auto"/>
          <w:sz w:val="36"/>
          <w:szCs w:val="36"/>
          <w:highlight w:val="none"/>
        </w:rPr>
        <w:br w:type="page"/>
      </w:r>
      <w:r>
        <w:rPr>
          <w:rFonts w:hint="eastAsia" w:ascii="宋体" w:hAnsi="宋体" w:eastAsia="宋体" w:cs="宋体"/>
          <w:b/>
          <w:color w:val="auto"/>
          <w:sz w:val="28"/>
          <w:szCs w:val="28"/>
          <w:highlight w:val="none"/>
        </w:rPr>
        <w:t>合同主要条款</w:t>
      </w:r>
    </w:p>
    <w:p>
      <w:pPr>
        <w:keepNext w:val="0"/>
        <w:keepLines w:val="0"/>
        <w:pageBreakBefore w:val="0"/>
        <w:kinsoku/>
        <w:wordWrap/>
        <w:overflowPunct/>
        <w:topLinePunct w:val="0"/>
        <w:bidi w:val="0"/>
        <w:adjustRightInd w:val="0"/>
        <w:snapToGrid w:val="0"/>
        <w:spacing w:line="500" w:lineRule="exact"/>
        <w:ind w:left="0" w:leftChars="0"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根据《中华人民共和国政府采购法》、《中华人民共和国</w:t>
      </w:r>
      <w:r>
        <w:rPr>
          <w:rFonts w:hint="eastAsia" w:ascii="宋体" w:hAnsi="宋体" w:eastAsia="宋体" w:cs="宋体"/>
          <w:bCs/>
          <w:color w:val="auto"/>
          <w:sz w:val="24"/>
          <w:szCs w:val="24"/>
          <w:highlight w:val="none"/>
          <w:lang w:eastAsia="zh-CN"/>
        </w:rPr>
        <w:t>民法典</w:t>
      </w:r>
      <w:r>
        <w:rPr>
          <w:rFonts w:hint="eastAsia" w:ascii="宋体" w:hAnsi="宋体" w:eastAsia="宋体" w:cs="宋体"/>
          <w:bCs/>
          <w:color w:val="auto"/>
          <w:sz w:val="24"/>
          <w:szCs w:val="24"/>
          <w:highlight w:val="none"/>
        </w:rPr>
        <w:t>》等法律法规的规定，甲乙双方就以下项目的磋商结果签订本合同。</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合同标的</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采购方（甲方）：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供货商（乙方）：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keepNext w:val="0"/>
        <w:keepLines w:val="0"/>
        <w:pageBreakBefore w:val="0"/>
        <w:kinsoku/>
        <w:wordWrap/>
        <w:overflowPunct/>
        <w:topLinePunct w:val="0"/>
        <w:bidi w:val="0"/>
        <w:adjustRightInd w:val="0"/>
        <w:snapToGrid w:val="0"/>
        <w:spacing w:line="500" w:lineRule="exact"/>
        <w:ind w:left="0" w:leftChars="0"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乙方根据甲方需求提供下列货物：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，货物名称、规格及数量详见乙方磋商响应文件。</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合同总价款</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分项价款在详见供应商竞争性磋商响应文件。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合同总价即成交价，为一次性报价，不受市场价变化或实际工作量变化的影响。合同价格为含税价，包括但不限于</w:t>
      </w:r>
      <w:r>
        <w:rPr>
          <w:rFonts w:hint="eastAsia" w:ascii="宋体" w:hAnsi="宋体" w:eastAsia="宋体" w:cs="宋体"/>
          <w:color w:val="auto"/>
          <w:sz w:val="24"/>
          <w:szCs w:val="24"/>
          <w:highlight w:val="none"/>
          <w:lang w:val="en-US" w:eastAsia="zh-CN"/>
        </w:rPr>
        <w:t>设备价、包装费、资料费、安装费、现场卸货吊装费、验收检测费、运费、运输保险费、税票</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rPr>
        <w:t>验收等所有应算尽算费用，即所采购设备保证安装调试好即可正常使用而不需在额外购置添加任何其他辅材耗材且不在增加任何费用。</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本合同执行期间合同总价款不变。</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付款方式</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bCs w:val="0"/>
          <w:color w:val="auto"/>
          <w:sz w:val="24"/>
          <w:szCs w:val="24"/>
          <w:highlight w:val="none"/>
        </w:rPr>
      </w:pPr>
      <w:r>
        <w:rPr>
          <w:rFonts w:hint="eastAsia" w:ascii="宋体" w:hAnsi="宋体" w:eastAsia="宋体" w:cs="宋体"/>
          <w:color w:val="auto"/>
          <w:szCs w:val="24"/>
          <w:highlight w:val="none"/>
          <w:lang w:val="en-US" w:eastAsia="zh-CN"/>
        </w:rPr>
        <w:t>电梯安装验收合格后付至合同价的90%，剩余10%质保期满后一次性付清</w:t>
      </w:r>
      <w:r>
        <w:rPr>
          <w:rFonts w:hint="eastAsia" w:ascii="宋体" w:hAnsi="宋体" w:eastAsia="宋体" w:cs="宋体"/>
          <w:color w:val="auto"/>
          <w:szCs w:val="24"/>
          <w:highlight w:val="none"/>
          <w:lang w:val="zh-CN" w:eastAsia="zh-CN"/>
        </w:rPr>
        <w:t>（不计利息）。</w:t>
      </w:r>
      <w:r>
        <w:rPr>
          <w:rFonts w:hint="eastAsia" w:ascii="宋体" w:hAnsi="宋体" w:eastAsia="宋体" w:cs="宋体"/>
          <w:b/>
          <w:bCs w:val="0"/>
          <w:color w:val="auto"/>
          <w:sz w:val="24"/>
          <w:szCs w:val="24"/>
          <w:highlight w:val="none"/>
        </w:rPr>
        <w:t>第四条</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组成本合同的文件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协议书；</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成交通知书、磋商响应文件、磋商文件、澄清、磋商补充文件；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相关服务建议书；</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附录，即：附表内相关服务的范围和内容；</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本合同签订后，双方依法签订的补充协议也是本合同文件的组成部分。</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内容及要求</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即交付的</w:t>
      </w:r>
      <w:r>
        <w:rPr>
          <w:rFonts w:hint="eastAsia" w:ascii="宋体" w:hAnsi="宋体" w:eastAsia="宋体" w:cs="宋体"/>
          <w:color w:val="auto"/>
          <w:sz w:val="24"/>
          <w:szCs w:val="24"/>
          <w:highlight w:val="none"/>
        </w:rPr>
        <w:t>货物（设备）</w:t>
      </w:r>
      <w:r>
        <w:rPr>
          <w:rFonts w:hint="eastAsia" w:ascii="宋体" w:hAnsi="宋体" w:eastAsia="宋体" w:cs="宋体"/>
          <w:bCs/>
          <w:color w:val="auto"/>
          <w:sz w:val="24"/>
          <w:szCs w:val="24"/>
          <w:highlight w:val="none"/>
        </w:rPr>
        <w:t>、服务内容、数量与磋商响应文件、磋商文件等所指明的，或者与本合同所指明的</w:t>
      </w:r>
      <w:r>
        <w:rPr>
          <w:rFonts w:hint="eastAsia" w:ascii="宋体" w:hAnsi="宋体" w:eastAsia="宋体" w:cs="宋体"/>
          <w:color w:val="auto"/>
          <w:sz w:val="24"/>
          <w:szCs w:val="24"/>
          <w:highlight w:val="none"/>
        </w:rPr>
        <w:t>货物（设备）</w:t>
      </w:r>
      <w:r>
        <w:rPr>
          <w:rFonts w:hint="eastAsia" w:ascii="宋体" w:hAnsi="宋体" w:eastAsia="宋体" w:cs="宋体"/>
          <w:bCs/>
          <w:color w:val="auto"/>
          <w:sz w:val="24"/>
          <w:szCs w:val="24"/>
          <w:highlight w:val="none"/>
        </w:rPr>
        <w:t>、服务内容相一致（附清单）。</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交货地点  </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采购人指定地点。</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运输、安装、调试要求 </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成交单位可根据服务期、运输条件自行选择运输方式（另有规定的除外），承担一切运输费用。</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供应商安装及试运行，应在合同规定的安装调试期内完成该项工作。如因供应商责任而造成延期，每超过一天按合同总价款的（1‰）支付采购人误期赔偿金，直至交货或提供服务结束为止，所有因延期而产生的费用由供应商承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安装和调试期间所发生的费用均由供应商负责。供应商应对安装调试、整改等实施过程的安全负责，如发生人身伤亡、财产损失的由供应商负责解决并承担全部责任。</w:t>
      </w:r>
    </w:p>
    <w:p>
      <w:pPr>
        <w:keepNext w:val="0"/>
        <w:keepLines w:val="0"/>
        <w:pageBreakBefore w:val="0"/>
        <w:kinsoku/>
        <w:wordWrap/>
        <w:overflowPunct/>
        <w:topLinePunct w:val="0"/>
        <w:autoSpaceDE w:val="0"/>
        <w:autoSpaceDN w:val="0"/>
        <w:bidi w:val="0"/>
        <w:adjustRightInd w:val="0"/>
        <w:snapToGrid w:val="0"/>
        <w:spacing w:line="500" w:lineRule="exact"/>
        <w:ind w:left="0" w:left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第八条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质量保证</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所选原材料必须保证质量可靠、进货渠道正规，符合国家相关标准，并满足磋商文件要求。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所供成品保证质量合格，符合国家有关技术规范，确保无水货、假货、翻新货及残次品，并能按期交货。</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保证所供货物在装卸、运输和仓储过程中有足够的包装保护，防止货物受潮、腐烂、遭受冲撞及其他不可预见的损坏。</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在质保期内，如果发现货物的质量、规格、技术指标等存在与合同中任何一项不符，采购单位应在最短时间内，以书面形式向成交单位提出索赔，同时通告采购代理机构。</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保修期内，损坏部件的修理费、往返运保费等均由成交单位承担。保修期外，只收取单程的运保费及已维修的元器件成本费，未尽事宜由双方协商解决。</w:t>
      </w:r>
    </w:p>
    <w:p>
      <w:pPr>
        <w:pStyle w:val="16"/>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7.成交供应商所供货物，若发生侵权而产生的一切后果，由成交供应商负责。采购人保留索赔权力。</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技术保障</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成交单位应随同货物提供相应的中文技术文件（包括产品合格证、装箱清单、操作手册、使用说明、检测报告、维护手册、服务指南等资料）,现场安装、调试技术保障服务。</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交货和验收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乙方应当在合同签订后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日历天将货物安装调试完毕交付甲方正常使用，地点由甲方指定。磋商文件有约定的，从其约定。</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交付的货物应当完全符合本合同或者磋商文件、磋商响应文件所规定的货物、数量和规格要求。乙方提供的货物不符合磋商文件、磋商响应文件和合同规定的，甲方有权拒收货物，由此引起的风险，由乙方承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货物的到货验收包括：型号、规格、数量、外观质量、及货物包装是否完好等。交货验收时须提供产品质监部门的检测报告。</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货物和系统调试验收的标准：按行业通行标准、厂方出厂标准和乙方磋商响应文件的承诺（详见合同附件载明的标准，并不低于国家相关标准）</w:t>
      </w:r>
      <w:r>
        <w:rPr>
          <w:rFonts w:hint="eastAsia" w:ascii="宋体" w:hAnsi="宋体" w:eastAsia="宋体" w:cs="宋体"/>
          <w:b/>
          <w:color w:val="auto"/>
          <w:sz w:val="24"/>
          <w:szCs w:val="24"/>
          <w:highlight w:val="none"/>
        </w:rPr>
        <w:t>。</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检验与验收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交货前，采购人应对项目的质量、规格、型号、数量等进行准确而全面的检验，对其产品技术指标、性能参数、样式、以及质量是否达到现行国家有关验收规范“合格”标准、是否按照采购人要求安装到位、是否按照采购人要求进行调试和提供相关培训、是否在规定时间内安装完毕、所有产品的配套包装是否完好无损等进行逐项检查。</w:t>
      </w:r>
      <w:r>
        <w:rPr>
          <w:rFonts w:hint="eastAsia" w:ascii="宋体" w:hAnsi="宋体" w:eastAsia="宋体" w:cs="宋体"/>
          <w:bCs/>
          <w:color w:val="auto"/>
          <w:sz w:val="24"/>
          <w:szCs w:val="24"/>
          <w:highlight w:val="none"/>
          <w:lang w:val="zh-CN"/>
        </w:rPr>
        <w:t>供货商提供的货物不符合</w:t>
      </w:r>
      <w:r>
        <w:rPr>
          <w:rFonts w:hint="eastAsia" w:ascii="宋体" w:hAnsi="宋体" w:eastAsia="宋体" w:cs="宋体"/>
          <w:bCs/>
          <w:color w:val="auto"/>
          <w:sz w:val="24"/>
          <w:szCs w:val="24"/>
          <w:highlight w:val="none"/>
        </w:rPr>
        <w:t>磋商文件、磋商响应</w:t>
      </w:r>
      <w:r>
        <w:rPr>
          <w:rFonts w:hint="eastAsia" w:ascii="宋体" w:hAnsi="宋体" w:eastAsia="宋体" w:cs="宋体"/>
          <w:bCs/>
          <w:color w:val="auto"/>
          <w:sz w:val="24"/>
          <w:szCs w:val="24"/>
          <w:highlight w:val="none"/>
          <w:lang w:val="zh-CN"/>
        </w:rPr>
        <w:t>文件和合同规定的，采购人有权拒收货物，由此引起的风险，由供货商承担。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 xml:space="preserve"> 2</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rPr>
        <w:t>通过检验的货物方可进行安装、调试、达到使用条件时由采购单位负责组织按磋商文件、磋商响应文件、澄清函等技术指标进行验收，或者邀请有关专家、质检机构共同进行验收；验收合格须交接项目实施的全部资料，并填写政府采购项目验收报告单。验收须以合同、</w:t>
      </w:r>
      <w:r>
        <w:rPr>
          <w:rFonts w:hint="eastAsia" w:ascii="宋体" w:hAnsi="宋体" w:eastAsia="宋体" w:cs="宋体"/>
          <w:bCs/>
          <w:color w:val="auto"/>
          <w:sz w:val="24"/>
          <w:szCs w:val="24"/>
          <w:highlight w:val="none"/>
        </w:rPr>
        <w:t>磋商文件、磋商响应</w:t>
      </w:r>
      <w:r>
        <w:rPr>
          <w:rFonts w:hint="eastAsia" w:ascii="宋体" w:hAnsi="宋体" w:eastAsia="宋体" w:cs="宋体"/>
          <w:color w:val="auto"/>
          <w:sz w:val="24"/>
          <w:szCs w:val="24"/>
          <w:highlight w:val="none"/>
        </w:rPr>
        <w:t>文件、澄清、及国家相应的标准、规范等为依据验收标准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验收标准</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与采购人应严格按照《中华人民共和国政府采购法》、《中华人民共和国政府采购法实施条例》等法律以及合同、磋商文件等相关文件要求进行验收。</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质保期为验收合格后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年，质保期内出现质量问题，乙方在接到通知后尽快响应到场，完成维修或更换，并承担修理调换费用；如货物经乙方</w:t>
      </w:r>
      <w:r>
        <w:rPr>
          <w:rFonts w:hint="eastAsia" w:ascii="宋体" w:hAnsi="宋体" w:eastAsia="宋体" w:cs="宋体"/>
          <w:bCs/>
          <w:color w:val="auto"/>
          <w:sz w:val="24"/>
          <w:szCs w:val="24"/>
          <w:highlight w:val="none"/>
          <w:u w:val="single"/>
        </w:rPr>
        <w:t xml:space="preserve"> 2  </w:t>
      </w:r>
      <w:r>
        <w:rPr>
          <w:rFonts w:hint="eastAsia" w:ascii="宋体" w:hAnsi="宋体" w:eastAsia="宋体" w:cs="宋体"/>
          <w:bCs/>
          <w:color w:val="auto"/>
          <w:sz w:val="24"/>
          <w:szCs w:val="24"/>
          <w:highlight w:val="none"/>
        </w:rPr>
        <w:t>次维修仍不能达到本合同约定的质量标准，视作乙方未能按时交货，甲方有权退货并追究乙方的违约责任。货到现场后由于甲方保管不当造成的问题，乙方亦应负责修复，但费用由甲方负担。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乙方须指派专人负责与甲方联系售后服务事宜。</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质保期内</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（1）同一主要部件出现质量问题经过两次维修后仍无法正常使用，可以更换同型号、同规格的产品；</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（2）30天内，如出现质量问题，可以选择换货或退货；</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（3）30天至60天内，如出现质量问题，可选择换货。</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（4）发生质量问题，接到采购人通知后：</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服务响应时间不超过2小时，明确解决问题方案不超过2小时；</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应于当日2小时内派出专业的维修人员到现场进行检测维修，发生的全部费用由成交供应商承担，若需送回生产厂家，成交供应商承担往返费用；</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排除故障的期限不得超过2个工作日，否则采购人有权指定第三方维修，维修费用由成交供应商承担</w:t>
      </w:r>
      <w:r>
        <w:rPr>
          <w:rFonts w:hint="eastAsia" w:ascii="宋体" w:hAnsi="宋体" w:eastAsia="宋体" w:cs="宋体"/>
          <w:bCs/>
          <w:color w:val="auto"/>
          <w:sz w:val="24"/>
          <w:szCs w:val="24"/>
          <w:highlight w:val="none"/>
          <w:lang w:eastAsia="zh-CN"/>
        </w:rPr>
        <w:t>；</w:t>
      </w:r>
    </w:p>
    <w:p>
      <w:pPr>
        <w:keepNext w:val="0"/>
        <w:keepLines w:val="0"/>
        <w:pageBreakBefore w:val="0"/>
        <w:numPr>
          <w:ilvl w:val="0"/>
          <w:numId w:val="4"/>
        </w:numPr>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款项结清前，对所供产品进行一次全面保养和维护</w:t>
      </w:r>
      <w:r>
        <w:rPr>
          <w:rFonts w:hint="eastAsia" w:ascii="宋体" w:hAnsi="宋体" w:eastAsia="宋体" w:cs="宋体"/>
          <w:bCs/>
          <w:color w:val="auto"/>
          <w:sz w:val="24"/>
          <w:szCs w:val="24"/>
          <w:highlight w:val="none"/>
          <w:lang w:eastAsia="zh-CN"/>
        </w:rPr>
        <w:t>。</w:t>
      </w:r>
    </w:p>
    <w:p>
      <w:pPr>
        <w:pStyle w:val="16"/>
        <w:keepNext w:val="0"/>
        <w:keepLines w:val="0"/>
        <w:pageBreakBefore w:val="0"/>
        <w:numPr>
          <w:ilvl w:val="0"/>
          <w:numId w:val="0"/>
        </w:numPr>
        <w:kinsoku/>
        <w:wordWrap/>
        <w:overflowPunct/>
        <w:topLinePunct w:val="0"/>
        <w:bidi w:val="0"/>
        <w:adjustRightInd w:val="0"/>
        <w:snapToGrid w:val="0"/>
        <w:spacing w:after="0" w:line="500" w:lineRule="exact"/>
        <w:ind w:left="0" w:left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4.质保期满后：供应商应保证以合理的价格提供维护和保养服务，当发生质量问题时，供应商应按质保期内相同的服务标准进行维护处理。</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第十二条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保密</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对工作中了解到的采购人的技术、机密等进行严格保密，不得向他人泄漏。本合同的解除或终止不免除供应商应承担的保密义务。</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第十三条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权利保证</w:t>
      </w:r>
      <w:r>
        <w:rPr>
          <w:rFonts w:hint="eastAsia" w:ascii="宋体" w:hAnsi="宋体" w:eastAsia="宋体" w:cs="宋体"/>
          <w:b/>
          <w:color w:val="auto"/>
          <w:sz w:val="24"/>
          <w:szCs w:val="24"/>
          <w:highlight w:val="none"/>
        </w:rPr>
        <w:t xml:space="preserve">   </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乙方应保证甲方在使用该货物或其任何一部分时不受第三方提出侵犯其专利权、版权、商标权或其他权利的起诉。一旦出现侵权，乙方应承担全部责任。</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合同争议的解决</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合同执行中发生争议的，当事人双方应协商解决。协商达不成一致时，可向当地行政仲裁机关申请仲裁或者向人民法院提请诉讼。</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不可抗力情况下的免责约定</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合同的终止、变更</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合同一经签订，不得擅自变更、中止或者终止合同。对确需变更、调整或者中止、终止合同的，应按规定履行相应的手续。</w:t>
      </w:r>
    </w:p>
    <w:p>
      <w:pPr>
        <w:keepNext w:val="0"/>
        <w:keepLines w:val="0"/>
        <w:pageBreakBefore w:val="0"/>
        <w:widowControl/>
        <w:kinsoku/>
        <w:wordWrap/>
        <w:overflowPunct/>
        <w:topLinePunct w:val="0"/>
        <w:bidi w:val="0"/>
        <w:adjustRightInd w:val="0"/>
        <w:snapToGrid w:val="0"/>
        <w:spacing w:line="500" w:lineRule="exact"/>
        <w:ind w:left="0" w:left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合同的转让</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乙</w:t>
      </w:r>
      <w:r>
        <w:rPr>
          <w:rFonts w:hint="eastAsia" w:ascii="宋体" w:hAnsi="宋体" w:eastAsia="宋体" w:cs="宋体"/>
          <w:color w:val="auto"/>
          <w:sz w:val="24"/>
          <w:szCs w:val="24"/>
          <w:highlight w:val="none"/>
          <w:lang w:val="zh-CN"/>
        </w:rPr>
        <w:t>方不得擅自部分或全部转让其应履行的合同义务。</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第十八条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违约责任</w:t>
      </w:r>
    </w:p>
    <w:p>
      <w:pPr>
        <w:pStyle w:val="59"/>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未能按要求时间及数量交付合同设备的，应向</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支付迟延交货违约金。迟延交付违约金计算方法如下：</w:t>
      </w:r>
    </w:p>
    <w:p>
      <w:pPr>
        <w:pStyle w:val="59"/>
        <w:keepNext w:val="0"/>
        <w:keepLines w:val="0"/>
        <w:pageBreakBefore w:val="0"/>
        <w:kinsoku/>
        <w:wordWrap/>
        <w:overflowPunct/>
        <w:topLinePunct w:val="0"/>
        <w:bidi w:val="0"/>
        <w:adjustRightInd w:val="0"/>
        <w:snapToGrid w:val="0"/>
        <w:spacing w:line="500" w:lineRule="exact"/>
        <w:ind w:left="0" w:leftChars="0"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延迟交付违约金=延迟交付设备金额×2‰×延迟交货天数</w:t>
      </w:r>
      <w:r>
        <w:rPr>
          <w:rFonts w:hint="eastAsia" w:ascii="宋体" w:hAnsi="宋体" w:eastAsia="宋体" w:cs="宋体"/>
          <w:bCs/>
          <w:color w:val="auto"/>
          <w:sz w:val="24"/>
          <w:szCs w:val="24"/>
          <w:highlight w:val="none"/>
          <w:lang w:eastAsia="zh-CN"/>
        </w:rPr>
        <w:t>。</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逾期交货或因产品质量问题致</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解除合同的，</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还应向</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支付合同总金额30%的违约金，违约金不足以弥补</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损失的，还应当赔偿损失。</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》、《中华人民共和国政府采购法》的相关条款和本合同约定，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未全面履行合同义务或者发生违约，采购单位会同采购代理机构有权终止合同，依法向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要求经济索赔，并报请政府采购监督管理机关进行相应的行政处罚。采购单位违约的，应当赔偿给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造成的经济损失。</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第十九条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zh-CN"/>
        </w:rPr>
        <w:t>合同生效及其他</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1.本合同自签订之日起生效。</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2.本合同一式肆份，甲乙双方各执贰份。</w:t>
      </w:r>
    </w:p>
    <w:p>
      <w:pPr>
        <w:keepNext w:val="0"/>
        <w:keepLines w:val="0"/>
        <w:pageBreakBefore w:val="0"/>
        <w:kinsoku/>
        <w:wordWrap/>
        <w:overflowPunct/>
        <w:topLinePunct w:val="0"/>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3.本合同应按照中华人民共和国的现行法律进行解释。</w:t>
      </w:r>
    </w:p>
    <w:p>
      <w:pPr>
        <w:pStyle w:val="16"/>
        <w:keepNext w:val="0"/>
        <w:keepLines w:val="0"/>
        <w:pageBreakBefore w:val="0"/>
        <w:kinsoku/>
        <w:wordWrap/>
        <w:overflowPunct/>
        <w:topLinePunct w:val="0"/>
        <w:bidi w:val="0"/>
        <w:adjustRightInd w:val="0"/>
        <w:snapToGrid w:val="0"/>
        <w:spacing w:after="0" w:line="500" w:lineRule="exact"/>
        <w:ind w:left="0" w:leftChars="0" w:firstLine="0" w:firstLineChars="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（盖章）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 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adjustRightInd w:val="0"/>
        <w:snapToGrid w:val="0"/>
        <w:spacing w:line="500" w:lineRule="exact"/>
        <w:ind w:left="0" w:leftChars="0"/>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N w:val="0"/>
        <w:spacing w:line="480" w:lineRule="exact"/>
        <w:ind w:firstLine="480" w:firstLineChars="200"/>
        <w:rPr>
          <w:rFonts w:hint="eastAsia" w:ascii="宋体" w:hAnsi="宋体" w:eastAsia="宋体" w:cs="宋体"/>
          <w:color w:val="auto"/>
          <w:kern w:val="0"/>
          <w:sz w:val="24"/>
          <w:highlight w:val="none"/>
        </w:rPr>
      </w:pPr>
    </w:p>
    <w:p>
      <w:pPr>
        <w:autoSpaceDE w:val="0"/>
        <w:autoSpaceDN w:val="0"/>
        <w:adjustRightInd w:val="0"/>
        <w:snapToGrid w:val="0"/>
        <w:spacing w:line="360" w:lineRule="auto"/>
        <w:jc w:val="center"/>
        <w:rPr>
          <w:rFonts w:hint="eastAsia" w:ascii="宋体" w:hAnsi="宋体" w:eastAsia="宋体" w:cs="宋体"/>
          <w:b/>
          <w:bCs/>
          <w:color w:val="auto"/>
          <w:sz w:val="24"/>
          <w:highlight w:val="none"/>
          <w:lang w:val="zh-CN"/>
        </w:rPr>
      </w:pPr>
    </w:p>
    <w:p>
      <w:pPr>
        <w:autoSpaceDE w:val="0"/>
        <w:autoSpaceDN w:val="0"/>
        <w:adjustRightInd w:val="0"/>
        <w:snapToGrid w:val="0"/>
        <w:spacing w:line="360" w:lineRule="auto"/>
        <w:jc w:val="center"/>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备注：此合同内容仅供参考，具体事宜由采购人与供应商协商。</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numPr>
          <w:ilvl w:val="0"/>
          <w:numId w:val="5"/>
        </w:numPr>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08" w:name="_Toc15071"/>
      <w:bookmarkStart w:id="209" w:name="_Toc8066"/>
      <w:r>
        <w:rPr>
          <w:rFonts w:hint="eastAsia" w:ascii="宋体" w:hAnsi="宋体" w:eastAsia="宋体" w:cs="宋体"/>
          <w:color w:val="auto"/>
          <w:highlight w:val="none"/>
        </w:rPr>
        <w:t>投标文件</w:t>
      </w:r>
      <w:bookmarkEnd w:id="206"/>
      <w:bookmarkEnd w:id="207"/>
      <w:r>
        <w:rPr>
          <w:rFonts w:hint="eastAsia" w:ascii="宋体" w:hAnsi="宋体" w:eastAsia="宋体" w:cs="宋体"/>
          <w:color w:val="auto"/>
          <w:highlight w:val="none"/>
          <w:lang w:val="en-US" w:eastAsia="zh-CN"/>
        </w:rPr>
        <w:t>组成</w:t>
      </w:r>
      <w:bookmarkEnd w:id="208"/>
      <w:bookmarkEnd w:id="209"/>
    </w:p>
    <w:p>
      <w:pPr>
        <w:spacing w:line="48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一、投标文件格式</w:t>
      </w:r>
    </w:p>
    <w:p>
      <w:pPr>
        <w:spacing w:line="48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二、资质证明文件</w:t>
      </w:r>
    </w:p>
    <w:p>
      <w:pPr>
        <w:spacing w:line="48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三、符合性证明文件</w:t>
      </w:r>
    </w:p>
    <w:p>
      <w:pPr>
        <w:spacing w:line="480" w:lineRule="auto"/>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4"/>
          <w:szCs w:val="24"/>
          <w:highlight w:val="none"/>
          <w:lang w:val="en-US" w:eastAsia="zh-CN"/>
        </w:rPr>
        <w:t>四、投标方案</w:t>
      </w:r>
    </w:p>
    <w:p>
      <w:pPr>
        <w:spacing w:line="360" w:lineRule="auto"/>
        <w:ind w:firstLine="4003" w:firstLineChars="1246"/>
        <w:rPr>
          <w:rFonts w:hint="eastAsia" w:ascii="宋体" w:hAnsi="宋体" w:eastAsia="宋体" w:cs="宋体"/>
          <w:b/>
          <w:color w:val="auto"/>
          <w:sz w:val="32"/>
          <w:szCs w:val="32"/>
          <w:highlight w:val="none"/>
        </w:rPr>
      </w:pPr>
    </w:p>
    <w:p>
      <w:pPr>
        <w:spacing w:line="360" w:lineRule="auto"/>
        <w:ind w:firstLine="4003" w:firstLineChars="1246"/>
        <w:rPr>
          <w:rFonts w:hint="eastAsia" w:ascii="宋体" w:hAnsi="宋体" w:eastAsia="宋体" w:cs="宋体"/>
          <w:b/>
          <w:color w:val="auto"/>
          <w:sz w:val="32"/>
          <w:szCs w:val="32"/>
          <w:highlight w:val="none"/>
        </w:rPr>
      </w:pPr>
    </w:p>
    <w:p>
      <w:pPr>
        <w:spacing w:line="360" w:lineRule="auto"/>
        <w:ind w:firstLine="4003" w:firstLineChars="1246"/>
        <w:rPr>
          <w:rFonts w:hint="eastAsia" w:ascii="宋体" w:hAnsi="宋体" w:eastAsia="宋体" w:cs="宋体"/>
          <w:b/>
          <w:color w:val="auto"/>
          <w:sz w:val="32"/>
          <w:szCs w:val="32"/>
          <w:highlight w:val="none"/>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highlight w:val="none"/>
          <w:lang w:val="en-US" w:eastAsia="zh-CN"/>
        </w:rPr>
      </w:pPr>
    </w:p>
    <w:p>
      <w:pPr>
        <w:spacing w:line="360" w:lineRule="auto"/>
        <w:jc w:val="both"/>
        <w:rPr>
          <w:rFonts w:hint="eastAsia" w:ascii="宋体" w:hAnsi="宋体" w:eastAsia="宋体" w:cs="宋体"/>
          <w:b/>
          <w:bCs/>
          <w:color w:val="auto"/>
          <w:szCs w:val="24"/>
          <w:highlight w:val="none"/>
        </w:rPr>
      </w:pPr>
      <w:r>
        <w:rPr>
          <w:rFonts w:hint="eastAsia" w:ascii="宋体" w:hAnsi="宋体" w:eastAsia="宋体" w:cs="宋体"/>
          <w:b/>
          <w:bCs/>
          <w:highlight w:val="none"/>
          <w:lang w:val="en-US" w:eastAsia="zh-CN"/>
        </w:rPr>
        <w:t>注：</w:t>
      </w:r>
      <w:r>
        <w:rPr>
          <w:rFonts w:hint="eastAsia" w:ascii="宋体" w:hAnsi="宋体" w:eastAsia="宋体" w:cs="宋体"/>
          <w:b/>
          <w:bCs/>
          <w:color w:val="auto"/>
          <w:szCs w:val="24"/>
          <w:highlight w:val="none"/>
        </w:rPr>
        <w:t>投标文件编制说明</w:t>
      </w:r>
    </w:p>
    <w:p>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1</w:t>
      </w:r>
      <w:r>
        <w:rPr>
          <w:rFonts w:hint="eastAsia" w:ascii="宋体" w:hAnsi="宋体" w:eastAsia="宋体" w:cs="宋体"/>
          <w:b/>
          <w:bCs/>
          <w:color w:val="auto"/>
          <w:szCs w:val="24"/>
          <w:highlight w:val="none"/>
        </w:rPr>
        <w:t>、投标文件的编制应按照样本格式提供的内容，做出逐一明确的答复；投标人认为有必要，还可以做其它补充说明。</w:t>
      </w:r>
    </w:p>
    <w:p>
      <w:pPr>
        <w:spacing w:line="360" w:lineRule="auto"/>
        <w:ind w:firstLine="482" w:firstLineChars="200"/>
        <w:rPr>
          <w:rFonts w:hint="eastAsia" w:ascii="宋体" w:hAnsi="宋体" w:eastAsia="宋体" w:cs="宋体"/>
          <w:b/>
          <w:color w:val="auto"/>
          <w:sz w:val="32"/>
          <w:szCs w:val="32"/>
          <w:highlight w:val="none"/>
        </w:rPr>
      </w:pP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rPr>
        <w:t>、投标人必须按照招标文件的规定和要求由法定代表人或被授权人签字（或盖章），并加盖投标人公章。</w:t>
      </w:r>
    </w:p>
    <w:p>
      <w:pPr>
        <w:spacing w:line="360" w:lineRule="auto"/>
        <w:ind w:firstLine="4003" w:firstLineChars="1246"/>
        <w:rPr>
          <w:rFonts w:hint="eastAsia" w:ascii="宋体" w:hAnsi="宋体" w:eastAsia="宋体" w:cs="宋体"/>
          <w:b/>
          <w:color w:val="auto"/>
          <w:sz w:val="32"/>
          <w:szCs w:val="32"/>
          <w:highlight w:val="none"/>
        </w:rPr>
      </w:pPr>
    </w:p>
    <w:p>
      <w:pPr>
        <w:pStyle w:val="4"/>
        <w:rPr>
          <w:rFonts w:hint="eastAsia" w:ascii="宋体" w:hAnsi="宋体" w:eastAsia="宋体" w:cs="宋体"/>
          <w:highlight w:val="none"/>
          <w:lang w:val="en-US" w:eastAsia="zh-CN"/>
        </w:rPr>
      </w:pPr>
      <w:bookmarkStart w:id="210" w:name="_Toc31396"/>
      <w:bookmarkStart w:id="211" w:name="_Toc25810"/>
      <w:bookmarkStart w:id="212" w:name="_Toc24096"/>
      <w:r>
        <w:rPr>
          <w:rFonts w:hint="eastAsia" w:ascii="宋体" w:hAnsi="宋体" w:eastAsia="宋体" w:cs="宋体"/>
          <w:highlight w:val="none"/>
          <w:lang w:val="en-US" w:eastAsia="zh-CN"/>
        </w:rPr>
        <w:t>一、投标文件格式</w:t>
      </w:r>
      <w:bookmarkEnd w:id="210"/>
      <w:bookmarkEnd w:id="211"/>
      <w:bookmarkEnd w:id="212"/>
    </w:p>
    <w:p>
      <w:pPr>
        <w:pStyle w:val="4"/>
        <w:rPr>
          <w:rFonts w:hint="eastAsia" w:ascii="宋体" w:hAnsi="宋体" w:eastAsia="宋体" w:cs="宋体"/>
          <w:sz w:val="28"/>
          <w:szCs w:val="28"/>
          <w:highlight w:val="none"/>
          <w:lang w:val="en-US" w:eastAsia="zh-CN"/>
        </w:rPr>
      </w:pPr>
      <w:bookmarkStart w:id="213" w:name="_Toc26919"/>
      <w:bookmarkStart w:id="214" w:name="_Toc16151"/>
      <w:bookmarkStart w:id="215" w:name="_Toc15126"/>
      <w:r>
        <w:rPr>
          <w:rFonts w:hint="eastAsia" w:ascii="宋体" w:hAnsi="宋体" w:eastAsia="宋体" w:cs="宋体"/>
          <w:sz w:val="28"/>
          <w:szCs w:val="28"/>
          <w:highlight w:val="none"/>
          <w:lang w:val="en-US" w:eastAsia="zh-CN"/>
        </w:rPr>
        <w:t>1.封面</w:t>
      </w:r>
      <w:bookmarkEnd w:id="213"/>
      <w:bookmarkEnd w:id="214"/>
      <w:bookmarkEnd w:id="215"/>
    </w:p>
    <w:p>
      <w:pPr>
        <w:rPr>
          <w:rFonts w:hint="eastAsia" w:ascii="宋体" w:hAnsi="宋体" w:eastAsia="宋体" w:cs="宋体"/>
          <w:color w:val="auto"/>
          <w:highlight w:val="none"/>
        </w:rPr>
      </w:pPr>
    </w:p>
    <w:p>
      <w:pPr>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bdr w:val="single" w:color="auto" w:sz="4" w:space="0"/>
          <w:shd w:val="pct10" w:color="auto" w:fill="FFFFFF"/>
        </w:rPr>
        <w:t>政府采购项目</w:t>
      </w:r>
    </w:p>
    <w:p>
      <w:pPr>
        <w:spacing w:line="360" w:lineRule="auto"/>
        <w:rPr>
          <w:rFonts w:hint="eastAsia" w:ascii="宋体" w:hAnsi="宋体" w:eastAsia="宋体" w:cs="宋体"/>
          <w:b/>
          <w:color w:val="auto"/>
          <w:sz w:val="36"/>
          <w:szCs w:val="36"/>
          <w:highlight w:val="none"/>
          <w:shd w:val="clear"/>
          <w:lang w:val="en-US" w:eastAsia="zh-CN"/>
        </w:rPr>
      </w:pPr>
      <w:r>
        <w:rPr>
          <w:rFonts w:hint="eastAsia" w:ascii="宋体" w:hAnsi="宋体" w:eastAsia="宋体" w:cs="宋体"/>
          <w:b/>
          <w:color w:val="auto"/>
          <w:sz w:val="36"/>
          <w:szCs w:val="36"/>
          <w:highlight w:val="none"/>
        </w:rPr>
        <w:t>文件编号:</w:t>
      </w:r>
      <w:r>
        <w:rPr>
          <w:rFonts w:hint="eastAsia" w:ascii="宋体" w:hAnsi="宋体" w:eastAsia="宋体" w:cs="宋体"/>
          <w:b/>
          <w:color w:val="auto"/>
          <w:sz w:val="36"/>
          <w:szCs w:val="36"/>
          <w:highlight w:val="none"/>
          <w:shd w:val="clear"/>
        </w:rPr>
        <w:t xml:space="preserve"> </w:t>
      </w:r>
      <w:r>
        <w:rPr>
          <w:rFonts w:hint="eastAsia" w:ascii="宋体" w:hAnsi="宋体" w:eastAsia="宋体" w:cs="宋体"/>
          <w:b/>
          <w:sz w:val="36"/>
          <w:szCs w:val="36"/>
          <w:highlight w:val="none"/>
          <w:lang w:eastAsia="zh-CN"/>
        </w:rPr>
        <w:t>BJFMT2022(043)号</w:t>
      </w:r>
      <w:r>
        <w:rPr>
          <w:rFonts w:hint="eastAsia" w:ascii="宋体" w:hAnsi="宋体" w:eastAsia="宋体" w:cs="宋体"/>
          <w:b/>
          <w:sz w:val="36"/>
          <w:szCs w:val="36"/>
          <w:highlight w:val="none"/>
          <w:lang w:val="en-US" w:eastAsia="zh-CN"/>
        </w:rPr>
        <w:t xml:space="preserve">             </w:t>
      </w:r>
    </w:p>
    <w:p>
      <w:pPr>
        <w:outlineLvl w:val="9"/>
        <w:rPr>
          <w:rFonts w:hint="eastAsia" w:ascii="宋体" w:hAnsi="宋体" w:eastAsia="宋体" w:cs="宋体"/>
          <w:color w:val="auto"/>
          <w:highlight w:val="none"/>
          <w:lang w:val="en-US" w:eastAsia="zh-CN"/>
        </w:rPr>
      </w:pPr>
    </w:p>
    <w:p>
      <w:pPr>
        <w:pStyle w:val="2"/>
        <w:jc w:val="center"/>
        <w:rPr>
          <w:rFonts w:hint="eastAsia" w:ascii="宋体" w:hAnsi="宋体" w:eastAsia="宋体" w:cs="宋体"/>
          <w:color w:val="auto"/>
          <w:sz w:val="22"/>
          <w:szCs w:val="21"/>
          <w:highlight w:val="none"/>
          <w:lang w:val="en-US" w:eastAsia="zh-CN"/>
        </w:rPr>
      </w:pPr>
      <w:r>
        <w:rPr>
          <w:rFonts w:hint="eastAsia" w:ascii="宋体" w:hAnsi="宋体" w:eastAsia="宋体" w:cs="宋体"/>
          <w:b/>
          <w:bCs/>
          <w:color w:val="auto"/>
          <w:sz w:val="52"/>
          <w:szCs w:val="52"/>
          <w:highlight w:val="none"/>
          <w:lang w:eastAsia="zh-CN"/>
        </w:rPr>
        <w:t>关于对特困供养对象生活用房2号楼、3号楼加装外挂式医用电梯项目</w:t>
      </w:r>
    </w:p>
    <w:p>
      <w:pPr>
        <w:spacing w:line="360" w:lineRule="auto"/>
        <w:jc w:val="center"/>
        <w:rPr>
          <w:rFonts w:hint="eastAsia" w:ascii="宋体" w:hAnsi="宋体" w:eastAsia="宋体" w:cs="宋体"/>
          <w:b/>
          <w:bCs/>
          <w:color w:val="auto"/>
          <w:spacing w:val="20"/>
          <w:kern w:val="0"/>
          <w:sz w:val="72"/>
          <w:szCs w:val="72"/>
          <w:highlight w:val="none"/>
        </w:rPr>
      </w:pPr>
    </w:p>
    <w:p>
      <w:pPr>
        <w:spacing w:line="360" w:lineRule="auto"/>
        <w:jc w:val="center"/>
        <w:rPr>
          <w:rFonts w:hint="eastAsia" w:ascii="宋体" w:hAnsi="宋体" w:eastAsia="宋体" w:cs="宋体"/>
          <w:b w:val="0"/>
          <w:bCs w:val="0"/>
          <w:color w:val="auto"/>
          <w:spacing w:val="20"/>
          <w:kern w:val="0"/>
          <w:sz w:val="72"/>
          <w:szCs w:val="72"/>
          <w:highlight w:val="none"/>
        </w:rPr>
      </w:pPr>
      <w:r>
        <w:rPr>
          <w:rFonts w:hint="eastAsia" w:ascii="宋体" w:hAnsi="宋体" w:eastAsia="宋体" w:cs="宋体"/>
          <w:b w:val="0"/>
          <w:bCs w:val="0"/>
          <w:color w:val="auto"/>
          <w:spacing w:val="20"/>
          <w:kern w:val="0"/>
          <w:sz w:val="72"/>
          <w:szCs w:val="72"/>
          <w:highlight w:val="none"/>
        </w:rPr>
        <w:t>投标文件</w:t>
      </w:r>
    </w:p>
    <w:p>
      <w:pPr>
        <w:spacing w:line="360" w:lineRule="auto"/>
        <w:rPr>
          <w:rFonts w:hint="eastAsia" w:ascii="宋体" w:hAnsi="宋体" w:eastAsia="宋体" w:cs="宋体"/>
          <w:color w:val="auto"/>
          <w:sz w:val="32"/>
          <w:highlight w:val="none"/>
        </w:rPr>
      </w:pPr>
    </w:p>
    <w:p>
      <w:pPr>
        <w:pStyle w:val="2"/>
        <w:rPr>
          <w:rFonts w:hint="eastAsia" w:ascii="宋体" w:hAnsi="宋体" w:eastAsia="宋体" w:cs="宋体"/>
          <w:color w:val="auto"/>
          <w:sz w:val="32"/>
          <w:highlight w:val="none"/>
        </w:rPr>
      </w:pPr>
    </w:p>
    <w:p>
      <w:pPr>
        <w:rPr>
          <w:rFonts w:hint="eastAsia" w:ascii="宋体" w:hAnsi="宋体" w:eastAsia="宋体" w:cs="宋体"/>
          <w:color w:val="auto"/>
          <w:sz w:val="32"/>
          <w:highlight w:val="none"/>
        </w:rPr>
      </w:pPr>
    </w:p>
    <w:p>
      <w:pPr>
        <w:pStyle w:val="15"/>
        <w:rPr>
          <w:rFonts w:hint="eastAsia" w:ascii="宋体" w:hAnsi="宋体" w:eastAsia="宋体" w:cs="宋体"/>
          <w:color w:val="auto"/>
          <w:sz w:val="32"/>
          <w:highlight w:val="none"/>
        </w:rPr>
      </w:pPr>
    </w:p>
    <w:p>
      <w:pPr>
        <w:pStyle w:val="20"/>
        <w:rPr>
          <w:rFonts w:hint="eastAsia" w:ascii="宋体" w:hAnsi="宋体" w:eastAsia="宋体" w:cs="宋体"/>
          <w:b/>
          <w:color w:val="auto"/>
          <w:spacing w:val="8"/>
          <w:sz w:val="28"/>
          <w:szCs w:val="28"/>
          <w:highlight w:val="none"/>
        </w:rPr>
      </w:pPr>
    </w:p>
    <w:p>
      <w:pPr>
        <w:pStyle w:val="20"/>
        <w:rPr>
          <w:rFonts w:hint="eastAsia" w:ascii="宋体" w:hAnsi="宋体" w:eastAsia="宋体" w:cs="宋体"/>
          <w:b/>
          <w:color w:val="auto"/>
          <w:spacing w:val="8"/>
          <w:sz w:val="28"/>
          <w:szCs w:val="28"/>
          <w:highlight w:val="none"/>
        </w:rPr>
      </w:pPr>
    </w:p>
    <w:p>
      <w:pPr>
        <w:spacing w:before="168" w:beforeLines="70" w:line="360" w:lineRule="auto"/>
        <w:ind w:firstLine="1634" w:firstLineChars="550"/>
        <w:rPr>
          <w:rFonts w:hint="eastAsia" w:ascii="宋体" w:hAnsi="宋体" w:eastAsia="宋体" w:cs="宋体"/>
          <w:b/>
          <w:bCs/>
          <w:color w:val="auto"/>
          <w:spacing w:val="8"/>
          <w:sz w:val="28"/>
          <w:szCs w:val="28"/>
          <w:highlight w:val="none"/>
          <w:u w:val="single"/>
        </w:rPr>
      </w:pPr>
      <w:r>
        <w:rPr>
          <w:rFonts w:hint="eastAsia" w:ascii="宋体" w:hAnsi="宋体" w:eastAsia="宋体" w:cs="宋体"/>
          <w:b/>
          <w:color w:val="auto"/>
          <w:spacing w:val="8"/>
          <w:sz w:val="28"/>
          <w:szCs w:val="28"/>
          <w:highlight w:val="none"/>
        </w:rPr>
        <w:t>投 标 单 位：</w:t>
      </w:r>
      <w:r>
        <w:rPr>
          <w:rFonts w:hint="eastAsia" w:ascii="宋体" w:hAnsi="宋体" w:eastAsia="宋体" w:cs="宋体"/>
          <w:b/>
          <w:color w:val="auto"/>
          <w:spacing w:val="8"/>
          <w:sz w:val="28"/>
          <w:szCs w:val="28"/>
          <w:highlight w:val="none"/>
          <w:u w:val="single"/>
        </w:rPr>
        <w:t xml:space="preserve">             </w:t>
      </w:r>
      <w:r>
        <w:rPr>
          <w:rFonts w:hint="eastAsia" w:ascii="宋体" w:hAnsi="宋体" w:eastAsia="宋体" w:cs="宋体"/>
          <w:b/>
          <w:color w:val="auto"/>
          <w:spacing w:val="8"/>
          <w:sz w:val="28"/>
          <w:szCs w:val="28"/>
          <w:highlight w:val="none"/>
          <w:u w:val="single"/>
          <w:lang w:eastAsia="zh-CN"/>
        </w:rPr>
        <w:t>（</w:t>
      </w:r>
      <w:r>
        <w:rPr>
          <w:rFonts w:hint="eastAsia" w:ascii="宋体" w:hAnsi="宋体" w:eastAsia="宋体" w:cs="宋体"/>
          <w:b/>
          <w:color w:val="auto"/>
          <w:spacing w:val="8"/>
          <w:sz w:val="28"/>
          <w:szCs w:val="28"/>
          <w:highlight w:val="none"/>
          <w:u w:val="single"/>
          <w:lang w:val="en-US" w:eastAsia="zh-CN"/>
        </w:rPr>
        <w:t>加盖公章</w:t>
      </w:r>
      <w:r>
        <w:rPr>
          <w:rFonts w:hint="eastAsia" w:ascii="宋体" w:hAnsi="宋体" w:eastAsia="宋体" w:cs="宋体"/>
          <w:b/>
          <w:color w:val="auto"/>
          <w:spacing w:val="8"/>
          <w:sz w:val="28"/>
          <w:szCs w:val="28"/>
          <w:highlight w:val="none"/>
          <w:u w:val="single"/>
          <w:lang w:eastAsia="zh-CN"/>
        </w:rPr>
        <w:t>）</w:t>
      </w:r>
      <w:r>
        <w:rPr>
          <w:rFonts w:hint="eastAsia" w:ascii="宋体" w:hAnsi="宋体" w:eastAsia="宋体" w:cs="宋体"/>
          <w:b/>
          <w:color w:val="auto"/>
          <w:spacing w:val="8"/>
          <w:sz w:val="28"/>
          <w:szCs w:val="28"/>
          <w:highlight w:val="none"/>
        </w:rPr>
        <w:t xml:space="preserve">                       </w:t>
      </w:r>
    </w:p>
    <w:p>
      <w:pPr>
        <w:spacing w:line="360" w:lineRule="auto"/>
        <w:ind w:firstLine="1661" w:firstLineChars="591"/>
        <w:rPr>
          <w:rFonts w:hint="eastAsia" w:ascii="宋体" w:hAnsi="宋体" w:eastAsia="宋体" w:cs="宋体"/>
          <w:b/>
          <w:color w:val="auto"/>
          <w:sz w:val="28"/>
          <w:szCs w:val="28"/>
          <w:highlight w:val="none"/>
        </w:rPr>
      </w:pPr>
    </w:p>
    <w:p>
      <w:pPr>
        <w:spacing w:line="360" w:lineRule="auto"/>
        <w:ind w:firstLine="1661" w:firstLineChars="59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时        间：</w:t>
      </w:r>
      <w:r>
        <w:rPr>
          <w:rFonts w:hint="eastAsia" w:ascii="宋体" w:hAnsi="宋体" w:eastAsia="宋体" w:cs="宋体"/>
          <w:b/>
          <w:color w:val="auto"/>
          <w:sz w:val="28"/>
          <w:szCs w:val="28"/>
          <w:highlight w:val="none"/>
          <w:u w:val="single"/>
        </w:rPr>
        <w:t xml:space="preserve">                          </w:t>
      </w:r>
      <w:bookmarkStart w:id="216" w:name="_Toc167591043"/>
      <w:bookmarkStart w:id="217" w:name="_Toc167590775"/>
      <w:bookmarkStart w:id="218" w:name="_Toc175033592"/>
      <w:bookmarkStart w:id="219" w:name="_Toc169846776"/>
      <w:bookmarkStart w:id="220" w:name="_Toc193187097"/>
      <w:bookmarkStart w:id="221" w:name="_Toc167849360"/>
      <w:bookmarkStart w:id="222" w:name="_Toc167591492"/>
      <w:bookmarkStart w:id="223" w:name="_Toc169846873"/>
      <w:bookmarkStart w:id="224" w:name="_Toc170980552"/>
      <w:bookmarkStart w:id="225" w:name="_Toc173549978"/>
      <w:bookmarkStart w:id="226" w:name="_Toc154482479"/>
      <w:bookmarkStart w:id="227" w:name="_Toc167591144"/>
      <w:bookmarkStart w:id="228" w:name="_Toc188808833"/>
      <w:bookmarkStart w:id="229" w:name="_Toc169838532"/>
      <w:bookmarkStart w:id="230" w:name="_Toc194663918"/>
      <w:bookmarkStart w:id="231" w:name="_Toc170980453"/>
      <w:bookmarkStart w:id="232" w:name="_Toc193126881"/>
      <w:bookmarkStart w:id="233" w:name="_Toc167591330"/>
      <w:bookmarkStart w:id="234" w:name="_Toc175032437"/>
    </w:p>
    <w:p>
      <w:pPr>
        <w:pStyle w:val="4"/>
        <w:rPr>
          <w:rFonts w:hint="eastAsia" w:ascii="宋体" w:hAnsi="宋体" w:eastAsia="宋体" w:cs="宋体"/>
          <w:highlight w:val="none"/>
          <w:lang w:val="en-US" w:eastAsia="zh-CN"/>
        </w:rPr>
      </w:pPr>
      <w:bookmarkStart w:id="235" w:name="_Toc28266"/>
      <w:bookmarkStart w:id="236" w:name="_Toc20248"/>
      <w:bookmarkStart w:id="237" w:name="_Toc28798"/>
      <w:r>
        <w:rPr>
          <w:rFonts w:hint="eastAsia" w:ascii="宋体" w:hAnsi="宋体" w:eastAsia="宋体" w:cs="宋体"/>
          <w:highlight w:val="none"/>
          <w:lang w:val="en-US" w:eastAsia="zh-CN"/>
        </w:rPr>
        <w:t>二、资质证明文件</w:t>
      </w:r>
      <w:bookmarkEnd w:id="235"/>
      <w:bookmarkEnd w:id="236"/>
      <w:bookmarkEnd w:id="237"/>
    </w:p>
    <w:p>
      <w:pPr>
        <w:pStyle w:val="4"/>
        <w:rPr>
          <w:rFonts w:hint="eastAsia" w:ascii="宋体" w:hAnsi="宋体" w:eastAsia="宋体" w:cs="宋体"/>
          <w:b w:val="0"/>
          <w:bCs w:val="0"/>
          <w:sz w:val="28"/>
          <w:szCs w:val="28"/>
          <w:highlight w:val="none"/>
          <w:lang w:val="en-US" w:eastAsia="zh-CN"/>
        </w:rPr>
      </w:pPr>
      <w:bookmarkStart w:id="238" w:name="_Toc5211"/>
      <w:bookmarkStart w:id="239" w:name="_Toc12216"/>
      <w:bookmarkStart w:id="240" w:name="_Toc6152"/>
      <w:r>
        <w:rPr>
          <w:rFonts w:hint="eastAsia" w:ascii="宋体" w:hAnsi="宋体" w:eastAsia="宋体" w:cs="宋体"/>
          <w:b w:val="0"/>
          <w:bCs w:val="0"/>
          <w:sz w:val="28"/>
          <w:szCs w:val="28"/>
          <w:highlight w:val="none"/>
          <w:lang w:val="en-US" w:eastAsia="zh-CN"/>
        </w:rPr>
        <w:t>1.营业执照等主体资格证明文件</w:t>
      </w:r>
      <w:bookmarkEnd w:id="238"/>
      <w:bookmarkEnd w:id="239"/>
      <w:bookmarkEnd w:id="240"/>
    </w:p>
    <w:p>
      <w:pPr>
        <w:pStyle w:val="4"/>
        <w:rPr>
          <w:rFonts w:hint="eastAsia" w:ascii="宋体" w:hAnsi="宋体" w:eastAsia="宋体" w:cs="宋体"/>
          <w:b w:val="0"/>
          <w:bCs w:val="0"/>
          <w:sz w:val="28"/>
          <w:szCs w:val="28"/>
          <w:highlight w:val="none"/>
          <w:lang w:val="en-US" w:eastAsia="zh-CN"/>
        </w:rPr>
      </w:pPr>
      <w:bookmarkStart w:id="241" w:name="_Toc27693"/>
      <w:bookmarkStart w:id="242" w:name="_Toc22131"/>
      <w:bookmarkStart w:id="243" w:name="_Toc24419"/>
      <w:r>
        <w:rPr>
          <w:rFonts w:hint="eastAsia" w:ascii="宋体" w:hAnsi="宋体" w:eastAsia="宋体" w:cs="宋体"/>
          <w:b w:val="0"/>
          <w:bCs w:val="0"/>
          <w:sz w:val="28"/>
          <w:szCs w:val="28"/>
          <w:highlight w:val="none"/>
          <w:lang w:val="en-US" w:eastAsia="zh-CN"/>
        </w:rPr>
        <w:t>2.财务状况报告</w:t>
      </w:r>
      <w:bookmarkEnd w:id="241"/>
      <w:bookmarkEnd w:id="242"/>
      <w:bookmarkEnd w:id="243"/>
    </w:p>
    <w:p>
      <w:pPr>
        <w:pStyle w:val="4"/>
        <w:rPr>
          <w:rFonts w:hint="eastAsia" w:ascii="宋体" w:hAnsi="宋体" w:eastAsia="宋体" w:cs="宋体"/>
          <w:b w:val="0"/>
          <w:bCs w:val="0"/>
          <w:sz w:val="28"/>
          <w:szCs w:val="28"/>
          <w:highlight w:val="none"/>
          <w:lang w:val="en-US" w:eastAsia="zh-CN"/>
        </w:rPr>
      </w:pPr>
      <w:bookmarkStart w:id="244" w:name="_Toc22864"/>
      <w:bookmarkStart w:id="245" w:name="_Toc11138"/>
      <w:bookmarkStart w:id="246" w:name="_Toc11043"/>
      <w:r>
        <w:rPr>
          <w:rFonts w:hint="eastAsia" w:ascii="宋体" w:hAnsi="宋体" w:eastAsia="宋体" w:cs="宋体"/>
          <w:b w:val="0"/>
          <w:bCs w:val="0"/>
          <w:sz w:val="28"/>
          <w:szCs w:val="28"/>
          <w:highlight w:val="none"/>
          <w:lang w:val="en-US" w:eastAsia="zh-CN"/>
        </w:rPr>
        <w:t>3.社保缴纳证明</w:t>
      </w:r>
      <w:bookmarkEnd w:id="244"/>
      <w:bookmarkEnd w:id="245"/>
      <w:bookmarkEnd w:id="246"/>
    </w:p>
    <w:p>
      <w:pPr>
        <w:pStyle w:val="4"/>
        <w:rPr>
          <w:rFonts w:hint="eastAsia" w:ascii="宋体" w:hAnsi="宋体" w:eastAsia="宋体" w:cs="宋体"/>
          <w:b w:val="0"/>
          <w:bCs w:val="0"/>
          <w:sz w:val="28"/>
          <w:szCs w:val="28"/>
          <w:highlight w:val="none"/>
          <w:lang w:val="en-US" w:eastAsia="zh-CN"/>
        </w:rPr>
      </w:pPr>
      <w:bookmarkStart w:id="247" w:name="_Toc16061"/>
      <w:bookmarkStart w:id="248" w:name="_Toc1665"/>
      <w:bookmarkStart w:id="249" w:name="_Toc28917"/>
      <w:r>
        <w:rPr>
          <w:rFonts w:hint="eastAsia" w:ascii="宋体" w:hAnsi="宋体" w:eastAsia="宋体" w:cs="宋体"/>
          <w:b w:val="0"/>
          <w:bCs w:val="0"/>
          <w:sz w:val="28"/>
          <w:szCs w:val="28"/>
          <w:highlight w:val="none"/>
          <w:lang w:val="en-US" w:eastAsia="zh-CN"/>
        </w:rPr>
        <w:t>4.税收缴纳证明</w:t>
      </w:r>
      <w:bookmarkEnd w:id="247"/>
      <w:bookmarkEnd w:id="248"/>
      <w:bookmarkEnd w:id="249"/>
    </w:p>
    <w:p>
      <w:pPr>
        <w:pStyle w:val="4"/>
        <w:rPr>
          <w:rFonts w:hint="eastAsia" w:ascii="宋体" w:hAnsi="宋体" w:eastAsia="宋体" w:cs="宋体"/>
          <w:b w:val="0"/>
          <w:bCs w:val="0"/>
          <w:sz w:val="28"/>
          <w:szCs w:val="28"/>
          <w:highlight w:val="none"/>
          <w:lang w:val="en-US" w:eastAsia="zh-CN"/>
        </w:rPr>
      </w:pPr>
      <w:bookmarkStart w:id="250" w:name="_Toc14420"/>
      <w:bookmarkStart w:id="251" w:name="_Toc1436"/>
      <w:bookmarkStart w:id="252" w:name="_Toc10264"/>
      <w:r>
        <w:rPr>
          <w:rFonts w:hint="eastAsia" w:ascii="宋体" w:hAnsi="宋体" w:eastAsia="宋体" w:cs="宋体"/>
          <w:b w:val="0"/>
          <w:bCs w:val="0"/>
          <w:sz w:val="28"/>
          <w:szCs w:val="28"/>
          <w:highlight w:val="none"/>
          <w:lang w:val="en-US" w:eastAsia="zh-CN"/>
        </w:rPr>
        <w:t>5.信用记录</w:t>
      </w:r>
      <w:bookmarkEnd w:id="250"/>
      <w:bookmarkEnd w:id="251"/>
      <w:bookmarkEnd w:id="252"/>
    </w:p>
    <w:p>
      <w:pPr>
        <w:pStyle w:val="4"/>
        <w:rPr>
          <w:rFonts w:hint="eastAsia" w:ascii="宋体" w:hAnsi="宋体" w:eastAsia="宋体" w:cs="宋体"/>
          <w:b w:val="0"/>
          <w:bCs w:val="0"/>
          <w:sz w:val="28"/>
          <w:szCs w:val="28"/>
          <w:highlight w:val="none"/>
          <w:lang w:val="en-US" w:eastAsia="zh-CN"/>
        </w:rPr>
      </w:pPr>
      <w:bookmarkStart w:id="253" w:name="_Toc11639"/>
      <w:bookmarkStart w:id="254" w:name="_Toc13334"/>
      <w:bookmarkStart w:id="255" w:name="_Toc29927"/>
      <w:r>
        <w:rPr>
          <w:rFonts w:hint="eastAsia" w:ascii="宋体" w:hAnsi="宋体" w:eastAsia="宋体" w:cs="宋体"/>
          <w:b w:val="0"/>
          <w:bCs w:val="0"/>
          <w:sz w:val="28"/>
          <w:szCs w:val="28"/>
          <w:highlight w:val="none"/>
          <w:lang w:val="en-US" w:eastAsia="zh-CN"/>
        </w:rPr>
        <w:t>6.控股管理关系</w:t>
      </w:r>
      <w:bookmarkEnd w:id="253"/>
      <w:bookmarkEnd w:id="254"/>
      <w:bookmarkEnd w:id="255"/>
    </w:p>
    <w:p>
      <w:pPr>
        <w:pStyle w:val="4"/>
        <w:rPr>
          <w:rFonts w:hint="eastAsia" w:ascii="宋体" w:hAnsi="宋体" w:eastAsia="宋体" w:cs="宋体"/>
          <w:b w:val="0"/>
          <w:bCs w:val="0"/>
          <w:sz w:val="28"/>
          <w:szCs w:val="28"/>
          <w:highlight w:val="none"/>
          <w:lang w:val="en-US" w:eastAsia="zh-CN"/>
        </w:rPr>
      </w:pPr>
      <w:bookmarkStart w:id="256" w:name="_Toc14623"/>
      <w:bookmarkStart w:id="257" w:name="_Toc12176"/>
      <w:bookmarkStart w:id="258" w:name="_Toc1554"/>
      <w:r>
        <w:rPr>
          <w:rFonts w:hint="eastAsia" w:ascii="宋体" w:hAnsi="宋体" w:eastAsia="宋体" w:cs="宋体"/>
          <w:b w:val="0"/>
          <w:bCs w:val="0"/>
          <w:sz w:val="28"/>
          <w:szCs w:val="28"/>
          <w:highlight w:val="none"/>
          <w:lang w:val="en-US" w:eastAsia="zh-CN"/>
        </w:rPr>
        <w:t>7.书面声明</w:t>
      </w:r>
      <w:bookmarkEnd w:id="256"/>
      <w:bookmarkEnd w:id="257"/>
      <w:bookmarkEnd w:id="258"/>
    </w:p>
    <w:p>
      <w:pPr>
        <w:pStyle w:val="4"/>
        <w:rPr>
          <w:rFonts w:hint="eastAsia" w:ascii="宋体" w:hAnsi="宋体" w:eastAsia="宋体" w:cs="宋体"/>
          <w:b w:val="0"/>
          <w:bCs w:val="0"/>
          <w:sz w:val="28"/>
          <w:szCs w:val="28"/>
          <w:highlight w:val="none"/>
          <w:lang w:val="en-US" w:eastAsia="zh-CN"/>
        </w:rPr>
      </w:pPr>
      <w:bookmarkStart w:id="259" w:name="_Toc3246"/>
      <w:bookmarkStart w:id="260" w:name="_Toc27494"/>
      <w:bookmarkStart w:id="261" w:name="_Toc29983"/>
      <w:r>
        <w:rPr>
          <w:rFonts w:hint="eastAsia" w:ascii="宋体" w:hAnsi="宋体" w:eastAsia="宋体" w:cs="宋体"/>
          <w:b w:val="0"/>
          <w:bCs w:val="0"/>
          <w:sz w:val="28"/>
          <w:szCs w:val="28"/>
          <w:highlight w:val="none"/>
          <w:lang w:val="en-US" w:eastAsia="zh-CN"/>
        </w:rPr>
        <w:t>8法定代表人授权委托书（格式见附表一）</w:t>
      </w:r>
      <w:bookmarkEnd w:id="259"/>
      <w:bookmarkEnd w:id="260"/>
      <w:bookmarkEnd w:id="261"/>
    </w:p>
    <w:p>
      <w:pPr>
        <w:pStyle w:val="4"/>
        <w:rPr>
          <w:rFonts w:hint="eastAsia" w:ascii="宋体" w:hAnsi="宋体" w:eastAsia="宋体" w:cs="宋体"/>
          <w:b w:val="0"/>
          <w:bCs w:val="0"/>
          <w:sz w:val="28"/>
          <w:szCs w:val="28"/>
          <w:highlight w:val="none"/>
          <w:lang w:val="en-US" w:eastAsia="zh-CN"/>
        </w:rPr>
      </w:pPr>
      <w:bookmarkStart w:id="262" w:name="_Toc6936"/>
      <w:bookmarkStart w:id="263" w:name="_Toc1218"/>
      <w:bookmarkStart w:id="264" w:name="_Toc12227"/>
      <w:r>
        <w:rPr>
          <w:rFonts w:hint="eastAsia" w:ascii="宋体" w:hAnsi="宋体" w:eastAsia="宋体" w:cs="宋体"/>
          <w:b w:val="0"/>
          <w:bCs w:val="0"/>
          <w:sz w:val="28"/>
          <w:szCs w:val="28"/>
          <w:highlight w:val="none"/>
          <w:lang w:val="en-US" w:eastAsia="zh-CN"/>
        </w:rPr>
        <w:t>9.所必需的设备和专业技术能力的承诺书</w:t>
      </w:r>
      <w:bookmarkEnd w:id="262"/>
      <w:bookmarkEnd w:id="263"/>
      <w:bookmarkEnd w:id="264"/>
    </w:p>
    <w:p>
      <w:pPr>
        <w:pStyle w:val="4"/>
        <w:rPr>
          <w:rFonts w:hint="eastAsia" w:ascii="宋体" w:hAnsi="宋体" w:eastAsia="宋体" w:cs="宋体"/>
          <w:b w:val="0"/>
          <w:bCs w:val="0"/>
          <w:sz w:val="28"/>
          <w:szCs w:val="28"/>
          <w:highlight w:val="none"/>
          <w:lang w:val="en-US" w:eastAsia="zh-CN"/>
        </w:rPr>
      </w:pPr>
      <w:bookmarkStart w:id="265" w:name="_Toc319"/>
      <w:bookmarkStart w:id="266" w:name="_Toc22621"/>
      <w:bookmarkStart w:id="267" w:name="_Toc23059"/>
      <w:r>
        <w:rPr>
          <w:rFonts w:hint="eastAsia" w:ascii="宋体" w:hAnsi="宋体" w:eastAsia="宋体" w:cs="宋体"/>
          <w:b w:val="0"/>
          <w:bCs w:val="0"/>
          <w:sz w:val="28"/>
          <w:szCs w:val="28"/>
          <w:highlight w:val="none"/>
          <w:lang w:val="en-US" w:eastAsia="zh-CN"/>
        </w:rPr>
        <w:t>10.陕西省政府采购网注册信息</w:t>
      </w:r>
      <w:bookmarkEnd w:id="265"/>
      <w:bookmarkEnd w:id="266"/>
      <w:bookmarkEnd w:id="267"/>
    </w:p>
    <w:p>
      <w:pPr>
        <w:pStyle w:val="5"/>
        <w:ind w:left="0" w:leftChars="0" w:firstLine="0" w:firstLineChars="0"/>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11.特定资格条件</w:t>
      </w:r>
    </w:p>
    <w:p>
      <w:pPr>
        <w:spacing w:line="360" w:lineRule="auto"/>
        <w:jc w:val="both"/>
        <w:rPr>
          <w:rFonts w:hint="eastAsia" w:ascii="宋体" w:hAnsi="宋体" w:eastAsia="宋体" w:cs="宋体"/>
          <w:b/>
          <w:color w:val="auto"/>
          <w:sz w:val="36"/>
          <w:szCs w:val="36"/>
          <w:highlight w:val="none"/>
          <w:u w:val="none" w:color="auto"/>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pStyle w:val="48"/>
        <w:spacing w:line="360" w:lineRule="auto"/>
        <w:ind w:firstLine="0" w:firstLineChars="0"/>
        <w:rPr>
          <w:rFonts w:hint="eastAsia" w:ascii="宋体" w:hAnsi="宋体" w:eastAsia="宋体" w:cs="宋体"/>
          <w:b/>
          <w:color w:val="auto"/>
          <w:highlight w:val="none"/>
        </w:rPr>
      </w:pPr>
      <w:bookmarkStart w:id="268" w:name="_Toc1386"/>
      <w:bookmarkStart w:id="269" w:name="_Toc25120"/>
      <w:bookmarkStart w:id="270" w:name="_Toc458617471"/>
      <w:bookmarkStart w:id="271" w:name="_Toc193126882"/>
      <w:bookmarkStart w:id="272" w:name="_Toc194663919"/>
      <w:bookmarkStart w:id="273" w:name="_Toc193187098"/>
      <w:bookmarkStart w:id="274" w:name="_Toc188808834"/>
    </w:p>
    <w:p>
      <w:pPr>
        <w:pStyle w:val="48"/>
        <w:spacing w:line="360" w:lineRule="auto"/>
        <w:ind w:firstLine="0" w:firstLineChars="0"/>
        <w:rPr>
          <w:rFonts w:hint="eastAsia" w:ascii="宋体" w:hAnsi="宋体" w:eastAsia="宋体" w:cs="宋体"/>
          <w:b/>
          <w:color w:val="auto"/>
          <w:highlight w:val="none"/>
        </w:rPr>
      </w:pPr>
    </w:p>
    <w:p>
      <w:pPr>
        <w:jc w:val="center"/>
        <w:outlineLvl w:val="1"/>
        <w:rPr>
          <w:rFonts w:hint="eastAsia" w:ascii="宋体" w:hAnsi="宋体" w:eastAsia="宋体" w:cs="宋体"/>
          <w:b/>
          <w:color w:val="auto"/>
          <w:highlight w:val="none"/>
        </w:rPr>
        <w:sectPr>
          <w:pgSz w:w="11905" w:h="16838"/>
          <w:pgMar w:top="1417" w:right="1134" w:bottom="1417" w:left="1304" w:header="935" w:footer="1020" w:gutter="567"/>
          <w:pgBorders>
            <w:top w:val="none" w:sz="0" w:space="0"/>
            <w:left w:val="none" w:sz="0" w:space="0"/>
            <w:bottom w:val="none" w:sz="0" w:space="0"/>
            <w:right w:val="none" w:sz="0" w:space="0"/>
          </w:pgBorders>
          <w:pgNumType w:fmt="decimal"/>
          <w:cols w:space="0" w:num="1"/>
          <w:titlePg/>
          <w:rtlGutter w:val="0"/>
          <w:docGrid w:linePitch="312" w:charSpace="0"/>
        </w:sectPr>
      </w:pPr>
    </w:p>
    <w:p>
      <w:pPr>
        <w:spacing w:line="360" w:lineRule="auto"/>
        <w:ind w:left="240" w:leftChars="1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附表一：</w:t>
      </w:r>
    </w:p>
    <w:p>
      <w:pPr>
        <w:spacing w:line="360" w:lineRule="auto"/>
        <w:ind w:left="240" w:leftChars="10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8</w:t>
      </w:r>
      <w:r>
        <w:rPr>
          <w:rFonts w:hint="eastAsia" w:ascii="宋体" w:hAnsi="宋体" w:eastAsia="宋体" w:cs="宋体"/>
          <w:b/>
          <w:bCs/>
          <w:color w:val="auto"/>
          <w:szCs w:val="24"/>
          <w:highlight w:val="none"/>
        </w:rPr>
        <w:t>-1、法定代表人资格证明书</w:t>
      </w:r>
    </w:p>
    <w:tbl>
      <w:tblPr>
        <w:tblStyle w:val="2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295"/>
        <w:gridCol w:w="918"/>
        <w:gridCol w:w="907"/>
        <w:gridCol w:w="1241"/>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40" w:type="dxa"/>
            <w:gridSpan w:val="6"/>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致：</w:t>
            </w:r>
            <w:r>
              <w:rPr>
                <w:rFonts w:hint="eastAsia" w:ascii="宋体" w:hAnsi="宋体" w:eastAsia="宋体" w:cs="宋体"/>
                <w:bCs/>
                <w:caps/>
                <w:color w:val="auto"/>
                <w:szCs w:val="24"/>
                <w:highlight w:val="none"/>
                <w:lang w:eastAsia="zh-CN"/>
              </w:rPr>
              <w:t>宝鸡福美特项目管理有限公司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项目名称</w:t>
            </w:r>
          </w:p>
        </w:tc>
        <w:tc>
          <w:tcPr>
            <w:tcW w:w="7934"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文件编号</w:t>
            </w:r>
          </w:p>
        </w:tc>
        <w:tc>
          <w:tcPr>
            <w:tcW w:w="7934"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6"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权   限</w:t>
            </w:r>
          </w:p>
        </w:tc>
        <w:tc>
          <w:tcPr>
            <w:tcW w:w="7934" w:type="dxa"/>
            <w:gridSpan w:val="5"/>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有效期</w:t>
            </w:r>
          </w:p>
        </w:tc>
        <w:tc>
          <w:tcPr>
            <w:tcW w:w="7934" w:type="dxa"/>
            <w:gridSpan w:val="5"/>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企业</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信息</w:t>
            </w: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 xml:space="preserve">企 业 名 称 </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 定 地 址</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营业执照注册证号</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工商登记机关</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网        址</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表人</w:t>
            </w: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姓    名</w:t>
            </w:r>
          </w:p>
        </w:tc>
        <w:tc>
          <w:tcPr>
            <w:tcW w:w="1825" w:type="dxa"/>
            <w:gridSpan w:val="2"/>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41"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性    别</w:t>
            </w:r>
          </w:p>
        </w:tc>
        <w:tc>
          <w:tcPr>
            <w:tcW w:w="2573"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职    务</w:t>
            </w:r>
          </w:p>
        </w:tc>
        <w:tc>
          <w:tcPr>
            <w:tcW w:w="1825" w:type="dxa"/>
            <w:gridSpan w:val="2"/>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41"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联系电话</w:t>
            </w:r>
          </w:p>
        </w:tc>
        <w:tc>
          <w:tcPr>
            <w:tcW w:w="2573"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传    真</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06"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2295"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240" w:firstLineChars="10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通讯地址</w:t>
            </w:r>
          </w:p>
        </w:tc>
        <w:tc>
          <w:tcPr>
            <w:tcW w:w="5639" w:type="dxa"/>
            <w:gridSpan w:val="4"/>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4719" w:type="dxa"/>
            <w:gridSpan w:val="3"/>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法定代表人身份证复印件</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4721" w:type="dxa"/>
            <w:gridSpan w:val="3"/>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法定代表人身份证复印件</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4"/>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40" w:type="dxa"/>
            <w:gridSpan w:val="6"/>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法定代表人签字</w:t>
            </w:r>
            <w:r>
              <w:rPr>
                <w:rFonts w:hint="eastAsia" w:ascii="宋体" w:hAnsi="宋体" w:eastAsia="宋体" w:cs="宋体"/>
                <w:bCs/>
                <w:caps/>
                <w:color w:val="auto"/>
                <w:szCs w:val="24"/>
                <w:highlight w:val="none"/>
                <w:lang w:eastAsia="zh-CN"/>
              </w:rPr>
              <w:t>及</w:t>
            </w:r>
            <w:r>
              <w:rPr>
                <w:rFonts w:hint="eastAsia" w:ascii="宋体" w:hAnsi="宋体" w:eastAsia="宋体" w:cs="宋体"/>
                <w:bCs/>
                <w:caps/>
                <w:color w:val="auto"/>
                <w:szCs w:val="24"/>
                <w:highlight w:val="none"/>
              </w:rPr>
              <w:t>盖章：</w:t>
            </w:r>
          </w:p>
        </w:tc>
      </w:tr>
    </w:tbl>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（投标人单位公章）</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日 期：</w:t>
      </w:r>
    </w:p>
    <w:p>
      <w:pPr>
        <w:spacing w:line="360" w:lineRule="auto"/>
        <w:ind w:left="240" w:leftChars="10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p>
    <w:p>
      <w:pPr>
        <w:spacing w:line="360" w:lineRule="auto"/>
        <w:ind w:left="240" w:leftChars="10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8</w:t>
      </w:r>
      <w:r>
        <w:rPr>
          <w:rFonts w:hint="eastAsia" w:ascii="宋体" w:hAnsi="宋体" w:eastAsia="宋体" w:cs="宋体"/>
          <w:b/>
          <w:bCs/>
          <w:color w:val="auto"/>
          <w:szCs w:val="24"/>
          <w:highlight w:val="none"/>
        </w:rPr>
        <w:t>-2、法定代表人授权委托书</w:t>
      </w: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227"/>
        <w:gridCol w:w="1027"/>
        <w:gridCol w:w="643"/>
        <w:gridCol w:w="769"/>
        <w:gridCol w:w="1410"/>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240" w:type="dxa"/>
            <w:gridSpan w:val="7"/>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致：</w:t>
            </w:r>
            <w:r>
              <w:rPr>
                <w:rFonts w:hint="eastAsia" w:ascii="宋体" w:hAnsi="宋体" w:eastAsia="宋体" w:cs="宋体"/>
                <w:bCs/>
                <w:caps/>
                <w:color w:val="auto"/>
                <w:szCs w:val="24"/>
                <w:highlight w:val="none"/>
                <w:lang w:eastAsia="zh-CN"/>
              </w:rPr>
              <w:t>宝鸡福美特项目管理有限公司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被授</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权项</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目与</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内容</w:t>
            </w:r>
          </w:p>
        </w:tc>
        <w:tc>
          <w:tcPr>
            <w:tcW w:w="1227"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项目名称</w:t>
            </w:r>
          </w:p>
        </w:tc>
        <w:tc>
          <w:tcPr>
            <w:tcW w:w="6472"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文件编号</w:t>
            </w:r>
          </w:p>
        </w:tc>
        <w:tc>
          <w:tcPr>
            <w:tcW w:w="6472"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firstLine="1200" w:firstLineChars="50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授权范围</w:t>
            </w:r>
          </w:p>
        </w:tc>
        <w:tc>
          <w:tcPr>
            <w:tcW w:w="6472"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法律责任</w:t>
            </w:r>
          </w:p>
        </w:tc>
        <w:tc>
          <w:tcPr>
            <w:tcW w:w="6472" w:type="dxa"/>
            <w:gridSpan w:val="5"/>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授权期限</w:t>
            </w:r>
          </w:p>
        </w:tc>
        <w:tc>
          <w:tcPr>
            <w:tcW w:w="6472" w:type="dxa"/>
            <w:gridSpan w:val="5"/>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本授权书</w:t>
            </w:r>
            <w:r>
              <w:rPr>
                <w:rFonts w:hint="eastAsia" w:ascii="宋体" w:hAnsi="宋体" w:eastAsia="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企业信息</w:t>
            </w:r>
          </w:p>
        </w:tc>
        <w:tc>
          <w:tcPr>
            <w:tcW w:w="2254" w:type="dxa"/>
            <w:gridSpan w:val="2"/>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 xml:space="preserve">企 业 名 称 </w:t>
            </w:r>
          </w:p>
        </w:tc>
        <w:tc>
          <w:tcPr>
            <w:tcW w:w="5445"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2254" w:type="dxa"/>
            <w:gridSpan w:val="2"/>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 定 地 址</w:t>
            </w:r>
          </w:p>
        </w:tc>
        <w:tc>
          <w:tcPr>
            <w:tcW w:w="5445"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2254" w:type="dxa"/>
            <w:gridSpan w:val="2"/>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营业执照注册证号</w:t>
            </w:r>
          </w:p>
        </w:tc>
        <w:tc>
          <w:tcPr>
            <w:tcW w:w="5445"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w:t>
            </w: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姓名</w:t>
            </w:r>
          </w:p>
        </w:tc>
        <w:tc>
          <w:tcPr>
            <w:tcW w:w="2439"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1410"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性    别</w:t>
            </w:r>
          </w:p>
        </w:tc>
        <w:tc>
          <w:tcPr>
            <w:tcW w:w="2623"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职务</w:t>
            </w:r>
          </w:p>
        </w:tc>
        <w:tc>
          <w:tcPr>
            <w:tcW w:w="2439"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1410"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手机号码</w:t>
            </w:r>
          </w:p>
        </w:tc>
        <w:tc>
          <w:tcPr>
            <w:tcW w:w="2623"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被授权人</w:t>
            </w: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姓名</w:t>
            </w:r>
          </w:p>
        </w:tc>
        <w:tc>
          <w:tcPr>
            <w:tcW w:w="2439"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1410"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性    别</w:t>
            </w:r>
          </w:p>
        </w:tc>
        <w:tc>
          <w:tcPr>
            <w:tcW w:w="2623"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Merge w:val="continue"/>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c>
          <w:tcPr>
            <w:tcW w:w="1227"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职务</w:t>
            </w:r>
          </w:p>
        </w:tc>
        <w:tc>
          <w:tcPr>
            <w:tcW w:w="2439"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p>
        </w:tc>
        <w:tc>
          <w:tcPr>
            <w:tcW w:w="1410"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手机号码</w:t>
            </w:r>
          </w:p>
        </w:tc>
        <w:tc>
          <w:tcPr>
            <w:tcW w:w="2623"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1" w:type="dxa"/>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通讯地址</w:t>
            </w:r>
          </w:p>
        </w:tc>
        <w:tc>
          <w:tcPr>
            <w:tcW w:w="7699" w:type="dxa"/>
            <w:gridSpan w:val="6"/>
            <w:vAlign w:val="top"/>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4438"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法定代表人身份证复印件</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（粘贴处）</w:t>
            </w:r>
          </w:p>
        </w:tc>
        <w:tc>
          <w:tcPr>
            <w:tcW w:w="4802"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被授权人身份证复印件</w:t>
            </w: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p>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center"/>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40" w:type="dxa"/>
            <w:gridSpan w:val="7"/>
            <w:tcBorders>
              <w:bottom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360" w:lineRule="auto"/>
              <w:ind w:left="0" w:right="0"/>
              <w:jc w:val="left"/>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法定代表人</w:t>
            </w:r>
            <w:r>
              <w:rPr>
                <w:rFonts w:hint="eastAsia" w:ascii="宋体" w:hAnsi="宋体" w:eastAsia="宋体" w:cs="宋体"/>
                <w:bCs/>
                <w:caps/>
                <w:color w:val="auto"/>
                <w:szCs w:val="24"/>
                <w:highlight w:val="none"/>
                <w:lang w:eastAsia="zh-CN"/>
              </w:rPr>
              <w:t>及被授权人</w:t>
            </w:r>
            <w:r>
              <w:rPr>
                <w:rFonts w:hint="eastAsia" w:ascii="宋体" w:hAnsi="宋体" w:eastAsia="宋体" w:cs="宋体"/>
                <w:bCs/>
                <w:caps/>
                <w:color w:val="auto"/>
                <w:szCs w:val="24"/>
                <w:highlight w:val="none"/>
              </w:rPr>
              <w:t>签字或盖章：</w:t>
            </w:r>
          </w:p>
        </w:tc>
      </w:tr>
    </w:tbl>
    <w:p>
      <w:pPr>
        <w:autoSpaceDE w:val="0"/>
        <w:autoSpaceDN w:val="0"/>
        <w:adjustRightInd w:val="0"/>
        <w:snapToGrid w:val="0"/>
        <w:spacing w:line="360" w:lineRule="auto"/>
        <w:rPr>
          <w:rFonts w:hint="eastAsia" w:ascii="宋体" w:hAnsi="宋体" w:eastAsia="宋体" w:cs="宋体"/>
          <w:bCs/>
          <w:caps/>
          <w:color w:val="auto"/>
          <w:szCs w:val="24"/>
          <w:highlight w:val="none"/>
        </w:rPr>
      </w:pPr>
      <w:r>
        <w:rPr>
          <w:rFonts w:hint="eastAsia" w:ascii="宋体" w:hAnsi="宋体" w:eastAsia="宋体" w:cs="宋体"/>
          <w:bCs/>
          <w:caps/>
          <w:color w:val="auto"/>
          <w:szCs w:val="24"/>
          <w:highlight w:val="none"/>
        </w:rPr>
        <w:t>投标人名称：</w:t>
      </w:r>
      <w:r>
        <w:rPr>
          <w:rFonts w:hint="eastAsia" w:ascii="宋体" w:hAnsi="宋体" w:eastAsia="宋体" w:cs="宋体"/>
          <w:bCs/>
          <w:caps/>
          <w:color w:val="auto"/>
          <w:szCs w:val="24"/>
          <w:highlight w:val="none"/>
          <w:u w:val="single"/>
        </w:rPr>
        <w:t xml:space="preserve">             </w:t>
      </w:r>
      <w:r>
        <w:rPr>
          <w:rFonts w:hint="eastAsia" w:ascii="宋体" w:hAnsi="宋体" w:eastAsia="宋体" w:cs="宋体"/>
          <w:bCs/>
          <w:caps/>
          <w:color w:val="auto"/>
          <w:szCs w:val="24"/>
          <w:highlight w:val="none"/>
        </w:rPr>
        <w:t xml:space="preserve">（投标人单位公章）     日 期：  </w:t>
      </w:r>
    </w:p>
    <w:p>
      <w:pPr>
        <w:jc w:val="center"/>
        <w:outlineLvl w:val="1"/>
        <w:rPr>
          <w:rFonts w:hint="eastAsia" w:ascii="宋体" w:hAnsi="宋体" w:eastAsia="宋体" w:cs="宋体"/>
          <w:b/>
          <w:color w:val="auto"/>
          <w:highlight w:val="none"/>
        </w:rPr>
        <w:sectPr>
          <w:pgSz w:w="11905" w:h="16838"/>
          <w:pgMar w:top="1417" w:right="1134" w:bottom="1417" w:left="1304" w:header="935" w:footer="1020" w:gutter="567"/>
          <w:pgBorders>
            <w:top w:val="none" w:sz="0" w:space="0"/>
            <w:left w:val="none" w:sz="0" w:space="0"/>
            <w:bottom w:val="none" w:sz="0" w:space="0"/>
            <w:right w:val="none" w:sz="0" w:space="0"/>
          </w:pgBorders>
          <w:pgNumType w:fmt="decimal"/>
          <w:cols w:space="0" w:num="1"/>
          <w:titlePg/>
          <w:rtlGutter w:val="0"/>
          <w:docGrid w:linePitch="312" w:charSpace="0"/>
        </w:sectPr>
      </w:pPr>
    </w:p>
    <w:p>
      <w:pPr>
        <w:jc w:val="left"/>
        <w:outlineLvl w:val="1"/>
        <w:rPr>
          <w:rFonts w:hint="eastAsia" w:ascii="宋体" w:hAnsi="宋体" w:eastAsia="宋体" w:cs="宋体"/>
          <w:b/>
          <w:color w:val="auto"/>
          <w:sz w:val="32"/>
          <w:szCs w:val="28"/>
          <w:highlight w:val="none"/>
          <w:lang w:val="en-US" w:eastAsia="zh-CN"/>
        </w:rPr>
      </w:pPr>
      <w:bookmarkStart w:id="275" w:name="_Toc7088"/>
      <w:bookmarkStart w:id="276" w:name="_Toc6109"/>
      <w:bookmarkStart w:id="277" w:name="_Toc1097"/>
      <w:r>
        <w:rPr>
          <w:rFonts w:hint="eastAsia" w:ascii="宋体" w:hAnsi="宋体" w:eastAsia="宋体" w:cs="宋体"/>
          <w:b/>
          <w:color w:val="auto"/>
          <w:sz w:val="32"/>
          <w:szCs w:val="28"/>
          <w:highlight w:val="none"/>
          <w:lang w:val="en-US" w:eastAsia="zh-CN"/>
        </w:rPr>
        <w:t>三、符合性证明文件</w:t>
      </w:r>
      <w:bookmarkEnd w:id="275"/>
      <w:bookmarkEnd w:id="276"/>
      <w:bookmarkEnd w:id="277"/>
    </w:p>
    <w:p>
      <w:pPr>
        <w:jc w:val="center"/>
        <w:outlineLvl w:val="1"/>
        <w:rPr>
          <w:rFonts w:hint="eastAsia" w:ascii="宋体" w:hAnsi="宋体" w:eastAsia="宋体" w:cs="宋体"/>
          <w:color w:val="auto"/>
          <w:szCs w:val="21"/>
          <w:highlight w:val="none"/>
        </w:rPr>
      </w:pPr>
      <w:bookmarkStart w:id="278" w:name="_Toc23957"/>
      <w:bookmarkStart w:id="279" w:name="_Toc32708"/>
      <w:bookmarkStart w:id="280" w:name="_Toc1534"/>
      <w:r>
        <w:rPr>
          <w:rFonts w:hint="eastAsia" w:ascii="宋体" w:hAnsi="宋体" w:eastAsia="宋体" w:cs="宋体"/>
          <w:b/>
          <w:color w:val="auto"/>
          <w:highlight w:val="none"/>
        </w:rPr>
        <w:t>1.投标函</w:t>
      </w:r>
      <w:bookmarkEnd w:id="268"/>
      <w:bookmarkEnd w:id="269"/>
      <w:bookmarkEnd w:id="270"/>
      <w:bookmarkEnd w:id="278"/>
      <w:bookmarkEnd w:id="279"/>
      <w:bookmarkEnd w:id="280"/>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致：</w:t>
      </w:r>
      <w:r>
        <w:rPr>
          <w:rFonts w:hint="eastAsia" w:ascii="宋体" w:hAnsi="宋体" w:eastAsia="宋体" w:cs="宋体"/>
          <w:b/>
          <w:color w:val="auto"/>
          <w:szCs w:val="24"/>
          <w:highlight w:val="none"/>
          <w:lang w:eastAsia="zh-CN"/>
        </w:rPr>
        <w:t>宝鸡福美特项目管理有限公司</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根据贵单位</w:t>
      </w:r>
      <w:r>
        <w:rPr>
          <w:rFonts w:hint="eastAsia" w:ascii="宋体" w:hAnsi="宋体" w:eastAsia="宋体" w:cs="宋体"/>
          <w:color w:val="auto"/>
          <w:szCs w:val="24"/>
          <w:highlight w:val="none"/>
          <w:u w:val="single"/>
        </w:rPr>
        <w:t xml:space="preserve">         （招标项目名称）    </w:t>
      </w: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u w:val="single"/>
        </w:rPr>
        <w:t>（项目编号）</w:t>
      </w:r>
      <w:r>
        <w:rPr>
          <w:rFonts w:hint="eastAsia" w:ascii="宋体" w:hAnsi="宋体" w:eastAsia="宋体" w:cs="宋体"/>
          <w:color w:val="auto"/>
          <w:szCs w:val="24"/>
          <w:highlight w:val="none"/>
        </w:rPr>
        <w:t>的招标公告，我方代表</w:t>
      </w:r>
      <w:r>
        <w:rPr>
          <w:rFonts w:hint="eastAsia" w:ascii="宋体" w:hAnsi="宋体" w:eastAsia="宋体" w:cs="宋体"/>
          <w:color w:val="auto"/>
          <w:szCs w:val="24"/>
          <w:highlight w:val="none"/>
          <w:u w:val="single"/>
        </w:rPr>
        <w:t xml:space="preserve">   （姓名、职务）   </w:t>
      </w:r>
      <w:r>
        <w:rPr>
          <w:rFonts w:hint="eastAsia" w:ascii="宋体" w:hAnsi="宋体" w:eastAsia="宋体" w:cs="宋体"/>
          <w:color w:val="auto"/>
          <w:szCs w:val="24"/>
          <w:highlight w:val="none"/>
        </w:rPr>
        <w:t>经正式授权并代表</w:t>
      </w:r>
      <w:r>
        <w:rPr>
          <w:rFonts w:hint="eastAsia" w:ascii="宋体" w:hAnsi="宋体" w:eastAsia="宋体" w:cs="宋体"/>
          <w:color w:val="auto"/>
          <w:szCs w:val="24"/>
          <w:highlight w:val="none"/>
          <w:u w:val="single"/>
        </w:rPr>
        <w:t xml:space="preserve">     （投标人名称）   </w:t>
      </w:r>
      <w:r>
        <w:rPr>
          <w:rFonts w:hint="eastAsia" w:ascii="宋体" w:hAnsi="宋体" w:eastAsia="宋体" w:cs="宋体"/>
          <w:color w:val="auto"/>
          <w:szCs w:val="24"/>
          <w:highlight w:val="none"/>
        </w:rPr>
        <w:t>就该项目进行投标。</w:t>
      </w:r>
    </w:p>
    <w:p>
      <w:pPr>
        <w:spacing w:line="360" w:lineRule="auto"/>
        <w:ind w:firstLine="472" w:firstLineChars="196"/>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在此，我方郑重声明以下诸点，并负法律责任：</w:t>
      </w:r>
    </w:p>
    <w:p>
      <w:pPr>
        <w:spacing w:line="360" w:lineRule="auto"/>
        <w:ind w:firstLine="470" w:firstLineChars="196"/>
        <w:rPr>
          <w:rFonts w:hint="eastAsia" w:ascii="宋体" w:hAnsi="宋体" w:eastAsia="宋体" w:cs="宋体"/>
          <w:b/>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如若中标，将根据采购招标文件中的要求、投标文件及承诺条件，全面签约并履行合同规定的责任和义务。</w:t>
      </w:r>
    </w:p>
    <w:p>
      <w:pPr>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2、我方所附投标报价表中应提交和交付的货物/服务投标总价为人民币：</w:t>
      </w:r>
      <w:r>
        <w:rPr>
          <w:rFonts w:hint="eastAsia" w:ascii="宋体" w:hAnsi="宋体" w:eastAsia="宋体" w:cs="宋体"/>
          <w:color w:val="auto"/>
          <w:szCs w:val="24"/>
          <w:highlight w:val="none"/>
          <w:u w:val="single"/>
        </w:rPr>
        <w:t>（同时用汉字大写和数字表示的投标总价）</w:t>
      </w:r>
      <w:r>
        <w:rPr>
          <w:rFonts w:hint="eastAsia" w:ascii="宋体" w:hAnsi="宋体" w:eastAsia="宋体" w:cs="宋体"/>
          <w:color w:val="auto"/>
          <w:szCs w:val="24"/>
          <w:highlight w:val="none"/>
        </w:rPr>
        <w:t>。该报价一次报死，不受市场因素的影响。</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3、我方已详细审查全部招标文件，完全理解并同意放弃对这方面有不明及误解质疑的权力。</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4、我方完全理解并同意招标文件中有关没收投标保证金的条款</w:t>
      </w:r>
      <w:r>
        <w:rPr>
          <w:rFonts w:hint="eastAsia" w:ascii="宋体" w:hAnsi="宋体" w:eastAsia="宋体" w:cs="宋体"/>
          <w:color w:val="auto"/>
          <w:szCs w:val="24"/>
          <w:highlight w:val="none"/>
          <w:lang w:val="en-US" w:eastAsia="zh-CN"/>
        </w:rPr>
        <w:t>并提交投标保证金人民币：</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元</w:t>
      </w:r>
      <w:r>
        <w:rPr>
          <w:rFonts w:hint="eastAsia" w:ascii="宋体" w:hAnsi="宋体" w:eastAsia="宋体" w:cs="宋体"/>
          <w:color w:val="auto"/>
          <w:szCs w:val="24"/>
          <w:highlight w:val="none"/>
        </w:rPr>
        <w:t>。</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5、我方同意按照要求提供投标有关的一切数据或资料。</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6、我方将按招标文件的规定履行合同责任和义务。</w:t>
      </w:r>
    </w:p>
    <w:p>
      <w:pPr>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7、我方完全理解最低报价不是中标的唯一条件，采购人有权选择质优价廉的货物/服务。</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、我方同意按招标文件规定，遵守贵方有关招标的各项规定。</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、若我方中标，我方保证按有关规定向贵方支付</w:t>
      </w:r>
      <w:r>
        <w:rPr>
          <w:rFonts w:hint="eastAsia" w:ascii="宋体" w:hAnsi="宋体" w:eastAsia="宋体" w:cs="宋体"/>
          <w:color w:val="auto"/>
          <w:szCs w:val="24"/>
          <w:highlight w:val="none"/>
          <w:lang w:eastAsia="zh-CN"/>
        </w:rPr>
        <w:t>采购代理</w:t>
      </w:r>
      <w:r>
        <w:rPr>
          <w:rFonts w:hint="eastAsia" w:ascii="宋体" w:hAnsi="宋体" w:eastAsia="宋体" w:cs="宋体"/>
          <w:color w:val="auto"/>
          <w:szCs w:val="24"/>
          <w:highlight w:val="none"/>
        </w:rPr>
        <w:t>服务费。</w:t>
      </w:r>
    </w:p>
    <w:p>
      <w:pPr>
        <w:spacing w:line="360" w:lineRule="auto"/>
        <w:ind w:firstLine="470" w:firstLineChars="196"/>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、投标有效期为自提交投标文件的截止之日起90个日历日。</w:t>
      </w:r>
    </w:p>
    <w:p>
      <w:pPr>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、所有关于本项目的函电，请按下列地址联系：</w:t>
      </w:r>
    </w:p>
    <w:p>
      <w:pPr>
        <w:spacing w:line="360" w:lineRule="auto"/>
        <w:rPr>
          <w:rFonts w:hint="eastAsia" w:ascii="宋体" w:hAnsi="宋体" w:eastAsia="宋体" w:cs="宋体"/>
          <w:color w:val="auto"/>
          <w:szCs w:val="24"/>
          <w:highlight w:val="none"/>
        </w:rPr>
      </w:pP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投标人名称（公章）：</w:t>
      </w:r>
      <w:r>
        <w:rPr>
          <w:rFonts w:hint="eastAsia" w:ascii="宋体" w:hAnsi="宋体" w:eastAsia="宋体" w:cs="宋体"/>
          <w:color w:val="auto"/>
          <w:szCs w:val="24"/>
          <w:highlight w:val="none"/>
          <w:u w:val="single"/>
        </w:rPr>
        <w:t xml:space="preserve">                               </w:t>
      </w: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详 细 地 址：</w:t>
      </w:r>
      <w:r>
        <w:rPr>
          <w:rFonts w:hint="eastAsia" w:ascii="宋体" w:hAnsi="宋体" w:eastAsia="宋体" w:cs="宋体"/>
          <w:color w:val="auto"/>
          <w:szCs w:val="24"/>
          <w:highlight w:val="none"/>
          <w:u w:val="single"/>
        </w:rPr>
        <w:t xml:space="preserve">                                      </w:t>
      </w: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邮 政 编 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电       话：</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传       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p>
    <w:p>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电 子 邮 件：</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p>
    <w:p>
      <w:pPr>
        <w:autoSpaceDE w:val="0"/>
        <w:autoSpaceDN w:val="0"/>
        <w:adjustRightInd w:val="0"/>
        <w:spacing w:line="360" w:lineRule="auto"/>
        <w:ind w:left="840" w:leftChars="100" w:hanging="600"/>
        <w:rPr>
          <w:rFonts w:hint="eastAsia" w:ascii="宋体" w:hAnsi="宋体" w:eastAsia="宋体" w:cs="宋体"/>
          <w:color w:val="auto"/>
          <w:szCs w:val="24"/>
          <w:highlight w:val="none"/>
          <w:lang w:val="zh-CN"/>
        </w:rPr>
      </w:pPr>
    </w:p>
    <w:p>
      <w:pPr>
        <w:autoSpaceDE w:val="0"/>
        <w:autoSpaceDN w:val="0"/>
        <w:adjustRightInd w:val="0"/>
        <w:spacing w:line="360" w:lineRule="auto"/>
        <w:ind w:left="840" w:leftChars="1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p>
    <w:p>
      <w:pPr>
        <w:autoSpaceDE w:val="0"/>
        <w:autoSpaceDN w:val="0"/>
        <w:adjustRightInd w:val="0"/>
        <w:spacing w:line="360" w:lineRule="auto"/>
        <w:ind w:left="840" w:leftChars="100" w:hanging="600"/>
        <w:rPr>
          <w:rFonts w:hint="eastAsia" w:ascii="宋体" w:hAnsi="宋体" w:eastAsia="宋体" w:cs="宋体"/>
          <w:color w:val="auto"/>
          <w:szCs w:val="24"/>
          <w:highlight w:val="none"/>
          <w:lang w:val="zh-CN"/>
        </w:rPr>
      </w:pPr>
    </w:p>
    <w:p>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u w:val="single"/>
        </w:rPr>
        <w:t xml:space="preserve">               </w:t>
      </w:r>
    </w:p>
    <w:p>
      <w:pPr>
        <w:autoSpaceDE w:val="0"/>
        <w:autoSpaceDN w:val="0"/>
        <w:adjustRightInd w:val="0"/>
        <w:spacing w:line="360" w:lineRule="auto"/>
        <w:ind w:left="240" w:leftChars="100" w:firstLine="3960" w:firstLineChars="1650"/>
        <w:rPr>
          <w:rFonts w:hint="eastAsia" w:ascii="宋体" w:hAnsi="宋体" w:eastAsia="宋体" w:cs="宋体"/>
          <w:color w:val="auto"/>
          <w:szCs w:val="24"/>
          <w:highlight w:val="none"/>
          <w:u w:val="single"/>
          <w:lang w:val="zh-CN"/>
        </w:rPr>
      </w:pPr>
      <w:r>
        <w:rPr>
          <w:rFonts w:hint="eastAsia" w:ascii="宋体" w:hAnsi="宋体" w:eastAsia="宋体" w:cs="宋体"/>
          <w:color w:val="auto"/>
          <w:szCs w:val="24"/>
          <w:highlight w:val="none"/>
          <w:lang w:val="zh-CN"/>
        </w:rPr>
        <w:t>联系电话/手机：</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rPr>
        <w:t xml:space="preserve">  </w:t>
      </w:r>
    </w:p>
    <w:p>
      <w:pPr>
        <w:spacing w:line="360" w:lineRule="auto"/>
        <w:ind w:left="240" w:leftChars="100"/>
        <w:jc w:val="center"/>
        <w:rPr>
          <w:rFonts w:hint="eastAsia" w:ascii="宋体" w:hAnsi="宋体" w:eastAsia="宋体" w:cs="宋体"/>
          <w:color w:val="auto"/>
          <w:szCs w:val="24"/>
          <w:highlight w:val="none"/>
        </w:rPr>
        <w:sectPr>
          <w:pgSz w:w="11905" w:h="16838"/>
          <w:pgMar w:top="1417" w:right="1134" w:bottom="1417" w:left="1304" w:header="935" w:footer="1020"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日 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bookmarkEnd w:id="271"/>
    <w:bookmarkEnd w:id="272"/>
    <w:bookmarkEnd w:id="273"/>
    <w:bookmarkEnd w:id="274"/>
    <w:p>
      <w:pPr>
        <w:pStyle w:val="48"/>
        <w:spacing w:line="360" w:lineRule="auto"/>
        <w:ind w:left="0" w:leftChars="0" w:firstLine="0" w:firstLineChars="0"/>
        <w:jc w:val="center"/>
        <w:outlineLvl w:val="1"/>
        <w:rPr>
          <w:rFonts w:hint="eastAsia" w:ascii="宋体" w:hAnsi="宋体" w:eastAsia="宋体" w:cs="宋体"/>
          <w:b/>
          <w:color w:val="auto"/>
          <w:highlight w:val="none"/>
        </w:rPr>
      </w:pPr>
      <w:bookmarkStart w:id="281" w:name="_Toc458617472"/>
      <w:bookmarkStart w:id="282" w:name="_Toc5497"/>
      <w:bookmarkStart w:id="283" w:name="_Toc27668"/>
      <w:bookmarkStart w:id="284" w:name="_Toc11026"/>
      <w:bookmarkStart w:id="285" w:name="_Toc1703"/>
      <w:bookmarkStart w:id="286" w:name="_Toc6986"/>
      <w:bookmarkStart w:id="287" w:name="_Toc188808840"/>
      <w:bookmarkStart w:id="288" w:name="_Toc193187105"/>
      <w:bookmarkStart w:id="289" w:name="_Toc194663926"/>
      <w:bookmarkStart w:id="290" w:name="_Toc193126889"/>
      <w:r>
        <w:rPr>
          <w:rFonts w:hint="eastAsia" w:ascii="宋体" w:hAnsi="宋体" w:eastAsia="宋体" w:cs="宋体"/>
          <w:b/>
          <w:color w:val="auto"/>
          <w:highlight w:val="none"/>
        </w:rPr>
        <w:t>2.开标一览表</w:t>
      </w:r>
      <w:bookmarkEnd w:id="281"/>
      <w:bookmarkEnd w:id="282"/>
      <w:bookmarkEnd w:id="283"/>
      <w:bookmarkEnd w:id="284"/>
      <w:bookmarkEnd w:id="285"/>
      <w:bookmarkEnd w:id="286"/>
    </w:p>
    <w:p>
      <w:pPr>
        <w:spacing w:line="360" w:lineRule="auto"/>
        <w:ind w:firstLine="120" w:firstLineChars="50"/>
        <w:rPr>
          <w:rFonts w:hint="eastAsia" w:ascii="宋体" w:hAnsi="宋体" w:eastAsia="宋体" w:cs="宋体"/>
          <w:bCs/>
          <w:color w:val="auto"/>
          <w:kern w:val="0"/>
          <w:szCs w:val="24"/>
          <w:highlight w:val="none"/>
          <w:u w:val="single"/>
        </w:rPr>
      </w:pPr>
      <w:r>
        <w:rPr>
          <w:rFonts w:hint="eastAsia" w:ascii="宋体" w:hAnsi="宋体" w:eastAsia="宋体" w:cs="宋体"/>
          <w:bCs/>
          <w:color w:val="auto"/>
          <w:kern w:val="0"/>
          <w:szCs w:val="24"/>
          <w:highlight w:val="none"/>
          <w:lang w:val="en-US" w:eastAsia="zh-CN"/>
        </w:rPr>
        <w:t>投标人</w:t>
      </w:r>
      <w:r>
        <w:rPr>
          <w:rFonts w:hint="eastAsia" w:ascii="宋体" w:hAnsi="宋体" w:eastAsia="宋体" w:cs="宋体"/>
          <w:bCs/>
          <w:color w:val="auto"/>
          <w:kern w:val="0"/>
          <w:szCs w:val="24"/>
          <w:highlight w:val="none"/>
        </w:rPr>
        <w:t>名称：</w:t>
      </w:r>
      <w:r>
        <w:rPr>
          <w:rFonts w:hint="eastAsia" w:ascii="宋体" w:hAnsi="宋体" w:eastAsia="宋体" w:cs="宋体"/>
          <w:bCs/>
          <w:color w:val="auto"/>
          <w:kern w:val="0"/>
          <w:szCs w:val="24"/>
          <w:highlight w:val="none"/>
          <w:u w:val="single"/>
        </w:rPr>
        <w:t xml:space="preserve">                    </w:t>
      </w:r>
      <w:r>
        <w:rPr>
          <w:rFonts w:hint="eastAsia" w:ascii="宋体" w:hAnsi="宋体" w:eastAsia="宋体" w:cs="宋体"/>
          <w:bCs/>
          <w:color w:val="auto"/>
          <w:kern w:val="0"/>
          <w:szCs w:val="24"/>
          <w:highlight w:val="none"/>
        </w:rPr>
        <w:t xml:space="preserve">                                                   </w:t>
      </w:r>
    </w:p>
    <w:tbl>
      <w:tblPr>
        <w:tblStyle w:val="27"/>
        <w:tblW w:w="1441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9"/>
        <w:gridCol w:w="5482"/>
        <w:gridCol w:w="5256"/>
        <w:gridCol w:w="21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492" w:hRule="atLeast"/>
          <w:jc w:val="center"/>
        </w:trPr>
        <w:tc>
          <w:tcPr>
            <w:tcW w:w="1529" w:type="dxa"/>
            <w:vAlign w:val="center"/>
          </w:tcPr>
          <w:p>
            <w:pPr>
              <w:keepNext w:val="0"/>
              <w:keepLines w:val="0"/>
              <w:suppressLineNumbers w:val="0"/>
              <w:spacing w:before="0" w:beforeAutospacing="0" w:after="0" w:afterAutospacing="0" w:line="360" w:lineRule="auto"/>
              <w:ind w:left="0" w:right="163" w:rightChars="68" w:firstLine="118" w:firstLineChars="49"/>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项目</w:t>
            </w:r>
            <w:r>
              <w:rPr>
                <w:rFonts w:hint="eastAsia" w:ascii="宋体" w:hAnsi="宋体" w:eastAsia="宋体" w:cs="宋体"/>
                <w:b/>
                <w:color w:val="auto"/>
                <w:szCs w:val="24"/>
                <w:highlight w:val="none"/>
                <w:lang w:eastAsia="zh-CN"/>
              </w:rPr>
              <w:t>名称及编号</w:t>
            </w:r>
          </w:p>
        </w:tc>
        <w:tc>
          <w:tcPr>
            <w:tcW w:w="5482" w:type="dxa"/>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w:t>
            </w:r>
            <w:r>
              <w:rPr>
                <w:rFonts w:hint="eastAsia" w:ascii="宋体" w:hAnsi="宋体" w:eastAsia="宋体" w:cs="宋体"/>
                <w:b/>
                <w:color w:val="auto"/>
                <w:szCs w:val="24"/>
                <w:highlight w:val="none"/>
                <w:lang w:eastAsia="zh-CN"/>
              </w:rPr>
              <w:t>总</w:t>
            </w:r>
            <w:r>
              <w:rPr>
                <w:rFonts w:hint="eastAsia" w:ascii="宋体" w:hAnsi="宋体" w:eastAsia="宋体" w:cs="宋体"/>
                <w:b/>
                <w:color w:val="auto"/>
                <w:szCs w:val="24"/>
                <w:highlight w:val="none"/>
              </w:rPr>
              <w:t>价</w:t>
            </w:r>
          </w:p>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（人民币:元）</w:t>
            </w:r>
          </w:p>
        </w:tc>
        <w:tc>
          <w:tcPr>
            <w:tcW w:w="5256"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供货期（</w:t>
            </w:r>
            <w:r>
              <w:rPr>
                <w:rFonts w:hint="eastAsia" w:ascii="宋体" w:hAnsi="宋体" w:eastAsia="宋体" w:cs="宋体"/>
                <w:b/>
                <w:color w:val="auto"/>
                <w:szCs w:val="24"/>
                <w:highlight w:val="none"/>
                <w:lang w:val="en-US" w:eastAsia="zh-CN"/>
              </w:rPr>
              <w:t>日历天</w:t>
            </w:r>
            <w:r>
              <w:rPr>
                <w:rFonts w:hint="eastAsia" w:ascii="宋体" w:hAnsi="宋体" w:eastAsia="宋体" w:cs="宋体"/>
                <w:b/>
                <w:color w:val="auto"/>
                <w:szCs w:val="24"/>
                <w:highlight w:val="none"/>
                <w:lang w:eastAsia="zh-CN"/>
              </w:rPr>
              <w:t>）</w:t>
            </w:r>
          </w:p>
        </w:tc>
        <w:tc>
          <w:tcPr>
            <w:tcW w:w="2151"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质保期（年）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1529" w:type="dxa"/>
            <w:vMerge w:val="restart"/>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color w:val="auto"/>
                <w:szCs w:val="24"/>
                <w:highlight w:val="none"/>
              </w:rPr>
            </w:pPr>
          </w:p>
        </w:tc>
        <w:tc>
          <w:tcPr>
            <w:tcW w:w="5482" w:type="dxa"/>
            <w:vAlign w:val="center"/>
          </w:tcPr>
          <w:p>
            <w:pPr>
              <w:keepNext w:val="0"/>
              <w:keepLines w:val="0"/>
              <w:suppressLineNumbers w:val="0"/>
              <w:spacing w:before="0" w:beforeAutospacing="0" w:after="0" w:afterAutospacing="0" w:line="360" w:lineRule="auto"/>
              <w:ind w:left="240" w:leftChars="100" w:right="0"/>
              <w:jc w:val="both"/>
              <w:rPr>
                <w:rFonts w:hint="eastAsia" w:ascii="宋体" w:hAnsi="宋体" w:eastAsia="宋体" w:cs="宋体"/>
                <w:color w:val="auto"/>
                <w:szCs w:val="24"/>
                <w:highlight w:val="none"/>
                <w:lang w:eastAsia="zh-CN"/>
              </w:rPr>
            </w:pPr>
            <w:r>
              <w:rPr>
                <w:rFonts w:hint="eastAsia" w:ascii="宋体" w:hAnsi="宋体" w:eastAsia="宋体" w:cs="宋体"/>
                <w:b/>
                <w:bCs/>
                <w:color w:val="auto"/>
                <w:szCs w:val="24"/>
                <w:highlight w:val="none"/>
                <w:lang w:eastAsia="zh-CN"/>
              </w:rPr>
              <w:t>（小写）</w:t>
            </w:r>
          </w:p>
        </w:tc>
        <w:tc>
          <w:tcPr>
            <w:tcW w:w="5256"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color w:val="auto"/>
                <w:szCs w:val="24"/>
                <w:highlight w:val="none"/>
              </w:rPr>
            </w:pPr>
          </w:p>
        </w:tc>
        <w:tc>
          <w:tcPr>
            <w:tcW w:w="2151"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1529" w:type="dxa"/>
            <w:vMerge w:val="continue"/>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12889" w:type="dxa"/>
            <w:gridSpan w:val="3"/>
            <w:tcBorders>
              <w:top w:val="single" w:color="auto" w:sz="4" w:space="0"/>
            </w:tcBorders>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（大写）                                </w:t>
            </w:r>
          </w:p>
        </w:tc>
      </w:tr>
    </w:tbl>
    <w:p>
      <w:pPr>
        <w:spacing w:before="194" w:beforeLines="50"/>
        <w:ind w:left="423" w:hanging="470" w:hanging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 1、报价应按总报价填写，精确到小数点后两位，大小写不一致时，以大写为准；</w:t>
      </w:r>
    </w:p>
    <w:p>
      <w:pPr>
        <w:spacing w:before="194" w:beforeLines="50"/>
        <w:ind w:left="360" w:leftChars="150"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2、本表所列各项数据与投标文件其地方表述不一致时，以本表为准。</w:t>
      </w:r>
    </w:p>
    <w:p>
      <w:pPr>
        <w:spacing w:line="360" w:lineRule="auto"/>
        <w:jc w:val="left"/>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lang w:eastAsia="zh-CN"/>
        </w:rPr>
        <w:t>投标单位：</w:t>
      </w:r>
      <w:r>
        <w:rPr>
          <w:rFonts w:hint="eastAsia" w:ascii="宋体" w:hAnsi="宋体" w:eastAsia="宋体" w:cs="宋体"/>
          <w:color w:val="auto"/>
          <w:szCs w:val="24"/>
          <w:highlight w:val="none"/>
          <w:u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（投标人单位公章）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i/>
          <w:iCs/>
          <w:color w:val="auto"/>
          <w:highlight w:val="none"/>
        </w:rPr>
        <w:sectPr>
          <w:headerReference r:id="rId15" w:type="first"/>
          <w:footerReference r:id="rId17" w:type="first"/>
          <w:headerReference r:id="rId14" w:type="default"/>
          <w:footerReference r:id="rId16" w:type="default"/>
          <w:pgSz w:w="16838" w:h="11905" w:orient="landscape"/>
          <w:pgMar w:top="1304" w:right="1417" w:bottom="1134" w:left="1417"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bookmarkStart w:id="291" w:name="_Toc154482481"/>
      <w:bookmarkStart w:id="292" w:name="_Toc188808835"/>
      <w:bookmarkStart w:id="293" w:name="_Toc193187099"/>
      <w:bookmarkStart w:id="294" w:name="_Toc193126883"/>
      <w:bookmarkStart w:id="295" w:name="_Toc194663920"/>
    </w:p>
    <w:p>
      <w:pPr>
        <w:pStyle w:val="48"/>
        <w:spacing w:line="360" w:lineRule="auto"/>
        <w:ind w:left="0" w:leftChars="0" w:firstLine="0" w:firstLineChars="0"/>
        <w:jc w:val="left"/>
        <w:outlineLvl w:val="1"/>
        <w:rPr>
          <w:rFonts w:hint="eastAsia" w:ascii="宋体" w:hAnsi="宋体" w:eastAsia="宋体" w:cs="宋体"/>
          <w:bCs/>
          <w:color w:val="auto"/>
          <w:sz w:val="24"/>
          <w:szCs w:val="24"/>
          <w:highlight w:val="none"/>
        </w:rPr>
      </w:pPr>
      <w:bookmarkStart w:id="296" w:name="_Toc15738"/>
      <w:bookmarkStart w:id="297" w:name="_Toc29589"/>
      <w:bookmarkStart w:id="298" w:name="_Toc6146"/>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分项报价表</w:t>
      </w:r>
      <w:bookmarkEnd w:id="296"/>
      <w:bookmarkEnd w:id="297"/>
      <w:bookmarkEnd w:id="298"/>
    </w:p>
    <w:tbl>
      <w:tblPr>
        <w:tblStyle w:val="27"/>
        <w:tblpPr w:leftFromText="180" w:rightFromText="180" w:vertAnchor="text" w:horzAnchor="page" w:tblpXSpec="center" w:tblpY="636"/>
        <w:tblOverlap w:val="never"/>
        <w:tblW w:w="14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1"/>
        <w:gridCol w:w="1684"/>
        <w:gridCol w:w="1339"/>
        <w:gridCol w:w="2217"/>
        <w:gridCol w:w="2588"/>
        <w:gridCol w:w="1606"/>
        <w:gridCol w:w="1168"/>
        <w:gridCol w:w="122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5" w:hRule="atLeast"/>
          <w:tblHeader/>
          <w:jc w:val="center"/>
        </w:trPr>
        <w:tc>
          <w:tcPr>
            <w:tcW w:w="10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8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设备</w:t>
            </w:r>
            <w:r>
              <w:rPr>
                <w:rFonts w:hint="eastAsia" w:ascii="宋体" w:hAnsi="宋体" w:eastAsia="宋体" w:cs="宋体"/>
                <w:b/>
                <w:bCs/>
                <w:color w:val="auto"/>
                <w:sz w:val="24"/>
                <w:szCs w:val="24"/>
                <w:highlight w:val="none"/>
                <w:lang w:eastAsia="zh-CN"/>
              </w:rPr>
              <w:t>名称</w:t>
            </w:r>
          </w:p>
        </w:tc>
        <w:tc>
          <w:tcPr>
            <w:tcW w:w="133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生产厂家</w:t>
            </w:r>
          </w:p>
        </w:tc>
        <w:tc>
          <w:tcPr>
            <w:tcW w:w="221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品牌及型号</w:t>
            </w:r>
          </w:p>
        </w:tc>
        <w:tc>
          <w:tcPr>
            <w:tcW w:w="258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技术参数</w:t>
            </w:r>
          </w:p>
        </w:tc>
        <w:tc>
          <w:tcPr>
            <w:tcW w:w="160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16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单价（元）</w:t>
            </w: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合</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3" w:hRule="atLeast"/>
          <w:jc w:val="center"/>
        </w:trPr>
        <w:tc>
          <w:tcPr>
            <w:tcW w:w="10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68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339" w:type="dxa"/>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2217" w:type="dxa"/>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18"/>
                <w:szCs w:val="18"/>
                <w:highlight w:val="none"/>
              </w:rPr>
            </w:pPr>
          </w:p>
        </w:tc>
        <w:tc>
          <w:tcPr>
            <w:tcW w:w="2588" w:type="dxa"/>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18"/>
                <w:szCs w:val="18"/>
                <w:highlight w:val="none"/>
              </w:rPr>
            </w:pPr>
          </w:p>
        </w:tc>
        <w:tc>
          <w:tcPr>
            <w:tcW w:w="160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16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10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68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339" w:type="dxa"/>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2217" w:type="dxa"/>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18"/>
                <w:szCs w:val="18"/>
                <w:highlight w:val="none"/>
              </w:rPr>
            </w:pPr>
          </w:p>
        </w:tc>
        <w:tc>
          <w:tcPr>
            <w:tcW w:w="2588" w:type="dxa"/>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18"/>
                <w:szCs w:val="18"/>
                <w:highlight w:val="none"/>
              </w:rPr>
            </w:pPr>
          </w:p>
        </w:tc>
        <w:tc>
          <w:tcPr>
            <w:tcW w:w="160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16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10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68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33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217" w:type="dxa"/>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588" w:type="dxa"/>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60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16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c>
          <w:tcPr>
            <w:tcW w:w="122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10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tc>
        <w:tc>
          <w:tcPr>
            <w:tcW w:w="5240" w:type="dxa"/>
            <w:gridSpan w:val="3"/>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大写：    元</w:t>
            </w:r>
          </w:p>
        </w:tc>
        <w:tc>
          <w:tcPr>
            <w:tcW w:w="7802" w:type="dxa"/>
            <w:gridSpan w:val="5"/>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小写：        元</w:t>
            </w:r>
          </w:p>
        </w:tc>
      </w:tr>
    </w:tbl>
    <w:p>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电梯部分分项报价表</w:t>
      </w:r>
    </w:p>
    <w:bookmarkEnd w:id="291"/>
    <w:bookmarkEnd w:id="292"/>
    <w:bookmarkEnd w:id="293"/>
    <w:bookmarkEnd w:id="294"/>
    <w:bookmarkEnd w:id="295"/>
    <w:p>
      <w:pPr>
        <w:spacing w:line="360" w:lineRule="auto"/>
        <w:ind w:firstLine="480" w:firstLineChars="200"/>
        <w:jc w:val="left"/>
        <w:rPr>
          <w:rFonts w:hint="eastAsia" w:ascii="宋体" w:hAnsi="宋体" w:eastAsia="宋体" w:cs="宋体"/>
          <w:color w:val="auto"/>
          <w:szCs w:val="21"/>
          <w:highlight w:val="none"/>
        </w:rPr>
      </w:pPr>
      <w:bookmarkStart w:id="299" w:name="_Toc193187103"/>
      <w:bookmarkStart w:id="300" w:name="_Toc193126887"/>
      <w:bookmarkStart w:id="301" w:name="_Toc188808838"/>
      <w:bookmarkStart w:id="302" w:name="_Toc458617476"/>
      <w:bookmarkStart w:id="303" w:name="_Toc11969"/>
      <w:bookmarkStart w:id="304" w:name="_Toc194663924"/>
      <w:bookmarkStart w:id="305" w:name="_Toc2240"/>
      <w:r>
        <w:rPr>
          <w:rFonts w:hint="eastAsia" w:ascii="宋体" w:hAnsi="宋体" w:eastAsia="宋体" w:cs="宋体"/>
          <w:color w:val="auto"/>
          <w:szCs w:val="21"/>
          <w:highlight w:val="none"/>
        </w:rPr>
        <w:t>注：1.“投标报价分项</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与（二）</w:t>
      </w:r>
      <w:r>
        <w:rPr>
          <w:rFonts w:hint="eastAsia" w:ascii="宋体" w:hAnsi="宋体" w:eastAsia="宋体" w:cs="宋体"/>
          <w:color w:val="auto"/>
          <w:szCs w:val="21"/>
          <w:highlight w:val="none"/>
        </w:rPr>
        <w:t>”中费用总计应与“开标一览表（投标报价表）”中投标报价相等。</w:t>
      </w:r>
    </w:p>
    <w:p>
      <w:pPr>
        <w:spacing w:line="360" w:lineRule="auto"/>
        <w:ind w:firstLine="960" w:firstLineChars="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投标人必须按本表的格式详细报出投标</w:t>
      </w:r>
      <w:r>
        <w:rPr>
          <w:rFonts w:hint="eastAsia" w:ascii="宋体" w:hAnsi="宋体" w:eastAsia="宋体" w:cs="宋体"/>
          <w:color w:val="auto"/>
          <w:szCs w:val="21"/>
          <w:highlight w:val="none"/>
          <w:lang w:eastAsia="zh-CN"/>
        </w:rPr>
        <w:t>报</w:t>
      </w:r>
      <w:r>
        <w:rPr>
          <w:rFonts w:hint="eastAsia" w:ascii="宋体" w:hAnsi="宋体" w:eastAsia="宋体" w:cs="宋体"/>
          <w:color w:val="auto"/>
          <w:szCs w:val="21"/>
          <w:highlight w:val="none"/>
        </w:rPr>
        <w:t>价的各个组成部分的报价，否则作无效投标处理；报价精确到小数点后两位；</w:t>
      </w:r>
    </w:p>
    <w:p>
      <w:pPr>
        <w:spacing w:line="360" w:lineRule="auto"/>
        <w:ind w:firstLine="960" w:firstLineChars="4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3.单价为全费用单价，包含设备、调试、运输、安装、税金等完成本项目所需全部费用。</w:t>
      </w:r>
    </w:p>
    <w:p>
      <w:pPr>
        <w:pStyle w:val="2"/>
        <w:rPr>
          <w:rFonts w:hint="eastAsia" w:ascii="宋体" w:hAnsi="宋体" w:eastAsia="宋体" w:cs="宋体"/>
          <w:color w:val="auto"/>
          <w:szCs w:val="21"/>
          <w:highlight w:val="none"/>
          <w:lang w:val="en-US" w:eastAsia="zh-CN"/>
        </w:rPr>
      </w:pPr>
    </w:p>
    <w:p>
      <w:pPr>
        <w:rPr>
          <w:rFonts w:hint="eastAsia" w:ascii="宋体" w:hAnsi="宋体" w:eastAsia="宋体" w:cs="宋体"/>
          <w:highlight w:val="none"/>
          <w:lang w:eastAsia="zh-CN"/>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lang w:eastAsia="zh-CN"/>
        </w:rPr>
        <w:t>投标单位：</w:t>
      </w:r>
      <w:r>
        <w:rPr>
          <w:rFonts w:hint="eastAsia" w:ascii="宋体" w:hAnsi="宋体" w:eastAsia="宋体" w:cs="宋体"/>
          <w:color w:val="auto"/>
          <w:szCs w:val="24"/>
          <w:highlight w:val="none"/>
          <w:u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（投标人单位公章）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u w:val="single"/>
        </w:rPr>
        <w:sectPr>
          <w:pgSz w:w="16838" w:h="11905" w:orient="landscape"/>
          <w:pgMar w:top="1304" w:right="1417" w:bottom="1134" w:left="1417"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（二）安装部分工程量清单计价表</w:t>
      </w:r>
    </w:p>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highlight w:val="none"/>
          <w:u w:val="none"/>
          <w:lang w:val="en-US" w:eastAsia="zh-CN" w:bidi="ar"/>
        </w:rPr>
      </w:pPr>
    </w:p>
    <w:tbl>
      <w:tblPr>
        <w:tblStyle w:val="2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16"/>
        <w:gridCol w:w="6996"/>
        <w:gridCol w:w="698"/>
        <w:gridCol w:w="816"/>
        <w:gridCol w:w="1666"/>
        <w:gridCol w:w="939"/>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合价</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场地清理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1.原场地地面破除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2.电梯基础完成地面修补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3.拆除建筑物，修补拆除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4.垃圾清理、外运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挖基础土方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1.基础类型:设备基础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2.挖土深度:3m内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3.弃土运距:余土外运1km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素土回填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1.土质要求:素土（人工）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3:7灰土回填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1.土质要求:3:7灰土（人工）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砖基础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1.砖品种、规格、强度等级:实心砖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2.砂浆强度等级:M10水泥砂浆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实心砖墙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1.砖品种、规格、强度等级:实心砖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2.墙体厚度:240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3.砂浆强度等级、配合比:M10水泥砂浆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筏板基础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1.C30商品混凝土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1.C15商品混凝土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1.墙厚度:200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2.C30商品混凝土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散水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1.60厚C15混凝土撒1:1水泥砂子,压实赶光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2.150厚3:7灰土垫层,宽出面层300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3.具体做法详见陕09j01-散3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1.30厚1:2水泥砂浆抹面,做出60mm宽6mm深锯齿(齿朝上坡)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2.水泥浆结合层一道(内掺建筑胶)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3.100厚C15混凝土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4.300厚3:7灰土垫层分两层夯实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1.圆钢ф10以内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1.螺纹钢Φ10以上(含Φ10)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1.钢材品种、规格:Q235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1.钢材品种、规格:Q235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压型钢板楼板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1.钢材品种、规格:YXB-200-600-0.8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2.C30混凝土浇筑板，平台及翻沿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3.配Φ8@200双层双向钢筋网片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1.钢材品种、规格:Q235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1.钢材品种、规格:Q235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1.钢材品种、规格:Q235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2.除锈、出厂前醇酸防锈漆两遍，安装完毕醇酸防锈漆一道，醇酸磁漆面漆两道，详见图纸设计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预埋铁件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1.预埋钢构件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2.地脚螺栓，化学锚栓等安装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3.除锈、刷漆，详见图纸设计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涂膜防水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1.地体基坑涂膜防水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1.墙体类型:砖墙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2.面层厚度、砂浆配合比:外砖墙20mm厚水泥砂浆墙面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3.装饰面材料种类:刮腻子，刷外墙涂料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1.墙体类型:砖墙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2.砖基础外砖墙20mm厚水泥防水砂浆墙面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全玻幕墙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1.钢化玻璃幕墙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全玻雨棚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1.成品钢化玻雨棚（含型钢支架）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清单（一）+（二）=总价（元）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bl>
    <w:p>
      <w:pPr>
        <w:spacing w:line="360" w:lineRule="auto"/>
        <w:rPr>
          <w:rFonts w:hint="eastAsia" w:ascii="宋体" w:hAnsi="宋体" w:eastAsia="宋体" w:cs="宋体"/>
          <w:b/>
          <w:bCs/>
          <w:color w:val="auto"/>
          <w:szCs w:val="24"/>
          <w:highlight w:val="none"/>
          <w:u w:val="none"/>
          <w:lang w:eastAsia="zh-CN"/>
        </w:rPr>
      </w:pPr>
      <w:r>
        <w:rPr>
          <w:rFonts w:hint="eastAsia" w:ascii="宋体" w:hAnsi="宋体" w:eastAsia="宋体" w:cs="宋体"/>
          <w:b/>
          <w:bCs/>
          <w:color w:val="auto"/>
          <w:szCs w:val="24"/>
          <w:highlight w:val="none"/>
          <w:u w:val="none"/>
          <w:lang w:eastAsia="zh-CN"/>
        </w:rPr>
        <w:t>注：以上综合单价为全费用综合单价，包含材料费（含运杂费和采购保管费）、施工费及施工措施、管理费、利润、税金、各项保险等为完成该项工程所发生的一切费用。</w:t>
      </w:r>
    </w:p>
    <w:p>
      <w:pPr>
        <w:pStyle w:val="2"/>
        <w:rPr>
          <w:rFonts w:hint="eastAsia" w:ascii="宋体" w:hAnsi="宋体" w:eastAsia="宋体" w:cs="宋体"/>
          <w:color w:val="auto"/>
          <w:szCs w:val="24"/>
          <w:highlight w:val="none"/>
          <w:u w:val="none"/>
          <w:lang w:eastAsia="zh-CN"/>
        </w:rPr>
      </w:pPr>
    </w:p>
    <w:p>
      <w:pPr>
        <w:rPr>
          <w:rFonts w:hint="eastAsia" w:ascii="宋体" w:hAnsi="宋体" w:eastAsia="宋体" w:cs="宋体"/>
          <w:highlight w:val="none"/>
          <w:lang w:eastAsia="zh-CN"/>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lang w:eastAsia="zh-CN"/>
        </w:rPr>
        <w:t>投标单位：</w:t>
      </w:r>
      <w:r>
        <w:rPr>
          <w:rFonts w:hint="eastAsia" w:ascii="宋体" w:hAnsi="宋体" w:eastAsia="宋体" w:cs="宋体"/>
          <w:color w:val="auto"/>
          <w:szCs w:val="24"/>
          <w:highlight w:val="none"/>
          <w:u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（投标人单位公章）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u w:val="single"/>
        </w:rPr>
        <w:sectPr>
          <w:headerReference r:id="rId19" w:type="first"/>
          <w:footerReference r:id="rId21" w:type="first"/>
          <w:headerReference r:id="rId18" w:type="default"/>
          <w:footerReference r:id="rId20" w:type="default"/>
          <w:pgSz w:w="16838" w:h="11905" w:orient="landscape"/>
          <w:pgMar w:top="1304" w:right="1417" w:bottom="1134" w:left="1417"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pPr>
        <w:pStyle w:val="2"/>
        <w:keepNext w:val="0"/>
        <w:keepLines w:val="0"/>
        <w:pageBreakBefore w:val="0"/>
        <w:widowControl w:val="0"/>
        <w:kinsoku/>
        <w:overflowPunct/>
        <w:topLinePunct w:val="0"/>
        <w:autoSpaceDE/>
        <w:autoSpaceDN/>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（三）选配件报价表（若有）</w:t>
      </w:r>
    </w:p>
    <w:p>
      <w:pPr>
        <w:spacing w:line="360" w:lineRule="auto"/>
        <w:ind w:left="240" w:leftChars="100"/>
        <w:jc w:val="center"/>
        <w:rPr>
          <w:rFonts w:hint="eastAsia" w:ascii="宋体" w:hAnsi="宋体" w:eastAsia="宋体" w:cs="宋体"/>
          <w:caps w:val="0"/>
          <w:smallCaps w:val="0"/>
          <w:color w:val="auto"/>
          <w:spacing w:val="0"/>
          <w:w w:val="100"/>
          <w:sz w:val="24"/>
          <w:highlight w:val="none"/>
        </w:rPr>
      </w:pPr>
    </w:p>
    <w:p>
      <w:pPr>
        <w:spacing w:line="360" w:lineRule="auto"/>
        <w:ind w:left="240" w:leftChars="100"/>
        <w:jc w:val="left"/>
        <w:rPr>
          <w:rFonts w:hint="eastAsia" w:ascii="宋体" w:hAnsi="宋体" w:eastAsia="宋体" w:cs="宋体"/>
          <w:caps w:val="0"/>
          <w:smallCaps w:val="0"/>
          <w:color w:val="auto"/>
          <w:spacing w:val="0"/>
          <w:w w:val="100"/>
          <w:szCs w:val="24"/>
          <w:highlight w:val="none"/>
          <w:u w:val="single"/>
        </w:rPr>
      </w:pPr>
      <w:r>
        <w:rPr>
          <w:rFonts w:hint="eastAsia" w:ascii="宋体" w:hAnsi="宋体" w:eastAsia="宋体" w:cs="宋体"/>
          <w:caps w:val="0"/>
          <w:smallCaps w:val="0"/>
          <w:color w:val="auto"/>
          <w:spacing w:val="0"/>
          <w:w w:val="100"/>
          <w:sz w:val="21"/>
          <w:szCs w:val="16"/>
          <w:highlight w:val="none"/>
          <w:lang w:eastAsia="zh-CN"/>
        </w:rPr>
        <w:t>采购项目</w:t>
      </w:r>
      <w:r>
        <w:rPr>
          <w:rFonts w:hint="eastAsia" w:ascii="宋体" w:hAnsi="宋体" w:eastAsia="宋体" w:cs="宋体"/>
          <w:caps w:val="0"/>
          <w:smallCaps w:val="0"/>
          <w:color w:val="auto"/>
          <w:spacing w:val="0"/>
          <w:w w:val="100"/>
          <w:sz w:val="21"/>
          <w:szCs w:val="16"/>
          <w:highlight w:val="none"/>
        </w:rPr>
        <w:t>名称：</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u w:val="single"/>
          <w:lang w:val="en-US" w:eastAsia="zh-CN"/>
        </w:rPr>
        <w:t xml:space="preserve">              </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rPr>
        <w:t xml:space="preserve"> </w:t>
      </w:r>
      <w:r>
        <w:rPr>
          <w:rFonts w:hint="eastAsia" w:ascii="宋体" w:hAnsi="宋体" w:eastAsia="宋体" w:cs="宋体"/>
          <w:caps w:val="0"/>
          <w:smallCaps w:val="0"/>
          <w:color w:val="auto"/>
          <w:spacing w:val="0"/>
          <w:w w:val="100"/>
          <w:sz w:val="21"/>
          <w:szCs w:val="16"/>
          <w:highlight w:val="none"/>
          <w:lang w:val="en-US" w:eastAsia="zh-CN"/>
        </w:rPr>
        <w:t xml:space="preserve">     </w:t>
      </w:r>
      <w:r>
        <w:rPr>
          <w:rFonts w:hint="eastAsia" w:ascii="宋体" w:hAnsi="宋体" w:eastAsia="宋体" w:cs="宋体"/>
          <w:caps w:val="0"/>
          <w:smallCaps w:val="0"/>
          <w:color w:val="auto"/>
          <w:spacing w:val="0"/>
          <w:w w:val="100"/>
          <w:sz w:val="21"/>
          <w:szCs w:val="16"/>
          <w:highlight w:val="none"/>
        </w:rPr>
        <w:t xml:space="preserve"> </w:t>
      </w:r>
      <w:r>
        <w:rPr>
          <w:rFonts w:hint="eastAsia" w:ascii="宋体" w:hAnsi="宋体" w:eastAsia="宋体" w:cs="宋体"/>
          <w:caps w:val="0"/>
          <w:smallCaps w:val="0"/>
          <w:color w:val="auto"/>
          <w:spacing w:val="0"/>
          <w:w w:val="100"/>
          <w:sz w:val="21"/>
          <w:szCs w:val="16"/>
          <w:highlight w:val="none"/>
          <w:lang w:eastAsia="zh-CN"/>
        </w:rPr>
        <w:t>项目编号</w:t>
      </w:r>
      <w:r>
        <w:rPr>
          <w:rFonts w:hint="eastAsia" w:ascii="宋体" w:hAnsi="宋体" w:eastAsia="宋体" w:cs="宋体"/>
          <w:caps w:val="0"/>
          <w:smallCaps w:val="0"/>
          <w:color w:val="auto"/>
          <w:spacing w:val="0"/>
          <w:w w:val="100"/>
          <w:sz w:val="21"/>
          <w:szCs w:val="16"/>
          <w:highlight w:val="none"/>
        </w:rPr>
        <w:t>：</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u w:val="single"/>
          <w:lang w:val="en-US" w:eastAsia="zh-CN"/>
        </w:rPr>
        <w:t xml:space="preserve">                </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4"/>
          <w:highlight w:val="none"/>
        </w:rPr>
        <w:t xml:space="preserve"> </w:t>
      </w:r>
    </w:p>
    <w:tbl>
      <w:tblPr>
        <w:tblStyle w:val="27"/>
        <w:tblW w:w="141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9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序号</w:t>
            </w:r>
          </w:p>
        </w:tc>
        <w:tc>
          <w:tcPr>
            <w:tcW w:w="1843"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名   称</w:t>
            </w:r>
          </w:p>
        </w:tc>
        <w:tc>
          <w:tcPr>
            <w:tcW w:w="1701"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品牌/型号</w:t>
            </w:r>
          </w:p>
        </w:tc>
        <w:tc>
          <w:tcPr>
            <w:tcW w:w="141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制造厂家</w:t>
            </w:r>
          </w:p>
        </w:tc>
        <w:tc>
          <w:tcPr>
            <w:tcW w:w="1843"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规格和说明</w:t>
            </w:r>
          </w:p>
        </w:tc>
        <w:tc>
          <w:tcPr>
            <w:tcW w:w="992"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单位</w:t>
            </w:r>
          </w:p>
        </w:tc>
        <w:tc>
          <w:tcPr>
            <w:tcW w:w="1134"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数量</w:t>
            </w:r>
          </w:p>
        </w:tc>
        <w:tc>
          <w:tcPr>
            <w:tcW w:w="1701" w:type="dxa"/>
            <w:noWrap w:val="0"/>
            <w:vAlign w:val="center"/>
          </w:tcPr>
          <w:p>
            <w:pPr>
              <w:keepNext w:val="0"/>
              <w:keepLines w:val="0"/>
              <w:suppressLineNumbers w:val="0"/>
              <w:spacing w:before="0" w:beforeAutospacing="0" w:after="0" w:afterAutospacing="0" w:line="300" w:lineRule="exact"/>
              <w:ind w:left="0" w:right="0" w:firstLine="413" w:firstLineChars="196"/>
              <w:jc w:val="both"/>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单</w:t>
            </w:r>
            <w:r>
              <w:rPr>
                <w:rFonts w:hint="eastAsia" w:ascii="宋体" w:hAnsi="宋体" w:eastAsia="宋体" w:cs="宋体"/>
                <w:b/>
                <w:caps w:val="0"/>
                <w:smallCaps w:val="0"/>
                <w:color w:val="auto"/>
                <w:spacing w:val="0"/>
                <w:w w:val="100"/>
                <w:sz w:val="21"/>
                <w:szCs w:val="21"/>
                <w:highlight w:val="none"/>
                <w:lang w:val="en-US" w:eastAsia="zh-CN"/>
              </w:rPr>
              <w:t xml:space="preserve"> </w:t>
            </w:r>
            <w:r>
              <w:rPr>
                <w:rFonts w:hint="eastAsia" w:ascii="宋体" w:hAnsi="宋体" w:eastAsia="宋体" w:cs="宋体"/>
                <w:b/>
                <w:caps w:val="0"/>
                <w:smallCaps w:val="0"/>
                <w:color w:val="auto"/>
                <w:spacing w:val="0"/>
                <w:w w:val="100"/>
                <w:sz w:val="21"/>
                <w:szCs w:val="21"/>
                <w:highlight w:val="none"/>
              </w:rPr>
              <w:t>价</w:t>
            </w:r>
          </w:p>
          <w:p>
            <w:pPr>
              <w:keepNext w:val="0"/>
              <w:keepLines w:val="0"/>
              <w:suppressLineNumbers w:val="0"/>
              <w:spacing w:before="0" w:beforeAutospacing="0" w:after="0" w:afterAutospacing="0" w:line="30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（元）</w:t>
            </w:r>
          </w:p>
        </w:tc>
        <w:tc>
          <w:tcPr>
            <w:tcW w:w="1701" w:type="dxa"/>
            <w:noWrap w:val="0"/>
            <w:vAlign w:val="center"/>
          </w:tcPr>
          <w:p>
            <w:pPr>
              <w:keepNext w:val="0"/>
              <w:keepLines w:val="0"/>
              <w:suppressLineNumbers w:val="0"/>
              <w:spacing w:before="0" w:beforeAutospacing="0" w:after="0" w:afterAutospacing="0" w:line="300" w:lineRule="exact"/>
              <w:ind w:left="0" w:right="0" w:firstLine="413" w:firstLineChars="196"/>
              <w:jc w:val="both"/>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总</w:t>
            </w:r>
            <w:r>
              <w:rPr>
                <w:rFonts w:hint="eastAsia" w:ascii="宋体" w:hAnsi="宋体" w:eastAsia="宋体" w:cs="宋体"/>
                <w:b/>
                <w:caps w:val="0"/>
                <w:smallCaps w:val="0"/>
                <w:color w:val="auto"/>
                <w:spacing w:val="0"/>
                <w:w w:val="100"/>
                <w:sz w:val="21"/>
                <w:szCs w:val="21"/>
                <w:highlight w:val="none"/>
                <w:lang w:val="en-US" w:eastAsia="zh-CN"/>
              </w:rPr>
              <w:t xml:space="preserve"> </w:t>
            </w:r>
            <w:r>
              <w:rPr>
                <w:rFonts w:hint="eastAsia" w:ascii="宋体" w:hAnsi="宋体" w:eastAsia="宋体" w:cs="宋体"/>
                <w:b/>
                <w:caps w:val="0"/>
                <w:smallCaps w:val="0"/>
                <w:color w:val="auto"/>
                <w:spacing w:val="0"/>
                <w:w w:val="100"/>
                <w:sz w:val="21"/>
                <w:szCs w:val="21"/>
                <w:highlight w:val="none"/>
              </w:rPr>
              <w:t>价</w:t>
            </w:r>
          </w:p>
          <w:p>
            <w:pPr>
              <w:keepNext w:val="0"/>
              <w:keepLines w:val="0"/>
              <w:suppressLineNumbers w:val="0"/>
              <w:spacing w:before="0" w:beforeAutospacing="0" w:after="0" w:afterAutospacing="0" w:line="300" w:lineRule="exact"/>
              <w:ind w:left="0" w:right="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（元）</w:t>
            </w:r>
          </w:p>
        </w:tc>
        <w:tc>
          <w:tcPr>
            <w:tcW w:w="972" w:type="dxa"/>
            <w:noWrap w:val="0"/>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ascii="宋体" w:hAnsi="宋体" w:eastAsia="宋体" w:cs="宋体"/>
                <w:b/>
                <w:caps w:val="0"/>
                <w:smallCaps w:val="0"/>
                <w:color w:val="auto"/>
                <w:spacing w:val="0"/>
                <w:w w:val="100"/>
                <w:sz w:val="21"/>
                <w:szCs w:val="21"/>
                <w:highlight w:val="none"/>
              </w:rPr>
            </w:pPr>
            <w:r>
              <w:rPr>
                <w:rFonts w:hint="eastAsia" w:ascii="宋体" w:hAnsi="宋体" w:eastAsia="宋体" w:cs="宋体"/>
                <w:b/>
                <w:caps w:val="0"/>
                <w:smallCaps w:val="0"/>
                <w:color w:val="auto"/>
                <w:spacing w:val="0"/>
                <w:w w:val="100"/>
                <w:sz w:val="21"/>
                <w:szCs w:val="21"/>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tcBorders>
              <w:bottom w:val="sing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417"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843"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9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134"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caps w:val="0"/>
                <w:smallCaps w:val="0"/>
                <w:color w:val="auto"/>
                <w:spacing w:val="0"/>
                <w:w w:val="100"/>
                <w:sz w:val="21"/>
                <w:szCs w:val="21"/>
                <w:highlight w:val="none"/>
              </w:rPr>
            </w:pPr>
          </w:p>
        </w:tc>
        <w:tc>
          <w:tcPr>
            <w:tcW w:w="1701"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c>
          <w:tcPr>
            <w:tcW w:w="972"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caps w:val="0"/>
                <w:smallCaps w:val="0"/>
                <w:color w:val="auto"/>
                <w:spacing w:val="0"/>
                <w:w w:val="100"/>
                <w:sz w:val="21"/>
                <w:szCs w:val="21"/>
                <w:highlight w:val="none"/>
              </w:rPr>
            </w:pPr>
          </w:p>
        </w:tc>
      </w:tr>
    </w:tbl>
    <w:p>
      <w:pPr>
        <w:keepNext w:val="0"/>
        <w:keepLines w:val="0"/>
        <w:pageBreakBefore w:val="0"/>
        <w:widowControl w:val="0"/>
        <w:kinsoku/>
        <w:overflowPunct/>
        <w:topLinePunct w:val="0"/>
        <w:autoSpaceDE/>
        <w:autoSpaceDN/>
        <w:bidi w:val="0"/>
        <w:spacing w:line="360" w:lineRule="auto"/>
        <w:ind w:left="11220" w:leftChars="4675" w:firstLine="0" w:firstLineChars="0"/>
        <w:rPr>
          <w:rFonts w:hint="eastAsia" w:ascii="宋体" w:hAnsi="宋体" w:eastAsia="宋体" w:cs="宋体"/>
          <w:color w:val="auto"/>
          <w:sz w:val="21"/>
          <w:szCs w:val="21"/>
          <w:highlight w:val="none"/>
        </w:rPr>
      </w:pPr>
    </w:p>
    <w:p>
      <w:pPr>
        <w:keepNext w:val="0"/>
        <w:keepLines w:val="0"/>
        <w:pageBreakBefore w:val="0"/>
        <w:widowControl w:val="0"/>
        <w:kinsoku/>
        <w:overflowPunct/>
        <w:topLinePunct w:val="0"/>
        <w:autoSpaceDE/>
        <w:autoSpaceDN/>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keepNext w:val="0"/>
        <w:keepLines w:val="0"/>
        <w:pageBreakBefore w:val="0"/>
        <w:widowControl w:val="0"/>
        <w:kinsoku/>
        <w:overflowPunct/>
        <w:topLinePunct w:val="0"/>
        <w:autoSpaceDE/>
        <w:autoSpaceDN/>
        <w:bidi w:val="0"/>
        <w:spacing w:line="360" w:lineRule="auto"/>
        <w:ind w:right="0" w:rightChars="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法定代表人或授权委托人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年    月    日 </w:t>
      </w:r>
    </w:p>
    <w:p>
      <w:pPr>
        <w:rPr>
          <w:rFonts w:hint="eastAsia" w:ascii="宋体" w:hAnsi="宋体" w:eastAsia="宋体" w:cs="宋体"/>
          <w:highlight w:val="none"/>
          <w:lang w:val="en-US" w:eastAsia="zh-CN"/>
        </w:rPr>
        <w:sectPr>
          <w:pgSz w:w="16838" w:h="11905" w:orient="landscape"/>
          <w:pgMar w:top="1304" w:right="1417" w:bottom="1134" w:left="1417"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2"/>
        <w:keepNext w:val="0"/>
        <w:keepLines w:val="0"/>
        <w:pageBreakBefore w:val="0"/>
        <w:widowControl w:val="0"/>
        <w:kinsoku/>
        <w:overflowPunct/>
        <w:topLinePunct w:val="0"/>
        <w:autoSpaceDE/>
        <w:autoSpaceDN/>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  货物（设备）说明一览表</w:t>
      </w:r>
    </w:p>
    <w:p>
      <w:pPr>
        <w:spacing w:line="480" w:lineRule="exact"/>
        <w:ind w:left="240" w:leftChars="100"/>
        <w:rPr>
          <w:rFonts w:hint="eastAsia" w:ascii="宋体" w:hAnsi="宋体" w:eastAsia="宋体" w:cs="宋体"/>
          <w:sz w:val="28"/>
          <w:szCs w:val="28"/>
          <w:highlight w:val="none"/>
          <w:u w:val="single"/>
        </w:rPr>
      </w:pPr>
      <w:r>
        <w:rPr>
          <w:rFonts w:hint="eastAsia" w:ascii="宋体" w:hAnsi="宋体" w:eastAsia="宋体" w:cs="宋体"/>
          <w:caps w:val="0"/>
          <w:smallCaps w:val="0"/>
          <w:color w:val="auto"/>
          <w:spacing w:val="0"/>
          <w:w w:val="100"/>
          <w:sz w:val="21"/>
          <w:szCs w:val="16"/>
          <w:highlight w:val="none"/>
          <w:lang w:eastAsia="zh-CN"/>
        </w:rPr>
        <w:t>采购项目</w:t>
      </w:r>
      <w:r>
        <w:rPr>
          <w:rFonts w:hint="eastAsia" w:ascii="宋体" w:hAnsi="宋体" w:eastAsia="宋体" w:cs="宋体"/>
          <w:caps w:val="0"/>
          <w:smallCaps w:val="0"/>
          <w:color w:val="auto"/>
          <w:spacing w:val="0"/>
          <w:w w:val="100"/>
          <w:sz w:val="21"/>
          <w:szCs w:val="16"/>
          <w:highlight w:val="none"/>
        </w:rPr>
        <w:t>名称：</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u w:val="single"/>
          <w:lang w:val="en-US" w:eastAsia="zh-CN"/>
        </w:rPr>
        <w:t xml:space="preserve">              </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rPr>
        <w:t xml:space="preserve">  </w:t>
      </w:r>
      <w:r>
        <w:rPr>
          <w:rFonts w:hint="eastAsia" w:ascii="宋体" w:hAnsi="宋体" w:eastAsia="宋体" w:cs="宋体"/>
          <w:caps w:val="0"/>
          <w:smallCaps w:val="0"/>
          <w:color w:val="auto"/>
          <w:spacing w:val="0"/>
          <w:w w:val="100"/>
          <w:sz w:val="21"/>
          <w:szCs w:val="16"/>
          <w:highlight w:val="none"/>
          <w:lang w:val="en-US" w:eastAsia="zh-CN"/>
        </w:rPr>
        <w:t xml:space="preserve">                       </w:t>
      </w:r>
      <w:r>
        <w:rPr>
          <w:rFonts w:hint="eastAsia" w:ascii="宋体" w:hAnsi="宋体" w:eastAsia="宋体" w:cs="宋体"/>
          <w:caps w:val="0"/>
          <w:smallCaps w:val="0"/>
          <w:color w:val="auto"/>
          <w:spacing w:val="0"/>
          <w:w w:val="100"/>
          <w:sz w:val="21"/>
          <w:szCs w:val="16"/>
          <w:highlight w:val="none"/>
          <w:lang w:eastAsia="zh-CN"/>
        </w:rPr>
        <w:t>项目编号</w:t>
      </w:r>
      <w:r>
        <w:rPr>
          <w:rFonts w:hint="eastAsia" w:ascii="宋体" w:hAnsi="宋体" w:eastAsia="宋体" w:cs="宋体"/>
          <w:caps w:val="0"/>
          <w:smallCaps w:val="0"/>
          <w:color w:val="auto"/>
          <w:spacing w:val="0"/>
          <w:w w:val="100"/>
          <w:sz w:val="21"/>
          <w:szCs w:val="16"/>
          <w:highlight w:val="none"/>
        </w:rPr>
        <w:t>：</w:t>
      </w:r>
      <w:r>
        <w:rPr>
          <w:rFonts w:hint="eastAsia" w:ascii="宋体" w:hAnsi="宋体" w:eastAsia="宋体" w:cs="宋体"/>
          <w:caps w:val="0"/>
          <w:smallCaps w:val="0"/>
          <w:color w:val="auto"/>
          <w:spacing w:val="0"/>
          <w:w w:val="100"/>
          <w:sz w:val="21"/>
          <w:szCs w:val="16"/>
          <w:highlight w:val="none"/>
          <w:u w:val="single"/>
        </w:rPr>
        <w:t xml:space="preserve">        </w:t>
      </w:r>
      <w:r>
        <w:rPr>
          <w:rFonts w:hint="eastAsia" w:ascii="宋体" w:hAnsi="宋体" w:eastAsia="宋体" w:cs="宋体"/>
          <w:caps w:val="0"/>
          <w:smallCaps w:val="0"/>
          <w:color w:val="auto"/>
          <w:spacing w:val="0"/>
          <w:w w:val="100"/>
          <w:sz w:val="21"/>
          <w:szCs w:val="16"/>
          <w:highlight w:val="none"/>
          <w:u w:val="single"/>
          <w:lang w:val="en-US" w:eastAsia="zh-CN"/>
        </w:rPr>
        <w:t xml:space="preserve">                </w:t>
      </w:r>
      <w:r>
        <w:rPr>
          <w:rFonts w:hint="eastAsia" w:ascii="宋体" w:hAnsi="宋体" w:eastAsia="宋体" w:cs="宋体"/>
          <w:caps w:val="0"/>
          <w:smallCaps w:val="0"/>
          <w:color w:val="auto"/>
          <w:spacing w:val="0"/>
          <w:w w:val="100"/>
          <w:sz w:val="21"/>
          <w:szCs w:val="16"/>
          <w:highlight w:val="none"/>
          <w:u w:val="single"/>
        </w:rPr>
        <w:t xml:space="preserve">      </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78" w:type="dxa"/>
            <w:tcBorders>
              <w:top w:val="doub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序号</w:t>
            </w:r>
          </w:p>
        </w:tc>
        <w:tc>
          <w:tcPr>
            <w:tcW w:w="2160" w:type="dxa"/>
            <w:tcBorders>
              <w:top w:val="double" w:color="auto" w:sz="4" w:space="0"/>
            </w:tcBorders>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名    称</w:t>
            </w:r>
          </w:p>
        </w:tc>
        <w:tc>
          <w:tcPr>
            <w:tcW w:w="1620" w:type="dxa"/>
            <w:tcBorders>
              <w:top w:val="doub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品牌/型号</w:t>
            </w:r>
          </w:p>
        </w:tc>
        <w:tc>
          <w:tcPr>
            <w:tcW w:w="5040" w:type="dxa"/>
            <w:tcBorders>
              <w:top w:val="double" w:color="auto" w:sz="4" w:space="0"/>
            </w:tcBorders>
            <w:noWrap w:val="0"/>
            <w:vAlign w:val="center"/>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配置、规格及主要技术参数</w:t>
            </w:r>
          </w:p>
        </w:tc>
        <w:tc>
          <w:tcPr>
            <w:tcW w:w="1800" w:type="dxa"/>
            <w:tcBorders>
              <w:top w:val="double" w:color="auto" w:sz="4" w:space="0"/>
            </w:tcBorders>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制造厂家</w:t>
            </w:r>
          </w:p>
        </w:tc>
        <w:tc>
          <w:tcPr>
            <w:tcW w:w="1080" w:type="dxa"/>
            <w:tcBorders>
              <w:top w:val="double" w:color="auto" w:sz="4" w:space="0"/>
            </w:tcBorders>
            <w:noWrap w:val="0"/>
            <w:tcMar>
              <w:top w:w="28" w:type="dxa"/>
              <w:left w:w="57" w:type="dxa"/>
              <w:bottom w:w="28" w:type="dxa"/>
              <w:right w:w="57" w:type="dxa"/>
            </w:tcMar>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数量</w:t>
            </w:r>
          </w:p>
        </w:tc>
        <w:tc>
          <w:tcPr>
            <w:tcW w:w="1234" w:type="dxa"/>
            <w:tcBorders>
              <w:top w:val="double" w:color="auto" w:sz="4" w:space="0"/>
            </w:tcBorders>
            <w:noWrap w:val="0"/>
            <w:tcMar>
              <w:top w:w="28" w:type="dxa"/>
              <w:left w:w="57" w:type="dxa"/>
              <w:bottom w:w="28" w:type="dxa"/>
              <w:right w:w="57" w:type="dxa"/>
            </w:tcMar>
            <w:vAlign w:val="center"/>
          </w:tcPr>
          <w:p>
            <w:pPr>
              <w:keepNext w:val="0"/>
              <w:keepLines w:val="0"/>
              <w:suppressLineNumbers w:val="0"/>
              <w:spacing w:before="0" w:beforeAutospacing="0" w:after="0" w:afterAutospacing="0" w:line="480" w:lineRule="exact"/>
              <w:ind w:left="-24" w:leftChars="-1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8" w:type="dxa"/>
            <w:tcBorders>
              <w:bottom w:val="double" w:color="auto" w:sz="4" w:space="0"/>
            </w:tcBorders>
            <w:noWrap w:val="0"/>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rPr>
            </w:pPr>
          </w:p>
        </w:tc>
        <w:tc>
          <w:tcPr>
            <w:tcW w:w="2160" w:type="dxa"/>
            <w:tcBorders>
              <w:bottom w:val="double" w:color="auto" w:sz="4" w:space="0"/>
            </w:tcBorders>
            <w:noWrap w:val="0"/>
            <w:vAlign w:val="center"/>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rPr>
            </w:pPr>
          </w:p>
        </w:tc>
        <w:tc>
          <w:tcPr>
            <w:tcW w:w="1620" w:type="dxa"/>
            <w:tcBorders>
              <w:bottom w:val="double" w:color="auto" w:sz="4" w:space="0"/>
            </w:tcBorders>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5040" w:type="dxa"/>
            <w:tcBorders>
              <w:bottom w:val="double" w:color="auto" w:sz="4" w:space="0"/>
            </w:tcBorders>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800" w:type="dxa"/>
            <w:tcBorders>
              <w:bottom w:val="double" w:color="auto" w:sz="4" w:space="0"/>
            </w:tcBorders>
            <w:noWrap w:val="0"/>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c>
          <w:tcPr>
            <w:tcW w:w="1080" w:type="dxa"/>
            <w:tcBorders>
              <w:bottom w:val="double" w:color="auto" w:sz="4" w:space="0"/>
            </w:tcBorders>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jc w:val="center"/>
              <w:rPr>
                <w:rFonts w:hint="eastAsia" w:ascii="宋体" w:hAnsi="宋体" w:eastAsia="宋体" w:cs="宋体"/>
                <w:sz w:val="28"/>
                <w:szCs w:val="28"/>
                <w:highlight w:val="none"/>
                <w:u w:val="single"/>
              </w:rPr>
            </w:pPr>
          </w:p>
        </w:tc>
        <w:tc>
          <w:tcPr>
            <w:tcW w:w="1234" w:type="dxa"/>
            <w:tcBorders>
              <w:bottom w:val="double" w:color="auto" w:sz="4" w:space="0"/>
            </w:tcBorders>
            <w:noWrap w:val="0"/>
            <w:tcMar>
              <w:top w:w="28" w:type="dxa"/>
              <w:left w:w="57" w:type="dxa"/>
              <w:bottom w:w="28" w:type="dxa"/>
              <w:right w:w="57" w:type="dxa"/>
            </w:tcMar>
            <w:vAlign w:val="top"/>
          </w:tcPr>
          <w:p>
            <w:pPr>
              <w:keepNext w:val="0"/>
              <w:keepLines w:val="0"/>
              <w:suppressLineNumbers w:val="0"/>
              <w:spacing w:before="0" w:beforeAutospacing="0" w:after="0" w:afterAutospacing="0" w:line="480" w:lineRule="exact"/>
              <w:ind w:left="240" w:leftChars="100" w:right="0"/>
              <w:rPr>
                <w:rFonts w:hint="eastAsia" w:ascii="宋体" w:hAnsi="宋体" w:eastAsia="宋体" w:cs="宋体"/>
                <w:sz w:val="28"/>
                <w:szCs w:val="28"/>
                <w:highlight w:val="none"/>
                <w:u w:val="single"/>
              </w:rPr>
            </w:pPr>
          </w:p>
        </w:tc>
      </w:tr>
    </w:tbl>
    <w:p>
      <w:pPr>
        <w:pStyle w:val="13"/>
        <w:rPr>
          <w:rFonts w:hint="eastAsia" w:ascii="宋体" w:hAnsi="宋体" w:eastAsia="宋体" w:cs="宋体"/>
          <w:b/>
          <w:bCs/>
          <w:caps w:val="0"/>
          <w:smallCaps w:val="0"/>
          <w:spacing w:val="0"/>
          <w:w w:val="100"/>
          <w:highlight w:val="none"/>
          <w:lang w:eastAsia="zh-CN"/>
        </w:rPr>
      </w:pPr>
      <w:r>
        <w:rPr>
          <w:rFonts w:hint="eastAsia" w:ascii="宋体" w:hAnsi="宋体" w:eastAsia="宋体" w:cs="宋体"/>
          <w:b/>
          <w:bCs/>
          <w:caps w:val="0"/>
          <w:smallCaps w:val="0"/>
          <w:spacing w:val="0"/>
          <w:w w:val="100"/>
          <w:highlight w:val="none"/>
          <w:lang w:eastAsia="zh-CN"/>
        </w:rPr>
        <w:t>注：各供应商据实填写。</w:t>
      </w:r>
    </w:p>
    <w:p>
      <w:pPr>
        <w:pStyle w:val="13"/>
        <w:rPr>
          <w:rFonts w:hint="eastAsia" w:ascii="宋体" w:hAnsi="宋体" w:eastAsia="宋体" w:cs="宋体"/>
          <w:caps w:val="0"/>
          <w:smallCaps w:val="0"/>
          <w:spacing w:val="0"/>
          <w:w w:val="100"/>
          <w:highlight w:val="none"/>
          <w:lang w:eastAsia="zh-CN"/>
        </w:rPr>
      </w:pPr>
    </w:p>
    <w:p>
      <w:pPr>
        <w:keepNext w:val="0"/>
        <w:keepLines w:val="0"/>
        <w:pageBreakBefore w:val="0"/>
        <w:widowControl w:val="0"/>
        <w:kinsoku/>
        <w:overflowPunct/>
        <w:topLinePunct w:val="0"/>
        <w:autoSpaceDE/>
        <w:autoSpaceDN/>
        <w:bidi w:val="0"/>
        <w:spacing w:line="360" w:lineRule="auto"/>
        <w:ind w:right="0" w:right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keepNext w:val="0"/>
        <w:keepLines w:val="0"/>
        <w:pageBreakBefore w:val="0"/>
        <w:widowControl w:val="0"/>
        <w:kinsoku/>
        <w:overflowPunct/>
        <w:topLinePunct w:val="0"/>
        <w:autoSpaceDE/>
        <w:autoSpaceDN/>
        <w:bidi w:val="0"/>
        <w:spacing w:line="360" w:lineRule="auto"/>
        <w:ind w:right="0" w:rightChars="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法定代表人或授权委托人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overflowPunct/>
        <w:topLinePunct w:val="0"/>
        <w:autoSpaceDE/>
        <w:autoSpaceDN/>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年    月    日 </w:t>
      </w:r>
    </w:p>
    <w:p>
      <w:pPr>
        <w:jc w:val="left"/>
        <w:rPr>
          <w:rFonts w:hint="eastAsia" w:ascii="宋体" w:hAnsi="宋体" w:eastAsia="宋体" w:cs="宋体"/>
          <w:highlight w:val="none"/>
          <w:lang w:val="en-US" w:eastAsia="zh-CN"/>
        </w:rPr>
        <w:sectPr>
          <w:pgSz w:w="16838" w:h="11905" w:orient="landscape"/>
          <w:pgMar w:top="1304" w:right="1417" w:bottom="1134" w:left="1417"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16"/>
        <w:rPr>
          <w:rFonts w:hint="eastAsia" w:ascii="宋体" w:hAnsi="宋体" w:eastAsia="宋体" w:cs="宋体"/>
          <w:b/>
          <w:bCs/>
          <w:highlight w:val="none"/>
          <w:lang w:val="en-US" w:eastAsia="zh-CN"/>
        </w:rPr>
        <w:sectPr>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361" w:name="_GoBack"/>
      <w:bookmarkEnd w:id="361"/>
      <w:r>
        <w:rPr>
          <w:rFonts w:hint="eastAsia" w:ascii="宋体" w:hAnsi="宋体" w:eastAsia="宋体" w:cs="宋体"/>
          <w:b/>
          <w:bCs/>
          <w:highlight w:val="none"/>
          <w:lang w:val="en-US" w:eastAsia="zh-CN"/>
        </w:rPr>
        <w:t>4.投标保证金交纳凭证；</w:t>
      </w:r>
    </w:p>
    <w:bookmarkEnd w:id="287"/>
    <w:bookmarkEnd w:id="288"/>
    <w:bookmarkEnd w:id="289"/>
    <w:bookmarkEnd w:id="290"/>
    <w:bookmarkEnd w:id="299"/>
    <w:bookmarkEnd w:id="300"/>
    <w:bookmarkEnd w:id="301"/>
    <w:bookmarkEnd w:id="302"/>
    <w:bookmarkEnd w:id="303"/>
    <w:bookmarkEnd w:id="304"/>
    <w:bookmarkEnd w:id="305"/>
    <w:p>
      <w:pPr>
        <w:pStyle w:val="48"/>
        <w:spacing w:line="360" w:lineRule="auto"/>
        <w:ind w:left="0" w:leftChars="0" w:firstLine="0" w:firstLineChars="0"/>
        <w:jc w:val="both"/>
        <w:outlineLvl w:val="1"/>
        <w:rPr>
          <w:rFonts w:hint="eastAsia" w:ascii="宋体" w:hAnsi="宋体" w:eastAsia="宋体" w:cs="宋体"/>
          <w:b/>
          <w:bCs/>
          <w:color w:val="auto"/>
          <w:szCs w:val="28"/>
          <w:highlight w:val="none"/>
          <w:lang w:val="en-US" w:eastAsia="zh-CN"/>
        </w:rPr>
      </w:pPr>
      <w:bookmarkStart w:id="306" w:name="_Toc14459"/>
      <w:bookmarkStart w:id="307" w:name="_Toc31718"/>
      <w:bookmarkStart w:id="308" w:name="_Toc3635"/>
      <w:bookmarkStart w:id="309" w:name="_Toc194663942"/>
      <w:bookmarkStart w:id="310" w:name="_Toc193126905"/>
      <w:bookmarkStart w:id="311" w:name="_Toc193187111"/>
      <w:bookmarkStart w:id="312" w:name="_Toc188808855"/>
      <w:bookmarkStart w:id="313" w:name="_Toc193126891"/>
      <w:bookmarkStart w:id="314" w:name="_Toc188808842"/>
      <w:r>
        <w:rPr>
          <w:rFonts w:hint="eastAsia" w:ascii="宋体" w:hAnsi="宋体" w:eastAsia="宋体" w:cs="宋体"/>
          <w:b/>
          <w:bCs/>
          <w:color w:val="auto"/>
          <w:szCs w:val="28"/>
          <w:highlight w:val="none"/>
          <w:lang w:val="en-US" w:eastAsia="zh-CN"/>
        </w:rPr>
        <w:t>5.供应商承诺书</w:t>
      </w:r>
      <w:bookmarkEnd w:id="306"/>
      <w:bookmarkEnd w:id="307"/>
      <w:bookmarkEnd w:id="308"/>
    </w:p>
    <w:p>
      <w:pPr>
        <w:pStyle w:val="48"/>
        <w:spacing w:line="360" w:lineRule="auto"/>
        <w:ind w:left="0" w:leftChars="0" w:firstLine="0" w:firstLineChars="0"/>
        <w:jc w:val="center"/>
        <w:outlineLvl w:val="1"/>
        <w:rPr>
          <w:rFonts w:hint="eastAsia" w:ascii="宋体" w:hAnsi="宋体" w:eastAsia="宋体" w:cs="宋体"/>
          <w:b/>
          <w:bCs/>
          <w:color w:val="auto"/>
          <w:szCs w:val="28"/>
          <w:highlight w:val="none"/>
        </w:rPr>
      </w:pPr>
      <w:bookmarkStart w:id="315" w:name="_Toc458617499"/>
      <w:bookmarkStart w:id="316" w:name="_Toc31350"/>
      <w:bookmarkStart w:id="317" w:name="_Toc6831"/>
    </w:p>
    <w:bookmarkEnd w:id="309"/>
    <w:bookmarkEnd w:id="310"/>
    <w:bookmarkEnd w:id="311"/>
    <w:bookmarkEnd w:id="312"/>
    <w:bookmarkEnd w:id="315"/>
    <w:bookmarkEnd w:id="316"/>
    <w:bookmarkEnd w:id="317"/>
    <w:p>
      <w:pPr>
        <w:widowControl/>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32"/>
          <w:szCs w:val="32"/>
          <w:highlight w:val="none"/>
        </w:rPr>
        <w:t xml:space="preserve">                   </w:t>
      </w:r>
      <w:r>
        <w:rPr>
          <w:rFonts w:hint="eastAsia" w:ascii="宋体" w:hAnsi="宋体" w:eastAsia="宋体" w:cs="宋体"/>
          <w:b/>
          <w:bCs/>
          <w:color w:val="auto"/>
          <w:kern w:val="0"/>
          <w:sz w:val="30"/>
          <w:szCs w:val="30"/>
          <w:highlight w:val="none"/>
        </w:rPr>
        <w:t xml:space="preserve"> </w:t>
      </w:r>
      <w:r>
        <w:rPr>
          <w:rFonts w:hint="eastAsia" w:ascii="宋体" w:hAnsi="宋体" w:eastAsia="宋体" w:cs="宋体"/>
          <w:b/>
          <w:bCs/>
          <w:color w:val="auto"/>
          <w:kern w:val="0"/>
          <w:sz w:val="28"/>
          <w:szCs w:val="28"/>
          <w:highlight w:val="none"/>
        </w:rPr>
        <w:t>陕西省政府采购投标人</w:t>
      </w:r>
    </w:p>
    <w:p>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拒绝政府采购领域商业贿赂承诺书</w:t>
      </w:r>
    </w:p>
    <w:p>
      <w:pPr>
        <w:widowControl/>
        <w:spacing w:line="360" w:lineRule="auto"/>
        <w:ind w:firstLine="480" w:firstLineChars="200"/>
        <w:jc w:val="left"/>
        <w:rPr>
          <w:rFonts w:hint="eastAsia" w:ascii="宋体" w:hAnsi="宋体" w:eastAsia="宋体" w:cs="宋体"/>
          <w:color w:val="auto"/>
          <w:kern w:val="0"/>
          <w:highlight w:val="none"/>
        </w:rPr>
      </w:pP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为响应党中央、国务院关于治理政府采购领域商业贿赂行为的号召，</w:t>
      </w:r>
      <w:r>
        <w:rPr>
          <w:rFonts w:hint="eastAsia" w:ascii="宋体" w:hAnsi="宋体" w:eastAsia="宋体" w:cs="宋体"/>
          <w:color w:val="auto"/>
          <w:kern w:val="0"/>
          <w:highlight w:val="none"/>
        </w:rPr>
        <w:t xml:space="preserve">我单位作为     </w:t>
      </w:r>
      <w:r>
        <w:rPr>
          <w:rFonts w:hint="eastAsia" w:ascii="宋体" w:hAnsi="宋体" w:eastAsia="宋体" w:cs="宋体"/>
          <w:color w:val="auto"/>
          <w:kern w:val="0"/>
          <w:highlight w:val="none"/>
          <w:u w:val="single"/>
        </w:rPr>
        <w:t xml:space="preserve">（项目名称）         </w:t>
      </w:r>
      <w:r>
        <w:rPr>
          <w:rFonts w:hint="eastAsia" w:ascii="宋体" w:hAnsi="宋体" w:eastAsia="宋体" w:cs="宋体"/>
          <w:color w:val="auto"/>
          <w:kern w:val="0"/>
          <w:highlight w:val="none"/>
        </w:rPr>
        <w:t xml:space="preserve"> 的投标人，</w:t>
      </w:r>
      <w:r>
        <w:rPr>
          <w:rFonts w:hint="eastAsia" w:ascii="宋体" w:hAnsi="宋体" w:eastAsia="宋体" w:cs="宋体"/>
          <w:color w:val="auto"/>
          <w:kern w:val="0"/>
          <w:szCs w:val="24"/>
          <w:highlight w:val="none"/>
        </w:rPr>
        <w:t xml:space="preserve">在此庄严承诺：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1、在参与政府采购活动中遵纪守法、诚信经营、公平竞标。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2、不向采购人、采购代理机构和政府采购评审专家进行任何形式的商业贿赂以谋取交易机会。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3、不向政府采购采购代理机构和采购人提供虚假资质文件或采用虚假应标方式参与政府采购市场竞争并谋取中标、成交。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4、不采取“围标、陪标”等商业欺诈手段获得政府采购定单。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5、不采取不正当手段低毁、排挤其他投标人。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6、不在提供商品和服务时“偷梁换柱、以次充好”损害采购人的合法权益。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7、不与采购人、采购代理机构政府采购评审专家或其它投标人恶意串通，进行质疑和投诉，维护政府采购市场秩序。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8、尊重和接受政府采购监督管理部门的监督和政府采购代理机构招标要求，承担因违约行为给采购人造成的损失。 </w:t>
      </w: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9、不发生其他有悖于政府采购公开、公平、公正和诚信原则的行为。 </w:t>
      </w:r>
    </w:p>
    <w:p>
      <w:pPr>
        <w:pStyle w:val="15"/>
        <w:rPr>
          <w:rFonts w:hint="eastAsia" w:ascii="宋体" w:hAnsi="宋体" w:eastAsia="宋体" w:cs="宋体"/>
          <w:highlight w:val="none"/>
          <w:lang w:eastAsia="zh-CN"/>
        </w:rPr>
      </w:pPr>
    </w:p>
    <w:p>
      <w:pPr>
        <w:widowControl/>
        <w:spacing w:line="360" w:lineRule="auto"/>
        <w:ind w:firstLine="480" w:firstLineChars="2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 xml:space="preserve"> 承诺单位：</w:t>
      </w:r>
      <w:r>
        <w:rPr>
          <w:rFonts w:hint="eastAsia" w:ascii="宋体" w:hAnsi="宋体" w:eastAsia="宋体" w:cs="宋体"/>
          <w:color w:val="auto"/>
          <w:kern w:val="0"/>
          <w:szCs w:val="24"/>
          <w:highlight w:val="none"/>
          <w:u w:val="single"/>
        </w:rPr>
        <w:t>　　                 　</w:t>
      </w:r>
      <w:r>
        <w:rPr>
          <w:rFonts w:hint="eastAsia" w:ascii="宋体" w:hAnsi="宋体" w:eastAsia="宋体" w:cs="宋体"/>
          <w:color w:val="auto"/>
          <w:kern w:val="0"/>
          <w:szCs w:val="24"/>
          <w:highlight w:val="none"/>
        </w:rPr>
        <w:t xml:space="preserve">（盖章） </w:t>
      </w:r>
    </w:p>
    <w:p>
      <w:pPr>
        <w:widowControl/>
        <w:spacing w:line="360" w:lineRule="auto"/>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 全权代表：</w:t>
      </w:r>
      <w:r>
        <w:rPr>
          <w:rFonts w:hint="eastAsia" w:ascii="宋体" w:hAnsi="宋体" w:eastAsia="宋体" w:cs="宋体"/>
          <w:color w:val="auto"/>
          <w:kern w:val="0"/>
          <w:szCs w:val="24"/>
          <w:highlight w:val="none"/>
          <w:u w:val="single"/>
        </w:rPr>
        <w:t>　　　　　     　　　　</w:t>
      </w:r>
      <w:r>
        <w:rPr>
          <w:rFonts w:hint="eastAsia" w:ascii="宋体" w:hAnsi="宋体" w:eastAsia="宋体" w:cs="宋体"/>
          <w:color w:val="auto"/>
          <w:kern w:val="0"/>
          <w:szCs w:val="24"/>
          <w:highlight w:val="none"/>
        </w:rPr>
        <w:t xml:space="preserve">（签字） </w:t>
      </w:r>
    </w:p>
    <w:p>
      <w:pPr>
        <w:widowControl/>
        <w:spacing w:line="360" w:lineRule="auto"/>
        <w:ind w:firstLine="120" w:firstLineChars="50"/>
        <w:rPr>
          <w:rFonts w:hint="eastAsia" w:ascii="宋体" w:hAnsi="宋体" w:eastAsia="宋体" w:cs="宋体"/>
          <w:color w:val="auto"/>
          <w:kern w:val="0"/>
          <w:szCs w:val="24"/>
          <w:highlight w:val="none"/>
          <w:u w:val="single"/>
        </w:rPr>
      </w:pPr>
      <w:r>
        <w:rPr>
          <w:rFonts w:hint="eastAsia" w:ascii="宋体" w:hAnsi="宋体" w:eastAsia="宋体" w:cs="宋体"/>
          <w:color w:val="auto"/>
          <w:kern w:val="0"/>
          <w:szCs w:val="24"/>
          <w:highlight w:val="none"/>
        </w:rPr>
        <w:t>地　　址：</w:t>
      </w:r>
      <w:r>
        <w:rPr>
          <w:rFonts w:hint="eastAsia" w:ascii="宋体" w:hAnsi="宋体" w:eastAsia="宋体" w:cs="宋体"/>
          <w:color w:val="auto"/>
          <w:kern w:val="0"/>
          <w:szCs w:val="24"/>
          <w:highlight w:val="none"/>
          <w:u w:val="single"/>
        </w:rPr>
        <w:t xml:space="preserve">                              </w:t>
      </w:r>
    </w:p>
    <w:p>
      <w:pPr>
        <w:widowControl/>
        <w:spacing w:line="360" w:lineRule="auto"/>
        <w:ind w:left="120" w:leftChars="50"/>
        <w:rPr>
          <w:rFonts w:hint="eastAsia" w:ascii="宋体" w:hAnsi="宋体" w:eastAsia="宋体" w:cs="宋体"/>
          <w:color w:val="auto"/>
          <w:kern w:val="0"/>
          <w:szCs w:val="24"/>
          <w:highlight w:val="none"/>
          <w:u w:val="single"/>
          <w:lang w:eastAsia="zh-CN"/>
        </w:rPr>
      </w:pPr>
      <w:r>
        <w:rPr>
          <w:rFonts w:hint="eastAsia" w:ascii="宋体" w:hAnsi="宋体" w:eastAsia="宋体" w:cs="宋体"/>
          <w:color w:val="auto"/>
          <w:kern w:val="0"/>
          <w:szCs w:val="24"/>
          <w:highlight w:val="none"/>
        </w:rPr>
        <w:t>邮    编：</w:t>
      </w:r>
      <w:r>
        <w:rPr>
          <w:rFonts w:hint="eastAsia" w:ascii="宋体" w:hAnsi="宋体" w:eastAsia="宋体" w:cs="宋体"/>
          <w:color w:val="auto"/>
          <w:kern w:val="0"/>
          <w:szCs w:val="24"/>
          <w:highlight w:val="none"/>
          <w:u w:val="single"/>
        </w:rPr>
        <w:t xml:space="preserve">　　                     　　 </w:t>
      </w:r>
    </w:p>
    <w:p>
      <w:pPr>
        <w:widowControl/>
        <w:spacing w:line="360" w:lineRule="auto"/>
        <w:ind w:left="120" w:leftChars="5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电　　话：</w:t>
      </w:r>
      <w:r>
        <w:rPr>
          <w:rFonts w:hint="eastAsia" w:ascii="宋体" w:hAnsi="宋体" w:eastAsia="宋体" w:cs="宋体"/>
          <w:color w:val="auto"/>
          <w:kern w:val="0"/>
          <w:szCs w:val="24"/>
          <w:highlight w:val="none"/>
          <w:u w:val="single"/>
        </w:rPr>
        <w:t>　　　                　　　　</w:t>
      </w:r>
      <w:r>
        <w:rPr>
          <w:rFonts w:hint="eastAsia" w:ascii="宋体" w:hAnsi="宋体" w:eastAsia="宋体" w:cs="宋体"/>
          <w:color w:val="auto"/>
          <w:kern w:val="0"/>
          <w:szCs w:val="24"/>
          <w:highlight w:val="none"/>
        </w:rPr>
        <w:t xml:space="preserve">　　 </w:t>
      </w:r>
    </w:p>
    <w:p>
      <w:pPr>
        <w:widowControl/>
        <w:spacing w:line="360" w:lineRule="auto"/>
        <w:ind w:firstLine="480" w:firstLineChars="200"/>
        <w:rPr>
          <w:rFonts w:hint="eastAsia" w:ascii="宋体" w:hAnsi="宋体" w:eastAsia="宋体" w:cs="宋体"/>
          <w:color w:val="auto"/>
          <w:kern w:val="0"/>
          <w:szCs w:val="24"/>
          <w:highlight w:val="none"/>
        </w:rPr>
      </w:pPr>
    </w:p>
    <w:p>
      <w:pPr>
        <w:spacing w:line="360" w:lineRule="auto"/>
        <w:ind w:firstLine="4920" w:firstLineChars="2050"/>
        <w:rPr>
          <w:rFonts w:hint="eastAsia" w:ascii="宋体" w:hAnsi="宋体" w:eastAsia="宋体" w:cs="宋体"/>
          <w:color w:val="auto"/>
          <w:kern w:val="0"/>
          <w:szCs w:val="24"/>
          <w:highlight w:val="none"/>
        </w:rPr>
        <w:sectPr>
          <w:headerReference r:id="rId22" w:type="first"/>
          <w:footerReference r:id="rId24" w:type="first"/>
          <w:footerReference r:id="rId23" w:type="default"/>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Cs w:val="24"/>
          <w:highlight w:val="none"/>
        </w:rPr>
        <w:t>年　　月　　日</w:t>
      </w:r>
    </w:p>
    <w:p>
      <w:pPr>
        <w:pStyle w:val="8"/>
        <w:numPr>
          <w:ilvl w:val="3"/>
          <w:numId w:val="0"/>
        </w:numPr>
        <w:shd w:val="clear"/>
        <w:spacing w:line="360" w:lineRule="auto"/>
        <w:ind w:left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偏差表</w:t>
      </w:r>
    </w:p>
    <w:p>
      <w:pPr>
        <w:shd w:val="clea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                          </w:t>
      </w:r>
    </w:p>
    <w:p>
      <w:pPr>
        <w:shd w:val="clea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w:t>
      </w:r>
      <w:r>
        <w:rPr>
          <w:rFonts w:hint="eastAsia" w:ascii="宋体" w:hAnsi="宋体" w:eastAsia="宋体" w:cs="宋体"/>
          <w:color w:val="auto"/>
          <w:highlight w:val="none"/>
          <w:lang w:val="en-US" w:eastAsia="zh-CN"/>
        </w:rPr>
        <w:t>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                          </w:t>
      </w:r>
    </w:p>
    <w:tbl>
      <w:tblPr>
        <w:tblStyle w:val="27"/>
        <w:tblpPr w:leftFromText="180" w:rightFromText="180" w:vertAnchor="text" w:horzAnchor="page" w:tblpX="2084" w:tblpY="331"/>
        <w:tblOverlap w:val="never"/>
        <w:tblW w:w="47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578"/>
        <w:gridCol w:w="2493"/>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17" w:type="pct"/>
            <w:vAlign w:val="center"/>
          </w:tcPr>
          <w:p>
            <w:pPr>
              <w:keepNext w:val="0"/>
              <w:keepLines w:val="0"/>
              <w:suppressLineNumbers w:val="0"/>
              <w:shd w:val="clear"/>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序号</w:t>
            </w:r>
          </w:p>
        </w:tc>
        <w:tc>
          <w:tcPr>
            <w:tcW w:w="1485" w:type="pct"/>
            <w:vAlign w:val="center"/>
          </w:tcPr>
          <w:p>
            <w:pPr>
              <w:keepNext w:val="0"/>
              <w:keepLines w:val="0"/>
              <w:suppressLineNumbers w:val="0"/>
              <w:shd w:val="clear"/>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招标文件</w:t>
            </w:r>
            <w:r>
              <w:rPr>
                <w:rFonts w:hint="eastAsia" w:ascii="宋体" w:hAnsi="宋体" w:eastAsia="宋体" w:cs="宋体"/>
                <w:b/>
                <w:color w:val="auto"/>
                <w:szCs w:val="24"/>
                <w:highlight w:val="none"/>
                <w:lang w:eastAsia="zh-CN"/>
              </w:rPr>
              <w:t>技术</w:t>
            </w:r>
            <w:r>
              <w:rPr>
                <w:rFonts w:hint="eastAsia" w:ascii="宋体" w:hAnsi="宋体" w:eastAsia="宋体" w:cs="宋体"/>
                <w:b/>
                <w:color w:val="auto"/>
                <w:szCs w:val="24"/>
                <w:highlight w:val="none"/>
              </w:rPr>
              <w:t>要求</w:t>
            </w:r>
          </w:p>
        </w:tc>
        <w:tc>
          <w:tcPr>
            <w:tcW w:w="1436" w:type="pct"/>
            <w:vAlign w:val="center"/>
          </w:tcPr>
          <w:p>
            <w:pPr>
              <w:keepNext w:val="0"/>
              <w:keepLines w:val="0"/>
              <w:suppressLineNumbers w:val="0"/>
              <w:shd w:val="clear"/>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投标文件</w:t>
            </w:r>
            <w:r>
              <w:rPr>
                <w:rFonts w:hint="eastAsia" w:ascii="宋体" w:hAnsi="宋体" w:eastAsia="宋体" w:cs="宋体"/>
                <w:b/>
                <w:color w:val="auto"/>
                <w:szCs w:val="24"/>
                <w:highlight w:val="none"/>
                <w:lang w:eastAsia="zh-CN"/>
              </w:rPr>
              <w:t>技术</w:t>
            </w:r>
            <w:r>
              <w:rPr>
                <w:rFonts w:hint="eastAsia" w:ascii="宋体" w:hAnsi="宋体" w:eastAsia="宋体" w:cs="宋体"/>
                <w:b/>
                <w:color w:val="auto"/>
                <w:szCs w:val="24"/>
                <w:highlight w:val="none"/>
              </w:rPr>
              <w:t>响应</w:t>
            </w:r>
          </w:p>
        </w:tc>
        <w:tc>
          <w:tcPr>
            <w:tcW w:w="1459" w:type="pct"/>
            <w:vAlign w:val="center"/>
          </w:tcPr>
          <w:p>
            <w:pPr>
              <w:keepNext w:val="0"/>
              <w:keepLines w:val="0"/>
              <w:suppressLineNumbers w:val="0"/>
              <w:shd w:val="clear"/>
              <w:spacing w:before="0" w:beforeAutospacing="0" w:after="0" w:afterAutospacing="0" w:line="360" w:lineRule="auto"/>
              <w:ind w:left="240" w:leftChars="100" w:right="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1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8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59"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1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8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59"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61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8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459"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617"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485"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436"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459" w:type="pct"/>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pPr>
        <w:shd w:val="clea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w:t>
      </w:r>
    </w:p>
    <w:p>
      <w:pPr>
        <w:pStyle w:val="48"/>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pStyle w:val="48"/>
        <w:shd w:val="clea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w:t>
      </w:r>
      <w:r>
        <w:rPr>
          <w:rFonts w:hint="eastAsia" w:ascii="宋体" w:hAnsi="宋体" w:eastAsia="宋体" w:cs="宋体"/>
          <w:b/>
          <w:color w:val="auto"/>
          <w:sz w:val="22"/>
          <w:szCs w:val="22"/>
          <w:highlight w:val="none"/>
          <w:lang w:eastAsia="zh-CN"/>
        </w:rPr>
        <w:t>投标单位须</w:t>
      </w:r>
      <w:r>
        <w:rPr>
          <w:rFonts w:hint="eastAsia" w:ascii="宋体" w:hAnsi="宋体" w:eastAsia="宋体" w:cs="宋体"/>
          <w:b/>
          <w:color w:val="auto"/>
          <w:sz w:val="22"/>
          <w:szCs w:val="22"/>
          <w:highlight w:val="none"/>
        </w:rPr>
        <w:t>逐条进行技术响应，未逐条响应的按无效投标处理。</w:t>
      </w:r>
    </w:p>
    <w:p>
      <w:pPr>
        <w:pStyle w:val="48"/>
        <w:shd w:val="clear"/>
        <w:spacing w:line="360" w:lineRule="auto"/>
        <w:ind w:firstLine="883" w:firstLineChars="4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2、凡是</w:t>
      </w:r>
      <w:r>
        <w:rPr>
          <w:rFonts w:hint="eastAsia" w:ascii="宋体" w:hAnsi="宋体" w:eastAsia="宋体" w:cs="宋体"/>
          <w:b/>
          <w:color w:val="auto"/>
          <w:sz w:val="22"/>
          <w:szCs w:val="22"/>
          <w:highlight w:val="none"/>
          <w:lang w:eastAsia="zh-CN"/>
        </w:rPr>
        <w:t>投标</w:t>
      </w:r>
      <w:r>
        <w:rPr>
          <w:rFonts w:hint="eastAsia" w:ascii="宋体" w:hAnsi="宋体" w:eastAsia="宋体" w:cs="宋体"/>
          <w:b/>
          <w:color w:val="auto"/>
          <w:sz w:val="22"/>
          <w:szCs w:val="22"/>
          <w:highlight w:val="none"/>
        </w:rPr>
        <w:t>文件的技术条款与</w:t>
      </w:r>
      <w:r>
        <w:rPr>
          <w:rFonts w:hint="eastAsia" w:ascii="宋体" w:hAnsi="宋体" w:eastAsia="宋体" w:cs="宋体"/>
          <w:b/>
          <w:color w:val="auto"/>
          <w:sz w:val="22"/>
          <w:szCs w:val="22"/>
          <w:highlight w:val="none"/>
          <w:lang w:eastAsia="zh-CN"/>
        </w:rPr>
        <w:t>招标</w:t>
      </w:r>
      <w:r>
        <w:rPr>
          <w:rFonts w:hint="eastAsia" w:ascii="宋体" w:hAnsi="宋体" w:eastAsia="宋体" w:cs="宋体"/>
          <w:b/>
          <w:color w:val="auto"/>
          <w:sz w:val="22"/>
          <w:szCs w:val="22"/>
          <w:highlight w:val="none"/>
        </w:rPr>
        <w:t>文件的技术条款之间存在负偏离（即不能满足</w:t>
      </w:r>
      <w:r>
        <w:rPr>
          <w:rFonts w:hint="eastAsia" w:ascii="宋体" w:hAnsi="宋体" w:eastAsia="宋体" w:cs="宋体"/>
          <w:b/>
          <w:color w:val="auto"/>
          <w:sz w:val="22"/>
          <w:szCs w:val="22"/>
          <w:highlight w:val="none"/>
          <w:lang w:eastAsia="zh-CN"/>
        </w:rPr>
        <w:t>招标</w:t>
      </w:r>
      <w:r>
        <w:rPr>
          <w:rFonts w:hint="eastAsia" w:ascii="宋体" w:hAnsi="宋体" w:eastAsia="宋体" w:cs="宋体"/>
          <w:b/>
          <w:color w:val="auto"/>
          <w:sz w:val="22"/>
          <w:szCs w:val="22"/>
          <w:highlight w:val="none"/>
        </w:rPr>
        <w:t>文件要求）的，按废标处理。</w:t>
      </w:r>
    </w:p>
    <w:p>
      <w:pPr>
        <w:pStyle w:val="48"/>
        <w:shd w:val="clear"/>
        <w:spacing w:line="360" w:lineRule="auto"/>
        <w:rPr>
          <w:rFonts w:hint="eastAsia" w:ascii="宋体" w:hAnsi="宋体" w:eastAsia="宋体" w:cs="宋体"/>
          <w:b/>
          <w:color w:val="auto"/>
          <w:sz w:val="24"/>
          <w:szCs w:val="24"/>
          <w:highlight w:val="none"/>
        </w:rPr>
      </w:pPr>
    </w:p>
    <w:p>
      <w:pPr>
        <w:pStyle w:val="48"/>
        <w:shd w:val="clear"/>
        <w:spacing w:line="360" w:lineRule="auto"/>
        <w:rPr>
          <w:rFonts w:hint="eastAsia" w:ascii="宋体" w:hAnsi="宋体" w:eastAsia="宋体" w:cs="宋体"/>
          <w:b/>
          <w:color w:val="auto"/>
          <w:sz w:val="24"/>
          <w:szCs w:val="24"/>
          <w:highlight w:val="none"/>
        </w:rPr>
      </w:pPr>
    </w:p>
    <w:p>
      <w:pPr>
        <w:pStyle w:val="48"/>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p>
    <w:p>
      <w:pPr>
        <w:spacing w:line="360" w:lineRule="auto"/>
        <w:ind w:left="240" w:leftChars="100"/>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lang w:eastAsia="zh-CN"/>
        </w:rPr>
        <w:t>投标单位：</w:t>
      </w:r>
      <w:r>
        <w:rPr>
          <w:rFonts w:hint="eastAsia" w:ascii="宋体" w:hAnsi="宋体" w:eastAsia="宋体" w:cs="宋体"/>
          <w:color w:val="auto"/>
          <w:szCs w:val="24"/>
          <w:highlight w:val="none"/>
          <w:u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（投标人单位公章） </w:t>
      </w:r>
    </w:p>
    <w:p>
      <w:pPr>
        <w:spacing w:line="360" w:lineRule="auto"/>
        <w:ind w:left="240" w:leftChars="1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 xml:space="preserve"> </w:t>
      </w:r>
    </w:p>
    <w:p>
      <w:pPr>
        <w:spacing w:line="360" w:lineRule="auto"/>
        <w:ind w:firstLine="240" w:firstLineChars="100"/>
        <w:rPr>
          <w:rFonts w:hint="eastAsia" w:ascii="宋体" w:hAnsi="宋体" w:eastAsia="宋体" w:cs="宋体"/>
          <w:color w:val="auto"/>
          <w:highlight w:val="none"/>
          <w:u w:val="single"/>
        </w:rPr>
      </w:pPr>
      <w:r>
        <w:rPr>
          <w:rFonts w:hint="eastAsia" w:ascii="宋体" w:hAnsi="宋体" w:eastAsia="宋体" w:cs="宋体"/>
          <w:color w:val="auto"/>
          <w:szCs w:val="24"/>
          <w:highlight w:val="none"/>
        </w:rPr>
        <w:t>日 期：</w:t>
      </w:r>
      <w:r>
        <w:rPr>
          <w:rFonts w:hint="eastAsia" w:ascii="宋体" w:hAnsi="宋体" w:eastAsia="宋体" w:cs="宋体"/>
          <w:color w:val="auto"/>
          <w:highlight w:val="none"/>
          <w:u w:val="single"/>
        </w:rPr>
        <w:t xml:space="preserve">            </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48"/>
        <w:spacing w:line="360" w:lineRule="auto"/>
        <w:ind w:firstLineChars="71"/>
        <w:jc w:val="center"/>
        <w:outlineLvl w:val="1"/>
        <w:rPr>
          <w:rFonts w:hint="eastAsia" w:ascii="宋体" w:hAnsi="宋体" w:eastAsia="宋体" w:cs="宋体"/>
          <w:b/>
          <w:color w:val="auto"/>
          <w:highlight w:val="none"/>
        </w:rPr>
      </w:pPr>
      <w:bookmarkStart w:id="318" w:name="_Toc3916"/>
      <w:bookmarkStart w:id="319" w:name="_Toc20389"/>
      <w:bookmarkStart w:id="320" w:name="_Toc9018"/>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商务条款响应偏离表</w:t>
      </w:r>
      <w:bookmarkEnd w:id="318"/>
      <w:bookmarkEnd w:id="319"/>
      <w:bookmarkEnd w:id="320"/>
    </w:p>
    <w:p>
      <w:pPr>
        <w:spacing w:line="360" w:lineRule="auto"/>
        <w:ind w:left="240" w:leftChars="100"/>
        <w:rPr>
          <w:rFonts w:hint="eastAsia" w:ascii="宋体" w:hAnsi="宋体" w:eastAsia="宋体" w:cs="宋体"/>
          <w:b/>
          <w:bCs/>
          <w:color w:val="auto"/>
          <w:szCs w:val="32"/>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项目</w:t>
      </w:r>
      <w:r>
        <w:rPr>
          <w:rFonts w:hint="eastAsia" w:ascii="宋体" w:hAnsi="宋体" w:eastAsia="宋体" w:cs="宋体"/>
          <w:color w:val="auto"/>
          <w:szCs w:val="24"/>
          <w:highlight w:val="none"/>
        </w:rPr>
        <w:t>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项目编号：</w:t>
      </w:r>
      <w:r>
        <w:rPr>
          <w:rFonts w:hint="eastAsia" w:ascii="宋体" w:hAnsi="宋体" w:eastAsia="宋体" w:cs="宋体"/>
          <w:color w:val="auto"/>
          <w:szCs w:val="24"/>
          <w:highlight w:val="none"/>
          <w:u w:val="single"/>
        </w:rPr>
        <w:t xml:space="preserve">             </w:t>
      </w:r>
    </w:p>
    <w:tbl>
      <w:tblPr>
        <w:tblStyle w:val="27"/>
        <w:tblW w:w="92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234"/>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110" w:leftChars="-46"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序号</w:t>
            </w: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招标文件商务要求</w:t>
            </w: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投标文件商务响应</w:t>
            </w: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28" w:hRule="atLeast"/>
          <w:jc w:val="center"/>
        </w:trPr>
        <w:tc>
          <w:tcPr>
            <w:tcW w:w="933"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0000FF"/>
                <w:szCs w:val="24"/>
                <w:highlight w:val="none"/>
              </w:rPr>
            </w:pPr>
          </w:p>
        </w:tc>
        <w:tc>
          <w:tcPr>
            <w:tcW w:w="3234"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0000FF"/>
                <w:szCs w:val="24"/>
                <w:highlight w:val="none"/>
              </w:rPr>
            </w:pPr>
          </w:p>
        </w:tc>
        <w:tc>
          <w:tcPr>
            <w:tcW w:w="283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0000FF"/>
                <w:szCs w:val="24"/>
                <w:highlight w:val="none"/>
              </w:rPr>
            </w:pPr>
          </w:p>
        </w:tc>
        <w:tc>
          <w:tcPr>
            <w:tcW w:w="229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0000FF"/>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3"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Borders>
              <w:bottom w:val="single" w:color="auto" w:sz="4" w:space="0"/>
            </w:tcBorders>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3234"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83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c>
          <w:tcPr>
            <w:tcW w:w="2295" w:type="dxa"/>
            <w:tcMar>
              <w:top w:w="57" w:type="dxa"/>
              <w:left w:w="28" w:type="dxa"/>
              <w:bottom w:w="57" w:type="dxa"/>
              <w:right w:w="28" w:type="dxa"/>
            </w:tcMar>
            <w:vAlign w:val="center"/>
          </w:tcPr>
          <w:p>
            <w:pPr>
              <w:keepNext w:val="0"/>
              <w:keepLines w:val="0"/>
              <w:suppressLineNumbers w:val="0"/>
              <w:spacing w:before="0" w:beforeAutospacing="0" w:after="0" w:afterAutospacing="0" w:line="360" w:lineRule="auto"/>
              <w:ind w:left="240" w:leftChars="100" w:right="0"/>
              <w:rPr>
                <w:rFonts w:hint="eastAsia" w:ascii="宋体" w:hAnsi="宋体" w:eastAsia="宋体" w:cs="宋体"/>
                <w:color w:val="auto"/>
                <w:szCs w:val="24"/>
                <w:highlight w:val="none"/>
              </w:rPr>
            </w:pPr>
          </w:p>
        </w:tc>
      </w:tr>
    </w:tbl>
    <w:p>
      <w:pPr>
        <w:spacing w:line="360" w:lineRule="auto"/>
        <w:ind w:left="240" w:leftChars="100"/>
        <w:rPr>
          <w:rFonts w:hint="eastAsia" w:ascii="宋体" w:hAnsi="宋体" w:eastAsia="宋体" w:cs="宋体"/>
          <w:color w:val="auto"/>
          <w:szCs w:val="24"/>
          <w:highlight w:val="none"/>
        </w:rPr>
      </w:pPr>
    </w:p>
    <w:p>
      <w:pPr>
        <w:spacing w:line="360" w:lineRule="auto"/>
        <w:ind w:left="240" w:leftChars="100"/>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lang w:eastAsia="zh-CN"/>
        </w:rPr>
        <w:t>投标单位：</w:t>
      </w:r>
      <w:r>
        <w:rPr>
          <w:rFonts w:hint="eastAsia" w:ascii="宋体" w:hAnsi="宋体" w:eastAsia="宋体" w:cs="宋体"/>
          <w:color w:val="auto"/>
          <w:szCs w:val="24"/>
          <w:highlight w:val="none"/>
          <w:u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（投标人单位公章） </w:t>
      </w:r>
    </w:p>
    <w:p>
      <w:pPr>
        <w:spacing w:line="360" w:lineRule="auto"/>
        <w:ind w:left="240" w:leftChars="1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法定代表人或被授权人（签字或盖章）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 xml:space="preserve"> </w:t>
      </w:r>
    </w:p>
    <w:p>
      <w:pPr>
        <w:spacing w:line="360" w:lineRule="auto"/>
        <w:ind w:firstLine="240" w:firstLineChars="100"/>
        <w:rPr>
          <w:rFonts w:hint="eastAsia" w:ascii="宋体" w:hAnsi="宋体" w:eastAsia="宋体" w:cs="宋体"/>
          <w:color w:val="auto"/>
          <w:highlight w:val="none"/>
          <w:u w:val="single"/>
        </w:rPr>
      </w:pPr>
      <w:r>
        <w:rPr>
          <w:rFonts w:hint="eastAsia" w:ascii="宋体" w:hAnsi="宋体" w:eastAsia="宋体" w:cs="宋体"/>
          <w:color w:val="auto"/>
          <w:szCs w:val="24"/>
          <w:highlight w:val="none"/>
        </w:rPr>
        <w:t>日 期：</w:t>
      </w:r>
      <w:r>
        <w:rPr>
          <w:rFonts w:hint="eastAsia" w:ascii="宋体" w:hAnsi="宋体" w:eastAsia="宋体" w:cs="宋体"/>
          <w:color w:val="auto"/>
          <w:highlight w:val="none"/>
          <w:u w:val="single"/>
        </w:rPr>
        <w:t xml:space="preserve">            </w:t>
      </w:r>
    </w:p>
    <w:p>
      <w:pPr>
        <w:rPr>
          <w:rFonts w:hint="eastAsia" w:ascii="宋体" w:hAnsi="宋体" w:eastAsia="宋体" w:cs="宋体"/>
          <w:b/>
          <w:color w:val="auto"/>
          <w:highlight w:val="none"/>
          <w:lang w:val="en-US" w:eastAsia="zh-CN"/>
        </w:rPr>
      </w:pPr>
      <w:r>
        <w:rPr>
          <w:rFonts w:hint="eastAsia" w:ascii="宋体" w:hAnsi="宋体" w:eastAsia="宋体" w:cs="宋体"/>
          <w:color w:val="auto"/>
          <w:szCs w:val="21"/>
          <w:highlight w:val="none"/>
          <w:u w:val="single"/>
        </w:rPr>
        <w:br w:type="page"/>
      </w:r>
    </w:p>
    <w:p>
      <w:pPr>
        <w:pStyle w:val="16"/>
        <w:rPr>
          <w:rFonts w:hint="eastAsia" w:ascii="宋体" w:hAnsi="宋体" w:eastAsia="宋体" w:cs="宋体"/>
          <w:highlight w:val="none"/>
        </w:rPr>
        <w:sectPr>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2"/>
        <w:rPr>
          <w:rFonts w:hint="eastAsia" w:ascii="宋体" w:hAnsi="宋体" w:eastAsia="宋体" w:cs="宋体"/>
          <w:highlight w:val="none"/>
        </w:rPr>
      </w:pPr>
    </w:p>
    <w:p>
      <w:pPr>
        <w:pStyle w:val="4"/>
        <w:rPr>
          <w:rFonts w:hint="eastAsia" w:ascii="宋体" w:hAnsi="宋体" w:eastAsia="宋体" w:cs="宋体"/>
          <w:highlight w:val="none"/>
          <w:lang w:val="en-US" w:eastAsia="zh-CN"/>
        </w:rPr>
      </w:pPr>
      <w:bookmarkStart w:id="321" w:name="_Toc10589"/>
      <w:bookmarkStart w:id="322" w:name="_Toc17174"/>
      <w:bookmarkStart w:id="323" w:name="_Toc14439"/>
      <w:r>
        <w:rPr>
          <w:rFonts w:hint="eastAsia" w:ascii="宋体" w:hAnsi="宋体" w:eastAsia="宋体" w:cs="宋体"/>
          <w:highlight w:val="none"/>
          <w:lang w:val="en-US" w:eastAsia="zh-CN"/>
        </w:rPr>
        <w:t>四、投标方案</w:t>
      </w:r>
      <w:bookmarkEnd w:id="321"/>
      <w:bookmarkEnd w:id="322"/>
      <w:bookmarkEnd w:id="323"/>
    </w:p>
    <w:p>
      <w:pPr>
        <w:pStyle w:val="48"/>
        <w:spacing w:line="360" w:lineRule="auto"/>
        <w:ind w:firstLine="174" w:firstLineChars="62"/>
        <w:outlineLvl w:val="1"/>
        <w:rPr>
          <w:rFonts w:hint="eastAsia" w:ascii="宋体" w:hAnsi="宋体" w:eastAsia="宋体" w:cs="宋体"/>
          <w:b/>
          <w:bCs/>
          <w:color w:val="auto"/>
          <w:szCs w:val="28"/>
          <w:highlight w:val="none"/>
          <w:lang w:eastAsia="zh-CN"/>
        </w:rPr>
      </w:pPr>
      <w:bookmarkStart w:id="324" w:name="_Toc32405"/>
      <w:bookmarkStart w:id="325" w:name="_Toc7218"/>
      <w:bookmarkStart w:id="326" w:name="_Toc3135"/>
      <w:bookmarkStart w:id="327" w:name="_Toc26121"/>
      <w:r>
        <w:rPr>
          <w:rFonts w:hint="eastAsia" w:ascii="宋体" w:hAnsi="宋体" w:eastAsia="宋体" w:cs="宋体"/>
          <w:b/>
          <w:bCs/>
          <w:color w:val="auto"/>
          <w:szCs w:val="28"/>
          <w:highlight w:val="none"/>
          <w:lang w:val="en-US" w:eastAsia="zh-CN"/>
        </w:rPr>
        <w:t>1.</w:t>
      </w:r>
      <w:r>
        <w:rPr>
          <w:rFonts w:hint="eastAsia" w:ascii="宋体" w:hAnsi="宋体" w:eastAsia="宋体" w:cs="宋体"/>
          <w:b/>
          <w:bCs/>
          <w:color w:val="auto"/>
          <w:szCs w:val="28"/>
          <w:highlight w:val="none"/>
          <w:lang w:eastAsia="zh-CN"/>
        </w:rPr>
        <w:t>供应商基本情况及其性质</w:t>
      </w:r>
      <w:bookmarkEnd w:id="324"/>
      <w:bookmarkEnd w:id="325"/>
      <w:bookmarkEnd w:id="326"/>
      <w:bookmarkEnd w:id="327"/>
    </w:p>
    <w:tbl>
      <w:tblPr>
        <w:tblStyle w:val="27"/>
        <w:tblW w:w="883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88"/>
        <w:gridCol w:w="941"/>
        <w:gridCol w:w="948"/>
        <w:gridCol w:w="1330"/>
        <w:gridCol w:w="1670"/>
        <w:gridCol w:w="1513"/>
        <w:gridCol w:w="94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488" w:type="dxa"/>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7351" w:type="dxa"/>
            <w:gridSpan w:val="6"/>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488" w:type="dxa"/>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219" w:type="dxa"/>
            <w:gridSpan w:val="3"/>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670" w:type="dxa"/>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62" w:type="dxa"/>
            <w:gridSpan w:val="2"/>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488" w:type="dxa"/>
            <w:vMerge w:val="restart"/>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941" w:type="dxa"/>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278" w:type="dxa"/>
            <w:gridSpan w:val="2"/>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670" w:type="dxa"/>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62" w:type="dxa"/>
            <w:gridSpan w:val="2"/>
            <w:vAlign w:val="center"/>
          </w:tcPr>
          <w:p>
            <w:pPr>
              <w:keepNext/>
              <w:keepLines/>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88"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941"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27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67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62"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1488"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941"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27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67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513"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94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488"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rPr>
              <w:t>负责人</w:t>
            </w:r>
          </w:p>
        </w:tc>
        <w:tc>
          <w:tcPr>
            <w:tcW w:w="941"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27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67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1513"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94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488"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1889"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300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462"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488"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1889"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p>
        </w:tc>
        <w:tc>
          <w:tcPr>
            <w:tcW w:w="300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462"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92" w:hRule="atLeast"/>
          <w:jc w:val="center"/>
        </w:trPr>
        <w:tc>
          <w:tcPr>
            <w:tcW w:w="1488"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351" w:type="dxa"/>
            <w:gridSpan w:val="6"/>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61" w:hRule="atLeast"/>
          <w:jc w:val="center"/>
        </w:trPr>
        <w:tc>
          <w:tcPr>
            <w:tcW w:w="1488" w:type="dxa"/>
            <w:vAlign w:val="top"/>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351" w:type="dxa"/>
            <w:gridSpan w:val="6"/>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p>
        </w:tc>
      </w:tr>
    </w:tbl>
    <w:p>
      <w:pPr>
        <w:rPr>
          <w:rFonts w:hint="eastAsia" w:ascii="宋体" w:hAnsi="宋体" w:eastAsia="宋体" w:cs="宋体"/>
          <w:color w:val="auto"/>
          <w:highlight w:val="none"/>
        </w:rPr>
      </w:pPr>
    </w:p>
    <w:p>
      <w:pPr>
        <w:spacing w:line="360" w:lineRule="auto"/>
        <w:ind w:firstLine="470" w:firstLineChars="196"/>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投标人名称:</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w:t>
      </w:r>
      <w:r>
        <w:rPr>
          <w:rFonts w:hint="eastAsia" w:ascii="宋体" w:hAnsi="宋体" w:eastAsia="宋体" w:cs="宋体"/>
          <w:color w:val="auto"/>
          <w:szCs w:val="24"/>
          <w:highlight w:val="none"/>
        </w:rPr>
        <w:t>投标人</w:t>
      </w:r>
      <w:r>
        <w:rPr>
          <w:rFonts w:hint="eastAsia" w:ascii="宋体" w:hAnsi="宋体" w:eastAsia="宋体" w:cs="宋体"/>
          <w:bCs/>
          <w:color w:val="auto"/>
          <w:szCs w:val="24"/>
          <w:highlight w:val="none"/>
        </w:rPr>
        <w:t>加盖公章）</w:t>
      </w:r>
    </w:p>
    <w:p>
      <w:pPr>
        <w:spacing w:line="360" w:lineRule="auto"/>
        <w:ind w:firstLine="470" w:firstLineChars="196"/>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日   期：     年    月    日</w:t>
      </w:r>
    </w:p>
    <w:p>
      <w:pPr>
        <w:pStyle w:val="48"/>
        <w:spacing w:line="360" w:lineRule="auto"/>
        <w:ind w:firstLine="112" w:firstLineChars="62"/>
        <w:jc w:val="left"/>
        <w:outlineLvl w:val="1"/>
        <w:rPr>
          <w:rFonts w:hint="eastAsia" w:ascii="宋体" w:hAnsi="宋体" w:eastAsia="宋体" w:cs="宋体"/>
          <w:b/>
          <w:bCs/>
          <w:color w:val="auto"/>
          <w:sz w:val="18"/>
          <w:szCs w:val="18"/>
          <w:highlight w:val="none"/>
          <w:lang w:eastAsia="zh-CN"/>
        </w:rPr>
      </w:pPr>
    </w:p>
    <w:p>
      <w:pPr>
        <w:pStyle w:val="48"/>
        <w:spacing w:line="360" w:lineRule="auto"/>
        <w:ind w:firstLine="124" w:firstLineChars="62"/>
        <w:jc w:val="left"/>
        <w:outlineLvl w:val="1"/>
        <w:rPr>
          <w:rFonts w:hint="eastAsia" w:ascii="宋体" w:hAnsi="宋体" w:eastAsia="宋体" w:cs="宋体"/>
          <w:b/>
          <w:bCs/>
          <w:color w:val="auto"/>
          <w:sz w:val="20"/>
          <w:szCs w:val="20"/>
          <w:highlight w:val="none"/>
          <w:lang w:eastAsia="zh-CN"/>
        </w:rPr>
      </w:pPr>
      <w:bookmarkStart w:id="328" w:name="_Toc18715"/>
      <w:bookmarkStart w:id="329" w:name="_Toc14372"/>
      <w:bookmarkStart w:id="330" w:name="_Toc29932"/>
      <w:r>
        <w:rPr>
          <w:rFonts w:hint="eastAsia" w:ascii="宋体" w:hAnsi="宋体" w:eastAsia="宋体" w:cs="宋体"/>
          <w:b/>
          <w:bCs/>
          <w:color w:val="auto"/>
          <w:sz w:val="20"/>
          <w:szCs w:val="20"/>
          <w:highlight w:val="none"/>
          <w:lang w:eastAsia="zh-CN"/>
        </w:rPr>
        <w:t>注：后附下列资料</w:t>
      </w:r>
      <w:bookmarkEnd w:id="328"/>
      <w:bookmarkEnd w:id="329"/>
      <w:bookmarkEnd w:id="330"/>
    </w:p>
    <w:p>
      <w:pPr>
        <w:pStyle w:val="48"/>
        <w:spacing w:line="360" w:lineRule="auto"/>
        <w:ind w:firstLine="124" w:firstLineChars="62"/>
        <w:jc w:val="left"/>
        <w:outlineLvl w:val="1"/>
        <w:rPr>
          <w:rFonts w:hint="eastAsia" w:ascii="宋体" w:hAnsi="宋体" w:eastAsia="宋体" w:cs="宋体"/>
          <w:b/>
          <w:bCs/>
          <w:color w:val="auto"/>
          <w:sz w:val="20"/>
          <w:szCs w:val="20"/>
          <w:highlight w:val="none"/>
        </w:rPr>
      </w:pPr>
      <w:bookmarkStart w:id="331" w:name="_Toc8859"/>
      <w:bookmarkStart w:id="332" w:name="_Toc18380"/>
      <w:bookmarkStart w:id="333" w:name="_Toc8306"/>
      <w:r>
        <w:rPr>
          <w:rFonts w:hint="eastAsia" w:ascii="宋体" w:hAnsi="宋体" w:eastAsia="宋体" w:cs="宋体"/>
          <w:b/>
          <w:bCs/>
          <w:color w:val="auto"/>
          <w:sz w:val="20"/>
          <w:szCs w:val="20"/>
          <w:highlight w:val="none"/>
        </w:rPr>
        <w:t>1.中小企业声明函（如适用，请提供，格式见附件一）；</w:t>
      </w:r>
      <w:bookmarkEnd w:id="331"/>
      <w:bookmarkEnd w:id="332"/>
      <w:bookmarkEnd w:id="333"/>
    </w:p>
    <w:p>
      <w:pPr>
        <w:pStyle w:val="48"/>
        <w:spacing w:line="360" w:lineRule="auto"/>
        <w:ind w:firstLine="124" w:firstLineChars="62"/>
        <w:jc w:val="left"/>
        <w:outlineLvl w:val="1"/>
        <w:rPr>
          <w:rFonts w:hint="eastAsia" w:ascii="宋体" w:hAnsi="宋体" w:eastAsia="宋体" w:cs="宋体"/>
          <w:b/>
          <w:bCs/>
          <w:color w:val="auto"/>
          <w:sz w:val="20"/>
          <w:szCs w:val="20"/>
          <w:highlight w:val="none"/>
        </w:rPr>
      </w:pPr>
      <w:bookmarkStart w:id="334" w:name="_Toc20314"/>
      <w:bookmarkStart w:id="335" w:name="_Toc20638"/>
      <w:bookmarkStart w:id="336" w:name="_Toc23882"/>
      <w:r>
        <w:rPr>
          <w:rFonts w:hint="eastAsia" w:ascii="宋体" w:hAnsi="宋体" w:eastAsia="宋体" w:cs="宋体"/>
          <w:b/>
          <w:bCs/>
          <w:color w:val="auto"/>
          <w:sz w:val="20"/>
          <w:szCs w:val="20"/>
          <w:highlight w:val="none"/>
        </w:rPr>
        <w:t>2.残疾人福利性单位声明函（如适用，请提供，格式见附件二）；</w:t>
      </w:r>
      <w:bookmarkEnd w:id="334"/>
      <w:bookmarkEnd w:id="335"/>
      <w:bookmarkEnd w:id="336"/>
    </w:p>
    <w:p>
      <w:pPr>
        <w:pStyle w:val="48"/>
        <w:spacing w:line="360" w:lineRule="auto"/>
        <w:ind w:firstLine="124" w:firstLineChars="62"/>
        <w:jc w:val="left"/>
        <w:outlineLvl w:val="1"/>
        <w:rPr>
          <w:rFonts w:hint="eastAsia" w:ascii="宋体" w:hAnsi="宋体" w:eastAsia="宋体" w:cs="宋体"/>
          <w:b/>
          <w:bCs/>
          <w:color w:val="auto"/>
          <w:sz w:val="20"/>
          <w:szCs w:val="20"/>
          <w:highlight w:val="none"/>
        </w:rPr>
      </w:pPr>
      <w:bookmarkStart w:id="337" w:name="_Toc8423"/>
      <w:bookmarkStart w:id="338" w:name="_Toc1773"/>
      <w:bookmarkStart w:id="339" w:name="_Toc2157"/>
      <w:r>
        <w:rPr>
          <w:rFonts w:hint="eastAsia" w:ascii="宋体" w:hAnsi="宋体" w:eastAsia="宋体" w:cs="宋体"/>
          <w:b/>
          <w:bCs/>
          <w:color w:val="auto"/>
          <w:sz w:val="20"/>
          <w:szCs w:val="20"/>
          <w:highlight w:val="none"/>
        </w:rPr>
        <w:t>3.监狱企业证明文件（如适用，请提供证明材料）；</w:t>
      </w:r>
      <w:bookmarkEnd w:id="337"/>
      <w:bookmarkEnd w:id="338"/>
      <w:bookmarkEnd w:id="339"/>
    </w:p>
    <w:p>
      <w:pPr>
        <w:pStyle w:val="48"/>
        <w:spacing w:line="360" w:lineRule="auto"/>
        <w:ind w:firstLine="124" w:firstLineChars="62"/>
        <w:jc w:val="left"/>
        <w:outlineLvl w:val="1"/>
        <w:rPr>
          <w:rFonts w:hint="eastAsia" w:ascii="宋体" w:hAnsi="宋体" w:eastAsia="宋体" w:cs="宋体"/>
          <w:b/>
          <w:bCs/>
          <w:color w:val="auto"/>
          <w:sz w:val="20"/>
          <w:szCs w:val="20"/>
          <w:highlight w:val="none"/>
        </w:rPr>
      </w:pPr>
      <w:bookmarkStart w:id="340" w:name="_Toc1885"/>
      <w:bookmarkStart w:id="341" w:name="_Toc25905"/>
      <w:bookmarkStart w:id="342" w:name="_Toc31059"/>
      <w:r>
        <w:rPr>
          <w:rFonts w:hint="eastAsia" w:ascii="宋体" w:hAnsi="宋体" w:eastAsia="宋体" w:cs="宋体"/>
          <w:b/>
          <w:bCs/>
          <w:color w:val="auto"/>
          <w:sz w:val="20"/>
          <w:szCs w:val="20"/>
          <w:highlight w:val="none"/>
        </w:rPr>
        <w:t>4.节能产品和环境标志产品证明材料（如适用，请提供相关证明材料）；</w:t>
      </w:r>
      <w:bookmarkEnd w:id="340"/>
      <w:bookmarkEnd w:id="341"/>
      <w:bookmarkEnd w:id="342"/>
    </w:p>
    <w:p>
      <w:pPr>
        <w:pStyle w:val="48"/>
        <w:spacing w:line="360" w:lineRule="auto"/>
        <w:ind w:firstLine="124" w:firstLineChars="62"/>
        <w:jc w:val="left"/>
        <w:outlineLvl w:val="1"/>
        <w:rPr>
          <w:rFonts w:hint="eastAsia" w:ascii="宋体" w:hAnsi="宋体" w:eastAsia="宋体" w:cs="宋体"/>
          <w:b/>
          <w:bCs/>
          <w:color w:val="auto"/>
          <w:sz w:val="20"/>
          <w:szCs w:val="20"/>
          <w:highlight w:val="none"/>
        </w:rPr>
        <w:sectPr>
          <w:headerReference r:id="rId26" w:type="first"/>
          <w:footerReference r:id="rId28" w:type="first"/>
          <w:headerReference r:id="rId25" w:type="default"/>
          <w:footerReference r:id="rId27" w:type="default"/>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343" w:name="_Toc19340"/>
      <w:bookmarkStart w:id="344" w:name="_Toc32736"/>
      <w:bookmarkStart w:id="345" w:name="_Toc1483"/>
      <w:r>
        <w:rPr>
          <w:rFonts w:hint="eastAsia" w:ascii="宋体" w:hAnsi="宋体" w:eastAsia="宋体" w:cs="宋体"/>
          <w:b/>
          <w:bCs/>
          <w:color w:val="auto"/>
          <w:sz w:val="20"/>
          <w:szCs w:val="20"/>
          <w:highlight w:val="none"/>
        </w:rPr>
        <w:t>5.其他资料。</w:t>
      </w:r>
      <w:bookmarkEnd w:id="343"/>
      <w:bookmarkEnd w:id="344"/>
      <w:bookmarkEnd w:id="345"/>
    </w:p>
    <w:bookmarkEnd w:id="313"/>
    <w:bookmarkEnd w:id="314"/>
    <w:p>
      <w:pPr>
        <w:pStyle w:val="3"/>
        <w:spacing w:before="162" w:line="360" w:lineRule="auto"/>
        <w:jc w:val="center"/>
        <w:rPr>
          <w:rFonts w:hint="eastAsia" w:ascii="宋体" w:hAnsi="宋体" w:eastAsia="宋体" w:cs="宋体"/>
          <w:color w:val="auto"/>
          <w:sz w:val="24"/>
          <w:szCs w:val="24"/>
          <w:highlight w:val="none"/>
          <w:lang w:eastAsia="zh-CN"/>
        </w:rPr>
      </w:pPr>
      <w:bookmarkStart w:id="346" w:name="_Toc1716"/>
      <w:bookmarkStart w:id="347" w:name="_Toc14936"/>
      <w:bookmarkStart w:id="348" w:name="_Toc15632"/>
      <w:bookmarkStart w:id="349" w:name="_Toc19200"/>
      <w:r>
        <w:rPr>
          <w:rFonts w:hint="eastAsia" w:ascii="宋体" w:hAnsi="宋体" w:eastAsia="宋体" w:cs="宋体"/>
          <w:color w:val="auto"/>
          <w:sz w:val="24"/>
          <w:szCs w:val="24"/>
          <w:highlight w:val="none"/>
          <w:lang w:val="en-US" w:eastAsia="zh-CN"/>
        </w:rPr>
        <w:t>附件一：《</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w:t>
      </w:r>
      <w:bookmarkEnd w:id="34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bookmarkEnd w:id="347"/>
      <w:bookmarkEnd w:id="348"/>
      <w:bookmarkEnd w:id="349"/>
    </w:p>
    <w:p>
      <w:pPr>
        <w:numPr>
          <w:ilvl w:val="0"/>
          <w:numId w:val="0"/>
        </w:numPr>
        <w:spacing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 46 号)的规定，本公司(联合体)参加</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 (单位名称)的</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 (项目名称)采购活动，</w:t>
      </w:r>
      <w:r>
        <w:rPr>
          <w:rFonts w:hint="eastAsia" w:ascii="宋体" w:hAnsi="宋体" w:eastAsia="宋体" w:cs="宋体"/>
          <w:color w:val="auto"/>
          <w:spacing w:val="4"/>
          <w:sz w:val="24"/>
          <w:szCs w:val="24"/>
          <w:highlight w:val="none"/>
          <w:lang w:val="en-US" w:eastAsia="zh-CN"/>
        </w:rPr>
        <w:t>提供的货物全部由符合政策要求的中小企业制造。相关企业 （含联合体中的中小企业、签订分包意向协议的中小企业）的具体情况如下：</w:t>
      </w:r>
    </w:p>
    <w:p>
      <w:pPr>
        <w:keepNext w:val="0"/>
        <w:keepLines w:val="0"/>
        <w:widowControl/>
        <w:numPr>
          <w:ilvl w:val="0"/>
          <w:numId w:val="6"/>
        </w:numPr>
        <w:suppressLineNumbers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(标的名称)，属于(采购文件中明确的所属行业)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制造商为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val="en-US" w:eastAsia="zh-CN"/>
        </w:rPr>
        <w:t>（企业名称），</w:t>
      </w:r>
      <w:r>
        <w:rPr>
          <w:rFonts w:hint="eastAsia" w:ascii="宋体" w:hAnsi="宋体" w:eastAsia="宋体" w:cs="宋体"/>
          <w:color w:val="auto"/>
          <w:spacing w:val="4"/>
          <w:sz w:val="24"/>
          <w:szCs w:val="24"/>
          <w:highlight w:val="none"/>
          <w:u w:val="none"/>
        </w:rPr>
        <w:t>从业人员</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人，营业收入为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资产总额为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w:t>
      </w:r>
      <w:r>
        <w:rPr>
          <w:rFonts w:hint="eastAsia" w:ascii="宋体" w:hAnsi="宋体" w:eastAsia="宋体" w:cs="宋体"/>
          <w:sz w:val="24"/>
          <w:szCs w:val="24"/>
          <w:highlight w:val="none"/>
          <w:vertAlign w:val="superscript"/>
        </w:rPr>
        <w:t>1</w:t>
      </w:r>
      <w:r>
        <w:rPr>
          <w:rFonts w:hint="eastAsia" w:ascii="宋体" w:hAnsi="宋体" w:eastAsia="宋体" w:cs="宋体"/>
          <w:color w:val="auto"/>
          <w:spacing w:val="4"/>
          <w:sz w:val="24"/>
          <w:szCs w:val="24"/>
          <w:highlight w:val="none"/>
          <w:u w:val="none"/>
        </w:rPr>
        <w:t>， 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 xml:space="preserve"> (中型企业</w:t>
      </w:r>
      <w:r>
        <w:rPr>
          <w:rFonts w:hint="eastAsia" w:ascii="宋体" w:hAnsi="宋体" w:eastAsia="宋体" w:cs="宋体"/>
          <w:color w:val="auto"/>
          <w:spacing w:val="4"/>
          <w:sz w:val="24"/>
          <w:szCs w:val="24"/>
          <w:highlight w:val="none"/>
        </w:rPr>
        <w:t>、小型企业、微型企业);</w:t>
      </w:r>
    </w:p>
    <w:p>
      <w:pPr>
        <w:keepNext w:val="0"/>
        <w:keepLines w:val="0"/>
        <w:widowControl/>
        <w:numPr>
          <w:ilvl w:val="0"/>
          <w:numId w:val="6"/>
        </w:numPr>
        <w:suppressLineNumbers w:val="0"/>
        <w:spacing w:line="360" w:lineRule="auto"/>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(标的名称)，属于(采购文件中明确的所属行业)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制造商为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lang w:val="en-US" w:eastAsia="zh-CN"/>
        </w:rPr>
        <w:t>（企业名称），</w:t>
      </w:r>
      <w:r>
        <w:rPr>
          <w:rFonts w:hint="eastAsia" w:ascii="宋体" w:hAnsi="宋体" w:eastAsia="宋体" w:cs="宋体"/>
          <w:color w:val="auto"/>
          <w:spacing w:val="4"/>
          <w:sz w:val="24"/>
          <w:szCs w:val="24"/>
          <w:highlight w:val="none"/>
          <w:u w:val="none"/>
        </w:rPr>
        <w:t>从业人员</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人，营业收入为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资产总额为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 xml:space="preserve"> (中型企业</w:t>
      </w:r>
      <w:r>
        <w:rPr>
          <w:rFonts w:hint="eastAsia" w:ascii="宋体" w:hAnsi="宋体" w:eastAsia="宋体" w:cs="宋体"/>
          <w:color w:val="auto"/>
          <w:spacing w:val="4"/>
          <w:sz w:val="24"/>
          <w:szCs w:val="24"/>
          <w:highlight w:val="none"/>
        </w:rPr>
        <w:t>、小型企业、微型企业);</w:t>
      </w:r>
    </w:p>
    <w:p>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以上企业，不属于大企业的分支机构，不存在控股股东为大企业的情形，也不存在与大企业的负责人为同一人的情形。</w:t>
      </w:r>
    </w:p>
    <w:p>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本企业对，上述声明内容的真实性负责。如有虚假，将依法承担相应责任。             </w:t>
      </w:r>
    </w:p>
    <w:p>
      <w:pPr>
        <w:tabs>
          <w:tab w:val="left" w:pos="4860"/>
        </w:tabs>
        <w:spacing w:line="360" w:lineRule="auto"/>
        <w:ind w:right="1560" w:firstLine="496" w:firstLineChars="200"/>
        <w:jc w:val="center"/>
        <w:rPr>
          <w:rFonts w:hint="eastAsia" w:ascii="宋体" w:hAnsi="宋体" w:eastAsia="宋体" w:cs="宋体"/>
          <w:color w:val="auto"/>
          <w:spacing w:val="4"/>
          <w:sz w:val="24"/>
          <w:szCs w:val="24"/>
          <w:highlight w:val="none"/>
        </w:rPr>
      </w:pPr>
    </w:p>
    <w:p>
      <w:pPr>
        <w:spacing w:before="156" w:beforeLines="50" w:after="156" w:afterLines="50"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供应商</w:t>
      </w:r>
      <w:r>
        <w:rPr>
          <w:rFonts w:hint="eastAsia" w:ascii="宋体" w:hAnsi="宋体" w:eastAsia="宋体" w:cs="宋体"/>
          <w:color w:val="auto"/>
          <w:spacing w:val="4"/>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pPr>
        <w:adjustRightInd w:val="0"/>
        <w:snapToGrid w:val="0"/>
        <w:spacing w:line="360" w:lineRule="auto"/>
        <w:ind w:right="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pPr>
        <w:widowControl/>
        <w:spacing w:line="360" w:lineRule="auto"/>
        <w:ind w:firstLine="480" w:firstLineChars="200"/>
        <w:rPr>
          <w:rFonts w:hint="eastAsia" w:ascii="宋体" w:hAnsi="宋体" w:eastAsia="宋体" w:cs="宋体"/>
          <w:color w:val="auto"/>
          <w:kern w:val="0"/>
          <w:sz w:val="24"/>
          <w:szCs w:val="24"/>
          <w:highlight w:val="none"/>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vertAlign w:val="superscript"/>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从业人员、营业收入、资产总额填报上一年度数据，无上一年度数据的新成立企业可不填报。</w:t>
      </w:r>
    </w:p>
    <w:p>
      <w:pPr>
        <w:rPr>
          <w:rFonts w:hint="eastAsia" w:ascii="宋体" w:hAnsi="宋体" w:eastAsia="宋体" w:cs="宋体"/>
          <w:b/>
          <w:bCs/>
          <w:color w:val="auto"/>
          <w:sz w:val="24"/>
          <w:szCs w:val="24"/>
          <w:highlight w:val="none"/>
        </w:rPr>
        <w:sectPr>
          <w:headerReference r:id="rId29" w:type="first"/>
          <w:footerReference r:id="rId30" w:type="first"/>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bCs/>
          <w:color w:val="auto"/>
          <w:sz w:val="24"/>
          <w:szCs w:val="24"/>
          <w:highlight w:val="none"/>
        </w:rPr>
        <w:br w:type="page"/>
      </w:r>
    </w:p>
    <w:p>
      <w:pPr>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附件二：</w:t>
      </w:r>
      <w:r>
        <w:rPr>
          <w:rFonts w:hint="eastAsia" w:ascii="宋体" w:hAnsi="宋体" w:eastAsia="宋体" w:cs="宋体"/>
          <w:b/>
          <w:bCs/>
          <w:color w:val="auto"/>
          <w:sz w:val="24"/>
          <w:szCs w:val="24"/>
          <w:highlight w:val="none"/>
        </w:rPr>
        <w:t>残疾人福利性单位声明函</w:t>
      </w:r>
      <w:r>
        <w:rPr>
          <w:rFonts w:hint="eastAsia" w:ascii="宋体" w:hAnsi="宋体" w:eastAsia="宋体" w:cs="宋体"/>
          <w:b/>
          <w:bCs/>
          <w:color w:val="auto"/>
          <w:sz w:val="24"/>
          <w:szCs w:val="24"/>
          <w:highlight w:val="none"/>
          <w:lang w:val="en-US" w:eastAsia="zh-CN"/>
        </w:rPr>
        <w:t xml:space="preserve">  （如有）</w:t>
      </w:r>
    </w:p>
    <w:p>
      <w:pPr>
        <w:pStyle w:val="2"/>
        <w:rPr>
          <w:rFonts w:hint="eastAsia" w:ascii="宋体" w:hAnsi="宋体" w:eastAsia="宋体" w:cs="宋体"/>
          <w:b/>
          <w:bCs/>
          <w:color w:val="auto"/>
          <w:sz w:val="24"/>
          <w:szCs w:val="24"/>
          <w:highlight w:val="none"/>
          <w:lang w:val="en-US" w:eastAsia="zh-CN"/>
        </w:rPr>
      </w:pPr>
    </w:p>
    <w:p>
      <w:pPr>
        <w:rPr>
          <w:rFonts w:hint="eastAsia" w:ascii="宋体" w:hAnsi="宋体" w:eastAsia="宋体" w:cs="宋体"/>
          <w:highlight w:val="none"/>
          <w:lang w:val="en-US" w:eastAsia="zh-CN"/>
        </w:rPr>
      </w:pPr>
    </w:p>
    <w:p>
      <w:pP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（非残疾人福利性单位，本声明函内容中横线部分、企业名称和日期无需填写，直接打印后胶装在</w:t>
      </w: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文件中即可。本声明函未填写内容的，视为非残疾人福利性单位）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pStyle w:val="8"/>
        <w:numPr>
          <w:ilvl w:val="3"/>
          <w:numId w:val="0"/>
        </w:numPr>
        <w:ind w:leftChars="0"/>
        <w:rPr>
          <w:rFonts w:hint="eastAsia" w:ascii="宋体" w:hAnsi="宋体" w:eastAsia="宋体" w:cs="宋体"/>
          <w:color w:val="auto"/>
          <w:highlight w:val="none"/>
        </w:rPr>
      </w:pPr>
    </w:p>
    <w:p>
      <w:pPr>
        <w:spacing w:line="360" w:lineRule="auto"/>
        <w:ind w:firstLine="480" w:firstLineChars="200"/>
        <w:jc w:val="right"/>
        <w:rPr>
          <w:rFonts w:hint="eastAsia" w:ascii="宋体" w:hAnsi="宋体" w:eastAsia="宋体" w:cs="宋体"/>
          <w:color w:val="auto"/>
          <w:sz w:val="24"/>
          <w:szCs w:val="24"/>
          <w:highlight w:val="none"/>
        </w:rPr>
      </w:pP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公司全称 （公章）</w:t>
      </w:r>
    </w:p>
    <w:p>
      <w:pPr>
        <w:pStyle w:val="8"/>
        <w:numPr>
          <w:ilvl w:val="3"/>
          <w:numId w:val="0"/>
        </w:numPr>
        <w:ind w:leftChars="0"/>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Style w:val="16"/>
        <w:rPr>
          <w:rFonts w:hint="eastAsia" w:ascii="宋体" w:hAnsi="宋体" w:eastAsia="宋体" w:cs="宋体"/>
          <w:highlight w:val="none"/>
          <w:lang w:val="en-US" w:eastAsia="zh-CN"/>
        </w:rPr>
      </w:pPr>
    </w:p>
    <w:p>
      <w:pPr>
        <w:pStyle w:val="16"/>
        <w:rPr>
          <w:rFonts w:hint="eastAsia" w:ascii="宋体" w:hAnsi="宋体" w:eastAsia="宋体" w:cs="宋体"/>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附件三 </w:t>
      </w:r>
      <w:r>
        <w:rPr>
          <w:rFonts w:hint="eastAsia" w:ascii="宋体" w:hAnsi="宋体" w:eastAsia="宋体" w:cs="宋体"/>
          <w:b/>
          <w:bCs/>
          <w:color w:val="auto"/>
          <w:sz w:val="24"/>
          <w:szCs w:val="24"/>
          <w:highlight w:val="none"/>
        </w:rPr>
        <w:t>“节能产品”“环境标志产品”说明</w:t>
      </w:r>
      <w:r>
        <w:rPr>
          <w:rFonts w:hint="eastAsia" w:ascii="宋体" w:hAnsi="宋体" w:eastAsia="宋体" w:cs="宋体"/>
          <w:b/>
          <w:bCs/>
          <w:color w:val="auto"/>
          <w:sz w:val="24"/>
          <w:szCs w:val="24"/>
          <w:highlight w:val="none"/>
          <w:lang w:val="en-US" w:eastAsia="zh-CN"/>
        </w:rPr>
        <w:t xml:space="preserve">  （如有）</w:t>
      </w:r>
    </w:p>
    <w:p>
      <w:pPr>
        <w:pStyle w:val="2"/>
        <w:rPr>
          <w:rFonts w:hint="eastAsia" w:ascii="宋体" w:hAnsi="宋体" w:eastAsia="宋体" w:cs="宋体"/>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以投标单位提供的“节能、环境标志产品投标清单”及最新发布的“节能产品政府采购清单”、“环境标志产品政府采购清单”（复印件加盖投标单位公章）为准，否则不给予价格扣除；投标单位所填写的内容必须真实、可靠，如有虚假或隐瞒，一经查实将导致投标被拒绝。</w:t>
      </w:r>
    </w:p>
    <w:p>
      <w:pPr>
        <w:spacing w:line="360" w:lineRule="auto"/>
        <w:ind w:firstLine="480" w:firstLineChars="200"/>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注：1.证明资料应为在中国政府采购网（www.ccgp.gov.cn）《节能产品政府采购清单》、《环境标志产品政府采购清单》相关目录的详细说明，投标单位须对自己所提供的产品在中国政府采购网的环境标志相关目录中明确标注本项目所报产品型号和位置（可采用网络截屏）以方便专家评审。</w:t>
      </w:r>
    </w:p>
    <w:p>
      <w:pPr>
        <w:spacing w:line="360" w:lineRule="auto"/>
        <w:ind w:firstLine="480" w:firstLineChars="200"/>
        <w:rPr>
          <w:rFonts w:hint="eastAsia"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lang w:eastAsia="en-US"/>
        </w:rPr>
        <w:t>2. 在中国政府采购网（www.ccgp.gov.cn）《节能产品政府采购清单》、《环境标志产品政府采购清单》相关目录的详细说明只有在</w:t>
      </w:r>
      <w:r>
        <w:rPr>
          <w:rFonts w:hint="eastAsia" w:ascii="宋体" w:hAnsi="宋体" w:eastAsia="宋体" w:cs="宋体"/>
          <w:color w:val="auto"/>
          <w:sz w:val="24"/>
          <w:szCs w:val="24"/>
          <w:highlight w:val="none"/>
        </w:rPr>
        <w:t>磋商响应文件</w:t>
      </w:r>
      <w:r>
        <w:rPr>
          <w:rFonts w:hint="eastAsia" w:ascii="宋体" w:hAnsi="宋体" w:eastAsia="宋体" w:cs="宋体"/>
          <w:color w:val="auto"/>
          <w:sz w:val="24"/>
          <w:szCs w:val="24"/>
          <w:highlight w:val="none"/>
          <w:lang w:eastAsia="en-US"/>
        </w:rPr>
        <w:t>中体现才能获得该类产品的价格扣除。</w:t>
      </w:r>
    </w:p>
    <w:p>
      <w:pPr>
        <w:spacing w:line="360" w:lineRule="auto"/>
        <w:ind w:firstLine="480" w:firstLineChars="200"/>
        <w:jc w:val="right"/>
        <w:rPr>
          <w:rFonts w:hint="eastAsia" w:ascii="宋体" w:hAnsi="宋体" w:eastAsia="宋体" w:cs="宋体"/>
          <w:color w:val="auto"/>
          <w:sz w:val="24"/>
          <w:szCs w:val="24"/>
          <w:highlight w:val="none"/>
          <w:lang w:eastAsia="en-US"/>
        </w:rPr>
      </w:pPr>
    </w:p>
    <w:p>
      <w:pPr>
        <w:spacing w:line="360" w:lineRule="auto"/>
        <w:ind w:firstLine="480" w:firstLineChars="200"/>
        <w:jc w:val="right"/>
        <w:rPr>
          <w:rFonts w:hint="eastAsia" w:ascii="宋体" w:hAnsi="宋体" w:eastAsia="宋体" w:cs="宋体"/>
          <w:color w:val="auto"/>
          <w:sz w:val="24"/>
          <w:szCs w:val="24"/>
          <w:highlight w:val="none"/>
          <w:lang w:eastAsia="en-US"/>
        </w:rPr>
      </w:pP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供应商：公司全称 （公章）</w:t>
      </w:r>
    </w:p>
    <w:p>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spacing w:line="360" w:lineRule="auto"/>
        <w:ind w:firstLine="480" w:firstLineChars="200"/>
        <w:jc w:val="center"/>
        <w:rPr>
          <w:rFonts w:hint="eastAsia" w:ascii="宋体" w:hAnsi="宋体" w:eastAsia="宋体" w:cs="宋体"/>
          <w:color w:val="auto"/>
          <w:sz w:val="24"/>
          <w:szCs w:val="24"/>
          <w:highlight w:val="none"/>
        </w:rPr>
        <w:sectPr>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both"/>
        <w:outlineLvl w:val="1"/>
        <w:rPr>
          <w:rFonts w:hint="eastAsia" w:ascii="宋体" w:hAnsi="宋体" w:eastAsia="宋体" w:cs="宋体"/>
          <w:b/>
          <w:bCs/>
          <w:color w:val="auto"/>
          <w:sz w:val="28"/>
          <w:szCs w:val="28"/>
          <w:highlight w:val="none"/>
          <w:lang w:val="en-US" w:eastAsia="zh-CN"/>
        </w:rPr>
      </w:pPr>
      <w:bookmarkStart w:id="350" w:name="_Toc15683"/>
      <w:bookmarkStart w:id="351" w:name="_Toc15049"/>
      <w:bookmarkStart w:id="352" w:name="_Toc5564"/>
      <w:bookmarkStart w:id="353" w:name="_Toc458774257"/>
      <w:bookmarkStart w:id="354" w:name="_Toc459048317"/>
      <w:r>
        <w:rPr>
          <w:rFonts w:hint="eastAsia" w:ascii="宋体" w:hAnsi="宋体" w:eastAsia="宋体" w:cs="宋体"/>
          <w:b/>
          <w:bCs/>
          <w:color w:val="auto"/>
          <w:sz w:val="28"/>
          <w:szCs w:val="28"/>
          <w:highlight w:val="none"/>
          <w:lang w:val="en-US" w:eastAsia="zh-CN"/>
        </w:rPr>
        <w:t>2.供货及技术文件</w:t>
      </w:r>
      <w:bookmarkEnd w:id="350"/>
      <w:bookmarkEnd w:id="351"/>
      <w:bookmarkEnd w:id="352"/>
    </w:p>
    <w:p>
      <w:pPr>
        <w:spacing w:line="360" w:lineRule="auto"/>
        <w:jc w:val="both"/>
        <w:outlineLvl w:val="1"/>
        <w:rPr>
          <w:rFonts w:hint="eastAsia" w:ascii="宋体" w:hAnsi="宋体" w:eastAsia="宋体" w:cs="宋体"/>
          <w:b/>
          <w:bCs/>
          <w:color w:val="auto"/>
          <w:sz w:val="24"/>
          <w:szCs w:val="24"/>
          <w:highlight w:val="none"/>
        </w:rPr>
      </w:pPr>
      <w:bookmarkStart w:id="355" w:name="_Toc20449"/>
      <w:bookmarkStart w:id="356" w:name="_Toc20887"/>
      <w:bookmarkStart w:id="357" w:name="_Toc17322"/>
      <w:r>
        <w:rPr>
          <w:rFonts w:hint="eastAsia" w:ascii="宋体" w:hAnsi="宋体" w:eastAsia="宋体" w:cs="宋体"/>
          <w:b/>
          <w:bCs/>
          <w:color w:val="auto"/>
          <w:sz w:val="24"/>
          <w:szCs w:val="24"/>
          <w:highlight w:val="none"/>
          <w:lang w:val="en-US" w:eastAsia="zh-CN"/>
        </w:rPr>
        <w:t>供货方案及技术方案</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投标人根据评标办法细则格式自拟、自行阐述</w:t>
      </w:r>
      <w:r>
        <w:rPr>
          <w:rFonts w:hint="eastAsia" w:ascii="宋体" w:hAnsi="宋体" w:eastAsia="宋体" w:cs="宋体"/>
          <w:b/>
          <w:bCs/>
          <w:color w:val="auto"/>
          <w:sz w:val="24"/>
          <w:szCs w:val="24"/>
          <w:highlight w:val="none"/>
        </w:rPr>
        <w:t>）</w:t>
      </w:r>
      <w:bookmarkEnd w:id="353"/>
      <w:bookmarkEnd w:id="354"/>
      <w:bookmarkEnd w:id="355"/>
      <w:bookmarkEnd w:id="356"/>
      <w:bookmarkEnd w:id="357"/>
    </w:p>
    <w:p>
      <w:pPr>
        <w:pStyle w:val="16"/>
        <w:ind w:left="0" w:leftChars="0" w:firstLine="0" w:firstLineChars="0"/>
        <w:rPr>
          <w:rFonts w:hint="eastAsia" w:ascii="宋体" w:hAnsi="宋体" w:eastAsia="宋体" w:cs="宋体"/>
          <w:sz w:val="24"/>
          <w:szCs w:val="21"/>
          <w:highlight w:val="none"/>
        </w:rPr>
        <w:sectPr>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pPr>
        <w:spacing w:line="360" w:lineRule="auto"/>
        <w:jc w:val="both"/>
        <w:outlineLvl w:val="1"/>
        <w:rPr>
          <w:rFonts w:hint="eastAsia" w:ascii="宋体" w:hAnsi="宋体" w:eastAsia="宋体" w:cs="宋体"/>
          <w:b/>
          <w:bCs/>
          <w:color w:val="auto"/>
          <w:sz w:val="28"/>
          <w:szCs w:val="28"/>
          <w:highlight w:val="none"/>
          <w:lang w:val="en-US" w:eastAsia="zh-CN"/>
        </w:rPr>
      </w:pPr>
      <w:bookmarkStart w:id="358" w:name="_Toc4927"/>
      <w:bookmarkStart w:id="359" w:name="_Toc15146"/>
      <w:bookmarkStart w:id="360" w:name="_Toc24902"/>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val="zh-CN" w:eastAsia="zh-CN"/>
        </w:rPr>
        <w:t>提供20</w:t>
      </w:r>
      <w:r>
        <w:rPr>
          <w:rFonts w:hint="eastAsia" w:ascii="宋体" w:hAnsi="宋体" w:eastAsia="宋体" w:cs="宋体"/>
          <w:b/>
          <w:bCs/>
          <w:color w:val="auto"/>
          <w:sz w:val="28"/>
          <w:szCs w:val="28"/>
          <w:highlight w:val="none"/>
          <w:lang w:val="en-US" w:eastAsia="zh-CN"/>
        </w:rPr>
        <w:t>19</w:t>
      </w:r>
      <w:r>
        <w:rPr>
          <w:rFonts w:hint="eastAsia" w:ascii="宋体" w:hAnsi="宋体" w:eastAsia="宋体" w:cs="宋体"/>
          <w:b/>
          <w:bCs/>
          <w:color w:val="auto"/>
          <w:sz w:val="28"/>
          <w:szCs w:val="28"/>
          <w:highlight w:val="none"/>
          <w:lang w:val="zh-CN" w:eastAsia="zh-CN"/>
        </w:rPr>
        <w:t>年</w:t>
      </w:r>
      <w:r>
        <w:rPr>
          <w:rFonts w:hint="eastAsia" w:ascii="宋体" w:hAnsi="宋体" w:eastAsia="宋体" w:cs="宋体"/>
          <w:b/>
          <w:bCs/>
          <w:color w:val="auto"/>
          <w:sz w:val="28"/>
          <w:szCs w:val="28"/>
          <w:highlight w:val="none"/>
          <w:lang w:val="en-US" w:eastAsia="zh-CN"/>
        </w:rPr>
        <w:t>6月</w:t>
      </w:r>
      <w:r>
        <w:rPr>
          <w:rFonts w:hint="eastAsia" w:ascii="宋体" w:hAnsi="宋体" w:eastAsia="宋体" w:cs="宋体"/>
          <w:b/>
          <w:bCs/>
          <w:color w:val="auto"/>
          <w:sz w:val="28"/>
          <w:szCs w:val="28"/>
          <w:highlight w:val="none"/>
          <w:lang w:val="zh-CN" w:eastAsia="zh-CN"/>
        </w:rPr>
        <w:t>至今</w:t>
      </w:r>
      <w:r>
        <w:rPr>
          <w:rFonts w:hint="eastAsia" w:ascii="宋体" w:hAnsi="宋体" w:eastAsia="宋体" w:cs="宋体"/>
          <w:b/>
          <w:bCs/>
          <w:color w:val="auto"/>
          <w:sz w:val="28"/>
          <w:szCs w:val="28"/>
          <w:highlight w:val="none"/>
          <w:lang w:val="en-US" w:eastAsia="zh-CN"/>
        </w:rPr>
        <w:t>完成的类似业绩证明材料；</w:t>
      </w:r>
      <w:bookmarkEnd w:id="358"/>
      <w:bookmarkEnd w:id="359"/>
      <w:bookmarkEnd w:id="360"/>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15"/>
        <w:rPr>
          <w:rFonts w:hint="eastAsia" w:ascii="宋体" w:hAnsi="宋体" w:eastAsia="宋体" w:cs="宋体"/>
          <w:b/>
          <w:bCs/>
          <w:sz w:val="72"/>
          <w:szCs w:val="56"/>
          <w:highlight w:val="none"/>
          <w:u w:val="single"/>
          <w:lang w:val="en-US" w:eastAsia="zh-CN"/>
        </w:rPr>
      </w:pPr>
    </w:p>
    <w:p>
      <w:pPr>
        <w:pStyle w:val="16"/>
        <w:rPr>
          <w:rFonts w:hint="eastAsia" w:ascii="宋体" w:hAnsi="宋体" w:eastAsia="宋体" w:cs="宋体"/>
          <w:b/>
          <w:bCs/>
          <w:sz w:val="72"/>
          <w:szCs w:val="56"/>
          <w:highlight w:val="none"/>
          <w:u w:val="single"/>
          <w:lang w:val="en-US" w:eastAsia="zh-CN"/>
        </w:rPr>
      </w:pPr>
    </w:p>
    <w:p>
      <w:pPr>
        <w:pStyle w:val="16"/>
        <w:rPr>
          <w:rFonts w:hint="eastAsia" w:ascii="宋体" w:hAnsi="宋体" w:eastAsia="宋体" w:cs="宋体"/>
          <w:b/>
          <w:bCs/>
          <w:sz w:val="72"/>
          <w:szCs w:val="56"/>
          <w:highlight w:val="none"/>
          <w:u w:val="single"/>
          <w:lang w:val="en-US" w:eastAsia="zh-CN"/>
        </w:rPr>
      </w:pPr>
    </w:p>
    <w:p>
      <w:pPr>
        <w:pStyle w:val="15"/>
        <w:rPr>
          <w:rFonts w:hint="eastAsia" w:ascii="宋体" w:hAnsi="宋体" w:eastAsia="宋体" w:cs="宋体"/>
          <w:b/>
          <w:bCs/>
          <w:sz w:val="72"/>
          <w:szCs w:val="56"/>
          <w:highlight w:val="none"/>
          <w:u w:val="single"/>
          <w:lang w:val="en-US" w:eastAsia="zh-CN"/>
        </w:rPr>
      </w:pPr>
    </w:p>
    <w:p>
      <w:pPr>
        <w:pStyle w:val="16"/>
        <w:rPr>
          <w:rFonts w:hint="eastAsia" w:ascii="宋体" w:hAnsi="宋体" w:eastAsia="宋体" w:cs="宋体"/>
          <w:highlight w:val="none"/>
          <w:lang w:val="en-US" w:eastAsia="zh-CN"/>
        </w:rPr>
      </w:pPr>
    </w:p>
    <w:p>
      <w:pPr>
        <w:pStyle w:val="15"/>
        <w:rPr>
          <w:rFonts w:hint="eastAsia" w:ascii="宋体" w:hAnsi="宋体" w:eastAsia="宋体" w:cs="宋体"/>
          <w:highlight w:val="none"/>
          <w:lang w:val="en-US" w:eastAsia="zh-CN"/>
        </w:rPr>
      </w:pPr>
    </w:p>
    <w:p>
      <w:pPr>
        <w:pStyle w:val="15"/>
        <w:ind w:left="0" w:leftChars="0" w:firstLine="1446" w:firstLineChars="200"/>
        <w:jc w:val="left"/>
        <w:rPr>
          <w:rFonts w:hint="eastAsia" w:ascii="宋体" w:hAnsi="宋体" w:eastAsia="宋体" w:cs="宋体"/>
          <w:b/>
          <w:bCs/>
          <w:sz w:val="72"/>
          <w:szCs w:val="56"/>
          <w:highlight w:val="none"/>
          <w:u w:val="single"/>
          <w:lang w:val="en-US" w:eastAsia="zh-CN"/>
        </w:rPr>
      </w:pPr>
    </w:p>
    <w:p>
      <w:pPr>
        <w:pStyle w:val="15"/>
        <w:ind w:left="0" w:leftChars="0" w:firstLine="1446" w:firstLineChars="200"/>
        <w:jc w:val="left"/>
        <w:rPr>
          <w:rFonts w:hint="eastAsia" w:ascii="宋体" w:hAnsi="宋体" w:eastAsia="宋体" w:cs="宋体"/>
          <w:b/>
          <w:bCs/>
          <w:sz w:val="72"/>
          <w:szCs w:val="56"/>
          <w:highlight w:val="none"/>
          <w:u w:val="single"/>
          <w:lang w:val="en-US" w:eastAsia="zh-CN"/>
        </w:rPr>
      </w:pPr>
    </w:p>
    <w:p>
      <w:pPr>
        <w:pStyle w:val="15"/>
        <w:ind w:left="0" w:leftChars="0" w:firstLine="1446" w:firstLineChars="200"/>
        <w:jc w:val="left"/>
        <w:rPr>
          <w:rFonts w:hint="eastAsia" w:ascii="宋体" w:hAnsi="宋体" w:eastAsia="宋体" w:cs="宋体"/>
          <w:b/>
          <w:bCs/>
          <w:sz w:val="72"/>
          <w:szCs w:val="56"/>
          <w:highlight w:val="none"/>
          <w:u w:val="single"/>
          <w:lang w:val="en-US" w:eastAsia="zh-CN"/>
        </w:rPr>
      </w:pPr>
      <w:r>
        <w:rPr>
          <w:rFonts w:hint="eastAsia" w:ascii="宋体" w:hAnsi="宋体" w:eastAsia="宋体" w:cs="宋体"/>
          <w:b/>
          <w:bCs/>
          <w:sz w:val="72"/>
          <w:szCs w:val="56"/>
          <w:highlight w:val="none"/>
          <w:u w:val="single"/>
          <w:lang w:val="en-US" w:eastAsia="zh-CN"/>
        </w:rPr>
        <w:t>本页以下无内容</w:t>
      </w:r>
    </w:p>
    <w:sectPr>
      <w:pgSz w:w="11905" w:h="16838"/>
      <w:pgMar w:top="1417" w:right="1134" w:bottom="1417" w:left="1304" w:header="935" w:footer="771"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A00002EF" w:usb1="4000004B" w:usb2="00000000" w:usb3="00000000" w:csb0="2000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楷体" w:hAnsi="楷体" w:eastAsia="楷体" w:cs="楷体"/>
        <w:b/>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pStyle w:val="20"/>
      <w:tabs>
        <w:tab w:val="left" w:pos="8415"/>
        <w:tab w:val="clear" w:pos="4153"/>
      </w:tabs>
      <w:rPr>
        <w:rFonts w:hint="eastAsia" w:ascii="楷体" w:hAnsi="楷体" w:eastAsia="楷体" w:cs="楷体"/>
        <w:b/>
        <w:sz w:val="18"/>
        <w:szCs w:val="18"/>
        <w:u w:val="single"/>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b/>
        <w:sz w:val="18"/>
        <w:szCs w:val="18"/>
        <w:u w:val="single"/>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17295" cy="1695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17295" cy="169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35pt;width:95.85pt;mso-position-horizontal:center;mso-position-horizontal-relative:margin;z-index:251666432;mso-width-relative:page;mso-height-relative:page;" filled="f" stroked="f" coordsize="21600,21600" o:gfxdata="UEsDBAoAAAAAAIdO4kAAAAAAAAAAAAAAAAAEAAAAZHJzL1BLAwQUAAAACACHTuJAQ3LNbtMAAAAE&#10;AQAADwAAAGRycy9kb3ducmV2LnhtbE2PS0/DMBCE70j8B2uRuFE7PbQQ4vTA48azgAQ3J16SCHsd&#10;2Zu0/HtcLnBZaTSjmW+rzd47MWNMQyANxUKBQGqDHajT8Ppye3YOIrEha1wg1PCNCTb18VFlSht2&#10;9IzzljuRSyiVRkPPPJZSprZHb9IijEjZ+wzRG84ydtJGs8vl3smlUivpzUB5oTcjXvXYfm0nr8G9&#10;p3jXKP6Yr7t7fnqU09tN8aD16UmhLkEw7vkvDAf8jA51ZmrCRDYJpyE/wr/34F0UaxCNhuVqDbKu&#10;5H/4+gdQSwMEFAAAAAgAh07iQCt90qY4AgAAZAQAAA4AAABkcnMvZTJvRG9jLnhtbK1UTY7TMBTe&#10;I3EHy3uattDCVE1HZaoipIoZqSDWruM0lmw/YztNygHgBrNiw55z9Rw8O00HDSxmwcZ98fv9vve5&#10;8+tWK3IQzkswOR0NhpQIw6GQZp/TTx/XL95Q4gMzBVNgRE6PwtPrxfNn88bOxBgqUIVwBIsYP2ts&#10;TqsQ7CzLPK+EZn4AVhh0luA0C/jp9lnhWIPVtcrGw+E0a8AV1gEX3uPtqnPSc0X3lIJQlpKLFfBa&#10;CxO6qk4oFhCSr6T1dJGmLUvBw21ZehGIyikiDenEJmjv4pkt5my2d8xWkp9HYE8Z4REmzaTBppdS&#10;KxYYqZ38q5SW3IGHMgw46KwDkhhBFKPhI262FbMiYUGqvb2Q7v9fWf7hcOeILHI6HlFimMaNn+6/&#10;n378Ov38RvAOCWqsn2Hc1mJkaN9Ci7Lp7z1eRtxt6XT8RUQE/Ujv8UKvaAPhMWk8ej2+mlDC0Tea&#10;Xk1eTWKZ7CHbOh/eCdAkGjl1uL7EKjtsfOhC+5DYzMBaKpVWqAxpcjp9ORmmhIsHiyuDPSKGbtZo&#10;hXbXnoHtoDgiLgedNLzla4nNN8yHO+ZQCwgFX0u4xaNUgE3gbFFSgfv6r/sYjytCLyUNaiun/kvN&#10;nKBEvTe4vCjE3nC9sesNU+sbQLniPnCaZGKCC6o3Swf6Mz6iZeyCLmY49spp6M2b0CkcHyEXy2UK&#10;qq2T+6pLQOlZFjZma3ls01G5rAOUMrEcKep4OTOH4kt7Oj+UqO4/v1PUw5/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cs1u0wAAAAQBAAAPAAAAAAAAAAEAIAAAACIAAABkcnMvZG93bnJldi54&#10;bWxQSwECFAAUAAAACACHTuJAK33SpjgCAABkBAAADgAAAAAAAAABACAAAAAiAQAAZHJzL2Uyb0Rv&#10;Yy54bWxQSwUGAAAAAAYABgBZAQAAzAUAAAAA&#10;">
              <v:fill on="f" focussize="0,0"/>
              <v:stroke on="f" weight="0.5pt"/>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b/>
        <w:sz w:val="18"/>
        <w:szCs w:val="18"/>
        <w:u w:val="single"/>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86815" cy="1543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18681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15pt;width:93.45pt;mso-position-horizontal:center;mso-position-horizontal-relative:margin;z-index:251667456;mso-width-relative:page;mso-height-relative:page;" filled="f" stroked="f" coordsize="21600,21600" o:gfxdata="UEsDBAoAAAAAAIdO4kAAAAAAAAAAAAAAAAAEAAAAZHJzL1BLAwQUAAAACACHTuJAF6i+VNUAAAAE&#10;AQAADwAAAGRycy9kb3ducmV2LnhtbE2PS0/DMBCE70j8B2uRuFE7BVVtiNMDjxuPUooENydekgh7&#10;HcWbtPx7XC5wWWk0o5lvi/XBOzHhELtAGrKZAoFUB9tRo2H3en+xBBHZkDUuEGr4xgjr8vSkMLkN&#10;e3rBacuNSCUUc6OhZe5zKWPdojdxFnqk5H2GwRtOcmikHcw+lXsn50otpDcdpYXW9HjTYv21Hb0G&#10;9x6Hh0rxx3TbPPLmWY5vd9mT1udnmboGwXjgvzAc8RM6lImpCiPZKJyG9Aj/3qO3XKxAVBrmV5cg&#10;y0L+hy9/AFBLAwQUAAAACACHTuJAOWSisDkCAABkBAAADgAAAGRycy9lMm9Eb2MueG1srVTNjtMw&#10;EL4j8Q6W7zRJl1ZV1XRVtipCqtiVCuLsOk5jyfYY221SHgDegBMX7jxXn4Nxfrpo4bAHLu4Xz5+/&#10;b2a6uG20IifhvAST02yUUiIMh0KaQ04/fti8mlHiAzMFU2BETs/C09vlyxeL2s7FGCpQhXAEkxg/&#10;r21OqxDsPEk8r4RmfgRWGDSW4DQL+OkOSeFYjdm1SsZpOk1qcIV1wIX3eLvujLTP6J6TEMpScrEG&#10;ftTChC6rE4oFpOQraT1dtq8tS8HDfVl6EYjKKTIN7YlFEO/jmSwXbH5wzFaS909gz3nCE06aSYNF&#10;r6nWLDBydPKvVFpyBx7KMOKgk45IqwiyyNIn2uwqZkXLBaX29iq6/39p+fvTgyOyyOl4TIlhGjt+&#10;+f7t8uPX5edXgncoUG39HP12Fj1D8wYaHJvh3uNl5N2UTsdfZETQjvKer/KKJhAeg7LZdJZNKOFo&#10;yyavb9JJTJM8Rlvnw1sBmkSQU4fta1Vlp60PnevgEosZ2Eil2hYqQ+qcTm8maRtwtWByZbBG5NC9&#10;NaLQ7Jue2B6KM/Jy0I2Gt3wjsfiW+fDAHM4CUsFtCfd4lAqwCPSIkgrcl3/dR39sEVopqXG2cuo/&#10;H5kTlKh3BpsXB3EAbgD7AZijvgMc1wz30PIWYoALaoClA/0Jl2gVq6CJGY61choGeBe6Cccl5GK1&#10;ap2O1slD1QXg6FkWtmZneSzTSbk6Bihlq3KUqNOlVw6Hr+1Tvyhxuv/8br0e/xy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XqL5U1QAAAAQBAAAPAAAAAAAAAAEAIAAAACIAAABkcnMvZG93bnJl&#10;di54bWxQSwECFAAUAAAACACHTuJAOWSisDkCAABkBAAADgAAAAAAAAABACAAAAAkAQAAZHJzL2Uy&#10;b0RvYy54bWxQSwUGAAAAAAYABgBZAQAAzwUAAAAA&#10;">
              <v:fill on="f" focussize="0,0"/>
              <v:stroke on="f" weight="0.5pt"/>
              <v:imagedata o:title=""/>
              <o:lock v:ext="edit" aspectratio="f"/>
              <v:textbox inset="0mm,0mm,0mm,0mm">
                <w:txbxContent>
                  <w:p>
                    <w:pPr>
                      <w:pStyle w:val="20"/>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b/>
        <w:sz w:val="18"/>
        <w:szCs w:val="18"/>
        <w:u w:val="single"/>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ascii="宋体" w:hAnsi="宋体" w:eastAsia="宋体" w:cs="宋体"/>
        <w:b/>
        <w:sz w:val="18"/>
        <w:szCs w:val="18"/>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ascii="宋体" w:hAnsi="宋体" w:eastAsia="宋体" w:cs="宋体"/>
        <w:b/>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楷体" w:hAnsi="楷体" w:eastAsia="楷体" w:cs="楷体"/>
        <w:lang w:eastAsia="zh-CN"/>
      </w:rPr>
    </w:pPr>
    <w:r>
      <w:rPr>
        <w:rFonts w:hint="eastAsia" w:ascii="楷体" w:hAnsi="楷体" w:eastAsia="楷体" w:cs="楷体"/>
        <w:b/>
        <w:sz w:val="18"/>
        <w:szCs w:val="18"/>
        <w:u w:val="single"/>
        <w:lang w:eastAsia="zh-CN"/>
      </w:rPr>
      <w:t>宝鸡福美特项目管理有限公司</w:t>
    </w:r>
    <w:r>
      <w:rPr>
        <w:rFonts w:hint="eastAsia" w:ascii="楷体" w:hAnsi="楷体" w:eastAsia="楷体" w:cs="楷体"/>
        <w:b/>
        <w:sz w:val="18"/>
        <w:szCs w:val="18"/>
        <w:u w:val="single"/>
        <w:lang w:val="en-US" w:eastAsia="zh-CN"/>
      </w:rPr>
      <w:t xml:space="preserve">      </w: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spacing w:line="280" w:lineRule="exact"/>
      <w:jc w:val="left"/>
      <w:rPr>
        <w:rFonts w:hint="eastAsia" w:ascii="楷体" w:hAnsi="楷体" w:eastAsia="楷体" w:cs="楷体"/>
        <w:b/>
        <w:sz w:val="18"/>
        <w:szCs w:val="18"/>
        <w:u w:val="single"/>
        <w:lang w:val="en-US" w:eastAsia="zh-CN"/>
      </w:rPr>
    </w:pPr>
    <w:r>
      <w:rPr>
        <w:rFonts w:hint="eastAsia" w:ascii="楷体" w:hAnsi="楷体" w:eastAsia="楷体" w:cs="楷体"/>
        <w:b/>
        <w:sz w:val="18"/>
        <w:szCs w:val="18"/>
        <w:u w:val="single"/>
        <w:lang w:eastAsia="zh-CN"/>
      </w:rPr>
      <w:t>宝鸡福美特项目管理有限公司</w:t>
    </w:r>
    <w:r>
      <w:rPr>
        <w:rFonts w:hint="eastAsia" w:ascii="楷体" w:hAnsi="楷体" w:eastAsia="楷体" w:cs="楷体"/>
        <w:b/>
        <w:sz w:val="18"/>
        <w:szCs w:val="18"/>
        <w:u w:val="single"/>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楷体" w:hAnsi="楷体" w:eastAsia="楷体" w:cs="楷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spacing w:line="280" w:lineRule="exact"/>
      <w:jc w:val="center"/>
      <w:rPr>
        <w:rFonts w:hint="eastAsia" w:ascii="楷体" w:hAnsi="楷体" w:eastAsia="楷体" w:cs="楷体"/>
        <w:b/>
        <w:sz w:val="18"/>
        <w:szCs w:val="18"/>
        <w:u w:val="single"/>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b/>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spacing w:line="280" w:lineRule="exact"/>
      <w:jc w:val="left"/>
      <w:rPr>
        <w:rFonts w:hint="eastAsia" w:ascii="楷体" w:hAnsi="楷体" w:eastAsia="楷体" w:cs="楷体"/>
        <w:b/>
        <w:sz w:val="18"/>
        <w:szCs w:val="18"/>
        <w:u w:val="single"/>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left" w:pos="3801"/>
      </w:tabs>
      <w:spacing w:line="480" w:lineRule="exact"/>
      <w:rPr>
        <w:rFonts w:hint="eastAsia" w:ascii="宋体" w:hAnsi="宋体" w:eastAsiaTheme="minorEastAsia"/>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cs="宋体"/>
        <w:b/>
        <w:color w:val="auto"/>
        <w:sz w:val="18"/>
        <w:szCs w:val="18"/>
        <w:u w:val="single"/>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rPr>
        <w:rFonts w:hint="eastAsia"/>
        <w:u w:val="non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cs="宋体"/>
        <w:b/>
        <w:sz w:val="18"/>
        <w:szCs w:val="18"/>
        <w:u w:val="single"/>
        <w:lang w:val="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cs="宋体"/>
        <w:b/>
        <w:sz w:val="18"/>
        <w:szCs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4337" w:leftChars="0" w:right="0" w:rightChars="0" w:hanging="4337" w:hangingChars="2400"/>
      <w:jc w:val="left"/>
      <w:textAlignment w:val="auto"/>
      <w:outlineLvl w:val="9"/>
      <w:rPr>
        <w:rFonts w:hint="eastAsia" w:ascii="楷体" w:hAnsi="楷体" w:eastAsia="楷体" w:cs="楷体"/>
        <w:b/>
        <w:color w:val="auto"/>
        <w:sz w:val="18"/>
        <w:szCs w:val="18"/>
        <w:u w:val="single"/>
        <w:lang w:val="en-US" w:eastAsia="zh-CN"/>
      </w:rPr>
    </w:pPr>
    <w:r>
      <w:rPr>
        <w:rFonts w:hint="eastAsia" w:ascii="楷体" w:hAnsi="楷体" w:eastAsia="楷体" w:cs="楷体"/>
        <w:b/>
        <w:sz w:val="18"/>
        <w:szCs w:val="18"/>
        <w:u w:val="single"/>
        <w:lang w:val="en-US" w:eastAsia="zh-CN"/>
      </w:rPr>
      <w:t xml:space="preserve">                                                                       </w:t>
    </w:r>
    <w:r>
      <w:rPr>
        <w:rFonts w:hint="eastAsia" w:ascii="楷体" w:hAnsi="楷体" w:eastAsia="楷体" w:cs="楷体"/>
        <w:b/>
        <w:color w:val="auto"/>
        <w:sz w:val="18"/>
        <w:szCs w:val="18"/>
        <w:u w:val="single"/>
        <w:lang w:val="en-US" w:eastAsia="zh-CN"/>
      </w:rPr>
      <w:t xml:space="preserve">  </w:t>
    </w:r>
    <w:r>
      <w:rPr>
        <w:rFonts w:hint="eastAsia" w:ascii="楷体" w:hAnsi="楷体" w:eastAsia="楷体" w:cs="楷体"/>
        <w:b/>
        <w:color w:val="auto"/>
        <w:sz w:val="18"/>
        <w:szCs w:val="18"/>
        <w:u w:val="single"/>
      </w:rPr>
      <w:t>文件编号:</w:t>
    </w:r>
    <w:r>
      <w:rPr>
        <w:rFonts w:hint="eastAsia" w:ascii="楷体" w:hAnsi="楷体" w:eastAsia="楷体" w:cs="楷体"/>
        <w:b/>
        <w:color w:val="auto"/>
        <w:sz w:val="18"/>
        <w:szCs w:val="18"/>
        <w:u w:val="single"/>
        <w:lang w:eastAsia="zh-CN"/>
      </w:rPr>
      <w:t>BJFMT2021(064)号(101)号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1265" w:leftChars="0" w:right="0" w:rightChars="0" w:hanging="1265" w:hangingChars="700"/>
      <w:jc w:val="left"/>
      <w:textAlignment w:val="auto"/>
      <w:outlineLvl w:val="9"/>
      <w:rPr>
        <w:rFonts w:hint="eastAsia" w:ascii="宋体" w:hAnsi="宋体" w:eastAsia="宋体" w:cs="宋体"/>
        <w:b/>
        <w:color w:val="auto"/>
        <w:sz w:val="18"/>
        <w:szCs w:val="18"/>
        <w:highlight w:val="none"/>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4337" w:leftChars="0" w:right="0" w:rightChars="0" w:hanging="4337" w:hangingChars="2400"/>
      <w:jc w:val="left"/>
      <w:textAlignment w:val="auto"/>
      <w:outlineLvl w:val="9"/>
      <w:rPr>
        <w:rFonts w:hint="eastAsia" w:ascii="宋体" w:hAnsi="宋体" w:eastAsia="宋体" w:cs="宋体"/>
        <w:b/>
        <w:color w:val="auto"/>
        <w:sz w:val="18"/>
        <w:szCs w:val="18"/>
        <w:u w:val="single"/>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1265" w:leftChars="0" w:right="0" w:rightChars="0" w:hanging="1265" w:hangingChars="700"/>
      <w:jc w:val="left"/>
      <w:textAlignment w:val="auto"/>
      <w:outlineLvl w:val="9"/>
      <w:rPr>
        <w:rFonts w:hint="eastAsia" w:ascii="宋体" w:hAnsi="宋体" w:eastAsia="宋体" w:cs="宋体"/>
        <w:b/>
        <w:color w:val="auto"/>
        <w:sz w:val="18"/>
        <w:szCs w:val="18"/>
        <w:highlight w:val="none"/>
        <w:u w:val="single"/>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rPr>
        <w:rFonts w:hint="eastAsia"/>
        <w:u w:val="none"/>
      </w:rPr>
    </w:pPr>
    <w:r>
      <w:rPr>
        <w:rFonts w:hint="eastAsia" w:ascii="宋体" w:hAnsi="宋体" w:eastAsia="宋体" w:cs="宋体"/>
        <w:b/>
        <w:sz w:val="18"/>
        <w:szCs w:val="18"/>
        <w:u w:val="single"/>
        <w:lang w:val="en-US" w:eastAsia="zh-CN"/>
      </w:rPr>
      <w:t xml:space="preserve">                                                                         </w:t>
    </w:r>
    <w:r>
      <w:rPr>
        <w:rFonts w:hint="eastAsia" w:ascii="宋体" w:hAnsi="宋体" w:eastAsia="宋体" w:cs="宋体"/>
        <w:b/>
        <w:sz w:val="18"/>
        <w:szCs w:val="18"/>
        <w:u w:val="single"/>
      </w:rPr>
      <w:t>文件编号:</w:t>
    </w:r>
    <w:r>
      <w:rPr>
        <w:rFonts w:hint="eastAsia" w:ascii="宋体" w:hAnsi="宋体" w:eastAsia="宋体" w:cs="宋体"/>
        <w:b/>
        <w:sz w:val="18"/>
        <w:szCs w:val="18"/>
        <w:u w:val="single"/>
        <w:lang w:val="en-US" w:eastAsia="zh-CN"/>
      </w:rPr>
      <w:t>BJFMT2019(089)号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rPr>
        <w:rFonts w:hint="eastAsia" w:ascii="宋体" w:hAnsi="宋体" w:eastAsia="宋体" w:cs="宋体"/>
        <w:b/>
        <w:sz w:val="18"/>
        <w:szCs w:val="18"/>
        <w:u w:val="single"/>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rPr>
        <w:rFonts w:hint="eastAsia"/>
        <w:u w:val="non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rPr>
        <w:rFonts w:hint="eastAsia" w:ascii="宋体" w:hAnsi="宋体" w:eastAsia="宋体" w:cs="宋体"/>
        <w:b/>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C9CD1"/>
    <w:multiLevelType w:val="singleLevel"/>
    <w:tmpl w:val="F8DC9CD1"/>
    <w:lvl w:ilvl="0" w:tentative="0">
      <w:start w:val="6"/>
      <w:numFmt w:val="chineseCounting"/>
      <w:suff w:val="space"/>
      <w:lvlText w:val="第%1章"/>
      <w:lvlJc w:val="left"/>
      <w:rPr>
        <w:rFonts w:hint="eastAsia"/>
      </w:rPr>
    </w:lvl>
  </w:abstractNum>
  <w:abstractNum w:abstractNumId="1">
    <w:nsid w:val="01041D89"/>
    <w:multiLevelType w:val="singleLevel"/>
    <w:tmpl w:val="01041D89"/>
    <w:lvl w:ilvl="0" w:tentative="0">
      <w:start w:val="1"/>
      <w:numFmt w:val="chineseCounting"/>
      <w:suff w:val="space"/>
      <w:lvlText w:val="第%1章"/>
      <w:lvlJc w:val="left"/>
      <w:rPr>
        <w:rFonts w:hint="eastAsia"/>
      </w:rPr>
    </w:lvl>
  </w:abstractNum>
  <w:abstractNum w:abstractNumId="2">
    <w:nsid w:val="0FFBFFCC"/>
    <w:multiLevelType w:val="singleLevel"/>
    <w:tmpl w:val="0FFBFFCC"/>
    <w:lvl w:ilvl="0" w:tentative="0">
      <w:start w:val="1"/>
      <w:numFmt w:val="decimal"/>
      <w:suff w:val="space"/>
      <w:lvlText w:val="%1."/>
      <w:lvlJc w:val="left"/>
    </w:lvl>
  </w:abstractNum>
  <w:abstractNum w:abstractNumId="3">
    <w:nsid w:val="23175427"/>
    <w:multiLevelType w:val="multilevel"/>
    <w:tmpl w:val="23175427"/>
    <w:lvl w:ilvl="0" w:tentative="0">
      <w:start w:val="1"/>
      <w:numFmt w:val="decimal"/>
      <w:isLgl/>
      <w:suff w:val="space"/>
      <w:lvlText w:val="第%1章"/>
      <w:lvlJc w:val="left"/>
      <w:pPr>
        <w:ind w:left="0" w:firstLine="0"/>
      </w:pPr>
      <w:rPr>
        <w:rFonts w:hint="default" w:ascii="Times New Roman" w:hAnsi="Times New Roman" w:eastAsia="宋体" w:cs="Times New Roman"/>
        <w:b/>
        <w:bCs w:val="0"/>
        <w:i w:val="0"/>
        <w:iCs w:val="0"/>
        <w:caps w:val="0"/>
        <w:strike w:val="0"/>
        <w:dstrike w:val="0"/>
        <w:vanish w:val="0"/>
        <w:color w:val="000000"/>
        <w:spacing w:val="0"/>
        <w:position w:val="0"/>
        <w:sz w:val="44"/>
        <w:u w:val="none"/>
        <w:vertAlign w:val="baseline"/>
      </w:rPr>
    </w:lvl>
    <w:lvl w:ilvl="1" w:tentative="0">
      <w:start w:val="1"/>
      <w:numFmt w:val="decimal"/>
      <w:isLgl/>
      <w:suff w:val="space"/>
      <w:lvlText w:val="%1.%2"/>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7"/>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8"/>
        <w:u w:val="none"/>
        <w:vertAlign w:val="baseline"/>
      </w:rPr>
    </w:lvl>
    <w:lvl w:ilvl="3" w:tentative="0">
      <w:start w:val="1"/>
      <w:numFmt w:val="decimal"/>
      <w:pStyle w:val="8"/>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30"/>
        <w:u w:val="none"/>
        <w:vertAlign w:val="baseline"/>
      </w:rPr>
    </w:lvl>
    <w:lvl w:ilvl="4" w:tentative="0">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center"/>
      <w:pPr>
        <w:ind w:left="624" w:firstLine="794"/>
      </w:pPr>
      <w:rPr>
        <w:rFonts w:hint="default" w:ascii="Times New Roman" w:hAnsi="Times New Roman" w:eastAsia="宋体"/>
        <w:b/>
        <w:i w:val="0"/>
        <w:sz w:val="24"/>
      </w:rPr>
    </w:lvl>
    <w:lvl w:ilvl="6" w:tentative="0">
      <w:start w:val="1"/>
      <w:numFmt w:val="decimal"/>
      <w:isLgl/>
      <w:lvlText w:val="%1.%2.%3.%4.%5.%6.%7"/>
      <w:lvlJc w:val="left"/>
      <w:pPr>
        <w:tabs>
          <w:tab w:val="left" w:pos="1134"/>
        </w:tabs>
        <w:ind w:left="1134" w:hanging="283"/>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513AE2D"/>
    <w:multiLevelType w:val="singleLevel"/>
    <w:tmpl w:val="5513AE2D"/>
    <w:lvl w:ilvl="0" w:tentative="0">
      <w:start w:val="5"/>
      <w:numFmt w:val="decimal"/>
      <w:suff w:val="nothing"/>
      <w:lvlText w:val="（%1）"/>
      <w:lvlJc w:val="left"/>
    </w:lvl>
  </w:abstractNum>
  <w:abstractNum w:abstractNumId="5">
    <w:nsid w:val="576A36EB"/>
    <w:multiLevelType w:val="singleLevel"/>
    <w:tmpl w:val="576A36EB"/>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attachedTemplate r:id="rId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DI1MzdkYzAzOWVkY2IyNGM1ZTFmZjFjYzhmY2IifQ=="/>
  </w:docVars>
  <w:rsids>
    <w:rsidRoot w:val="41465FC8"/>
    <w:rsid w:val="000754D8"/>
    <w:rsid w:val="000C4B36"/>
    <w:rsid w:val="0011666E"/>
    <w:rsid w:val="00481AA9"/>
    <w:rsid w:val="005777D2"/>
    <w:rsid w:val="005B45BD"/>
    <w:rsid w:val="006367EA"/>
    <w:rsid w:val="00665735"/>
    <w:rsid w:val="0067718B"/>
    <w:rsid w:val="006D25F4"/>
    <w:rsid w:val="007059A5"/>
    <w:rsid w:val="007A3D26"/>
    <w:rsid w:val="007B1294"/>
    <w:rsid w:val="007F3947"/>
    <w:rsid w:val="00AE462C"/>
    <w:rsid w:val="00B44FFC"/>
    <w:rsid w:val="00B63597"/>
    <w:rsid w:val="00BA72D1"/>
    <w:rsid w:val="00CA124E"/>
    <w:rsid w:val="00CE3ECD"/>
    <w:rsid w:val="00D42B17"/>
    <w:rsid w:val="00D85F41"/>
    <w:rsid w:val="00DD54D6"/>
    <w:rsid w:val="00DF0E4B"/>
    <w:rsid w:val="00E64850"/>
    <w:rsid w:val="00E822D5"/>
    <w:rsid w:val="00E87D31"/>
    <w:rsid w:val="00EA2B68"/>
    <w:rsid w:val="00F612BE"/>
    <w:rsid w:val="00FD2AAA"/>
    <w:rsid w:val="00FF6BD6"/>
    <w:rsid w:val="01027F95"/>
    <w:rsid w:val="010A62F5"/>
    <w:rsid w:val="011C4FD6"/>
    <w:rsid w:val="012359E3"/>
    <w:rsid w:val="01291261"/>
    <w:rsid w:val="013A16B8"/>
    <w:rsid w:val="013D7B5C"/>
    <w:rsid w:val="01456ACF"/>
    <w:rsid w:val="01536654"/>
    <w:rsid w:val="01604C89"/>
    <w:rsid w:val="016270AE"/>
    <w:rsid w:val="018A038B"/>
    <w:rsid w:val="018C6215"/>
    <w:rsid w:val="01B67B6C"/>
    <w:rsid w:val="01B86378"/>
    <w:rsid w:val="01BF07E9"/>
    <w:rsid w:val="01C071F4"/>
    <w:rsid w:val="01EA6E6D"/>
    <w:rsid w:val="01F24136"/>
    <w:rsid w:val="02154C6B"/>
    <w:rsid w:val="02244A3B"/>
    <w:rsid w:val="02401EDE"/>
    <w:rsid w:val="02417447"/>
    <w:rsid w:val="02436ECE"/>
    <w:rsid w:val="0249313C"/>
    <w:rsid w:val="02544B31"/>
    <w:rsid w:val="025814F0"/>
    <w:rsid w:val="02714395"/>
    <w:rsid w:val="0273481D"/>
    <w:rsid w:val="027506C2"/>
    <w:rsid w:val="027A6048"/>
    <w:rsid w:val="027B5DA6"/>
    <w:rsid w:val="028A2C94"/>
    <w:rsid w:val="029105D0"/>
    <w:rsid w:val="029A7D90"/>
    <w:rsid w:val="02A36C44"/>
    <w:rsid w:val="02B20C9A"/>
    <w:rsid w:val="02B76D6F"/>
    <w:rsid w:val="02BD04CF"/>
    <w:rsid w:val="02CC4F01"/>
    <w:rsid w:val="02D35C2E"/>
    <w:rsid w:val="02DA22C9"/>
    <w:rsid w:val="02DC75D6"/>
    <w:rsid w:val="02DF1342"/>
    <w:rsid w:val="02F079B0"/>
    <w:rsid w:val="02F47D05"/>
    <w:rsid w:val="030819D4"/>
    <w:rsid w:val="030A72D0"/>
    <w:rsid w:val="03113498"/>
    <w:rsid w:val="03120B70"/>
    <w:rsid w:val="03184AA8"/>
    <w:rsid w:val="03356C96"/>
    <w:rsid w:val="03370C3A"/>
    <w:rsid w:val="035C0B7F"/>
    <w:rsid w:val="036477EF"/>
    <w:rsid w:val="036B1176"/>
    <w:rsid w:val="036C34DA"/>
    <w:rsid w:val="03740980"/>
    <w:rsid w:val="03843B44"/>
    <w:rsid w:val="03885E3A"/>
    <w:rsid w:val="039A4AFB"/>
    <w:rsid w:val="03BD5AE4"/>
    <w:rsid w:val="03C1647D"/>
    <w:rsid w:val="03C50289"/>
    <w:rsid w:val="03CC3FA5"/>
    <w:rsid w:val="03D11265"/>
    <w:rsid w:val="03D45B15"/>
    <w:rsid w:val="03D8544B"/>
    <w:rsid w:val="03E24F0D"/>
    <w:rsid w:val="03E621FD"/>
    <w:rsid w:val="03F941A8"/>
    <w:rsid w:val="040B2CF6"/>
    <w:rsid w:val="040E601C"/>
    <w:rsid w:val="04190920"/>
    <w:rsid w:val="041B5524"/>
    <w:rsid w:val="042B5A27"/>
    <w:rsid w:val="042E0A14"/>
    <w:rsid w:val="04365896"/>
    <w:rsid w:val="043C172A"/>
    <w:rsid w:val="043D18BC"/>
    <w:rsid w:val="043E6504"/>
    <w:rsid w:val="044C0703"/>
    <w:rsid w:val="047B4C8E"/>
    <w:rsid w:val="047F0B0C"/>
    <w:rsid w:val="047F3631"/>
    <w:rsid w:val="048C1C85"/>
    <w:rsid w:val="049D1DF4"/>
    <w:rsid w:val="049D1F36"/>
    <w:rsid w:val="04B14598"/>
    <w:rsid w:val="04BC0FEC"/>
    <w:rsid w:val="04C404B5"/>
    <w:rsid w:val="04CB2C56"/>
    <w:rsid w:val="04D30B3F"/>
    <w:rsid w:val="04E7212F"/>
    <w:rsid w:val="04EA1416"/>
    <w:rsid w:val="04EF59D1"/>
    <w:rsid w:val="04F72C5C"/>
    <w:rsid w:val="04FD4E03"/>
    <w:rsid w:val="05023B6F"/>
    <w:rsid w:val="05067A3E"/>
    <w:rsid w:val="05092CD1"/>
    <w:rsid w:val="050A57B4"/>
    <w:rsid w:val="050D67D9"/>
    <w:rsid w:val="05145FDB"/>
    <w:rsid w:val="051C00DD"/>
    <w:rsid w:val="052338C5"/>
    <w:rsid w:val="052E7DE9"/>
    <w:rsid w:val="052F7377"/>
    <w:rsid w:val="05490568"/>
    <w:rsid w:val="054E2F54"/>
    <w:rsid w:val="0556567A"/>
    <w:rsid w:val="05766F51"/>
    <w:rsid w:val="057D42F0"/>
    <w:rsid w:val="05873C21"/>
    <w:rsid w:val="05B969B3"/>
    <w:rsid w:val="05BB48D6"/>
    <w:rsid w:val="05BD2396"/>
    <w:rsid w:val="05DC0A20"/>
    <w:rsid w:val="05E03C0B"/>
    <w:rsid w:val="05F00679"/>
    <w:rsid w:val="05FA24A8"/>
    <w:rsid w:val="060B57E8"/>
    <w:rsid w:val="060D1658"/>
    <w:rsid w:val="061522D0"/>
    <w:rsid w:val="06195A58"/>
    <w:rsid w:val="061E1135"/>
    <w:rsid w:val="06274478"/>
    <w:rsid w:val="06294CB0"/>
    <w:rsid w:val="062A241C"/>
    <w:rsid w:val="06321829"/>
    <w:rsid w:val="06505B4F"/>
    <w:rsid w:val="065C6CFD"/>
    <w:rsid w:val="06613BC7"/>
    <w:rsid w:val="066652C1"/>
    <w:rsid w:val="06682785"/>
    <w:rsid w:val="06721E12"/>
    <w:rsid w:val="067609CA"/>
    <w:rsid w:val="06783F44"/>
    <w:rsid w:val="068C090A"/>
    <w:rsid w:val="06931805"/>
    <w:rsid w:val="069E79DB"/>
    <w:rsid w:val="06B120FE"/>
    <w:rsid w:val="06BB644B"/>
    <w:rsid w:val="06BE1ADE"/>
    <w:rsid w:val="06C2041E"/>
    <w:rsid w:val="06C41534"/>
    <w:rsid w:val="06D624A9"/>
    <w:rsid w:val="06D737D3"/>
    <w:rsid w:val="06E213BE"/>
    <w:rsid w:val="06E456CE"/>
    <w:rsid w:val="06E75DDC"/>
    <w:rsid w:val="06F75A98"/>
    <w:rsid w:val="06F77C5C"/>
    <w:rsid w:val="06F84A18"/>
    <w:rsid w:val="06F91994"/>
    <w:rsid w:val="06FD01CB"/>
    <w:rsid w:val="07053883"/>
    <w:rsid w:val="07071EEC"/>
    <w:rsid w:val="07093AFD"/>
    <w:rsid w:val="071000D7"/>
    <w:rsid w:val="07275FD5"/>
    <w:rsid w:val="07362169"/>
    <w:rsid w:val="073C142F"/>
    <w:rsid w:val="074D51BB"/>
    <w:rsid w:val="07610E7C"/>
    <w:rsid w:val="07617682"/>
    <w:rsid w:val="077E3528"/>
    <w:rsid w:val="07907A7C"/>
    <w:rsid w:val="07914CA8"/>
    <w:rsid w:val="07987194"/>
    <w:rsid w:val="079C558D"/>
    <w:rsid w:val="07A1260A"/>
    <w:rsid w:val="07A7570B"/>
    <w:rsid w:val="07A86BC0"/>
    <w:rsid w:val="07B375B1"/>
    <w:rsid w:val="07E37F1A"/>
    <w:rsid w:val="07EA06D8"/>
    <w:rsid w:val="07EA4AA0"/>
    <w:rsid w:val="07F319E6"/>
    <w:rsid w:val="07F37DB7"/>
    <w:rsid w:val="07F96EF4"/>
    <w:rsid w:val="081927FC"/>
    <w:rsid w:val="081D7650"/>
    <w:rsid w:val="083C04CA"/>
    <w:rsid w:val="083E4432"/>
    <w:rsid w:val="08461599"/>
    <w:rsid w:val="08564D7A"/>
    <w:rsid w:val="086A38FE"/>
    <w:rsid w:val="086B637D"/>
    <w:rsid w:val="08723EAD"/>
    <w:rsid w:val="08730E67"/>
    <w:rsid w:val="08752B58"/>
    <w:rsid w:val="088F6915"/>
    <w:rsid w:val="089305EA"/>
    <w:rsid w:val="08A15DF8"/>
    <w:rsid w:val="08A32304"/>
    <w:rsid w:val="08C40234"/>
    <w:rsid w:val="08D25283"/>
    <w:rsid w:val="08D948CA"/>
    <w:rsid w:val="08E63620"/>
    <w:rsid w:val="08E86B03"/>
    <w:rsid w:val="08EC2CB0"/>
    <w:rsid w:val="08F16FBA"/>
    <w:rsid w:val="08F72679"/>
    <w:rsid w:val="0909178E"/>
    <w:rsid w:val="091226EC"/>
    <w:rsid w:val="091D679D"/>
    <w:rsid w:val="09260ED4"/>
    <w:rsid w:val="0930331F"/>
    <w:rsid w:val="0935436E"/>
    <w:rsid w:val="09366956"/>
    <w:rsid w:val="09394134"/>
    <w:rsid w:val="09394DFF"/>
    <w:rsid w:val="094D79CF"/>
    <w:rsid w:val="094E50E2"/>
    <w:rsid w:val="0958700F"/>
    <w:rsid w:val="095D0457"/>
    <w:rsid w:val="096359F3"/>
    <w:rsid w:val="096B280A"/>
    <w:rsid w:val="096E224D"/>
    <w:rsid w:val="0972320A"/>
    <w:rsid w:val="09840174"/>
    <w:rsid w:val="098C0F2F"/>
    <w:rsid w:val="09A02A75"/>
    <w:rsid w:val="09A41295"/>
    <w:rsid w:val="09AC44AA"/>
    <w:rsid w:val="09B02D44"/>
    <w:rsid w:val="09B83C79"/>
    <w:rsid w:val="09B93BD3"/>
    <w:rsid w:val="09C120A6"/>
    <w:rsid w:val="09C92FBF"/>
    <w:rsid w:val="09CD2EA4"/>
    <w:rsid w:val="09DF22A7"/>
    <w:rsid w:val="09F772BB"/>
    <w:rsid w:val="09FC5C2F"/>
    <w:rsid w:val="0A0A56B9"/>
    <w:rsid w:val="0A0D35C0"/>
    <w:rsid w:val="0A2A79DC"/>
    <w:rsid w:val="0A3603EC"/>
    <w:rsid w:val="0A3F3752"/>
    <w:rsid w:val="0A481E6C"/>
    <w:rsid w:val="0A4B08DB"/>
    <w:rsid w:val="0A4B6101"/>
    <w:rsid w:val="0A522CFE"/>
    <w:rsid w:val="0A5B6066"/>
    <w:rsid w:val="0A631701"/>
    <w:rsid w:val="0A6413E8"/>
    <w:rsid w:val="0A70503F"/>
    <w:rsid w:val="0A7878BE"/>
    <w:rsid w:val="0A8F0586"/>
    <w:rsid w:val="0A937569"/>
    <w:rsid w:val="0AA3646B"/>
    <w:rsid w:val="0AA429E7"/>
    <w:rsid w:val="0AA44EE2"/>
    <w:rsid w:val="0AAC5B9D"/>
    <w:rsid w:val="0AAE2D56"/>
    <w:rsid w:val="0AAF7D66"/>
    <w:rsid w:val="0AB34A09"/>
    <w:rsid w:val="0AB753BE"/>
    <w:rsid w:val="0ABE4480"/>
    <w:rsid w:val="0ABF36BE"/>
    <w:rsid w:val="0ACE1B7A"/>
    <w:rsid w:val="0AD4520F"/>
    <w:rsid w:val="0AE46BCE"/>
    <w:rsid w:val="0AEA2F37"/>
    <w:rsid w:val="0AF7350B"/>
    <w:rsid w:val="0B0A037E"/>
    <w:rsid w:val="0B0D2E4D"/>
    <w:rsid w:val="0B0E781A"/>
    <w:rsid w:val="0B172C94"/>
    <w:rsid w:val="0B1C65EC"/>
    <w:rsid w:val="0B1F62F5"/>
    <w:rsid w:val="0B3A31CC"/>
    <w:rsid w:val="0B3B3486"/>
    <w:rsid w:val="0B3F2834"/>
    <w:rsid w:val="0B5B335B"/>
    <w:rsid w:val="0B602BA6"/>
    <w:rsid w:val="0B671DE2"/>
    <w:rsid w:val="0B71069A"/>
    <w:rsid w:val="0B773E2A"/>
    <w:rsid w:val="0B783C70"/>
    <w:rsid w:val="0B7C4B0C"/>
    <w:rsid w:val="0B9A13E8"/>
    <w:rsid w:val="0BA01E9F"/>
    <w:rsid w:val="0BB878C6"/>
    <w:rsid w:val="0BB90B86"/>
    <w:rsid w:val="0BBA0995"/>
    <w:rsid w:val="0BC54853"/>
    <w:rsid w:val="0BD13387"/>
    <w:rsid w:val="0BD17F76"/>
    <w:rsid w:val="0BD437D5"/>
    <w:rsid w:val="0BDE2A9B"/>
    <w:rsid w:val="0BFE459E"/>
    <w:rsid w:val="0C0239CD"/>
    <w:rsid w:val="0C14604F"/>
    <w:rsid w:val="0C14781D"/>
    <w:rsid w:val="0C2273F1"/>
    <w:rsid w:val="0C2820CE"/>
    <w:rsid w:val="0C2F759E"/>
    <w:rsid w:val="0C3250BD"/>
    <w:rsid w:val="0C360C0C"/>
    <w:rsid w:val="0C363C81"/>
    <w:rsid w:val="0C55263E"/>
    <w:rsid w:val="0C5C7CC1"/>
    <w:rsid w:val="0C6008CA"/>
    <w:rsid w:val="0C695B25"/>
    <w:rsid w:val="0C775615"/>
    <w:rsid w:val="0C7A644B"/>
    <w:rsid w:val="0C7E7DDA"/>
    <w:rsid w:val="0C804F56"/>
    <w:rsid w:val="0C806E36"/>
    <w:rsid w:val="0C877047"/>
    <w:rsid w:val="0C98415F"/>
    <w:rsid w:val="0C9E4A7C"/>
    <w:rsid w:val="0CA76FA4"/>
    <w:rsid w:val="0CAE385B"/>
    <w:rsid w:val="0CC14BDF"/>
    <w:rsid w:val="0CD51B2B"/>
    <w:rsid w:val="0CD744AC"/>
    <w:rsid w:val="0CE301AB"/>
    <w:rsid w:val="0CEE1354"/>
    <w:rsid w:val="0CF171ED"/>
    <w:rsid w:val="0D01122B"/>
    <w:rsid w:val="0D0302EF"/>
    <w:rsid w:val="0D0F5438"/>
    <w:rsid w:val="0D142110"/>
    <w:rsid w:val="0D15073F"/>
    <w:rsid w:val="0D154724"/>
    <w:rsid w:val="0D163F7C"/>
    <w:rsid w:val="0D1B695F"/>
    <w:rsid w:val="0D265343"/>
    <w:rsid w:val="0D28603C"/>
    <w:rsid w:val="0D296DE3"/>
    <w:rsid w:val="0D2A5A0E"/>
    <w:rsid w:val="0D37695A"/>
    <w:rsid w:val="0D386CEC"/>
    <w:rsid w:val="0D3E5403"/>
    <w:rsid w:val="0D4044EA"/>
    <w:rsid w:val="0D5B4A2E"/>
    <w:rsid w:val="0D5E76E7"/>
    <w:rsid w:val="0D611B52"/>
    <w:rsid w:val="0D7E1119"/>
    <w:rsid w:val="0D8E4412"/>
    <w:rsid w:val="0D8E5825"/>
    <w:rsid w:val="0D904269"/>
    <w:rsid w:val="0D9B5C07"/>
    <w:rsid w:val="0DBD4CB1"/>
    <w:rsid w:val="0DE008A2"/>
    <w:rsid w:val="0DEB4616"/>
    <w:rsid w:val="0DF72FBD"/>
    <w:rsid w:val="0DFD6236"/>
    <w:rsid w:val="0E046C74"/>
    <w:rsid w:val="0E0A2593"/>
    <w:rsid w:val="0E1512B9"/>
    <w:rsid w:val="0E2C1C6C"/>
    <w:rsid w:val="0E3241F4"/>
    <w:rsid w:val="0E3E75C0"/>
    <w:rsid w:val="0E524A33"/>
    <w:rsid w:val="0E821E91"/>
    <w:rsid w:val="0E8624DE"/>
    <w:rsid w:val="0E8D4754"/>
    <w:rsid w:val="0E910A5D"/>
    <w:rsid w:val="0E9506C7"/>
    <w:rsid w:val="0EA24254"/>
    <w:rsid w:val="0EA82E8B"/>
    <w:rsid w:val="0EAF2AA1"/>
    <w:rsid w:val="0EB34031"/>
    <w:rsid w:val="0EBA3B6D"/>
    <w:rsid w:val="0EC0305B"/>
    <w:rsid w:val="0EC05120"/>
    <w:rsid w:val="0EC26DFD"/>
    <w:rsid w:val="0EC940EA"/>
    <w:rsid w:val="0EDB4EAB"/>
    <w:rsid w:val="0EEF03F1"/>
    <w:rsid w:val="0EEF1AF7"/>
    <w:rsid w:val="0EFF1053"/>
    <w:rsid w:val="0F037193"/>
    <w:rsid w:val="0F0F5004"/>
    <w:rsid w:val="0F291F9D"/>
    <w:rsid w:val="0F2C3286"/>
    <w:rsid w:val="0F322F5B"/>
    <w:rsid w:val="0F361CC3"/>
    <w:rsid w:val="0F5825D7"/>
    <w:rsid w:val="0F5D1E31"/>
    <w:rsid w:val="0F6374EF"/>
    <w:rsid w:val="0F8252D1"/>
    <w:rsid w:val="0F86619D"/>
    <w:rsid w:val="0F97082B"/>
    <w:rsid w:val="0FA017DC"/>
    <w:rsid w:val="0FA32E66"/>
    <w:rsid w:val="0FB82BBC"/>
    <w:rsid w:val="0FBC4689"/>
    <w:rsid w:val="0FBE54C5"/>
    <w:rsid w:val="0FBF39ED"/>
    <w:rsid w:val="0FC864B4"/>
    <w:rsid w:val="0FCF4C35"/>
    <w:rsid w:val="0FDD0B5A"/>
    <w:rsid w:val="0FEF1BB8"/>
    <w:rsid w:val="0FFB3D28"/>
    <w:rsid w:val="100935AA"/>
    <w:rsid w:val="100E221B"/>
    <w:rsid w:val="101C388F"/>
    <w:rsid w:val="103041CA"/>
    <w:rsid w:val="103579BB"/>
    <w:rsid w:val="103A5D24"/>
    <w:rsid w:val="105109E4"/>
    <w:rsid w:val="105A074D"/>
    <w:rsid w:val="105C6A52"/>
    <w:rsid w:val="106731BC"/>
    <w:rsid w:val="10682D61"/>
    <w:rsid w:val="106949B6"/>
    <w:rsid w:val="106D06E6"/>
    <w:rsid w:val="10CE28F4"/>
    <w:rsid w:val="10D2267A"/>
    <w:rsid w:val="10D54286"/>
    <w:rsid w:val="10D719A5"/>
    <w:rsid w:val="10DA015E"/>
    <w:rsid w:val="10F72C0A"/>
    <w:rsid w:val="10F76EEF"/>
    <w:rsid w:val="11034887"/>
    <w:rsid w:val="110B0CD6"/>
    <w:rsid w:val="110D46B3"/>
    <w:rsid w:val="110E79F6"/>
    <w:rsid w:val="111D2BD1"/>
    <w:rsid w:val="112144A5"/>
    <w:rsid w:val="11256A5D"/>
    <w:rsid w:val="112940F5"/>
    <w:rsid w:val="112F2BFA"/>
    <w:rsid w:val="11306F0D"/>
    <w:rsid w:val="113A59FE"/>
    <w:rsid w:val="1148711D"/>
    <w:rsid w:val="114C4A69"/>
    <w:rsid w:val="115553E3"/>
    <w:rsid w:val="11655EBE"/>
    <w:rsid w:val="11686CB0"/>
    <w:rsid w:val="11691059"/>
    <w:rsid w:val="11722676"/>
    <w:rsid w:val="117715B9"/>
    <w:rsid w:val="117B0D8C"/>
    <w:rsid w:val="11A521B1"/>
    <w:rsid w:val="11A8752B"/>
    <w:rsid w:val="11AC7E2F"/>
    <w:rsid w:val="11C81ABF"/>
    <w:rsid w:val="11CC4559"/>
    <w:rsid w:val="11CD7198"/>
    <w:rsid w:val="11D0273B"/>
    <w:rsid w:val="11D533D6"/>
    <w:rsid w:val="11DB54D0"/>
    <w:rsid w:val="11E206A3"/>
    <w:rsid w:val="11F2270C"/>
    <w:rsid w:val="11F6274E"/>
    <w:rsid w:val="11FB2E27"/>
    <w:rsid w:val="120002D4"/>
    <w:rsid w:val="123038E0"/>
    <w:rsid w:val="12324D62"/>
    <w:rsid w:val="124B39FF"/>
    <w:rsid w:val="124F0F9F"/>
    <w:rsid w:val="12543C02"/>
    <w:rsid w:val="125A35EC"/>
    <w:rsid w:val="125B16E6"/>
    <w:rsid w:val="125E4D1C"/>
    <w:rsid w:val="12630024"/>
    <w:rsid w:val="126E6705"/>
    <w:rsid w:val="127311AF"/>
    <w:rsid w:val="1292339A"/>
    <w:rsid w:val="129618C0"/>
    <w:rsid w:val="12A244E9"/>
    <w:rsid w:val="12AE298A"/>
    <w:rsid w:val="12B14F97"/>
    <w:rsid w:val="12BB2AC3"/>
    <w:rsid w:val="12C06B14"/>
    <w:rsid w:val="12CD1380"/>
    <w:rsid w:val="12D11443"/>
    <w:rsid w:val="12D772F2"/>
    <w:rsid w:val="12D9589A"/>
    <w:rsid w:val="12DB7D35"/>
    <w:rsid w:val="12F809D3"/>
    <w:rsid w:val="12FD04DD"/>
    <w:rsid w:val="12FE2782"/>
    <w:rsid w:val="1306450C"/>
    <w:rsid w:val="13092799"/>
    <w:rsid w:val="130B524C"/>
    <w:rsid w:val="130F4DCE"/>
    <w:rsid w:val="1310261B"/>
    <w:rsid w:val="13232B89"/>
    <w:rsid w:val="13356C83"/>
    <w:rsid w:val="133F4C3A"/>
    <w:rsid w:val="13525C48"/>
    <w:rsid w:val="13541895"/>
    <w:rsid w:val="135962FB"/>
    <w:rsid w:val="135B2FBC"/>
    <w:rsid w:val="13666D9F"/>
    <w:rsid w:val="136A2E67"/>
    <w:rsid w:val="136C4B49"/>
    <w:rsid w:val="1372198F"/>
    <w:rsid w:val="13737182"/>
    <w:rsid w:val="138D4D76"/>
    <w:rsid w:val="13947D36"/>
    <w:rsid w:val="13A61647"/>
    <w:rsid w:val="13AD0EAD"/>
    <w:rsid w:val="13B567D8"/>
    <w:rsid w:val="13BE0279"/>
    <w:rsid w:val="13C4099B"/>
    <w:rsid w:val="13C64A6C"/>
    <w:rsid w:val="13D03886"/>
    <w:rsid w:val="13DC10BF"/>
    <w:rsid w:val="13E5183B"/>
    <w:rsid w:val="13E558A2"/>
    <w:rsid w:val="14025AF6"/>
    <w:rsid w:val="140D0901"/>
    <w:rsid w:val="14107E48"/>
    <w:rsid w:val="141E2CF7"/>
    <w:rsid w:val="142467C0"/>
    <w:rsid w:val="143F7423"/>
    <w:rsid w:val="144548A9"/>
    <w:rsid w:val="14543A5E"/>
    <w:rsid w:val="14584F97"/>
    <w:rsid w:val="146C6CC8"/>
    <w:rsid w:val="148132AA"/>
    <w:rsid w:val="14814826"/>
    <w:rsid w:val="148A06AB"/>
    <w:rsid w:val="148E3DCA"/>
    <w:rsid w:val="149941A7"/>
    <w:rsid w:val="149B6C0D"/>
    <w:rsid w:val="14A00B4D"/>
    <w:rsid w:val="14A2793B"/>
    <w:rsid w:val="14A40D04"/>
    <w:rsid w:val="14C41406"/>
    <w:rsid w:val="14EC3868"/>
    <w:rsid w:val="14F7354F"/>
    <w:rsid w:val="14F7759A"/>
    <w:rsid w:val="14F87C7A"/>
    <w:rsid w:val="14FF24E6"/>
    <w:rsid w:val="15081CB9"/>
    <w:rsid w:val="150E1546"/>
    <w:rsid w:val="15144A4E"/>
    <w:rsid w:val="152A0AF3"/>
    <w:rsid w:val="153921E0"/>
    <w:rsid w:val="154063F3"/>
    <w:rsid w:val="15451AFF"/>
    <w:rsid w:val="154C266A"/>
    <w:rsid w:val="15585CD3"/>
    <w:rsid w:val="15682E2B"/>
    <w:rsid w:val="157A2B3C"/>
    <w:rsid w:val="157F329D"/>
    <w:rsid w:val="1587038E"/>
    <w:rsid w:val="15945FA0"/>
    <w:rsid w:val="15A71BE7"/>
    <w:rsid w:val="15AE2033"/>
    <w:rsid w:val="15BB1936"/>
    <w:rsid w:val="15BD216B"/>
    <w:rsid w:val="15C138F3"/>
    <w:rsid w:val="15D122BF"/>
    <w:rsid w:val="15D33DE7"/>
    <w:rsid w:val="15D73E0F"/>
    <w:rsid w:val="16096110"/>
    <w:rsid w:val="161E1E16"/>
    <w:rsid w:val="162968AC"/>
    <w:rsid w:val="162D5E38"/>
    <w:rsid w:val="16331386"/>
    <w:rsid w:val="16405EF7"/>
    <w:rsid w:val="164262C1"/>
    <w:rsid w:val="16437554"/>
    <w:rsid w:val="164C117E"/>
    <w:rsid w:val="165322D8"/>
    <w:rsid w:val="16617E54"/>
    <w:rsid w:val="16655FE9"/>
    <w:rsid w:val="16766361"/>
    <w:rsid w:val="1680407A"/>
    <w:rsid w:val="168C1430"/>
    <w:rsid w:val="16A26B83"/>
    <w:rsid w:val="16A71A00"/>
    <w:rsid w:val="16A843D2"/>
    <w:rsid w:val="16AA1C01"/>
    <w:rsid w:val="16C12104"/>
    <w:rsid w:val="16C27441"/>
    <w:rsid w:val="16C502C6"/>
    <w:rsid w:val="16C53D60"/>
    <w:rsid w:val="16CA351D"/>
    <w:rsid w:val="16D65B82"/>
    <w:rsid w:val="16D9643A"/>
    <w:rsid w:val="16E6226A"/>
    <w:rsid w:val="16EC5272"/>
    <w:rsid w:val="16EE2F79"/>
    <w:rsid w:val="170346FE"/>
    <w:rsid w:val="17147EFE"/>
    <w:rsid w:val="17173695"/>
    <w:rsid w:val="171E10AD"/>
    <w:rsid w:val="1723341E"/>
    <w:rsid w:val="172E6B5E"/>
    <w:rsid w:val="173068B1"/>
    <w:rsid w:val="173A57B8"/>
    <w:rsid w:val="173C7946"/>
    <w:rsid w:val="174F2CC4"/>
    <w:rsid w:val="1752789E"/>
    <w:rsid w:val="17577A60"/>
    <w:rsid w:val="177158CC"/>
    <w:rsid w:val="177E15D6"/>
    <w:rsid w:val="179C2373"/>
    <w:rsid w:val="17A51F67"/>
    <w:rsid w:val="17B953F3"/>
    <w:rsid w:val="17C0399D"/>
    <w:rsid w:val="17C120CB"/>
    <w:rsid w:val="17C86D05"/>
    <w:rsid w:val="17D8151A"/>
    <w:rsid w:val="17DF71B9"/>
    <w:rsid w:val="18042206"/>
    <w:rsid w:val="180B5ADD"/>
    <w:rsid w:val="180C2EE7"/>
    <w:rsid w:val="18210148"/>
    <w:rsid w:val="18304F7C"/>
    <w:rsid w:val="183E6574"/>
    <w:rsid w:val="18522623"/>
    <w:rsid w:val="18653EFB"/>
    <w:rsid w:val="18662ABB"/>
    <w:rsid w:val="18671D3B"/>
    <w:rsid w:val="18702B9B"/>
    <w:rsid w:val="18712C23"/>
    <w:rsid w:val="18726510"/>
    <w:rsid w:val="18733A58"/>
    <w:rsid w:val="18881CB4"/>
    <w:rsid w:val="1888270D"/>
    <w:rsid w:val="189F284B"/>
    <w:rsid w:val="18A53194"/>
    <w:rsid w:val="18A65CA4"/>
    <w:rsid w:val="18AA6F31"/>
    <w:rsid w:val="18BA2DE2"/>
    <w:rsid w:val="18BC3AD4"/>
    <w:rsid w:val="18C04D27"/>
    <w:rsid w:val="18CA5FF0"/>
    <w:rsid w:val="18CF4AC4"/>
    <w:rsid w:val="18E364A5"/>
    <w:rsid w:val="18EB525A"/>
    <w:rsid w:val="18F20AFB"/>
    <w:rsid w:val="18FD51E2"/>
    <w:rsid w:val="18FD6350"/>
    <w:rsid w:val="19020982"/>
    <w:rsid w:val="19047C5B"/>
    <w:rsid w:val="19063631"/>
    <w:rsid w:val="19170138"/>
    <w:rsid w:val="191B3081"/>
    <w:rsid w:val="19254303"/>
    <w:rsid w:val="192A3F0F"/>
    <w:rsid w:val="192B7AB8"/>
    <w:rsid w:val="193308D1"/>
    <w:rsid w:val="19354D41"/>
    <w:rsid w:val="19383276"/>
    <w:rsid w:val="193A1CC9"/>
    <w:rsid w:val="193F08F1"/>
    <w:rsid w:val="19530509"/>
    <w:rsid w:val="196E7061"/>
    <w:rsid w:val="19783399"/>
    <w:rsid w:val="1986763E"/>
    <w:rsid w:val="198837D0"/>
    <w:rsid w:val="199470D8"/>
    <w:rsid w:val="199E4C13"/>
    <w:rsid w:val="19A70A0F"/>
    <w:rsid w:val="19AC5124"/>
    <w:rsid w:val="19B25FC3"/>
    <w:rsid w:val="19B81DC9"/>
    <w:rsid w:val="19D219E1"/>
    <w:rsid w:val="19D871FC"/>
    <w:rsid w:val="19D90D82"/>
    <w:rsid w:val="19E44DA8"/>
    <w:rsid w:val="19ED2002"/>
    <w:rsid w:val="19ED6873"/>
    <w:rsid w:val="19F82CEA"/>
    <w:rsid w:val="19FB5C65"/>
    <w:rsid w:val="1A013E26"/>
    <w:rsid w:val="1A0D7A3E"/>
    <w:rsid w:val="1A0E328C"/>
    <w:rsid w:val="1A167A73"/>
    <w:rsid w:val="1A1960DC"/>
    <w:rsid w:val="1A1B71D7"/>
    <w:rsid w:val="1A32116F"/>
    <w:rsid w:val="1A3F6C39"/>
    <w:rsid w:val="1A4C0767"/>
    <w:rsid w:val="1A53515C"/>
    <w:rsid w:val="1A543B91"/>
    <w:rsid w:val="1A6125F2"/>
    <w:rsid w:val="1A63665D"/>
    <w:rsid w:val="1A6F0015"/>
    <w:rsid w:val="1A7447DA"/>
    <w:rsid w:val="1A8233A5"/>
    <w:rsid w:val="1A8A2B1D"/>
    <w:rsid w:val="1A98602C"/>
    <w:rsid w:val="1AA920DA"/>
    <w:rsid w:val="1AD003D6"/>
    <w:rsid w:val="1AD06A5D"/>
    <w:rsid w:val="1AD70802"/>
    <w:rsid w:val="1ADE1F0B"/>
    <w:rsid w:val="1AE1508C"/>
    <w:rsid w:val="1AEA561B"/>
    <w:rsid w:val="1AF32CF4"/>
    <w:rsid w:val="1AFB749D"/>
    <w:rsid w:val="1AFE4BFE"/>
    <w:rsid w:val="1B001495"/>
    <w:rsid w:val="1B020733"/>
    <w:rsid w:val="1B323090"/>
    <w:rsid w:val="1B4C0D69"/>
    <w:rsid w:val="1B5A147F"/>
    <w:rsid w:val="1B5C3CD8"/>
    <w:rsid w:val="1B5F7EBD"/>
    <w:rsid w:val="1B730FBA"/>
    <w:rsid w:val="1B861FC4"/>
    <w:rsid w:val="1B92166F"/>
    <w:rsid w:val="1B94749F"/>
    <w:rsid w:val="1BAB44D3"/>
    <w:rsid w:val="1BAE6646"/>
    <w:rsid w:val="1BC23D87"/>
    <w:rsid w:val="1BC325CB"/>
    <w:rsid w:val="1BC915AB"/>
    <w:rsid w:val="1BD33B7E"/>
    <w:rsid w:val="1BD729CF"/>
    <w:rsid w:val="1BDC0F1D"/>
    <w:rsid w:val="1BE07C46"/>
    <w:rsid w:val="1BE660DB"/>
    <w:rsid w:val="1C013DB0"/>
    <w:rsid w:val="1C015C5F"/>
    <w:rsid w:val="1C057BD0"/>
    <w:rsid w:val="1C1B081F"/>
    <w:rsid w:val="1C1B7408"/>
    <w:rsid w:val="1C1D5618"/>
    <w:rsid w:val="1C1D5E4D"/>
    <w:rsid w:val="1C3173F8"/>
    <w:rsid w:val="1C40430A"/>
    <w:rsid w:val="1C4B327A"/>
    <w:rsid w:val="1C4D6BC4"/>
    <w:rsid w:val="1C4F703E"/>
    <w:rsid w:val="1C661728"/>
    <w:rsid w:val="1C677F2D"/>
    <w:rsid w:val="1C7020B2"/>
    <w:rsid w:val="1C7C28FE"/>
    <w:rsid w:val="1C8D3A58"/>
    <w:rsid w:val="1C8D5ECE"/>
    <w:rsid w:val="1C8E2E5B"/>
    <w:rsid w:val="1C8E7E12"/>
    <w:rsid w:val="1C9E2CAC"/>
    <w:rsid w:val="1CA24B83"/>
    <w:rsid w:val="1CA67605"/>
    <w:rsid w:val="1CA70DB1"/>
    <w:rsid w:val="1CAD68B9"/>
    <w:rsid w:val="1CB24155"/>
    <w:rsid w:val="1CB81B8B"/>
    <w:rsid w:val="1CC71E0F"/>
    <w:rsid w:val="1CD50946"/>
    <w:rsid w:val="1CD53CB6"/>
    <w:rsid w:val="1CD9226F"/>
    <w:rsid w:val="1CDA2E0B"/>
    <w:rsid w:val="1CDA4ACD"/>
    <w:rsid w:val="1CE76F7B"/>
    <w:rsid w:val="1CE77104"/>
    <w:rsid w:val="1CEC1F81"/>
    <w:rsid w:val="1CFA3097"/>
    <w:rsid w:val="1D156997"/>
    <w:rsid w:val="1D1F5764"/>
    <w:rsid w:val="1D1F64BE"/>
    <w:rsid w:val="1D217A0F"/>
    <w:rsid w:val="1D323E43"/>
    <w:rsid w:val="1D345826"/>
    <w:rsid w:val="1D365D00"/>
    <w:rsid w:val="1D3868DB"/>
    <w:rsid w:val="1D5E21F8"/>
    <w:rsid w:val="1D6B03E8"/>
    <w:rsid w:val="1D6D54D9"/>
    <w:rsid w:val="1D6D72B7"/>
    <w:rsid w:val="1D7806E8"/>
    <w:rsid w:val="1D7939B9"/>
    <w:rsid w:val="1D7C0366"/>
    <w:rsid w:val="1D8009CF"/>
    <w:rsid w:val="1D896015"/>
    <w:rsid w:val="1D9474D1"/>
    <w:rsid w:val="1DAE09EA"/>
    <w:rsid w:val="1DB71586"/>
    <w:rsid w:val="1DC03242"/>
    <w:rsid w:val="1DCE2818"/>
    <w:rsid w:val="1DD66728"/>
    <w:rsid w:val="1DDA37AA"/>
    <w:rsid w:val="1DDE01A1"/>
    <w:rsid w:val="1DDF6BF1"/>
    <w:rsid w:val="1DE261F8"/>
    <w:rsid w:val="1DE422F7"/>
    <w:rsid w:val="1DE46380"/>
    <w:rsid w:val="1DEC0F21"/>
    <w:rsid w:val="1DFE177C"/>
    <w:rsid w:val="1E026ABD"/>
    <w:rsid w:val="1E0C3054"/>
    <w:rsid w:val="1E113FF4"/>
    <w:rsid w:val="1E1E6C36"/>
    <w:rsid w:val="1E201AE4"/>
    <w:rsid w:val="1E2527AC"/>
    <w:rsid w:val="1E27054B"/>
    <w:rsid w:val="1E2F06AF"/>
    <w:rsid w:val="1E4038BF"/>
    <w:rsid w:val="1E5B0DF5"/>
    <w:rsid w:val="1E745696"/>
    <w:rsid w:val="1E7B16B2"/>
    <w:rsid w:val="1E7F4C6A"/>
    <w:rsid w:val="1E926A05"/>
    <w:rsid w:val="1E964B22"/>
    <w:rsid w:val="1E985748"/>
    <w:rsid w:val="1EA3650A"/>
    <w:rsid w:val="1EAC412A"/>
    <w:rsid w:val="1EB61C86"/>
    <w:rsid w:val="1EBD253E"/>
    <w:rsid w:val="1EC70C89"/>
    <w:rsid w:val="1ED34179"/>
    <w:rsid w:val="1ED542CB"/>
    <w:rsid w:val="1EDD659D"/>
    <w:rsid w:val="1EEF5962"/>
    <w:rsid w:val="1EF132E3"/>
    <w:rsid w:val="1F0105B5"/>
    <w:rsid w:val="1F0233D4"/>
    <w:rsid w:val="1F05089E"/>
    <w:rsid w:val="1F074C09"/>
    <w:rsid w:val="1F085BD9"/>
    <w:rsid w:val="1F0D1BA4"/>
    <w:rsid w:val="1F1172AC"/>
    <w:rsid w:val="1F1F681B"/>
    <w:rsid w:val="1F22514C"/>
    <w:rsid w:val="1F3158B0"/>
    <w:rsid w:val="1F32241A"/>
    <w:rsid w:val="1F3410FC"/>
    <w:rsid w:val="1F3429E4"/>
    <w:rsid w:val="1F3B563F"/>
    <w:rsid w:val="1F5C7043"/>
    <w:rsid w:val="1F632705"/>
    <w:rsid w:val="1F732367"/>
    <w:rsid w:val="1F7E6D20"/>
    <w:rsid w:val="1F814C0C"/>
    <w:rsid w:val="1F8D3CBD"/>
    <w:rsid w:val="1F956529"/>
    <w:rsid w:val="1F96022A"/>
    <w:rsid w:val="1FAF2BA0"/>
    <w:rsid w:val="1FB64A08"/>
    <w:rsid w:val="1FC16986"/>
    <w:rsid w:val="1FD6702F"/>
    <w:rsid w:val="1FDD651D"/>
    <w:rsid w:val="1FE673A2"/>
    <w:rsid w:val="1FEA66A3"/>
    <w:rsid w:val="1FEC65AF"/>
    <w:rsid w:val="1FF468DA"/>
    <w:rsid w:val="1FF6780E"/>
    <w:rsid w:val="20062969"/>
    <w:rsid w:val="200D0260"/>
    <w:rsid w:val="201B735F"/>
    <w:rsid w:val="201C2597"/>
    <w:rsid w:val="20225D32"/>
    <w:rsid w:val="202C43A0"/>
    <w:rsid w:val="2038623D"/>
    <w:rsid w:val="20487AEE"/>
    <w:rsid w:val="20513A3C"/>
    <w:rsid w:val="206E0C88"/>
    <w:rsid w:val="207759DE"/>
    <w:rsid w:val="2089094D"/>
    <w:rsid w:val="209A3718"/>
    <w:rsid w:val="209C5B5A"/>
    <w:rsid w:val="209D487B"/>
    <w:rsid w:val="209E40FF"/>
    <w:rsid w:val="20A14683"/>
    <w:rsid w:val="20C7112F"/>
    <w:rsid w:val="20DD4C4D"/>
    <w:rsid w:val="20F81C87"/>
    <w:rsid w:val="20F97957"/>
    <w:rsid w:val="20FA58EE"/>
    <w:rsid w:val="2103015E"/>
    <w:rsid w:val="210C170E"/>
    <w:rsid w:val="210C64D6"/>
    <w:rsid w:val="21167A84"/>
    <w:rsid w:val="211702E6"/>
    <w:rsid w:val="211D4B0E"/>
    <w:rsid w:val="21200828"/>
    <w:rsid w:val="213470EA"/>
    <w:rsid w:val="213A34AC"/>
    <w:rsid w:val="21470D76"/>
    <w:rsid w:val="21627922"/>
    <w:rsid w:val="21776988"/>
    <w:rsid w:val="217E0BDF"/>
    <w:rsid w:val="21803811"/>
    <w:rsid w:val="218A1243"/>
    <w:rsid w:val="21A56AE0"/>
    <w:rsid w:val="21CD1258"/>
    <w:rsid w:val="21D108B0"/>
    <w:rsid w:val="21D44167"/>
    <w:rsid w:val="21D55BF0"/>
    <w:rsid w:val="21D94F51"/>
    <w:rsid w:val="21DE51C9"/>
    <w:rsid w:val="21E22CEA"/>
    <w:rsid w:val="21E8152C"/>
    <w:rsid w:val="21F254C0"/>
    <w:rsid w:val="21F53216"/>
    <w:rsid w:val="21F629AE"/>
    <w:rsid w:val="21F85B8D"/>
    <w:rsid w:val="21FE1AEF"/>
    <w:rsid w:val="221636EF"/>
    <w:rsid w:val="22384D9E"/>
    <w:rsid w:val="223E5678"/>
    <w:rsid w:val="22423423"/>
    <w:rsid w:val="224616BF"/>
    <w:rsid w:val="224A7372"/>
    <w:rsid w:val="224B72C0"/>
    <w:rsid w:val="224D0523"/>
    <w:rsid w:val="224F2ECB"/>
    <w:rsid w:val="22595692"/>
    <w:rsid w:val="228634B3"/>
    <w:rsid w:val="22927225"/>
    <w:rsid w:val="22996AC6"/>
    <w:rsid w:val="229D6BA8"/>
    <w:rsid w:val="22A9206B"/>
    <w:rsid w:val="22B6619A"/>
    <w:rsid w:val="22C758F0"/>
    <w:rsid w:val="22CC2A26"/>
    <w:rsid w:val="22D00DD8"/>
    <w:rsid w:val="22D55446"/>
    <w:rsid w:val="22D909D3"/>
    <w:rsid w:val="22F231A2"/>
    <w:rsid w:val="22F240AB"/>
    <w:rsid w:val="22F97D63"/>
    <w:rsid w:val="230E4EC1"/>
    <w:rsid w:val="23101F2E"/>
    <w:rsid w:val="231337FF"/>
    <w:rsid w:val="23155347"/>
    <w:rsid w:val="23361412"/>
    <w:rsid w:val="233E0FB8"/>
    <w:rsid w:val="23463515"/>
    <w:rsid w:val="23512EF0"/>
    <w:rsid w:val="23526931"/>
    <w:rsid w:val="235D2B3D"/>
    <w:rsid w:val="236E1872"/>
    <w:rsid w:val="236F21C0"/>
    <w:rsid w:val="23854AFC"/>
    <w:rsid w:val="238A3A61"/>
    <w:rsid w:val="238C1246"/>
    <w:rsid w:val="23981364"/>
    <w:rsid w:val="23A20466"/>
    <w:rsid w:val="23AD0CD3"/>
    <w:rsid w:val="23AF2E12"/>
    <w:rsid w:val="23CE08DE"/>
    <w:rsid w:val="23E9373D"/>
    <w:rsid w:val="23EA7843"/>
    <w:rsid w:val="23FB5291"/>
    <w:rsid w:val="240A5666"/>
    <w:rsid w:val="24151A30"/>
    <w:rsid w:val="243674C1"/>
    <w:rsid w:val="243775AA"/>
    <w:rsid w:val="243A4FFE"/>
    <w:rsid w:val="243C50C4"/>
    <w:rsid w:val="24407957"/>
    <w:rsid w:val="244138C4"/>
    <w:rsid w:val="24456344"/>
    <w:rsid w:val="244B67B8"/>
    <w:rsid w:val="245E2EB0"/>
    <w:rsid w:val="245E6479"/>
    <w:rsid w:val="246A3AD3"/>
    <w:rsid w:val="248D3743"/>
    <w:rsid w:val="2494047A"/>
    <w:rsid w:val="249912EE"/>
    <w:rsid w:val="24D94A47"/>
    <w:rsid w:val="24E27EBC"/>
    <w:rsid w:val="24E73701"/>
    <w:rsid w:val="24ED4A1D"/>
    <w:rsid w:val="24F03545"/>
    <w:rsid w:val="24FA4FB3"/>
    <w:rsid w:val="24FD0132"/>
    <w:rsid w:val="24FE1255"/>
    <w:rsid w:val="250A7F60"/>
    <w:rsid w:val="250F69F1"/>
    <w:rsid w:val="25190627"/>
    <w:rsid w:val="251B5720"/>
    <w:rsid w:val="25285EEC"/>
    <w:rsid w:val="253121DC"/>
    <w:rsid w:val="25397C46"/>
    <w:rsid w:val="253C6727"/>
    <w:rsid w:val="25405F2A"/>
    <w:rsid w:val="255E6ECB"/>
    <w:rsid w:val="256363F0"/>
    <w:rsid w:val="25726B45"/>
    <w:rsid w:val="257470C7"/>
    <w:rsid w:val="257A57B5"/>
    <w:rsid w:val="258B2872"/>
    <w:rsid w:val="25915BD8"/>
    <w:rsid w:val="25952570"/>
    <w:rsid w:val="259C7C27"/>
    <w:rsid w:val="25A51CCF"/>
    <w:rsid w:val="25A742AA"/>
    <w:rsid w:val="25A827C8"/>
    <w:rsid w:val="25A920B4"/>
    <w:rsid w:val="25BD73D6"/>
    <w:rsid w:val="25BF5DF7"/>
    <w:rsid w:val="25C2583D"/>
    <w:rsid w:val="25C74149"/>
    <w:rsid w:val="25DD6CB7"/>
    <w:rsid w:val="25E633D7"/>
    <w:rsid w:val="25EE45FD"/>
    <w:rsid w:val="25F612C0"/>
    <w:rsid w:val="25F72C80"/>
    <w:rsid w:val="26011C3C"/>
    <w:rsid w:val="26026C80"/>
    <w:rsid w:val="260C5268"/>
    <w:rsid w:val="261044CE"/>
    <w:rsid w:val="26146435"/>
    <w:rsid w:val="264A6570"/>
    <w:rsid w:val="264B57DA"/>
    <w:rsid w:val="264C33FD"/>
    <w:rsid w:val="26500DC0"/>
    <w:rsid w:val="265F2B28"/>
    <w:rsid w:val="26624DDF"/>
    <w:rsid w:val="26633FB6"/>
    <w:rsid w:val="267C53DA"/>
    <w:rsid w:val="26815C8F"/>
    <w:rsid w:val="268338B6"/>
    <w:rsid w:val="26AB1FD1"/>
    <w:rsid w:val="26AE6DD4"/>
    <w:rsid w:val="26DE370F"/>
    <w:rsid w:val="26DF6380"/>
    <w:rsid w:val="26E649A4"/>
    <w:rsid w:val="26EF1BA9"/>
    <w:rsid w:val="26F50BDB"/>
    <w:rsid w:val="270E1E32"/>
    <w:rsid w:val="27130ACE"/>
    <w:rsid w:val="271433BD"/>
    <w:rsid w:val="272677BC"/>
    <w:rsid w:val="27283C0A"/>
    <w:rsid w:val="27294289"/>
    <w:rsid w:val="272D723C"/>
    <w:rsid w:val="27374DE7"/>
    <w:rsid w:val="273B2A76"/>
    <w:rsid w:val="273D098C"/>
    <w:rsid w:val="273E43AB"/>
    <w:rsid w:val="27455C11"/>
    <w:rsid w:val="274953D9"/>
    <w:rsid w:val="274A7C53"/>
    <w:rsid w:val="2750794F"/>
    <w:rsid w:val="275C55BF"/>
    <w:rsid w:val="276500BD"/>
    <w:rsid w:val="27742ED1"/>
    <w:rsid w:val="2781462E"/>
    <w:rsid w:val="279A5FD7"/>
    <w:rsid w:val="27A06016"/>
    <w:rsid w:val="27A365D2"/>
    <w:rsid w:val="27B45BAC"/>
    <w:rsid w:val="27B83B5E"/>
    <w:rsid w:val="27B94BDE"/>
    <w:rsid w:val="27D54F2C"/>
    <w:rsid w:val="27E31ACD"/>
    <w:rsid w:val="27EF2E91"/>
    <w:rsid w:val="27F10606"/>
    <w:rsid w:val="28017EE0"/>
    <w:rsid w:val="2805028C"/>
    <w:rsid w:val="28161F25"/>
    <w:rsid w:val="2817062E"/>
    <w:rsid w:val="2819769D"/>
    <w:rsid w:val="282345D4"/>
    <w:rsid w:val="28292E99"/>
    <w:rsid w:val="282A72D4"/>
    <w:rsid w:val="28541118"/>
    <w:rsid w:val="285F3DF5"/>
    <w:rsid w:val="28640DDD"/>
    <w:rsid w:val="287C35D4"/>
    <w:rsid w:val="28841CCC"/>
    <w:rsid w:val="288C3A34"/>
    <w:rsid w:val="288D4F9A"/>
    <w:rsid w:val="28970403"/>
    <w:rsid w:val="28AA11B7"/>
    <w:rsid w:val="28AE3ED9"/>
    <w:rsid w:val="28B34B19"/>
    <w:rsid w:val="28B50B6A"/>
    <w:rsid w:val="28C06C51"/>
    <w:rsid w:val="28CF201E"/>
    <w:rsid w:val="28DD37F9"/>
    <w:rsid w:val="28E86982"/>
    <w:rsid w:val="29024666"/>
    <w:rsid w:val="290C7824"/>
    <w:rsid w:val="290D27BA"/>
    <w:rsid w:val="29123842"/>
    <w:rsid w:val="29203F67"/>
    <w:rsid w:val="29215C3E"/>
    <w:rsid w:val="295D6C8D"/>
    <w:rsid w:val="29671C51"/>
    <w:rsid w:val="29706DC9"/>
    <w:rsid w:val="297A36FC"/>
    <w:rsid w:val="2988291C"/>
    <w:rsid w:val="298E2403"/>
    <w:rsid w:val="2992273E"/>
    <w:rsid w:val="29965126"/>
    <w:rsid w:val="299C6C00"/>
    <w:rsid w:val="29A071A9"/>
    <w:rsid w:val="29A814C5"/>
    <w:rsid w:val="29A904D6"/>
    <w:rsid w:val="29B92782"/>
    <w:rsid w:val="29C601D3"/>
    <w:rsid w:val="29D00BBE"/>
    <w:rsid w:val="29D34FAD"/>
    <w:rsid w:val="29DE6035"/>
    <w:rsid w:val="29E0151E"/>
    <w:rsid w:val="29E5333C"/>
    <w:rsid w:val="29ED66B9"/>
    <w:rsid w:val="29EE44E0"/>
    <w:rsid w:val="29FD77D4"/>
    <w:rsid w:val="29FF6D9B"/>
    <w:rsid w:val="2A045AFE"/>
    <w:rsid w:val="2A0A1487"/>
    <w:rsid w:val="2A0D54AD"/>
    <w:rsid w:val="2A1A0CEB"/>
    <w:rsid w:val="2A1D7677"/>
    <w:rsid w:val="2A2361E0"/>
    <w:rsid w:val="2A263200"/>
    <w:rsid w:val="2A27688E"/>
    <w:rsid w:val="2A2C2C75"/>
    <w:rsid w:val="2A2E1E49"/>
    <w:rsid w:val="2A2F0351"/>
    <w:rsid w:val="2A350ABA"/>
    <w:rsid w:val="2A3A291A"/>
    <w:rsid w:val="2A3F35DE"/>
    <w:rsid w:val="2A6110A7"/>
    <w:rsid w:val="2A73051F"/>
    <w:rsid w:val="2A893625"/>
    <w:rsid w:val="2A8A609B"/>
    <w:rsid w:val="2A912EF5"/>
    <w:rsid w:val="2AAF30C4"/>
    <w:rsid w:val="2AB0164F"/>
    <w:rsid w:val="2AB17355"/>
    <w:rsid w:val="2ABB0DF3"/>
    <w:rsid w:val="2AC70190"/>
    <w:rsid w:val="2ACD779E"/>
    <w:rsid w:val="2ADB0919"/>
    <w:rsid w:val="2AE37E8F"/>
    <w:rsid w:val="2AF145C3"/>
    <w:rsid w:val="2AF42DFD"/>
    <w:rsid w:val="2B053749"/>
    <w:rsid w:val="2B31411A"/>
    <w:rsid w:val="2B547A22"/>
    <w:rsid w:val="2B55667F"/>
    <w:rsid w:val="2B6F6516"/>
    <w:rsid w:val="2B8B2D9D"/>
    <w:rsid w:val="2B8C3E6A"/>
    <w:rsid w:val="2B8C6632"/>
    <w:rsid w:val="2B8D2005"/>
    <w:rsid w:val="2BA5776D"/>
    <w:rsid w:val="2BBF4E40"/>
    <w:rsid w:val="2BD47DFD"/>
    <w:rsid w:val="2BE152B9"/>
    <w:rsid w:val="2BEA443F"/>
    <w:rsid w:val="2BEB20E8"/>
    <w:rsid w:val="2C0637DD"/>
    <w:rsid w:val="2C082F54"/>
    <w:rsid w:val="2C1357B6"/>
    <w:rsid w:val="2C183B08"/>
    <w:rsid w:val="2C224F4A"/>
    <w:rsid w:val="2C2864E6"/>
    <w:rsid w:val="2C2B420A"/>
    <w:rsid w:val="2C320D9F"/>
    <w:rsid w:val="2C385980"/>
    <w:rsid w:val="2C410F70"/>
    <w:rsid w:val="2C4A2ACB"/>
    <w:rsid w:val="2C5746C9"/>
    <w:rsid w:val="2C6C21CC"/>
    <w:rsid w:val="2C81312E"/>
    <w:rsid w:val="2C8352B4"/>
    <w:rsid w:val="2C8D5247"/>
    <w:rsid w:val="2C963FEB"/>
    <w:rsid w:val="2CA21670"/>
    <w:rsid w:val="2CA67F53"/>
    <w:rsid w:val="2CB25241"/>
    <w:rsid w:val="2CB90286"/>
    <w:rsid w:val="2CBB3369"/>
    <w:rsid w:val="2CD36631"/>
    <w:rsid w:val="2CD54DA9"/>
    <w:rsid w:val="2CD836F5"/>
    <w:rsid w:val="2CD94796"/>
    <w:rsid w:val="2CDF7AEC"/>
    <w:rsid w:val="2CE268D4"/>
    <w:rsid w:val="2CE629A3"/>
    <w:rsid w:val="2CE6307D"/>
    <w:rsid w:val="2CEC1227"/>
    <w:rsid w:val="2D021D22"/>
    <w:rsid w:val="2D095286"/>
    <w:rsid w:val="2D0B4D5A"/>
    <w:rsid w:val="2D0D31CA"/>
    <w:rsid w:val="2D190E40"/>
    <w:rsid w:val="2D1C16A2"/>
    <w:rsid w:val="2D1E3E74"/>
    <w:rsid w:val="2D340FC7"/>
    <w:rsid w:val="2D3505E2"/>
    <w:rsid w:val="2D3532BC"/>
    <w:rsid w:val="2D37677A"/>
    <w:rsid w:val="2D386FD2"/>
    <w:rsid w:val="2D3D1758"/>
    <w:rsid w:val="2D4164B4"/>
    <w:rsid w:val="2D5D67C7"/>
    <w:rsid w:val="2D626812"/>
    <w:rsid w:val="2D697037"/>
    <w:rsid w:val="2D6B46F9"/>
    <w:rsid w:val="2D6C5586"/>
    <w:rsid w:val="2D727875"/>
    <w:rsid w:val="2D7B4BF1"/>
    <w:rsid w:val="2D7F4620"/>
    <w:rsid w:val="2D8E1BC9"/>
    <w:rsid w:val="2D8F379E"/>
    <w:rsid w:val="2D907BEE"/>
    <w:rsid w:val="2D9D1F27"/>
    <w:rsid w:val="2D9D5B91"/>
    <w:rsid w:val="2DA524A9"/>
    <w:rsid w:val="2DAE7161"/>
    <w:rsid w:val="2DB04A93"/>
    <w:rsid w:val="2DB23489"/>
    <w:rsid w:val="2DB3404F"/>
    <w:rsid w:val="2DCE20BE"/>
    <w:rsid w:val="2DD06EFD"/>
    <w:rsid w:val="2DD74EB8"/>
    <w:rsid w:val="2DED7CD8"/>
    <w:rsid w:val="2DF47EBE"/>
    <w:rsid w:val="2E096771"/>
    <w:rsid w:val="2E105BDC"/>
    <w:rsid w:val="2E322F9B"/>
    <w:rsid w:val="2E350723"/>
    <w:rsid w:val="2E3A108B"/>
    <w:rsid w:val="2E545BBD"/>
    <w:rsid w:val="2E5A0138"/>
    <w:rsid w:val="2E5C3810"/>
    <w:rsid w:val="2E6245C7"/>
    <w:rsid w:val="2E633EB6"/>
    <w:rsid w:val="2E68639B"/>
    <w:rsid w:val="2E6A549C"/>
    <w:rsid w:val="2E793111"/>
    <w:rsid w:val="2E7F2B0A"/>
    <w:rsid w:val="2E832FE3"/>
    <w:rsid w:val="2E974C20"/>
    <w:rsid w:val="2E9E012E"/>
    <w:rsid w:val="2EA241A8"/>
    <w:rsid w:val="2EA617F9"/>
    <w:rsid w:val="2EA878B4"/>
    <w:rsid w:val="2EB239BF"/>
    <w:rsid w:val="2EB23BE8"/>
    <w:rsid w:val="2EBC0AD9"/>
    <w:rsid w:val="2ED72E29"/>
    <w:rsid w:val="2EDF7EBD"/>
    <w:rsid w:val="2EE32100"/>
    <w:rsid w:val="2EE77703"/>
    <w:rsid w:val="2EEA7478"/>
    <w:rsid w:val="2F2B6B37"/>
    <w:rsid w:val="2F6C2E99"/>
    <w:rsid w:val="2F831153"/>
    <w:rsid w:val="2F8F5372"/>
    <w:rsid w:val="2F9224EE"/>
    <w:rsid w:val="2F95088F"/>
    <w:rsid w:val="2FA20E7C"/>
    <w:rsid w:val="2FAF25AD"/>
    <w:rsid w:val="2FB95680"/>
    <w:rsid w:val="2FC65E23"/>
    <w:rsid w:val="2FCC0CD9"/>
    <w:rsid w:val="2FD3451D"/>
    <w:rsid w:val="2FD716FC"/>
    <w:rsid w:val="2FE34C37"/>
    <w:rsid w:val="2FE7202C"/>
    <w:rsid w:val="2FE97AAC"/>
    <w:rsid w:val="30164017"/>
    <w:rsid w:val="30197C97"/>
    <w:rsid w:val="30220725"/>
    <w:rsid w:val="302E4037"/>
    <w:rsid w:val="303007C4"/>
    <w:rsid w:val="303F1F33"/>
    <w:rsid w:val="30692369"/>
    <w:rsid w:val="307A2551"/>
    <w:rsid w:val="308E6E5A"/>
    <w:rsid w:val="30A45AD9"/>
    <w:rsid w:val="30A57328"/>
    <w:rsid w:val="30AB5508"/>
    <w:rsid w:val="30AE2D02"/>
    <w:rsid w:val="30B95842"/>
    <w:rsid w:val="30BF6C07"/>
    <w:rsid w:val="30CD67C6"/>
    <w:rsid w:val="30E169AF"/>
    <w:rsid w:val="30E82EED"/>
    <w:rsid w:val="30EE26F1"/>
    <w:rsid w:val="30EE502A"/>
    <w:rsid w:val="30F502F1"/>
    <w:rsid w:val="30F960DF"/>
    <w:rsid w:val="31070923"/>
    <w:rsid w:val="310C54B7"/>
    <w:rsid w:val="311143C8"/>
    <w:rsid w:val="311B0C6F"/>
    <w:rsid w:val="31304AD0"/>
    <w:rsid w:val="313B4EF9"/>
    <w:rsid w:val="313E6208"/>
    <w:rsid w:val="314904C5"/>
    <w:rsid w:val="315157EB"/>
    <w:rsid w:val="31531228"/>
    <w:rsid w:val="315C7D9C"/>
    <w:rsid w:val="316267D4"/>
    <w:rsid w:val="316B4D20"/>
    <w:rsid w:val="316B7477"/>
    <w:rsid w:val="316D0B31"/>
    <w:rsid w:val="317613FF"/>
    <w:rsid w:val="31763D43"/>
    <w:rsid w:val="31A16C2A"/>
    <w:rsid w:val="31A85978"/>
    <w:rsid w:val="31A87524"/>
    <w:rsid w:val="31A93C46"/>
    <w:rsid w:val="31AB71D2"/>
    <w:rsid w:val="31B02341"/>
    <w:rsid w:val="31BB28C8"/>
    <w:rsid w:val="31BE306F"/>
    <w:rsid w:val="31C362CB"/>
    <w:rsid w:val="31CA6BDE"/>
    <w:rsid w:val="31CD1C13"/>
    <w:rsid w:val="31CE121E"/>
    <w:rsid w:val="31D1694B"/>
    <w:rsid w:val="31D274E6"/>
    <w:rsid w:val="31F6130E"/>
    <w:rsid w:val="320151E5"/>
    <w:rsid w:val="320E1B3B"/>
    <w:rsid w:val="32153495"/>
    <w:rsid w:val="322019D9"/>
    <w:rsid w:val="3220243A"/>
    <w:rsid w:val="322B2002"/>
    <w:rsid w:val="32362F74"/>
    <w:rsid w:val="32393EFC"/>
    <w:rsid w:val="323A6734"/>
    <w:rsid w:val="3242018E"/>
    <w:rsid w:val="325F0F0C"/>
    <w:rsid w:val="32612D55"/>
    <w:rsid w:val="32620A38"/>
    <w:rsid w:val="32644486"/>
    <w:rsid w:val="326B722B"/>
    <w:rsid w:val="32711A3F"/>
    <w:rsid w:val="327422B7"/>
    <w:rsid w:val="32A61CB5"/>
    <w:rsid w:val="32AB7116"/>
    <w:rsid w:val="32B949EA"/>
    <w:rsid w:val="32CE7207"/>
    <w:rsid w:val="32D576FC"/>
    <w:rsid w:val="32DD302D"/>
    <w:rsid w:val="32E07240"/>
    <w:rsid w:val="33003B24"/>
    <w:rsid w:val="33072028"/>
    <w:rsid w:val="3317670F"/>
    <w:rsid w:val="33196106"/>
    <w:rsid w:val="33294A23"/>
    <w:rsid w:val="332F054D"/>
    <w:rsid w:val="33487823"/>
    <w:rsid w:val="33516BCC"/>
    <w:rsid w:val="33546EAB"/>
    <w:rsid w:val="336A5E5A"/>
    <w:rsid w:val="33732B59"/>
    <w:rsid w:val="337B485B"/>
    <w:rsid w:val="337B4F6B"/>
    <w:rsid w:val="3385067B"/>
    <w:rsid w:val="33883E73"/>
    <w:rsid w:val="339C186C"/>
    <w:rsid w:val="33A22127"/>
    <w:rsid w:val="33A54DD3"/>
    <w:rsid w:val="33A61A0B"/>
    <w:rsid w:val="33A94C8B"/>
    <w:rsid w:val="33B675FB"/>
    <w:rsid w:val="33B73C5F"/>
    <w:rsid w:val="33BE6B8B"/>
    <w:rsid w:val="33C344F1"/>
    <w:rsid w:val="33CF3729"/>
    <w:rsid w:val="33D67363"/>
    <w:rsid w:val="33D96789"/>
    <w:rsid w:val="33DC4725"/>
    <w:rsid w:val="33E47D26"/>
    <w:rsid w:val="33EF143A"/>
    <w:rsid w:val="33EF6B5D"/>
    <w:rsid w:val="33F672FE"/>
    <w:rsid w:val="33F96C71"/>
    <w:rsid w:val="33FD5312"/>
    <w:rsid w:val="34081E5C"/>
    <w:rsid w:val="341822DF"/>
    <w:rsid w:val="34241E5A"/>
    <w:rsid w:val="342B2748"/>
    <w:rsid w:val="342D2A69"/>
    <w:rsid w:val="34347613"/>
    <w:rsid w:val="34415E5B"/>
    <w:rsid w:val="344545A1"/>
    <w:rsid w:val="344A2F2E"/>
    <w:rsid w:val="344C4197"/>
    <w:rsid w:val="344F3B16"/>
    <w:rsid w:val="345B4FBF"/>
    <w:rsid w:val="345D0F0E"/>
    <w:rsid w:val="345F3CA4"/>
    <w:rsid w:val="34706D7C"/>
    <w:rsid w:val="34752FBC"/>
    <w:rsid w:val="347C5806"/>
    <w:rsid w:val="347E6B2A"/>
    <w:rsid w:val="34837301"/>
    <w:rsid w:val="348D6E12"/>
    <w:rsid w:val="349F0554"/>
    <w:rsid w:val="34A46257"/>
    <w:rsid w:val="34A74049"/>
    <w:rsid w:val="34A87C0A"/>
    <w:rsid w:val="34AC4266"/>
    <w:rsid w:val="34B91DCA"/>
    <w:rsid w:val="34BE1A18"/>
    <w:rsid w:val="34C043E7"/>
    <w:rsid w:val="34CD06DF"/>
    <w:rsid w:val="34D83B42"/>
    <w:rsid w:val="34D94A1A"/>
    <w:rsid w:val="34E631BA"/>
    <w:rsid w:val="34EA4FFE"/>
    <w:rsid w:val="34FB6A94"/>
    <w:rsid w:val="35014893"/>
    <w:rsid w:val="350A38BC"/>
    <w:rsid w:val="351235B5"/>
    <w:rsid w:val="35143D96"/>
    <w:rsid w:val="3527263D"/>
    <w:rsid w:val="3535049D"/>
    <w:rsid w:val="35420BC9"/>
    <w:rsid w:val="35560223"/>
    <w:rsid w:val="35630C60"/>
    <w:rsid w:val="35640AA7"/>
    <w:rsid w:val="35652CAC"/>
    <w:rsid w:val="356A398D"/>
    <w:rsid w:val="356D0131"/>
    <w:rsid w:val="357144D1"/>
    <w:rsid w:val="35825620"/>
    <w:rsid w:val="358A4254"/>
    <w:rsid w:val="359965F5"/>
    <w:rsid w:val="35A54378"/>
    <w:rsid w:val="35A64B1C"/>
    <w:rsid w:val="35AE164C"/>
    <w:rsid w:val="35DA124F"/>
    <w:rsid w:val="35E069BF"/>
    <w:rsid w:val="35E20AB3"/>
    <w:rsid w:val="35E9447C"/>
    <w:rsid w:val="35ED0684"/>
    <w:rsid w:val="35F05FAF"/>
    <w:rsid w:val="35F2250C"/>
    <w:rsid w:val="35FA100E"/>
    <w:rsid w:val="35FB15AC"/>
    <w:rsid w:val="360867E3"/>
    <w:rsid w:val="360D7BDD"/>
    <w:rsid w:val="361E4506"/>
    <w:rsid w:val="3625404A"/>
    <w:rsid w:val="36280C33"/>
    <w:rsid w:val="36336D24"/>
    <w:rsid w:val="36396041"/>
    <w:rsid w:val="364C6A45"/>
    <w:rsid w:val="36503EE1"/>
    <w:rsid w:val="36654B63"/>
    <w:rsid w:val="36686302"/>
    <w:rsid w:val="366E6334"/>
    <w:rsid w:val="36794FEB"/>
    <w:rsid w:val="36836FBD"/>
    <w:rsid w:val="36886312"/>
    <w:rsid w:val="368B3923"/>
    <w:rsid w:val="368C551D"/>
    <w:rsid w:val="368E2129"/>
    <w:rsid w:val="369B0833"/>
    <w:rsid w:val="369F627B"/>
    <w:rsid w:val="36A2338A"/>
    <w:rsid w:val="36AA6215"/>
    <w:rsid w:val="36AF3A1C"/>
    <w:rsid w:val="36B74AF6"/>
    <w:rsid w:val="36BF5033"/>
    <w:rsid w:val="36C62E1B"/>
    <w:rsid w:val="36CD705E"/>
    <w:rsid w:val="36E24857"/>
    <w:rsid w:val="36E52680"/>
    <w:rsid w:val="36EE7082"/>
    <w:rsid w:val="36F159EF"/>
    <w:rsid w:val="36FE2022"/>
    <w:rsid w:val="36FE3449"/>
    <w:rsid w:val="37021E57"/>
    <w:rsid w:val="372143A0"/>
    <w:rsid w:val="372F673B"/>
    <w:rsid w:val="37323743"/>
    <w:rsid w:val="37400CBA"/>
    <w:rsid w:val="37463266"/>
    <w:rsid w:val="375021F0"/>
    <w:rsid w:val="375765E9"/>
    <w:rsid w:val="376D1BAD"/>
    <w:rsid w:val="37725E4D"/>
    <w:rsid w:val="377755F7"/>
    <w:rsid w:val="377E0A45"/>
    <w:rsid w:val="37811EE8"/>
    <w:rsid w:val="3788047A"/>
    <w:rsid w:val="37892B4D"/>
    <w:rsid w:val="378A19C8"/>
    <w:rsid w:val="378C2F27"/>
    <w:rsid w:val="37A7676C"/>
    <w:rsid w:val="37B00DA3"/>
    <w:rsid w:val="37B248FD"/>
    <w:rsid w:val="37B652C5"/>
    <w:rsid w:val="37CD313B"/>
    <w:rsid w:val="37D0695D"/>
    <w:rsid w:val="37E04929"/>
    <w:rsid w:val="37E7443D"/>
    <w:rsid w:val="37EF6B42"/>
    <w:rsid w:val="37F218B3"/>
    <w:rsid w:val="38020479"/>
    <w:rsid w:val="38054756"/>
    <w:rsid w:val="380A00D2"/>
    <w:rsid w:val="381476C1"/>
    <w:rsid w:val="381924EE"/>
    <w:rsid w:val="381947FC"/>
    <w:rsid w:val="381C1A3A"/>
    <w:rsid w:val="38227535"/>
    <w:rsid w:val="38341F26"/>
    <w:rsid w:val="384757A3"/>
    <w:rsid w:val="38551131"/>
    <w:rsid w:val="38585BFD"/>
    <w:rsid w:val="38622165"/>
    <w:rsid w:val="386776ED"/>
    <w:rsid w:val="38760DB8"/>
    <w:rsid w:val="387741B4"/>
    <w:rsid w:val="387A0C66"/>
    <w:rsid w:val="38860D43"/>
    <w:rsid w:val="38896326"/>
    <w:rsid w:val="3894652D"/>
    <w:rsid w:val="3899674F"/>
    <w:rsid w:val="389D11B1"/>
    <w:rsid w:val="38AB241F"/>
    <w:rsid w:val="38BB64B8"/>
    <w:rsid w:val="38BD6FDF"/>
    <w:rsid w:val="38C62509"/>
    <w:rsid w:val="38CA1EE3"/>
    <w:rsid w:val="38D44D2C"/>
    <w:rsid w:val="38DB2244"/>
    <w:rsid w:val="38DB7B5F"/>
    <w:rsid w:val="38E602B6"/>
    <w:rsid w:val="390034D4"/>
    <w:rsid w:val="39042924"/>
    <w:rsid w:val="390800ED"/>
    <w:rsid w:val="391725C0"/>
    <w:rsid w:val="3925374E"/>
    <w:rsid w:val="392628AE"/>
    <w:rsid w:val="3928085A"/>
    <w:rsid w:val="392F7D9A"/>
    <w:rsid w:val="393711C9"/>
    <w:rsid w:val="39396CB4"/>
    <w:rsid w:val="394B5951"/>
    <w:rsid w:val="3952255A"/>
    <w:rsid w:val="395C1022"/>
    <w:rsid w:val="39750C67"/>
    <w:rsid w:val="397A53E5"/>
    <w:rsid w:val="397C68E0"/>
    <w:rsid w:val="397F50D8"/>
    <w:rsid w:val="39811069"/>
    <w:rsid w:val="398C590D"/>
    <w:rsid w:val="39900FC9"/>
    <w:rsid w:val="399D108F"/>
    <w:rsid w:val="39A26FC3"/>
    <w:rsid w:val="39A71E38"/>
    <w:rsid w:val="39A9148A"/>
    <w:rsid w:val="39AA5865"/>
    <w:rsid w:val="39AC73FC"/>
    <w:rsid w:val="39B626AB"/>
    <w:rsid w:val="39D649E4"/>
    <w:rsid w:val="39F70DCD"/>
    <w:rsid w:val="39F84C79"/>
    <w:rsid w:val="3A025137"/>
    <w:rsid w:val="3A1F631C"/>
    <w:rsid w:val="3A2936C0"/>
    <w:rsid w:val="3A2E56C3"/>
    <w:rsid w:val="3A324BC9"/>
    <w:rsid w:val="3A3D49B0"/>
    <w:rsid w:val="3A4B50C2"/>
    <w:rsid w:val="3A4B6265"/>
    <w:rsid w:val="3A507E77"/>
    <w:rsid w:val="3A616EB5"/>
    <w:rsid w:val="3A692B81"/>
    <w:rsid w:val="3A7F0D54"/>
    <w:rsid w:val="3A837C10"/>
    <w:rsid w:val="3A8446A7"/>
    <w:rsid w:val="3A8A70C9"/>
    <w:rsid w:val="3A8D6CA0"/>
    <w:rsid w:val="3A8F0928"/>
    <w:rsid w:val="3A8F217D"/>
    <w:rsid w:val="3A914737"/>
    <w:rsid w:val="3AA34199"/>
    <w:rsid w:val="3AB7512D"/>
    <w:rsid w:val="3ABA3BFA"/>
    <w:rsid w:val="3ABE537A"/>
    <w:rsid w:val="3AC258E1"/>
    <w:rsid w:val="3AD763D7"/>
    <w:rsid w:val="3AE50EA1"/>
    <w:rsid w:val="3AE779DF"/>
    <w:rsid w:val="3AF82FF1"/>
    <w:rsid w:val="3B022B39"/>
    <w:rsid w:val="3B0F4170"/>
    <w:rsid w:val="3B227CC5"/>
    <w:rsid w:val="3B283A0F"/>
    <w:rsid w:val="3B345F96"/>
    <w:rsid w:val="3B3F5D44"/>
    <w:rsid w:val="3B53158F"/>
    <w:rsid w:val="3B595FBE"/>
    <w:rsid w:val="3B637ABB"/>
    <w:rsid w:val="3B664451"/>
    <w:rsid w:val="3B717453"/>
    <w:rsid w:val="3B7C2027"/>
    <w:rsid w:val="3B7D1AC6"/>
    <w:rsid w:val="3B802CBB"/>
    <w:rsid w:val="3B8D2B84"/>
    <w:rsid w:val="3B960214"/>
    <w:rsid w:val="3BA81FCB"/>
    <w:rsid w:val="3BB055C2"/>
    <w:rsid w:val="3BB836DA"/>
    <w:rsid w:val="3BBA665E"/>
    <w:rsid w:val="3BBA7883"/>
    <w:rsid w:val="3BBE4987"/>
    <w:rsid w:val="3BC12100"/>
    <w:rsid w:val="3BCB2D49"/>
    <w:rsid w:val="3BCB7E35"/>
    <w:rsid w:val="3BCF04E4"/>
    <w:rsid w:val="3BD01304"/>
    <w:rsid w:val="3BD333EF"/>
    <w:rsid w:val="3BDC202D"/>
    <w:rsid w:val="3BE43074"/>
    <w:rsid w:val="3C2553AA"/>
    <w:rsid w:val="3C280866"/>
    <w:rsid w:val="3C3354D2"/>
    <w:rsid w:val="3C3632D4"/>
    <w:rsid w:val="3C387660"/>
    <w:rsid w:val="3C394A07"/>
    <w:rsid w:val="3C4F3844"/>
    <w:rsid w:val="3C5C1C3E"/>
    <w:rsid w:val="3C5C1EF1"/>
    <w:rsid w:val="3C5D0868"/>
    <w:rsid w:val="3C6D0F69"/>
    <w:rsid w:val="3C753B5A"/>
    <w:rsid w:val="3C7B3474"/>
    <w:rsid w:val="3C7F1FC2"/>
    <w:rsid w:val="3CAF7102"/>
    <w:rsid w:val="3CB06634"/>
    <w:rsid w:val="3CB8456A"/>
    <w:rsid w:val="3CB87395"/>
    <w:rsid w:val="3CD2211B"/>
    <w:rsid w:val="3CD22D9E"/>
    <w:rsid w:val="3CD44909"/>
    <w:rsid w:val="3CD84854"/>
    <w:rsid w:val="3CE053C2"/>
    <w:rsid w:val="3CE23269"/>
    <w:rsid w:val="3CE834E9"/>
    <w:rsid w:val="3CF05A1E"/>
    <w:rsid w:val="3CF6116E"/>
    <w:rsid w:val="3CF7064B"/>
    <w:rsid w:val="3CFA4BFF"/>
    <w:rsid w:val="3CFF03D0"/>
    <w:rsid w:val="3D007631"/>
    <w:rsid w:val="3D01076F"/>
    <w:rsid w:val="3D031E2F"/>
    <w:rsid w:val="3D062B25"/>
    <w:rsid w:val="3D0B0988"/>
    <w:rsid w:val="3D0F6B9A"/>
    <w:rsid w:val="3D170F8C"/>
    <w:rsid w:val="3D2D2171"/>
    <w:rsid w:val="3D37326B"/>
    <w:rsid w:val="3D3E0A5C"/>
    <w:rsid w:val="3D446166"/>
    <w:rsid w:val="3D4B38E8"/>
    <w:rsid w:val="3D75246B"/>
    <w:rsid w:val="3D7549B1"/>
    <w:rsid w:val="3D857994"/>
    <w:rsid w:val="3D87344A"/>
    <w:rsid w:val="3DB472E2"/>
    <w:rsid w:val="3DC60A63"/>
    <w:rsid w:val="3DCA5152"/>
    <w:rsid w:val="3DDF6088"/>
    <w:rsid w:val="3DE9790D"/>
    <w:rsid w:val="3DFC4E7F"/>
    <w:rsid w:val="3DFE00AC"/>
    <w:rsid w:val="3E12266C"/>
    <w:rsid w:val="3E132A9A"/>
    <w:rsid w:val="3E24274D"/>
    <w:rsid w:val="3E280DC0"/>
    <w:rsid w:val="3E2F563B"/>
    <w:rsid w:val="3E383483"/>
    <w:rsid w:val="3E562BB0"/>
    <w:rsid w:val="3E5A3553"/>
    <w:rsid w:val="3E6F38A3"/>
    <w:rsid w:val="3E742840"/>
    <w:rsid w:val="3E7429B9"/>
    <w:rsid w:val="3E821FF6"/>
    <w:rsid w:val="3E857AC5"/>
    <w:rsid w:val="3E8D6BB6"/>
    <w:rsid w:val="3E8F6E78"/>
    <w:rsid w:val="3EA71F0F"/>
    <w:rsid w:val="3EA902F1"/>
    <w:rsid w:val="3EDA230E"/>
    <w:rsid w:val="3EDD3236"/>
    <w:rsid w:val="3EE12796"/>
    <w:rsid w:val="3EE24A87"/>
    <w:rsid w:val="3EF7362B"/>
    <w:rsid w:val="3EFD2E19"/>
    <w:rsid w:val="3EFE771A"/>
    <w:rsid w:val="3F024488"/>
    <w:rsid w:val="3F122481"/>
    <w:rsid w:val="3F177461"/>
    <w:rsid w:val="3F210EC9"/>
    <w:rsid w:val="3F375CD3"/>
    <w:rsid w:val="3F5901D1"/>
    <w:rsid w:val="3F6842E5"/>
    <w:rsid w:val="3F703C49"/>
    <w:rsid w:val="3F7F2379"/>
    <w:rsid w:val="3F831B9E"/>
    <w:rsid w:val="3F8C2E47"/>
    <w:rsid w:val="3F950288"/>
    <w:rsid w:val="3F9C135A"/>
    <w:rsid w:val="3F9F1808"/>
    <w:rsid w:val="3FB776A9"/>
    <w:rsid w:val="3FBD4D3E"/>
    <w:rsid w:val="3FC43688"/>
    <w:rsid w:val="3FC769F9"/>
    <w:rsid w:val="3FCD29BD"/>
    <w:rsid w:val="3FD72D51"/>
    <w:rsid w:val="3FD84D6B"/>
    <w:rsid w:val="3FE62B42"/>
    <w:rsid w:val="3FE8668B"/>
    <w:rsid w:val="3FF97B90"/>
    <w:rsid w:val="400D4FC4"/>
    <w:rsid w:val="40156BD0"/>
    <w:rsid w:val="40182238"/>
    <w:rsid w:val="401A783F"/>
    <w:rsid w:val="402970A9"/>
    <w:rsid w:val="40376E8B"/>
    <w:rsid w:val="403A2025"/>
    <w:rsid w:val="403F65EA"/>
    <w:rsid w:val="404048CB"/>
    <w:rsid w:val="40430CA5"/>
    <w:rsid w:val="40442E5C"/>
    <w:rsid w:val="404E501F"/>
    <w:rsid w:val="40521DF3"/>
    <w:rsid w:val="40585DED"/>
    <w:rsid w:val="406C2C4F"/>
    <w:rsid w:val="40700C9B"/>
    <w:rsid w:val="407C14A7"/>
    <w:rsid w:val="407F19EA"/>
    <w:rsid w:val="409D0293"/>
    <w:rsid w:val="40A43286"/>
    <w:rsid w:val="40AA575C"/>
    <w:rsid w:val="40AB23C9"/>
    <w:rsid w:val="40AD0295"/>
    <w:rsid w:val="40AE2BD0"/>
    <w:rsid w:val="40BB4E1B"/>
    <w:rsid w:val="40BF22CB"/>
    <w:rsid w:val="40C00455"/>
    <w:rsid w:val="40C034E9"/>
    <w:rsid w:val="40E8106F"/>
    <w:rsid w:val="40F05854"/>
    <w:rsid w:val="40F534E0"/>
    <w:rsid w:val="40FD16DC"/>
    <w:rsid w:val="410C785F"/>
    <w:rsid w:val="41143BFC"/>
    <w:rsid w:val="411519BE"/>
    <w:rsid w:val="41175560"/>
    <w:rsid w:val="411D3E3F"/>
    <w:rsid w:val="411E5643"/>
    <w:rsid w:val="412532AA"/>
    <w:rsid w:val="413D4A79"/>
    <w:rsid w:val="41465FC8"/>
    <w:rsid w:val="414D77A0"/>
    <w:rsid w:val="41585B81"/>
    <w:rsid w:val="415A0ADF"/>
    <w:rsid w:val="416B3891"/>
    <w:rsid w:val="416D071C"/>
    <w:rsid w:val="417168E5"/>
    <w:rsid w:val="41731CFD"/>
    <w:rsid w:val="417927E2"/>
    <w:rsid w:val="417D6B2C"/>
    <w:rsid w:val="417E53B0"/>
    <w:rsid w:val="41801E32"/>
    <w:rsid w:val="418B17F4"/>
    <w:rsid w:val="41947B50"/>
    <w:rsid w:val="41A37C17"/>
    <w:rsid w:val="41B345FC"/>
    <w:rsid w:val="41B765CE"/>
    <w:rsid w:val="41BA28B0"/>
    <w:rsid w:val="41C41905"/>
    <w:rsid w:val="41D02D0F"/>
    <w:rsid w:val="41DF7674"/>
    <w:rsid w:val="41F1724B"/>
    <w:rsid w:val="41F714FD"/>
    <w:rsid w:val="42042357"/>
    <w:rsid w:val="42051D01"/>
    <w:rsid w:val="420F21FF"/>
    <w:rsid w:val="42146B7B"/>
    <w:rsid w:val="424D2C32"/>
    <w:rsid w:val="425119CD"/>
    <w:rsid w:val="42513575"/>
    <w:rsid w:val="426041E0"/>
    <w:rsid w:val="426F4876"/>
    <w:rsid w:val="42723582"/>
    <w:rsid w:val="4272683B"/>
    <w:rsid w:val="42732F75"/>
    <w:rsid w:val="427A2EE8"/>
    <w:rsid w:val="428A54DF"/>
    <w:rsid w:val="4294373D"/>
    <w:rsid w:val="42946A25"/>
    <w:rsid w:val="42962121"/>
    <w:rsid w:val="42A77076"/>
    <w:rsid w:val="42AC4BD4"/>
    <w:rsid w:val="42B21372"/>
    <w:rsid w:val="42BC0E4A"/>
    <w:rsid w:val="42BD5934"/>
    <w:rsid w:val="42C23F47"/>
    <w:rsid w:val="42CF2E3E"/>
    <w:rsid w:val="42FC322C"/>
    <w:rsid w:val="431B423D"/>
    <w:rsid w:val="431B4361"/>
    <w:rsid w:val="431D6275"/>
    <w:rsid w:val="43217641"/>
    <w:rsid w:val="432664FB"/>
    <w:rsid w:val="43384A06"/>
    <w:rsid w:val="43395A3D"/>
    <w:rsid w:val="43397D15"/>
    <w:rsid w:val="433F3CCC"/>
    <w:rsid w:val="435D368B"/>
    <w:rsid w:val="438133C5"/>
    <w:rsid w:val="43894E7F"/>
    <w:rsid w:val="438F417D"/>
    <w:rsid w:val="43962707"/>
    <w:rsid w:val="439D7926"/>
    <w:rsid w:val="43A65359"/>
    <w:rsid w:val="43A710EC"/>
    <w:rsid w:val="43BD52A4"/>
    <w:rsid w:val="43C05D59"/>
    <w:rsid w:val="43DA01EC"/>
    <w:rsid w:val="43EE4E30"/>
    <w:rsid w:val="43F2775B"/>
    <w:rsid w:val="43F74887"/>
    <w:rsid w:val="44002D59"/>
    <w:rsid w:val="4411492D"/>
    <w:rsid w:val="4413620D"/>
    <w:rsid w:val="44147A4E"/>
    <w:rsid w:val="44361C98"/>
    <w:rsid w:val="444875B7"/>
    <w:rsid w:val="44551F04"/>
    <w:rsid w:val="44610B18"/>
    <w:rsid w:val="44627D24"/>
    <w:rsid w:val="446A76C8"/>
    <w:rsid w:val="446F61E5"/>
    <w:rsid w:val="448A7E5A"/>
    <w:rsid w:val="448E631B"/>
    <w:rsid w:val="449E4A80"/>
    <w:rsid w:val="449E617E"/>
    <w:rsid w:val="449F4A43"/>
    <w:rsid w:val="44A12CDA"/>
    <w:rsid w:val="44B406F7"/>
    <w:rsid w:val="44B44CFB"/>
    <w:rsid w:val="44B55CBA"/>
    <w:rsid w:val="44C126F2"/>
    <w:rsid w:val="44C706ED"/>
    <w:rsid w:val="44CB075D"/>
    <w:rsid w:val="44CF0E93"/>
    <w:rsid w:val="44D101A3"/>
    <w:rsid w:val="44D8211A"/>
    <w:rsid w:val="44E00363"/>
    <w:rsid w:val="44E11D12"/>
    <w:rsid w:val="44E74D70"/>
    <w:rsid w:val="45101210"/>
    <w:rsid w:val="451134DD"/>
    <w:rsid w:val="45263CFA"/>
    <w:rsid w:val="452D3499"/>
    <w:rsid w:val="454E63B1"/>
    <w:rsid w:val="455052A5"/>
    <w:rsid w:val="455723CE"/>
    <w:rsid w:val="457A5299"/>
    <w:rsid w:val="457A56BB"/>
    <w:rsid w:val="458D6DD8"/>
    <w:rsid w:val="458F352E"/>
    <w:rsid w:val="459109F4"/>
    <w:rsid w:val="45A155EC"/>
    <w:rsid w:val="45AF435A"/>
    <w:rsid w:val="45B62896"/>
    <w:rsid w:val="45BC20BA"/>
    <w:rsid w:val="45BD1FBC"/>
    <w:rsid w:val="45C02C36"/>
    <w:rsid w:val="45C72681"/>
    <w:rsid w:val="45CB5808"/>
    <w:rsid w:val="45DE6F05"/>
    <w:rsid w:val="45E73B78"/>
    <w:rsid w:val="46032698"/>
    <w:rsid w:val="46066099"/>
    <w:rsid w:val="460C1B2C"/>
    <w:rsid w:val="46225F8A"/>
    <w:rsid w:val="46243831"/>
    <w:rsid w:val="46271527"/>
    <w:rsid w:val="462B53C0"/>
    <w:rsid w:val="463C6DC2"/>
    <w:rsid w:val="46424D8A"/>
    <w:rsid w:val="464C185A"/>
    <w:rsid w:val="464C6924"/>
    <w:rsid w:val="46521E10"/>
    <w:rsid w:val="465E36F9"/>
    <w:rsid w:val="466B6068"/>
    <w:rsid w:val="46790CB6"/>
    <w:rsid w:val="468F05A2"/>
    <w:rsid w:val="468F7004"/>
    <w:rsid w:val="46903A50"/>
    <w:rsid w:val="46A06731"/>
    <w:rsid w:val="46A36F52"/>
    <w:rsid w:val="46AE13E2"/>
    <w:rsid w:val="46B74038"/>
    <w:rsid w:val="46BB24AD"/>
    <w:rsid w:val="46D05285"/>
    <w:rsid w:val="46DD558A"/>
    <w:rsid w:val="470658E5"/>
    <w:rsid w:val="4719426E"/>
    <w:rsid w:val="472D2E17"/>
    <w:rsid w:val="47320D92"/>
    <w:rsid w:val="473B747B"/>
    <w:rsid w:val="47444C90"/>
    <w:rsid w:val="474606F2"/>
    <w:rsid w:val="4751797E"/>
    <w:rsid w:val="47547272"/>
    <w:rsid w:val="475874F1"/>
    <w:rsid w:val="47593520"/>
    <w:rsid w:val="4760161A"/>
    <w:rsid w:val="476426E8"/>
    <w:rsid w:val="477015B5"/>
    <w:rsid w:val="47712DC1"/>
    <w:rsid w:val="47726B9D"/>
    <w:rsid w:val="477A6FFF"/>
    <w:rsid w:val="477B47A8"/>
    <w:rsid w:val="4785745F"/>
    <w:rsid w:val="47923451"/>
    <w:rsid w:val="47A11F37"/>
    <w:rsid w:val="47A245D0"/>
    <w:rsid w:val="47AE6B40"/>
    <w:rsid w:val="47AF5C82"/>
    <w:rsid w:val="47B20776"/>
    <w:rsid w:val="47CF01F6"/>
    <w:rsid w:val="47D311AC"/>
    <w:rsid w:val="47DF42E7"/>
    <w:rsid w:val="47E349BA"/>
    <w:rsid w:val="47E54182"/>
    <w:rsid w:val="47E721C5"/>
    <w:rsid w:val="47EA2A0F"/>
    <w:rsid w:val="47EA7771"/>
    <w:rsid w:val="47EC6BDD"/>
    <w:rsid w:val="47F44E19"/>
    <w:rsid w:val="47F654E8"/>
    <w:rsid w:val="47FB665F"/>
    <w:rsid w:val="4800411F"/>
    <w:rsid w:val="4812688A"/>
    <w:rsid w:val="481E4B78"/>
    <w:rsid w:val="48242C98"/>
    <w:rsid w:val="483F0CB0"/>
    <w:rsid w:val="48484C47"/>
    <w:rsid w:val="48636DA4"/>
    <w:rsid w:val="48652F19"/>
    <w:rsid w:val="48721084"/>
    <w:rsid w:val="48862A01"/>
    <w:rsid w:val="489D1D0E"/>
    <w:rsid w:val="489E1AD2"/>
    <w:rsid w:val="48AA1C07"/>
    <w:rsid w:val="48AB0DF1"/>
    <w:rsid w:val="48AE76E2"/>
    <w:rsid w:val="48B95ABB"/>
    <w:rsid w:val="48C84331"/>
    <w:rsid w:val="48DF0E6B"/>
    <w:rsid w:val="48EA5F1D"/>
    <w:rsid w:val="48ED73F7"/>
    <w:rsid w:val="48F21359"/>
    <w:rsid w:val="48F43409"/>
    <w:rsid w:val="49094029"/>
    <w:rsid w:val="491A2D45"/>
    <w:rsid w:val="492B3C7D"/>
    <w:rsid w:val="49303386"/>
    <w:rsid w:val="49332C49"/>
    <w:rsid w:val="493E78EA"/>
    <w:rsid w:val="493F3F4B"/>
    <w:rsid w:val="49427996"/>
    <w:rsid w:val="494309BD"/>
    <w:rsid w:val="49506D18"/>
    <w:rsid w:val="495B0C45"/>
    <w:rsid w:val="495B7C31"/>
    <w:rsid w:val="495F6BCD"/>
    <w:rsid w:val="496170E9"/>
    <w:rsid w:val="496B22E2"/>
    <w:rsid w:val="4983410B"/>
    <w:rsid w:val="49872D70"/>
    <w:rsid w:val="4989655A"/>
    <w:rsid w:val="499624A2"/>
    <w:rsid w:val="49964DCA"/>
    <w:rsid w:val="499722DD"/>
    <w:rsid w:val="499C4175"/>
    <w:rsid w:val="49A27AC6"/>
    <w:rsid w:val="49A54771"/>
    <w:rsid w:val="49B55197"/>
    <w:rsid w:val="49C17428"/>
    <w:rsid w:val="49C918F6"/>
    <w:rsid w:val="49D92519"/>
    <w:rsid w:val="49F829C1"/>
    <w:rsid w:val="49FD1143"/>
    <w:rsid w:val="4A154D6E"/>
    <w:rsid w:val="4A1A00BE"/>
    <w:rsid w:val="4A1B0D47"/>
    <w:rsid w:val="4A215A8B"/>
    <w:rsid w:val="4A282225"/>
    <w:rsid w:val="4A3C40DE"/>
    <w:rsid w:val="4A3C5740"/>
    <w:rsid w:val="4A527036"/>
    <w:rsid w:val="4A533A5F"/>
    <w:rsid w:val="4A702D6F"/>
    <w:rsid w:val="4A754080"/>
    <w:rsid w:val="4A767D68"/>
    <w:rsid w:val="4A7C6152"/>
    <w:rsid w:val="4A7D158E"/>
    <w:rsid w:val="4A7F31EA"/>
    <w:rsid w:val="4A8677E5"/>
    <w:rsid w:val="4A8B7CD1"/>
    <w:rsid w:val="4A8E392E"/>
    <w:rsid w:val="4A9549CB"/>
    <w:rsid w:val="4A9C1CA2"/>
    <w:rsid w:val="4AAF5525"/>
    <w:rsid w:val="4AB51B19"/>
    <w:rsid w:val="4AB73080"/>
    <w:rsid w:val="4AB80380"/>
    <w:rsid w:val="4AD16527"/>
    <w:rsid w:val="4AD84510"/>
    <w:rsid w:val="4AEE376E"/>
    <w:rsid w:val="4AEF6D40"/>
    <w:rsid w:val="4B030D39"/>
    <w:rsid w:val="4B2F330F"/>
    <w:rsid w:val="4B47309E"/>
    <w:rsid w:val="4B555488"/>
    <w:rsid w:val="4B5B4729"/>
    <w:rsid w:val="4B5C6083"/>
    <w:rsid w:val="4B5E3F0F"/>
    <w:rsid w:val="4B63027D"/>
    <w:rsid w:val="4B6F5722"/>
    <w:rsid w:val="4B7122DD"/>
    <w:rsid w:val="4B732C63"/>
    <w:rsid w:val="4B78366B"/>
    <w:rsid w:val="4B865D88"/>
    <w:rsid w:val="4B8A1D1C"/>
    <w:rsid w:val="4B8E00A4"/>
    <w:rsid w:val="4BA426B2"/>
    <w:rsid w:val="4BA47BE0"/>
    <w:rsid w:val="4BCB75FA"/>
    <w:rsid w:val="4BD6757B"/>
    <w:rsid w:val="4BEC36ED"/>
    <w:rsid w:val="4BF07D8C"/>
    <w:rsid w:val="4BF45471"/>
    <w:rsid w:val="4BF90C8A"/>
    <w:rsid w:val="4BFA7DD8"/>
    <w:rsid w:val="4C0759BC"/>
    <w:rsid w:val="4C2861D1"/>
    <w:rsid w:val="4C3B3017"/>
    <w:rsid w:val="4C443C1D"/>
    <w:rsid w:val="4C461C95"/>
    <w:rsid w:val="4C5550A0"/>
    <w:rsid w:val="4C573346"/>
    <w:rsid w:val="4C5F0117"/>
    <w:rsid w:val="4C621863"/>
    <w:rsid w:val="4C680AAA"/>
    <w:rsid w:val="4C74619A"/>
    <w:rsid w:val="4C784F99"/>
    <w:rsid w:val="4C815CA2"/>
    <w:rsid w:val="4C853ECF"/>
    <w:rsid w:val="4C8873A0"/>
    <w:rsid w:val="4C920781"/>
    <w:rsid w:val="4C9A4936"/>
    <w:rsid w:val="4C9B13D5"/>
    <w:rsid w:val="4C9B1D07"/>
    <w:rsid w:val="4C9D7D81"/>
    <w:rsid w:val="4CA527F6"/>
    <w:rsid w:val="4CB77719"/>
    <w:rsid w:val="4CB84539"/>
    <w:rsid w:val="4CBA35E0"/>
    <w:rsid w:val="4CBB6E45"/>
    <w:rsid w:val="4CBF1C5B"/>
    <w:rsid w:val="4CC47943"/>
    <w:rsid w:val="4CD5093F"/>
    <w:rsid w:val="4CF024AC"/>
    <w:rsid w:val="4CF655AF"/>
    <w:rsid w:val="4CFB1DA6"/>
    <w:rsid w:val="4D002DB2"/>
    <w:rsid w:val="4D041A53"/>
    <w:rsid w:val="4D0C2DF2"/>
    <w:rsid w:val="4D1331BE"/>
    <w:rsid w:val="4D1B6FC2"/>
    <w:rsid w:val="4D254CB7"/>
    <w:rsid w:val="4D291E66"/>
    <w:rsid w:val="4D297472"/>
    <w:rsid w:val="4D2D4A55"/>
    <w:rsid w:val="4D323FCE"/>
    <w:rsid w:val="4D4B7022"/>
    <w:rsid w:val="4D645352"/>
    <w:rsid w:val="4D6B16DA"/>
    <w:rsid w:val="4D6F1B11"/>
    <w:rsid w:val="4D91452C"/>
    <w:rsid w:val="4D916C1D"/>
    <w:rsid w:val="4DA53F28"/>
    <w:rsid w:val="4DA67EC1"/>
    <w:rsid w:val="4DAB31F4"/>
    <w:rsid w:val="4DAE0862"/>
    <w:rsid w:val="4DB36F88"/>
    <w:rsid w:val="4DBC2D6E"/>
    <w:rsid w:val="4DC67ECC"/>
    <w:rsid w:val="4DC94A5D"/>
    <w:rsid w:val="4DCB23DC"/>
    <w:rsid w:val="4DD12FC8"/>
    <w:rsid w:val="4DDA2699"/>
    <w:rsid w:val="4DDF01A5"/>
    <w:rsid w:val="4DE22BAA"/>
    <w:rsid w:val="4DEB1BDC"/>
    <w:rsid w:val="4DEE6881"/>
    <w:rsid w:val="4DF9798F"/>
    <w:rsid w:val="4E0A1298"/>
    <w:rsid w:val="4E0E47B1"/>
    <w:rsid w:val="4E1548BB"/>
    <w:rsid w:val="4E1952D9"/>
    <w:rsid w:val="4E2435B5"/>
    <w:rsid w:val="4E2519CB"/>
    <w:rsid w:val="4E3B3BEE"/>
    <w:rsid w:val="4E3F0E77"/>
    <w:rsid w:val="4E444AD8"/>
    <w:rsid w:val="4E4752CB"/>
    <w:rsid w:val="4E4D5AC0"/>
    <w:rsid w:val="4E523D53"/>
    <w:rsid w:val="4E73419A"/>
    <w:rsid w:val="4E756529"/>
    <w:rsid w:val="4E7D3EFC"/>
    <w:rsid w:val="4E812762"/>
    <w:rsid w:val="4E824A53"/>
    <w:rsid w:val="4E8B574B"/>
    <w:rsid w:val="4E9065C5"/>
    <w:rsid w:val="4E9638DC"/>
    <w:rsid w:val="4EB923B7"/>
    <w:rsid w:val="4EC34A7B"/>
    <w:rsid w:val="4ECA2C94"/>
    <w:rsid w:val="4EE82269"/>
    <w:rsid w:val="4EF23735"/>
    <w:rsid w:val="4EF34ED9"/>
    <w:rsid w:val="4F041DB6"/>
    <w:rsid w:val="4F0B412E"/>
    <w:rsid w:val="4F256A12"/>
    <w:rsid w:val="4F2B18A9"/>
    <w:rsid w:val="4F323574"/>
    <w:rsid w:val="4F3C25AB"/>
    <w:rsid w:val="4F423498"/>
    <w:rsid w:val="4F762AE3"/>
    <w:rsid w:val="4F7B2712"/>
    <w:rsid w:val="4F835C08"/>
    <w:rsid w:val="4F84322D"/>
    <w:rsid w:val="4F8B2BDA"/>
    <w:rsid w:val="4F8D0EEC"/>
    <w:rsid w:val="4F8F74E5"/>
    <w:rsid w:val="4F9A32B5"/>
    <w:rsid w:val="4FA70FEE"/>
    <w:rsid w:val="4FAE3D28"/>
    <w:rsid w:val="4FB45473"/>
    <w:rsid w:val="4FB84C92"/>
    <w:rsid w:val="4FB8672C"/>
    <w:rsid w:val="4FC6174C"/>
    <w:rsid w:val="4FD27E99"/>
    <w:rsid w:val="4FE439C5"/>
    <w:rsid w:val="4FE53CB0"/>
    <w:rsid w:val="4FEB4DFD"/>
    <w:rsid w:val="50097B99"/>
    <w:rsid w:val="501C6CBB"/>
    <w:rsid w:val="502A6434"/>
    <w:rsid w:val="502D35F8"/>
    <w:rsid w:val="504D48EB"/>
    <w:rsid w:val="5050362F"/>
    <w:rsid w:val="505665B4"/>
    <w:rsid w:val="505D19B3"/>
    <w:rsid w:val="506177CB"/>
    <w:rsid w:val="507537B4"/>
    <w:rsid w:val="507D4F01"/>
    <w:rsid w:val="50831075"/>
    <w:rsid w:val="508D1ABF"/>
    <w:rsid w:val="508D1F6C"/>
    <w:rsid w:val="50945BD7"/>
    <w:rsid w:val="50994CDA"/>
    <w:rsid w:val="50DA49D2"/>
    <w:rsid w:val="50DB3B30"/>
    <w:rsid w:val="50E2690D"/>
    <w:rsid w:val="51023B8F"/>
    <w:rsid w:val="51134FF1"/>
    <w:rsid w:val="511E76A2"/>
    <w:rsid w:val="51320AE8"/>
    <w:rsid w:val="515672A8"/>
    <w:rsid w:val="51580D4F"/>
    <w:rsid w:val="515900C3"/>
    <w:rsid w:val="516A388F"/>
    <w:rsid w:val="516A3A56"/>
    <w:rsid w:val="51735642"/>
    <w:rsid w:val="51834C6A"/>
    <w:rsid w:val="519400A0"/>
    <w:rsid w:val="51976BBD"/>
    <w:rsid w:val="519B42B6"/>
    <w:rsid w:val="51A61F92"/>
    <w:rsid w:val="51A94FAF"/>
    <w:rsid w:val="51AA45E6"/>
    <w:rsid w:val="51B35153"/>
    <w:rsid w:val="51B573C7"/>
    <w:rsid w:val="51B65454"/>
    <w:rsid w:val="51B960DF"/>
    <w:rsid w:val="51BA5215"/>
    <w:rsid w:val="51C62C82"/>
    <w:rsid w:val="51C83469"/>
    <w:rsid w:val="51CC07C9"/>
    <w:rsid w:val="51CC2572"/>
    <w:rsid w:val="51DF1D84"/>
    <w:rsid w:val="51E574B8"/>
    <w:rsid w:val="51FF0911"/>
    <w:rsid w:val="52142635"/>
    <w:rsid w:val="521C078B"/>
    <w:rsid w:val="521E2888"/>
    <w:rsid w:val="522D519C"/>
    <w:rsid w:val="52397FF8"/>
    <w:rsid w:val="52402A48"/>
    <w:rsid w:val="5240587A"/>
    <w:rsid w:val="52410C5B"/>
    <w:rsid w:val="524A65C6"/>
    <w:rsid w:val="524B0B5E"/>
    <w:rsid w:val="524B39BE"/>
    <w:rsid w:val="5264274C"/>
    <w:rsid w:val="52705478"/>
    <w:rsid w:val="52787F19"/>
    <w:rsid w:val="527A3337"/>
    <w:rsid w:val="527C37A4"/>
    <w:rsid w:val="52870F1B"/>
    <w:rsid w:val="529A0439"/>
    <w:rsid w:val="52A34C1C"/>
    <w:rsid w:val="52A40A81"/>
    <w:rsid w:val="52A45323"/>
    <w:rsid w:val="52B17CD5"/>
    <w:rsid w:val="52C81F94"/>
    <w:rsid w:val="52CB2C66"/>
    <w:rsid w:val="52CE298C"/>
    <w:rsid w:val="52F43310"/>
    <w:rsid w:val="52FB171E"/>
    <w:rsid w:val="5307218F"/>
    <w:rsid w:val="530F77CB"/>
    <w:rsid w:val="531206BE"/>
    <w:rsid w:val="53200CBC"/>
    <w:rsid w:val="53233453"/>
    <w:rsid w:val="532E0503"/>
    <w:rsid w:val="533A4CAB"/>
    <w:rsid w:val="53477523"/>
    <w:rsid w:val="534857C7"/>
    <w:rsid w:val="534B61E6"/>
    <w:rsid w:val="536F5B93"/>
    <w:rsid w:val="537068FD"/>
    <w:rsid w:val="53745DA6"/>
    <w:rsid w:val="5376374D"/>
    <w:rsid w:val="537B58DB"/>
    <w:rsid w:val="53806DA0"/>
    <w:rsid w:val="53842D58"/>
    <w:rsid w:val="538D468F"/>
    <w:rsid w:val="539478A3"/>
    <w:rsid w:val="539A1916"/>
    <w:rsid w:val="53AE7A43"/>
    <w:rsid w:val="53BC40A6"/>
    <w:rsid w:val="53C35430"/>
    <w:rsid w:val="53C51223"/>
    <w:rsid w:val="53C70CE0"/>
    <w:rsid w:val="53D03ADD"/>
    <w:rsid w:val="53FE3ED8"/>
    <w:rsid w:val="540427F1"/>
    <w:rsid w:val="540543FC"/>
    <w:rsid w:val="541370BB"/>
    <w:rsid w:val="54144AD4"/>
    <w:rsid w:val="5431429F"/>
    <w:rsid w:val="54363862"/>
    <w:rsid w:val="543C7FD3"/>
    <w:rsid w:val="54507947"/>
    <w:rsid w:val="54594BAD"/>
    <w:rsid w:val="545D46EC"/>
    <w:rsid w:val="54737B83"/>
    <w:rsid w:val="54746421"/>
    <w:rsid w:val="54782D53"/>
    <w:rsid w:val="54861759"/>
    <w:rsid w:val="5491510C"/>
    <w:rsid w:val="54984E15"/>
    <w:rsid w:val="549D090F"/>
    <w:rsid w:val="54A61249"/>
    <w:rsid w:val="54AC055B"/>
    <w:rsid w:val="54B735FD"/>
    <w:rsid w:val="54BA230C"/>
    <w:rsid w:val="54CF3CBA"/>
    <w:rsid w:val="54D24DB1"/>
    <w:rsid w:val="54D4224E"/>
    <w:rsid w:val="54D466A4"/>
    <w:rsid w:val="54E079B3"/>
    <w:rsid w:val="54F368FE"/>
    <w:rsid w:val="54F93A8A"/>
    <w:rsid w:val="55005B7A"/>
    <w:rsid w:val="55083814"/>
    <w:rsid w:val="550B1F09"/>
    <w:rsid w:val="551E7DD8"/>
    <w:rsid w:val="55386A13"/>
    <w:rsid w:val="553B028C"/>
    <w:rsid w:val="55444FE1"/>
    <w:rsid w:val="55493617"/>
    <w:rsid w:val="554D7917"/>
    <w:rsid w:val="55722453"/>
    <w:rsid w:val="557B767C"/>
    <w:rsid w:val="5587107B"/>
    <w:rsid w:val="558B0EC4"/>
    <w:rsid w:val="55A25146"/>
    <w:rsid w:val="55AA58ED"/>
    <w:rsid w:val="55AE2E98"/>
    <w:rsid w:val="55CC63E5"/>
    <w:rsid w:val="55CF0A78"/>
    <w:rsid w:val="55D92649"/>
    <w:rsid w:val="55DD6EED"/>
    <w:rsid w:val="55E62915"/>
    <w:rsid w:val="55EB0093"/>
    <w:rsid w:val="55F03311"/>
    <w:rsid w:val="55F2640C"/>
    <w:rsid w:val="55FA0EE6"/>
    <w:rsid w:val="560F15A0"/>
    <w:rsid w:val="56142989"/>
    <w:rsid w:val="561641AD"/>
    <w:rsid w:val="561F2FA4"/>
    <w:rsid w:val="563544C4"/>
    <w:rsid w:val="563C50FF"/>
    <w:rsid w:val="563D2984"/>
    <w:rsid w:val="56505911"/>
    <w:rsid w:val="565E3DB3"/>
    <w:rsid w:val="566677FF"/>
    <w:rsid w:val="56683B0B"/>
    <w:rsid w:val="566A31A2"/>
    <w:rsid w:val="566C3B73"/>
    <w:rsid w:val="567216B7"/>
    <w:rsid w:val="5678104D"/>
    <w:rsid w:val="5684661A"/>
    <w:rsid w:val="568E034B"/>
    <w:rsid w:val="56925446"/>
    <w:rsid w:val="56A057BD"/>
    <w:rsid w:val="56BC478D"/>
    <w:rsid w:val="56BD53F6"/>
    <w:rsid w:val="56C02A96"/>
    <w:rsid w:val="56D63D62"/>
    <w:rsid w:val="56D87CEA"/>
    <w:rsid w:val="56DB18AD"/>
    <w:rsid w:val="56E714BC"/>
    <w:rsid w:val="56EC29A7"/>
    <w:rsid w:val="56EC4BB2"/>
    <w:rsid w:val="56F73FA5"/>
    <w:rsid w:val="56FE29DB"/>
    <w:rsid w:val="57032C5A"/>
    <w:rsid w:val="570F549B"/>
    <w:rsid w:val="57131C90"/>
    <w:rsid w:val="57161CE9"/>
    <w:rsid w:val="571A5B55"/>
    <w:rsid w:val="572576BF"/>
    <w:rsid w:val="572C1D0F"/>
    <w:rsid w:val="57345F1A"/>
    <w:rsid w:val="573667EE"/>
    <w:rsid w:val="57391286"/>
    <w:rsid w:val="573A08BF"/>
    <w:rsid w:val="573D2468"/>
    <w:rsid w:val="57433E54"/>
    <w:rsid w:val="574E0FD0"/>
    <w:rsid w:val="575076E5"/>
    <w:rsid w:val="575262F4"/>
    <w:rsid w:val="575906B0"/>
    <w:rsid w:val="575C3DBD"/>
    <w:rsid w:val="575C550F"/>
    <w:rsid w:val="575F73B8"/>
    <w:rsid w:val="57740C6C"/>
    <w:rsid w:val="577F24C2"/>
    <w:rsid w:val="57814EED"/>
    <w:rsid w:val="578473D0"/>
    <w:rsid w:val="5787168B"/>
    <w:rsid w:val="578E351F"/>
    <w:rsid w:val="57907BEC"/>
    <w:rsid w:val="57913B24"/>
    <w:rsid w:val="57A148DE"/>
    <w:rsid w:val="57A83112"/>
    <w:rsid w:val="57A911A1"/>
    <w:rsid w:val="57A91AD8"/>
    <w:rsid w:val="57AA1051"/>
    <w:rsid w:val="57AE5A0A"/>
    <w:rsid w:val="57C105AC"/>
    <w:rsid w:val="57C64F0F"/>
    <w:rsid w:val="57C76914"/>
    <w:rsid w:val="57D154A3"/>
    <w:rsid w:val="57EA0764"/>
    <w:rsid w:val="57F33ADD"/>
    <w:rsid w:val="57FD76AC"/>
    <w:rsid w:val="580B17C1"/>
    <w:rsid w:val="581877B1"/>
    <w:rsid w:val="58205495"/>
    <w:rsid w:val="58236909"/>
    <w:rsid w:val="58261482"/>
    <w:rsid w:val="58277B25"/>
    <w:rsid w:val="58610F15"/>
    <w:rsid w:val="586B4FF7"/>
    <w:rsid w:val="586C06DD"/>
    <w:rsid w:val="587658FF"/>
    <w:rsid w:val="587E0036"/>
    <w:rsid w:val="588102E0"/>
    <w:rsid w:val="588173A5"/>
    <w:rsid w:val="589A6EED"/>
    <w:rsid w:val="58AD1975"/>
    <w:rsid w:val="58AE5779"/>
    <w:rsid w:val="58BB045B"/>
    <w:rsid w:val="58BC739B"/>
    <w:rsid w:val="58D00057"/>
    <w:rsid w:val="58D051F9"/>
    <w:rsid w:val="58D34EB9"/>
    <w:rsid w:val="58D3692A"/>
    <w:rsid w:val="58F0512B"/>
    <w:rsid w:val="58F34DEE"/>
    <w:rsid w:val="5907190E"/>
    <w:rsid w:val="5909312A"/>
    <w:rsid w:val="590F5AFD"/>
    <w:rsid w:val="5910252B"/>
    <w:rsid w:val="592129AE"/>
    <w:rsid w:val="593457B7"/>
    <w:rsid w:val="59496717"/>
    <w:rsid w:val="59585546"/>
    <w:rsid w:val="596C1D10"/>
    <w:rsid w:val="596F4893"/>
    <w:rsid w:val="597A3254"/>
    <w:rsid w:val="597A6FB3"/>
    <w:rsid w:val="59872E49"/>
    <w:rsid w:val="59903933"/>
    <w:rsid w:val="59A16D65"/>
    <w:rsid w:val="59AC4E44"/>
    <w:rsid w:val="59AD6E65"/>
    <w:rsid w:val="59B26314"/>
    <w:rsid w:val="59BB12F3"/>
    <w:rsid w:val="59C25606"/>
    <w:rsid w:val="59C31BF5"/>
    <w:rsid w:val="59F666B2"/>
    <w:rsid w:val="59F66FCC"/>
    <w:rsid w:val="5A0462FA"/>
    <w:rsid w:val="5A105D19"/>
    <w:rsid w:val="5A1B1E32"/>
    <w:rsid w:val="5A1C116B"/>
    <w:rsid w:val="5A277941"/>
    <w:rsid w:val="5A395FB1"/>
    <w:rsid w:val="5A3A0ECE"/>
    <w:rsid w:val="5A4F05F4"/>
    <w:rsid w:val="5A5B6C38"/>
    <w:rsid w:val="5A5C1288"/>
    <w:rsid w:val="5A6742B8"/>
    <w:rsid w:val="5A67697E"/>
    <w:rsid w:val="5A683FFF"/>
    <w:rsid w:val="5A73012E"/>
    <w:rsid w:val="5A7A69E7"/>
    <w:rsid w:val="5A837B59"/>
    <w:rsid w:val="5A920FA8"/>
    <w:rsid w:val="5A926BAB"/>
    <w:rsid w:val="5A953CA8"/>
    <w:rsid w:val="5A9B74F7"/>
    <w:rsid w:val="5ABA1186"/>
    <w:rsid w:val="5AC97323"/>
    <w:rsid w:val="5ACD57CD"/>
    <w:rsid w:val="5AE52810"/>
    <w:rsid w:val="5AE623A0"/>
    <w:rsid w:val="5AE71287"/>
    <w:rsid w:val="5AEA25E6"/>
    <w:rsid w:val="5AEE6532"/>
    <w:rsid w:val="5AF80325"/>
    <w:rsid w:val="5AFC65FF"/>
    <w:rsid w:val="5B14558A"/>
    <w:rsid w:val="5B1C2265"/>
    <w:rsid w:val="5B204233"/>
    <w:rsid w:val="5B2C39E0"/>
    <w:rsid w:val="5B3C0ABF"/>
    <w:rsid w:val="5B47161C"/>
    <w:rsid w:val="5B4E005F"/>
    <w:rsid w:val="5B5E7175"/>
    <w:rsid w:val="5B692318"/>
    <w:rsid w:val="5B6B21CB"/>
    <w:rsid w:val="5B8462CB"/>
    <w:rsid w:val="5B8C74FF"/>
    <w:rsid w:val="5B9A5225"/>
    <w:rsid w:val="5B9F5DBE"/>
    <w:rsid w:val="5BA30CA0"/>
    <w:rsid w:val="5BB42F9E"/>
    <w:rsid w:val="5BB44074"/>
    <w:rsid w:val="5BBC7482"/>
    <w:rsid w:val="5BBC7770"/>
    <w:rsid w:val="5BC327A1"/>
    <w:rsid w:val="5BCC12BC"/>
    <w:rsid w:val="5BDC2A59"/>
    <w:rsid w:val="5BDF67CB"/>
    <w:rsid w:val="5BE65E15"/>
    <w:rsid w:val="5C09106D"/>
    <w:rsid w:val="5C1368B3"/>
    <w:rsid w:val="5C25169C"/>
    <w:rsid w:val="5C416FF0"/>
    <w:rsid w:val="5C4D66CC"/>
    <w:rsid w:val="5C6E2C97"/>
    <w:rsid w:val="5C79069E"/>
    <w:rsid w:val="5C7A3876"/>
    <w:rsid w:val="5C7F3F6F"/>
    <w:rsid w:val="5C9B57A1"/>
    <w:rsid w:val="5C9F110F"/>
    <w:rsid w:val="5CB331A1"/>
    <w:rsid w:val="5CC25B3F"/>
    <w:rsid w:val="5CC3296D"/>
    <w:rsid w:val="5CC90302"/>
    <w:rsid w:val="5CEA308E"/>
    <w:rsid w:val="5CEB2B77"/>
    <w:rsid w:val="5CFB6C29"/>
    <w:rsid w:val="5CFD5E03"/>
    <w:rsid w:val="5D024210"/>
    <w:rsid w:val="5D08072B"/>
    <w:rsid w:val="5D154691"/>
    <w:rsid w:val="5D1610E5"/>
    <w:rsid w:val="5D3C01EC"/>
    <w:rsid w:val="5D4E27B8"/>
    <w:rsid w:val="5D4E503C"/>
    <w:rsid w:val="5D57324E"/>
    <w:rsid w:val="5D5C1548"/>
    <w:rsid w:val="5D5C6554"/>
    <w:rsid w:val="5D664D78"/>
    <w:rsid w:val="5D6A781B"/>
    <w:rsid w:val="5D6E22F6"/>
    <w:rsid w:val="5D7210AD"/>
    <w:rsid w:val="5D7F230C"/>
    <w:rsid w:val="5D945AEA"/>
    <w:rsid w:val="5D9738E5"/>
    <w:rsid w:val="5D9D6107"/>
    <w:rsid w:val="5D9F6382"/>
    <w:rsid w:val="5DA344BD"/>
    <w:rsid w:val="5DA648F4"/>
    <w:rsid w:val="5DA71127"/>
    <w:rsid w:val="5DB269C5"/>
    <w:rsid w:val="5DC3071A"/>
    <w:rsid w:val="5DD0112E"/>
    <w:rsid w:val="5DD0609E"/>
    <w:rsid w:val="5DDD6E1B"/>
    <w:rsid w:val="5DDF4629"/>
    <w:rsid w:val="5DE00E74"/>
    <w:rsid w:val="5DE20187"/>
    <w:rsid w:val="5DE61F54"/>
    <w:rsid w:val="5DE63556"/>
    <w:rsid w:val="5DEF3FEB"/>
    <w:rsid w:val="5DFB5441"/>
    <w:rsid w:val="5E062A66"/>
    <w:rsid w:val="5E167021"/>
    <w:rsid w:val="5E1A011C"/>
    <w:rsid w:val="5E1C7770"/>
    <w:rsid w:val="5E1E1140"/>
    <w:rsid w:val="5E1F1CD3"/>
    <w:rsid w:val="5E231915"/>
    <w:rsid w:val="5E2E263F"/>
    <w:rsid w:val="5E314CA3"/>
    <w:rsid w:val="5E3D445F"/>
    <w:rsid w:val="5E4E362E"/>
    <w:rsid w:val="5E565FC3"/>
    <w:rsid w:val="5E576A7E"/>
    <w:rsid w:val="5E5E6979"/>
    <w:rsid w:val="5E607D94"/>
    <w:rsid w:val="5E633F01"/>
    <w:rsid w:val="5E634E8C"/>
    <w:rsid w:val="5E6E2DD8"/>
    <w:rsid w:val="5E7A3720"/>
    <w:rsid w:val="5E800449"/>
    <w:rsid w:val="5E834C66"/>
    <w:rsid w:val="5E9E1DAC"/>
    <w:rsid w:val="5EB16998"/>
    <w:rsid w:val="5EBD7F90"/>
    <w:rsid w:val="5ECB577D"/>
    <w:rsid w:val="5EFB4B45"/>
    <w:rsid w:val="5F082AF3"/>
    <w:rsid w:val="5F233AEF"/>
    <w:rsid w:val="5F24793A"/>
    <w:rsid w:val="5F3761C3"/>
    <w:rsid w:val="5F437CD0"/>
    <w:rsid w:val="5F45331C"/>
    <w:rsid w:val="5F454D59"/>
    <w:rsid w:val="5F5105CE"/>
    <w:rsid w:val="5F5E1818"/>
    <w:rsid w:val="5F791BE7"/>
    <w:rsid w:val="5F922911"/>
    <w:rsid w:val="5F997FF6"/>
    <w:rsid w:val="5FAB0817"/>
    <w:rsid w:val="5FB742C8"/>
    <w:rsid w:val="5FC158AC"/>
    <w:rsid w:val="5FC344E2"/>
    <w:rsid w:val="5FE344C5"/>
    <w:rsid w:val="5FE95B68"/>
    <w:rsid w:val="5FEB7D5C"/>
    <w:rsid w:val="5FF76655"/>
    <w:rsid w:val="600747A3"/>
    <w:rsid w:val="60127746"/>
    <w:rsid w:val="603805C0"/>
    <w:rsid w:val="603A6C4E"/>
    <w:rsid w:val="603B75C3"/>
    <w:rsid w:val="603C59A2"/>
    <w:rsid w:val="60423B50"/>
    <w:rsid w:val="604A1623"/>
    <w:rsid w:val="605E7B6B"/>
    <w:rsid w:val="605F136E"/>
    <w:rsid w:val="606730C1"/>
    <w:rsid w:val="60783DFE"/>
    <w:rsid w:val="6082538A"/>
    <w:rsid w:val="60924859"/>
    <w:rsid w:val="60AB5B56"/>
    <w:rsid w:val="60AF790C"/>
    <w:rsid w:val="60AF7A03"/>
    <w:rsid w:val="60B66E04"/>
    <w:rsid w:val="60C831F4"/>
    <w:rsid w:val="60C90799"/>
    <w:rsid w:val="60DB4D7D"/>
    <w:rsid w:val="60FF0D42"/>
    <w:rsid w:val="61071E89"/>
    <w:rsid w:val="61082472"/>
    <w:rsid w:val="61090DC1"/>
    <w:rsid w:val="610C692D"/>
    <w:rsid w:val="610D46BD"/>
    <w:rsid w:val="611267E4"/>
    <w:rsid w:val="6122434D"/>
    <w:rsid w:val="61292E6A"/>
    <w:rsid w:val="612A4B4A"/>
    <w:rsid w:val="61337AFD"/>
    <w:rsid w:val="61354081"/>
    <w:rsid w:val="6139218F"/>
    <w:rsid w:val="61487CBD"/>
    <w:rsid w:val="614C05AA"/>
    <w:rsid w:val="61580810"/>
    <w:rsid w:val="615C679A"/>
    <w:rsid w:val="615F320E"/>
    <w:rsid w:val="61662067"/>
    <w:rsid w:val="61667616"/>
    <w:rsid w:val="61767EA4"/>
    <w:rsid w:val="61787C40"/>
    <w:rsid w:val="61831B7E"/>
    <w:rsid w:val="618A58A7"/>
    <w:rsid w:val="618D4564"/>
    <w:rsid w:val="619204E3"/>
    <w:rsid w:val="61966EA8"/>
    <w:rsid w:val="61B44472"/>
    <w:rsid w:val="61B8608C"/>
    <w:rsid w:val="61BB3AB6"/>
    <w:rsid w:val="61BD3ED0"/>
    <w:rsid w:val="61BF0E4D"/>
    <w:rsid w:val="61CD3D92"/>
    <w:rsid w:val="61CF0CB6"/>
    <w:rsid w:val="61E873B8"/>
    <w:rsid w:val="61EC4C74"/>
    <w:rsid w:val="61FC40A6"/>
    <w:rsid w:val="61FE2213"/>
    <w:rsid w:val="62000EFA"/>
    <w:rsid w:val="62091300"/>
    <w:rsid w:val="620A3E1E"/>
    <w:rsid w:val="62134383"/>
    <w:rsid w:val="621513B2"/>
    <w:rsid w:val="62156DDB"/>
    <w:rsid w:val="6217031D"/>
    <w:rsid w:val="62191225"/>
    <w:rsid w:val="62195D1C"/>
    <w:rsid w:val="622735E4"/>
    <w:rsid w:val="622B7161"/>
    <w:rsid w:val="62320846"/>
    <w:rsid w:val="623835FF"/>
    <w:rsid w:val="62457F58"/>
    <w:rsid w:val="624A58EA"/>
    <w:rsid w:val="624B0438"/>
    <w:rsid w:val="62501EA0"/>
    <w:rsid w:val="62607095"/>
    <w:rsid w:val="6262026E"/>
    <w:rsid w:val="62660C46"/>
    <w:rsid w:val="62662A38"/>
    <w:rsid w:val="62761878"/>
    <w:rsid w:val="627C3C10"/>
    <w:rsid w:val="628B688F"/>
    <w:rsid w:val="629A65D4"/>
    <w:rsid w:val="629C5FF1"/>
    <w:rsid w:val="629C7A81"/>
    <w:rsid w:val="62A52C3F"/>
    <w:rsid w:val="62A621CE"/>
    <w:rsid w:val="62B42FC8"/>
    <w:rsid w:val="62B75CBE"/>
    <w:rsid w:val="62BA6FBB"/>
    <w:rsid w:val="62C34CA8"/>
    <w:rsid w:val="62DA360D"/>
    <w:rsid w:val="62EE79A8"/>
    <w:rsid w:val="62FA262E"/>
    <w:rsid w:val="62FA7805"/>
    <w:rsid w:val="62FB6C99"/>
    <w:rsid w:val="62FC3877"/>
    <w:rsid w:val="630F445E"/>
    <w:rsid w:val="631F3FB4"/>
    <w:rsid w:val="63265FFC"/>
    <w:rsid w:val="633460DD"/>
    <w:rsid w:val="63483AFB"/>
    <w:rsid w:val="634A3D36"/>
    <w:rsid w:val="635140B5"/>
    <w:rsid w:val="6356783B"/>
    <w:rsid w:val="6357074E"/>
    <w:rsid w:val="635B7C9E"/>
    <w:rsid w:val="63676048"/>
    <w:rsid w:val="637A18F9"/>
    <w:rsid w:val="63981C78"/>
    <w:rsid w:val="63A00928"/>
    <w:rsid w:val="63A02CC7"/>
    <w:rsid w:val="63B74A81"/>
    <w:rsid w:val="63C67C05"/>
    <w:rsid w:val="63CA0FEC"/>
    <w:rsid w:val="63D32595"/>
    <w:rsid w:val="63D37B19"/>
    <w:rsid w:val="63EE2B01"/>
    <w:rsid w:val="63EE4574"/>
    <w:rsid w:val="64086CEA"/>
    <w:rsid w:val="642A77F6"/>
    <w:rsid w:val="64351970"/>
    <w:rsid w:val="643F247E"/>
    <w:rsid w:val="64465CCB"/>
    <w:rsid w:val="645A2DF3"/>
    <w:rsid w:val="645B6400"/>
    <w:rsid w:val="64661FA2"/>
    <w:rsid w:val="6466633F"/>
    <w:rsid w:val="64727B57"/>
    <w:rsid w:val="64765FC5"/>
    <w:rsid w:val="64A200D2"/>
    <w:rsid w:val="64BE37C6"/>
    <w:rsid w:val="64C31649"/>
    <w:rsid w:val="64C346B6"/>
    <w:rsid w:val="64D70E77"/>
    <w:rsid w:val="64F1749A"/>
    <w:rsid w:val="64F5116B"/>
    <w:rsid w:val="64FB485A"/>
    <w:rsid w:val="64FF56E3"/>
    <w:rsid w:val="65014061"/>
    <w:rsid w:val="652341F0"/>
    <w:rsid w:val="653A164E"/>
    <w:rsid w:val="653E17CC"/>
    <w:rsid w:val="65482D99"/>
    <w:rsid w:val="6552335C"/>
    <w:rsid w:val="6552510A"/>
    <w:rsid w:val="655345F8"/>
    <w:rsid w:val="65614C68"/>
    <w:rsid w:val="65777049"/>
    <w:rsid w:val="65817895"/>
    <w:rsid w:val="658F4F1E"/>
    <w:rsid w:val="65921CC9"/>
    <w:rsid w:val="659249F3"/>
    <w:rsid w:val="65941128"/>
    <w:rsid w:val="659A4256"/>
    <w:rsid w:val="659E4180"/>
    <w:rsid w:val="65A42D5D"/>
    <w:rsid w:val="65AC6778"/>
    <w:rsid w:val="65BA5D8A"/>
    <w:rsid w:val="65DD0D76"/>
    <w:rsid w:val="65DD0DB0"/>
    <w:rsid w:val="65DF45BB"/>
    <w:rsid w:val="65E309BA"/>
    <w:rsid w:val="65E708B8"/>
    <w:rsid w:val="65F15D0F"/>
    <w:rsid w:val="65F225E7"/>
    <w:rsid w:val="65F84280"/>
    <w:rsid w:val="66054DA2"/>
    <w:rsid w:val="660821AD"/>
    <w:rsid w:val="66086DC4"/>
    <w:rsid w:val="660D5E07"/>
    <w:rsid w:val="661D78DD"/>
    <w:rsid w:val="662D365C"/>
    <w:rsid w:val="66363795"/>
    <w:rsid w:val="6641669D"/>
    <w:rsid w:val="66604473"/>
    <w:rsid w:val="66680388"/>
    <w:rsid w:val="66743C40"/>
    <w:rsid w:val="66775998"/>
    <w:rsid w:val="66790E6E"/>
    <w:rsid w:val="667E3DD4"/>
    <w:rsid w:val="66882C3A"/>
    <w:rsid w:val="669725E5"/>
    <w:rsid w:val="66A83153"/>
    <w:rsid w:val="66B34D6A"/>
    <w:rsid w:val="66B61496"/>
    <w:rsid w:val="66C764F3"/>
    <w:rsid w:val="66D118CB"/>
    <w:rsid w:val="66D21831"/>
    <w:rsid w:val="66DB4D83"/>
    <w:rsid w:val="66DD20B0"/>
    <w:rsid w:val="66E21417"/>
    <w:rsid w:val="66F97255"/>
    <w:rsid w:val="66FC5136"/>
    <w:rsid w:val="670901AC"/>
    <w:rsid w:val="67155D32"/>
    <w:rsid w:val="67156D98"/>
    <w:rsid w:val="67277FC8"/>
    <w:rsid w:val="673945BE"/>
    <w:rsid w:val="673A1928"/>
    <w:rsid w:val="673D118F"/>
    <w:rsid w:val="674B2A82"/>
    <w:rsid w:val="674C7291"/>
    <w:rsid w:val="674E7637"/>
    <w:rsid w:val="67550106"/>
    <w:rsid w:val="67562C2C"/>
    <w:rsid w:val="675E37B9"/>
    <w:rsid w:val="675F072A"/>
    <w:rsid w:val="675F7EA6"/>
    <w:rsid w:val="676A30F0"/>
    <w:rsid w:val="67701B95"/>
    <w:rsid w:val="679A4913"/>
    <w:rsid w:val="67A77937"/>
    <w:rsid w:val="67B02023"/>
    <w:rsid w:val="67B11FB2"/>
    <w:rsid w:val="67C200D0"/>
    <w:rsid w:val="67CF1999"/>
    <w:rsid w:val="68055D20"/>
    <w:rsid w:val="68120826"/>
    <w:rsid w:val="68143178"/>
    <w:rsid w:val="68156423"/>
    <w:rsid w:val="68187745"/>
    <w:rsid w:val="681C4219"/>
    <w:rsid w:val="6830403E"/>
    <w:rsid w:val="683809B4"/>
    <w:rsid w:val="683E45F1"/>
    <w:rsid w:val="68494C73"/>
    <w:rsid w:val="684F5BAE"/>
    <w:rsid w:val="68735D2A"/>
    <w:rsid w:val="687A0832"/>
    <w:rsid w:val="687F0A6A"/>
    <w:rsid w:val="68957E56"/>
    <w:rsid w:val="68991EB8"/>
    <w:rsid w:val="68A03460"/>
    <w:rsid w:val="68A35DE0"/>
    <w:rsid w:val="68A8414D"/>
    <w:rsid w:val="68AA3C1E"/>
    <w:rsid w:val="68AA40BB"/>
    <w:rsid w:val="68B43FFA"/>
    <w:rsid w:val="68B825F5"/>
    <w:rsid w:val="68BE568E"/>
    <w:rsid w:val="68C13929"/>
    <w:rsid w:val="68CF6188"/>
    <w:rsid w:val="68D40505"/>
    <w:rsid w:val="68DB13CC"/>
    <w:rsid w:val="68E30E05"/>
    <w:rsid w:val="68F901AD"/>
    <w:rsid w:val="690C6AF1"/>
    <w:rsid w:val="692106A3"/>
    <w:rsid w:val="69242A9F"/>
    <w:rsid w:val="69297EE1"/>
    <w:rsid w:val="693769BC"/>
    <w:rsid w:val="69410B2F"/>
    <w:rsid w:val="694E761A"/>
    <w:rsid w:val="695D5033"/>
    <w:rsid w:val="696C04DD"/>
    <w:rsid w:val="696E6CD6"/>
    <w:rsid w:val="697323D5"/>
    <w:rsid w:val="69810522"/>
    <w:rsid w:val="698426BC"/>
    <w:rsid w:val="69932899"/>
    <w:rsid w:val="699730E5"/>
    <w:rsid w:val="699A135A"/>
    <w:rsid w:val="69A77261"/>
    <w:rsid w:val="69A953A4"/>
    <w:rsid w:val="69B93324"/>
    <w:rsid w:val="69D76BFD"/>
    <w:rsid w:val="69D9209B"/>
    <w:rsid w:val="69E3448F"/>
    <w:rsid w:val="69EB0BB8"/>
    <w:rsid w:val="69ED39F2"/>
    <w:rsid w:val="69F820EF"/>
    <w:rsid w:val="69FA3386"/>
    <w:rsid w:val="69FE2648"/>
    <w:rsid w:val="69FF2EAC"/>
    <w:rsid w:val="6A1416F2"/>
    <w:rsid w:val="6A1D6DB8"/>
    <w:rsid w:val="6A2B2321"/>
    <w:rsid w:val="6A525731"/>
    <w:rsid w:val="6A5F181E"/>
    <w:rsid w:val="6A683E40"/>
    <w:rsid w:val="6A7F2F96"/>
    <w:rsid w:val="6A81438B"/>
    <w:rsid w:val="6A857A6B"/>
    <w:rsid w:val="6A8F6CF6"/>
    <w:rsid w:val="6A901718"/>
    <w:rsid w:val="6A9B7513"/>
    <w:rsid w:val="6AA02919"/>
    <w:rsid w:val="6AA80A00"/>
    <w:rsid w:val="6AAF4000"/>
    <w:rsid w:val="6AB5194E"/>
    <w:rsid w:val="6AB61964"/>
    <w:rsid w:val="6AB63143"/>
    <w:rsid w:val="6AD23BF4"/>
    <w:rsid w:val="6AD62B07"/>
    <w:rsid w:val="6AE0238F"/>
    <w:rsid w:val="6AE20D5D"/>
    <w:rsid w:val="6AE519FD"/>
    <w:rsid w:val="6AE84379"/>
    <w:rsid w:val="6AEB7D56"/>
    <w:rsid w:val="6AEE4AA1"/>
    <w:rsid w:val="6AF528C8"/>
    <w:rsid w:val="6B022560"/>
    <w:rsid w:val="6B1B3B07"/>
    <w:rsid w:val="6B24124E"/>
    <w:rsid w:val="6B2A1B63"/>
    <w:rsid w:val="6B4362DF"/>
    <w:rsid w:val="6B463C35"/>
    <w:rsid w:val="6B4A4137"/>
    <w:rsid w:val="6B4A4702"/>
    <w:rsid w:val="6B4A62A1"/>
    <w:rsid w:val="6B50030B"/>
    <w:rsid w:val="6B504EF3"/>
    <w:rsid w:val="6B534EB6"/>
    <w:rsid w:val="6B546F14"/>
    <w:rsid w:val="6B604690"/>
    <w:rsid w:val="6B662A89"/>
    <w:rsid w:val="6B6B5133"/>
    <w:rsid w:val="6B7F320A"/>
    <w:rsid w:val="6B8C6F93"/>
    <w:rsid w:val="6B9823AC"/>
    <w:rsid w:val="6B99149D"/>
    <w:rsid w:val="6BBA0D4F"/>
    <w:rsid w:val="6BBE458E"/>
    <w:rsid w:val="6BBF6F3A"/>
    <w:rsid w:val="6BC70F58"/>
    <w:rsid w:val="6BD5550F"/>
    <w:rsid w:val="6BDC00B7"/>
    <w:rsid w:val="6BE313E2"/>
    <w:rsid w:val="6BE738B7"/>
    <w:rsid w:val="6BF12D98"/>
    <w:rsid w:val="6BFD4879"/>
    <w:rsid w:val="6C085419"/>
    <w:rsid w:val="6C246147"/>
    <w:rsid w:val="6C2C1892"/>
    <w:rsid w:val="6C2E4DB2"/>
    <w:rsid w:val="6C307D28"/>
    <w:rsid w:val="6C31397A"/>
    <w:rsid w:val="6C4775B2"/>
    <w:rsid w:val="6C483E09"/>
    <w:rsid w:val="6C4F3A3C"/>
    <w:rsid w:val="6C5B498E"/>
    <w:rsid w:val="6C604A93"/>
    <w:rsid w:val="6C68123C"/>
    <w:rsid w:val="6C6D6FBB"/>
    <w:rsid w:val="6C6F424F"/>
    <w:rsid w:val="6C733D3D"/>
    <w:rsid w:val="6C945F94"/>
    <w:rsid w:val="6C994030"/>
    <w:rsid w:val="6CA35E5B"/>
    <w:rsid w:val="6CB84EC0"/>
    <w:rsid w:val="6CBA15A8"/>
    <w:rsid w:val="6CC6045D"/>
    <w:rsid w:val="6CCF41D4"/>
    <w:rsid w:val="6CD16079"/>
    <w:rsid w:val="6CD161C9"/>
    <w:rsid w:val="6CE12D9C"/>
    <w:rsid w:val="6CEC072E"/>
    <w:rsid w:val="6D0E260F"/>
    <w:rsid w:val="6D1E0AEF"/>
    <w:rsid w:val="6D26511D"/>
    <w:rsid w:val="6D2A74D4"/>
    <w:rsid w:val="6D2B3405"/>
    <w:rsid w:val="6D344CB6"/>
    <w:rsid w:val="6D535020"/>
    <w:rsid w:val="6D603AC0"/>
    <w:rsid w:val="6D6B753F"/>
    <w:rsid w:val="6D6F0E39"/>
    <w:rsid w:val="6D6F54AE"/>
    <w:rsid w:val="6D8D3D91"/>
    <w:rsid w:val="6D8F2C0D"/>
    <w:rsid w:val="6D912CFE"/>
    <w:rsid w:val="6DA24504"/>
    <w:rsid w:val="6DA80C31"/>
    <w:rsid w:val="6DAE5EBE"/>
    <w:rsid w:val="6DBD0EAF"/>
    <w:rsid w:val="6DC44E36"/>
    <w:rsid w:val="6DC90F89"/>
    <w:rsid w:val="6DD23840"/>
    <w:rsid w:val="6DE2006F"/>
    <w:rsid w:val="6DE44241"/>
    <w:rsid w:val="6DF47ADD"/>
    <w:rsid w:val="6DFC48B5"/>
    <w:rsid w:val="6E0538A5"/>
    <w:rsid w:val="6E1A1ECF"/>
    <w:rsid w:val="6E2457C6"/>
    <w:rsid w:val="6E3524C2"/>
    <w:rsid w:val="6E35559F"/>
    <w:rsid w:val="6E3E0D3C"/>
    <w:rsid w:val="6E5640C5"/>
    <w:rsid w:val="6E5F2C6D"/>
    <w:rsid w:val="6E61463C"/>
    <w:rsid w:val="6E672882"/>
    <w:rsid w:val="6E6D64F0"/>
    <w:rsid w:val="6E793AB8"/>
    <w:rsid w:val="6E825187"/>
    <w:rsid w:val="6E976BEC"/>
    <w:rsid w:val="6E997F31"/>
    <w:rsid w:val="6EA37EE9"/>
    <w:rsid w:val="6EAD5CFD"/>
    <w:rsid w:val="6EBD2BBC"/>
    <w:rsid w:val="6EC55662"/>
    <w:rsid w:val="6ED25178"/>
    <w:rsid w:val="6EE37A56"/>
    <w:rsid w:val="6EE7024D"/>
    <w:rsid w:val="6EED4691"/>
    <w:rsid w:val="6EFE0309"/>
    <w:rsid w:val="6F0E6C06"/>
    <w:rsid w:val="6F131AF7"/>
    <w:rsid w:val="6F1B215E"/>
    <w:rsid w:val="6F1D37BE"/>
    <w:rsid w:val="6F202F41"/>
    <w:rsid w:val="6F217655"/>
    <w:rsid w:val="6F23376B"/>
    <w:rsid w:val="6F3D1843"/>
    <w:rsid w:val="6F433D24"/>
    <w:rsid w:val="6F46618D"/>
    <w:rsid w:val="6F484F7F"/>
    <w:rsid w:val="6F4A6430"/>
    <w:rsid w:val="6F585D57"/>
    <w:rsid w:val="6F61159C"/>
    <w:rsid w:val="6F741428"/>
    <w:rsid w:val="6F77567F"/>
    <w:rsid w:val="6F7C2B68"/>
    <w:rsid w:val="6F803EEA"/>
    <w:rsid w:val="6F8153D5"/>
    <w:rsid w:val="6F8C4DB9"/>
    <w:rsid w:val="6F955EE4"/>
    <w:rsid w:val="6FA420E7"/>
    <w:rsid w:val="6FB65DB2"/>
    <w:rsid w:val="6FBB4E5C"/>
    <w:rsid w:val="6FC565D0"/>
    <w:rsid w:val="6FCB3EA6"/>
    <w:rsid w:val="6FE06357"/>
    <w:rsid w:val="6FED09BC"/>
    <w:rsid w:val="6FF23F3A"/>
    <w:rsid w:val="6FF7031F"/>
    <w:rsid w:val="6FFD3769"/>
    <w:rsid w:val="6FFE5C40"/>
    <w:rsid w:val="700779BA"/>
    <w:rsid w:val="701A5064"/>
    <w:rsid w:val="701B627A"/>
    <w:rsid w:val="70222BD5"/>
    <w:rsid w:val="70307113"/>
    <w:rsid w:val="70344DC9"/>
    <w:rsid w:val="703534E1"/>
    <w:rsid w:val="703A4681"/>
    <w:rsid w:val="705B5063"/>
    <w:rsid w:val="70605E21"/>
    <w:rsid w:val="70633451"/>
    <w:rsid w:val="70704E7A"/>
    <w:rsid w:val="707178DB"/>
    <w:rsid w:val="70744BA6"/>
    <w:rsid w:val="70775A02"/>
    <w:rsid w:val="70874BDA"/>
    <w:rsid w:val="70890A7A"/>
    <w:rsid w:val="708B4F58"/>
    <w:rsid w:val="70A40957"/>
    <w:rsid w:val="70A95865"/>
    <w:rsid w:val="70B51446"/>
    <w:rsid w:val="70B65CB9"/>
    <w:rsid w:val="70C0289D"/>
    <w:rsid w:val="70DC3F6F"/>
    <w:rsid w:val="70E54E73"/>
    <w:rsid w:val="70ED17FC"/>
    <w:rsid w:val="70F25E7F"/>
    <w:rsid w:val="70FC350F"/>
    <w:rsid w:val="70FE2B8F"/>
    <w:rsid w:val="71013EEA"/>
    <w:rsid w:val="71157051"/>
    <w:rsid w:val="711F0789"/>
    <w:rsid w:val="71215709"/>
    <w:rsid w:val="712835BB"/>
    <w:rsid w:val="712D6ECA"/>
    <w:rsid w:val="71385EBB"/>
    <w:rsid w:val="715C0FCF"/>
    <w:rsid w:val="71665B90"/>
    <w:rsid w:val="717E6A9E"/>
    <w:rsid w:val="7182183A"/>
    <w:rsid w:val="71841AC0"/>
    <w:rsid w:val="71952CF0"/>
    <w:rsid w:val="719B5A2B"/>
    <w:rsid w:val="719F1625"/>
    <w:rsid w:val="71A8173F"/>
    <w:rsid w:val="71AB5C99"/>
    <w:rsid w:val="71C2657D"/>
    <w:rsid w:val="71C37778"/>
    <w:rsid w:val="71C66B55"/>
    <w:rsid w:val="71C85D97"/>
    <w:rsid w:val="71CD32A7"/>
    <w:rsid w:val="71E115ED"/>
    <w:rsid w:val="71E53317"/>
    <w:rsid w:val="71FC6FDA"/>
    <w:rsid w:val="71FE77E7"/>
    <w:rsid w:val="72063429"/>
    <w:rsid w:val="72183F4F"/>
    <w:rsid w:val="72205D8F"/>
    <w:rsid w:val="722969F6"/>
    <w:rsid w:val="72296D6F"/>
    <w:rsid w:val="722D7C29"/>
    <w:rsid w:val="723700F2"/>
    <w:rsid w:val="72563CEC"/>
    <w:rsid w:val="72593335"/>
    <w:rsid w:val="72603ACB"/>
    <w:rsid w:val="72610A66"/>
    <w:rsid w:val="72691324"/>
    <w:rsid w:val="7274188D"/>
    <w:rsid w:val="7274361A"/>
    <w:rsid w:val="727E4017"/>
    <w:rsid w:val="728052F7"/>
    <w:rsid w:val="72812F25"/>
    <w:rsid w:val="729C7C87"/>
    <w:rsid w:val="72A4498D"/>
    <w:rsid w:val="72A77D1E"/>
    <w:rsid w:val="72AA1762"/>
    <w:rsid w:val="72C04D9D"/>
    <w:rsid w:val="72C369A9"/>
    <w:rsid w:val="72D517CB"/>
    <w:rsid w:val="72D925C4"/>
    <w:rsid w:val="730A746E"/>
    <w:rsid w:val="73160033"/>
    <w:rsid w:val="731D373F"/>
    <w:rsid w:val="732330DD"/>
    <w:rsid w:val="73242CE1"/>
    <w:rsid w:val="733B2872"/>
    <w:rsid w:val="733D0C11"/>
    <w:rsid w:val="7365036E"/>
    <w:rsid w:val="737D689B"/>
    <w:rsid w:val="738F7621"/>
    <w:rsid w:val="73A53CE8"/>
    <w:rsid w:val="73A6170B"/>
    <w:rsid w:val="73B579E7"/>
    <w:rsid w:val="73C146FD"/>
    <w:rsid w:val="73D37145"/>
    <w:rsid w:val="73DB040A"/>
    <w:rsid w:val="73E87BB6"/>
    <w:rsid w:val="73EF3D7E"/>
    <w:rsid w:val="73F77193"/>
    <w:rsid w:val="74012BF0"/>
    <w:rsid w:val="74086805"/>
    <w:rsid w:val="74091A64"/>
    <w:rsid w:val="74121AB7"/>
    <w:rsid w:val="742817A0"/>
    <w:rsid w:val="742E48C2"/>
    <w:rsid w:val="7434789C"/>
    <w:rsid w:val="743620AB"/>
    <w:rsid w:val="74403416"/>
    <w:rsid w:val="744A0F12"/>
    <w:rsid w:val="74517CAD"/>
    <w:rsid w:val="74763712"/>
    <w:rsid w:val="74766E22"/>
    <w:rsid w:val="748523C3"/>
    <w:rsid w:val="748705D2"/>
    <w:rsid w:val="748B12AA"/>
    <w:rsid w:val="748F74EF"/>
    <w:rsid w:val="74925631"/>
    <w:rsid w:val="74A40EAA"/>
    <w:rsid w:val="74BA2958"/>
    <w:rsid w:val="74C13C80"/>
    <w:rsid w:val="74C168CD"/>
    <w:rsid w:val="74E425EB"/>
    <w:rsid w:val="74E55A60"/>
    <w:rsid w:val="74F17AEA"/>
    <w:rsid w:val="74F619EA"/>
    <w:rsid w:val="75043DDD"/>
    <w:rsid w:val="750625B1"/>
    <w:rsid w:val="750A47B1"/>
    <w:rsid w:val="750F15BE"/>
    <w:rsid w:val="75297F92"/>
    <w:rsid w:val="753D45A7"/>
    <w:rsid w:val="753F0BD2"/>
    <w:rsid w:val="753F1FC8"/>
    <w:rsid w:val="755032D2"/>
    <w:rsid w:val="7559062E"/>
    <w:rsid w:val="75802507"/>
    <w:rsid w:val="75843EEE"/>
    <w:rsid w:val="758B2E14"/>
    <w:rsid w:val="758C1AF5"/>
    <w:rsid w:val="75905155"/>
    <w:rsid w:val="7592615B"/>
    <w:rsid w:val="759F7ACB"/>
    <w:rsid w:val="75C325E6"/>
    <w:rsid w:val="75D52C58"/>
    <w:rsid w:val="75E707F7"/>
    <w:rsid w:val="75FF7929"/>
    <w:rsid w:val="76027022"/>
    <w:rsid w:val="76047238"/>
    <w:rsid w:val="76087737"/>
    <w:rsid w:val="760D2474"/>
    <w:rsid w:val="761805BB"/>
    <w:rsid w:val="76193B4E"/>
    <w:rsid w:val="761A5E16"/>
    <w:rsid w:val="76204CD2"/>
    <w:rsid w:val="762548F1"/>
    <w:rsid w:val="76441071"/>
    <w:rsid w:val="765066DF"/>
    <w:rsid w:val="76562678"/>
    <w:rsid w:val="765C117F"/>
    <w:rsid w:val="765C7C91"/>
    <w:rsid w:val="76702304"/>
    <w:rsid w:val="76723CFA"/>
    <w:rsid w:val="76730F51"/>
    <w:rsid w:val="767C7EC7"/>
    <w:rsid w:val="76A53483"/>
    <w:rsid w:val="76AA3978"/>
    <w:rsid w:val="76B03A42"/>
    <w:rsid w:val="76BF5471"/>
    <w:rsid w:val="76CC1193"/>
    <w:rsid w:val="76CC1DC2"/>
    <w:rsid w:val="76CF00C8"/>
    <w:rsid w:val="76DA31F1"/>
    <w:rsid w:val="76EA3433"/>
    <w:rsid w:val="76F346B0"/>
    <w:rsid w:val="76F60EB1"/>
    <w:rsid w:val="76F771B9"/>
    <w:rsid w:val="77080613"/>
    <w:rsid w:val="7716015E"/>
    <w:rsid w:val="77183344"/>
    <w:rsid w:val="771B0EBC"/>
    <w:rsid w:val="771F7011"/>
    <w:rsid w:val="77216746"/>
    <w:rsid w:val="7722470B"/>
    <w:rsid w:val="77456248"/>
    <w:rsid w:val="774D3E2D"/>
    <w:rsid w:val="77550B81"/>
    <w:rsid w:val="7761204D"/>
    <w:rsid w:val="778115CE"/>
    <w:rsid w:val="778D191F"/>
    <w:rsid w:val="779275C7"/>
    <w:rsid w:val="77B330D5"/>
    <w:rsid w:val="77B56A42"/>
    <w:rsid w:val="77BC5EF8"/>
    <w:rsid w:val="77CE5BE1"/>
    <w:rsid w:val="77ED2F6A"/>
    <w:rsid w:val="77F03FDA"/>
    <w:rsid w:val="77F90E12"/>
    <w:rsid w:val="77F94CAA"/>
    <w:rsid w:val="780254D2"/>
    <w:rsid w:val="78101B0E"/>
    <w:rsid w:val="781D3DAA"/>
    <w:rsid w:val="78223CFC"/>
    <w:rsid w:val="782D11B6"/>
    <w:rsid w:val="784D29EB"/>
    <w:rsid w:val="78690E08"/>
    <w:rsid w:val="786A0A3A"/>
    <w:rsid w:val="78735AB9"/>
    <w:rsid w:val="78810460"/>
    <w:rsid w:val="7881676A"/>
    <w:rsid w:val="78844251"/>
    <w:rsid w:val="789712D3"/>
    <w:rsid w:val="78A10E53"/>
    <w:rsid w:val="78A630AD"/>
    <w:rsid w:val="78B437A9"/>
    <w:rsid w:val="78B77E15"/>
    <w:rsid w:val="78BC4235"/>
    <w:rsid w:val="78C47F32"/>
    <w:rsid w:val="78FC07F8"/>
    <w:rsid w:val="79045141"/>
    <w:rsid w:val="7907567B"/>
    <w:rsid w:val="79153B64"/>
    <w:rsid w:val="791907FF"/>
    <w:rsid w:val="792755DC"/>
    <w:rsid w:val="792A7CC8"/>
    <w:rsid w:val="793025CA"/>
    <w:rsid w:val="79402E8A"/>
    <w:rsid w:val="79527F07"/>
    <w:rsid w:val="796B7F12"/>
    <w:rsid w:val="79733540"/>
    <w:rsid w:val="79A9019E"/>
    <w:rsid w:val="79B42FEC"/>
    <w:rsid w:val="79B63AAD"/>
    <w:rsid w:val="79B747EC"/>
    <w:rsid w:val="79BD4970"/>
    <w:rsid w:val="79BD717A"/>
    <w:rsid w:val="79C75C56"/>
    <w:rsid w:val="79F275C4"/>
    <w:rsid w:val="79FD6089"/>
    <w:rsid w:val="7A0723E7"/>
    <w:rsid w:val="7A0C5059"/>
    <w:rsid w:val="7A0D4C7B"/>
    <w:rsid w:val="7A141516"/>
    <w:rsid w:val="7A1D7FE1"/>
    <w:rsid w:val="7A1F42F7"/>
    <w:rsid w:val="7A1F7CB1"/>
    <w:rsid w:val="7A3A0ED1"/>
    <w:rsid w:val="7A3C7795"/>
    <w:rsid w:val="7A3E4994"/>
    <w:rsid w:val="7A4930A3"/>
    <w:rsid w:val="7A666D9F"/>
    <w:rsid w:val="7A6730A5"/>
    <w:rsid w:val="7A724452"/>
    <w:rsid w:val="7A766CFC"/>
    <w:rsid w:val="7A772BBC"/>
    <w:rsid w:val="7A784587"/>
    <w:rsid w:val="7A787D82"/>
    <w:rsid w:val="7A7A2FD6"/>
    <w:rsid w:val="7A7E6272"/>
    <w:rsid w:val="7A8040BE"/>
    <w:rsid w:val="7A847AAD"/>
    <w:rsid w:val="7A931A00"/>
    <w:rsid w:val="7A9E40ED"/>
    <w:rsid w:val="7AAA7CDC"/>
    <w:rsid w:val="7AAF24B0"/>
    <w:rsid w:val="7AB979D1"/>
    <w:rsid w:val="7AE83989"/>
    <w:rsid w:val="7B06401A"/>
    <w:rsid w:val="7B066428"/>
    <w:rsid w:val="7B117CCD"/>
    <w:rsid w:val="7B20768D"/>
    <w:rsid w:val="7B263D55"/>
    <w:rsid w:val="7B281992"/>
    <w:rsid w:val="7B292961"/>
    <w:rsid w:val="7B3032F6"/>
    <w:rsid w:val="7B447E26"/>
    <w:rsid w:val="7B4612E8"/>
    <w:rsid w:val="7B4634CB"/>
    <w:rsid w:val="7B480A80"/>
    <w:rsid w:val="7B486D67"/>
    <w:rsid w:val="7B491488"/>
    <w:rsid w:val="7B5D09C5"/>
    <w:rsid w:val="7B607AF4"/>
    <w:rsid w:val="7B694BFB"/>
    <w:rsid w:val="7B6B5909"/>
    <w:rsid w:val="7B707426"/>
    <w:rsid w:val="7B9E7B03"/>
    <w:rsid w:val="7BAA2D08"/>
    <w:rsid w:val="7BAB7212"/>
    <w:rsid w:val="7BB21486"/>
    <w:rsid w:val="7BB4200A"/>
    <w:rsid w:val="7BBD0C0A"/>
    <w:rsid w:val="7BCF3BA5"/>
    <w:rsid w:val="7BD6053C"/>
    <w:rsid w:val="7BE671B1"/>
    <w:rsid w:val="7BE9311A"/>
    <w:rsid w:val="7BF37C8D"/>
    <w:rsid w:val="7BFC26C5"/>
    <w:rsid w:val="7C02295A"/>
    <w:rsid w:val="7C040411"/>
    <w:rsid w:val="7C127733"/>
    <w:rsid w:val="7C1872B1"/>
    <w:rsid w:val="7C1A1C01"/>
    <w:rsid w:val="7C1B1AB2"/>
    <w:rsid w:val="7C1B7AA8"/>
    <w:rsid w:val="7C2415EF"/>
    <w:rsid w:val="7C260517"/>
    <w:rsid w:val="7C2E7930"/>
    <w:rsid w:val="7C3A7ED7"/>
    <w:rsid w:val="7C3C2790"/>
    <w:rsid w:val="7C3E3A95"/>
    <w:rsid w:val="7C455F5C"/>
    <w:rsid w:val="7C504E5F"/>
    <w:rsid w:val="7C66472F"/>
    <w:rsid w:val="7C793E41"/>
    <w:rsid w:val="7C7A4A11"/>
    <w:rsid w:val="7C7F6464"/>
    <w:rsid w:val="7C962567"/>
    <w:rsid w:val="7C9F3E5B"/>
    <w:rsid w:val="7CA074B1"/>
    <w:rsid w:val="7CA507B1"/>
    <w:rsid w:val="7CAB0170"/>
    <w:rsid w:val="7CC16FF5"/>
    <w:rsid w:val="7CC76207"/>
    <w:rsid w:val="7CCC2DCC"/>
    <w:rsid w:val="7CCE614A"/>
    <w:rsid w:val="7CDA5697"/>
    <w:rsid w:val="7CE72722"/>
    <w:rsid w:val="7CF85C26"/>
    <w:rsid w:val="7CFA4D3A"/>
    <w:rsid w:val="7D004E05"/>
    <w:rsid w:val="7D1E42E6"/>
    <w:rsid w:val="7D2631AD"/>
    <w:rsid w:val="7D310F09"/>
    <w:rsid w:val="7D4E5163"/>
    <w:rsid w:val="7D6A1D7D"/>
    <w:rsid w:val="7D70048D"/>
    <w:rsid w:val="7D820685"/>
    <w:rsid w:val="7D845903"/>
    <w:rsid w:val="7D93256E"/>
    <w:rsid w:val="7D936746"/>
    <w:rsid w:val="7DA07875"/>
    <w:rsid w:val="7DA1159E"/>
    <w:rsid w:val="7DA51E59"/>
    <w:rsid w:val="7DA737B9"/>
    <w:rsid w:val="7DB06003"/>
    <w:rsid w:val="7DB452FD"/>
    <w:rsid w:val="7DDA33C5"/>
    <w:rsid w:val="7DE16D40"/>
    <w:rsid w:val="7E0624AF"/>
    <w:rsid w:val="7E062F36"/>
    <w:rsid w:val="7E067C60"/>
    <w:rsid w:val="7E0761C6"/>
    <w:rsid w:val="7E097CCE"/>
    <w:rsid w:val="7E0B2A9C"/>
    <w:rsid w:val="7E0B4774"/>
    <w:rsid w:val="7E3279DD"/>
    <w:rsid w:val="7E3B6107"/>
    <w:rsid w:val="7E4037BC"/>
    <w:rsid w:val="7E4159AD"/>
    <w:rsid w:val="7E480A69"/>
    <w:rsid w:val="7E5704FB"/>
    <w:rsid w:val="7E6D7893"/>
    <w:rsid w:val="7E8048A0"/>
    <w:rsid w:val="7E8340C9"/>
    <w:rsid w:val="7E8E3797"/>
    <w:rsid w:val="7E924469"/>
    <w:rsid w:val="7E9C6F80"/>
    <w:rsid w:val="7EA228E5"/>
    <w:rsid w:val="7EAB2915"/>
    <w:rsid w:val="7EB20B08"/>
    <w:rsid w:val="7EBA0464"/>
    <w:rsid w:val="7EC93614"/>
    <w:rsid w:val="7ECF3225"/>
    <w:rsid w:val="7ED32ED2"/>
    <w:rsid w:val="7EE277FD"/>
    <w:rsid w:val="7EFA26DC"/>
    <w:rsid w:val="7F120551"/>
    <w:rsid w:val="7F123262"/>
    <w:rsid w:val="7F1846DD"/>
    <w:rsid w:val="7F277D80"/>
    <w:rsid w:val="7F3B19CE"/>
    <w:rsid w:val="7F3B3B52"/>
    <w:rsid w:val="7F421ABF"/>
    <w:rsid w:val="7F447CBD"/>
    <w:rsid w:val="7F5849C8"/>
    <w:rsid w:val="7F5D46B5"/>
    <w:rsid w:val="7F5E68DD"/>
    <w:rsid w:val="7F627BD8"/>
    <w:rsid w:val="7F834D72"/>
    <w:rsid w:val="7F853B09"/>
    <w:rsid w:val="7F92250B"/>
    <w:rsid w:val="7F977055"/>
    <w:rsid w:val="7F992D85"/>
    <w:rsid w:val="7FA624BA"/>
    <w:rsid w:val="7FA8577C"/>
    <w:rsid w:val="7FB46A34"/>
    <w:rsid w:val="7FB46B49"/>
    <w:rsid w:val="7FD152B8"/>
    <w:rsid w:val="7FE42AB6"/>
    <w:rsid w:val="7FF61152"/>
    <w:rsid w:val="7FF6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5"/>
    <w:semiHidden/>
    <w:unhideWhenUsed/>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7">
    <w:name w:val="heading 3"/>
    <w:basedOn w:val="1"/>
    <w:next w:val="1"/>
    <w:qFormat/>
    <w:uiPriority w:val="0"/>
    <w:pPr>
      <w:numPr>
        <w:ilvl w:val="2"/>
        <w:numId w:val="1"/>
      </w:numPr>
      <w:adjustRightInd w:val="0"/>
      <w:spacing w:before="120" w:beforeLines="50" w:after="120" w:afterLines="50"/>
      <w:ind w:firstLineChars="0"/>
      <w:jc w:val="left"/>
      <w:outlineLvl w:val="2"/>
    </w:pPr>
    <w:rPr>
      <w:rFonts w:ascii="Times New Roman" w:hAnsi="Times New Roman"/>
      <w:b/>
      <w:bCs/>
      <w:sz w:val="32"/>
      <w:szCs w:val="32"/>
    </w:rPr>
  </w:style>
  <w:style w:type="paragraph" w:styleId="8">
    <w:name w:val="heading 4"/>
    <w:basedOn w:val="1"/>
    <w:next w:val="1"/>
    <w:qFormat/>
    <w:uiPriority w:val="0"/>
    <w:pPr>
      <w:keepNext/>
      <w:keepLines/>
      <w:widowControl/>
      <w:numPr>
        <w:ilvl w:val="3"/>
        <w:numId w:val="1"/>
      </w:numPr>
      <w:adjustRightInd w:val="0"/>
      <w:spacing w:before="120" w:after="120"/>
      <w:ind w:firstLineChars="0"/>
      <w:jc w:val="left"/>
      <w:outlineLvl w:val="3"/>
    </w:pPr>
    <w:rPr>
      <w:rFonts w:ascii="Arial" w:hAnsi="Arial"/>
      <w:b/>
      <w:bCs/>
      <w:sz w:val="30"/>
      <w:szCs w:val="28"/>
    </w:rPr>
  </w:style>
  <w:style w:type="paragraph" w:styleId="9">
    <w:name w:val="heading 5"/>
    <w:basedOn w:val="1"/>
    <w:next w:val="1"/>
    <w:qFormat/>
    <w:uiPriority w:val="1"/>
    <w:pPr>
      <w:ind w:left="998"/>
      <w:outlineLvl w:val="5"/>
    </w:pPr>
    <w:rPr>
      <w:rFonts w:ascii="宋体" w:hAnsi="宋体" w:eastAsia="宋体" w:cs="宋体"/>
      <w:b/>
      <w:bCs/>
      <w:sz w:val="28"/>
      <w:szCs w:val="28"/>
      <w:lang w:val="zh-CN" w:eastAsia="zh-CN" w:bidi="zh-CN"/>
    </w:rPr>
  </w:style>
  <w:style w:type="paragraph" w:styleId="10">
    <w:name w:val="heading 6"/>
    <w:basedOn w:val="1"/>
    <w:next w:val="1"/>
    <w:qFormat/>
    <w:uiPriority w:val="1"/>
    <w:pPr>
      <w:ind w:left="1066" w:hanging="849"/>
      <w:outlineLvl w:val="6"/>
    </w:pPr>
    <w:rPr>
      <w:rFonts w:ascii="宋体" w:hAnsi="宋体" w:eastAsia="宋体" w:cs="宋体"/>
      <w:b/>
      <w:bCs/>
      <w:i/>
      <w:sz w:val="25"/>
      <w:szCs w:val="25"/>
      <w:lang w:val="zh-CN" w:eastAsia="zh-CN" w:bidi="zh-CN"/>
    </w:rPr>
  </w:style>
  <w:style w:type="paragraph" w:styleId="11">
    <w:name w:val="heading 7"/>
    <w:basedOn w:val="1"/>
    <w:next w:val="1"/>
    <w:qFormat/>
    <w:uiPriority w:val="1"/>
    <w:pPr>
      <w:ind w:left="886"/>
      <w:outlineLvl w:val="7"/>
    </w:pPr>
    <w:rPr>
      <w:rFonts w:ascii="宋体" w:hAnsi="宋体" w:eastAsia="宋体" w:cs="宋体"/>
      <w:b/>
      <w:bCs/>
      <w:sz w:val="24"/>
      <w:szCs w:val="24"/>
      <w:lang w:val="zh-CN" w:eastAsia="zh-CN" w:bidi="zh-CN"/>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next w:val="6"/>
    <w:qFormat/>
    <w:uiPriority w:val="0"/>
    <w:pPr>
      <w:ind w:firstLine="420"/>
    </w:pPr>
    <w:rPr>
      <w:rFonts w:eastAsia="宋体"/>
      <w:sz w:val="21"/>
      <w:szCs w:val="20"/>
    </w:rPr>
  </w:style>
  <w:style w:type="paragraph" w:styleId="6">
    <w:name w:val="toc 4"/>
    <w:next w:val="1"/>
    <w:unhideWhenUsed/>
    <w:qFormat/>
    <w:uiPriority w:val="31"/>
    <w:pPr>
      <w:spacing w:line="400" w:lineRule="exact"/>
      <w:ind w:left="1275"/>
      <w:jc w:val="both"/>
    </w:pPr>
    <w:rPr>
      <w:rFonts w:ascii="Calibri" w:hAnsi="Calibri" w:eastAsia="宋体" w:cs="Times New Roman"/>
      <w:kern w:val="2"/>
      <w:sz w:val="21"/>
      <w:szCs w:val="21"/>
      <w:lang w:val="en-US" w:eastAsia="zh-CN" w:bidi="ar-SA"/>
    </w:r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annotation text"/>
    <w:basedOn w:val="1"/>
    <w:qFormat/>
    <w:uiPriority w:val="0"/>
    <w:pPr>
      <w:jc w:val="left"/>
    </w:pPr>
  </w:style>
  <w:style w:type="paragraph" w:styleId="14">
    <w:name w:val="Body Text Indent"/>
    <w:basedOn w:val="1"/>
    <w:next w:val="15"/>
    <w:qFormat/>
    <w:uiPriority w:val="0"/>
    <w:pPr>
      <w:widowControl/>
      <w:ind w:left="426" w:hanging="426" w:hangingChars="152"/>
      <w:jc w:val="left"/>
    </w:pPr>
    <w:rPr>
      <w:rFonts w:ascii="宋体"/>
      <w:kern w:val="0"/>
    </w:rPr>
  </w:style>
  <w:style w:type="paragraph" w:styleId="15">
    <w:name w:val="Body Text First Indent 2"/>
    <w:basedOn w:val="14"/>
    <w:next w:val="16"/>
    <w:qFormat/>
    <w:uiPriority w:val="0"/>
    <w:pPr>
      <w:ind w:firstLine="420" w:firstLineChars="200"/>
    </w:pPr>
  </w:style>
  <w:style w:type="paragraph" w:styleId="16">
    <w:name w:val="Body Text First Indent"/>
    <w:basedOn w:val="2"/>
    <w:next w:val="15"/>
    <w:qFormat/>
    <w:uiPriority w:val="0"/>
    <w:pPr>
      <w:ind w:firstLine="420" w:firstLineChars="100"/>
    </w:pPr>
    <w:rPr>
      <w:rFonts w:eastAsia="仿宋_GB2312"/>
      <w:sz w:val="28"/>
    </w:rPr>
  </w:style>
  <w:style w:type="paragraph" w:styleId="17">
    <w:name w:val="List 2"/>
    <w:basedOn w:val="1"/>
    <w:qFormat/>
    <w:uiPriority w:val="0"/>
    <w:pPr>
      <w:ind w:left="100" w:leftChars="200" w:hanging="200" w:hangingChars="200"/>
    </w:pPr>
  </w:style>
  <w:style w:type="paragraph" w:styleId="18">
    <w:name w:val="toc 3"/>
    <w:basedOn w:val="1"/>
    <w:next w:val="1"/>
    <w:qFormat/>
    <w:uiPriority w:val="0"/>
    <w:pPr>
      <w:ind w:left="840" w:leftChars="400"/>
    </w:pPr>
  </w:style>
  <w:style w:type="paragraph" w:styleId="19">
    <w:name w:val="Plain Text"/>
    <w:basedOn w:val="1"/>
    <w:qFormat/>
    <w:uiPriority w:val="99"/>
    <w:rPr>
      <w:rFonts w:ascii="宋体" w:hAnsi="Courier New"/>
      <w:szCs w:val="21"/>
    </w:rPr>
  </w:style>
  <w:style w:type="paragraph" w:styleId="20">
    <w:name w:val="footer"/>
    <w:basedOn w:val="1"/>
    <w:link w:val="110"/>
    <w:qFormat/>
    <w:uiPriority w:val="0"/>
    <w:pPr>
      <w:tabs>
        <w:tab w:val="center" w:pos="4153"/>
        <w:tab w:val="right" w:pos="8306"/>
      </w:tabs>
      <w:snapToGrid w:val="0"/>
      <w:jc w:val="left"/>
    </w:pPr>
    <w:rPr>
      <w:rFonts w:eastAsia="宋体"/>
      <w:kern w:val="2"/>
      <w:sz w:val="18"/>
      <w:szCs w:val="18"/>
      <w:lang w:val="en-US" w:eastAsia="zh-CN" w:bidi="ar-SA"/>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szCs w:val="24"/>
    </w:rPr>
  </w:style>
  <w:style w:type="paragraph" w:styleId="23">
    <w:name w:val="toc 2"/>
    <w:basedOn w:val="1"/>
    <w:next w:val="1"/>
    <w:qFormat/>
    <w:uiPriority w:val="0"/>
    <w:pPr>
      <w:ind w:left="420" w:leftChars="200"/>
    </w:pPr>
    <w:rPr>
      <w:sz w:val="21"/>
      <w:szCs w:val="24"/>
    </w:rPr>
  </w:style>
  <w:style w:type="paragraph" w:styleId="24">
    <w:name w:val="Body Text 2"/>
    <w:basedOn w:val="1"/>
    <w:qFormat/>
    <w:uiPriority w:val="99"/>
    <w:rPr>
      <w:sz w:val="28"/>
    </w:rPr>
  </w:style>
  <w:style w:type="paragraph" w:styleId="25">
    <w:name w:val="HTML Preformatted"/>
    <w:basedOn w:val="1"/>
    <w:qFormat/>
    <w:uiPriority w:val="0"/>
    <w:pPr>
      <w:jc w:val="left"/>
    </w:pPr>
    <w:rPr>
      <w:rFonts w:ascii="Arial" w:hAnsi="Arial" w:cs="Arial"/>
      <w:kern w:val="0"/>
      <w:sz w:val="24"/>
    </w:rPr>
  </w:style>
  <w:style w:type="paragraph" w:styleId="26">
    <w:name w:val="Normal (Web)"/>
    <w:basedOn w:val="1"/>
    <w:qFormat/>
    <w:uiPriority w:val="0"/>
    <w:pPr>
      <w:spacing w:before="0" w:beforeAutospacing="0" w:after="0" w:afterAutospacing="0"/>
      <w:ind w:left="0" w:right="0"/>
      <w:jc w:val="left"/>
    </w:pPr>
    <w:rPr>
      <w:kern w:val="0"/>
      <w:sz w:val="24"/>
      <w:lang w:val="en-US" w:eastAsia="zh-CN" w:bidi="ar"/>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color w:val="555555"/>
      <w:sz w:val="16"/>
      <w:szCs w:val="16"/>
      <w:bdr w:val="single" w:color="CCCCCC" w:sz="4" w:space="0"/>
      <w:shd w:val="clear" w:fill="FFFFFF"/>
    </w:rPr>
  </w:style>
  <w:style w:type="character" w:styleId="31">
    <w:name w:val="page number"/>
    <w:basedOn w:val="29"/>
    <w:qFormat/>
    <w:uiPriority w:val="0"/>
  </w:style>
  <w:style w:type="character" w:styleId="32">
    <w:name w:val="FollowedHyperlink"/>
    <w:basedOn w:val="29"/>
    <w:qFormat/>
    <w:uiPriority w:val="0"/>
    <w:rPr>
      <w:color w:val="333333"/>
      <w:u w:val="none"/>
    </w:rPr>
  </w:style>
  <w:style w:type="character" w:styleId="33">
    <w:name w:val="Emphasis"/>
    <w:basedOn w:val="29"/>
    <w:qFormat/>
    <w:uiPriority w:val="0"/>
  </w:style>
  <w:style w:type="character" w:styleId="34">
    <w:name w:val="HTML Definition"/>
    <w:basedOn w:val="29"/>
    <w:qFormat/>
    <w:uiPriority w:val="0"/>
    <w:rPr>
      <w:i/>
      <w:color w:val="555555"/>
      <w:sz w:val="16"/>
      <w:szCs w:val="16"/>
      <w:bdr w:val="single" w:color="CCCCCC" w:sz="4" w:space="0"/>
      <w:shd w:val="clear" w:fill="FFFFFF"/>
    </w:rPr>
  </w:style>
  <w:style w:type="character" w:styleId="35">
    <w:name w:val="HTML Typewriter"/>
    <w:basedOn w:val="29"/>
    <w:qFormat/>
    <w:uiPriority w:val="0"/>
    <w:rPr>
      <w:rFonts w:hint="default" w:ascii="monospace" w:hAnsi="monospace" w:eastAsia="monospace" w:cs="monospace"/>
      <w:sz w:val="19"/>
      <w:szCs w:val="19"/>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0"/>
    <w:rPr>
      <w:rFonts w:ascii="宋体" w:hAnsi="宋体" w:eastAsia="宋体"/>
      <w:b/>
      <w:color w:val="0000FF"/>
      <w:kern w:val="2"/>
      <w:sz w:val="24"/>
      <w:szCs w:val="24"/>
      <w:u w:val="single"/>
      <w:lang w:val="en-US" w:eastAsia="zh-CN" w:bidi="ar-SA"/>
    </w:rPr>
  </w:style>
  <w:style w:type="character" w:styleId="39">
    <w:name w:val="HTML Code"/>
    <w:basedOn w:val="29"/>
    <w:qFormat/>
    <w:uiPriority w:val="0"/>
    <w:rPr>
      <w:rFonts w:hint="default" w:ascii="Menlo" w:hAnsi="Menlo" w:eastAsia="Menlo" w:cs="Menlo"/>
      <w:color w:val="C7254E"/>
      <w:sz w:val="21"/>
      <w:szCs w:val="21"/>
      <w:shd w:val="clear" w:fill="F9F2F4"/>
    </w:rPr>
  </w:style>
  <w:style w:type="character" w:styleId="40">
    <w:name w:val="HTML Cite"/>
    <w:basedOn w:val="29"/>
    <w:qFormat/>
    <w:uiPriority w:val="0"/>
  </w:style>
  <w:style w:type="character" w:styleId="41">
    <w:name w:val="HTML Keyboard"/>
    <w:basedOn w:val="29"/>
    <w:qFormat/>
    <w:uiPriority w:val="0"/>
    <w:rPr>
      <w:rFonts w:ascii="Menlo" w:hAnsi="Menlo" w:eastAsia="Menlo" w:cs="Menlo"/>
      <w:color w:val="FFFFFF"/>
      <w:sz w:val="21"/>
      <w:szCs w:val="21"/>
      <w:shd w:val="clear" w:fill="333333"/>
    </w:rPr>
  </w:style>
  <w:style w:type="character" w:styleId="42">
    <w:name w:val="HTML Sample"/>
    <w:basedOn w:val="29"/>
    <w:qFormat/>
    <w:uiPriority w:val="0"/>
    <w:rPr>
      <w:rFonts w:hint="default" w:ascii="Menlo" w:hAnsi="Menlo" w:eastAsia="Menlo" w:cs="Menlo"/>
      <w:sz w:val="21"/>
      <w:szCs w:val="21"/>
    </w:rPr>
  </w:style>
  <w:style w:type="paragraph" w:customStyle="1" w:styleId="43">
    <w:name w:val="正文格式"/>
    <w:basedOn w:val="1"/>
    <w:qFormat/>
    <w:uiPriority w:val="0"/>
    <w:pPr>
      <w:adjustRightInd w:val="0"/>
      <w:snapToGrid w:val="0"/>
      <w:spacing w:line="400" w:lineRule="atLeast"/>
      <w:ind w:firstLine="482"/>
      <w:textAlignment w:val="baseline"/>
    </w:p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正文缩进1"/>
    <w:basedOn w:val="1"/>
    <w:qFormat/>
    <w:uiPriority w:val="0"/>
    <w:pPr>
      <w:ind w:firstLine="420" w:firstLineChars="200"/>
    </w:p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_Style 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9">
    <w:name w:val="p15"/>
    <w:basedOn w:val="1"/>
    <w:qFormat/>
    <w:uiPriority w:val="99"/>
    <w:pPr>
      <w:widowControl/>
    </w:pPr>
    <w:rPr>
      <w:kern w:val="0"/>
      <w:sz w:val="21"/>
      <w:szCs w:val="21"/>
    </w:rPr>
  </w:style>
  <w:style w:type="paragraph" w:customStyle="1" w:styleId="50">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51">
    <w:name w:val="old"/>
    <w:basedOn w:val="29"/>
    <w:qFormat/>
    <w:uiPriority w:val="0"/>
    <w:rPr>
      <w:color w:val="999999"/>
    </w:rPr>
  </w:style>
  <w:style w:type="character" w:customStyle="1" w:styleId="52">
    <w:name w:val="hover3"/>
    <w:basedOn w:val="29"/>
    <w:qFormat/>
    <w:uiPriority w:val="0"/>
    <w:rPr>
      <w:shd w:val="clear" w:fill="EEEEEE"/>
    </w:rPr>
  </w:style>
  <w:style w:type="character" w:customStyle="1" w:styleId="53">
    <w:name w:val="glyphicon4"/>
    <w:basedOn w:val="29"/>
    <w:qFormat/>
    <w:uiPriority w:val="0"/>
  </w:style>
  <w:style w:type="character" w:customStyle="1" w:styleId="54">
    <w:name w:val="hour_am"/>
    <w:basedOn w:val="29"/>
    <w:qFormat/>
    <w:uiPriority w:val="0"/>
  </w:style>
  <w:style w:type="character" w:customStyle="1" w:styleId="55">
    <w:name w:val="hour_pm"/>
    <w:basedOn w:val="29"/>
    <w:qFormat/>
    <w:uiPriority w:val="0"/>
  </w:style>
  <w:style w:type="character" w:customStyle="1" w:styleId="56">
    <w:name w:val="button"/>
    <w:basedOn w:val="29"/>
    <w:qFormat/>
    <w:uiPriority w:val="0"/>
  </w:style>
  <w:style w:type="character" w:customStyle="1" w:styleId="57">
    <w:name w:val="tmpztreemove_arrow"/>
    <w:basedOn w:val="29"/>
    <w:qFormat/>
    <w:uiPriority w:val="0"/>
    <w:rPr>
      <w:shd w:val="clear" w:fill="FFFFFF"/>
    </w:rPr>
  </w:style>
  <w:style w:type="paragraph" w:customStyle="1" w:styleId="58">
    <w:name w:val="正文文本1"/>
    <w:basedOn w:val="1"/>
    <w:unhideWhenUsed/>
    <w:qFormat/>
    <w:uiPriority w:val="0"/>
    <w:pPr>
      <w:shd w:val="clear" w:color="auto" w:fill="FFFFFF"/>
      <w:spacing w:line="240" w:lineRule="atLeast"/>
      <w:jc w:val="left"/>
    </w:pPr>
    <w:rPr>
      <w:rFonts w:ascii="Times New Roman" w:hAnsi="Times New Roman" w:eastAsia="Times New Roman"/>
      <w:kern w:val="0"/>
      <w:sz w:val="11"/>
      <w:szCs w:val="20"/>
    </w:rPr>
  </w:style>
  <w:style w:type="paragraph" w:styleId="59">
    <w:name w:val="List Paragraph"/>
    <w:basedOn w:val="1"/>
    <w:next w:val="1"/>
    <w:qFormat/>
    <w:uiPriority w:val="99"/>
    <w:pPr>
      <w:ind w:firstLine="420" w:firstLineChars="200"/>
    </w:pPr>
  </w:style>
  <w:style w:type="paragraph" w:customStyle="1" w:styleId="60">
    <w:name w:val="标准文本"/>
    <w:basedOn w:val="1"/>
    <w:qFormat/>
    <w:uiPriority w:val="0"/>
    <w:pPr>
      <w:widowControl/>
      <w:ind w:firstLine="480"/>
      <w:jc w:val="left"/>
    </w:pPr>
    <w:rPr>
      <w:rFonts w:ascii="Times New Roman" w:hAnsi="Times New Roman"/>
      <w:szCs w:val="20"/>
    </w:rPr>
  </w:style>
  <w:style w:type="paragraph" w:customStyle="1" w:styleId="61">
    <w:name w:val="_正文段落"/>
    <w:basedOn w:val="1"/>
    <w:qFormat/>
    <w:uiPriority w:val="0"/>
    <w:pPr>
      <w:spacing w:beforeLines="15" w:afterLines="15"/>
    </w:pPr>
    <w:rPr>
      <w:rFonts w:ascii="Times New Roman" w:hAnsi="Times New Roman"/>
      <w:szCs w:val="24"/>
    </w:rPr>
  </w:style>
  <w:style w:type="paragraph" w:customStyle="1" w:styleId="62">
    <w:name w:val="表格内容"/>
    <w:basedOn w:val="1"/>
    <w:qFormat/>
    <w:uiPriority w:val="0"/>
    <w:pPr>
      <w:ind w:firstLine="0" w:firstLineChars="0"/>
      <w:jc w:val="left"/>
    </w:pPr>
  </w:style>
  <w:style w:type="character" w:customStyle="1" w:styleId="63">
    <w:name w:val="proollist"/>
    <w:basedOn w:val="29"/>
    <w:qFormat/>
    <w:uiPriority w:val="0"/>
  </w:style>
  <w:style w:type="character" w:customStyle="1" w:styleId="64">
    <w:name w:val="beforeinfotext"/>
    <w:basedOn w:val="29"/>
    <w:qFormat/>
    <w:uiPriority w:val="0"/>
    <w:rPr>
      <w:color w:val="666666"/>
    </w:rPr>
  </w:style>
  <w:style w:type="character" w:customStyle="1" w:styleId="65">
    <w:name w:val="number"/>
    <w:basedOn w:val="29"/>
    <w:qFormat/>
    <w:uiPriority w:val="0"/>
    <w:rPr>
      <w:color w:val="FF8833"/>
      <w:sz w:val="18"/>
      <w:szCs w:val="18"/>
    </w:rPr>
  </w:style>
  <w:style w:type="character" w:customStyle="1" w:styleId="66">
    <w:name w:val="stclosebtn"/>
    <w:basedOn w:val="29"/>
    <w:qFormat/>
    <w:uiPriority w:val="0"/>
  </w:style>
  <w:style w:type="character" w:customStyle="1" w:styleId="67">
    <w:name w:val="phone"/>
    <w:basedOn w:val="29"/>
    <w:qFormat/>
    <w:uiPriority w:val="0"/>
    <w:rPr>
      <w:color w:val="FF8833"/>
      <w:sz w:val="18"/>
      <w:szCs w:val="18"/>
    </w:rPr>
  </w:style>
  <w:style w:type="paragraph" w:customStyle="1" w:styleId="68">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9">
    <w:name w:val="正文文字2"/>
    <w:basedOn w:val="2"/>
    <w:qFormat/>
    <w:uiPriority w:val="0"/>
    <w:pPr>
      <w:adjustRightInd w:val="0"/>
      <w:spacing w:after="60" w:line="360" w:lineRule="atLeast"/>
      <w:ind w:left="72" w:leftChars="30" w:right="72" w:rightChars="30"/>
      <w:jc w:val="center"/>
      <w:textAlignment w:val="baseline"/>
    </w:pPr>
    <w:rPr>
      <w:rFonts w:ascii="Arial" w:hAnsi="Times New Roman" w:eastAsia="黑体"/>
      <w:kern w:val="0"/>
      <w:szCs w:val="20"/>
    </w:rPr>
  </w:style>
  <w:style w:type="paragraph" w:customStyle="1" w:styleId="7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71">
    <w:name w:val="dd"/>
    <w:basedOn w:val="1"/>
    <w:qFormat/>
    <w:uiPriority w:val="0"/>
    <w:pPr>
      <w:pBdr>
        <w:left w:val="none" w:color="auto" w:sz="0" w:space="0"/>
      </w:pBdr>
      <w:jc w:val="left"/>
    </w:pPr>
    <w:rPr>
      <w:kern w:val="0"/>
      <w:lang w:val="en-US" w:eastAsia="zh-CN" w:bidi="ar"/>
    </w:rPr>
  </w:style>
  <w:style w:type="paragraph" w:customStyle="1" w:styleId="72">
    <w:name w:val="列出段落4"/>
    <w:basedOn w:val="1"/>
    <w:qFormat/>
    <w:uiPriority w:val="99"/>
    <w:pPr>
      <w:ind w:firstLine="420" w:firstLineChars="200"/>
    </w:pPr>
    <w:rPr>
      <w:rFonts w:ascii="Calibri" w:hAnsi="Calibri"/>
      <w:szCs w:val="22"/>
    </w:rPr>
  </w:style>
  <w:style w:type="paragraph" w:customStyle="1" w:styleId="73">
    <w:name w:val="标书"/>
    <w:basedOn w:val="1"/>
    <w:qFormat/>
    <w:uiPriority w:val="0"/>
    <w:pPr>
      <w:shd w:val="clear" w:color="auto" w:fill="FFFFFF"/>
      <w:spacing w:line="360" w:lineRule="auto"/>
      <w:ind w:firstLine="480"/>
      <w:jc w:val="left"/>
    </w:pPr>
    <w:rPr>
      <w:rFonts w:ascii="宋体" w:hAnsi="宋体"/>
      <w:sz w:val="24"/>
      <w:shd w:val="clear" w:color="auto" w:fill="FFFFFF"/>
    </w:rPr>
  </w:style>
  <w:style w:type="paragraph" w:customStyle="1" w:styleId="74">
    <w:name w:val="Table Paragraph"/>
    <w:basedOn w:val="1"/>
    <w:qFormat/>
    <w:uiPriority w:val="1"/>
    <w:rPr>
      <w:rFonts w:ascii="宋体" w:hAnsi="宋体" w:eastAsia="宋体" w:cs="宋体"/>
      <w:lang w:val="zh-CN" w:eastAsia="zh-CN" w:bidi="zh-CN"/>
    </w:rPr>
  </w:style>
  <w:style w:type="character" w:customStyle="1" w:styleId="75">
    <w:name w:val="font21"/>
    <w:basedOn w:val="29"/>
    <w:qFormat/>
    <w:uiPriority w:val="0"/>
    <w:rPr>
      <w:rFonts w:hint="eastAsia" w:ascii="宋体" w:hAnsi="宋体" w:eastAsia="宋体" w:cs="宋体"/>
      <w:color w:val="000000"/>
      <w:sz w:val="24"/>
      <w:szCs w:val="24"/>
      <w:u w:val="none"/>
    </w:rPr>
  </w:style>
  <w:style w:type="character" w:customStyle="1" w:styleId="76">
    <w:name w:val="font11"/>
    <w:basedOn w:val="29"/>
    <w:qFormat/>
    <w:uiPriority w:val="0"/>
    <w:rPr>
      <w:rFonts w:hint="eastAsia" w:ascii="宋体" w:hAnsi="宋体" w:eastAsia="宋体" w:cs="宋体"/>
      <w:color w:val="0000FF"/>
      <w:sz w:val="24"/>
      <w:szCs w:val="24"/>
      <w:u w:val="none"/>
    </w:rPr>
  </w:style>
  <w:style w:type="paragraph" w:customStyle="1" w:styleId="77">
    <w:name w:val="Titre fiche"/>
    <w:basedOn w:val="1"/>
    <w:qFormat/>
    <w:uiPriority w:val="0"/>
    <w:pPr>
      <w:widowControl/>
      <w:tabs>
        <w:tab w:val="left" w:pos="2800"/>
      </w:tabs>
      <w:spacing w:before="120" w:beforeLines="0" w:after="180" w:afterLines="0" w:line="480" w:lineRule="atLeast"/>
      <w:ind w:left="1701"/>
    </w:pPr>
    <w:rPr>
      <w:rFonts w:ascii="Arial" w:hAnsi="Arial" w:cs="Arial"/>
      <w:i/>
      <w:caps/>
      <w:kern w:val="0"/>
      <w:sz w:val="18"/>
      <w:szCs w:val="20"/>
      <w:u w:val="single"/>
      <w:lang w:val="en-GB" w:eastAsia="fr-FR"/>
    </w:rPr>
  </w:style>
  <w:style w:type="character" w:customStyle="1" w:styleId="78">
    <w:name w:val="input-direction"/>
    <w:basedOn w:val="29"/>
    <w:qFormat/>
    <w:uiPriority w:val="0"/>
    <w:rPr>
      <w:color w:val="FF6600"/>
    </w:rPr>
  </w:style>
  <w:style w:type="character" w:customStyle="1" w:styleId="79">
    <w:name w:val="span-long"/>
    <w:basedOn w:val="29"/>
    <w:qFormat/>
    <w:uiPriority w:val="0"/>
  </w:style>
  <w:style w:type="character" w:customStyle="1" w:styleId="80">
    <w:name w:val="hilite6"/>
    <w:basedOn w:val="29"/>
    <w:qFormat/>
    <w:uiPriority w:val="0"/>
    <w:rPr>
      <w:color w:val="FFFFFF"/>
      <w:shd w:val="clear" w:fill="666677"/>
    </w:rPr>
  </w:style>
  <w:style w:type="character" w:customStyle="1" w:styleId="81">
    <w:name w:val="active6"/>
    <w:basedOn w:val="29"/>
    <w:qFormat/>
    <w:uiPriority w:val="0"/>
    <w:rPr>
      <w:color w:val="00FF00"/>
      <w:shd w:val="clear" w:fill="000000"/>
    </w:rPr>
  </w:style>
  <w:style w:type="character" w:customStyle="1" w:styleId="82">
    <w:name w:val="font01"/>
    <w:basedOn w:val="29"/>
    <w:qFormat/>
    <w:uiPriority w:val="0"/>
    <w:rPr>
      <w:rFonts w:hint="default" w:ascii="等线" w:hAnsi="等线" w:eastAsia="等线" w:cs="等线"/>
      <w:color w:val="FF0000"/>
      <w:sz w:val="22"/>
      <w:szCs w:val="22"/>
      <w:u w:val="none"/>
    </w:rPr>
  </w:style>
  <w:style w:type="character" w:customStyle="1" w:styleId="83">
    <w:name w:val="indent"/>
    <w:basedOn w:val="29"/>
    <w:qFormat/>
    <w:uiPriority w:val="0"/>
  </w:style>
  <w:style w:type="character" w:customStyle="1" w:styleId="84">
    <w:name w:val="active"/>
    <w:basedOn w:val="29"/>
    <w:qFormat/>
    <w:uiPriority w:val="0"/>
    <w:rPr>
      <w:color w:val="00FF00"/>
      <w:shd w:val="clear" w:fill="000000"/>
    </w:rPr>
  </w:style>
  <w:style w:type="character" w:customStyle="1" w:styleId="85">
    <w:name w:val="button2"/>
    <w:basedOn w:val="29"/>
    <w:qFormat/>
    <w:uiPriority w:val="0"/>
  </w:style>
  <w:style w:type="paragraph" w:customStyle="1" w:styleId="86">
    <w:name w:val="title1"/>
    <w:basedOn w:val="1"/>
    <w:qFormat/>
    <w:uiPriority w:val="0"/>
    <w:pPr>
      <w:spacing w:before="120" w:beforeAutospacing="0" w:after="0" w:afterAutospacing="0"/>
      <w:ind w:left="0" w:right="0" w:firstLine="0"/>
      <w:jc w:val="left"/>
    </w:pPr>
    <w:rPr>
      <w:b/>
      <w:kern w:val="0"/>
      <w:sz w:val="18"/>
      <w:szCs w:val="18"/>
      <w:lang w:val="en-US" w:eastAsia="zh-CN" w:bidi="ar"/>
    </w:rPr>
  </w:style>
  <w:style w:type="paragraph" w:customStyle="1" w:styleId="87">
    <w:name w:val="title12"/>
    <w:basedOn w:val="1"/>
    <w:qFormat/>
    <w:uiPriority w:val="0"/>
    <w:pPr>
      <w:spacing w:before="120" w:beforeAutospacing="0" w:after="0" w:afterAutospacing="0"/>
      <w:ind w:left="0" w:right="0" w:firstLine="0"/>
      <w:jc w:val="left"/>
    </w:pPr>
    <w:rPr>
      <w:b/>
      <w:kern w:val="0"/>
      <w:sz w:val="18"/>
      <w:szCs w:val="18"/>
      <w:lang w:val="en-US" w:eastAsia="zh-CN" w:bidi="ar"/>
    </w:rPr>
  </w:style>
  <w:style w:type="character" w:customStyle="1" w:styleId="88">
    <w:name w:val="font31"/>
    <w:basedOn w:val="29"/>
    <w:qFormat/>
    <w:uiPriority w:val="0"/>
    <w:rPr>
      <w:rFonts w:hint="eastAsia" w:ascii="仿宋" w:hAnsi="仿宋" w:eastAsia="仿宋" w:cs="仿宋"/>
      <w:color w:val="FF0000"/>
      <w:sz w:val="20"/>
      <w:szCs w:val="20"/>
      <w:u w:val="none"/>
    </w:rPr>
  </w:style>
  <w:style w:type="character" w:customStyle="1" w:styleId="89">
    <w:name w:val="font41"/>
    <w:basedOn w:val="29"/>
    <w:qFormat/>
    <w:uiPriority w:val="0"/>
    <w:rPr>
      <w:rFonts w:hint="eastAsia" w:ascii="仿宋" w:hAnsi="仿宋" w:eastAsia="仿宋" w:cs="仿宋"/>
      <w:color w:val="000000"/>
      <w:sz w:val="20"/>
      <w:szCs w:val="20"/>
      <w:u w:val="none"/>
    </w:rPr>
  </w:style>
  <w:style w:type="character" w:customStyle="1" w:styleId="90">
    <w:name w:val="font71"/>
    <w:basedOn w:val="29"/>
    <w:qFormat/>
    <w:uiPriority w:val="0"/>
    <w:rPr>
      <w:rFonts w:ascii="Arial" w:hAnsi="Arial" w:cs="Arial"/>
      <w:color w:val="000000"/>
      <w:sz w:val="20"/>
      <w:szCs w:val="20"/>
      <w:u w:val="none"/>
    </w:rPr>
  </w:style>
  <w:style w:type="character" w:customStyle="1" w:styleId="91">
    <w:name w:val="hover"/>
    <w:basedOn w:val="29"/>
    <w:qFormat/>
    <w:uiPriority w:val="0"/>
    <w:rPr>
      <w:shd w:val="clear" w:fill="EEEEEE"/>
    </w:rPr>
  </w:style>
  <w:style w:type="character" w:customStyle="1" w:styleId="92">
    <w:name w:val="font51"/>
    <w:basedOn w:val="29"/>
    <w:qFormat/>
    <w:uiPriority w:val="0"/>
    <w:rPr>
      <w:rFonts w:hint="eastAsia" w:ascii="宋体" w:hAnsi="宋体" w:eastAsia="宋体" w:cs="宋体"/>
      <w:b/>
      <w:color w:val="000000"/>
      <w:sz w:val="24"/>
      <w:szCs w:val="24"/>
      <w:u w:val="none"/>
    </w:rPr>
  </w:style>
  <w:style w:type="paragraph" w:customStyle="1" w:styleId="93">
    <w:name w:val="表 靠左"/>
    <w:basedOn w:val="1"/>
    <w:qFormat/>
    <w:uiPriority w:val="0"/>
    <w:pPr>
      <w:jc w:val="left"/>
    </w:pPr>
    <w:rPr>
      <w:rFonts w:ascii="Times New Roman" w:hAnsi="Times New Roman" w:cs="Times New Roman"/>
      <w:szCs w:val="21"/>
    </w:rPr>
  </w:style>
  <w:style w:type="paragraph" w:customStyle="1" w:styleId="94">
    <w:name w:val="正文11"/>
    <w:basedOn w:val="1"/>
    <w:next w:val="1"/>
    <w:qFormat/>
    <w:uiPriority w:val="0"/>
    <w:pPr>
      <w:widowControl/>
      <w:topLinePunct/>
      <w:autoSpaceDE/>
      <w:autoSpaceDN/>
      <w:snapToGrid w:val="0"/>
      <w:spacing w:line="340" w:lineRule="exact"/>
      <w:textAlignment w:val="auto"/>
    </w:pPr>
    <w:rPr>
      <w:rFonts w:hAnsi="宋体" w:eastAsia="黑体"/>
      <w:b/>
      <w:sz w:val="25"/>
      <w:szCs w:val="22"/>
      <w:lang w:eastAsia="en-US"/>
    </w:rPr>
  </w:style>
  <w:style w:type="character" w:customStyle="1" w:styleId="95">
    <w:name w:val="font81"/>
    <w:basedOn w:val="29"/>
    <w:qFormat/>
    <w:uiPriority w:val="0"/>
    <w:rPr>
      <w:rFonts w:hint="eastAsia" w:ascii="宋体" w:hAnsi="宋体" w:eastAsia="宋体" w:cs="宋体"/>
      <w:color w:val="000000"/>
      <w:sz w:val="20"/>
      <w:szCs w:val="20"/>
      <w:u w:val="none"/>
    </w:rPr>
  </w:style>
  <w:style w:type="paragraph" w:customStyle="1" w:styleId="96">
    <w:name w:val="默认段落字体 Para Char Char Char Char22"/>
    <w:basedOn w:val="1"/>
    <w:qFormat/>
    <w:uiPriority w:val="0"/>
  </w:style>
  <w:style w:type="paragraph" w:customStyle="1" w:styleId="97">
    <w:name w:val="标准正文样式"/>
    <w:basedOn w:val="98"/>
    <w:qFormat/>
    <w:uiPriority w:val="0"/>
    <w:pPr>
      <w:ind w:firstLine="200"/>
    </w:pPr>
  </w:style>
  <w:style w:type="paragraph" w:customStyle="1" w:styleId="98">
    <w:name w:val="样式 样式 正文首行缩进 2 + 首行缩进:  2 字符 + 首行缩进:  2 字符"/>
    <w:basedOn w:val="1"/>
    <w:qFormat/>
    <w:uiPriority w:val="0"/>
    <w:pPr>
      <w:spacing w:line="360" w:lineRule="auto"/>
      <w:ind w:firstLine="480" w:firstLineChars="200"/>
    </w:pPr>
    <w:rPr>
      <w:sz w:val="24"/>
      <w:szCs w:val="20"/>
    </w:rPr>
  </w:style>
  <w:style w:type="paragraph" w:customStyle="1" w:styleId="99">
    <w:name w:val="ParaAttribute1"/>
    <w:qFormat/>
    <w:uiPriority w:val="0"/>
    <w:pPr>
      <w:widowControl w:val="0"/>
      <w:tabs>
        <w:tab w:val="left" w:pos="4860"/>
      </w:tabs>
      <w:spacing w:line="500" w:lineRule="exact"/>
      <w:jc w:val="both"/>
    </w:pPr>
    <w:rPr>
      <w:rFonts w:ascii="Times New Roman" w:hAnsi="Times New Roman" w:eastAsia="宋体" w:cs="Times New Roman"/>
      <w:lang w:val="en-US" w:eastAsia="zh-CN" w:bidi="ar-SA"/>
    </w:rPr>
  </w:style>
  <w:style w:type="character" w:customStyle="1" w:styleId="100">
    <w:name w:val="CharAttribute1"/>
    <w:qFormat/>
    <w:uiPriority w:val="0"/>
    <w:rPr>
      <w:rFonts w:ascii="仿宋_GB2312" w:eastAsia="仿宋_GB2312"/>
      <w:sz w:val="24"/>
    </w:rPr>
  </w:style>
  <w:style w:type="paragraph" w:customStyle="1" w:styleId="101">
    <w:name w:val="ParaAttribute2"/>
    <w:qFormat/>
    <w:uiPriority w:val="0"/>
    <w:pPr>
      <w:widowControl w:val="0"/>
      <w:tabs>
        <w:tab w:val="left" w:pos="4860"/>
      </w:tabs>
      <w:spacing w:line="500" w:lineRule="exact"/>
      <w:ind w:firstLine="240"/>
      <w:jc w:val="both"/>
    </w:pPr>
    <w:rPr>
      <w:rFonts w:ascii="Times New Roman" w:hAnsi="Times New Roman" w:eastAsia="宋体" w:cs="Times New Roman"/>
      <w:lang w:val="en-US" w:eastAsia="zh-CN" w:bidi="ar-SA"/>
    </w:rPr>
  </w:style>
  <w:style w:type="paragraph" w:customStyle="1" w:styleId="102">
    <w:name w:val="ParaAttribute4"/>
    <w:qFormat/>
    <w:uiPriority w:val="0"/>
    <w:pPr>
      <w:widowControl w:val="0"/>
      <w:tabs>
        <w:tab w:val="left" w:pos="4860"/>
      </w:tabs>
      <w:spacing w:line="500" w:lineRule="exact"/>
      <w:ind w:left="240"/>
      <w:jc w:val="both"/>
    </w:pPr>
    <w:rPr>
      <w:rFonts w:ascii="Times New Roman" w:hAnsi="Times New Roman" w:eastAsia="宋体" w:cs="Times New Roman"/>
      <w:lang w:val="en-US" w:eastAsia="zh-CN" w:bidi="ar-SA"/>
    </w:rPr>
  </w:style>
  <w:style w:type="paragraph" w:customStyle="1" w:styleId="10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04">
    <w:name w:val="NormalCharacter"/>
    <w:qFormat/>
    <w:uiPriority w:val="0"/>
  </w:style>
  <w:style w:type="paragraph" w:customStyle="1" w:styleId="105">
    <w:name w:val="PlainText"/>
    <w:basedOn w:val="1"/>
    <w:qFormat/>
    <w:uiPriority w:val="0"/>
    <w:pPr>
      <w:widowControl/>
      <w:textAlignment w:val="baseline"/>
    </w:pPr>
    <w:rPr>
      <w:rFonts w:ascii="宋体" w:cs="Times New Roman"/>
      <w:szCs w:val="20"/>
    </w:rPr>
  </w:style>
  <w:style w:type="character" w:customStyle="1" w:styleId="106">
    <w:name w:val="style91"/>
    <w:basedOn w:val="29"/>
    <w:qFormat/>
    <w:uiPriority w:val="0"/>
    <w:rPr>
      <w:color w:val="000000"/>
    </w:rPr>
  </w:style>
  <w:style w:type="character" w:customStyle="1" w:styleId="107">
    <w:name w:val="active4"/>
    <w:basedOn w:val="29"/>
    <w:qFormat/>
    <w:uiPriority w:val="0"/>
    <w:rPr>
      <w:color w:val="00FF00"/>
      <w:shd w:val="clear" w:fill="000000"/>
    </w:rPr>
  </w:style>
  <w:style w:type="paragraph" w:customStyle="1" w:styleId="108">
    <w:name w:val="默认段落字体 Para Char Char Char Char"/>
    <w:basedOn w:val="1"/>
    <w:qFormat/>
    <w:uiPriority w:val="0"/>
  </w:style>
  <w:style w:type="character" w:customStyle="1" w:styleId="109">
    <w:name w:val="font91"/>
    <w:basedOn w:val="29"/>
    <w:qFormat/>
    <w:uiPriority w:val="0"/>
    <w:rPr>
      <w:rFonts w:hint="eastAsia" w:ascii="宋体" w:hAnsi="宋体" w:eastAsia="宋体" w:cs="宋体"/>
      <w:color w:val="000000"/>
      <w:sz w:val="20"/>
      <w:szCs w:val="20"/>
      <w:u w:val="none"/>
      <w:vertAlign w:val="subscript"/>
    </w:rPr>
  </w:style>
  <w:style w:type="character" w:customStyle="1" w:styleId="110">
    <w:name w:val="页脚 Char"/>
    <w:basedOn w:val="29"/>
    <w:link w:val="20"/>
    <w:qFormat/>
    <w:uiPriority w:val="0"/>
    <w:rPr>
      <w:rFonts w:hint="default"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72</Pages>
  <Words>32400</Words>
  <Characters>34607</Characters>
  <Lines>0</Lines>
  <Paragraphs>0</Paragraphs>
  <TotalTime>7</TotalTime>
  <ScaleCrop>false</ScaleCrop>
  <LinksUpToDate>false</LinksUpToDate>
  <CharactersWithSpaces>37532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她说</cp:lastModifiedBy>
  <cp:lastPrinted>2022-06-28T00:41:50Z</cp:lastPrinted>
  <dcterms:modified xsi:type="dcterms:W3CDTF">2022-06-28T00:42:04Z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FA04B0E44DD34DC2B7AF53F3008726AF</vt:lpwstr>
  </property>
</Properties>
</file>