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val="0"/>
          <w:color w:val="auto"/>
          <w:sz w:val="32"/>
          <w:szCs w:val="32"/>
        </w:rPr>
      </w:pPr>
      <w:bookmarkStart w:id="0" w:name="_Toc183682338"/>
      <w:bookmarkStart w:id="1" w:name="_Toc217446030"/>
      <w:r>
        <w:rPr>
          <w:rFonts w:hint="eastAsia" w:ascii="宋体" w:hAnsi="宋体" w:eastAsia="宋体" w:cs="宋体"/>
          <w:b/>
          <w:bCs w:val="0"/>
          <w:color w:val="auto"/>
          <w:sz w:val="32"/>
          <w:szCs w:val="32"/>
        </w:rPr>
        <w:t>政府采购项目</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rPr>
        <w:t>采购项目编号：</w:t>
      </w:r>
      <w:r>
        <w:rPr>
          <w:rFonts w:hint="eastAsia" w:ascii="宋体" w:hAnsi="宋体" w:cs="宋体"/>
          <w:b/>
          <w:color w:val="auto"/>
          <w:sz w:val="32"/>
          <w:lang w:val="en-US" w:eastAsia="zh-CN"/>
        </w:rPr>
        <w:t>YZZB-2022-051</w:t>
      </w:r>
    </w:p>
    <w:p>
      <w:pPr>
        <w:pStyle w:val="14"/>
        <w:jc w:val="center"/>
        <w:rPr>
          <w:rFonts w:hint="eastAsia" w:cs="仿宋_GB2312" w:asciiTheme="minorEastAsia" w:hAnsiTheme="minorEastAsia" w:eastAsiaTheme="minorEastAsia"/>
          <w:b/>
          <w:bCs/>
          <w:color w:val="auto"/>
          <w:sz w:val="56"/>
          <w:szCs w:val="56"/>
          <w:lang w:eastAsia="zh-CN"/>
        </w:rPr>
      </w:pPr>
    </w:p>
    <w:p>
      <w:pPr>
        <w:pStyle w:val="14"/>
        <w:rPr>
          <w:color w:val="auto"/>
        </w:rPr>
      </w:pPr>
      <w:r>
        <w:rPr>
          <w:rFonts w:hint="eastAsia" w:cs="仿宋_GB2312" w:asciiTheme="minorEastAsia" w:hAnsiTheme="minorEastAsia" w:eastAsiaTheme="minorEastAsia"/>
          <w:b/>
          <w:bCs/>
          <w:color w:val="auto"/>
          <w:sz w:val="56"/>
          <w:szCs w:val="56"/>
          <w:lang w:eastAsia="zh-CN"/>
        </w:rPr>
        <w:t>鲁桥镇西区农村生活污水治理建设项目</w:t>
      </w:r>
    </w:p>
    <w:p>
      <w:pPr>
        <w:pStyle w:val="14"/>
        <w:rPr>
          <w:color w:val="auto"/>
        </w:rPr>
      </w:pPr>
    </w:p>
    <w:p>
      <w:pPr>
        <w:jc w:val="center"/>
        <w:rPr>
          <w:rFonts w:cs="仿宋_GB2312" w:asciiTheme="minorEastAsia" w:hAnsiTheme="minorEastAsia" w:eastAsiaTheme="minorEastAsia"/>
          <w:b/>
          <w:color w:val="auto"/>
          <w:sz w:val="40"/>
          <w:szCs w:val="32"/>
        </w:rPr>
      </w:pPr>
      <w:r>
        <w:rPr>
          <w:rFonts w:hint="eastAsia" w:cs="仿宋_GB2312" w:asciiTheme="minorEastAsia" w:hAnsiTheme="minorEastAsia" w:eastAsiaTheme="minorEastAsia"/>
          <w:b/>
          <w:color w:val="auto"/>
          <w:sz w:val="72"/>
          <w:szCs w:val="72"/>
          <w:lang w:eastAsia="zh-CN"/>
        </w:rPr>
        <w:t>竞争性谈判</w:t>
      </w:r>
      <w:r>
        <w:rPr>
          <w:rFonts w:hint="eastAsia" w:cs="仿宋_GB2312" w:asciiTheme="minorEastAsia" w:hAnsiTheme="minorEastAsia" w:eastAsiaTheme="minorEastAsia"/>
          <w:b/>
          <w:color w:val="auto"/>
          <w:sz w:val="72"/>
          <w:szCs w:val="72"/>
        </w:rPr>
        <w:t>文件</w:t>
      </w:r>
    </w:p>
    <w:p>
      <w:pPr>
        <w:pStyle w:val="22"/>
        <w:jc w:val="center"/>
        <w:rPr>
          <w:rFonts w:hint="eastAsia" w:asciiTheme="minorEastAsia" w:hAnsiTheme="minorEastAsia" w:eastAsiaTheme="minorEastAsia"/>
          <w:color w:val="auto"/>
          <w:lang w:eastAsia="zh-CN"/>
        </w:rPr>
      </w:pPr>
    </w:p>
    <w:p>
      <w:pPr>
        <w:pStyle w:val="22"/>
        <w:jc w:val="center"/>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drawing>
          <wp:inline distT="0" distB="0" distL="114300" distR="114300">
            <wp:extent cx="2645410" cy="2645410"/>
            <wp:effectExtent l="0" t="0" r="2540" b="2540"/>
            <wp:docPr id="3" name="图片 3" descr="7baaeb6231b94665937627eb79c6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aaeb6231b94665937627eb79c636b"/>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2645410" cy="2645410"/>
                    </a:xfrm>
                    <a:prstGeom prst="rect">
                      <a:avLst/>
                    </a:prstGeom>
                  </pic:spPr>
                </pic:pic>
              </a:graphicData>
            </a:graphic>
          </wp:inline>
        </w:drawing>
      </w:r>
    </w:p>
    <w:p>
      <w:pPr>
        <w:rPr>
          <w:rFonts w:cs="仿宋_GB2312" w:asciiTheme="minorEastAsia" w:hAnsiTheme="minorEastAsia" w:eastAsiaTheme="minorEastAsia"/>
          <w:color w:val="auto"/>
          <w:sz w:val="32"/>
        </w:rPr>
      </w:pPr>
    </w:p>
    <w:p>
      <w:pPr>
        <w:pStyle w:val="14"/>
        <w:rPr>
          <w:color w:val="auto"/>
        </w:rPr>
      </w:pPr>
    </w:p>
    <w:p>
      <w:pPr>
        <w:pStyle w:val="14"/>
        <w:rPr>
          <w:color w:val="auto"/>
        </w:rPr>
      </w:pPr>
    </w:p>
    <w:p>
      <w:pPr>
        <w:rPr>
          <w:color w:val="auto"/>
        </w:rPr>
      </w:pPr>
    </w:p>
    <w:p>
      <w:pPr>
        <w:pStyle w:val="18"/>
        <w:rPr>
          <w:color w:val="auto"/>
        </w:rPr>
      </w:pPr>
    </w:p>
    <w:p>
      <w:pPr>
        <w:pStyle w:val="18"/>
        <w:rPr>
          <w:color w:val="auto"/>
        </w:rPr>
      </w:pPr>
    </w:p>
    <w:p>
      <w:pPr>
        <w:pStyle w:val="18"/>
        <w:rPr>
          <w:color w:val="auto"/>
        </w:rPr>
      </w:pPr>
    </w:p>
    <w:p>
      <w:pPr>
        <w:pStyle w:val="18"/>
        <w:rPr>
          <w:color w:val="auto"/>
        </w:rPr>
      </w:pPr>
    </w:p>
    <w:p>
      <w:pPr>
        <w:rPr>
          <w:color w:val="auto"/>
        </w:rPr>
      </w:pPr>
    </w:p>
    <w:p>
      <w:pPr>
        <w:pStyle w:val="14"/>
        <w:rPr>
          <w:color w:val="auto"/>
        </w:rPr>
      </w:pPr>
    </w:p>
    <w:p>
      <w:pPr>
        <w:keepNext w:val="0"/>
        <w:keepLines w:val="0"/>
        <w:pageBreakBefore w:val="0"/>
        <w:widowControl w:val="0"/>
        <w:kinsoku/>
        <w:wordWrap/>
        <w:overflowPunct/>
        <w:topLinePunct w:val="0"/>
        <w:autoSpaceDE/>
        <w:autoSpaceDN/>
        <w:bidi w:val="0"/>
        <w:adjustRightInd/>
        <w:snapToGrid w:val="0"/>
        <w:spacing w:line="600" w:lineRule="auto"/>
        <w:ind w:firstLine="1807" w:firstLineChars="600"/>
        <w:textAlignment w:val="auto"/>
        <w:rPr>
          <w:rFonts w:hint="eastAsia" w:cs="仿宋_GB2312" w:asciiTheme="minorEastAsia" w:hAnsiTheme="minorEastAsia" w:eastAsiaTheme="minorEastAsia"/>
          <w:b/>
          <w:color w:val="auto"/>
          <w:sz w:val="30"/>
          <w:szCs w:val="30"/>
          <w:lang w:eastAsia="zh-CN"/>
        </w:rPr>
      </w:pPr>
      <w:r>
        <w:rPr>
          <w:rFonts w:hint="eastAsia" w:cs="仿宋_GB2312" w:asciiTheme="minorEastAsia" w:hAnsiTheme="minorEastAsia" w:eastAsiaTheme="minorEastAsia"/>
          <w:b/>
          <w:color w:val="auto"/>
          <w:sz w:val="30"/>
          <w:szCs w:val="30"/>
        </w:rPr>
        <w:t xml:space="preserve">采 </w:t>
      </w:r>
      <w:r>
        <w:rPr>
          <w:rFonts w:hint="eastAsia" w:cs="仿宋_GB2312" w:asciiTheme="minorEastAsia" w:hAnsiTheme="minorEastAsia" w:eastAsiaTheme="minorEastAsia"/>
          <w:b/>
          <w:color w:val="auto"/>
          <w:sz w:val="30"/>
          <w:szCs w:val="30"/>
          <w:lang w:val="en-US" w:eastAsia="zh-CN"/>
        </w:rPr>
        <w:t xml:space="preserve">  </w:t>
      </w:r>
      <w:r>
        <w:rPr>
          <w:rFonts w:hint="eastAsia" w:cs="仿宋_GB2312" w:asciiTheme="minorEastAsia" w:hAnsiTheme="minorEastAsia" w:eastAsiaTheme="minorEastAsia"/>
          <w:b/>
          <w:color w:val="auto"/>
          <w:sz w:val="30"/>
          <w:szCs w:val="30"/>
        </w:rPr>
        <w:t xml:space="preserve">购 </w:t>
      </w:r>
      <w:r>
        <w:rPr>
          <w:rFonts w:hint="eastAsia" w:cs="仿宋_GB2312" w:asciiTheme="minorEastAsia" w:hAnsiTheme="minorEastAsia" w:eastAsiaTheme="minorEastAsia"/>
          <w:b/>
          <w:color w:val="auto"/>
          <w:sz w:val="30"/>
          <w:szCs w:val="30"/>
          <w:lang w:val="en-US" w:eastAsia="zh-CN"/>
        </w:rPr>
        <w:t xml:space="preserve">  </w:t>
      </w:r>
      <w:r>
        <w:rPr>
          <w:rFonts w:hint="eastAsia" w:cs="仿宋_GB2312" w:asciiTheme="minorEastAsia" w:hAnsiTheme="minorEastAsia" w:eastAsiaTheme="minorEastAsia"/>
          <w:b/>
          <w:color w:val="auto"/>
          <w:sz w:val="30"/>
          <w:szCs w:val="30"/>
        </w:rPr>
        <w:t>人：</w:t>
      </w:r>
      <w:r>
        <w:rPr>
          <w:rFonts w:hint="eastAsia" w:cs="仿宋_GB2312" w:asciiTheme="minorEastAsia" w:hAnsiTheme="minorEastAsia" w:eastAsiaTheme="minorEastAsia"/>
          <w:b/>
          <w:color w:val="auto"/>
          <w:sz w:val="30"/>
          <w:szCs w:val="30"/>
          <w:lang w:val="en-US" w:eastAsia="zh-CN"/>
        </w:rPr>
        <w:t>三原县</w:t>
      </w:r>
      <w:r>
        <w:rPr>
          <w:rFonts w:hint="eastAsia" w:cs="仿宋_GB2312" w:asciiTheme="minorEastAsia" w:hAnsiTheme="minorEastAsia" w:eastAsiaTheme="minorEastAsia"/>
          <w:b/>
          <w:color w:val="auto"/>
          <w:sz w:val="30"/>
          <w:szCs w:val="30"/>
          <w:lang w:eastAsia="zh-CN"/>
        </w:rPr>
        <w:t>鲁桥镇人民政府</w:t>
      </w:r>
    </w:p>
    <w:p>
      <w:pPr>
        <w:keepNext w:val="0"/>
        <w:keepLines w:val="0"/>
        <w:pageBreakBefore w:val="0"/>
        <w:widowControl w:val="0"/>
        <w:kinsoku/>
        <w:wordWrap/>
        <w:overflowPunct/>
        <w:topLinePunct w:val="0"/>
        <w:autoSpaceDE/>
        <w:autoSpaceDN/>
        <w:bidi w:val="0"/>
        <w:adjustRightInd/>
        <w:snapToGrid w:val="0"/>
        <w:spacing w:line="600" w:lineRule="auto"/>
        <w:ind w:firstLine="1807" w:firstLineChars="600"/>
        <w:jc w:val="left"/>
        <w:textAlignment w:val="auto"/>
        <w:rPr>
          <w:rFonts w:cs="仿宋_GB2312" w:asciiTheme="minorEastAsia" w:hAnsiTheme="minorEastAsia" w:eastAsiaTheme="minorEastAsia"/>
          <w:b/>
          <w:color w:val="auto"/>
          <w:sz w:val="30"/>
          <w:szCs w:val="30"/>
        </w:rPr>
      </w:pPr>
      <w:r>
        <w:rPr>
          <w:rFonts w:hint="eastAsia" w:cs="仿宋_GB2312" w:asciiTheme="minorEastAsia" w:hAnsiTheme="minorEastAsia" w:eastAsiaTheme="minorEastAsia"/>
          <w:b/>
          <w:color w:val="auto"/>
          <w:sz w:val="30"/>
          <w:szCs w:val="30"/>
        </w:rPr>
        <w:t>采购代理机构：</w:t>
      </w:r>
      <w:r>
        <w:rPr>
          <w:rFonts w:hint="eastAsia" w:cs="仿宋_GB2312" w:asciiTheme="minorEastAsia" w:hAnsiTheme="minorEastAsia" w:eastAsiaTheme="minorEastAsia"/>
          <w:b/>
          <w:color w:val="auto"/>
          <w:sz w:val="30"/>
          <w:szCs w:val="30"/>
          <w:lang w:eastAsia="zh-CN"/>
        </w:rPr>
        <w:t>陕西优正项目管理有限公司</w:t>
      </w:r>
      <w:r>
        <w:rPr>
          <w:rFonts w:hint="eastAsia" w:cs="仿宋_GB2312" w:asciiTheme="minorEastAsia" w:hAnsiTheme="minorEastAsia" w:eastAsiaTheme="minorEastAsia"/>
          <w:b/>
          <w:color w:val="auto"/>
          <w:sz w:val="30"/>
          <w:szCs w:val="3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auto"/>
        <w:jc w:val="center"/>
        <w:textAlignment w:val="auto"/>
        <w:rPr>
          <w:rFonts w:hint="eastAsia" w:ascii="宋体" w:hAnsi="宋体"/>
          <w:b/>
          <w:color w:val="auto"/>
          <w:sz w:val="28"/>
          <w:szCs w:val="28"/>
          <w:highlight w:val="none"/>
          <w:lang w:val="en-US" w:eastAsia="zh-CN"/>
        </w:rPr>
        <w:sectPr>
          <w:headerReference r:id="rId4" w:type="first"/>
          <w:headerReference r:id="rId3" w:type="default"/>
          <w:pgSz w:w="11906" w:h="16838"/>
          <w:pgMar w:top="1440" w:right="1080" w:bottom="1440" w:left="1080" w:header="851" w:footer="992" w:gutter="0"/>
          <w:cols w:space="720" w:num="1"/>
          <w:titlePg/>
          <w:docGrid w:linePitch="312" w:charSpace="0"/>
        </w:sectPr>
      </w:pPr>
      <w:r>
        <w:rPr>
          <w:rFonts w:hint="eastAsia" w:cs="仿宋_GB2312" w:asciiTheme="minorEastAsia" w:hAnsiTheme="minorEastAsia" w:eastAsiaTheme="minorEastAsia"/>
          <w:b/>
          <w:color w:val="auto"/>
          <w:sz w:val="30"/>
          <w:szCs w:val="30"/>
        </w:rPr>
        <w:t>二零二</w:t>
      </w:r>
      <w:r>
        <w:rPr>
          <w:rFonts w:hint="eastAsia" w:cs="仿宋_GB2312" w:asciiTheme="minorEastAsia" w:hAnsiTheme="minorEastAsia" w:eastAsiaTheme="minorEastAsia"/>
          <w:b/>
          <w:color w:val="auto"/>
          <w:sz w:val="30"/>
          <w:szCs w:val="30"/>
          <w:lang w:eastAsia="zh-CN"/>
        </w:rPr>
        <w:t>二</w:t>
      </w:r>
      <w:r>
        <w:rPr>
          <w:rFonts w:hint="eastAsia" w:cs="仿宋_GB2312" w:asciiTheme="minorEastAsia" w:hAnsiTheme="minorEastAsia" w:eastAsiaTheme="minorEastAsia"/>
          <w:b/>
          <w:color w:val="auto"/>
          <w:sz w:val="30"/>
          <w:szCs w:val="30"/>
        </w:rPr>
        <w:t>年</w:t>
      </w:r>
      <w:r>
        <w:rPr>
          <w:rFonts w:hint="eastAsia" w:cs="仿宋_GB2312" w:asciiTheme="minorEastAsia" w:hAnsiTheme="minorEastAsia" w:eastAsiaTheme="minorEastAsia"/>
          <w:b/>
          <w:color w:val="auto"/>
          <w:sz w:val="30"/>
          <w:szCs w:val="30"/>
          <w:lang w:val="en-US" w:eastAsia="zh-CN"/>
        </w:rPr>
        <w:t>十二</w:t>
      </w:r>
      <w:r>
        <w:rPr>
          <w:rFonts w:hint="eastAsia" w:cs="仿宋_GB2312" w:asciiTheme="minorEastAsia" w:hAnsiTheme="minorEastAsia" w:eastAsiaTheme="minorEastAsia"/>
          <w:b/>
          <w:color w:val="auto"/>
          <w:sz w:val="30"/>
          <w:szCs w:val="30"/>
        </w:rPr>
        <w:t>月</w:t>
      </w:r>
      <w:r>
        <w:rPr>
          <w:rFonts w:hint="eastAsia" w:ascii="宋体" w:hAnsi="宋体"/>
          <w:b/>
          <w:color w:val="auto"/>
          <w:sz w:val="28"/>
          <w:szCs w:val="28"/>
          <w:highlight w:val="none"/>
          <w:lang w:val="en-US" w:eastAsia="zh-CN"/>
        </w:rPr>
        <w:t xml:space="preserve"> </w:t>
      </w:r>
      <w:bookmarkEnd w:id="0"/>
      <w:bookmarkEnd w:id="1"/>
    </w:p>
    <w:p>
      <w:pPr>
        <w:shd w:val="clear"/>
        <w:spacing w:line="760" w:lineRule="exact"/>
        <w:jc w:val="center"/>
        <w:rPr>
          <w:rFonts w:ascii="宋体" w:hAnsi="宋体"/>
          <w:b/>
          <w:color w:val="auto"/>
          <w:sz w:val="44"/>
          <w:szCs w:val="44"/>
          <w:highlight w:val="none"/>
          <w:lang w:val="zh-CN"/>
        </w:rPr>
      </w:pPr>
      <w:r>
        <w:rPr>
          <w:rFonts w:ascii="宋体" w:hAnsi="宋体"/>
          <w:b/>
          <w:color w:val="auto"/>
          <w:sz w:val="44"/>
          <w:szCs w:val="44"/>
          <w:highlight w:val="none"/>
          <w:lang w:val="zh-CN"/>
        </w:rPr>
        <w:t>目</w:t>
      </w:r>
      <w:r>
        <w:rPr>
          <w:rFonts w:hint="eastAsia" w:ascii="宋体" w:hAnsi="宋体"/>
          <w:b/>
          <w:color w:val="auto"/>
          <w:sz w:val="44"/>
          <w:szCs w:val="44"/>
          <w:highlight w:val="none"/>
          <w:lang w:val="zh-CN"/>
        </w:rPr>
        <w:t xml:space="preserve"> </w:t>
      </w:r>
      <w:r>
        <w:rPr>
          <w:rFonts w:ascii="宋体" w:hAnsi="宋体"/>
          <w:b/>
          <w:color w:val="auto"/>
          <w:sz w:val="44"/>
          <w:szCs w:val="44"/>
          <w:highlight w:val="none"/>
          <w:lang w:val="zh-CN"/>
        </w:rPr>
        <w:t>录</w:t>
      </w:r>
    </w:p>
    <w:p>
      <w:pPr>
        <w:keepNext w:val="0"/>
        <w:keepLines w:val="0"/>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p>
    <w:p>
      <w:pPr>
        <w:pStyle w:val="2"/>
        <w:tabs>
          <w:tab w:val="right" w:leader="hyphen" w:pos="9746"/>
        </w:tabs>
        <w:rPr>
          <w:rFonts w:hint="eastAsia" w:ascii="宋体" w:hAnsi="宋体" w:eastAsia="宋体" w:cs="宋体"/>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_Toc11542 </w:instrText>
      </w:r>
      <w:r>
        <w:rPr>
          <w:rFonts w:hint="eastAsia" w:ascii="宋体" w:hAnsi="宋体" w:eastAsia="宋体" w:cs="宋体"/>
          <w:szCs w:val="28"/>
          <w:highlight w:val="none"/>
        </w:rPr>
        <w:fldChar w:fldCharType="separate"/>
      </w:r>
      <w:r>
        <w:rPr>
          <w:rFonts w:hint="eastAsia" w:ascii="宋体" w:hAnsi="宋体" w:eastAsia="宋体" w:cs="宋体"/>
          <w:bCs/>
          <w:szCs w:val="44"/>
          <w:highlight w:val="none"/>
        </w:rPr>
        <w:t xml:space="preserve">第一章  </w:t>
      </w:r>
      <w:r>
        <w:rPr>
          <w:rFonts w:hint="eastAsia" w:ascii="宋体" w:hAnsi="宋体" w:eastAsia="宋体" w:cs="宋体"/>
          <w:bCs/>
          <w:szCs w:val="44"/>
          <w:highlight w:val="none"/>
          <w:lang w:eastAsia="zh-CN"/>
        </w:rPr>
        <w:t>竞争性谈判</w:t>
      </w:r>
      <w:r>
        <w:rPr>
          <w:rFonts w:hint="eastAsia" w:ascii="宋体" w:hAnsi="宋体" w:eastAsia="宋体" w:cs="宋体"/>
          <w:bCs/>
          <w:szCs w:val="44"/>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_Toc11051 </w:instrText>
      </w:r>
      <w:r>
        <w:rPr>
          <w:rFonts w:hint="eastAsia" w:ascii="宋体" w:hAnsi="宋体" w:eastAsia="宋体" w:cs="宋体"/>
          <w:szCs w:val="28"/>
          <w:highlight w:val="none"/>
        </w:rPr>
        <w:fldChar w:fldCharType="separate"/>
      </w:r>
      <w:r>
        <w:rPr>
          <w:rFonts w:hint="eastAsia" w:ascii="宋体" w:hAnsi="宋体" w:eastAsia="宋体" w:cs="宋体"/>
          <w:szCs w:val="44"/>
          <w:highlight w:val="none"/>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_Toc11051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_Toc21141 </w:instrText>
      </w:r>
      <w:r>
        <w:rPr>
          <w:rFonts w:hint="eastAsia" w:ascii="宋体" w:hAnsi="宋体" w:eastAsia="宋体" w:cs="宋体"/>
          <w:szCs w:val="28"/>
          <w:highlight w:val="none"/>
        </w:rPr>
        <w:fldChar w:fldCharType="separate"/>
      </w:r>
      <w:r>
        <w:rPr>
          <w:rFonts w:hint="eastAsia" w:ascii="宋体" w:hAnsi="宋体" w:eastAsia="宋体" w:cs="宋体"/>
          <w:bCs w:val="0"/>
          <w:szCs w:val="36"/>
          <w:highlight w:val="none"/>
        </w:rPr>
        <w:t>1.总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_Toc21141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_Toc28745 </w:instrText>
      </w:r>
      <w:r>
        <w:rPr>
          <w:rFonts w:hint="eastAsia" w:ascii="宋体" w:hAnsi="宋体" w:eastAsia="宋体" w:cs="宋体"/>
          <w:szCs w:val="28"/>
          <w:highlight w:val="none"/>
        </w:rPr>
        <w:fldChar w:fldCharType="separate"/>
      </w:r>
      <w:r>
        <w:rPr>
          <w:rFonts w:hint="eastAsia" w:ascii="宋体" w:hAnsi="宋体" w:eastAsia="宋体" w:cs="宋体"/>
          <w:bCs w:val="0"/>
          <w:szCs w:val="36"/>
          <w:highlight w:val="none"/>
        </w:rPr>
        <w:t>2.</w:t>
      </w:r>
      <w:r>
        <w:rPr>
          <w:rFonts w:hint="eastAsia" w:ascii="宋体" w:hAnsi="宋体" w:eastAsia="宋体" w:cs="宋体"/>
          <w:bCs w:val="0"/>
          <w:szCs w:val="36"/>
          <w:highlight w:val="none"/>
          <w:lang w:eastAsia="zh-CN"/>
        </w:rPr>
        <w:t>谈判</w:t>
      </w:r>
      <w:r>
        <w:rPr>
          <w:rFonts w:hint="eastAsia" w:ascii="宋体" w:hAnsi="宋体" w:eastAsia="宋体" w:cs="宋体"/>
          <w:bCs w:val="0"/>
          <w:szCs w:val="36"/>
          <w:highlight w:val="none"/>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_Toc28745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_Toc12418 </w:instrText>
      </w:r>
      <w:r>
        <w:rPr>
          <w:rFonts w:hint="eastAsia" w:ascii="宋体" w:hAnsi="宋体" w:eastAsia="宋体" w:cs="宋体"/>
          <w:szCs w:val="28"/>
          <w:highlight w:val="none"/>
        </w:rPr>
        <w:fldChar w:fldCharType="separate"/>
      </w:r>
      <w:r>
        <w:rPr>
          <w:rFonts w:hint="eastAsia" w:ascii="宋体" w:hAnsi="宋体" w:eastAsia="宋体" w:cs="宋体"/>
          <w:bCs w:val="0"/>
          <w:szCs w:val="36"/>
          <w:highlight w:val="none"/>
        </w:rPr>
        <w:t>3.供应商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_Toc12418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_Toc25672 </w:instrText>
      </w:r>
      <w:r>
        <w:rPr>
          <w:rFonts w:hint="eastAsia" w:ascii="宋体" w:hAnsi="宋体" w:eastAsia="宋体" w:cs="宋体"/>
          <w:szCs w:val="28"/>
          <w:highlight w:val="none"/>
        </w:rPr>
        <w:fldChar w:fldCharType="separate"/>
      </w:r>
      <w:r>
        <w:rPr>
          <w:rFonts w:hint="eastAsia" w:ascii="宋体" w:hAnsi="宋体" w:eastAsia="宋体" w:cs="宋体"/>
          <w:bCs w:val="0"/>
          <w:szCs w:val="36"/>
          <w:highlight w:val="none"/>
        </w:rPr>
        <w:t>4.响应文件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_Toc25672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_Toc27222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5.响应文件的提交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_Toc27222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_Toc14331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6.开启响应文件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_Toc14331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_Toc9167 </w:instrText>
      </w:r>
      <w:r>
        <w:rPr>
          <w:rFonts w:hint="eastAsia" w:ascii="宋体" w:hAnsi="宋体" w:eastAsia="宋体" w:cs="宋体"/>
          <w:szCs w:val="28"/>
          <w:highlight w:val="none"/>
        </w:rPr>
        <w:fldChar w:fldCharType="separate"/>
      </w:r>
      <w:r>
        <w:rPr>
          <w:rFonts w:hint="eastAsia" w:ascii="宋体" w:hAnsi="宋体" w:eastAsia="宋体" w:cs="宋体"/>
          <w:szCs w:val="36"/>
          <w:highlight w:val="none"/>
        </w:rPr>
        <w:t>7.</w:t>
      </w:r>
      <w:r>
        <w:rPr>
          <w:rFonts w:hint="eastAsia" w:ascii="宋体" w:hAnsi="宋体" w:eastAsia="宋体" w:cs="宋体"/>
          <w:szCs w:val="36"/>
          <w:highlight w:val="none"/>
          <w:lang w:eastAsia="zh-CN"/>
        </w:rPr>
        <w:t>谈判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_Toc9167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_Toc17788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8.确定成交供应商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_Toc17788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_Toc18087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9.合同授予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_Toc18087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_Toc3967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10.终止</w:t>
      </w:r>
      <w:r>
        <w:rPr>
          <w:rFonts w:hint="eastAsia" w:ascii="宋体" w:hAnsi="宋体" w:eastAsia="宋体" w:cs="宋体"/>
          <w:bCs/>
          <w:szCs w:val="36"/>
          <w:highlight w:val="none"/>
          <w:lang w:eastAsia="zh-CN"/>
        </w:rPr>
        <w:t>谈判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_Toc3967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_Toc4897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11.采购代理服务费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_Toc4897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_Toc25644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12.质疑与投诉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_Toc25644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_Toc14828 </w:instrText>
      </w:r>
      <w:r>
        <w:rPr>
          <w:rFonts w:hint="eastAsia" w:ascii="宋体" w:hAnsi="宋体" w:eastAsia="宋体" w:cs="宋体"/>
          <w:szCs w:val="28"/>
          <w:highlight w:val="none"/>
        </w:rPr>
        <w:fldChar w:fldCharType="separate"/>
      </w:r>
      <w:r>
        <w:rPr>
          <w:rFonts w:hint="eastAsia" w:ascii="宋体" w:hAnsi="宋体" w:eastAsia="宋体" w:cs="宋体"/>
          <w:szCs w:val="36"/>
          <w:highlight w:val="none"/>
        </w:rPr>
        <w:t>13.其他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_Toc14828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_Toc2037 </w:instrText>
      </w:r>
      <w:r>
        <w:rPr>
          <w:rFonts w:hint="eastAsia" w:ascii="宋体" w:hAnsi="宋体" w:eastAsia="宋体" w:cs="宋体"/>
          <w:szCs w:val="28"/>
          <w:highlight w:val="none"/>
        </w:rPr>
        <w:fldChar w:fldCharType="separate"/>
      </w:r>
      <w:r>
        <w:rPr>
          <w:rFonts w:hint="eastAsia" w:ascii="宋体" w:hAnsi="宋体" w:eastAsia="宋体" w:cs="宋体"/>
          <w:szCs w:val="44"/>
          <w:highlight w:val="none"/>
        </w:rPr>
        <w:t xml:space="preserve">第三章 </w:t>
      </w:r>
      <w:r>
        <w:rPr>
          <w:rFonts w:hint="eastAsia" w:ascii="宋体" w:hAnsi="宋体" w:eastAsia="宋体" w:cs="宋体"/>
          <w:szCs w:val="44"/>
          <w:highlight w:val="none"/>
          <w:lang w:eastAsia="zh-CN"/>
        </w:rPr>
        <w:t>谈判</w:t>
      </w:r>
      <w:r>
        <w:rPr>
          <w:rFonts w:hint="eastAsia" w:ascii="宋体" w:hAnsi="宋体" w:eastAsia="宋体" w:cs="宋体"/>
          <w:szCs w:val="44"/>
          <w:highlight w:val="none"/>
        </w:rPr>
        <w:t>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_Toc2037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_Toc29228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1.</w:t>
      </w:r>
      <w:r>
        <w:rPr>
          <w:rFonts w:hint="eastAsia" w:ascii="宋体" w:hAnsi="宋体" w:eastAsia="宋体" w:cs="宋体"/>
          <w:bCs/>
          <w:szCs w:val="36"/>
          <w:highlight w:val="none"/>
          <w:lang w:eastAsia="zh-CN"/>
        </w:rPr>
        <w:t>谈判</w:t>
      </w:r>
      <w:r>
        <w:rPr>
          <w:rFonts w:hint="eastAsia" w:ascii="宋体" w:hAnsi="宋体" w:eastAsia="宋体" w:cs="宋体"/>
          <w:bCs/>
          <w:szCs w:val="36"/>
          <w:highlight w:val="none"/>
        </w:rPr>
        <w:t>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_Toc29228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_Toc12296 </w:instrText>
      </w:r>
      <w:r>
        <w:rPr>
          <w:rFonts w:hint="eastAsia" w:ascii="宋体" w:hAnsi="宋体" w:eastAsia="宋体" w:cs="宋体"/>
          <w:szCs w:val="28"/>
          <w:highlight w:val="none"/>
        </w:rPr>
        <w:fldChar w:fldCharType="separate"/>
      </w:r>
      <w:r>
        <w:rPr>
          <w:rFonts w:hint="eastAsia" w:ascii="宋体" w:hAnsi="宋体" w:eastAsia="宋体" w:cs="宋体"/>
          <w:bCs/>
          <w:szCs w:val="36"/>
          <w:highlight w:val="none"/>
        </w:rPr>
        <w:t>2.评审方法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_Toc12296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_Toc21664 </w:instrText>
      </w:r>
      <w:r>
        <w:rPr>
          <w:rFonts w:hint="eastAsia" w:ascii="宋体" w:hAnsi="宋体" w:eastAsia="宋体" w:cs="宋体"/>
          <w:szCs w:val="28"/>
          <w:highlight w:val="none"/>
        </w:rPr>
        <w:fldChar w:fldCharType="separate"/>
      </w:r>
      <w:r>
        <w:rPr>
          <w:rFonts w:hint="eastAsia" w:ascii="宋体" w:hAnsi="宋体" w:eastAsia="宋体" w:cs="宋体"/>
          <w:szCs w:val="44"/>
          <w:highlight w:val="none"/>
          <w:lang w:val="en-US" w:eastAsia="zh-CN"/>
        </w:rPr>
        <w:t>第四章 施工</w:t>
      </w:r>
      <w:r>
        <w:rPr>
          <w:rFonts w:hint="eastAsia" w:ascii="宋体" w:hAnsi="宋体" w:eastAsia="宋体" w:cs="宋体"/>
          <w:szCs w:val="44"/>
          <w:highlight w:val="none"/>
        </w:rPr>
        <w:t>内容及</w:t>
      </w:r>
      <w:r>
        <w:rPr>
          <w:rFonts w:hint="eastAsia" w:ascii="宋体" w:hAnsi="宋体" w:eastAsia="宋体" w:cs="宋体"/>
          <w:szCs w:val="44"/>
          <w:highlight w:val="none"/>
          <w:lang w:val="en-US" w:eastAsia="zh-CN"/>
        </w:rPr>
        <w:t>商务</w:t>
      </w:r>
      <w:r>
        <w:rPr>
          <w:rFonts w:hint="eastAsia" w:ascii="宋体" w:hAnsi="宋体" w:eastAsia="宋体" w:cs="宋体"/>
          <w:szCs w:val="44"/>
          <w:highlight w:val="none"/>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_Toc21664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_Toc16126 </w:instrText>
      </w:r>
      <w:r>
        <w:rPr>
          <w:rFonts w:hint="eastAsia" w:ascii="宋体" w:hAnsi="宋体" w:eastAsia="宋体" w:cs="宋体"/>
          <w:szCs w:val="28"/>
          <w:highlight w:val="none"/>
        </w:rPr>
        <w:fldChar w:fldCharType="separate"/>
      </w:r>
      <w:r>
        <w:rPr>
          <w:rFonts w:hint="eastAsia" w:ascii="宋体" w:hAnsi="宋体" w:eastAsia="宋体" w:cs="宋体"/>
          <w:kern w:val="44"/>
          <w:szCs w:val="44"/>
          <w:highlight w:val="none"/>
          <w:lang w:val="en-US" w:eastAsia="zh-CN" w:bidi="ar-SA"/>
        </w:rPr>
        <w:t>第五章 合同主要条款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_Toc16126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_Toc15616 </w:instrText>
      </w:r>
      <w:r>
        <w:rPr>
          <w:rFonts w:hint="eastAsia" w:ascii="宋体" w:hAnsi="宋体" w:eastAsia="宋体" w:cs="宋体"/>
          <w:szCs w:val="28"/>
          <w:highlight w:val="none"/>
        </w:rPr>
        <w:fldChar w:fldCharType="separate"/>
      </w:r>
      <w:r>
        <w:rPr>
          <w:rFonts w:hint="eastAsia" w:ascii="宋体" w:hAnsi="宋体" w:eastAsia="宋体" w:cs="宋体"/>
          <w:szCs w:val="44"/>
          <w:highlight w:val="none"/>
        </w:rPr>
        <w:t>第六章 工程建设标准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_Toc15616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_Toc4296 </w:instrText>
      </w:r>
      <w:r>
        <w:rPr>
          <w:rFonts w:hint="eastAsia" w:ascii="宋体" w:hAnsi="宋体" w:eastAsia="宋体" w:cs="宋体"/>
          <w:szCs w:val="28"/>
          <w:highlight w:val="none"/>
        </w:rPr>
        <w:fldChar w:fldCharType="separate"/>
      </w:r>
      <w:r>
        <w:rPr>
          <w:rFonts w:hint="eastAsia" w:ascii="宋体" w:hAnsi="宋体" w:eastAsia="宋体" w:cs="宋体"/>
          <w:szCs w:val="44"/>
          <w:highlight w:val="none"/>
          <w:lang w:eastAsia="zh-CN"/>
        </w:rPr>
        <w:t>第</w:t>
      </w:r>
      <w:r>
        <w:rPr>
          <w:rFonts w:hint="eastAsia" w:ascii="宋体" w:hAnsi="宋体" w:eastAsia="宋体" w:cs="宋体"/>
          <w:szCs w:val="44"/>
          <w:highlight w:val="none"/>
          <w:lang w:val="en-US" w:eastAsia="zh-CN"/>
        </w:rPr>
        <w:t>七</w:t>
      </w:r>
      <w:r>
        <w:rPr>
          <w:rFonts w:hint="eastAsia" w:ascii="宋体" w:hAnsi="宋体" w:eastAsia="宋体" w:cs="宋体"/>
          <w:szCs w:val="44"/>
          <w:highlight w:val="none"/>
        </w:rPr>
        <w:t>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_Toc4296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_Toc31607 </w:instrText>
      </w:r>
      <w:r>
        <w:rPr>
          <w:rFonts w:hint="eastAsia" w:ascii="宋体" w:hAnsi="宋体" w:eastAsia="宋体" w:cs="宋体"/>
          <w:szCs w:val="28"/>
          <w:highlight w:val="none"/>
        </w:rPr>
        <w:fldChar w:fldCharType="separate"/>
      </w:r>
      <w:r>
        <w:rPr>
          <w:rFonts w:hint="eastAsia" w:ascii="宋体" w:hAnsi="宋体" w:eastAsia="宋体" w:cs="宋体"/>
          <w:szCs w:val="72"/>
          <w:highlight w:val="none"/>
        </w:rPr>
        <w:t>资格审查部分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_Toc31607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6"/>
        <w:tabs>
          <w:tab w:val="right" w:leader="hyphen" w:pos="9746"/>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_Toc23297 </w:instrText>
      </w:r>
      <w:r>
        <w:rPr>
          <w:rFonts w:hint="eastAsia" w:ascii="宋体" w:hAnsi="宋体" w:eastAsia="宋体" w:cs="宋体"/>
          <w:szCs w:val="28"/>
          <w:highlight w:val="none"/>
        </w:rPr>
        <w:fldChar w:fldCharType="separate"/>
      </w:r>
      <w:r>
        <w:rPr>
          <w:rFonts w:hint="eastAsia" w:ascii="宋体" w:hAnsi="宋体" w:eastAsia="宋体" w:cs="宋体"/>
          <w:szCs w:val="72"/>
          <w:highlight w:val="none"/>
        </w:rPr>
        <w:t>商务与技术部分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_Toc23297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pPr>
        <w:pStyle w:val="2"/>
        <w:tabs>
          <w:tab w:val="right" w:leader="hyphen" w:pos="9746"/>
        </w:tabs>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color w:val="auto"/>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ascii="宋体" w:hAnsi="宋体"/>
          <w:b/>
          <w:bCs/>
          <w:color w:val="auto"/>
          <w:sz w:val="44"/>
          <w:szCs w:val="44"/>
          <w:highlight w:val="none"/>
        </w:rPr>
      </w:pPr>
      <w:bookmarkStart w:id="2" w:name="_Toc11542"/>
      <w:r>
        <w:rPr>
          <w:rFonts w:hint="eastAsia" w:ascii="宋体" w:hAnsi="宋体"/>
          <w:b/>
          <w:bCs/>
          <w:color w:val="auto"/>
          <w:sz w:val="44"/>
          <w:szCs w:val="44"/>
          <w:highlight w:val="none"/>
        </w:rPr>
        <w:t xml:space="preserve">第一章  </w:t>
      </w:r>
      <w:r>
        <w:rPr>
          <w:rFonts w:hint="eastAsia" w:ascii="宋体" w:hAnsi="宋体"/>
          <w:b/>
          <w:bCs/>
          <w:color w:val="auto"/>
          <w:sz w:val="44"/>
          <w:szCs w:val="44"/>
          <w:highlight w:val="none"/>
          <w:lang w:eastAsia="zh-CN"/>
        </w:rPr>
        <w:t>竞争性谈判</w:t>
      </w:r>
      <w:r>
        <w:rPr>
          <w:rFonts w:hint="eastAsia" w:ascii="宋体" w:hAnsi="宋体"/>
          <w:b/>
          <w:bCs/>
          <w:color w:val="auto"/>
          <w:sz w:val="44"/>
          <w:szCs w:val="44"/>
          <w:highlight w:val="none"/>
        </w:rPr>
        <w:t>公告</w:t>
      </w:r>
      <w:bookmarkEnd w:id="2"/>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eastAsia="zh-CN"/>
        </w:rPr>
      </w:pPr>
      <w:bookmarkStart w:id="3" w:name="_Toc213496267"/>
      <w:bookmarkStart w:id="4" w:name="_Toc213396945"/>
      <w:bookmarkStart w:id="5" w:name="_Toc213396759"/>
      <w:bookmarkStart w:id="6" w:name="_Toc213397009"/>
      <w:bookmarkStart w:id="7" w:name="_Toc217446031"/>
      <w:bookmarkStart w:id="8" w:name="_Toc183582202"/>
      <w:bookmarkStart w:id="9" w:name="_Toc89075871"/>
      <w:bookmarkStart w:id="10" w:name="_Toc183682339"/>
      <w:bookmarkStart w:id="11" w:name="_Toc77400776"/>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鲁桥镇西区农村生活污水治理建设项目</w:t>
      </w:r>
      <w:r>
        <w:rPr>
          <w:rFonts w:hint="eastAsia" w:asciiTheme="minorEastAsia" w:hAnsiTheme="minorEastAsia" w:eastAsiaTheme="minorEastAsia" w:cstheme="minorEastAsia"/>
          <w:color w:val="auto"/>
          <w:sz w:val="21"/>
          <w:szCs w:val="21"/>
        </w:rPr>
        <w:t>采购项目的潜在供应商应在咸阳市秦都区人民中路新华大厦1508室获取采购文件，并于2022年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27</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0分（北京时间）前提交响应文件。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一、项目基本情况</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lang w:eastAsia="zh-CN"/>
        </w:rPr>
        <w:t>YZZB-2022-051</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lang w:eastAsia="zh-CN"/>
        </w:rPr>
        <w:t>鲁桥镇西区农村生活污水治理建设项目</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采购方式：竞争性谈判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预算金额：</w:t>
      </w:r>
      <w:r>
        <w:rPr>
          <w:rFonts w:hint="eastAsia" w:asciiTheme="minorEastAsia" w:hAnsiTheme="minorEastAsia" w:eastAsiaTheme="minorEastAsia" w:cstheme="minorEastAsia"/>
          <w:color w:val="auto"/>
          <w:sz w:val="21"/>
          <w:szCs w:val="21"/>
          <w:lang w:eastAsia="zh-CN"/>
        </w:rPr>
        <w:t>1123074.16</w:t>
      </w:r>
      <w:r>
        <w:rPr>
          <w:rFonts w:hint="eastAsia" w:asciiTheme="minorEastAsia" w:hAnsiTheme="minorEastAsia" w:eastAsiaTheme="minorEastAsia" w:cstheme="minorEastAsia"/>
          <w:color w:val="auto"/>
          <w:sz w:val="21"/>
          <w:szCs w:val="21"/>
        </w:rPr>
        <w:t>元</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采购需求：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合同包1(</w:t>
      </w:r>
      <w:r>
        <w:rPr>
          <w:rFonts w:hint="eastAsia" w:asciiTheme="minorEastAsia" w:hAnsiTheme="minorEastAsia" w:eastAsiaTheme="minorEastAsia" w:cstheme="minorEastAsia"/>
          <w:color w:val="auto"/>
          <w:sz w:val="21"/>
          <w:szCs w:val="21"/>
          <w:lang w:eastAsia="zh-CN"/>
        </w:rPr>
        <w:t>鲁桥镇西区农村生活污水治理建设项目</w:t>
      </w:r>
      <w:r>
        <w:rPr>
          <w:rFonts w:hint="eastAsia" w:asciiTheme="minorEastAsia" w:hAnsiTheme="minorEastAsia" w:eastAsiaTheme="minorEastAsia" w:cstheme="minorEastAsia"/>
          <w:color w:val="auto"/>
          <w:sz w:val="21"/>
          <w:szCs w:val="21"/>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合同包预算金额：</w:t>
      </w:r>
      <w:r>
        <w:rPr>
          <w:rFonts w:hint="eastAsia" w:asciiTheme="minorEastAsia" w:hAnsiTheme="minorEastAsia" w:eastAsiaTheme="minorEastAsia" w:cstheme="minorEastAsia"/>
          <w:color w:val="auto"/>
          <w:sz w:val="21"/>
          <w:szCs w:val="21"/>
          <w:lang w:eastAsia="zh-CN"/>
        </w:rPr>
        <w:t>1123074.16</w:t>
      </w:r>
      <w:r>
        <w:rPr>
          <w:rFonts w:hint="eastAsia" w:asciiTheme="minorEastAsia" w:hAnsiTheme="minorEastAsia" w:eastAsiaTheme="minorEastAsia" w:cstheme="minorEastAsia"/>
          <w:color w:val="auto"/>
          <w:sz w:val="21"/>
          <w:szCs w:val="21"/>
        </w:rPr>
        <w:t>元</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合同包最高限价：</w:t>
      </w:r>
      <w:r>
        <w:rPr>
          <w:rFonts w:hint="eastAsia" w:asciiTheme="minorEastAsia" w:hAnsiTheme="minorEastAsia" w:eastAsiaTheme="minorEastAsia" w:cstheme="minorEastAsia"/>
          <w:color w:val="auto"/>
          <w:sz w:val="21"/>
          <w:szCs w:val="21"/>
          <w:lang w:eastAsia="zh-CN"/>
        </w:rPr>
        <w:t>1123074.16</w:t>
      </w:r>
      <w:r>
        <w:rPr>
          <w:rFonts w:hint="eastAsia" w:asciiTheme="minorEastAsia" w:hAnsiTheme="minorEastAsia" w:eastAsiaTheme="minorEastAsia" w:cstheme="minorEastAsia"/>
          <w:color w:val="auto"/>
          <w:sz w:val="21"/>
          <w:szCs w:val="21"/>
        </w:rPr>
        <w:t>元</w:t>
      </w:r>
    </w:p>
    <w:tbl>
      <w:tblPr>
        <w:tblStyle w:val="30"/>
        <w:tblpPr w:leftFromText="180" w:rightFromText="180" w:vertAnchor="text" w:horzAnchor="page" w:tblpXSpec="center" w:tblpY="552"/>
        <w:tblOverlap w:val="never"/>
        <w:tblW w:w="9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1"/>
        <w:gridCol w:w="1957"/>
        <w:gridCol w:w="1512"/>
        <w:gridCol w:w="1474"/>
        <w:gridCol w:w="152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 w:hRule="atLeast"/>
          <w:tblHeader/>
          <w:jc w:val="center"/>
        </w:trPr>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品目号</w:t>
            </w:r>
          </w:p>
        </w:tc>
        <w:tc>
          <w:tcPr>
            <w:tcW w:w="2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品目名称</w:t>
            </w:r>
          </w:p>
        </w:tc>
        <w:tc>
          <w:tcPr>
            <w:tcW w:w="15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采购标的</w:t>
            </w:r>
          </w:p>
        </w:tc>
        <w:tc>
          <w:tcPr>
            <w:tcW w:w="1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数量（单位）</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品目预算(元)</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5" w:hRule="atLeast"/>
          <w:jc w:val="center"/>
        </w:trPr>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w:t>
            </w:r>
          </w:p>
        </w:tc>
        <w:tc>
          <w:tcPr>
            <w:tcW w:w="2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其他市政工程施工</w:t>
            </w:r>
          </w:p>
        </w:tc>
        <w:tc>
          <w:tcPr>
            <w:tcW w:w="15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鲁桥镇西区农村生活污水治理建设项目</w:t>
            </w:r>
          </w:p>
        </w:tc>
        <w:tc>
          <w:tcPr>
            <w:tcW w:w="1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1(项)</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详见采购文件</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1123074.16</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1123074.16</w:t>
            </w:r>
          </w:p>
        </w:tc>
      </w:tr>
    </w:tbl>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本合同包不接受联合体</w:t>
      </w:r>
      <w:r>
        <w:rPr>
          <w:rFonts w:hint="eastAsia" w:asciiTheme="minorEastAsia" w:hAnsiTheme="minorEastAsia" w:eastAsiaTheme="minorEastAsia" w:cstheme="minorEastAsia"/>
          <w:color w:val="auto"/>
          <w:sz w:val="21"/>
          <w:szCs w:val="21"/>
          <w:lang w:val="en-US" w:eastAsia="zh-CN"/>
        </w:rPr>
        <w:t>谈判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合同履行期限：</w:t>
      </w:r>
      <w:r>
        <w:rPr>
          <w:rFonts w:hint="eastAsia"/>
          <w:color w:val="auto"/>
          <w:sz w:val="21"/>
          <w:szCs w:val="21"/>
          <w:highlight w:val="none"/>
          <w:lang w:val="en-US" w:eastAsia="zh-CN"/>
        </w:rPr>
        <w:t>合同签订之日起30日历天</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二、申请人的资格要求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1.满足《中华人民共和国政府采购法》第二十二条规定</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2.落实政府采购政策需满足的资格要求：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合同包1(</w:t>
      </w:r>
      <w:r>
        <w:rPr>
          <w:rFonts w:hint="eastAsia" w:asciiTheme="minorEastAsia" w:hAnsiTheme="minorEastAsia" w:eastAsiaTheme="minorEastAsia" w:cstheme="minorEastAsia"/>
          <w:color w:val="auto"/>
          <w:sz w:val="21"/>
          <w:szCs w:val="21"/>
          <w:lang w:eastAsia="zh-CN"/>
        </w:rPr>
        <w:t>鲁桥镇西区农村生活污水治理建设项目</w:t>
      </w:r>
      <w:r>
        <w:rPr>
          <w:rFonts w:hint="eastAsia" w:asciiTheme="minorEastAsia" w:hAnsiTheme="minorEastAsia" w:eastAsiaTheme="minorEastAsia" w:cstheme="minorEastAsia"/>
          <w:color w:val="auto"/>
          <w:sz w:val="21"/>
          <w:szCs w:val="21"/>
        </w:rPr>
        <w:t>)落实政府采购政策需满足的资格要求如下:</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本项目属于专门面向中小企业采购的项目。</w:t>
      </w:r>
    </w:p>
    <w:p>
      <w:pPr>
        <w:pStyle w:val="28"/>
        <w:keepNext w:val="0"/>
        <w:keepLines w:val="0"/>
        <w:pageBreakBefore w:val="0"/>
        <w:widowControl/>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1.满足《中华人民共和国政府采购法》第二十二条规定；</w:t>
      </w:r>
    </w:p>
    <w:p>
      <w:pPr>
        <w:pStyle w:val="28"/>
        <w:keepNext w:val="0"/>
        <w:keepLines w:val="0"/>
        <w:pageBreakBefore w:val="0"/>
        <w:widowControl/>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2.落实政府采购政策需满足的资格要求：</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480" w:leftChars="0" w:right="0" w:rightChars="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（1）《关于在政府采购活动中查询及使用信用记录有关问题的通知》（财库〔2016〕125号）；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（2）《政府采购促进中小企业发展管理办法》（财库〔2020〕46号）《关于进一步加大政府采购支持中小企业力度的通知》（财库〔2022〕19号）；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420" w:leftChars="200" w:right="0" w:rightChars="0" w:firstLine="0" w:firstLineChars="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（3）《财政部司法部关于政府采购支持监狱企业发展有关问题的通知》（财库〔2014〕68号）；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（4）《国务院办公厅关于建立政府强制采购节能产品制度的通知》（国办发〔2007〕51号）；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（5）《环境标志产品政府采购实施的意见》（财库[2006]90号）；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（6）《节能产品政府采购实施意见》（财库[2004]185号）；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（7）《关于促进残疾人就业政府采购政策的通知》（财库〔2017〕141号）；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（8）《财政部 发展改革委 生态环境部 市场监管总局关于调整优化节能产品、环境标志产品政府采购执行机制的通知》（财库〔2019〕9号）；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（9）《财政部国务院扶贫办关于运用政府采购政策支持脱贫攻坚的通知》（财库〔2019〕27号）；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（11）关于印发《商品包装政府采购需求标准（试行）》、《快递包装政府采购需求标准（试行）》的通知（财办库〔2020〕123号）；</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（12）《陕西省财政厅关于加快推进我省中小企业政府采购信用融资工作的通知》（陕财办采〔2020〕15号）及《陕西省财政厅关于印发《陕西省中小企业政府采购信用融资办法》（陕财办采〔2018〕23号）；</w:t>
      </w:r>
    </w:p>
    <w:p>
      <w:pPr>
        <w:pStyle w:val="28"/>
        <w:keepNext w:val="0"/>
        <w:keepLines w:val="0"/>
        <w:pageBreakBefore w:val="0"/>
        <w:widowControl/>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（13）如有最新颁布的政府采购政策，按最新的文件执行。</w:t>
      </w:r>
    </w:p>
    <w:p>
      <w:pPr>
        <w:pStyle w:val="28"/>
        <w:keepNext w:val="0"/>
        <w:keepLines w:val="0"/>
        <w:pageBreakBefore w:val="0"/>
        <w:widowControl/>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3.本项目的特定资格要求：</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（1）具有独立承担民事责任能力的法人、其他组织或自然人，提供合法有效的统一社会信用代码营业执照（事业单位提供事业单位法人证书，自然人提供身份证明）；</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（2）法定代表人/负责人参加谈判的，提供法人/负责人证明书并出示身份证原件；法定代表人/负责人授权他人参加谈判的，提供法定代表人/负责人授权委托书并出示被授权代表的身份证原件；</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（3）具有建设行政主管部门颁发的市政公用工程施工总承包三级（含三级）以上资质并具有有效的安全生产许可证；</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（4）拟派注册建造师：须具有市政公用工程专业贰级（含贰级）以上资格，具有有效的安全生产考核合格证书（B级），且无在建项目；</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（5）财务状况报告：提供供应商2021年经审计的财务报告或在谈判日期前6个月内其基本开户银行出具的资信证明和开户行许可证；</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（6）税收缴纳证明：提供供应商自2022年1月1日以来已缴纳任意时段的纳税凭据或完税证明（任意税种）；依法免税的应提供相关文件证明；</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（7）社会保障资金缴纳证明：提供供应商自2022年1月1日以来已缴存的任意时段的社会保障资金缴存单据或社保机构开具的社会保险参保缴费情况证明；依法不需要缴纳社会保障资金的应提供相关文件证明；</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（8）供应商具备履行合同所必需的设备及专业技术能力；</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（9）参加本次谈判前3年内，在经营活动中没有重大违法记录的书面声明；</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（10）法定代表人（负责人）为同一人或者存在直接控股、管理关系的不同供应商，不得同时参加本采购项目谈判；</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（11）</w:t>
      </w:r>
      <w:r>
        <w:rPr>
          <w:rFonts w:hint="eastAsia" w:asciiTheme="minorEastAsia" w:hAnsiTheme="minorEastAsia" w:eastAsiaTheme="minorEastAsia" w:cstheme="minorEastAsia"/>
          <w:color w:val="auto"/>
          <w:kern w:val="2"/>
          <w:sz w:val="21"/>
          <w:szCs w:val="21"/>
          <w:lang w:val="en-US" w:eastAsia="zh-CN" w:bidi="ar-SA"/>
        </w:rPr>
        <w:t>本项目为专门面向中小企业项目，供应商应为中型企业、小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中小企业）。</w:t>
      </w:r>
    </w:p>
    <w:p>
      <w:pPr>
        <w:pStyle w:val="28"/>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12）供应商不得为列入“信用中国”网站(http://www.creditchina.gov.cn)“失信被执行人（页面跳转至“中国执行信息公开网”http://zxgk.court.gov.cn/shixin/）、重大税收违法失信主体、中国政府采购网(www.ccgp.gov.cn)的政府采购严重违法失信行为记录名单。   </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备注：本项目不接受联合体谈判。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三、获取采购文件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时间：2022年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日至2022年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日，每天上午08:</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0:00至12:00:00，下午14:00:00至18:00:00（北京时间,法定节假日除外）</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地点：咸阳市秦都区人民中路新华大厦1508室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方式：现场获取</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售价：免费获取</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四、响应文件提交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截止时间：2022年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27</w:t>
      </w:r>
      <w:r>
        <w:rPr>
          <w:rFonts w:hint="eastAsia" w:asciiTheme="minorEastAsia" w:hAnsiTheme="minorEastAsia" w:eastAsiaTheme="minorEastAsia" w:cstheme="minorEastAsia"/>
          <w:color w:val="auto"/>
          <w:sz w:val="21"/>
          <w:szCs w:val="21"/>
        </w:rPr>
        <w:t>日 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分00秒（北京时间）</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地点：咸阳市秦都区秦皇北路与勤俭路交汇处华泰</w:t>
      </w:r>
      <w:r>
        <w:rPr>
          <w:rFonts w:hint="eastAsia" w:asciiTheme="minorEastAsia" w:hAnsiTheme="minorEastAsia" w:eastAsiaTheme="minorEastAsia" w:cstheme="minorEastAsia"/>
          <w:color w:val="auto"/>
          <w:sz w:val="21"/>
          <w:szCs w:val="21"/>
          <w:lang w:val="en-US" w:eastAsia="zh-CN"/>
        </w:rPr>
        <w:t>写字楼</w:t>
      </w:r>
      <w:r>
        <w:rPr>
          <w:rFonts w:hint="eastAsia" w:asciiTheme="minorEastAsia" w:hAnsiTheme="minorEastAsia" w:eastAsiaTheme="minorEastAsia" w:cstheme="minorEastAsia"/>
          <w:color w:val="auto"/>
          <w:sz w:val="21"/>
          <w:szCs w:val="21"/>
        </w:rPr>
        <w:t>九楼会议室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五、开启</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时间：2022年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27</w:t>
      </w:r>
      <w:r>
        <w:rPr>
          <w:rFonts w:hint="eastAsia" w:asciiTheme="minorEastAsia" w:hAnsiTheme="minorEastAsia" w:eastAsiaTheme="minorEastAsia" w:cstheme="minorEastAsia"/>
          <w:color w:val="auto"/>
          <w:sz w:val="21"/>
          <w:szCs w:val="21"/>
        </w:rPr>
        <w:t>日 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分00秒（北京时间）</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地点：咸阳市秦都区秦皇北路与勤俭路交汇处华泰</w:t>
      </w:r>
      <w:r>
        <w:rPr>
          <w:rFonts w:hint="eastAsia" w:asciiTheme="minorEastAsia" w:hAnsiTheme="minorEastAsia" w:eastAsiaTheme="minorEastAsia" w:cstheme="minorEastAsia"/>
          <w:color w:val="auto"/>
          <w:sz w:val="21"/>
          <w:szCs w:val="21"/>
          <w:lang w:val="en-US" w:eastAsia="zh-CN"/>
        </w:rPr>
        <w:t>写字楼</w:t>
      </w:r>
      <w:r>
        <w:rPr>
          <w:rFonts w:hint="eastAsia" w:asciiTheme="minorEastAsia" w:hAnsiTheme="minorEastAsia" w:eastAsiaTheme="minorEastAsia" w:cstheme="minorEastAsia"/>
          <w:color w:val="auto"/>
          <w:sz w:val="21"/>
          <w:szCs w:val="21"/>
        </w:rPr>
        <w:t>九楼会议室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六、公告期限</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自本公告发布之日起</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个工作日。</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七、其他补充事宜</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领取谈判文件时请携带身份证原件及复印件、单位介绍信原件加盖公章。2、请供应商按照陕西省财政厅关于政府采购供应商注册登记有关事项的通知中的要求，通过陕西省政府采购网（http://www.ccgp-shaanxi.gov.cn/）注册登记加入陕西省政府采购供应商库。3、有意向参与谈判的供应商建议适时关注本地疫情防控要求，如须提供核酸检测报告，建议供应商提前做好准备。</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八、凡对本次采购提出询问，请按以下方式联系</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1.采购人信息</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名称：</w:t>
      </w:r>
      <w:r>
        <w:rPr>
          <w:rFonts w:hint="eastAsia" w:asciiTheme="minorEastAsia" w:hAnsiTheme="minorEastAsia" w:eastAsiaTheme="minorEastAsia" w:cstheme="minorEastAsia"/>
          <w:color w:val="auto"/>
          <w:sz w:val="21"/>
          <w:szCs w:val="21"/>
          <w:lang w:val="en-US" w:eastAsia="zh-CN"/>
        </w:rPr>
        <w:t>三原县</w:t>
      </w:r>
      <w:r>
        <w:rPr>
          <w:rFonts w:hint="eastAsia" w:asciiTheme="minorEastAsia" w:hAnsiTheme="minorEastAsia" w:eastAsiaTheme="minorEastAsia" w:cstheme="minorEastAsia"/>
          <w:color w:val="auto"/>
          <w:sz w:val="21"/>
          <w:szCs w:val="21"/>
          <w:lang w:eastAsia="zh-CN"/>
        </w:rPr>
        <w:t>鲁桥镇人民政府</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地址：</w:t>
      </w:r>
      <w:r>
        <w:rPr>
          <w:rFonts w:hint="eastAsia" w:ascii="宋体" w:hAnsi="宋体"/>
          <w:bCs/>
          <w:color w:val="auto"/>
          <w:szCs w:val="21"/>
          <w:highlight w:val="none"/>
        </w:rPr>
        <w:t>咸阳市三原县鲁桥镇东街村</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w:t>
      </w:r>
      <w:r>
        <w:rPr>
          <w:rFonts w:hint="eastAsia" w:ascii="宋体" w:hAnsi="宋体"/>
          <w:bCs/>
          <w:color w:val="auto"/>
          <w:szCs w:val="21"/>
          <w:highlight w:val="none"/>
        </w:rPr>
        <w:t>029-32482247</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2.采购代理机构信息</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名称：陕西优正项目管理有限公司</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地址：陕西省咸阳市秦都区人民中路新华大厦1508室</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联系方式：</w:t>
      </w:r>
      <w:r>
        <w:rPr>
          <w:rFonts w:hint="eastAsia" w:asciiTheme="minorEastAsia" w:hAnsiTheme="minorEastAsia" w:eastAsiaTheme="minorEastAsia" w:cstheme="minorEastAsia"/>
          <w:color w:val="auto"/>
          <w:sz w:val="21"/>
          <w:szCs w:val="21"/>
          <w:lang w:val="en-US" w:eastAsia="zh-CN"/>
        </w:rPr>
        <w:t>029-33284736</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3.项目联系方式</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项目联系人：魏世飞</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电话：15114843505</w:t>
      </w:r>
    </w:p>
    <w:p>
      <w:pPr>
        <w:keepNext w:val="0"/>
        <w:keepLines w:val="0"/>
        <w:pageBreakBefore w:val="0"/>
        <w:widowControl/>
        <w:kinsoku/>
        <w:wordWrap/>
        <w:overflowPunct/>
        <w:topLinePunct w:val="0"/>
        <w:autoSpaceDE/>
        <w:autoSpaceDN/>
        <w:bidi w:val="0"/>
        <w:adjustRightInd/>
        <w:snapToGrid w:val="0"/>
        <w:spacing w:line="360" w:lineRule="auto"/>
        <w:ind w:firstLine="5880" w:firstLineChars="2800"/>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kinsoku/>
        <w:wordWrap/>
        <w:overflowPunct/>
        <w:topLinePunct w:val="0"/>
        <w:autoSpaceDE/>
        <w:autoSpaceDN/>
        <w:bidi w:val="0"/>
        <w:adjustRightInd/>
        <w:snapToGrid w:val="0"/>
        <w:spacing w:line="360" w:lineRule="auto"/>
        <w:ind w:firstLine="5880" w:firstLineChars="28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陕西优正项目管理有限公司</w:t>
      </w:r>
    </w:p>
    <w:p>
      <w:pPr>
        <w:keepNext w:val="0"/>
        <w:keepLines w:val="0"/>
        <w:pageBreakBefore w:val="0"/>
        <w:widowControl/>
        <w:kinsoku/>
        <w:wordWrap/>
        <w:overflowPunct/>
        <w:topLinePunct w:val="0"/>
        <w:autoSpaceDE/>
        <w:autoSpaceDN/>
        <w:bidi w:val="0"/>
        <w:adjustRightInd/>
        <w:snapToGrid w:val="0"/>
        <w:spacing w:line="360" w:lineRule="auto"/>
        <w:ind w:firstLine="6300" w:firstLineChars="30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2022年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eastAsia="zh-CN"/>
        </w:rPr>
      </w:pPr>
    </w:p>
    <w:p>
      <w:pPr>
        <w:shd w:val="clear"/>
        <w:rPr>
          <w:rFonts w:hint="eastAsia" w:ascii="宋体" w:hAnsi="宋体"/>
          <w:color w:val="auto"/>
          <w:sz w:val="44"/>
          <w:szCs w:val="44"/>
          <w:highlight w:val="none"/>
        </w:rPr>
      </w:pPr>
      <w:r>
        <w:rPr>
          <w:rFonts w:hint="eastAsia" w:ascii="宋体" w:hAnsi="宋体"/>
          <w:color w:val="auto"/>
          <w:sz w:val="44"/>
          <w:szCs w:val="44"/>
          <w:highlight w:val="none"/>
        </w:rPr>
        <w:br w:type="page"/>
      </w:r>
    </w:p>
    <w:p>
      <w:pPr>
        <w:pStyle w:val="3"/>
        <w:shd w:val="clear"/>
        <w:spacing w:line="240" w:lineRule="auto"/>
        <w:jc w:val="center"/>
        <w:rPr>
          <w:rFonts w:ascii="宋体" w:hAnsi="宋体"/>
          <w:color w:val="auto"/>
          <w:sz w:val="44"/>
          <w:szCs w:val="44"/>
          <w:highlight w:val="none"/>
        </w:rPr>
      </w:pPr>
      <w:bookmarkStart w:id="12" w:name="_Toc11051"/>
      <w:r>
        <w:rPr>
          <w:rFonts w:hint="eastAsia" w:ascii="宋体" w:hAnsi="宋体"/>
          <w:color w:val="auto"/>
          <w:sz w:val="44"/>
          <w:szCs w:val="44"/>
          <w:highlight w:val="none"/>
        </w:rPr>
        <w:t>第二章  供应商须知</w:t>
      </w:r>
      <w:bookmarkEnd w:id="3"/>
      <w:bookmarkEnd w:id="4"/>
      <w:bookmarkEnd w:id="5"/>
      <w:bookmarkEnd w:id="6"/>
      <w:bookmarkEnd w:id="7"/>
      <w:bookmarkEnd w:id="12"/>
      <w:bookmarkStart w:id="13" w:name="_Toc184283909"/>
      <w:bookmarkStart w:id="14" w:name="_Toc184274915"/>
    </w:p>
    <w:p>
      <w:pPr>
        <w:shd w:val="clear"/>
        <w:bidi w:val="0"/>
        <w:jc w:val="center"/>
        <w:rPr>
          <w:b/>
          <w:bCs/>
          <w:color w:val="auto"/>
          <w:sz w:val="24"/>
          <w:szCs w:val="24"/>
          <w:highlight w:val="none"/>
        </w:rPr>
      </w:pPr>
      <w:bookmarkStart w:id="15" w:name="_Toc189727030"/>
      <w:bookmarkStart w:id="16" w:name="_Toc213396946"/>
      <w:bookmarkStart w:id="17" w:name="_Toc213397010"/>
      <w:bookmarkStart w:id="18" w:name="_Toc213396760"/>
      <w:bookmarkStart w:id="19" w:name="_Toc213496268"/>
      <w:bookmarkStart w:id="20" w:name="_Toc217446032"/>
      <w:r>
        <w:rPr>
          <w:rFonts w:hint="eastAsia"/>
          <w:b/>
          <w:bCs/>
          <w:color w:val="auto"/>
          <w:sz w:val="24"/>
          <w:szCs w:val="24"/>
          <w:highlight w:val="none"/>
        </w:rPr>
        <w:t>供应商须知前附表</w:t>
      </w:r>
    </w:p>
    <w:tbl>
      <w:tblPr>
        <w:tblStyle w:val="30"/>
        <w:tblW w:w="10138"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0" w:type="dxa"/>
          <w:bottom w:w="0" w:type="dxa"/>
          <w:right w:w="0" w:type="dxa"/>
        </w:tblCellMar>
      </w:tblPr>
      <w:tblGrid>
        <w:gridCol w:w="640"/>
        <w:gridCol w:w="2182"/>
        <w:gridCol w:w="7316"/>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8" w:hRule="exact"/>
          <w:tblHeader/>
          <w:jc w:val="center"/>
        </w:trPr>
        <w:tc>
          <w:tcPr>
            <w:tcW w:w="640" w:type="dxa"/>
            <w:tcBorders>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
              <w:jc w:val="center"/>
              <w:textAlignment w:val="auto"/>
              <w:rPr>
                <w:b/>
                <w:bCs/>
                <w:color w:val="auto"/>
                <w:sz w:val="21"/>
                <w:szCs w:val="21"/>
                <w:highlight w:val="none"/>
                <w:lang w:val="zh-CN"/>
              </w:rPr>
            </w:pPr>
            <w:r>
              <w:rPr>
                <w:rFonts w:hint="eastAsia"/>
                <w:b/>
                <w:bCs/>
                <w:color w:val="auto"/>
                <w:sz w:val="21"/>
                <w:szCs w:val="21"/>
                <w:highlight w:val="none"/>
                <w:lang w:val="zh-CN"/>
              </w:rPr>
              <w:t xml:space="preserve">序号 </w:t>
            </w:r>
          </w:p>
        </w:tc>
        <w:tc>
          <w:tcPr>
            <w:tcW w:w="2182" w:type="dxa"/>
            <w:tcBorders>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b/>
                <w:bCs/>
                <w:color w:val="auto"/>
                <w:sz w:val="21"/>
                <w:szCs w:val="21"/>
                <w:highlight w:val="none"/>
                <w:lang w:val="zh-CN"/>
              </w:rPr>
            </w:pPr>
            <w:r>
              <w:rPr>
                <w:rFonts w:hint="eastAsia"/>
                <w:b/>
                <w:bCs/>
                <w:color w:val="auto"/>
                <w:sz w:val="21"/>
                <w:szCs w:val="21"/>
                <w:highlight w:val="none"/>
                <w:lang w:val="zh-CN"/>
              </w:rPr>
              <w:t>内容</w:t>
            </w:r>
          </w:p>
        </w:tc>
        <w:tc>
          <w:tcPr>
            <w:tcW w:w="7316" w:type="dxa"/>
            <w:tcBorders>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b/>
                <w:bCs/>
                <w:color w:val="auto"/>
                <w:sz w:val="21"/>
                <w:szCs w:val="21"/>
                <w:highlight w:val="none"/>
                <w:lang w:val="zh-CN"/>
              </w:rPr>
            </w:pPr>
            <w:r>
              <w:rPr>
                <w:rFonts w:hint="eastAsia"/>
                <w:b/>
                <w:bCs/>
                <w:color w:val="auto"/>
                <w:sz w:val="21"/>
                <w:szCs w:val="21"/>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1</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采购人</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称：</w:t>
            </w:r>
            <w:r>
              <w:rPr>
                <w:rFonts w:hint="eastAsia"/>
                <w:color w:val="auto"/>
                <w:sz w:val="21"/>
                <w:szCs w:val="21"/>
                <w:highlight w:val="none"/>
                <w:lang w:val="en-US" w:eastAsia="zh-CN"/>
              </w:rPr>
              <w:t>三原县</w:t>
            </w:r>
            <w:r>
              <w:rPr>
                <w:rFonts w:hint="eastAsia"/>
                <w:color w:val="auto"/>
                <w:sz w:val="21"/>
                <w:szCs w:val="21"/>
                <w:highlight w:val="none"/>
                <w:lang w:eastAsia="zh-CN"/>
              </w:rPr>
              <w:t>鲁桥镇人民政府</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ascii="宋体" w:hAnsi="宋体"/>
                <w:bCs/>
                <w:color w:val="auto"/>
                <w:szCs w:val="21"/>
                <w:highlight w:val="none"/>
              </w:rPr>
            </w:pPr>
            <w:r>
              <w:rPr>
                <w:rFonts w:hint="eastAsia" w:ascii="宋体" w:hAnsi="宋体"/>
                <w:bCs/>
                <w:color w:val="auto"/>
                <w:szCs w:val="21"/>
                <w:highlight w:val="none"/>
              </w:rPr>
              <w:t>地</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址：咸阳市三原县鲁桥镇东街村</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default" w:ascii="宋体" w:hAnsi="宋体" w:eastAsia="宋体"/>
                <w:bCs/>
                <w:color w:val="auto"/>
                <w:szCs w:val="21"/>
                <w:highlight w:val="none"/>
                <w:lang w:val="en-US" w:eastAsia="zh-CN"/>
              </w:rPr>
            </w:pPr>
            <w:r>
              <w:rPr>
                <w:rFonts w:hint="eastAsia" w:ascii="宋体" w:hAnsi="宋体"/>
                <w:bCs/>
                <w:color w:val="auto"/>
                <w:szCs w:val="21"/>
                <w:highlight w:val="none"/>
              </w:rPr>
              <w:t>联系人：</w:t>
            </w:r>
            <w:r>
              <w:rPr>
                <w:rFonts w:hint="eastAsia"/>
                <w:color w:val="auto"/>
                <w:sz w:val="21"/>
                <w:szCs w:val="21"/>
                <w:highlight w:val="none"/>
                <w:lang w:val="en-US" w:eastAsia="zh-CN"/>
              </w:rPr>
              <w:t>三原县</w:t>
            </w:r>
            <w:r>
              <w:rPr>
                <w:rFonts w:hint="eastAsia"/>
                <w:color w:val="auto"/>
                <w:sz w:val="21"/>
                <w:szCs w:val="21"/>
                <w:highlight w:val="none"/>
                <w:lang w:eastAsia="zh-CN"/>
              </w:rPr>
              <w:t>鲁桥镇人民政府</w:t>
            </w:r>
            <w:r>
              <w:rPr>
                <w:rFonts w:hint="eastAsia"/>
                <w:color w:val="auto"/>
                <w:sz w:val="21"/>
                <w:szCs w:val="21"/>
                <w:highlight w:val="none"/>
                <w:lang w:val="en-US" w:eastAsia="zh-CN"/>
              </w:rPr>
              <w:t>经办</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ascii="宋体" w:hAnsi="宋体"/>
                <w:bCs/>
                <w:color w:val="auto"/>
                <w:szCs w:val="21"/>
                <w:highlight w:val="none"/>
              </w:rPr>
            </w:pPr>
            <w:r>
              <w:rPr>
                <w:rFonts w:hint="eastAsia" w:ascii="宋体" w:hAnsi="宋体"/>
                <w:bCs/>
                <w:color w:val="auto"/>
                <w:szCs w:val="21"/>
                <w:highlight w:val="none"/>
              </w:rPr>
              <w:t>电</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话：029-32482247</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2</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zh-CN"/>
              </w:rPr>
              <w:t>采购代理机构</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eastAsia"/>
                <w:lang w:eastAsia="zh-CN"/>
              </w:rPr>
            </w:pPr>
            <w:r>
              <w:rPr>
                <w:rFonts w:hint="eastAsia"/>
              </w:rPr>
              <w:t>名</w:t>
            </w:r>
            <w:r>
              <w:rPr>
                <w:rFonts w:hint="eastAsia"/>
                <w:lang w:val="en-US" w:eastAsia="zh-CN"/>
              </w:rPr>
              <w:t xml:space="preserve">  </w:t>
            </w:r>
            <w:r>
              <w:rPr>
                <w:rFonts w:hint="eastAsia"/>
              </w:rPr>
              <w:t>称：</w:t>
            </w:r>
            <w:r>
              <w:rPr>
                <w:rFonts w:hint="eastAsia"/>
                <w:lang w:eastAsia="zh-CN"/>
              </w:rPr>
              <w:t>陕西优正项目管理有限公司</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eastAsia"/>
                <w:lang w:eastAsia="zh-CN"/>
              </w:rPr>
            </w:pPr>
            <w:r>
              <w:rPr>
                <w:rFonts w:hint="eastAsia"/>
              </w:rPr>
              <w:t>地</w:t>
            </w:r>
            <w:r>
              <w:rPr>
                <w:rFonts w:hint="eastAsia"/>
                <w:lang w:val="en-US" w:eastAsia="zh-CN"/>
              </w:rPr>
              <w:t xml:space="preserve">  </w:t>
            </w:r>
            <w:r>
              <w:rPr>
                <w:rFonts w:hint="eastAsia"/>
              </w:rPr>
              <w:t>址：</w:t>
            </w:r>
            <w:r>
              <w:rPr>
                <w:rFonts w:hint="eastAsia"/>
                <w:lang w:eastAsia="zh-CN"/>
              </w:rPr>
              <w:t>陕西省咸阳市秦都区新华大厦1508室</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pPr>
            <w:r>
              <w:rPr>
                <w:rFonts w:hint="eastAsia"/>
              </w:rPr>
              <w:t>联系人：</w:t>
            </w:r>
            <w:r>
              <w:rPr>
                <w:rFonts w:hint="eastAsia"/>
                <w:lang w:val="en-US" w:eastAsia="zh-CN"/>
              </w:rPr>
              <w:t>魏世飞</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default"/>
                <w:lang w:val="en-US" w:eastAsia="zh-CN"/>
              </w:rPr>
            </w:pPr>
            <w:r>
              <w:rPr>
                <w:rFonts w:hint="eastAsia"/>
              </w:rPr>
              <w:t>电</w:t>
            </w:r>
            <w:r>
              <w:rPr>
                <w:rFonts w:hint="eastAsia"/>
                <w:lang w:val="en-US" w:eastAsia="zh-CN"/>
              </w:rPr>
              <w:t xml:space="preserve">  </w:t>
            </w:r>
            <w:r>
              <w:rPr>
                <w:rFonts w:hint="eastAsia"/>
              </w:rPr>
              <w:t>话：</w:t>
            </w:r>
            <w:r>
              <w:rPr>
                <w:rFonts w:hint="eastAsia" w:ascii="宋体" w:hAnsi="宋体" w:eastAsia="宋体" w:cs="宋体"/>
                <w:lang w:val="en-US" w:eastAsia="zh-CN"/>
              </w:rPr>
              <w:t>029-33284736</w:t>
            </w:r>
          </w:p>
          <w:p>
            <w:pPr>
              <w:pStyle w:val="18"/>
              <w:keepNext w:val="0"/>
              <w:keepLines w:val="0"/>
              <w:pageBreakBefore w:val="0"/>
              <w:kinsoku/>
              <w:wordWrap/>
              <w:overflowPunct/>
              <w:topLinePunct w:val="0"/>
              <w:bidi w:val="0"/>
              <w:snapToGrid w:val="0"/>
              <w:spacing w:line="360" w:lineRule="auto"/>
              <w:ind w:firstLine="210" w:firstLineChars="100"/>
              <w:rPr>
                <w:rFonts w:hint="default"/>
                <w:lang w:val="en-US" w:eastAsia="zh-CN"/>
              </w:rPr>
            </w:pPr>
            <w:r>
              <w:rPr>
                <w:rFonts w:hint="eastAsia" w:ascii="宋体" w:hAnsi="宋体" w:cs="宋体"/>
                <w:szCs w:val="21"/>
              </w:rPr>
              <w:t>电子邮箱：yozhzb@163.com</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69"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3</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en-US" w:eastAsia="zh-CN"/>
              </w:rPr>
              <w:t>采购</w:t>
            </w:r>
            <w:r>
              <w:rPr>
                <w:rFonts w:hint="eastAsia"/>
                <w:color w:val="auto"/>
                <w:sz w:val="21"/>
                <w:szCs w:val="21"/>
                <w:highlight w:val="none"/>
                <w:lang w:val="zh-CN"/>
              </w:rPr>
              <w:t>项目名称</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rFonts w:hint="eastAsia" w:ascii="宋体" w:hAnsi="宋体" w:eastAsia="宋体"/>
                <w:color w:val="auto"/>
                <w:highlight w:val="none"/>
                <w:lang w:eastAsia="zh-CN"/>
              </w:rPr>
            </w:pPr>
            <w:r>
              <w:rPr>
                <w:rFonts w:hint="eastAsia" w:ascii="宋体" w:hAnsi="宋体"/>
                <w:color w:val="auto"/>
                <w:highlight w:val="none"/>
                <w:lang w:eastAsia="zh-CN"/>
              </w:rPr>
              <w:t>鲁桥镇西区农村生活污水治理建设项目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8"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4</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en-US" w:eastAsia="zh-CN"/>
              </w:rPr>
              <w:t>采购</w:t>
            </w:r>
            <w:r>
              <w:rPr>
                <w:rFonts w:hint="eastAsia"/>
                <w:color w:val="auto"/>
                <w:sz w:val="21"/>
                <w:szCs w:val="21"/>
                <w:highlight w:val="none"/>
                <w:lang w:val="zh-CN"/>
              </w:rPr>
              <w:t>项目编号</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rFonts w:hint="eastAsia" w:ascii="宋体" w:hAnsi="宋体" w:eastAsia="宋体"/>
                <w:color w:val="auto"/>
                <w:highlight w:val="none"/>
                <w:lang w:eastAsia="zh-CN"/>
              </w:rPr>
            </w:pPr>
            <w:r>
              <w:rPr>
                <w:rFonts w:hint="eastAsia" w:ascii="宋体" w:hAnsi="宋体" w:cs="宋体"/>
                <w:color w:val="auto"/>
                <w:highlight w:val="none"/>
                <w:lang w:eastAsia="zh-CN"/>
              </w:rPr>
              <w:t>YZZB-2022-051</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9"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5</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zh-CN"/>
              </w:rPr>
              <w:t>资金来源</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firstLine="105" w:firstLineChars="50"/>
              <w:textAlignment w:val="auto"/>
              <w:rPr>
                <w:rFonts w:ascii="宋体" w:hAnsi="宋体"/>
                <w:color w:val="auto"/>
                <w:highlight w:val="none"/>
              </w:rPr>
            </w:pPr>
            <w:r>
              <w:rPr>
                <w:rFonts w:hint="eastAsia" w:ascii="宋体" w:hAnsi="宋体"/>
                <w:color w:val="auto"/>
                <w:highlight w:val="none"/>
              </w:rPr>
              <w:t xml:space="preserve"> 财政预算</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828"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6</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zh-CN"/>
              </w:rPr>
              <w:t>预算金额</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rPr>
              <w:t>本项目采购预算金额</w:t>
            </w:r>
            <w:r>
              <w:rPr>
                <w:rFonts w:hint="eastAsia"/>
                <w:color w:val="auto"/>
                <w:sz w:val="21"/>
                <w:szCs w:val="21"/>
                <w:highlight w:val="none"/>
                <w:u w:val="single"/>
              </w:rPr>
              <w:t>￥</w:t>
            </w:r>
            <w:r>
              <w:rPr>
                <w:rFonts w:hint="eastAsia" w:cs="宋体"/>
                <w:color w:val="auto"/>
                <w:sz w:val="21"/>
                <w:szCs w:val="21"/>
                <w:highlight w:val="none"/>
                <w:u w:val="single"/>
                <w:lang w:eastAsia="zh-CN"/>
              </w:rPr>
              <w:t>1123074.16</w:t>
            </w:r>
            <w:r>
              <w:rPr>
                <w:rFonts w:hint="eastAsia"/>
                <w:color w:val="auto"/>
                <w:sz w:val="21"/>
                <w:szCs w:val="21"/>
                <w:highlight w:val="none"/>
                <w:u w:val="single"/>
              </w:rPr>
              <w:t>元</w:t>
            </w:r>
            <w:r>
              <w:rPr>
                <w:rFonts w:hint="eastAsia"/>
                <w:color w:val="auto"/>
                <w:sz w:val="21"/>
                <w:szCs w:val="21"/>
                <w:highlight w:val="none"/>
              </w:rPr>
              <w:t>。供应商</w:t>
            </w:r>
            <w:r>
              <w:rPr>
                <w:rFonts w:hint="eastAsia"/>
                <w:color w:val="auto"/>
                <w:sz w:val="21"/>
                <w:szCs w:val="21"/>
                <w:highlight w:val="none"/>
                <w:lang w:eastAsia="zh-CN"/>
              </w:rPr>
              <w:t>谈判</w:t>
            </w:r>
            <w:r>
              <w:rPr>
                <w:rFonts w:hint="eastAsia"/>
                <w:color w:val="auto"/>
                <w:sz w:val="21"/>
                <w:szCs w:val="21"/>
                <w:highlight w:val="none"/>
              </w:rPr>
              <w:t>报价超出采购预算金额的，作为不实质性响应</w:t>
            </w:r>
            <w:r>
              <w:rPr>
                <w:rFonts w:hint="eastAsia"/>
                <w:color w:val="auto"/>
                <w:sz w:val="21"/>
                <w:szCs w:val="21"/>
                <w:highlight w:val="none"/>
                <w:lang w:eastAsia="zh-CN"/>
              </w:rPr>
              <w:t>谈判</w:t>
            </w:r>
            <w:r>
              <w:rPr>
                <w:rFonts w:hint="eastAsia"/>
                <w:color w:val="auto"/>
                <w:sz w:val="21"/>
                <w:szCs w:val="21"/>
                <w:highlight w:val="none"/>
              </w:rPr>
              <w:t>文件，按无效响应文件处理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84"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7</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zh-CN"/>
              </w:rPr>
              <w:t>最高限价</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rFonts w:hint="eastAsia" w:eastAsiaTheme="minorEastAsia"/>
                <w:color w:val="auto"/>
                <w:sz w:val="21"/>
                <w:szCs w:val="21"/>
                <w:highlight w:val="none"/>
                <w:lang w:val="en-US" w:eastAsia="zh-CN"/>
              </w:rPr>
            </w:pPr>
            <w:r>
              <w:rPr>
                <w:rFonts w:hint="eastAsia"/>
                <w:color w:val="auto"/>
                <w:sz w:val="21"/>
                <w:szCs w:val="21"/>
                <w:highlight w:val="none"/>
                <w:u w:val="none"/>
              </w:rPr>
              <w:t>￥</w:t>
            </w:r>
            <w:r>
              <w:rPr>
                <w:rFonts w:hint="eastAsia" w:asciiTheme="minorEastAsia" w:hAnsiTheme="minorEastAsia" w:eastAsiaTheme="minorEastAsia" w:cstheme="minorEastAsia"/>
                <w:color w:val="auto"/>
                <w:sz w:val="21"/>
                <w:szCs w:val="21"/>
                <w:lang w:eastAsia="zh-CN"/>
              </w:rPr>
              <w:t>1123074.16</w:t>
            </w:r>
            <w:r>
              <w:rPr>
                <w:rFonts w:hint="eastAsia" w:asciiTheme="minorEastAsia" w:hAnsiTheme="minorEastAsia" w:eastAsiaTheme="minorEastAsia" w:cstheme="minorEastAsia"/>
                <w:color w:val="auto"/>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29"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8</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zh-CN"/>
              </w:rPr>
              <w:t>采购方式</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both"/>
              <w:textAlignment w:val="auto"/>
              <w:rPr>
                <w:color w:val="auto"/>
                <w:sz w:val="21"/>
                <w:szCs w:val="21"/>
                <w:highlight w:val="none"/>
                <w:lang w:val="zh-CN"/>
              </w:rPr>
            </w:pPr>
            <w:r>
              <w:rPr>
                <w:rFonts w:hint="eastAsia"/>
                <w:color w:val="auto"/>
                <w:sz w:val="21"/>
                <w:szCs w:val="21"/>
                <w:highlight w:val="none"/>
                <w:lang w:val="zh-CN"/>
              </w:rPr>
              <w:t xml:space="preserve">  竞争性谈判</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22"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9</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8"/>
              <w:jc w:val="center"/>
              <w:textAlignment w:val="auto"/>
              <w:rPr>
                <w:color w:val="auto"/>
                <w:sz w:val="21"/>
                <w:szCs w:val="21"/>
                <w:highlight w:val="none"/>
                <w:lang w:val="zh-CN"/>
              </w:rPr>
            </w:pPr>
            <w:r>
              <w:rPr>
                <w:rFonts w:hint="eastAsia"/>
                <w:color w:val="auto"/>
                <w:sz w:val="21"/>
                <w:szCs w:val="21"/>
                <w:highlight w:val="none"/>
                <w:lang w:val="zh-CN"/>
              </w:rPr>
              <w:t>采购内容</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both"/>
              <w:textAlignment w:val="auto"/>
              <w:rPr>
                <w:color w:val="auto"/>
                <w:sz w:val="21"/>
                <w:szCs w:val="21"/>
                <w:highlight w:val="none"/>
                <w:lang w:val="zh-CN"/>
              </w:rPr>
            </w:pPr>
            <w:r>
              <w:rPr>
                <w:rFonts w:hint="eastAsia"/>
                <w:color w:val="auto"/>
                <w:sz w:val="21"/>
                <w:szCs w:val="21"/>
                <w:highlight w:val="none"/>
                <w:lang w:val="zh-CN"/>
              </w:rPr>
              <w:t xml:space="preserve">  详见第四章</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82"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10</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rFonts w:hint="eastAsia" w:eastAsia="宋体"/>
                <w:color w:val="auto"/>
                <w:sz w:val="21"/>
                <w:szCs w:val="21"/>
                <w:highlight w:val="none"/>
                <w:lang w:val="zh-CN" w:eastAsia="zh-CN"/>
              </w:rPr>
            </w:pPr>
            <w:r>
              <w:rPr>
                <w:rFonts w:hint="eastAsia"/>
                <w:color w:val="auto"/>
                <w:sz w:val="21"/>
                <w:szCs w:val="21"/>
                <w:highlight w:val="none"/>
                <w:lang w:val="en-US" w:eastAsia="zh-CN"/>
              </w:rPr>
              <w:t>工期</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合同签订之日起30日历天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11</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color w:val="auto"/>
                <w:sz w:val="21"/>
                <w:szCs w:val="21"/>
                <w:highlight w:val="none"/>
                <w:lang w:val="zh-CN"/>
              </w:rPr>
            </w:pPr>
            <w:r>
              <w:rPr>
                <w:rFonts w:hint="eastAsia"/>
                <w:color w:val="auto"/>
                <w:sz w:val="21"/>
                <w:szCs w:val="21"/>
                <w:highlight w:val="none"/>
                <w:lang w:val="zh-CN"/>
              </w:rPr>
              <w:t>地点</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634" w:leftChars="102" w:hanging="420" w:hangingChars="200"/>
              <w:textAlignment w:val="auto"/>
              <w:rPr>
                <w:rFonts w:hint="default" w:eastAsia="宋体"/>
                <w:color w:val="auto"/>
                <w:sz w:val="21"/>
                <w:szCs w:val="21"/>
                <w:highlight w:val="none"/>
                <w:lang w:val="en-US" w:eastAsia="zh-CN"/>
              </w:rPr>
            </w:pPr>
            <w:r>
              <w:rPr>
                <w:rFonts w:hint="eastAsia" w:cs="宋体"/>
                <w:color w:val="auto"/>
                <w:sz w:val="21"/>
                <w:szCs w:val="21"/>
                <w:highlight w:val="none"/>
                <w:lang w:val="en-US" w:eastAsia="zh-CN"/>
              </w:rPr>
              <w:t>三原县鲁桥镇</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12</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color w:val="auto"/>
                <w:sz w:val="21"/>
                <w:szCs w:val="21"/>
                <w:highlight w:val="none"/>
                <w:lang w:val="zh-CN"/>
              </w:rPr>
            </w:pPr>
            <w:r>
              <w:rPr>
                <w:rFonts w:hint="eastAsia"/>
                <w:color w:val="auto"/>
                <w:sz w:val="21"/>
                <w:szCs w:val="21"/>
                <w:highlight w:val="none"/>
                <w:lang w:val="zh-CN"/>
              </w:rPr>
              <w:t>质量要求</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rFonts w:hint="eastAsia" w:eastAsia="宋体"/>
                <w:color w:val="auto"/>
                <w:sz w:val="21"/>
                <w:szCs w:val="21"/>
                <w:highlight w:val="none"/>
                <w:lang w:val="en-US" w:eastAsia="zh-CN"/>
              </w:rPr>
            </w:pPr>
            <w:r>
              <w:rPr>
                <w:rFonts w:hint="eastAsia" w:ascii="宋体" w:hAnsi="宋体" w:eastAsia="宋体" w:cs="宋体"/>
                <w:sz w:val="21"/>
                <w:szCs w:val="21"/>
                <w:lang w:val="zh-CN"/>
              </w:rPr>
              <w:t>达到国家现行施工验收规范“合格”标准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30"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13</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费用支付方式、</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时间和条件</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left="105" w:leftChars="50" w:right="105" w:rightChars="50" w:firstLine="105" w:firstLineChars="50"/>
              <w:textAlignment w:val="auto"/>
              <w:rPr>
                <w:rFonts w:ascii="宋体" w:hAnsi="宋体"/>
                <w:color w:val="auto"/>
                <w:szCs w:val="21"/>
                <w:highlight w:val="none"/>
              </w:rPr>
            </w:pPr>
            <w:r>
              <w:rPr>
                <w:rFonts w:hint="eastAsia" w:ascii="宋体" w:hAnsi="宋体"/>
                <w:color w:val="auto"/>
                <w:szCs w:val="21"/>
                <w:highlight w:val="none"/>
              </w:rPr>
              <w:t>详见</w:t>
            </w:r>
            <w:r>
              <w:rPr>
                <w:rFonts w:hint="eastAsia" w:ascii="宋体" w:hAnsi="宋体"/>
                <w:color w:val="auto"/>
                <w:szCs w:val="21"/>
                <w:highlight w:val="none"/>
                <w:lang w:eastAsia="zh-CN"/>
              </w:rPr>
              <w:t>谈判文件</w:t>
            </w:r>
            <w:r>
              <w:rPr>
                <w:rFonts w:hint="eastAsia" w:ascii="宋体" w:hAnsi="宋体"/>
                <w:color w:val="auto"/>
                <w:szCs w:val="21"/>
                <w:highlight w:val="none"/>
              </w:rPr>
              <w:t>第五章</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14</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kinsoku/>
              <w:wordWrap/>
              <w:overflowPunct/>
              <w:topLinePunct w:val="0"/>
              <w:bidi w:val="0"/>
              <w:snapToGrid w:val="0"/>
              <w:spacing w:line="360" w:lineRule="auto"/>
              <w:jc w:val="center"/>
              <w:rPr>
                <w:rFonts w:hint="eastAsia"/>
                <w:color w:val="auto"/>
                <w:sz w:val="21"/>
                <w:szCs w:val="21"/>
                <w:highlight w:val="none"/>
                <w:lang w:val="zh-CN"/>
              </w:rPr>
            </w:pPr>
            <w:r>
              <w:rPr>
                <w:rFonts w:hint="eastAsia"/>
                <w:sz w:val="21"/>
                <w:szCs w:val="21"/>
                <w:lang w:val="zh-CN"/>
              </w:rPr>
              <w:t>项目属性</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right="105" w:rightChars="50" w:firstLine="105" w:firstLineChars="50"/>
              <w:rPr>
                <w:rFonts w:hint="eastAsia" w:ascii="宋体" w:hAnsi="宋体"/>
                <w:color w:val="auto"/>
                <w:szCs w:val="21"/>
                <w:highlight w:val="none"/>
              </w:rPr>
            </w:pPr>
            <w:r>
              <w:rPr>
                <w:rFonts w:hint="eastAsia" w:ascii="宋体" w:hAnsi="宋体"/>
                <w:szCs w:val="21"/>
              </w:rPr>
              <w:t>政府采购</w:t>
            </w:r>
            <w:r>
              <w:rPr>
                <w:rFonts w:hint="eastAsia" w:ascii="宋体" w:hAnsi="宋体"/>
                <w:szCs w:val="21"/>
                <w:lang w:val="en-US" w:eastAsia="zh-CN"/>
              </w:rPr>
              <w:t>工程</w:t>
            </w:r>
            <w:r>
              <w:rPr>
                <w:rFonts w:hint="eastAsia" w:ascii="宋体" w:hAnsi="宋体"/>
                <w:szCs w:val="21"/>
              </w:rPr>
              <w:t>类</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67"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15</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是否专门面向中小</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ascii="宋体" w:hAnsi="宋体" w:eastAsia="宋体" w:cs="宋体"/>
                <w:color w:val="auto"/>
                <w:sz w:val="21"/>
                <w:szCs w:val="21"/>
                <w:highlight w:val="none"/>
                <w:lang w:val="zh-CN"/>
              </w:rPr>
              <w:t>企业采购</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kinsoku/>
              <w:wordWrap/>
              <w:overflowPunct/>
              <w:topLinePunct w:val="0"/>
              <w:bidi w:val="0"/>
              <w:snapToGrid w:val="0"/>
              <w:spacing w:line="360" w:lineRule="auto"/>
              <w:ind w:firstLine="210" w:firstLineChars="1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是，</w:t>
            </w:r>
            <w:r>
              <w:rPr>
                <w:rFonts w:hint="eastAsia"/>
                <w:color w:val="auto"/>
                <w:sz w:val="21"/>
                <w:szCs w:val="21"/>
                <w:highlight w:val="none"/>
                <w:lang w:val="zh-CN"/>
              </w:rPr>
              <w:t>仅允许中小企业参与，</w:t>
            </w:r>
            <w:r>
              <w:rPr>
                <w:rFonts w:hint="eastAsia"/>
                <w:color w:val="auto"/>
                <w:sz w:val="21"/>
                <w:szCs w:val="21"/>
                <w:highlight w:val="none"/>
                <w:lang w:val="en-US" w:eastAsia="zh-CN"/>
              </w:rPr>
              <w:t>谈判供应商须提供中小企业声明函。</w:t>
            </w:r>
          </w:p>
          <w:p>
            <w:pPr>
              <w:pStyle w:val="62"/>
              <w:keepNext w:val="0"/>
              <w:keepLines w:val="0"/>
              <w:pageBreakBefore w:val="0"/>
              <w:widowControl w:val="0"/>
              <w:kinsoku/>
              <w:wordWrap/>
              <w:overflowPunct/>
              <w:topLinePunct w:val="0"/>
              <w:bidi w:val="0"/>
              <w:snapToGrid w:val="0"/>
              <w:spacing w:line="360" w:lineRule="auto"/>
              <w:ind w:firstLine="210" w:firstLineChars="100"/>
              <w:jc w:val="both"/>
              <w:textAlignment w:val="auto"/>
              <w:rPr>
                <w:rFonts w:hint="default" w:eastAsia="宋体"/>
                <w:color w:val="auto"/>
                <w:sz w:val="21"/>
                <w:szCs w:val="21"/>
                <w:highlight w:val="none"/>
                <w:lang w:val="en-US" w:eastAsia="zh-CN"/>
              </w:rPr>
            </w:pPr>
            <w:r>
              <w:rPr>
                <w:rFonts w:hint="eastAsia"/>
                <w:color w:val="auto"/>
                <w:sz w:val="21"/>
                <w:szCs w:val="21"/>
              </w:rPr>
              <w:t>采购标的对应的中小企业所属行业</w:t>
            </w:r>
            <w:r>
              <w:rPr>
                <w:rFonts w:hint="eastAsia"/>
                <w:color w:val="auto"/>
                <w:sz w:val="21"/>
                <w:szCs w:val="21"/>
                <w:lang w:eastAsia="zh-CN"/>
              </w:rPr>
              <w:t>：</w:t>
            </w:r>
            <w:r>
              <w:rPr>
                <w:rFonts w:hint="eastAsia"/>
                <w:color w:val="auto"/>
                <w:sz w:val="21"/>
                <w:szCs w:val="21"/>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1"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16</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kinsoku/>
              <w:wordWrap/>
              <w:overflowPunct/>
              <w:topLinePunct w:val="0"/>
              <w:bidi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是否允许大中企业向小微企业分包</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topLinePunct w:val="0"/>
              <w:bidi w:val="0"/>
              <w:snapToGrid w:val="0"/>
              <w:spacing w:line="360" w:lineRule="auto"/>
              <w:ind w:left="105" w:leftChars="50" w:right="105" w:rightChars="50" w:firstLine="105" w:firstLineChars="50"/>
              <w:textAlignment w:val="auto"/>
              <w:rPr>
                <w:rFonts w:hint="eastAsia" w:ascii="宋体" w:hAnsi="宋体"/>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57"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7</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联合体谈判</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left="105" w:leftChars="50" w:right="105" w:rightChars="50" w:firstLine="105" w:firstLineChars="50"/>
              <w:textAlignment w:val="auto"/>
              <w:rPr>
                <w:rFonts w:hint="eastAsia" w:ascii="宋体" w:hAnsi="宋体"/>
                <w:color w:val="auto"/>
                <w:szCs w:val="21"/>
                <w:highlight w:val="none"/>
              </w:rPr>
            </w:pPr>
            <w:r>
              <w:rPr>
                <w:rFonts w:hint="eastAsia"/>
                <w:color w:val="auto"/>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511"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eastAsia="宋体" w:cs="Courier New"/>
                <w:color w:val="auto"/>
                <w:sz w:val="21"/>
                <w:szCs w:val="21"/>
                <w:highlight w:val="none"/>
                <w:lang w:val="zh-CN"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8</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eastAsia="宋体"/>
                <w:color w:val="auto"/>
                <w:sz w:val="21"/>
                <w:szCs w:val="21"/>
                <w:highlight w:val="none"/>
                <w:lang w:val="zh-CN" w:eastAsia="zh-CN"/>
              </w:rPr>
            </w:pPr>
            <w:r>
              <w:rPr>
                <w:rFonts w:hint="eastAsia"/>
                <w:color w:val="auto"/>
                <w:sz w:val="21"/>
                <w:szCs w:val="21"/>
                <w:highlight w:val="none"/>
                <w:lang w:val="zh-CN"/>
              </w:rPr>
              <w:t>谈判文件</w:t>
            </w:r>
            <w:r>
              <w:rPr>
                <w:rFonts w:hint="eastAsia"/>
                <w:color w:val="auto"/>
                <w:sz w:val="21"/>
                <w:szCs w:val="21"/>
                <w:highlight w:val="none"/>
                <w:lang w:val="en-US" w:eastAsia="zh-CN"/>
              </w:rPr>
              <w:t>获取</w:t>
            </w:r>
          </w:p>
        </w:tc>
        <w:tc>
          <w:tcPr>
            <w:tcW w:w="7316" w:type="dxa"/>
            <w:tcBorders>
              <w:top w:val="single" w:color="auto" w:sz="8" w:space="0"/>
              <w:left w:val="single" w:color="auto" w:sz="8" w:space="0"/>
              <w:bottom w:val="single" w:color="auto" w:sz="8" w:space="0"/>
            </w:tcBorders>
          </w:tcPr>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eastAsia" w:ascii="宋体" w:hAnsi="宋体" w:eastAsia="宋体" w:cs="宋体"/>
                <w:lang w:eastAsia="zh-CN"/>
              </w:rPr>
            </w:pPr>
            <w:r>
              <w:rPr>
                <w:rFonts w:hint="eastAsia" w:ascii="宋体" w:hAnsi="宋体" w:eastAsia="宋体" w:cs="宋体"/>
                <w:lang w:eastAsia="zh-CN"/>
              </w:rPr>
              <w:t>时间：2022年</w:t>
            </w:r>
            <w:r>
              <w:rPr>
                <w:rFonts w:hint="eastAsia" w:ascii="宋体" w:hAnsi="宋体" w:eastAsia="宋体" w:cs="宋体"/>
                <w:lang w:val="en-US" w:eastAsia="zh-CN"/>
              </w:rPr>
              <w:t>12</w:t>
            </w:r>
            <w:r>
              <w:rPr>
                <w:rFonts w:hint="eastAsia" w:ascii="宋体" w:hAnsi="宋体" w:eastAsia="宋体" w:cs="宋体"/>
                <w:lang w:eastAsia="zh-CN"/>
              </w:rPr>
              <w:t>月1</w:t>
            </w:r>
            <w:r>
              <w:rPr>
                <w:rFonts w:hint="eastAsia" w:ascii="宋体" w:hAnsi="宋体" w:cs="宋体"/>
                <w:lang w:val="en-US" w:eastAsia="zh-CN"/>
              </w:rPr>
              <w:t>9</w:t>
            </w:r>
            <w:r>
              <w:rPr>
                <w:rFonts w:hint="eastAsia" w:ascii="宋体" w:hAnsi="宋体" w:eastAsia="宋体" w:cs="宋体"/>
                <w:lang w:eastAsia="zh-CN"/>
              </w:rPr>
              <w:t>日至2022年</w:t>
            </w:r>
            <w:r>
              <w:rPr>
                <w:rFonts w:hint="eastAsia" w:ascii="宋体" w:hAnsi="宋体" w:eastAsia="宋体" w:cs="宋体"/>
                <w:lang w:val="en-US" w:eastAsia="zh-CN"/>
              </w:rPr>
              <w:t>12</w:t>
            </w:r>
            <w:r>
              <w:rPr>
                <w:rFonts w:hint="eastAsia" w:ascii="宋体" w:hAnsi="宋体" w:eastAsia="宋体" w:cs="宋体"/>
                <w:lang w:eastAsia="zh-CN"/>
              </w:rPr>
              <w:t>月2</w:t>
            </w:r>
            <w:r>
              <w:rPr>
                <w:rFonts w:hint="eastAsia" w:ascii="宋体" w:hAnsi="宋体" w:cs="宋体"/>
                <w:lang w:val="en-US" w:eastAsia="zh-CN"/>
              </w:rPr>
              <w:t>1</w:t>
            </w:r>
            <w:r>
              <w:rPr>
                <w:rFonts w:hint="eastAsia" w:ascii="宋体" w:hAnsi="宋体" w:eastAsia="宋体" w:cs="宋体"/>
                <w:lang w:eastAsia="zh-CN"/>
              </w:rPr>
              <w:t>日，每天上午08:</w:t>
            </w:r>
            <w:r>
              <w:rPr>
                <w:rFonts w:hint="eastAsia" w:ascii="宋体" w:hAnsi="宋体" w:eastAsia="宋体" w:cs="宋体"/>
                <w:lang w:val="en-US" w:eastAsia="zh-CN"/>
              </w:rPr>
              <w:t>0</w:t>
            </w:r>
            <w:r>
              <w:rPr>
                <w:rFonts w:hint="eastAsia" w:ascii="宋体" w:hAnsi="宋体" w:eastAsia="宋体" w:cs="宋体"/>
                <w:lang w:eastAsia="zh-CN"/>
              </w:rPr>
              <w:t>0:00至12:00:00，下午14:00:00至18:00:00（北京时间,法定节假日除外）</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eastAsia" w:ascii="宋体" w:hAnsi="宋体" w:eastAsia="宋体" w:cs="宋体"/>
                <w:lang w:val="en-US" w:eastAsia="zh-CN"/>
              </w:rPr>
            </w:pPr>
            <w:r>
              <w:rPr>
                <w:rFonts w:hint="eastAsia" w:ascii="宋体" w:hAnsi="宋体" w:eastAsia="宋体" w:cs="宋体"/>
                <w:lang w:eastAsia="zh-CN"/>
              </w:rPr>
              <w:t>地点：</w:t>
            </w:r>
            <w:r>
              <w:rPr>
                <w:rFonts w:hint="eastAsia" w:ascii="宋体" w:hAnsi="宋体" w:eastAsia="宋体" w:cs="宋体"/>
                <w:lang w:val="en-US" w:eastAsia="zh-CN"/>
              </w:rPr>
              <w:t>咸阳市秦都区人民中路新华大厦1508室</w:t>
            </w:r>
          </w:p>
          <w:p>
            <w:pPr>
              <w:keepNext w:val="0"/>
              <w:keepLines w:val="0"/>
              <w:pageBreakBefore w:val="0"/>
              <w:widowControl w:val="0"/>
              <w:shd w:val="clear"/>
              <w:kinsoku/>
              <w:wordWrap/>
              <w:overflowPunct/>
              <w:topLinePunct w:val="0"/>
              <w:bidi w:val="0"/>
              <w:adjustRightInd w:val="0"/>
              <w:snapToGrid w:val="0"/>
              <w:spacing w:line="360" w:lineRule="auto"/>
              <w:ind w:firstLine="210" w:firstLineChars="100"/>
              <w:jc w:val="left"/>
              <w:textAlignment w:val="auto"/>
              <w:rPr>
                <w:rFonts w:hint="eastAsia"/>
                <w:lang w:eastAsia="zh-CN"/>
              </w:rPr>
            </w:pPr>
            <w:r>
              <w:rPr>
                <w:rFonts w:hint="eastAsia" w:ascii="宋体" w:hAnsi="宋体" w:eastAsia="宋体" w:cs="宋体"/>
                <w:lang w:val="en-US" w:eastAsia="zh-CN"/>
              </w:rPr>
              <w:t>按照</w:t>
            </w:r>
            <w:r>
              <w:rPr>
                <w:rFonts w:hint="eastAsia" w:ascii="宋体" w:hAnsi="宋体" w:eastAsia="宋体" w:cs="宋体"/>
                <w:lang w:eastAsia="zh-CN"/>
              </w:rPr>
              <w:t>咸阳市财政局《关于促进政府采购公平竞争优化营商环境的通知》要求，</w:t>
            </w:r>
            <w:r>
              <w:rPr>
                <w:rFonts w:hint="eastAsia" w:ascii="宋体" w:hAnsi="宋体" w:eastAsia="宋体" w:cs="宋体"/>
                <w:lang w:val="en-US" w:eastAsia="zh-CN"/>
              </w:rPr>
              <w:t>谈判</w:t>
            </w:r>
            <w:r>
              <w:rPr>
                <w:rFonts w:hint="eastAsia" w:ascii="宋体" w:hAnsi="宋体" w:eastAsia="宋体" w:cs="宋体"/>
                <w:lang w:eastAsia="zh-CN"/>
              </w:rPr>
              <w:t>文件免费赠送。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365"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9</w:t>
            </w:r>
          </w:p>
        </w:tc>
        <w:tc>
          <w:tcPr>
            <w:tcW w:w="218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olor w:val="auto"/>
                <w:sz w:val="21"/>
                <w:szCs w:val="21"/>
                <w:highlight w:val="none"/>
                <w:lang w:val="zh-CN"/>
              </w:rPr>
            </w:pPr>
            <w:r>
              <w:rPr>
                <w:rFonts w:hint="eastAsia" w:ascii="宋体" w:hAnsi="宋体" w:cs="宋体"/>
                <w:color w:val="auto"/>
                <w:szCs w:val="21"/>
                <w:lang w:val="zh-CN"/>
              </w:rPr>
              <w:t>获取文件规定</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jc w:val="left"/>
              <w:textAlignment w:val="auto"/>
              <w:rPr>
                <w:rFonts w:hint="eastAsia"/>
                <w:color w:val="auto"/>
                <w:sz w:val="21"/>
                <w:szCs w:val="21"/>
                <w:highlight w:val="none"/>
                <w:lang w:val="zh-CN"/>
              </w:rPr>
            </w:pPr>
            <w:r>
              <w:rPr>
                <w:rFonts w:hint="eastAsia" w:ascii="宋体" w:hAnsi="宋体" w:cs="宋体"/>
                <w:color w:val="auto"/>
                <w:szCs w:val="21"/>
                <w:lang w:val="zh-CN"/>
              </w:rPr>
              <w:t>供应商登记免费领取采购文件的，如不参与项目</w:t>
            </w:r>
            <w:r>
              <w:rPr>
                <w:rFonts w:hint="eastAsia" w:ascii="宋体" w:hAnsi="宋体" w:cs="宋体"/>
                <w:color w:val="auto"/>
                <w:szCs w:val="21"/>
                <w:lang w:val="en-US" w:eastAsia="zh-CN"/>
              </w:rPr>
              <w:t>谈判</w:t>
            </w:r>
            <w:r>
              <w:rPr>
                <w:rFonts w:hint="eastAsia" w:ascii="宋体" w:hAnsi="宋体" w:cs="宋体"/>
                <w:color w:val="auto"/>
                <w:szCs w:val="21"/>
                <w:lang w:val="zh-CN"/>
              </w:rPr>
              <w:t>，应在递交投标（或</w:t>
            </w:r>
            <w:r>
              <w:rPr>
                <w:rFonts w:hint="eastAsia" w:ascii="宋体" w:hAnsi="宋体" w:cs="宋体"/>
                <w:color w:val="auto"/>
                <w:szCs w:val="21"/>
                <w:lang w:val="en-US" w:eastAsia="zh-CN"/>
              </w:rPr>
              <w:t>响应</w:t>
            </w:r>
            <w:r>
              <w:rPr>
                <w:rFonts w:hint="eastAsia" w:ascii="宋体" w:hAnsi="宋体" w:cs="宋体"/>
                <w:color w:val="auto"/>
                <w:szCs w:val="21"/>
                <w:lang w:val="zh-CN"/>
              </w:rPr>
              <w:t>）文件截止时间前一日以书面形式告知采购代理机构。否则，采购代理机构可以向财政部门反映情况并提供相应的佐证。供应商一年内累计出现三次该情形，将被监管部门记录失信行为。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32"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en-US" w:eastAsia="zh-CN"/>
              </w:rPr>
              <w:t>20</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考察现场、谈判前</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答疑会</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210" w:leftChars="100"/>
              <w:textAlignment w:val="auto"/>
              <w:rPr>
                <w:color w:val="auto"/>
                <w:sz w:val="21"/>
                <w:szCs w:val="21"/>
                <w:highlight w:val="none"/>
                <w:lang w:val="zh-CN"/>
              </w:rPr>
            </w:pPr>
            <w:r>
              <w:rPr>
                <w:rFonts w:hint="eastAsia"/>
                <w:color w:val="auto"/>
                <w:sz w:val="21"/>
                <w:szCs w:val="21"/>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39"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en-US" w:eastAsia="zh-CN"/>
              </w:rPr>
              <w:t>21</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转包与分包</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rFonts w:hint="eastAsia" w:eastAsia="宋体"/>
                <w:color w:val="auto"/>
                <w:sz w:val="21"/>
                <w:szCs w:val="21"/>
                <w:highlight w:val="none"/>
                <w:lang w:val="en-US" w:eastAsia="zh-CN"/>
              </w:rPr>
            </w:pPr>
            <w:r>
              <w:rPr>
                <w:rFonts w:hint="eastAsia"/>
                <w:color w:val="auto"/>
                <w:sz w:val="21"/>
                <w:szCs w:val="21"/>
                <w:highlight w:val="none"/>
                <w:lang w:val="zh-CN"/>
              </w:rPr>
              <w:t>不得转</w:t>
            </w:r>
            <w:r>
              <w:rPr>
                <w:rFonts w:hint="eastAsia"/>
                <w:color w:val="auto"/>
                <w:sz w:val="21"/>
                <w:szCs w:val="21"/>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97"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en-US" w:eastAsia="zh-CN"/>
              </w:rPr>
              <w:t>22</w:t>
            </w:r>
          </w:p>
        </w:tc>
        <w:tc>
          <w:tcPr>
            <w:tcW w:w="2182" w:type="dxa"/>
            <w:tcBorders>
              <w:top w:val="single" w:color="auto" w:sz="8" w:space="0"/>
              <w:left w:val="single" w:color="auto" w:sz="8" w:space="0"/>
              <w:bottom w:val="single" w:color="auto" w:sz="8" w:space="0"/>
              <w:right w:val="single" w:color="auto" w:sz="8" w:space="0"/>
            </w:tcBorders>
            <w:vAlign w:val="center"/>
          </w:tcPr>
          <w:p>
            <w:pPr>
              <w:pStyle w:val="6"/>
              <w:keepNext w:val="0"/>
              <w:keepLines w:val="0"/>
              <w:pageBreakBefore w:val="0"/>
              <w:widowControl w:val="0"/>
              <w:shd w:val="clear"/>
              <w:kinsoku/>
              <w:wordWrap/>
              <w:overflowPunct/>
              <w:topLinePunct w:val="0"/>
              <w:bidi w:val="0"/>
              <w:adjustRightInd w:val="0"/>
              <w:snapToGrid w:val="0"/>
              <w:spacing w:line="360" w:lineRule="auto"/>
              <w:ind w:firstLine="0"/>
              <w:jc w:val="center"/>
              <w:textAlignment w:val="auto"/>
              <w:rPr>
                <w:rFonts w:hint="eastAsia"/>
                <w:color w:val="auto"/>
                <w:szCs w:val="21"/>
                <w:highlight w:val="none"/>
              </w:rPr>
            </w:pPr>
            <w:r>
              <w:rPr>
                <w:rFonts w:hint="eastAsia"/>
                <w:color w:val="auto"/>
                <w:szCs w:val="21"/>
                <w:highlight w:val="none"/>
                <w:lang w:eastAsia="zh-CN"/>
              </w:rPr>
              <w:t>谈判</w:t>
            </w:r>
            <w:r>
              <w:rPr>
                <w:rFonts w:hint="eastAsia"/>
                <w:color w:val="auto"/>
                <w:szCs w:val="21"/>
                <w:highlight w:val="none"/>
              </w:rPr>
              <w:t>文件澄清或修改</w:t>
            </w:r>
          </w:p>
          <w:p>
            <w:pPr>
              <w:pStyle w:val="6"/>
              <w:keepNext w:val="0"/>
              <w:keepLines w:val="0"/>
              <w:pageBreakBefore w:val="0"/>
              <w:widowControl w:val="0"/>
              <w:shd w:val="clear"/>
              <w:kinsoku/>
              <w:wordWrap/>
              <w:overflowPunct/>
              <w:topLinePunct w:val="0"/>
              <w:bidi w:val="0"/>
              <w:adjustRightInd w:val="0"/>
              <w:snapToGrid w:val="0"/>
              <w:spacing w:line="360" w:lineRule="auto"/>
              <w:ind w:firstLine="0"/>
              <w:jc w:val="center"/>
              <w:textAlignment w:val="auto"/>
              <w:rPr>
                <w:color w:val="auto"/>
                <w:szCs w:val="21"/>
                <w:highlight w:val="none"/>
                <w:lang w:val="zh-CN"/>
              </w:rPr>
            </w:pPr>
            <w:r>
              <w:rPr>
                <w:rFonts w:hint="eastAsia"/>
                <w:color w:val="auto"/>
                <w:szCs w:val="21"/>
                <w:highlight w:val="none"/>
              </w:rPr>
              <w:t>时间、形式</w:t>
            </w:r>
          </w:p>
        </w:tc>
        <w:tc>
          <w:tcPr>
            <w:tcW w:w="7316" w:type="dxa"/>
            <w:tcBorders>
              <w:top w:val="single" w:color="auto" w:sz="8" w:space="0"/>
              <w:left w:val="single" w:color="auto" w:sz="8" w:space="0"/>
              <w:bottom w:val="single" w:color="auto" w:sz="8" w:space="0"/>
            </w:tcBorders>
            <w:vAlign w:val="center"/>
          </w:tcPr>
          <w:p>
            <w:pPr>
              <w:pStyle w:val="6"/>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rFonts w:ascii="宋体" w:hAnsi="宋体"/>
                <w:color w:val="auto"/>
                <w:szCs w:val="21"/>
                <w:highlight w:val="none"/>
              </w:rPr>
            </w:pPr>
            <w:r>
              <w:rPr>
                <w:rFonts w:hint="eastAsia"/>
                <w:color w:val="auto"/>
                <w:szCs w:val="21"/>
                <w:highlight w:val="none"/>
                <w:lang w:val="zh-CN"/>
              </w:rPr>
              <w:t>时间：</w:t>
            </w:r>
            <w:r>
              <w:rPr>
                <w:rFonts w:hint="eastAsia" w:ascii="宋体" w:hAnsi="宋体"/>
                <w:color w:val="auto"/>
                <w:szCs w:val="21"/>
                <w:highlight w:val="none"/>
              </w:rPr>
              <w:t>提交响应文件截至时间</w:t>
            </w:r>
            <w:r>
              <w:rPr>
                <w:rFonts w:hint="eastAsia" w:ascii="宋体" w:hAnsi="宋体"/>
                <w:color w:val="auto"/>
                <w:szCs w:val="21"/>
                <w:highlight w:val="none"/>
                <w:lang w:val="en-US" w:eastAsia="zh-CN"/>
              </w:rPr>
              <w:t>3个工作</w:t>
            </w:r>
            <w:r>
              <w:rPr>
                <w:rFonts w:hint="eastAsia" w:ascii="宋体" w:hAnsi="宋体"/>
                <w:color w:val="auto"/>
                <w:szCs w:val="21"/>
                <w:highlight w:val="none"/>
              </w:rPr>
              <w:t>日前</w:t>
            </w:r>
          </w:p>
          <w:p>
            <w:pPr>
              <w:pStyle w:val="6"/>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Cs w:val="21"/>
                <w:highlight w:val="none"/>
                <w:lang w:val="zh-CN"/>
              </w:rPr>
            </w:pPr>
            <w:r>
              <w:rPr>
                <w:rFonts w:hint="eastAsia" w:ascii="宋体" w:hAnsi="宋体"/>
                <w:color w:val="auto"/>
                <w:szCs w:val="21"/>
                <w:highlight w:val="none"/>
              </w:rPr>
              <w:t>形式：书面和公告</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3</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52"/>
              <w:jc w:val="center"/>
              <w:textAlignment w:val="auto"/>
              <w:rPr>
                <w:rFonts w:hint="eastAsia"/>
                <w:color w:val="auto"/>
                <w:sz w:val="21"/>
                <w:szCs w:val="21"/>
                <w:highlight w:val="none"/>
                <w:lang w:val="zh-CN"/>
              </w:rPr>
            </w:pPr>
            <w:r>
              <w:rPr>
                <w:rFonts w:hint="eastAsia"/>
                <w:color w:val="auto"/>
                <w:sz w:val="21"/>
                <w:szCs w:val="21"/>
                <w:highlight w:val="none"/>
                <w:lang w:val="zh-CN"/>
              </w:rPr>
              <w:t>构成谈判文件的其他</w:t>
            </w:r>
          </w:p>
          <w:p>
            <w:pPr>
              <w:pStyle w:val="62"/>
              <w:keepNext w:val="0"/>
              <w:keepLines w:val="0"/>
              <w:pageBreakBefore w:val="0"/>
              <w:widowControl w:val="0"/>
              <w:shd w:val="clear"/>
              <w:kinsoku/>
              <w:wordWrap/>
              <w:overflowPunct/>
              <w:topLinePunct w:val="0"/>
              <w:bidi w:val="0"/>
              <w:adjustRightInd w:val="0"/>
              <w:snapToGrid w:val="0"/>
              <w:spacing w:line="360" w:lineRule="auto"/>
              <w:ind w:left="52"/>
              <w:jc w:val="center"/>
              <w:textAlignment w:val="auto"/>
              <w:rPr>
                <w:color w:val="auto"/>
                <w:sz w:val="21"/>
                <w:szCs w:val="21"/>
                <w:highlight w:val="none"/>
                <w:lang w:val="zh-CN"/>
              </w:rPr>
            </w:pPr>
            <w:r>
              <w:rPr>
                <w:rFonts w:hint="eastAsia"/>
                <w:color w:val="auto"/>
                <w:sz w:val="21"/>
                <w:szCs w:val="21"/>
                <w:highlight w:val="none"/>
                <w:lang w:val="zh-CN"/>
              </w:rPr>
              <w:t>文件</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谈判文件的澄清</w:t>
            </w:r>
            <w:r>
              <w:rPr>
                <w:rFonts w:hint="eastAsia"/>
                <w:color w:val="auto"/>
                <w:sz w:val="21"/>
                <w:szCs w:val="21"/>
                <w:highlight w:val="none"/>
              </w:rPr>
              <w:t>、修改书及有关补充通知为</w:t>
            </w:r>
            <w:r>
              <w:rPr>
                <w:rFonts w:hint="eastAsia"/>
                <w:color w:val="auto"/>
                <w:sz w:val="21"/>
                <w:szCs w:val="21"/>
                <w:highlight w:val="none"/>
                <w:lang w:eastAsia="zh-CN"/>
              </w:rPr>
              <w:t>谈判</w:t>
            </w:r>
            <w:r>
              <w:rPr>
                <w:rFonts w:hint="eastAsia"/>
                <w:color w:val="auto"/>
                <w:sz w:val="21"/>
                <w:szCs w:val="21"/>
                <w:highlight w:val="none"/>
              </w:rPr>
              <w:t>文件的有效组成部分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067"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4</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供应商对谈判文件提出质疑的时间、形式</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840" w:leftChars="100" w:hanging="630" w:hangingChars="300"/>
              <w:textAlignment w:val="auto"/>
              <w:rPr>
                <w:color w:val="auto"/>
                <w:sz w:val="21"/>
                <w:szCs w:val="21"/>
                <w:highlight w:val="none"/>
                <w:lang w:val="zh-CN"/>
              </w:rPr>
            </w:pPr>
            <w:r>
              <w:rPr>
                <w:rFonts w:hint="eastAsia"/>
                <w:color w:val="auto"/>
                <w:sz w:val="21"/>
                <w:szCs w:val="21"/>
                <w:highlight w:val="none"/>
                <w:lang w:val="zh-CN"/>
              </w:rPr>
              <w:t>时间：自供应商收到谈判文件之日起</w:t>
            </w:r>
            <w:r>
              <w:rPr>
                <w:rFonts w:hint="eastAsia"/>
                <w:color w:val="auto"/>
                <w:sz w:val="21"/>
                <w:szCs w:val="21"/>
                <w:highlight w:val="none"/>
                <w:lang w:val="en-US" w:eastAsia="zh-CN"/>
              </w:rPr>
              <w:t>7</w:t>
            </w:r>
            <w:r>
              <w:rPr>
                <w:rFonts w:hint="eastAsia"/>
                <w:color w:val="auto"/>
                <w:sz w:val="21"/>
                <w:szCs w:val="21"/>
                <w:highlight w:val="none"/>
                <w:lang w:val="zh-CN"/>
              </w:rPr>
              <w:t>个工作日内，超过期限的采购人或采购代理机构不再受理</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形式：书面形式（详见</w:t>
            </w:r>
            <w:r>
              <w:rPr>
                <w:rFonts w:hint="eastAsia"/>
                <w:color w:val="auto"/>
                <w:sz w:val="21"/>
                <w:szCs w:val="21"/>
                <w:highlight w:val="none"/>
              </w:rPr>
              <w:t>供应商须知第12.1.2条款</w:t>
            </w:r>
            <w:r>
              <w:rPr>
                <w:rFonts w:hint="eastAsia"/>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70"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5</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对供应商提出质疑答复时间、形式</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时间：自收到供应商质疑函之日起7个工作日内</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rPr>
            </w:pPr>
            <w:r>
              <w:rPr>
                <w:rFonts w:hint="eastAsia"/>
                <w:color w:val="auto"/>
                <w:sz w:val="21"/>
                <w:szCs w:val="21"/>
                <w:highlight w:val="none"/>
                <w:lang w:val="zh-CN"/>
              </w:rPr>
              <w:t>形式：书面形式</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34"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6</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3"/>
              <w:jc w:val="center"/>
              <w:textAlignment w:val="auto"/>
              <w:rPr>
                <w:color w:val="auto"/>
                <w:sz w:val="21"/>
                <w:szCs w:val="21"/>
                <w:highlight w:val="none"/>
                <w:lang w:val="zh-CN"/>
              </w:rPr>
            </w:pPr>
            <w:r>
              <w:rPr>
                <w:rFonts w:hint="eastAsia"/>
                <w:color w:val="auto"/>
                <w:sz w:val="21"/>
                <w:szCs w:val="21"/>
                <w:highlight w:val="none"/>
                <w:lang w:val="zh-CN"/>
              </w:rPr>
              <w:t>响应文件有效期</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zh-CN"/>
              </w:rPr>
              <w:t>从响应文件首次提交截止之日起90</w:t>
            </w:r>
            <w:r>
              <w:rPr>
                <w:rFonts w:hint="eastAsia"/>
                <w:color w:val="auto"/>
                <w:sz w:val="21"/>
                <w:szCs w:val="21"/>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9"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7</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3"/>
              <w:jc w:val="center"/>
              <w:textAlignment w:val="auto"/>
              <w:rPr>
                <w:color w:val="auto"/>
                <w:sz w:val="21"/>
                <w:szCs w:val="21"/>
                <w:highlight w:val="none"/>
                <w:lang w:val="zh-CN"/>
              </w:rPr>
            </w:pPr>
            <w:r>
              <w:rPr>
                <w:rFonts w:hint="eastAsia"/>
                <w:color w:val="auto"/>
                <w:sz w:val="21"/>
                <w:szCs w:val="21"/>
                <w:highlight w:val="none"/>
                <w:lang w:val="zh-CN"/>
              </w:rPr>
              <w:t>是否允许递交多个备选谈判方案</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不允许</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8</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33"/>
              <w:jc w:val="center"/>
              <w:textAlignment w:val="auto"/>
              <w:rPr>
                <w:color w:val="auto"/>
                <w:sz w:val="21"/>
                <w:szCs w:val="21"/>
                <w:highlight w:val="none"/>
                <w:lang w:val="zh-CN"/>
              </w:rPr>
            </w:pPr>
            <w:r>
              <w:rPr>
                <w:rFonts w:hint="eastAsia"/>
                <w:color w:val="auto"/>
                <w:sz w:val="21"/>
                <w:szCs w:val="21"/>
                <w:highlight w:val="none"/>
                <w:lang w:val="zh-CN"/>
              </w:rPr>
              <w:t>谈判保证金</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r>
              <w:rPr>
                <w:rFonts w:hint="eastAsia"/>
                <w:sz w:val="21"/>
                <w:szCs w:val="21"/>
              </w:rPr>
              <w:t>按咸阳市财政局《关于促进政府采购公平竞争优化营商环境的通知》要求，本项目不收取保证金。</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57"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9</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不予退还谈判保证金</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的情形</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详见</w:t>
            </w:r>
            <w:r>
              <w:rPr>
                <w:rFonts w:hint="eastAsia"/>
                <w:color w:val="auto"/>
                <w:sz w:val="21"/>
                <w:szCs w:val="21"/>
                <w:highlight w:val="none"/>
              </w:rPr>
              <w:t>供应商须知第4.5条款</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02"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en-US" w:eastAsia="zh-CN"/>
              </w:rPr>
              <w:t>30</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响应文件份数</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s="仿宋_GB2312"/>
                <w:color w:val="auto"/>
                <w:sz w:val="21"/>
                <w:szCs w:val="21"/>
                <w:highlight w:val="none"/>
              </w:rPr>
              <w:t>正本1套、副本</w:t>
            </w:r>
            <w:r>
              <w:rPr>
                <w:rFonts w:hint="eastAsia" w:cs="仿宋_GB2312"/>
                <w:color w:val="auto"/>
                <w:sz w:val="21"/>
                <w:szCs w:val="21"/>
                <w:highlight w:val="none"/>
                <w:lang w:val="en-US" w:eastAsia="zh-CN"/>
              </w:rPr>
              <w:t>3</w:t>
            </w:r>
            <w:r>
              <w:rPr>
                <w:rFonts w:hint="eastAsia" w:cs="仿宋_GB2312"/>
                <w:color w:val="auto"/>
                <w:sz w:val="21"/>
                <w:szCs w:val="21"/>
                <w:highlight w:val="none"/>
              </w:rPr>
              <w:t>套和电子文件（</w:t>
            </w:r>
            <w:r>
              <w:rPr>
                <w:rFonts w:hint="eastAsia" w:cs="仿宋_GB2312"/>
                <w:color w:val="auto"/>
                <w:sz w:val="21"/>
                <w:szCs w:val="21"/>
                <w:highlight w:val="none"/>
                <w:lang w:eastAsia="zh-CN"/>
              </w:rPr>
              <w:t>U盘</w:t>
            </w:r>
            <w:r>
              <w:rPr>
                <w:rFonts w:hint="eastAsia" w:cs="仿宋_GB2312"/>
                <w:color w:val="auto"/>
                <w:sz w:val="21"/>
                <w:szCs w:val="21"/>
                <w:highlight w:val="none"/>
              </w:rPr>
              <w:t>）</w:t>
            </w:r>
            <w:r>
              <w:rPr>
                <w:rFonts w:hint="eastAsia" w:cs="仿宋_GB2312"/>
                <w:color w:val="auto"/>
                <w:sz w:val="21"/>
                <w:szCs w:val="21"/>
                <w:highlight w:val="none"/>
                <w:lang w:val="en-US" w:eastAsia="zh-CN"/>
              </w:rPr>
              <w:t>2</w:t>
            </w:r>
            <w:r>
              <w:rPr>
                <w:rFonts w:hint="eastAsia" w:cs="仿宋_GB2312"/>
                <w:color w:val="auto"/>
                <w:sz w:val="2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0"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en-US" w:eastAsia="zh-CN"/>
              </w:rPr>
              <w:t>31</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响应文件签字或盖章</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要求</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供应商必须按照谈判文件的规定和要求签字、盖章</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803"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Arial"/>
                <w:color w:val="auto"/>
                <w:sz w:val="21"/>
                <w:szCs w:val="21"/>
                <w:highlight w:val="none"/>
                <w:lang w:val="en-US" w:eastAsia="zh-CN" w:bidi="ar-SA"/>
              </w:rPr>
            </w:pPr>
            <w:r>
              <w:rPr>
                <w:rFonts w:hint="eastAsia" w:cs="Courier New"/>
                <w:color w:val="auto"/>
                <w:sz w:val="21"/>
                <w:szCs w:val="21"/>
                <w:highlight w:val="none"/>
                <w:lang w:val="en-US" w:eastAsia="zh-CN"/>
              </w:rPr>
              <w:t>32</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响应文件装订</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210" w:firstLineChars="100"/>
              <w:textAlignment w:val="auto"/>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eastAsia="zh-CN"/>
              </w:rPr>
              <w:t>谈判</w:t>
            </w:r>
            <w:r>
              <w:rPr>
                <w:rFonts w:hint="eastAsia" w:ascii="宋体" w:hAnsi="宋体" w:cs="仿宋_GB2312"/>
                <w:color w:val="auto"/>
                <w:kern w:val="0"/>
                <w:szCs w:val="21"/>
                <w:highlight w:val="none"/>
              </w:rPr>
              <w:t>响应文件应当采用A4页幅、</w:t>
            </w:r>
            <w:r>
              <w:rPr>
                <w:rFonts w:hint="eastAsia" w:ascii="宋体" w:hAnsi="宋体" w:cs="仿宋_GB2312"/>
                <w:color w:val="auto"/>
                <w:kern w:val="0"/>
                <w:szCs w:val="21"/>
                <w:highlight w:val="none"/>
                <w:lang w:val="en-US" w:eastAsia="zh-CN"/>
              </w:rPr>
              <w:t>建议</w:t>
            </w:r>
            <w:r>
              <w:rPr>
                <w:rFonts w:hint="eastAsia" w:ascii="宋体" w:hAnsi="宋体" w:cs="仿宋_GB2312"/>
                <w:color w:val="auto"/>
                <w:kern w:val="0"/>
                <w:szCs w:val="21"/>
                <w:highlight w:val="none"/>
              </w:rPr>
              <w:t>双面打印、左侧胶装方式装订，装订应牢固、不易拆散和换页，</w:t>
            </w:r>
            <w:r>
              <w:rPr>
                <w:rFonts w:hint="eastAsia"/>
                <w:color w:val="auto"/>
                <w:szCs w:val="21"/>
                <w:highlight w:val="none"/>
              </w:rPr>
              <w:t>正副本分别密封，</w:t>
            </w:r>
            <w:r>
              <w:rPr>
                <w:rFonts w:hint="eastAsia"/>
                <w:color w:val="auto"/>
                <w:szCs w:val="21"/>
                <w:highlight w:val="none"/>
                <w:lang w:val="en-US" w:eastAsia="zh-CN"/>
              </w:rPr>
              <w:t>电子文件</w:t>
            </w:r>
            <w:r>
              <w:rPr>
                <w:rFonts w:hint="eastAsia"/>
                <w:color w:val="auto"/>
                <w:szCs w:val="21"/>
                <w:highlight w:val="none"/>
              </w:rPr>
              <w:t>置于正本密封袋中</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34"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3</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Arial"/>
                <w:color w:val="auto"/>
                <w:sz w:val="21"/>
                <w:szCs w:val="21"/>
                <w:highlight w:val="none"/>
                <w:lang w:val="zh-CN"/>
              </w:rPr>
            </w:pPr>
            <w:r>
              <w:rPr>
                <w:rFonts w:hint="eastAsia"/>
                <w:color w:val="auto"/>
                <w:sz w:val="21"/>
                <w:szCs w:val="21"/>
                <w:highlight w:val="none"/>
                <w:lang w:val="zh-CN"/>
              </w:rPr>
              <w:t>响应文件封面标注</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响应文件正本和副本的封面上均应标明：采购项目名称、项目编号、供应商名称、年月日；并分别在右上角标明“正本”和“副本”字样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890"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4</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封套上应载明的信息</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项目编号：“正本”或“副本”字样</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项目名称：</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响应文件</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采购人名称：</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供应商名称：</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jc w:val="both"/>
              <w:textAlignment w:val="auto"/>
              <w:rPr>
                <w:color w:val="auto"/>
                <w:sz w:val="21"/>
                <w:szCs w:val="21"/>
                <w:highlight w:val="none"/>
                <w:lang w:val="zh-CN"/>
              </w:rPr>
            </w:pPr>
            <w:r>
              <w:rPr>
                <w:rFonts w:hint="eastAsia"/>
                <w:color w:val="auto"/>
                <w:sz w:val="21"/>
                <w:szCs w:val="21"/>
                <w:highlight w:val="none"/>
                <w:lang w:val="zh-CN"/>
              </w:rPr>
              <w:t>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18"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5</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提交响应文件截至</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时间</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highlight w:val="none"/>
              </w:rPr>
            </w:pPr>
            <w:r>
              <w:rPr>
                <w:rFonts w:hint="eastAsia" w:cs="宋体"/>
                <w:color w:val="auto"/>
                <w:sz w:val="21"/>
                <w:szCs w:val="21"/>
                <w:lang w:eastAsia="zh-CN"/>
              </w:rPr>
              <w:t>2022-</w:t>
            </w:r>
            <w:r>
              <w:rPr>
                <w:rFonts w:hint="eastAsia" w:cs="宋体"/>
                <w:color w:val="auto"/>
                <w:sz w:val="21"/>
                <w:szCs w:val="21"/>
                <w:lang w:val="en-US" w:eastAsia="zh-CN"/>
              </w:rPr>
              <w:t>12</w:t>
            </w:r>
            <w:r>
              <w:rPr>
                <w:rFonts w:hint="eastAsia" w:cs="宋体"/>
                <w:color w:val="auto"/>
                <w:sz w:val="21"/>
                <w:szCs w:val="21"/>
                <w:lang w:eastAsia="zh-CN"/>
              </w:rPr>
              <w:t>-2</w:t>
            </w:r>
            <w:r>
              <w:rPr>
                <w:rFonts w:hint="eastAsia" w:cs="宋体"/>
                <w:color w:val="auto"/>
                <w:sz w:val="21"/>
                <w:szCs w:val="21"/>
                <w:lang w:val="en-US" w:eastAsia="zh-CN"/>
              </w:rPr>
              <w:t>7</w:t>
            </w:r>
            <w:r>
              <w:rPr>
                <w:rFonts w:hint="eastAsia" w:cs="宋体"/>
                <w:color w:val="auto"/>
                <w:sz w:val="21"/>
                <w:szCs w:val="21"/>
                <w:lang w:eastAsia="zh-CN"/>
              </w:rPr>
              <w:t xml:space="preserve"> 1</w:t>
            </w:r>
            <w:r>
              <w:rPr>
                <w:rFonts w:hint="eastAsia" w:cs="宋体"/>
                <w:color w:val="auto"/>
                <w:sz w:val="21"/>
                <w:szCs w:val="21"/>
                <w:lang w:val="en-US" w:eastAsia="zh-CN"/>
              </w:rPr>
              <w:t>4</w:t>
            </w:r>
            <w:r>
              <w:rPr>
                <w:rFonts w:hint="eastAsia" w:cs="宋体"/>
                <w:color w:val="auto"/>
                <w:sz w:val="21"/>
                <w:szCs w:val="21"/>
                <w:lang w:eastAsia="zh-CN"/>
              </w:rPr>
              <w:t>:</w:t>
            </w:r>
            <w:r>
              <w:rPr>
                <w:rFonts w:hint="eastAsia" w:cs="宋体"/>
                <w:color w:val="auto"/>
                <w:sz w:val="21"/>
                <w:szCs w:val="21"/>
                <w:lang w:val="en-US" w:eastAsia="zh-CN"/>
              </w:rPr>
              <w:t>3</w:t>
            </w:r>
            <w:r>
              <w:rPr>
                <w:rFonts w:hint="eastAsia" w:cs="宋体"/>
                <w:color w:val="auto"/>
                <w:sz w:val="21"/>
                <w:szCs w:val="21"/>
                <w:lang w:eastAsia="zh-CN"/>
              </w:rPr>
              <w:t>0:00</w:t>
            </w:r>
            <w:r>
              <w:rPr>
                <w:rFonts w:hint="eastAsia" w:ascii="宋体" w:hAnsi="宋体" w:eastAsia="宋体" w:cs="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6</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提交响应文件地点</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ascii="宋体" w:hAnsi="宋体" w:eastAsia="宋体" w:cs="宋体"/>
                <w:color w:val="auto"/>
                <w:sz w:val="21"/>
                <w:szCs w:val="21"/>
                <w:highlight w:val="none"/>
                <w:lang w:val="zh-CN"/>
              </w:rPr>
              <w:t>咸阳市秦都区秦皇北路与勤俭路交汇处华泰</w:t>
            </w:r>
            <w:r>
              <w:rPr>
                <w:rFonts w:hint="eastAsia" w:cs="宋体"/>
                <w:color w:val="auto"/>
                <w:sz w:val="21"/>
                <w:szCs w:val="21"/>
                <w:highlight w:val="none"/>
                <w:lang w:val="en-US" w:eastAsia="zh-CN"/>
              </w:rPr>
              <w:t>写字楼</w:t>
            </w:r>
            <w:r>
              <w:rPr>
                <w:rFonts w:hint="eastAsia" w:ascii="宋体" w:hAnsi="宋体" w:eastAsia="宋体" w:cs="宋体"/>
                <w:color w:val="auto"/>
                <w:sz w:val="21"/>
                <w:szCs w:val="21"/>
                <w:highlight w:val="none"/>
                <w:lang w:val="zh-CN"/>
              </w:rPr>
              <w:t>九楼会议室</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89" w:hRule="exac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Arial"/>
                <w:color w:val="auto"/>
                <w:sz w:val="21"/>
                <w:szCs w:val="21"/>
                <w:highlight w:val="none"/>
                <w:lang w:val="zh-CN"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7</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响应文件是否退还</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210" w:firstLineChars="100"/>
              <w:jc w:val="left"/>
              <w:textAlignment w:val="auto"/>
              <w:rPr>
                <w:rFonts w:ascii="MS Mincho" w:hAnsi="MS Mincho" w:cs="MS Mincho"/>
                <w:color w:val="auto"/>
                <w:highlight w:val="none"/>
              </w:rPr>
            </w:pPr>
            <w:r>
              <w:rPr>
                <w:rFonts w:hint="eastAsia" w:ascii="宋体" w:hAnsi="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8</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color w:val="auto"/>
                <w:sz w:val="21"/>
                <w:szCs w:val="21"/>
                <w:highlight w:val="none"/>
                <w:lang w:val="zh-CN"/>
              </w:rPr>
              <w:t>开启响应文件时间和</w:t>
            </w:r>
          </w:p>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cs="Arial"/>
                <w:color w:val="auto"/>
                <w:sz w:val="21"/>
                <w:szCs w:val="21"/>
                <w:highlight w:val="none"/>
                <w:lang w:val="zh-CN"/>
              </w:rPr>
            </w:pPr>
            <w:r>
              <w:rPr>
                <w:rFonts w:hint="eastAsia"/>
                <w:color w:val="auto"/>
                <w:sz w:val="21"/>
                <w:szCs w:val="21"/>
                <w:highlight w:val="none"/>
                <w:lang w:val="zh-CN"/>
              </w:rPr>
              <w:t>地点</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开启响应文件时间：同提交响应文件截至时间</w:t>
            </w:r>
          </w:p>
          <w:p>
            <w:pPr>
              <w:pStyle w:val="62"/>
              <w:keepNext w:val="0"/>
              <w:keepLines w:val="0"/>
              <w:pageBreakBefore w:val="0"/>
              <w:widowControl w:val="0"/>
              <w:shd w:val="clear"/>
              <w:kinsoku/>
              <w:wordWrap/>
              <w:overflowPunct/>
              <w:topLinePunct w:val="0"/>
              <w:bidi w:val="0"/>
              <w:adjustRightInd w:val="0"/>
              <w:snapToGrid w:val="0"/>
              <w:spacing w:line="360" w:lineRule="auto"/>
              <w:ind w:firstLine="210" w:firstLineChars="100"/>
              <w:textAlignment w:val="auto"/>
              <w:rPr>
                <w:color w:val="auto"/>
                <w:sz w:val="21"/>
                <w:szCs w:val="21"/>
                <w:highlight w:val="none"/>
                <w:lang w:val="zh-CN"/>
              </w:rPr>
            </w:pPr>
            <w:r>
              <w:rPr>
                <w:rFonts w:hint="eastAsia"/>
                <w:color w:val="auto"/>
                <w:sz w:val="21"/>
                <w:szCs w:val="21"/>
                <w:highlight w:val="none"/>
                <w:lang w:val="zh-CN"/>
              </w:rPr>
              <w:t>开启响应文件地点：同提交响应文件地点</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33"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9</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color w:val="auto"/>
                <w:sz w:val="21"/>
                <w:szCs w:val="21"/>
                <w:highlight w:val="none"/>
                <w:lang w:val="zh-CN"/>
              </w:rPr>
            </w:pPr>
            <w:r>
              <w:rPr>
                <w:rFonts w:hint="eastAsia"/>
                <w:color w:val="auto"/>
                <w:sz w:val="21"/>
                <w:szCs w:val="21"/>
                <w:highlight w:val="none"/>
                <w:lang w:val="zh-CN"/>
              </w:rPr>
              <w:t>谈判小组的组建</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634" w:leftChars="102" w:hanging="420" w:hangingChars="200"/>
              <w:textAlignment w:val="auto"/>
              <w:rPr>
                <w:color w:val="auto"/>
                <w:sz w:val="21"/>
                <w:szCs w:val="21"/>
                <w:highlight w:val="none"/>
                <w:lang w:val="zh-CN"/>
              </w:rPr>
            </w:pPr>
            <w:r>
              <w:rPr>
                <w:rFonts w:hint="eastAsia"/>
                <w:color w:val="auto"/>
                <w:sz w:val="21"/>
                <w:szCs w:val="21"/>
                <w:highlight w:val="none"/>
                <w:lang w:val="zh-CN"/>
              </w:rPr>
              <w:t>谈判小组构成形式、人数，评审专家确定方式：</w:t>
            </w:r>
          </w:p>
          <w:p>
            <w:pPr>
              <w:pStyle w:val="62"/>
              <w:keepNext w:val="0"/>
              <w:keepLines w:val="0"/>
              <w:pageBreakBefore w:val="0"/>
              <w:widowControl w:val="0"/>
              <w:shd w:val="clear"/>
              <w:kinsoku/>
              <w:wordWrap/>
              <w:overflowPunct/>
              <w:topLinePunct w:val="0"/>
              <w:bidi w:val="0"/>
              <w:adjustRightInd w:val="0"/>
              <w:snapToGrid w:val="0"/>
              <w:spacing w:line="360" w:lineRule="auto"/>
              <w:ind w:left="634" w:leftChars="102" w:hanging="420" w:hangingChars="200"/>
              <w:textAlignment w:val="auto"/>
              <w:rPr>
                <w:color w:val="auto"/>
                <w:sz w:val="21"/>
                <w:szCs w:val="21"/>
                <w:highlight w:val="none"/>
                <w:lang w:val="zh-CN"/>
              </w:rPr>
            </w:pPr>
            <w:r>
              <w:rPr>
                <w:rFonts w:hint="eastAsia"/>
                <w:color w:val="auto"/>
                <w:sz w:val="21"/>
                <w:szCs w:val="21"/>
                <w:highlight w:val="none"/>
                <w:lang w:val="zh-CN"/>
              </w:rPr>
              <w:t>详见供应商须知第7.1.1条款</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en-US" w:eastAsia="zh-CN"/>
              </w:rPr>
              <w:t>40</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color w:val="auto"/>
                <w:sz w:val="21"/>
                <w:szCs w:val="21"/>
                <w:highlight w:val="none"/>
                <w:lang w:val="zh-CN"/>
              </w:rPr>
            </w:pPr>
            <w:r>
              <w:rPr>
                <w:rFonts w:hint="eastAsia"/>
                <w:color w:val="auto"/>
                <w:sz w:val="21"/>
                <w:szCs w:val="21"/>
                <w:highlight w:val="none"/>
                <w:lang w:val="zh-CN"/>
              </w:rPr>
              <w:t>谈判办法</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634" w:leftChars="102" w:hanging="420" w:hangingChars="200"/>
              <w:textAlignment w:val="auto"/>
              <w:rPr>
                <w:color w:val="auto"/>
                <w:sz w:val="21"/>
                <w:szCs w:val="21"/>
                <w:highlight w:val="none"/>
                <w:lang w:val="zh-CN"/>
              </w:rPr>
            </w:pPr>
            <w:r>
              <w:rPr>
                <w:rFonts w:hint="eastAsia"/>
                <w:color w:val="auto"/>
                <w:sz w:val="21"/>
                <w:szCs w:val="21"/>
                <w:highlight w:val="none"/>
                <w:lang w:val="zh-CN"/>
              </w:rPr>
              <w:t>详见第三章谈判办法</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1"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en-US" w:eastAsia="zh-CN"/>
              </w:rPr>
              <w:t>41</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谈判小组推荐成交候选供应商的家数</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textAlignment w:val="auto"/>
              <w:rPr>
                <w:color w:val="auto"/>
                <w:sz w:val="21"/>
                <w:szCs w:val="21"/>
                <w:highlight w:val="none"/>
                <w:lang w:val="zh-CN"/>
              </w:rPr>
            </w:pPr>
            <w:r>
              <w:rPr>
                <w:rFonts w:hint="eastAsia"/>
                <w:color w:val="auto"/>
                <w:sz w:val="21"/>
                <w:szCs w:val="21"/>
                <w:highlight w:val="none"/>
                <w:lang w:val="zh-CN"/>
              </w:rPr>
              <w:t xml:space="preserve">  3 </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34"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en-US" w:eastAsia="zh-CN"/>
              </w:rPr>
              <w:t>42</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是否授权谈判小组确定成交供应商</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tabs>
                <w:tab w:val="left" w:pos="561"/>
              </w:tabs>
              <w:kinsoku/>
              <w:wordWrap/>
              <w:overflowPunct/>
              <w:topLinePunct w:val="0"/>
              <w:bidi w:val="0"/>
              <w:adjustRightInd w:val="0"/>
              <w:snapToGrid w:val="0"/>
              <w:spacing w:line="360" w:lineRule="auto"/>
              <w:textAlignment w:val="auto"/>
              <w:rPr>
                <w:color w:val="auto"/>
                <w:sz w:val="21"/>
                <w:szCs w:val="21"/>
                <w:highlight w:val="none"/>
                <w:lang w:val="zh-CN"/>
              </w:rPr>
            </w:pPr>
            <w:r>
              <w:rPr>
                <w:rFonts w:hint="eastAsia"/>
                <w:b/>
                <w:color w:val="auto"/>
                <w:sz w:val="21"/>
                <w:szCs w:val="21"/>
                <w:highlight w:val="none"/>
              </w:rPr>
              <w:t xml:space="preserve"> </w:t>
            </w:r>
            <w:r>
              <w:rPr>
                <w:rFonts w:hint="eastAsia"/>
                <w:b/>
                <w:color w:val="auto"/>
                <w:sz w:val="21"/>
                <w:szCs w:val="21"/>
                <w:highlight w:val="none"/>
                <w:lang w:val="en-US" w:eastAsia="zh-CN"/>
              </w:rPr>
              <w:t xml:space="preserve"> </w:t>
            </w:r>
            <w:r>
              <w:rPr>
                <w:rFonts w:hint="eastAsia"/>
                <w:color w:val="auto"/>
                <w:sz w:val="21"/>
                <w:szCs w:val="21"/>
                <w:highlight w:val="none"/>
                <w:lang w:val="zh-CN"/>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929"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Courier New"/>
                <w:color w:val="auto"/>
                <w:sz w:val="21"/>
                <w:szCs w:val="21"/>
                <w:highlight w:val="none"/>
                <w:lang w:val="en-US" w:eastAsia="zh-CN" w:bidi="ar-SA"/>
              </w:rPr>
            </w:pPr>
            <w:r>
              <w:rPr>
                <w:rFonts w:hint="eastAsia" w:cs="Courier New"/>
                <w:color w:val="auto"/>
                <w:sz w:val="21"/>
                <w:szCs w:val="21"/>
                <w:highlight w:val="none"/>
                <w:lang w:val="zh-CN"/>
              </w:rPr>
              <w:t>4</w:t>
            </w:r>
            <w:r>
              <w:rPr>
                <w:rFonts w:hint="eastAsia" w:cs="Courier New"/>
                <w:color w:val="auto"/>
                <w:sz w:val="21"/>
                <w:szCs w:val="21"/>
                <w:highlight w:val="none"/>
                <w:lang w:val="en-US" w:eastAsia="zh-CN"/>
              </w:rPr>
              <w:t>3</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color w:val="auto"/>
                <w:sz w:val="21"/>
                <w:szCs w:val="21"/>
                <w:highlight w:val="none"/>
                <w:lang w:val="zh-CN"/>
              </w:rPr>
            </w:pPr>
            <w:r>
              <w:rPr>
                <w:rFonts w:hint="eastAsia"/>
                <w:color w:val="auto"/>
                <w:sz w:val="21"/>
                <w:szCs w:val="21"/>
                <w:highlight w:val="none"/>
                <w:lang w:val="zh-CN"/>
              </w:rPr>
              <w:t>发布成交公告的时间、媒介和期限</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210"/>
              <w:textAlignment w:val="auto"/>
              <w:rPr>
                <w:color w:val="auto"/>
                <w:sz w:val="21"/>
                <w:szCs w:val="21"/>
                <w:highlight w:val="none"/>
                <w:lang w:val="zh-CN"/>
              </w:rPr>
            </w:pPr>
            <w:r>
              <w:rPr>
                <w:rFonts w:hint="eastAsia"/>
                <w:color w:val="auto"/>
                <w:sz w:val="21"/>
                <w:szCs w:val="21"/>
                <w:highlight w:val="none"/>
                <w:lang w:val="zh-CN"/>
              </w:rPr>
              <w:t>公告时间：在确定成交供应商之日起</w:t>
            </w:r>
            <w:r>
              <w:rPr>
                <w:rFonts w:hint="eastAsia"/>
                <w:color w:val="auto"/>
                <w:sz w:val="21"/>
                <w:szCs w:val="21"/>
                <w:highlight w:val="none"/>
                <w:lang w:val="en-US" w:eastAsia="zh-CN"/>
              </w:rPr>
              <w:t>2</w:t>
            </w:r>
            <w:r>
              <w:rPr>
                <w:rFonts w:hint="eastAsia"/>
                <w:color w:val="auto"/>
                <w:sz w:val="21"/>
                <w:szCs w:val="21"/>
                <w:highlight w:val="none"/>
                <w:lang w:val="zh-CN"/>
              </w:rPr>
              <w:t>个工作日内</w:t>
            </w:r>
          </w:p>
          <w:p>
            <w:pPr>
              <w:pStyle w:val="62"/>
              <w:keepNext w:val="0"/>
              <w:keepLines w:val="0"/>
              <w:pageBreakBefore w:val="0"/>
              <w:widowControl w:val="0"/>
              <w:shd w:val="clear"/>
              <w:kinsoku/>
              <w:wordWrap/>
              <w:overflowPunct/>
              <w:topLinePunct w:val="0"/>
              <w:bidi w:val="0"/>
              <w:adjustRightInd w:val="0"/>
              <w:snapToGrid w:val="0"/>
              <w:spacing w:line="360" w:lineRule="auto"/>
              <w:ind w:left="210"/>
              <w:textAlignment w:val="auto"/>
              <w:rPr>
                <w:color w:val="auto"/>
                <w:sz w:val="21"/>
                <w:szCs w:val="21"/>
                <w:highlight w:val="none"/>
                <w:lang w:val="zh-CN"/>
              </w:rPr>
            </w:pPr>
            <w:r>
              <w:rPr>
                <w:rFonts w:hint="eastAsia"/>
                <w:color w:val="auto"/>
                <w:sz w:val="21"/>
                <w:szCs w:val="21"/>
                <w:highlight w:val="none"/>
                <w:lang w:val="zh-CN"/>
              </w:rPr>
              <w:t>公告媒介：陕西省政府采购网</w:t>
            </w:r>
          </w:p>
          <w:p>
            <w:pPr>
              <w:pStyle w:val="62"/>
              <w:keepNext w:val="0"/>
              <w:keepLines w:val="0"/>
              <w:pageBreakBefore w:val="0"/>
              <w:widowControl w:val="0"/>
              <w:shd w:val="clear"/>
              <w:kinsoku/>
              <w:wordWrap/>
              <w:overflowPunct/>
              <w:topLinePunct w:val="0"/>
              <w:bidi w:val="0"/>
              <w:adjustRightInd w:val="0"/>
              <w:snapToGrid w:val="0"/>
              <w:spacing w:line="360" w:lineRule="auto"/>
              <w:ind w:left="210"/>
              <w:textAlignment w:val="auto"/>
              <w:rPr>
                <w:color w:val="auto"/>
                <w:sz w:val="21"/>
                <w:szCs w:val="21"/>
                <w:highlight w:val="none"/>
                <w:lang w:val="zh-CN"/>
              </w:rPr>
            </w:pPr>
            <w:r>
              <w:rPr>
                <w:rFonts w:hint="eastAsia"/>
                <w:color w:val="auto"/>
                <w:sz w:val="21"/>
                <w:szCs w:val="21"/>
                <w:highlight w:val="none"/>
                <w:lang w:val="zh-CN"/>
              </w:rPr>
              <w:t>公告期限：1个工作日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4</w:t>
            </w:r>
            <w:r>
              <w:rPr>
                <w:rFonts w:hint="eastAsia" w:cs="Courier New"/>
                <w:color w:val="auto"/>
                <w:sz w:val="21"/>
                <w:szCs w:val="21"/>
                <w:highlight w:val="none"/>
                <w:lang w:val="en-US" w:eastAsia="zh-CN"/>
              </w:rPr>
              <w:t>4</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ind w:left="96"/>
              <w:jc w:val="center"/>
              <w:textAlignment w:val="auto"/>
              <w:rPr>
                <w:color w:val="auto"/>
                <w:sz w:val="21"/>
                <w:szCs w:val="21"/>
                <w:highlight w:val="none"/>
                <w:lang w:val="zh-CN"/>
              </w:rPr>
            </w:pPr>
            <w:r>
              <w:rPr>
                <w:rFonts w:hint="eastAsia"/>
                <w:color w:val="auto"/>
                <w:sz w:val="21"/>
                <w:szCs w:val="21"/>
                <w:highlight w:val="none"/>
                <w:lang w:val="zh-CN"/>
              </w:rPr>
              <w:t>履约保证金</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textAlignment w:val="auto"/>
              <w:rPr>
                <w:color w:val="auto"/>
                <w:sz w:val="21"/>
                <w:szCs w:val="21"/>
                <w:highlight w:val="none"/>
                <w:lang w:val="zh-CN"/>
              </w:rPr>
            </w:pPr>
            <w:r>
              <w:rPr>
                <w:rFonts w:hint="eastAsia"/>
                <w:color w:val="auto"/>
                <w:sz w:val="21"/>
                <w:szCs w:val="21"/>
                <w:highlight w:val="none"/>
                <w:lang w:val="zh-CN"/>
              </w:rPr>
              <w:t xml:space="preserve">   不要求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4</w:t>
            </w:r>
            <w:r>
              <w:rPr>
                <w:rFonts w:hint="eastAsia" w:cs="Courier New"/>
                <w:color w:val="auto"/>
                <w:sz w:val="21"/>
                <w:szCs w:val="21"/>
                <w:highlight w:val="none"/>
                <w:lang w:val="en-US" w:eastAsia="zh-CN"/>
              </w:rPr>
              <w:t>5</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供应商信用信息查询说明</w:t>
            </w:r>
          </w:p>
        </w:tc>
        <w:tc>
          <w:tcPr>
            <w:tcW w:w="7316" w:type="dxa"/>
            <w:tcBorders>
              <w:top w:val="single" w:color="auto" w:sz="8" w:space="0"/>
              <w:left w:val="single" w:color="auto" w:sz="8" w:space="0"/>
              <w:bottom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采购人、采购代理机构在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递交响应文件时，在“信用中国”网站(www.creditchina.gov.cn)或中国政府采购网(www.ccgp.gov.cn)， 查询</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信用是否合格并记录，将查询网页、内容截图或拍照，留档保存。此查询信息仅作为本项目使用。</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94"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ascii="宋体" w:hAnsi="宋体" w:eastAsia="宋体" w:cs="Courier New"/>
                <w:color w:val="auto"/>
                <w:sz w:val="21"/>
                <w:szCs w:val="21"/>
                <w:highlight w:val="none"/>
                <w:lang w:val="zh-CN" w:eastAsia="zh-CN" w:bidi="ar-SA"/>
              </w:rPr>
            </w:pPr>
            <w:r>
              <w:rPr>
                <w:rFonts w:hint="eastAsia" w:cs="Courier New"/>
                <w:color w:val="auto"/>
                <w:sz w:val="21"/>
                <w:szCs w:val="21"/>
                <w:highlight w:val="none"/>
                <w:lang w:val="zh-CN"/>
              </w:rPr>
              <w:t>4</w:t>
            </w:r>
            <w:r>
              <w:rPr>
                <w:rFonts w:hint="eastAsia" w:cs="Courier New"/>
                <w:color w:val="auto"/>
                <w:sz w:val="21"/>
                <w:szCs w:val="21"/>
                <w:highlight w:val="none"/>
                <w:lang w:val="en-US" w:eastAsia="zh-CN"/>
              </w:rPr>
              <w:t>6</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开启响应文件现场是否演示与陈述响应文件</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right="105" w:rightChars="50" w:firstLine="210" w:firstLineChars="100"/>
              <w:textAlignment w:val="auto"/>
              <w:rPr>
                <w:rFonts w:ascii="宋体" w:hAnsi="宋体"/>
                <w:color w:val="auto"/>
                <w:szCs w:val="21"/>
                <w:highlight w:val="none"/>
              </w:rPr>
            </w:pPr>
            <w:r>
              <w:rPr>
                <w:rFonts w:hint="eastAsia" w:ascii="宋体" w:hAnsi="宋体"/>
                <w:color w:val="auto"/>
                <w:szCs w:val="21"/>
                <w:highlight w:val="none"/>
              </w:rPr>
              <w:t>不需要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eastAsia="宋体" w:cs="Courier New"/>
                <w:color w:val="auto"/>
                <w:sz w:val="21"/>
                <w:szCs w:val="21"/>
                <w:highlight w:val="none"/>
                <w:lang w:val="zh-CN" w:eastAsia="zh-CN"/>
              </w:rPr>
            </w:pPr>
            <w:r>
              <w:rPr>
                <w:rFonts w:hint="eastAsia" w:cs="Courier New"/>
                <w:color w:val="auto"/>
                <w:sz w:val="21"/>
                <w:szCs w:val="21"/>
                <w:highlight w:val="none"/>
                <w:lang w:val="zh-CN"/>
              </w:rPr>
              <w:t>4</w:t>
            </w:r>
            <w:r>
              <w:rPr>
                <w:rFonts w:hint="eastAsia" w:cs="Courier New"/>
                <w:color w:val="auto"/>
                <w:sz w:val="21"/>
                <w:szCs w:val="21"/>
                <w:highlight w:val="none"/>
                <w:lang w:val="en-US" w:eastAsia="zh-CN"/>
              </w:rPr>
              <w:t>7</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开启响应文件现场是否提供样品</w:t>
            </w:r>
          </w:p>
        </w:tc>
        <w:tc>
          <w:tcPr>
            <w:tcW w:w="7316" w:type="dxa"/>
            <w:tcBorders>
              <w:top w:val="single" w:color="auto" w:sz="8" w:space="0"/>
              <w:left w:val="single" w:color="auto" w:sz="8" w:space="0"/>
              <w:bottom w:val="single" w:color="auto" w:sz="8" w:space="0"/>
            </w:tcBorders>
            <w:vAlign w:val="center"/>
          </w:tcPr>
          <w:p>
            <w:pPr>
              <w:keepNext w:val="0"/>
              <w:keepLines w:val="0"/>
              <w:pageBreakBefore w:val="0"/>
              <w:widowControl w:val="0"/>
              <w:shd w:val="clear"/>
              <w:kinsoku/>
              <w:wordWrap/>
              <w:overflowPunct/>
              <w:topLinePunct w:val="0"/>
              <w:bidi w:val="0"/>
              <w:adjustRightInd w:val="0"/>
              <w:snapToGrid w:val="0"/>
              <w:spacing w:line="360" w:lineRule="auto"/>
              <w:ind w:right="105" w:rightChars="50" w:firstLine="210" w:firstLineChars="100"/>
              <w:textAlignment w:val="auto"/>
              <w:rPr>
                <w:rFonts w:ascii="宋体" w:hAnsi="宋体"/>
                <w:color w:val="auto"/>
                <w:szCs w:val="21"/>
                <w:highlight w:val="none"/>
              </w:rPr>
            </w:pPr>
            <w:r>
              <w:rPr>
                <w:rFonts w:hint="eastAsia" w:ascii="宋体" w:hAnsi="宋体"/>
                <w:color w:val="auto"/>
                <w:szCs w:val="21"/>
                <w:highlight w:val="none"/>
              </w:rPr>
              <w:t>不需要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2239"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eastAsia="宋体" w:cs="Courier New"/>
                <w:color w:val="auto"/>
                <w:sz w:val="21"/>
                <w:szCs w:val="21"/>
                <w:highlight w:val="none"/>
                <w:lang w:val="zh-CN" w:eastAsia="zh-CN"/>
              </w:rPr>
            </w:pPr>
            <w:r>
              <w:rPr>
                <w:rFonts w:hint="eastAsia" w:cs="Courier New"/>
                <w:color w:val="auto"/>
                <w:sz w:val="21"/>
                <w:szCs w:val="21"/>
                <w:highlight w:val="none"/>
                <w:lang w:val="zh-CN"/>
              </w:rPr>
              <w:t>4</w:t>
            </w:r>
            <w:r>
              <w:rPr>
                <w:rFonts w:hint="eastAsia" w:cs="Courier New"/>
                <w:color w:val="auto"/>
                <w:sz w:val="21"/>
                <w:szCs w:val="21"/>
                <w:highlight w:val="none"/>
                <w:lang w:val="en-US" w:eastAsia="zh-CN"/>
              </w:rPr>
              <w:t>8</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供应商资格要求</w:t>
            </w:r>
          </w:p>
        </w:tc>
        <w:tc>
          <w:tcPr>
            <w:tcW w:w="7316" w:type="dxa"/>
            <w:tcBorders>
              <w:top w:val="single" w:color="auto" w:sz="8" w:space="0"/>
              <w:left w:val="single" w:color="auto" w:sz="8" w:space="0"/>
              <w:bottom w:val="single" w:color="auto" w:sz="8" w:space="0"/>
            </w:tcBorders>
            <w:vAlign w:val="center"/>
          </w:tcPr>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（1）具有独立承担民事责任能力的法人、其他组织或自然人，提供合法有效的统一社会信用代码营业执照（事业单位提供事业单位法人证书，自然人提供身份证明）；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（2）法定代表人/负责人参加谈判的，提供法人/负责人证明书并出示身份证原件；法定代表人/负责人授权他人参加谈判的，提供法定代表人/负责人授权委托书并出示被授权代表的身份证原件；</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（3）具有建设行政主管部门颁发的市政公用工程施工总承包三级（含三级）以上资质并具有有效的安全生产许可证；</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（4）拟派注册建造师：须具有市政公用工程专业贰级（含贰级）以上资格，具有有效的安全生产考核合格证书（B级），且无在建项目；</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（5）财务状况报告：提供供应商2021年经审计的财务报告或在谈判日期前6个月内其基本开户银行出具的资信证明和开户行许可证；</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（6）税收缴纳证明：提供供应商自2022年1月1日以来已缴纳任意时段的纳税凭据或完税证明（任意税种）；依法免税的应提供相关文件证明；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（7）社会保障资金缴纳证明：提供供应商自2022年1月1日以来已缴存的任意时段的社会保障资金缴存单据或社保机构开具的社会保险参保缴费情况证明；依法不需要缴纳社会保障资金的应提供相关文件证明；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（8）供应商具备履行合同所必需的设备及专业技术能力；</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（9）参加本次谈判前3年内，在经营活动中没有重大违法记录的书面声明；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（10）法定代表人（负责人）为同一人或者存在直接控股、管理关系的不同供应商，不得同时参加本采购项目谈判；</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（11）</w:t>
            </w:r>
            <w:r>
              <w:rPr>
                <w:rFonts w:hint="eastAsia" w:asciiTheme="minorEastAsia" w:hAnsiTheme="minorEastAsia" w:eastAsiaTheme="minorEastAsia" w:cstheme="minorEastAsia"/>
                <w:color w:val="auto"/>
                <w:kern w:val="2"/>
                <w:sz w:val="21"/>
                <w:szCs w:val="21"/>
                <w:lang w:val="en-US" w:eastAsia="zh-CN" w:bidi="ar-SA"/>
              </w:rPr>
              <w:t>本项目为专门面向中小企业项目，供应商应为中型企业、小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cs="宋体"/>
                <w:color w:val="auto"/>
                <w:kern w:val="0"/>
                <w:szCs w:val="21"/>
                <w:highlight w:val="none"/>
                <w:lang w:val="zh-CN"/>
              </w:rPr>
            </w:pPr>
            <w:r>
              <w:rPr>
                <w:rFonts w:hint="eastAsia" w:asciiTheme="minorEastAsia" w:hAnsiTheme="minorEastAsia" w:eastAsiaTheme="minorEastAsia" w:cstheme="minorEastAsia"/>
                <w:color w:val="auto"/>
                <w:kern w:val="2"/>
                <w:sz w:val="21"/>
                <w:szCs w:val="21"/>
                <w:lang w:val="en-US" w:eastAsia="zh-CN" w:bidi="ar-SA"/>
              </w:rPr>
              <w:t>（12）供应商不得为列入“信用中国”网站(http://www.creditchina.gov.cn)“失信被执行人（页面跳转至“中国执行信息公开网”http://zxgk.court.gov.cn/shixin/）、重大税收违法失信主体、中国政府采购网(www.ccgp.gov.cn)的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682" w:hRule="atLeast"/>
          <w:jc w:val="center"/>
        </w:trPr>
        <w:tc>
          <w:tcPr>
            <w:tcW w:w="640" w:type="dxa"/>
            <w:tcBorders>
              <w:top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49</w:t>
            </w:r>
          </w:p>
        </w:tc>
        <w:tc>
          <w:tcPr>
            <w:tcW w:w="2182" w:type="dxa"/>
            <w:tcBorders>
              <w:top w:val="single" w:color="auto" w:sz="8" w:space="0"/>
              <w:left w:val="single" w:color="auto" w:sz="8" w:space="0"/>
              <w:bottom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eastAsia"/>
                <w:color w:val="auto"/>
                <w:sz w:val="21"/>
                <w:szCs w:val="21"/>
                <w:highlight w:val="none"/>
                <w:lang w:val="zh-CN"/>
              </w:rPr>
            </w:pPr>
            <w:r>
              <w:rPr>
                <w:rFonts w:hint="eastAsia"/>
                <w:sz w:val="21"/>
                <w:szCs w:val="21"/>
                <w:lang w:val="en-US" w:eastAsia="zh-CN"/>
              </w:rPr>
              <w:t>供应商出席谈判会议所需证件</w:t>
            </w:r>
          </w:p>
        </w:tc>
        <w:tc>
          <w:tcPr>
            <w:tcW w:w="7316" w:type="dxa"/>
            <w:tcBorders>
              <w:top w:val="single" w:color="auto" w:sz="8" w:space="0"/>
              <w:left w:val="single" w:color="auto" w:sz="8" w:space="0"/>
              <w:bottom w:val="single" w:color="auto" w:sz="8" w:space="0"/>
            </w:tcBorders>
            <w:vAlign w:val="center"/>
          </w:tcPr>
          <w:p>
            <w:pPr>
              <w:pStyle w:val="28"/>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jc w:val="both"/>
              <w:textAlignment w:val="baseline"/>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（1）法定代表人出席谈判会议的：持法定代表人身份证明书（格式见谈判文件）并出示身份证原件；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（2）法定代表人授权他人出席谈判会议的：持法定代表人授权委托书（格式见谈判文件）并出示被授权代表的身份证原件。</w:t>
            </w:r>
          </w:p>
          <w:p>
            <w:pPr>
              <w:pStyle w:val="14"/>
              <w:keepNext w:val="0"/>
              <w:keepLines w:val="0"/>
              <w:pageBreakBefore w:val="0"/>
              <w:kinsoku/>
              <w:wordWrap/>
              <w:overflowPunct/>
              <w:topLinePunct w:val="0"/>
              <w:bidi w:val="0"/>
              <w:snapToGrid w:val="0"/>
              <w:spacing w:after="0" w:line="360" w:lineRule="auto"/>
              <w:rPr>
                <w:rFonts w:hint="default"/>
                <w:lang w:val="en-US"/>
              </w:rPr>
            </w:pPr>
            <w:r>
              <w:rPr>
                <w:rFonts w:hint="eastAsia" w:asciiTheme="minorEastAsia" w:hAnsiTheme="minorEastAsia" w:eastAsiaTheme="minorEastAsia" w:cstheme="minorEastAsia"/>
                <w:b/>
                <w:bCs/>
                <w:color w:val="auto"/>
                <w:kern w:val="2"/>
                <w:sz w:val="21"/>
                <w:szCs w:val="21"/>
                <w:lang w:val="en-US" w:eastAsia="zh-CN" w:bidi="ar-SA"/>
              </w:rPr>
              <w:t>如未按照要求提供身份证明文件视为未响应谈判文件。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339" w:hRule="atLeast"/>
          <w:jc w:val="center"/>
        </w:trPr>
        <w:tc>
          <w:tcPr>
            <w:tcW w:w="640" w:type="dxa"/>
            <w:tcBorders>
              <w:top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50</w:t>
            </w:r>
          </w:p>
        </w:tc>
        <w:tc>
          <w:tcPr>
            <w:tcW w:w="2182" w:type="dxa"/>
            <w:tcBorders>
              <w:top w:val="single" w:color="auto" w:sz="8" w:space="0"/>
              <w:left w:val="single" w:color="auto" w:sz="8" w:space="0"/>
              <w:right w:val="single" w:color="auto" w:sz="8" w:space="0"/>
            </w:tcBorders>
            <w:vAlign w:val="center"/>
          </w:tcPr>
          <w:p>
            <w:pPr>
              <w:pStyle w:val="62"/>
              <w:keepNext w:val="0"/>
              <w:keepLines w:val="0"/>
              <w:pageBreakBefore w:val="0"/>
              <w:widowControl w:val="0"/>
              <w:shd w:val="clear"/>
              <w:kinsoku/>
              <w:wordWrap/>
              <w:overflowPunct/>
              <w:topLinePunct w:val="0"/>
              <w:bidi w:val="0"/>
              <w:adjustRightInd w:val="0"/>
              <w:snapToGrid w:val="0"/>
              <w:spacing w:line="360" w:lineRule="auto"/>
              <w:jc w:val="center"/>
              <w:textAlignment w:val="auto"/>
              <w:rPr>
                <w:color w:val="auto"/>
                <w:sz w:val="21"/>
                <w:szCs w:val="21"/>
                <w:highlight w:val="none"/>
                <w:lang w:val="zh-CN"/>
              </w:rPr>
            </w:pPr>
            <w:r>
              <w:rPr>
                <w:rFonts w:hint="eastAsia"/>
                <w:color w:val="auto"/>
                <w:sz w:val="21"/>
                <w:szCs w:val="21"/>
                <w:highlight w:val="none"/>
                <w:lang w:val="zh-CN"/>
              </w:rPr>
              <w:t>其他</w:t>
            </w:r>
          </w:p>
        </w:tc>
        <w:tc>
          <w:tcPr>
            <w:tcW w:w="7316" w:type="dxa"/>
            <w:tcBorders>
              <w:top w:val="single" w:color="auto" w:sz="8" w:space="0"/>
              <w:left w:val="single" w:color="auto" w:sz="8" w:space="0"/>
            </w:tcBorders>
            <w:vAlign w:val="center"/>
          </w:tcPr>
          <w:p>
            <w:pPr>
              <w:keepNext w:val="0"/>
              <w:keepLines w:val="0"/>
              <w:pageBreakBefore w:val="0"/>
              <w:kinsoku/>
              <w:wordWrap/>
              <w:overflowPunct/>
              <w:topLinePunct w:val="0"/>
              <w:bidi w:val="0"/>
              <w:snapToGrid w:val="0"/>
              <w:spacing w:line="360" w:lineRule="auto"/>
              <w:ind w:firstLine="210" w:firstLineChars="100"/>
              <w:rPr>
                <w:rFonts w:ascii="宋体" w:hAnsi="宋体" w:cs="宋体"/>
                <w:szCs w:val="21"/>
                <w:shd w:val="clear" w:color="auto" w:fill="FFFFFF"/>
              </w:rPr>
            </w:pPr>
            <w:r>
              <w:rPr>
                <w:rFonts w:hint="eastAsia" w:ascii="宋体" w:hAnsi="宋体" w:cs="宋体"/>
                <w:szCs w:val="21"/>
                <w:shd w:val="clear" w:color="auto" w:fill="FFFFFF"/>
                <w:lang w:val="en-US" w:eastAsia="zh-CN"/>
              </w:rPr>
              <w:t>采购</w:t>
            </w:r>
            <w:r>
              <w:rPr>
                <w:rFonts w:hint="eastAsia" w:ascii="宋体" w:hAnsi="宋体" w:cs="宋体"/>
                <w:szCs w:val="21"/>
                <w:shd w:val="clear" w:color="auto" w:fill="FFFFFF"/>
              </w:rPr>
              <w:t>代理服务费</w:t>
            </w:r>
            <w:r>
              <w:rPr>
                <w:rFonts w:hint="eastAsia" w:ascii="宋体" w:hAnsi="宋体" w:cs="宋体"/>
                <w:szCs w:val="21"/>
                <w:shd w:val="clear" w:color="auto" w:fill="FFFFFF"/>
                <w:lang w:val="en-US" w:eastAsia="zh-CN"/>
              </w:rPr>
              <w:t>由采购人支付</w:t>
            </w:r>
            <w:r>
              <w:rPr>
                <w:rFonts w:hint="eastAsia" w:ascii="宋体" w:hAnsi="宋体" w:cs="宋体"/>
                <w:szCs w:val="21"/>
                <w:shd w:val="clear" w:color="auto" w:fill="FFFFFF"/>
              </w:rPr>
              <w:t>。</w:t>
            </w:r>
          </w:p>
          <w:p>
            <w:pPr>
              <w:keepNext w:val="0"/>
              <w:keepLines w:val="0"/>
              <w:pageBreakBefore w:val="0"/>
              <w:kinsoku/>
              <w:wordWrap/>
              <w:overflowPunct/>
              <w:topLinePunct w:val="0"/>
              <w:bidi w:val="0"/>
              <w:snapToGrid w:val="0"/>
              <w:spacing w:line="360" w:lineRule="auto"/>
              <w:ind w:firstLine="210" w:firstLineChars="100"/>
              <w:rPr>
                <w:rFonts w:hint="eastAsia" w:ascii="宋体" w:hAnsi="宋体"/>
                <w:szCs w:val="21"/>
              </w:rPr>
            </w:pPr>
            <w:r>
              <w:rPr>
                <w:rFonts w:hint="eastAsia" w:ascii="宋体" w:hAnsi="宋体" w:cs="宋体"/>
                <w:szCs w:val="21"/>
                <w:shd w:val="clear" w:color="auto" w:fill="FFFFFF"/>
              </w:rPr>
              <w:t>采购代理服务费的金额参照《国家计委关于印发&lt;招标代理服务收费管理暂行办法&gt;的通知》（计价格[2002]1980号）和国家发改委办公厅颁发的《关于招标代理服务收费有关问题的通知》（发改办价格【2003】857号）</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lang w:eastAsia="zh-CN"/>
              </w:rPr>
              <w:t>类</w:t>
            </w:r>
            <w:r>
              <w:rPr>
                <w:rFonts w:hint="eastAsia" w:ascii="宋体" w:hAnsi="宋体" w:cs="宋体"/>
                <w:szCs w:val="21"/>
                <w:shd w:val="clear" w:color="auto" w:fill="FFFFFF"/>
              </w:rPr>
              <w:t>、</w:t>
            </w:r>
            <w:r>
              <w:rPr>
                <w:rFonts w:hint="eastAsia" w:ascii="宋体" w:hAnsi="宋体" w:cs="宋体"/>
                <w:color w:val="000000"/>
                <w:szCs w:val="21"/>
                <w:shd w:val="clear" w:color="auto" w:fill="FFFFFF"/>
              </w:rPr>
              <w:t>《国家发展改革委关于降低部分建设项目收费标准规范收费行为等有关问题的通知》（发改价格[2011]534号）的有关规定收取。</w:t>
            </w:r>
          </w:p>
          <w:p>
            <w:pPr>
              <w:keepNext w:val="0"/>
              <w:keepLines w:val="0"/>
              <w:pageBreakBefore w:val="0"/>
              <w:kinsoku/>
              <w:wordWrap/>
              <w:overflowPunct/>
              <w:topLinePunct w:val="0"/>
              <w:bidi w:val="0"/>
              <w:snapToGrid w:val="0"/>
              <w:spacing w:line="360" w:lineRule="auto"/>
              <w:ind w:firstLine="210" w:firstLineChars="100"/>
              <w:rPr>
                <w:rFonts w:ascii="宋体" w:hAnsi="宋体"/>
                <w:szCs w:val="21"/>
              </w:rPr>
            </w:pPr>
            <w:r>
              <w:rPr>
                <w:rFonts w:hint="eastAsia" w:ascii="宋体" w:hAnsi="宋体"/>
                <w:szCs w:val="21"/>
              </w:rPr>
              <w:t>代理服务费账户信息</w:t>
            </w:r>
          </w:p>
          <w:p>
            <w:pPr>
              <w:keepNext w:val="0"/>
              <w:keepLines w:val="0"/>
              <w:pageBreakBefore w:val="0"/>
              <w:kinsoku/>
              <w:wordWrap/>
              <w:overflowPunct/>
              <w:topLinePunct w:val="0"/>
              <w:bidi w:val="0"/>
              <w:snapToGrid w:val="0"/>
              <w:spacing w:line="360" w:lineRule="auto"/>
              <w:ind w:firstLine="210" w:firstLineChars="100"/>
              <w:rPr>
                <w:rFonts w:ascii="宋体" w:hAnsi="宋体"/>
                <w:szCs w:val="21"/>
              </w:rPr>
            </w:pPr>
            <w:r>
              <w:rPr>
                <w:rFonts w:hint="eastAsia" w:ascii="宋体" w:hAnsi="宋体"/>
                <w:szCs w:val="21"/>
              </w:rPr>
              <w:t>开户名称：陕西优正项目管理有限公司</w:t>
            </w:r>
          </w:p>
          <w:p>
            <w:pPr>
              <w:keepNext w:val="0"/>
              <w:keepLines w:val="0"/>
              <w:pageBreakBefore w:val="0"/>
              <w:kinsoku/>
              <w:wordWrap/>
              <w:overflowPunct/>
              <w:topLinePunct w:val="0"/>
              <w:bidi w:val="0"/>
              <w:snapToGrid w:val="0"/>
              <w:spacing w:line="360" w:lineRule="auto"/>
              <w:ind w:firstLine="210" w:firstLineChars="100"/>
              <w:rPr>
                <w:rFonts w:ascii="宋体" w:hAnsi="宋体"/>
                <w:szCs w:val="21"/>
              </w:rPr>
            </w:pPr>
            <w:r>
              <w:rPr>
                <w:rFonts w:hint="eastAsia" w:ascii="宋体" w:hAnsi="宋体"/>
                <w:szCs w:val="21"/>
              </w:rPr>
              <w:t>开户银行：中国银行股份有限公司咸阳渭城区支行</w:t>
            </w:r>
          </w:p>
          <w:p>
            <w:pPr>
              <w:keepNext w:val="0"/>
              <w:keepLines w:val="0"/>
              <w:pageBreakBefore w:val="0"/>
              <w:widowControl w:val="0"/>
              <w:shd w:val="clear"/>
              <w:kinsoku/>
              <w:wordWrap/>
              <w:overflowPunct/>
              <w:topLinePunct w:val="0"/>
              <w:bidi w:val="0"/>
              <w:snapToGrid w:val="0"/>
              <w:spacing w:line="360" w:lineRule="auto"/>
              <w:ind w:firstLine="210" w:firstLineChars="100"/>
              <w:textAlignment w:val="auto"/>
              <w:rPr>
                <w:rFonts w:hint="eastAsia"/>
                <w:color w:val="auto"/>
              </w:rPr>
            </w:pPr>
            <w:r>
              <w:rPr>
                <w:rFonts w:hint="eastAsia" w:ascii="宋体" w:hAnsi="宋体"/>
                <w:szCs w:val="21"/>
              </w:rPr>
              <w:t>账    号：102075807616</w:t>
            </w:r>
          </w:p>
        </w:tc>
      </w:tr>
    </w:tbl>
    <w:p>
      <w:pPr>
        <w:pStyle w:val="4"/>
        <w:pageBreakBefore w:val="0"/>
        <w:widowControl w:val="0"/>
        <w:shd w:val="clear"/>
        <w:kinsoku/>
        <w:wordWrap/>
        <w:overflowPunct/>
        <w:topLinePunct w:val="0"/>
        <w:bidi w:val="0"/>
        <w:spacing w:before="0" w:afterLines="50" w:line="360" w:lineRule="exact"/>
        <w:textAlignment w:val="auto"/>
        <w:rPr>
          <w:bCs/>
          <w:color w:val="auto"/>
          <w:sz w:val="36"/>
          <w:szCs w:val="36"/>
          <w:highlight w:val="none"/>
        </w:rPr>
      </w:pPr>
      <w:r>
        <w:rPr>
          <w:color w:val="auto"/>
          <w:highlight w:val="none"/>
        </w:rPr>
        <w:br w:type="page"/>
      </w:r>
      <w:bookmarkEnd w:id="8"/>
      <w:bookmarkEnd w:id="9"/>
      <w:bookmarkEnd w:id="10"/>
      <w:bookmarkEnd w:id="11"/>
      <w:bookmarkEnd w:id="13"/>
      <w:bookmarkEnd w:id="14"/>
      <w:bookmarkEnd w:id="15"/>
      <w:bookmarkEnd w:id="16"/>
      <w:bookmarkEnd w:id="17"/>
      <w:bookmarkEnd w:id="18"/>
      <w:bookmarkEnd w:id="19"/>
      <w:bookmarkEnd w:id="20"/>
      <w:bookmarkStart w:id="21" w:name="_Toc217446034"/>
      <w:bookmarkStart w:id="22" w:name="_Toc183582205"/>
      <w:bookmarkStart w:id="23" w:name="_Toc183682342"/>
      <w:r>
        <w:rPr>
          <w:rFonts w:hint="eastAsia" w:ascii="黑体" w:hAnsi="黑体" w:eastAsia="黑体" w:cs="黑体"/>
          <w:b w:val="0"/>
          <w:bCs w:val="0"/>
          <w:color w:val="auto"/>
          <w:sz w:val="36"/>
          <w:szCs w:val="36"/>
          <w:highlight w:val="none"/>
        </w:rPr>
        <w:t xml:space="preserve"> </w:t>
      </w:r>
      <w:bookmarkStart w:id="24" w:name="_Toc89075873"/>
      <w:bookmarkStart w:id="25" w:name="_Toc18074967"/>
      <w:bookmarkStart w:id="26" w:name="_Toc217446033"/>
      <w:bookmarkStart w:id="27" w:name="_Toc77400778"/>
      <w:bookmarkStart w:id="28" w:name="_Toc183682341"/>
      <w:bookmarkStart w:id="29" w:name="_Toc183582204"/>
      <w:bookmarkStart w:id="30" w:name="_Toc21141"/>
      <w:r>
        <w:rPr>
          <w:rFonts w:hint="eastAsia" w:ascii="黑体" w:hAnsi="黑体" w:eastAsia="黑体" w:cs="黑体"/>
          <w:b w:val="0"/>
          <w:bCs w:val="0"/>
          <w:color w:val="auto"/>
          <w:sz w:val="36"/>
          <w:szCs w:val="36"/>
          <w:highlight w:val="none"/>
        </w:rPr>
        <w:t>1.总  则</w:t>
      </w:r>
      <w:bookmarkEnd w:id="24"/>
      <w:bookmarkEnd w:id="25"/>
      <w:bookmarkEnd w:id="26"/>
      <w:bookmarkEnd w:id="27"/>
      <w:bookmarkEnd w:id="28"/>
      <w:bookmarkEnd w:id="29"/>
      <w:bookmarkEnd w:id="30"/>
    </w:p>
    <w:p>
      <w:pPr>
        <w:shd w:val="clear"/>
        <w:spacing w:line="360" w:lineRule="auto"/>
        <w:rPr>
          <w:b/>
          <w:bCs/>
          <w:color w:val="auto"/>
          <w:sz w:val="30"/>
          <w:szCs w:val="30"/>
          <w:highlight w:val="none"/>
        </w:rPr>
      </w:pPr>
      <w:bookmarkStart w:id="31" w:name="_Toc18074968"/>
      <w:r>
        <w:rPr>
          <w:rFonts w:hint="eastAsia" w:ascii="宋体" w:hAnsi="宋体"/>
          <w:b/>
          <w:color w:val="auto"/>
          <w:sz w:val="30"/>
          <w:szCs w:val="30"/>
          <w:highlight w:val="none"/>
        </w:rPr>
        <w:t>1.1适用范围</w:t>
      </w:r>
      <w:bookmarkEnd w:id="31"/>
    </w:p>
    <w:p>
      <w:pPr>
        <w:shd w:val="clea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1.1.1</w:t>
      </w:r>
      <w:r>
        <w:rPr>
          <w:rFonts w:hint="eastAsia" w:ascii="宋体" w:hAnsi="宋体" w:eastAsia="宋体" w:cs="宋体"/>
          <w:color w:val="auto"/>
          <w:szCs w:val="21"/>
          <w:highlight w:val="none"/>
        </w:rPr>
        <w:t>本竞争性</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文件仅适用于本次竞争性</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）所叙述的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项目采购活动。</w:t>
      </w:r>
    </w:p>
    <w:p>
      <w:pPr>
        <w:shd w:val="clear"/>
        <w:tabs>
          <w:tab w:val="left" w:pos="7665"/>
        </w:tabs>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须知前附表规定专门面向中小企业采购的，仅适用中小企业、监狱企业和残疾人福利性单位参加投标的采购活动。</w:t>
      </w:r>
    </w:p>
    <w:p>
      <w:pPr>
        <w:shd w:val="clear"/>
        <w:tabs>
          <w:tab w:val="left" w:pos="7665"/>
        </w:tabs>
        <w:spacing w:beforeLines="50" w:afterLines="50" w:line="360" w:lineRule="auto"/>
        <w:ind w:firstLine="1"/>
        <w:rPr>
          <w:rFonts w:ascii="宋体" w:hAnsi="宋体"/>
          <w:b/>
          <w:color w:val="auto"/>
          <w:sz w:val="30"/>
          <w:szCs w:val="30"/>
          <w:highlight w:val="none"/>
        </w:rPr>
      </w:pPr>
      <w:r>
        <w:rPr>
          <w:rFonts w:hint="eastAsia" w:ascii="宋体" w:hAnsi="宋体"/>
          <w:b/>
          <w:color w:val="auto"/>
          <w:sz w:val="30"/>
          <w:szCs w:val="30"/>
          <w:highlight w:val="none"/>
        </w:rPr>
        <w:t>1.2</w:t>
      </w:r>
      <w:r>
        <w:rPr>
          <w:rFonts w:hint="eastAsia"/>
          <w:b/>
          <w:color w:val="auto"/>
          <w:sz w:val="30"/>
          <w:szCs w:val="30"/>
          <w:highlight w:val="none"/>
        </w:rPr>
        <w:t>名词解释</w:t>
      </w:r>
    </w:p>
    <w:p>
      <w:pPr>
        <w:shd w:val="clear"/>
        <w:adjustRightInd w:val="0"/>
        <w:snapToGrid w:val="0"/>
        <w:spacing w:beforeLines="50" w:line="360" w:lineRule="auto"/>
        <w:ind w:firstLine="420" w:firstLineChars="200"/>
        <w:rPr>
          <w:rFonts w:ascii="宋体" w:hAnsi="宋体"/>
          <w:b/>
          <w:color w:val="auto"/>
          <w:szCs w:val="21"/>
          <w:highlight w:val="none"/>
        </w:rPr>
      </w:pPr>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系指依法进行政府采购的国家机关、事业单位、团体组织。本次采购的采购人名称、地址、电话、联系人见供应商须知前附表。</w:t>
      </w:r>
    </w:p>
    <w:p>
      <w:pPr>
        <w:shd w:val="clea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系指政府采购行政监督管理部门。</w:t>
      </w:r>
    </w:p>
    <w:p>
      <w:pPr>
        <w:shd w:val="clea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系指接受采购人委托，代理采购项目的依法经财政部门认定资格的采购代理机构。本次采购的采购代理机构名称、地址、电话、联系人见供应商须知前附表。</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1.2.4 </w:t>
      </w:r>
      <w:r>
        <w:rPr>
          <w:rFonts w:hint="eastAsia" w:ascii="宋体" w:hAnsi="宋体"/>
          <w:b/>
          <w:color w:val="auto"/>
          <w:szCs w:val="21"/>
          <w:highlight w:val="none"/>
        </w:rPr>
        <w:t>供应商</w:t>
      </w:r>
      <w:r>
        <w:rPr>
          <w:rFonts w:hint="eastAsia" w:ascii="宋体" w:hAnsi="宋体"/>
          <w:color w:val="auto"/>
          <w:szCs w:val="21"/>
          <w:highlight w:val="none"/>
        </w:rPr>
        <w:t>是指响应和符合</w:t>
      </w:r>
      <w:r>
        <w:rPr>
          <w:rFonts w:hint="eastAsia" w:ascii="宋体" w:hAnsi="宋体"/>
          <w:color w:val="auto"/>
          <w:szCs w:val="21"/>
          <w:highlight w:val="none"/>
          <w:lang w:eastAsia="zh-CN"/>
        </w:rPr>
        <w:t>竞争性谈判</w:t>
      </w:r>
      <w:r>
        <w:rPr>
          <w:rFonts w:hint="eastAsia" w:ascii="宋体" w:hAnsi="宋体"/>
          <w:color w:val="auto"/>
          <w:szCs w:val="21"/>
          <w:highlight w:val="none"/>
        </w:rPr>
        <w:t>文件（以下简称</w:t>
      </w:r>
      <w:r>
        <w:rPr>
          <w:rFonts w:hint="eastAsia" w:ascii="宋体" w:hAnsi="宋体"/>
          <w:color w:val="auto"/>
          <w:szCs w:val="21"/>
          <w:highlight w:val="none"/>
          <w:lang w:eastAsia="zh-CN"/>
        </w:rPr>
        <w:t>谈判</w:t>
      </w:r>
      <w:r>
        <w:rPr>
          <w:rFonts w:hint="eastAsia" w:ascii="宋体" w:hAnsi="宋体"/>
          <w:color w:val="auto"/>
          <w:szCs w:val="21"/>
          <w:highlight w:val="none"/>
        </w:rPr>
        <w:t>文件）规定资格条件且参与</w:t>
      </w:r>
      <w:r>
        <w:rPr>
          <w:rFonts w:hint="eastAsia" w:ascii="宋体" w:hAnsi="宋体"/>
          <w:color w:val="auto"/>
          <w:szCs w:val="21"/>
          <w:highlight w:val="none"/>
          <w:lang w:eastAsia="zh-CN"/>
        </w:rPr>
        <w:t>谈判</w:t>
      </w:r>
      <w:r>
        <w:rPr>
          <w:rFonts w:hint="eastAsia" w:ascii="宋体" w:hAnsi="宋体"/>
          <w:color w:val="auto"/>
          <w:szCs w:val="21"/>
          <w:highlight w:val="none"/>
        </w:rPr>
        <w:t>竞争的法人或其他组织或个人。</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1.2.5 </w:t>
      </w:r>
      <w:r>
        <w:rPr>
          <w:rFonts w:hint="eastAsia" w:ascii="宋体" w:hAnsi="宋体"/>
          <w:b/>
          <w:bCs/>
          <w:color w:val="auto"/>
          <w:szCs w:val="21"/>
          <w:highlight w:val="none"/>
          <w:lang w:val="en-US" w:eastAsia="zh-CN"/>
        </w:rPr>
        <w:t>工程</w:t>
      </w:r>
      <w:r>
        <w:rPr>
          <w:rFonts w:hint="eastAsia" w:ascii="宋体" w:hAnsi="宋体"/>
          <w:color w:val="auto"/>
          <w:szCs w:val="21"/>
          <w:highlight w:val="none"/>
        </w:rPr>
        <w:t>是指</w:t>
      </w:r>
      <w:r>
        <w:rPr>
          <w:rFonts w:hint="eastAsia"/>
          <w:color w:val="auto"/>
          <w:szCs w:val="21"/>
          <w:highlight w:val="none"/>
        </w:rPr>
        <w:t>本</w:t>
      </w:r>
      <w:r>
        <w:rPr>
          <w:rFonts w:hint="eastAsia"/>
          <w:color w:val="auto"/>
          <w:szCs w:val="21"/>
          <w:highlight w:val="none"/>
          <w:lang w:eastAsia="zh-CN"/>
        </w:rPr>
        <w:t>谈判</w:t>
      </w:r>
      <w:r>
        <w:rPr>
          <w:rFonts w:hint="eastAsia"/>
          <w:color w:val="auto"/>
          <w:szCs w:val="21"/>
          <w:highlight w:val="none"/>
        </w:rPr>
        <w:t>文件中第四章所述所有</w:t>
      </w:r>
      <w:r>
        <w:rPr>
          <w:rFonts w:hint="eastAsia"/>
          <w:color w:val="auto"/>
          <w:szCs w:val="21"/>
          <w:highlight w:val="none"/>
          <w:lang w:val="en-US" w:eastAsia="zh-CN"/>
        </w:rPr>
        <w:t>工程</w:t>
      </w:r>
      <w:r>
        <w:rPr>
          <w:rFonts w:hint="eastAsia"/>
          <w:color w:val="auto"/>
          <w:szCs w:val="21"/>
          <w:highlight w:val="none"/>
        </w:rPr>
        <w:t>。</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rPr>
        <w:t>是指为满足谈判文件要求和工程配套所提供的服务</w:t>
      </w:r>
      <w:r>
        <w:rPr>
          <w:rFonts w:hint="eastAsia" w:ascii="宋体" w:hAnsi="宋体"/>
          <w:color w:val="auto"/>
          <w:szCs w:val="21"/>
          <w:highlight w:val="none"/>
        </w:rPr>
        <w:t>。</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指财政部、发展改革委、生态环境部等部门发布的《节能产品品目清单》中的产品。</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是指财政部、发展改革委、生态环境部等部门发布的《环境标志产品品目清单》中的产品。</w:t>
      </w:r>
    </w:p>
    <w:p>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b/>
          <w:color w:val="auto"/>
          <w:szCs w:val="21"/>
          <w:highlight w:val="none"/>
        </w:rPr>
        <w:t>中小企业</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1.2.12 </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pPr>
        <w:shd w:val="clear"/>
        <w:adjustRightInd w:val="0"/>
        <w:snapToGrid w:val="0"/>
        <w:spacing w:beforeLines="50" w:afterLines="50" w:line="360" w:lineRule="auto"/>
        <w:rPr>
          <w:rFonts w:ascii="宋体" w:hAnsi="宋体" w:cs="宋体"/>
          <w:b/>
          <w:color w:val="auto"/>
          <w:kern w:val="0"/>
          <w:sz w:val="30"/>
          <w:szCs w:val="30"/>
          <w:highlight w:val="none"/>
        </w:rPr>
      </w:pPr>
      <w:r>
        <w:rPr>
          <w:rFonts w:hint="eastAsia" w:ascii="宋体" w:hAnsi="宋体"/>
          <w:b/>
          <w:color w:val="auto"/>
          <w:sz w:val="30"/>
          <w:szCs w:val="30"/>
          <w:highlight w:val="none"/>
        </w:rPr>
        <w:t>1.3 合格的供应商</w:t>
      </w:r>
    </w:p>
    <w:p>
      <w:pPr>
        <w:shd w:val="clear"/>
        <w:tabs>
          <w:tab w:val="left" w:pos="7665"/>
        </w:tabs>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1.3.1 合格的供应商应具备以下条件：</w:t>
      </w:r>
    </w:p>
    <w:p>
      <w:pPr>
        <w:tabs>
          <w:tab w:val="left" w:pos="7665"/>
        </w:tabs>
        <w:spacing w:line="360" w:lineRule="auto"/>
        <w:ind w:firstLine="420" w:firstLineChars="200"/>
        <w:rPr>
          <w:rFonts w:hint="eastAsia" w:ascii="宋体" w:hAnsi="宋体"/>
          <w:color w:val="auto"/>
          <w:spacing w:val="-4"/>
          <w:szCs w:val="21"/>
          <w:highlight w:val="none"/>
        </w:rPr>
      </w:pPr>
      <w:r>
        <w:rPr>
          <w:rFonts w:hint="eastAsia" w:ascii="宋体" w:hAnsi="宋体"/>
          <w:color w:val="auto"/>
          <w:szCs w:val="21"/>
          <w:highlight w:val="none"/>
        </w:rPr>
        <w:t>（1）具备且满足</w:t>
      </w:r>
      <w:r>
        <w:rPr>
          <w:rFonts w:hint="eastAsia" w:ascii="宋体" w:hAnsi="宋体"/>
          <w:color w:val="auto"/>
          <w:szCs w:val="21"/>
          <w:highlight w:val="none"/>
          <w:lang w:eastAsia="zh-CN"/>
        </w:rPr>
        <w:t>谈判</w:t>
      </w:r>
      <w:r>
        <w:rPr>
          <w:rFonts w:hint="eastAsia" w:ascii="宋体" w:hAnsi="宋体"/>
          <w:color w:val="auto"/>
          <w:szCs w:val="21"/>
          <w:highlight w:val="none"/>
        </w:rPr>
        <w:t>文件规定的供应商资格条件</w:t>
      </w:r>
      <w:r>
        <w:rPr>
          <w:rFonts w:hint="eastAsia" w:ascii="宋体" w:hAnsi="宋体"/>
          <w:color w:val="auto"/>
          <w:spacing w:val="-4"/>
          <w:szCs w:val="21"/>
          <w:highlight w:val="none"/>
        </w:rPr>
        <w:t>；</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（2）从采购代理机构获取了</w:t>
      </w:r>
      <w:r>
        <w:rPr>
          <w:rFonts w:hint="eastAsia" w:ascii="宋体" w:hAnsi="宋体"/>
          <w:color w:val="auto"/>
          <w:szCs w:val="21"/>
          <w:highlight w:val="none"/>
          <w:lang w:eastAsia="zh-CN"/>
        </w:rPr>
        <w:t>谈判</w:t>
      </w:r>
      <w:r>
        <w:rPr>
          <w:rFonts w:hint="eastAsia" w:ascii="宋体" w:hAnsi="宋体"/>
          <w:color w:val="auto"/>
          <w:szCs w:val="21"/>
          <w:highlight w:val="none"/>
        </w:rPr>
        <w:t>文件；</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（3）向采购代理机构交纳了</w:t>
      </w:r>
      <w:r>
        <w:rPr>
          <w:rFonts w:hint="eastAsia" w:ascii="宋体" w:hAnsi="宋体"/>
          <w:color w:val="auto"/>
          <w:szCs w:val="21"/>
          <w:highlight w:val="none"/>
          <w:lang w:eastAsia="zh-CN"/>
        </w:rPr>
        <w:t>谈判</w:t>
      </w:r>
      <w:r>
        <w:rPr>
          <w:rFonts w:hint="eastAsia" w:ascii="宋体" w:hAnsi="宋体"/>
          <w:color w:val="auto"/>
          <w:szCs w:val="21"/>
          <w:highlight w:val="none"/>
        </w:rPr>
        <w:t>保证金（仅限供应商须知前附表要求供应商提交保证金的）；</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（4）遵守国家和地方有关的法律法规、规章和规范性文件要求。</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供应商不得存在下列情形之一：</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隶属关系或者其他利害关系，且可能影响</w:t>
      </w:r>
      <w:r>
        <w:rPr>
          <w:rFonts w:hint="eastAsia" w:ascii="宋体" w:hAnsi="宋体"/>
          <w:bCs/>
          <w:color w:val="auto"/>
          <w:szCs w:val="21"/>
          <w:highlight w:val="none"/>
          <w:lang w:eastAsia="zh-CN"/>
        </w:rPr>
        <w:t>谈判</w:t>
      </w:r>
      <w:r>
        <w:rPr>
          <w:rFonts w:hint="eastAsia" w:ascii="宋体" w:hAnsi="宋体"/>
          <w:bCs/>
          <w:color w:val="auto"/>
          <w:szCs w:val="21"/>
          <w:highlight w:val="none"/>
        </w:rPr>
        <w:t>公正性；</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（2）与本采购项目其他供应商的法定代表人（或者负责人）为同一人；</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（3）与本采购项目其他供应商存在控股、管理关系；</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（4）为本项目采购代理机构；</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（5）为本项目代理</w:t>
      </w:r>
      <w:r>
        <w:rPr>
          <w:rFonts w:hint="eastAsia" w:ascii="宋体" w:hAnsi="宋体"/>
          <w:color w:val="auto"/>
          <w:szCs w:val="21"/>
          <w:highlight w:val="none"/>
          <w:lang w:eastAsia="zh-CN"/>
        </w:rPr>
        <w:t>谈判</w:t>
      </w:r>
      <w:r>
        <w:rPr>
          <w:rFonts w:hint="eastAsia" w:ascii="宋体" w:hAnsi="宋体"/>
          <w:color w:val="auto"/>
          <w:szCs w:val="21"/>
          <w:highlight w:val="none"/>
        </w:rPr>
        <w:t>的为其采购代理机构；</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（6）为本项目提供整体设计、规范编制或者项目管理、监理、检测、咨询服务；</w:t>
      </w:r>
    </w:p>
    <w:p>
      <w:pPr>
        <w:shd w:val="clear"/>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受到刑事处罚；</w:t>
      </w:r>
    </w:p>
    <w:p>
      <w:pPr>
        <w:shd w:val="clea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（8）受到财政部门</w:t>
      </w:r>
      <w:r>
        <w:rPr>
          <w:rFonts w:hint="eastAsia" w:ascii="宋体" w:hAnsi="宋体"/>
          <w:bCs/>
          <w:color w:val="auto"/>
          <w:szCs w:val="21"/>
          <w:highlight w:val="none"/>
          <w:lang w:val="en-US" w:eastAsia="zh-CN"/>
        </w:rPr>
        <w:t>5</w:t>
      </w:r>
      <w:r>
        <w:rPr>
          <w:rFonts w:hint="eastAsia" w:ascii="宋体" w:hAnsi="宋体"/>
          <w:bCs/>
          <w:color w:val="auto"/>
          <w:szCs w:val="21"/>
          <w:highlight w:val="none"/>
        </w:rPr>
        <w:t>万元以上数额罚款的行政处罚或其他行政部门较大数额罚款的行政处罚（举行听证会的）；</w:t>
      </w:r>
    </w:p>
    <w:p>
      <w:pPr>
        <w:shd w:val="clea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（9）被责令停产停业、暂扣或者吊销许可证、暂扣或者吊销执照的行政处罚；</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（10）</w:t>
      </w:r>
      <w:r>
        <w:rPr>
          <w:rFonts w:hint="eastAsia" w:ascii="宋体" w:hAnsi="宋体"/>
          <w:color w:val="auto"/>
          <w:szCs w:val="21"/>
          <w:highlight w:val="none"/>
        </w:rPr>
        <w:t>被列入失信被执行人名单；</w:t>
      </w:r>
    </w:p>
    <w:p>
      <w:pPr>
        <w:shd w:val="clear"/>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（11）被列入重大税收违法案件当事人名单；</w:t>
      </w:r>
    </w:p>
    <w:p>
      <w:pPr>
        <w:shd w:val="clea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（12）被禁止在一至三年内参加政府采购活动或存在</w:t>
      </w:r>
      <w:r>
        <w:rPr>
          <w:rFonts w:hint="eastAsia" w:ascii="宋体" w:hAnsi="宋体"/>
          <w:color w:val="auto"/>
          <w:szCs w:val="21"/>
          <w:highlight w:val="none"/>
        </w:rPr>
        <w:t>财政部门认定的其他重大违法记录；</w:t>
      </w:r>
    </w:p>
    <w:p>
      <w:pPr>
        <w:adjustRightInd w:val="0"/>
        <w:snapToGrid w:val="0"/>
        <w:spacing w:line="360" w:lineRule="auto"/>
        <w:ind w:firstLine="420" w:firstLineChars="200"/>
        <w:rPr>
          <w:rFonts w:hint="eastAsia"/>
          <w:color w:val="auto"/>
          <w:highlight w:val="none"/>
          <w:lang w:eastAsia="zh-CN"/>
        </w:rPr>
      </w:pPr>
      <w:r>
        <w:rPr>
          <w:rFonts w:hint="eastAsia" w:ascii="宋体" w:hAnsi="宋体"/>
          <w:color w:val="auto"/>
          <w:szCs w:val="21"/>
          <w:highlight w:val="none"/>
        </w:rPr>
        <w:t>（13）法律法规规定的其他情形。</w:t>
      </w:r>
    </w:p>
    <w:p>
      <w:pPr>
        <w:pStyle w:val="14"/>
        <w:rPr>
          <w:color w:val="auto"/>
          <w:highlight w:val="none"/>
        </w:rPr>
      </w:pPr>
    </w:p>
    <w:p>
      <w:pPr>
        <w:shd w:val="clear"/>
        <w:adjustRightInd w:val="0"/>
        <w:snapToGrid w:val="0"/>
        <w:spacing w:beforeLines="50" w:afterLines="50" w:line="360" w:lineRule="auto"/>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1.4 合格的</w:t>
      </w:r>
      <w:r>
        <w:rPr>
          <w:rFonts w:hint="eastAsia" w:ascii="宋体" w:hAnsi="宋体"/>
          <w:b/>
          <w:bCs/>
          <w:color w:val="auto"/>
          <w:sz w:val="30"/>
          <w:szCs w:val="30"/>
          <w:highlight w:val="none"/>
          <w:lang w:val="en-US" w:eastAsia="zh-CN"/>
        </w:rPr>
        <w:t>工程</w:t>
      </w:r>
    </w:p>
    <w:p>
      <w:pPr>
        <w:shd w:val="clea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eastAsia="宋体" w:cs="宋体"/>
          <w:color w:val="auto"/>
          <w:szCs w:val="21"/>
          <w:highlight w:val="none"/>
        </w:rPr>
        <w:t>供应商提供的所有</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，符合国家有关标准和规范，并满足</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文件规定的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要求。</w:t>
      </w:r>
    </w:p>
    <w:p>
      <w:pPr>
        <w:shd w:val="clea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若本项目包括提供货物的，所供货物亦必须是合法生产、合法来源，符合国家有关标准要求，并满足</w:t>
      </w:r>
      <w:r>
        <w:rPr>
          <w:rFonts w:hint="eastAsia" w:ascii="宋体" w:hAnsi="宋体"/>
          <w:color w:val="auto"/>
          <w:szCs w:val="21"/>
          <w:highlight w:val="none"/>
          <w:lang w:eastAsia="zh-CN"/>
        </w:rPr>
        <w:t>谈判</w:t>
      </w:r>
      <w:r>
        <w:rPr>
          <w:rFonts w:hint="eastAsia" w:ascii="宋体" w:hAnsi="宋体"/>
          <w:color w:val="auto"/>
          <w:szCs w:val="21"/>
          <w:highlight w:val="none"/>
        </w:rPr>
        <w:t>文件规定的规格、参数、质量、有效期、售后服务及供应商须承担的运输、安装、技术支持、培训和</w:t>
      </w:r>
      <w:r>
        <w:rPr>
          <w:rFonts w:hint="eastAsia" w:ascii="宋体" w:hAnsi="宋体"/>
          <w:color w:val="auto"/>
          <w:szCs w:val="21"/>
          <w:highlight w:val="none"/>
          <w:lang w:eastAsia="zh-CN"/>
        </w:rPr>
        <w:t>谈判</w:t>
      </w:r>
      <w:r>
        <w:rPr>
          <w:rFonts w:hint="eastAsia" w:ascii="宋体" w:hAnsi="宋体"/>
          <w:color w:val="auto"/>
          <w:szCs w:val="21"/>
          <w:highlight w:val="none"/>
        </w:rPr>
        <w:t>文件规定的其它伴随服务等要求。</w:t>
      </w:r>
    </w:p>
    <w:p>
      <w:pPr>
        <w:shd w:val="clea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采购人有权拒绝接受任何不合格的</w:t>
      </w:r>
      <w:r>
        <w:rPr>
          <w:rFonts w:hint="eastAsia" w:ascii="宋体" w:hAnsi="宋体"/>
          <w:color w:val="auto"/>
          <w:szCs w:val="21"/>
          <w:highlight w:val="none"/>
          <w:lang w:val="en-US" w:eastAsia="zh-CN"/>
        </w:rPr>
        <w:t>工程</w:t>
      </w:r>
      <w:r>
        <w:rPr>
          <w:rFonts w:hint="eastAsia" w:ascii="宋体" w:hAnsi="宋体"/>
          <w:color w:val="auto"/>
          <w:szCs w:val="21"/>
          <w:highlight w:val="none"/>
        </w:rPr>
        <w:t>，由此产生的费用及相关后果均由供应商自行承担。</w:t>
      </w:r>
    </w:p>
    <w:bookmarkEnd w:id="21"/>
    <w:bookmarkEnd w:id="22"/>
    <w:bookmarkEnd w:id="23"/>
    <w:p>
      <w:pPr>
        <w:pStyle w:val="15"/>
        <w:shd w:val="clear"/>
        <w:spacing w:beforeLines="50" w:afterLines="50" w:line="360" w:lineRule="auto"/>
        <w:ind w:firstLine="0"/>
        <w:rPr>
          <w:rFonts w:ascii="宋体" w:hAnsi="宋体"/>
          <w:b/>
          <w:bCs/>
          <w:color w:val="auto"/>
          <w:sz w:val="30"/>
          <w:szCs w:val="30"/>
          <w:highlight w:val="none"/>
        </w:rPr>
      </w:pPr>
      <w:bookmarkStart w:id="32" w:name="_Toc217446047"/>
      <w:bookmarkStart w:id="33" w:name="_Toc217446037"/>
      <w:bookmarkStart w:id="34" w:name="_Toc183582208"/>
      <w:bookmarkStart w:id="35" w:name="_Toc183682345"/>
      <w:r>
        <w:rPr>
          <w:rFonts w:hint="eastAsia" w:ascii="宋体" w:hAnsi="宋体"/>
          <w:b/>
          <w:bCs/>
          <w:color w:val="auto"/>
          <w:sz w:val="30"/>
          <w:szCs w:val="30"/>
          <w:highlight w:val="none"/>
        </w:rPr>
        <w:t>1.5 知识产权</w:t>
      </w:r>
      <w:bookmarkEnd w:id="32"/>
    </w:p>
    <w:p>
      <w:pPr>
        <w:pStyle w:val="15"/>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1.5.1 供应商应保证在本项目提供的任何</w:t>
      </w:r>
      <w:r>
        <w:rPr>
          <w:rFonts w:hint="eastAsia" w:ascii="宋体" w:hAnsi="宋体"/>
          <w:color w:val="auto"/>
          <w:sz w:val="21"/>
          <w:szCs w:val="21"/>
          <w:highlight w:val="none"/>
          <w:lang w:val="en-US" w:eastAsia="zh-CN"/>
        </w:rPr>
        <w:t>工程</w:t>
      </w:r>
      <w:r>
        <w:rPr>
          <w:rFonts w:hint="eastAsia" w:ascii="宋体" w:hAnsi="宋体"/>
          <w:color w:val="auto"/>
          <w:sz w:val="21"/>
          <w:szCs w:val="21"/>
          <w:highlight w:val="none"/>
        </w:rPr>
        <w:t>和货物（包括部分使用）时，不会产生因第三方提出侵犯其专利权、商标权或其它知识产权而引起的法律和经济纠纷，如因专利权、商标权或其它知识产权而引起法律和经济纠纷，由供应商承担所有相关责任。</w:t>
      </w:r>
    </w:p>
    <w:p>
      <w:pPr>
        <w:pStyle w:val="15"/>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1.5.2 采购人享有本项目实施过程中产生的知识成果及知识产权。</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 如采用供应商所不拥有的知识产权，则在报价中必须包括合法获取该知识产权的相关费用。</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 xml:space="preserve">1.6 </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费用</w:t>
      </w:r>
      <w:bookmarkEnd w:id="33"/>
      <w:bookmarkEnd w:id="34"/>
      <w:bookmarkEnd w:id="35"/>
    </w:p>
    <w:p>
      <w:pPr>
        <w:shd w:val="clear"/>
        <w:tabs>
          <w:tab w:val="left" w:pos="7665"/>
        </w:tabs>
        <w:spacing w:line="360" w:lineRule="auto"/>
        <w:ind w:firstLine="430" w:firstLineChars="205"/>
        <w:rPr>
          <w:rFonts w:ascii="宋体" w:hAnsi="宋体"/>
          <w:color w:val="auto"/>
          <w:szCs w:val="21"/>
          <w:highlight w:val="none"/>
        </w:rPr>
      </w:pPr>
      <w:r>
        <w:rPr>
          <w:rFonts w:hint="eastAsia" w:ascii="宋体" w:hAnsi="宋体"/>
          <w:color w:val="auto"/>
          <w:szCs w:val="21"/>
          <w:highlight w:val="none"/>
        </w:rPr>
        <w:t>不论</w:t>
      </w:r>
      <w:r>
        <w:rPr>
          <w:rFonts w:hint="eastAsia" w:ascii="宋体" w:hAnsi="宋体"/>
          <w:color w:val="auto"/>
          <w:szCs w:val="21"/>
          <w:highlight w:val="none"/>
          <w:lang w:eastAsia="zh-CN"/>
        </w:rPr>
        <w:t>谈判</w:t>
      </w:r>
      <w:r>
        <w:rPr>
          <w:rFonts w:hint="eastAsia" w:ascii="宋体" w:hAnsi="宋体"/>
          <w:color w:val="auto"/>
          <w:szCs w:val="21"/>
          <w:highlight w:val="none"/>
        </w:rPr>
        <w:t>结果如何，供应商应自行承担所有与准备和参加</w:t>
      </w:r>
      <w:r>
        <w:rPr>
          <w:rFonts w:hint="eastAsia" w:ascii="宋体" w:hAnsi="宋体"/>
          <w:color w:val="auto"/>
          <w:szCs w:val="21"/>
          <w:highlight w:val="none"/>
          <w:lang w:eastAsia="zh-CN"/>
        </w:rPr>
        <w:t>谈判</w:t>
      </w:r>
      <w:r>
        <w:rPr>
          <w:rFonts w:hint="eastAsia" w:ascii="宋体" w:hAnsi="宋体"/>
          <w:color w:val="auto"/>
          <w:szCs w:val="21"/>
          <w:highlight w:val="none"/>
        </w:rPr>
        <w:t>相关的全部费用。</w:t>
      </w:r>
      <w:bookmarkStart w:id="36" w:name="_Toc89075875"/>
      <w:bookmarkStart w:id="37" w:name="_Toc183582209"/>
      <w:bookmarkStart w:id="38" w:name="_Toc183682346"/>
      <w:bookmarkStart w:id="39" w:name="_Toc217446038"/>
      <w:bookmarkStart w:id="40" w:name="_Toc77400779"/>
    </w:p>
    <w:p>
      <w:pPr>
        <w:shd w:val="clear"/>
        <w:autoSpaceDE w:val="0"/>
        <w:autoSpaceDN w:val="0"/>
        <w:spacing w:beforeLines="50" w:afterLines="50" w:line="360" w:lineRule="auto"/>
        <w:rPr>
          <w:rFonts w:ascii="宋体" w:hAnsi="宋体"/>
          <w:b/>
          <w:color w:val="auto"/>
          <w:sz w:val="30"/>
          <w:szCs w:val="30"/>
          <w:highlight w:val="none"/>
          <w:lang w:val="zh-CN"/>
        </w:rPr>
      </w:pPr>
      <w:r>
        <w:rPr>
          <w:rFonts w:hint="eastAsia" w:ascii="宋体" w:hAnsi="宋体"/>
          <w:b/>
          <w:color w:val="auto"/>
          <w:sz w:val="30"/>
          <w:szCs w:val="30"/>
          <w:highlight w:val="none"/>
          <w:lang w:val="zh-CN"/>
        </w:rPr>
        <w:t xml:space="preserve">1.7 </w:t>
      </w:r>
      <w:r>
        <w:rPr>
          <w:rFonts w:ascii="宋体" w:hAnsi="宋体"/>
          <w:b/>
          <w:color w:val="auto"/>
          <w:sz w:val="30"/>
          <w:szCs w:val="30"/>
          <w:highlight w:val="none"/>
          <w:lang w:val="zh-CN"/>
        </w:rPr>
        <w:t>保密</w:t>
      </w:r>
    </w:p>
    <w:p>
      <w:pPr>
        <w:shd w:val="clear"/>
        <w:autoSpaceDE w:val="0"/>
        <w:autoSpaceDN w:val="0"/>
        <w:spacing w:line="360" w:lineRule="auto"/>
        <w:ind w:firstLine="420" w:firstLineChars="200"/>
        <w:rPr>
          <w:rFonts w:ascii="宋体" w:hAnsi="宋体"/>
          <w:b/>
          <w:color w:val="auto"/>
          <w:sz w:val="30"/>
          <w:szCs w:val="30"/>
          <w:highlight w:val="none"/>
        </w:rPr>
      </w:pPr>
      <w:r>
        <w:rPr>
          <w:rFonts w:ascii="宋体" w:hAnsi="宋体"/>
          <w:color w:val="auto"/>
          <w:szCs w:val="21"/>
          <w:highlight w:val="none"/>
          <w:lang w:val="zh-CN"/>
        </w:rPr>
        <w:t>参与采购活动的当事人应对</w:t>
      </w:r>
      <w:r>
        <w:rPr>
          <w:rFonts w:hint="eastAsia" w:ascii="宋体" w:hAnsi="宋体"/>
          <w:color w:val="auto"/>
          <w:szCs w:val="21"/>
          <w:highlight w:val="none"/>
          <w:lang w:val="zh-CN"/>
        </w:rPr>
        <w:t>谈判文件</w:t>
      </w:r>
      <w:r>
        <w:rPr>
          <w:rFonts w:ascii="宋体" w:hAnsi="宋体"/>
          <w:color w:val="auto"/>
          <w:szCs w:val="21"/>
          <w:highlight w:val="none"/>
          <w:lang w:val="zh-CN"/>
        </w:rPr>
        <w:t xml:space="preserve">和响应文件中的商业秘密、技术秘密和个人隐私等保密，违者应对由此造成的后果承担法律责任。 </w:t>
      </w:r>
    </w:p>
    <w:p>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1.8语言文字</w:t>
      </w:r>
    </w:p>
    <w:p>
      <w:pPr>
        <w:shd w:val="clear"/>
        <w:tabs>
          <w:tab w:val="left" w:pos="7665"/>
        </w:tabs>
        <w:spacing w:line="360" w:lineRule="auto"/>
        <w:ind w:firstLine="405"/>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color w:val="auto"/>
          <w:szCs w:val="21"/>
          <w:highlight w:val="none"/>
          <w:lang w:eastAsia="zh-CN"/>
        </w:rPr>
        <w:t>谈判</w:t>
      </w:r>
      <w:r>
        <w:rPr>
          <w:rFonts w:hint="eastAsia" w:ascii="宋体" w:hAnsi="宋体"/>
          <w:color w:val="auto"/>
          <w:szCs w:val="21"/>
          <w:highlight w:val="none"/>
        </w:rPr>
        <w:t>文件与响应文件使用的语言为中文。专用术语使用外文的，应附有中文注释。</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 响应文件中如附有外文资料，必须逐一对应翻译成中文并加盖供应商单位章后附在相关外文资料后面，否则，供应商的响应文件将作为无效响应文件处理。</w:t>
      </w:r>
    </w:p>
    <w:p>
      <w:pPr>
        <w:pStyle w:val="18"/>
        <w:shd w:val="clear"/>
        <w:adjustRightInd w:val="0"/>
        <w:snapToGrid w:val="0"/>
        <w:spacing w:line="360" w:lineRule="auto"/>
        <w:ind w:firstLine="420" w:firstLineChars="200"/>
        <w:rPr>
          <w:color w:val="auto"/>
          <w:highlight w:val="none"/>
        </w:rPr>
      </w:pPr>
      <w:r>
        <w:rPr>
          <w:rFonts w:hint="eastAsia"/>
          <w:color w:val="auto"/>
          <w:highlight w:val="none"/>
        </w:rPr>
        <w:t>1.8.3 响应文件中翻译的中文资料与外文资料如果出现差异和矛盾时，以中文为准。但不能故意错误翻译，否则，供应商的响应文件将作为无效响应文件处理。</w:t>
      </w:r>
      <w:r>
        <w:rPr>
          <w:rFonts w:hint="eastAsia"/>
          <w:color w:val="auto"/>
          <w:kern w:val="0"/>
          <w:highlight w:val="none"/>
        </w:rPr>
        <w:t>必要时采购人可以要求供应商提供附有公证书的中文翻译文件或者与原版文件签章相一致的中文翻译文件。</w:t>
      </w:r>
    </w:p>
    <w:p>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1.9计量单位</w:t>
      </w:r>
    </w:p>
    <w:p>
      <w:pPr>
        <w:shd w:val="clear"/>
        <w:tabs>
          <w:tab w:val="left" w:pos="7665"/>
        </w:tabs>
        <w:spacing w:line="360" w:lineRule="auto"/>
        <w:ind w:firstLine="405"/>
        <w:rPr>
          <w:rFonts w:ascii="宋体" w:hAnsi="宋体"/>
          <w:color w:val="auto"/>
          <w:szCs w:val="21"/>
          <w:highlight w:val="none"/>
        </w:rPr>
      </w:pPr>
      <w:r>
        <w:rPr>
          <w:rFonts w:hint="eastAsia" w:ascii="宋体" w:hAnsi="宋体"/>
          <w:color w:val="auto"/>
          <w:szCs w:val="21"/>
          <w:highlight w:val="none"/>
        </w:rPr>
        <w:t>所有计量单位均采用中华人民共和国法定计量单位。</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1.10 答疑会或现场考察</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1.10.1 根据本采购项目的具体情况，采购代理机构认为有必要，可以组织召</w:t>
      </w:r>
      <w:r>
        <w:rPr>
          <w:rFonts w:hint="eastAsia" w:ascii="宋体" w:hAnsi="宋体"/>
          <w:color w:val="auto"/>
          <w:szCs w:val="21"/>
          <w:highlight w:val="none"/>
          <w:lang w:eastAsia="zh-CN"/>
        </w:rPr>
        <w:t>谈判</w:t>
      </w:r>
      <w:r>
        <w:rPr>
          <w:rFonts w:hint="eastAsia" w:ascii="宋体" w:hAnsi="宋体"/>
          <w:color w:val="auto"/>
          <w:szCs w:val="21"/>
          <w:highlight w:val="none"/>
        </w:rPr>
        <w:t>前答疑会或组织供应商对项目现场进行考察，澄清供应商提出的问题。答疑会或进行现场考察的时间与地点，采购代理机构将以书面形式通知所有获取了</w:t>
      </w:r>
      <w:r>
        <w:rPr>
          <w:rFonts w:hint="eastAsia" w:ascii="宋体" w:hAnsi="宋体"/>
          <w:color w:val="auto"/>
          <w:szCs w:val="21"/>
          <w:highlight w:val="none"/>
          <w:lang w:eastAsia="zh-CN"/>
        </w:rPr>
        <w:t>谈判</w:t>
      </w:r>
      <w:r>
        <w:rPr>
          <w:rFonts w:hint="eastAsia" w:ascii="宋体" w:hAnsi="宋体"/>
          <w:color w:val="auto"/>
          <w:szCs w:val="21"/>
          <w:highlight w:val="none"/>
        </w:rPr>
        <w:t>文件的供应商。</w:t>
      </w:r>
    </w:p>
    <w:p>
      <w:pPr>
        <w:shd w:val="clear"/>
        <w:adjustRightInd w:val="0"/>
        <w:snapToGrid w:val="0"/>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1.10.2 答疑会或现场考察后，采购人或采购代理机构对供应商所提问题的澄清，以书面形式通知所有获取了</w:t>
      </w:r>
      <w:r>
        <w:rPr>
          <w:rFonts w:hint="eastAsia" w:ascii="宋体" w:hAnsi="宋体"/>
          <w:color w:val="auto"/>
          <w:szCs w:val="21"/>
          <w:highlight w:val="none"/>
          <w:lang w:eastAsia="zh-CN"/>
        </w:rPr>
        <w:t>谈判</w:t>
      </w:r>
      <w:r>
        <w:rPr>
          <w:rFonts w:hint="eastAsia" w:ascii="宋体" w:hAnsi="宋体"/>
          <w:color w:val="auto"/>
          <w:szCs w:val="21"/>
          <w:highlight w:val="none"/>
        </w:rPr>
        <w:t>文件的供应商。该澄清内容为</w:t>
      </w:r>
      <w:r>
        <w:rPr>
          <w:rFonts w:hint="eastAsia" w:ascii="宋体" w:hAnsi="宋体"/>
          <w:color w:val="auto"/>
          <w:szCs w:val="21"/>
          <w:highlight w:val="none"/>
          <w:lang w:eastAsia="zh-CN"/>
        </w:rPr>
        <w:t>谈判</w:t>
      </w:r>
      <w:r>
        <w:rPr>
          <w:rFonts w:hint="eastAsia" w:ascii="宋体" w:hAnsi="宋体"/>
          <w:color w:val="auto"/>
          <w:szCs w:val="21"/>
          <w:highlight w:val="none"/>
        </w:rPr>
        <w:t>文件的组成部分。</w:t>
      </w:r>
    </w:p>
    <w:p>
      <w:pPr>
        <w:shd w:val="clear"/>
        <w:adjustRightInd w:val="0"/>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1.10.3 采购人或采购代理机构不对供应商现场考察而做出的推论、理解和结论负责。一旦成交，成交供应商不得以任何借口，提出额外补偿，或延长合同期限的要求。</w:t>
      </w:r>
    </w:p>
    <w:p>
      <w:pPr>
        <w:adjustRightInd w:val="0"/>
        <w:snapToGrid w:val="0"/>
        <w:spacing w:before="120" w:beforeLines="50" w:after="120" w:afterLines="50" w:line="360" w:lineRule="auto"/>
        <w:jc w:val="left"/>
        <w:rPr>
          <w:rFonts w:ascii="宋体" w:hAnsi="宋体"/>
          <w:b/>
          <w:color w:val="auto"/>
          <w:sz w:val="32"/>
          <w:szCs w:val="32"/>
          <w:highlight w:val="none"/>
        </w:rPr>
      </w:pPr>
      <w:r>
        <w:rPr>
          <w:rFonts w:hint="eastAsia" w:ascii="宋体" w:hAnsi="宋体"/>
          <w:b/>
          <w:color w:val="auto"/>
          <w:sz w:val="32"/>
          <w:szCs w:val="32"/>
          <w:highlight w:val="none"/>
        </w:rPr>
        <w:t>1.11响应与偏离</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1.11.1响应文件应当对</w:t>
      </w:r>
      <w:r>
        <w:rPr>
          <w:rFonts w:hint="eastAsia" w:ascii="宋体" w:hAnsi="宋体"/>
          <w:color w:val="auto"/>
          <w:highlight w:val="none"/>
          <w:lang w:eastAsia="zh-CN"/>
        </w:rPr>
        <w:t>谈判</w:t>
      </w:r>
      <w:r>
        <w:rPr>
          <w:rFonts w:hint="eastAsia" w:ascii="宋体" w:hAnsi="宋体"/>
          <w:color w:val="auto"/>
          <w:highlight w:val="none"/>
        </w:rPr>
        <w:t>文件实质性要求和条件作出满足性或有利于采购人的响应，否则，供应商的响应文件无效。</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1.11.2</w:t>
      </w:r>
      <w:r>
        <w:rPr>
          <w:rFonts w:hint="eastAsia" w:ascii="宋体" w:hAnsi="宋体"/>
          <w:b/>
          <w:color w:val="auto"/>
          <w:highlight w:val="none"/>
        </w:rPr>
        <w:t>偏离</w:t>
      </w:r>
      <w:r>
        <w:rPr>
          <w:rFonts w:hint="eastAsia" w:ascii="宋体" w:hAnsi="宋体"/>
          <w:color w:val="auto"/>
          <w:highlight w:val="none"/>
        </w:rPr>
        <w:t>是指响应文件不响应或者不满足</w:t>
      </w:r>
      <w:r>
        <w:rPr>
          <w:rFonts w:hint="eastAsia" w:ascii="宋体" w:hAnsi="宋体"/>
          <w:color w:val="auto"/>
          <w:highlight w:val="none"/>
          <w:lang w:eastAsia="zh-CN"/>
        </w:rPr>
        <w:t>谈判</w:t>
      </w:r>
      <w:r>
        <w:rPr>
          <w:rFonts w:hint="eastAsia" w:ascii="宋体" w:hAnsi="宋体"/>
          <w:color w:val="auto"/>
          <w:highlight w:val="none"/>
        </w:rPr>
        <w:t>文件提出的要求和条件，分为实质性偏离和非实质性偏离。</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1.11.3除法律、法规和</w:t>
      </w:r>
      <w:r>
        <w:rPr>
          <w:rFonts w:hint="eastAsia" w:ascii="宋体" w:hAnsi="宋体"/>
          <w:color w:val="auto"/>
          <w:highlight w:val="none"/>
          <w:lang w:eastAsia="zh-CN"/>
        </w:rPr>
        <w:t>谈判</w:t>
      </w:r>
      <w:r>
        <w:rPr>
          <w:rFonts w:hint="eastAsia" w:ascii="宋体" w:hAnsi="宋体"/>
          <w:color w:val="auto"/>
          <w:highlight w:val="none"/>
        </w:rPr>
        <w:t>文件规定的其他响应无效情形外，</w:t>
      </w:r>
      <w:r>
        <w:rPr>
          <w:rFonts w:hint="eastAsia" w:ascii="宋体" w:hAnsi="宋体"/>
          <w:color w:val="auto"/>
          <w:highlight w:val="none"/>
          <w:lang w:eastAsia="zh-CN"/>
        </w:rPr>
        <w:t>谈判</w:t>
      </w:r>
      <w:r>
        <w:rPr>
          <w:rFonts w:hint="eastAsia" w:ascii="宋体" w:hAnsi="宋体"/>
          <w:color w:val="auto"/>
          <w:highlight w:val="none"/>
        </w:rPr>
        <w:t>文件中用“</w:t>
      </w:r>
      <w:r>
        <w:rPr>
          <w:rFonts w:hint="eastAsia" w:ascii="宋体" w:hAnsi="宋体"/>
          <w:bCs/>
          <w:color w:val="auto"/>
          <w:szCs w:val="21"/>
          <w:highlight w:val="none"/>
        </w:rPr>
        <w:t>☆</w:t>
      </w:r>
      <w:r>
        <w:rPr>
          <w:rFonts w:hint="eastAsia" w:ascii="宋体" w:hAnsi="宋体"/>
          <w:color w:val="auto"/>
          <w:highlight w:val="none"/>
        </w:rPr>
        <w:t>”符号标明的条款为实质性要求和条件，响应文件对其中任何一条的偏离，为实质性偏离，其响应文件无效。</w:t>
      </w:r>
    </w:p>
    <w:p>
      <w:pPr>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1.11.4 响应</w:t>
      </w:r>
      <w:r>
        <w:rPr>
          <w:rFonts w:hint="eastAsia" w:ascii="宋体" w:hAnsi="宋体"/>
          <w:color w:val="auto"/>
          <w:szCs w:val="21"/>
          <w:highlight w:val="none"/>
        </w:rPr>
        <w:t>文件偏离</w:t>
      </w:r>
      <w:r>
        <w:rPr>
          <w:rFonts w:hint="eastAsia" w:ascii="宋体" w:hAnsi="宋体"/>
          <w:color w:val="auto"/>
          <w:szCs w:val="21"/>
          <w:highlight w:val="none"/>
          <w:lang w:eastAsia="zh-CN"/>
        </w:rPr>
        <w:t>谈判</w:t>
      </w:r>
      <w:r>
        <w:rPr>
          <w:rFonts w:hint="eastAsia" w:ascii="宋体" w:hAnsi="宋体"/>
          <w:color w:val="auto"/>
          <w:szCs w:val="21"/>
          <w:highlight w:val="none"/>
        </w:rPr>
        <w:t>文件的非实质性要求和条件，为非实质性偏离。非实质性偏离的范围和项数应当符合供应商须知前附表的规定，超出偏离范围和最高项数的</w:t>
      </w:r>
      <w:r>
        <w:rPr>
          <w:rFonts w:hint="eastAsia" w:ascii="宋体" w:hAnsi="宋体"/>
          <w:color w:val="auto"/>
          <w:highlight w:val="none"/>
        </w:rPr>
        <w:t>响应文件无效。</w:t>
      </w:r>
    </w:p>
    <w:p>
      <w:pPr>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1.11.5 响应文件对</w:t>
      </w:r>
      <w:r>
        <w:rPr>
          <w:rFonts w:hint="eastAsia" w:ascii="宋体" w:hAnsi="宋体"/>
          <w:color w:val="auto"/>
          <w:highlight w:val="none"/>
          <w:lang w:eastAsia="zh-CN"/>
        </w:rPr>
        <w:t>谈判</w:t>
      </w:r>
      <w:r>
        <w:rPr>
          <w:rFonts w:hint="eastAsia" w:ascii="宋体" w:hAnsi="宋体"/>
          <w:color w:val="auto"/>
          <w:highlight w:val="none"/>
        </w:rPr>
        <w:t>文件的全部偏离，均应在响应文件商务条款偏离表和技术参数偏离表中列明，除列明的内容外，视为供应商响应响应</w:t>
      </w:r>
      <w:r>
        <w:rPr>
          <w:rFonts w:hint="eastAsia" w:ascii="宋体" w:hAnsi="宋体"/>
          <w:color w:val="auto"/>
          <w:highlight w:val="none"/>
          <w:lang w:eastAsia="zh-CN"/>
        </w:rPr>
        <w:t>谈判文件</w:t>
      </w:r>
      <w:r>
        <w:rPr>
          <w:rFonts w:hint="eastAsia" w:ascii="宋体" w:hAnsi="宋体"/>
          <w:color w:val="auto"/>
          <w:highlight w:val="none"/>
        </w:rPr>
        <w:t>的全部要求。</w:t>
      </w:r>
    </w:p>
    <w:p>
      <w:pPr>
        <w:adjustRightInd w:val="0"/>
        <w:snapToGrid w:val="0"/>
        <w:spacing w:line="360" w:lineRule="auto"/>
        <w:ind w:firstLine="420" w:firstLineChars="200"/>
        <w:jc w:val="left"/>
        <w:rPr>
          <w:color w:val="auto"/>
          <w:highlight w:val="none"/>
        </w:rPr>
      </w:pPr>
      <w:r>
        <w:rPr>
          <w:rFonts w:hint="eastAsia" w:ascii="宋体" w:hAnsi="宋体"/>
          <w:color w:val="auto"/>
          <w:highlight w:val="none"/>
        </w:rPr>
        <w:t>1.11.6 在</w:t>
      </w:r>
      <w:r>
        <w:rPr>
          <w:rFonts w:hint="eastAsia" w:ascii="宋体" w:hAnsi="宋体"/>
          <w:color w:val="auto"/>
          <w:highlight w:val="none"/>
          <w:lang w:eastAsia="zh-CN"/>
        </w:rPr>
        <w:t>谈判</w:t>
      </w:r>
      <w:r>
        <w:rPr>
          <w:rFonts w:hint="eastAsia" w:ascii="宋体" w:hAnsi="宋体"/>
          <w:color w:val="auto"/>
          <w:highlight w:val="none"/>
        </w:rPr>
        <w:t>过程中，</w:t>
      </w:r>
      <w:r>
        <w:rPr>
          <w:rFonts w:hint="eastAsia" w:ascii="宋体" w:hAnsi="宋体"/>
          <w:color w:val="auto"/>
          <w:highlight w:val="none"/>
          <w:lang w:eastAsia="zh-CN"/>
        </w:rPr>
        <w:t>谈判</w:t>
      </w:r>
      <w:r>
        <w:rPr>
          <w:rFonts w:hint="eastAsia" w:ascii="宋体" w:hAnsi="宋体"/>
          <w:color w:val="auto"/>
          <w:highlight w:val="none"/>
        </w:rPr>
        <w:t>小组若根据</w:t>
      </w:r>
      <w:r>
        <w:rPr>
          <w:rFonts w:hint="eastAsia" w:ascii="宋体" w:hAnsi="宋体"/>
          <w:color w:val="auto"/>
          <w:highlight w:val="none"/>
          <w:lang w:eastAsia="zh-CN"/>
        </w:rPr>
        <w:t>谈判</w:t>
      </w:r>
      <w:r>
        <w:rPr>
          <w:rFonts w:hint="eastAsia" w:ascii="宋体" w:hAnsi="宋体"/>
          <w:color w:val="auto"/>
          <w:highlight w:val="none"/>
        </w:rPr>
        <w:t>文件和</w:t>
      </w:r>
      <w:r>
        <w:rPr>
          <w:rFonts w:hint="eastAsia" w:ascii="宋体" w:hAnsi="宋体"/>
          <w:color w:val="auto"/>
          <w:highlight w:val="none"/>
          <w:lang w:eastAsia="zh-CN"/>
        </w:rPr>
        <w:t>谈判</w:t>
      </w:r>
      <w:r>
        <w:rPr>
          <w:rFonts w:hint="eastAsia" w:ascii="宋体" w:hAnsi="宋体"/>
          <w:color w:val="auto"/>
          <w:highlight w:val="none"/>
        </w:rPr>
        <w:t>情况实质性变动采购需求中的技术、服务要求以及合同草案条款的，供应商据此重新提交的响应文件，也适用本条款。</w:t>
      </w:r>
    </w:p>
    <w:p>
      <w:pPr>
        <w:pStyle w:val="4"/>
        <w:shd w:val="clear"/>
        <w:jc w:val="left"/>
        <w:rPr>
          <w:rFonts w:ascii="黑体" w:hAnsi="宋体"/>
          <w:b w:val="0"/>
          <w:bCs w:val="0"/>
          <w:color w:val="auto"/>
          <w:sz w:val="36"/>
          <w:szCs w:val="36"/>
          <w:highlight w:val="none"/>
        </w:rPr>
      </w:pPr>
      <w:bookmarkStart w:id="41" w:name="_Toc28745"/>
      <w:r>
        <w:rPr>
          <w:rFonts w:hint="eastAsia" w:ascii="黑体" w:hAnsi="宋体"/>
          <w:b w:val="0"/>
          <w:bCs w:val="0"/>
          <w:color w:val="auto"/>
          <w:sz w:val="36"/>
          <w:szCs w:val="36"/>
          <w:highlight w:val="none"/>
        </w:rPr>
        <w:t>2.</w:t>
      </w:r>
      <w:r>
        <w:rPr>
          <w:rFonts w:hint="eastAsia" w:ascii="黑体" w:hAnsi="宋体"/>
          <w:b w:val="0"/>
          <w:bCs w:val="0"/>
          <w:color w:val="auto"/>
          <w:sz w:val="36"/>
          <w:szCs w:val="36"/>
          <w:highlight w:val="none"/>
          <w:lang w:eastAsia="zh-CN"/>
        </w:rPr>
        <w:t>谈判</w:t>
      </w:r>
      <w:r>
        <w:rPr>
          <w:rFonts w:hint="eastAsia" w:ascii="黑体" w:hAnsi="宋体"/>
          <w:b w:val="0"/>
          <w:bCs w:val="0"/>
          <w:color w:val="auto"/>
          <w:sz w:val="36"/>
          <w:szCs w:val="36"/>
          <w:highlight w:val="none"/>
        </w:rPr>
        <w:t>文件</w:t>
      </w:r>
      <w:bookmarkEnd w:id="36"/>
      <w:bookmarkEnd w:id="37"/>
      <w:bookmarkEnd w:id="38"/>
      <w:bookmarkEnd w:id="39"/>
      <w:bookmarkEnd w:id="40"/>
      <w:bookmarkEnd w:id="41"/>
      <w:bookmarkStart w:id="42" w:name="_Toc183682347"/>
      <w:bookmarkStart w:id="43" w:name="_Toc217446039"/>
      <w:bookmarkStart w:id="44" w:name="_Toc183582210"/>
    </w:p>
    <w:p>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 xml:space="preserve">2.1 </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文件的</w:t>
      </w:r>
      <w:bookmarkEnd w:id="42"/>
      <w:bookmarkEnd w:id="43"/>
      <w:bookmarkEnd w:id="44"/>
      <w:r>
        <w:rPr>
          <w:rFonts w:hint="eastAsia" w:ascii="宋体" w:hAnsi="宋体"/>
          <w:b/>
          <w:color w:val="auto"/>
          <w:sz w:val="30"/>
          <w:szCs w:val="30"/>
          <w:highlight w:val="none"/>
        </w:rPr>
        <w:t>组成</w:t>
      </w:r>
    </w:p>
    <w:p>
      <w:pPr>
        <w:shd w:val="clear"/>
        <w:tabs>
          <w:tab w:val="left" w:pos="7665"/>
        </w:tabs>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谈判</w:t>
      </w:r>
      <w:r>
        <w:rPr>
          <w:rFonts w:hint="eastAsia" w:ascii="宋体" w:hAnsi="宋体"/>
          <w:color w:val="auto"/>
          <w:szCs w:val="21"/>
          <w:highlight w:val="none"/>
        </w:rPr>
        <w:t>文件包括以下内容：</w:t>
      </w:r>
    </w:p>
    <w:p>
      <w:pPr>
        <w:shd w:val="clear"/>
        <w:tabs>
          <w:tab w:val="left" w:pos="7665"/>
        </w:tabs>
        <w:spacing w:line="360" w:lineRule="auto"/>
        <w:ind w:firstLine="420" w:firstLineChars="200"/>
        <w:rPr>
          <w:rFonts w:ascii="宋体" w:hAnsi="宋体"/>
          <w:color w:val="auto"/>
          <w:szCs w:val="21"/>
          <w:highlight w:val="none"/>
        </w:rPr>
      </w:pPr>
      <w:bookmarkStart w:id="45" w:name="_Toc183682348"/>
      <w:bookmarkStart w:id="46" w:name="_Toc183582211"/>
      <w:bookmarkStart w:id="47" w:name="_Toc217446040"/>
      <w:r>
        <w:rPr>
          <w:rFonts w:hint="eastAsia" w:ascii="宋体" w:hAnsi="宋体"/>
          <w:color w:val="auto"/>
          <w:szCs w:val="21"/>
          <w:highlight w:val="none"/>
        </w:rPr>
        <w:t>（1）</w:t>
      </w:r>
      <w:r>
        <w:rPr>
          <w:rFonts w:hint="eastAsia" w:ascii="宋体" w:hAnsi="宋体"/>
          <w:color w:val="auto"/>
          <w:szCs w:val="21"/>
          <w:highlight w:val="none"/>
          <w:lang w:eastAsia="zh-CN"/>
        </w:rPr>
        <w:t>竞争性谈判</w:t>
      </w:r>
      <w:r>
        <w:rPr>
          <w:rFonts w:hint="eastAsia" w:ascii="宋体" w:hAnsi="宋体"/>
          <w:color w:val="auto"/>
          <w:szCs w:val="21"/>
          <w:highlight w:val="none"/>
        </w:rPr>
        <w:t>公告；</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（2）供应商须知；</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谈判</w:t>
      </w:r>
      <w:r>
        <w:rPr>
          <w:rFonts w:hint="eastAsia" w:ascii="宋体" w:hAnsi="宋体"/>
          <w:color w:val="auto"/>
          <w:szCs w:val="21"/>
          <w:highlight w:val="none"/>
        </w:rPr>
        <w:t>办法；</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（4）采购内容及要求；</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（5）合同主要条款；</w:t>
      </w:r>
    </w:p>
    <w:p>
      <w:pPr>
        <w:shd w:val="clear"/>
        <w:tabs>
          <w:tab w:val="left" w:pos="7665"/>
        </w:tabs>
        <w:spacing w:line="360" w:lineRule="auto"/>
        <w:ind w:firstLine="420" w:firstLineChars="200"/>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工程建设标准</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）响应文件格式要求。</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根据本章第1.10条款、第2.2条款款对</w:t>
      </w:r>
      <w:r>
        <w:rPr>
          <w:rFonts w:hint="eastAsia" w:ascii="宋体" w:hAnsi="宋体"/>
          <w:color w:val="auto"/>
          <w:szCs w:val="21"/>
          <w:highlight w:val="none"/>
          <w:lang w:eastAsia="zh-CN"/>
        </w:rPr>
        <w:t>谈判</w:t>
      </w:r>
      <w:r>
        <w:rPr>
          <w:rFonts w:hint="eastAsia" w:ascii="宋体" w:hAnsi="宋体"/>
          <w:color w:val="auto"/>
          <w:szCs w:val="21"/>
          <w:highlight w:val="none"/>
        </w:rPr>
        <w:t>文件所作的澄清、修改，构成</w:t>
      </w:r>
      <w:r>
        <w:rPr>
          <w:rFonts w:hint="eastAsia" w:ascii="宋体" w:hAnsi="宋体"/>
          <w:color w:val="auto"/>
          <w:szCs w:val="21"/>
          <w:highlight w:val="none"/>
          <w:lang w:eastAsia="zh-CN"/>
        </w:rPr>
        <w:t>谈判</w:t>
      </w:r>
      <w:r>
        <w:rPr>
          <w:rFonts w:hint="eastAsia" w:ascii="宋体" w:hAnsi="宋体"/>
          <w:color w:val="auto"/>
          <w:szCs w:val="21"/>
          <w:highlight w:val="none"/>
        </w:rPr>
        <w:t>文件的组成部分。</w:t>
      </w:r>
    </w:p>
    <w:p>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 xml:space="preserve">2.2 </w:t>
      </w:r>
      <w:r>
        <w:rPr>
          <w:rFonts w:hint="eastAsia"/>
          <w:b/>
          <w:color w:val="auto"/>
          <w:sz w:val="30"/>
          <w:szCs w:val="30"/>
          <w:highlight w:val="none"/>
          <w:lang w:eastAsia="zh-CN"/>
        </w:rPr>
        <w:t>谈判</w:t>
      </w:r>
      <w:r>
        <w:rPr>
          <w:rFonts w:hint="eastAsia"/>
          <w:b/>
          <w:color w:val="auto"/>
          <w:sz w:val="30"/>
          <w:szCs w:val="30"/>
          <w:highlight w:val="none"/>
        </w:rPr>
        <w:t>文件的澄清</w:t>
      </w:r>
      <w:bookmarkEnd w:id="45"/>
      <w:bookmarkEnd w:id="46"/>
      <w:r>
        <w:rPr>
          <w:rFonts w:hint="eastAsia"/>
          <w:b/>
          <w:color w:val="auto"/>
          <w:sz w:val="30"/>
          <w:szCs w:val="30"/>
          <w:highlight w:val="none"/>
        </w:rPr>
        <w:t>和修改</w:t>
      </w:r>
      <w:bookmarkEnd w:id="47"/>
    </w:p>
    <w:p>
      <w:pPr>
        <w:shd w:val="clear"/>
        <w:tabs>
          <w:tab w:val="left" w:pos="7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在提交首次响应文件截止时间前，采购代理机构无论出于何种原因，可以对</w:t>
      </w:r>
      <w:r>
        <w:rPr>
          <w:rFonts w:hint="eastAsia" w:ascii="宋体" w:hAnsi="宋体"/>
          <w:color w:val="auto"/>
          <w:szCs w:val="21"/>
          <w:highlight w:val="none"/>
          <w:lang w:eastAsia="zh-CN"/>
        </w:rPr>
        <w:t>谈判</w:t>
      </w:r>
      <w:r>
        <w:rPr>
          <w:rFonts w:hint="eastAsia" w:ascii="宋体" w:hAnsi="宋体"/>
          <w:color w:val="auto"/>
          <w:szCs w:val="21"/>
          <w:highlight w:val="none"/>
        </w:rPr>
        <w:t>文件进行澄清或者修改。</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采购人或采购代理机构可以对已发出的</w:t>
      </w:r>
      <w:r>
        <w:rPr>
          <w:rFonts w:hint="eastAsia" w:ascii="宋体" w:hAnsi="宋体"/>
          <w:color w:val="auto"/>
          <w:szCs w:val="21"/>
          <w:highlight w:val="none"/>
          <w:lang w:eastAsia="zh-CN"/>
        </w:rPr>
        <w:t>谈判</w:t>
      </w:r>
      <w:r>
        <w:rPr>
          <w:rFonts w:hint="eastAsia" w:ascii="宋体" w:hAnsi="宋体"/>
          <w:color w:val="auto"/>
          <w:szCs w:val="21"/>
          <w:highlight w:val="none"/>
        </w:rPr>
        <w:t>文件进行必要的澄清或者修改，澄清或修改的内容可能影响响应文件编制的，应当在提交首次响应文件截止时间</w:t>
      </w:r>
      <w:r>
        <w:rPr>
          <w:rFonts w:hint="eastAsia" w:ascii="宋体" w:hAnsi="宋体"/>
          <w:b/>
          <w:color w:val="auto"/>
          <w:szCs w:val="21"/>
          <w:highlight w:val="none"/>
          <w:lang w:val="en-US" w:eastAsia="zh-CN"/>
        </w:rPr>
        <w:t>3</w:t>
      </w:r>
      <w:r>
        <w:rPr>
          <w:rFonts w:hint="eastAsia" w:ascii="宋体" w:hAnsi="宋体"/>
          <w:color w:val="auto"/>
          <w:szCs w:val="21"/>
          <w:highlight w:val="none"/>
        </w:rPr>
        <w:t>日前，以书面形式将澄清或者修改的内容通知所有获取</w:t>
      </w:r>
      <w:r>
        <w:rPr>
          <w:rFonts w:hint="eastAsia" w:ascii="宋体" w:hAnsi="宋体"/>
          <w:color w:val="auto"/>
          <w:szCs w:val="21"/>
          <w:highlight w:val="none"/>
          <w:lang w:eastAsia="zh-CN"/>
        </w:rPr>
        <w:t>谈判</w:t>
      </w:r>
      <w:r>
        <w:rPr>
          <w:rFonts w:hint="eastAsia" w:ascii="宋体" w:hAnsi="宋体"/>
          <w:color w:val="auto"/>
          <w:szCs w:val="21"/>
          <w:highlight w:val="none"/>
        </w:rPr>
        <w:t>文件的供应商，同时在原信息发布媒体上发布变更公告；供应商在收到上述通知后，应立即以书面形式向采购代理机构确认；不足</w:t>
      </w:r>
      <w:r>
        <w:rPr>
          <w:rFonts w:hint="eastAsia" w:ascii="宋体" w:hAnsi="宋体" w:cs="TimesNewRomanPSMT"/>
          <w:b/>
          <w:color w:val="auto"/>
          <w:szCs w:val="21"/>
          <w:highlight w:val="none"/>
          <w:lang w:val="en-US" w:eastAsia="zh-CN"/>
        </w:rPr>
        <w:t>3</w:t>
      </w:r>
      <w:r>
        <w:rPr>
          <w:rFonts w:hint="eastAsia" w:ascii="宋体" w:hAnsi="宋体"/>
          <w:color w:val="auto"/>
          <w:szCs w:val="21"/>
          <w:highlight w:val="none"/>
        </w:rPr>
        <w:t>日的，将相应顺延提交首次响应文件截止时间。</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w:t>
      </w:r>
      <w:r>
        <w:rPr>
          <w:rFonts w:hint="eastAsia" w:ascii="宋体" w:hAnsi="宋体"/>
          <w:bCs/>
          <w:color w:val="auto"/>
          <w:szCs w:val="21"/>
          <w:highlight w:val="none"/>
        </w:rPr>
        <w:t xml:space="preserve">.3 </w:t>
      </w:r>
      <w:r>
        <w:rPr>
          <w:rFonts w:hint="eastAsia" w:ascii="宋体" w:hAnsi="宋体"/>
          <w:color w:val="auto"/>
          <w:szCs w:val="21"/>
          <w:highlight w:val="none"/>
        </w:rPr>
        <w:t>供应商应仔细阅读和检查</w:t>
      </w:r>
      <w:r>
        <w:rPr>
          <w:rFonts w:hint="eastAsia" w:ascii="宋体" w:hAnsi="宋体"/>
          <w:color w:val="auto"/>
          <w:szCs w:val="21"/>
          <w:highlight w:val="none"/>
          <w:lang w:eastAsia="zh-CN"/>
        </w:rPr>
        <w:t>谈判</w:t>
      </w:r>
      <w:r>
        <w:rPr>
          <w:rFonts w:hint="eastAsia" w:ascii="宋体" w:hAnsi="宋体"/>
          <w:color w:val="auto"/>
          <w:szCs w:val="21"/>
          <w:highlight w:val="none"/>
        </w:rPr>
        <w:t>文件的全部内容。如发现缺页或附件不全，应及时向采购代理机构提出，以便补齐。如需对</w:t>
      </w:r>
      <w:r>
        <w:rPr>
          <w:rFonts w:hint="eastAsia" w:ascii="宋体" w:hAnsi="宋体"/>
          <w:color w:val="auto"/>
          <w:szCs w:val="21"/>
          <w:highlight w:val="none"/>
          <w:lang w:eastAsia="zh-CN"/>
        </w:rPr>
        <w:t>谈判</w:t>
      </w:r>
      <w:r>
        <w:rPr>
          <w:rFonts w:hint="eastAsia" w:ascii="宋体" w:hAnsi="宋体"/>
          <w:color w:val="auto"/>
          <w:szCs w:val="21"/>
          <w:highlight w:val="none"/>
        </w:rPr>
        <w:t>文件（除质疑外）需要询问或澄清的，或认为有必要与采购代理机构进行技术交流的，均应在提交首次响应文件截止时间</w:t>
      </w:r>
      <w:r>
        <w:rPr>
          <w:rFonts w:hint="eastAsia" w:ascii="宋体" w:hAnsi="宋体"/>
          <w:b/>
          <w:color w:val="auto"/>
          <w:szCs w:val="21"/>
          <w:highlight w:val="none"/>
        </w:rPr>
        <w:t>3</w:t>
      </w:r>
      <w:r>
        <w:rPr>
          <w:rFonts w:hint="eastAsia" w:ascii="宋体" w:hAnsi="宋体"/>
          <w:color w:val="auto"/>
          <w:szCs w:val="21"/>
          <w:highlight w:val="none"/>
        </w:rPr>
        <w:t>日前按</w:t>
      </w:r>
      <w:r>
        <w:rPr>
          <w:rFonts w:hint="eastAsia" w:ascii="宋体" w:hAnsi="宋体"/>
          <w:color w:val="auto"/>
          <w:szCs w:val="21"/>
          <w:highlight w:val="none"/>
          <w:lang w:eastAsia="zh-CN"/>
        </w:rPr>
        <w:t>谈判</w:t>
      </w:r>
      <w:r>
        <w:rPr>
          <w:rFonts w:hint="eastAsia" w:ascii="宋体" w:hAnsi="宋体"/>
          <w:color w:val="auto"/>
          <w:szCs w:val="21"/>
          <w:highlight w:val="none"/>
        </w:rPr>
        <w:t>文件中的联系方式，以书面形式向采购代理机构提出，采购代理机构应当在</w:t>
      </w:r>
      <w:r>
        <w:rPr>
          <w:rFonts w:hint="eastAsia" w:ascii="宋体" w:hAnsi="宋体"/>
          <w:b/>
          <w:color w:val="auto"/>
          <w:szCs w:val="21"/>
          <w:highlight w:val="none"/>
        </w:rPr>
        <w:t>2</w:t>
      </w:r>
      <w:r>
        <w:rPr>
          <w:rFonts w:hint="eastAsia" w:ascii="宋体" w:hAnsi="宋体"/>
          <w:color w:val="auto"/>
          <w:szCs w:val="21"/>
          <w:highlight w:val="none"/>
        </w:rPr>
        <w:t>日内，以书面形式予以答复（答复中不包括问题的来源），或认为有必要召开答疑会。超过该时间收到的询问或需要澄清的内容，采购代理机构有权不予答复。</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在提交首次响应文件截止时间前，采购代理机构可以视采购具体情况，延长提交首次响应文件截止时间，并将变更时间以书面形式通知所有获取了</w:t>
      </w:r>
      <w:r>
        <w:rPr>
          <w:rFonts w:hint="eastAsia" w:ascii="宋体" w:hAnsi="宋体"/>
          <w:color w:val="auto"/>
          <w:szCs w:val="21"/>
          <w:highlight w:val="none"/>
          <w:lang w:eastAsia="zh-CN"/>
        </w:rPr>
        <w:t>谈判</w:t>
      </w:r>
      <w:r>
        <w:rPr>
          <w:rFonts w:hint="eastAsia" w:ascii="宋体" w:hAnsi="宋体"/>
          <w:color w:val="auto"/>
          <w:szCs w:val="21"/>
          <w:highlight w:val="none"/>
        </w:rPr>
        <w:t>文件的供应商，同时在原信息发布媒体上发布变更公告。</w:t>
      </w:r>
      <w:bookmarkStart w:id="48" w:name="_Toc183682350"/>
      <w:bookmarkStart w:id="49" w:name="_Toc208848971"/>
      <w:bookmarkStart w:id="50" w:name="_Toc183582213"/>
      <w:bookmarkStart w:id="51" w:name="_Toc217446041"/>
    </w:p>
    <w:p>
      <w:pPr>
        <w:shd w:val="clea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w:t>
      </w:r>
      <w:r>
        <w:rPr>
          <w:rFonts w:hint="eastAsia" w:ascii="宋体"/>
          <w:color w:val="auto"/>
          <w:szCs w:val="21"/>
          <w:highlight w:val="none"/>
          <w:lang w:eastAsia="zh-CN"/>
        </w:rPr>
        <w:t>谈判</w:t>
      </w:r>
      <w:r>
        <w:rPr>
          <w:rFonts w:hint="eastAsia" w:ascii="宋体"/>
          <w:color w:val="auto"/>
          <w:szCs w:val="21"/>
          <w:highlight w:val="none"/>
        </w:rPr>
        <w:t>文件的</w:t>
      </w:r>
      <w:r>
        <w:rPr>
          <w:rFonts w:hint="eastAsia" w:ascii="宋体" w:hAnsi="宋体"/>
          <w:color w:val="auto"/>
          <w:szCs w:val="21"/>
          <w:highlight w:val="none"/>
        </w:rPr>
        <w:t>澄清、答复、修改或补充通知与</w:t>
      </w:r>
      <w:r>
        <w:rPr>
          <w:rFonts w:hint="eastAsia" w:ascii="宋体" w:hAnsi="宋体"/>
          <w:color w:val="auto"/>
          <w:szCs w:val="21"/>
          <w:highlight w:val="none"/>
          <w:lang w:eastAsia="zh-CN"/>
        </w:rPr>
        <w:t>谈判</w:t>
      </w:r>
      <w:r>
        <w:rPr>
          <w:rFonts w:hint="eastAsia" w:ascii="宋体" w:hAnsi="宋体"/>
          <w:color w:val="auto"/>
          <w:szCs w:val="21"/>
          <w:highlight w:val="none"/>
        </w:rPr>
        <w:t>文件</w:t>
      </w:r>
      <w:r>
        <w:rPr>
          <w:rFonts w:hint="eastAsia" w:ascii="宋体"/>
          <w:color w:val="auto"/>
          <w:szCs w:val="21"/>
          <w:highlight w:val="none"/>
        </w:rPr>
        <w:t>就同一内容表述不一致时，以最后发出的书面文件内容为准。</w:t>
      </w:r>
    </w:p>
    <w:bookmarkEnd w:id="48"/>
    <w:bookmarkEnd w:id="49"/>
    <w:bookmarkEnd w:id="50"/>
    <w:bookmarkEnd w:id="51"/>
    <w:p>
      <w:pPr>
        <w:pStyle w:val="6"/>
        <w:shd w:val="clear"/>
        <w:spacing w:beforeLines="50" w:afterLines="50" w:line="360" w:lineRule="auto"/>
        <w:ind w:firstLine="0"/>
        <w:outlineLvl w:val="1"/>
        <w:rPr>
          <w:rFonts w:hint="eastAsia" w:ascii="黑体" w:hAnsi="黑体" w:eastAsia="黑体" w:cs="黑体"/>
          <w:b w:val="0"/>
          <w:bCs w:val="0"/>
          <w:color w:val="auto"/>
          <w:sz w:val="36"/>
          <w:szCs w:val="36"/>
          <w:highlight w:val="none"/>
        </w:rPr>
      </w:pPr>
      <w:bookmarkStart w:id="52" w:name="_Toc12418"/>
      <w:bookmarkStart w:id="53" w:name="_Toc77400780"/>
      <w:bookmarkStart w:id="54" w:name="_Toc183582214"/>
      <w:bookmarkStart w:id="55" w:name="_Toc217446042"/>
      <w:bookmarkStart w:id="56" w:name="_Toc183682351"/>
      <w:bookmarkStart w:id="57" w:name="_Toc89075876"/>
      <w:r>
        <w:rPr>
          <w:rFonts w:hint="eastAsia" w:ascii="黑体" w:hAnsi="黑体" w:eastAsia="黑体" w:cs="黑体"/>
          <w:b w:val="0"/>
          <w:bCs w:val="0"/>
          <w:color w:val="auto"/>
          <w:sz w:val="36"/>
          <w:szCs w:val="36"/>
          <w:highlight w:val="none"/>
        </w:rPr>
        <w:t>3.供应商</w:t>
      </w:r>
      <w:bookmarkEnd w:id="52"/>
    </w:p>
    <w:bookmarkEnd w:id="53"/>
    <w:bookmarkEnd w:id="54"/>
    <w:bookmarkEnd w:id="55"/>
    <w:bookmarkEnd w:id="56"/>
    <w:bookmarkEnd w:id="57"/>
    <w:p>
      <w:pPr>
        <w:pStyle w:val="6"/>
        <w:shd w:val="clear"/>
        <w:spacing w:afterLines="50" w:line="360" w:lineRule="auto"/>
        <w:ind w:firstLine="0"/>
        <w:rPr>
          <w:rFonts w:ascii="宋体" w:hAnsi="宋体"/>
          <w:b/>
          <w:color w:val="auto"/>
          <w:sz w:val="30"/>
          <w:szCs w:val="30"/>
          <w:highlight w:val="none"/>
        </w:rPr>
      </w:pPr>
      <w:bookmarkStart w:id="58" w:name="_Toc183682352"/>
      <w:bookmarkStart w:id="59" w:name="_Toc217446043"/>
      <w:bookmarkStart w:id="60" w:name="_Toc183582215"/>
      <w:r>
        <w:rPr>
          <w:rFonts w:hint="eastAsia" w:ascii="宋体" w:hAnsi="宋体"/>
          <w:b/>
          <w:color w:val="auto"/>
          <w:sz w:val="30"/>
          <w:szCs w:val="30"/>
          <w:highlight w:val="none"/>
        </w:rPr>
        <w:t>3.1供应商资格要求</w:t>
      </w:r>
    </w:p>
    <w:p>
      <w:pPr>
        <w:widowControl/>
        <w:shd w:val="clea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 xml:space="preserve">3.1.1 </w:t>
      </w:r>
      <w:r>
        <w:rPr>
          <w:rFonts w:hint="eastAsia" w:ascii="宋体" w:hAnsi="宋体" w:cs="宋体"/>
          <w:color w:val="auto"/>
          <w:kern w:val="0"/>
          <w:szCs w:val="21"/>
          <w:highlight w:val="none"/>
        </w:rPr>
        <w:t>供应商应符合《中华人民共和国政府采购法》第二十二条规定的资格条件，</w:t>
      </w:r>
      <w:r>
        <w:rPr>
          <w:rFonts w:hint="eastAsia" w:ascii="宋体" w:hAnsi="宋体" w:cs="宋体"/>
          <w:color w:val="auto"/>
          <w:kern w:val="0"/>
          <w:szCs w:val="21"/>
          <w:highlight w:val="none"/>
          <w:lang w:val="zh-CN"/>
        </w:rPr>
        <w:t>并按照《政府采购法实施条例》第十七条规定提供下列材料：</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（1）具有独立承担民事责任能力的法人、其他组织或自然人，提供合法有效的统一社会信用代码营业执照（事业单位提供事业单位法人证书，自然人提供身份证明）；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（2）法定代表人/负责人参加谈判的，提供法人/负责人证明书并出示身份证原件；法定代表人/负责人授权他人参加谈判的，提供法定代表人/负责人授权委托书并出示被授权代表的身份证原件；</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（3）具有建设行政主管部门颁发的市政公用工程施工总承包三级（含三级）以上资质并具有有效的安全生产许可证；</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（4）拟派注册建造师：须具有市政公用工程专业贰级（含贰级）以上资格，具有有效的安全生产考核合格证书（B级），且无在建项目；</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（5）财务状况报告：提供供应商2021年经审计的财务报告或在谈判日期前6个月内其基本开户银行出具的资信证明和开户行许可证；</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（6）税收缴纳证明：提供供应商自2022年1月1日以来已缴纳任意时段的纳税凭据或完税证明（任意税种）；依法免税的应提供相关文件证明；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（7）社会保障资金缴纳证明：提供供应商自2022年1月1日以来已缴存的任意时段的社会保障资金缴存单据或社保机构开具的社会保险参保缴费情况证明；依法不需要缴纳社会保障资金的应提供相关文件证明；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（8）供应商具备履行合同所必需的设备及专业技术能力；</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（9）参加本次谈判前3年内，在经营活动中没有重大违法记录的书面声明；</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（10）法定代表人（负责人）为同一人或者存在直接控股、管理关系的不同供应商，不得同时参加本采购项目谈判；</w:t>
      </w:r>
    </w:p>
    <w:p>
      <w:pPr>
        <w:pStyle w:val="2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（11）</w:t>
      </w:r>
      <w:r>
        <w:rPr>
          <w:rFonts w:hint="eastAsia" w:asciiTheme="minorEastAsia" w:hAnsiTheme="minorEastAsia" w:eastAsiaTheme="minorEastAsia" w:cstheme="minorEastAsia"/>
          <w:color w:val="auto"/>
          <w:kern w:val="2"/>
          <w:sz w:val="21"/>
          <w:szCs w:val="21"/>
          <w:lang w:val="en-US" w:eastAsia="zh-CN" w:bidi="ar-SA"/>
        </w:rPr>
        <w:t>本项目为专门面向中小企业项目，供应商应为中型企业、小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shd w:val="clear"/>
        <w:spacing w:line="360" w:lineRule="auto"/>
        <w:ind w:firstLine="420" w:firstLineChars="200"/>
        <w:rPr>
          <w:rFonts w:hint="eastAsia" w:asciiTheme="minorEastAsia" w:hAnsiTheme="minorEastAsia" w:eastAsiaTheme="minorEastAsia" w:cstheme="minorEastAsia"/>
          <w:i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color w:val="auto"/>
          <w:kern w:val="2"/>
          <w:sz w:val="21"/>
          <w:szCs w:val="21"/>
          <w:lang w:val="en-US" w:eastAsia="zh-CN" w:bidi="ar-SA"/>
        </w:rPr>
        <w:t>（12）供应商不得为列入“信用中国”网站(http://www.creditchina.gov.cn)“失信被执行人（页面跳转至“中国执行信息公开网”http://zxgk.court.gov.cn/shixin/）、重大税收违法失信主体、中国政府采购网(www.ccgp.gov.cn)的政府采购严重违法失信行为记录名单。</w:t>
      </w:r>
      <w:r>
        <w:rPr>
          <w:rFonts w:hint="eastAsia" w:asciiTheme="minorEastAsia" w:hAnsiTheme="minorEastAsia" w:eastAsiaTheme="minorEastAsia" w:cstheme="minorEastAsia"/>
          <w:i w:val="0"/>
          <w:caps w:val="0"/>
          <w:color w:val="auto"/>
          <w:spacing w:val="0"/>
          <w:sz w:val="21"/>
          <w:szCs w:val="21"/>
          <w:highlight w:val="none"/>
          <w:shd w:val="clear" w:fill="FFFFFF"/>
        </w:rPr>
        <w:t xml:space="preserve"> </w:t>
      </w:r>
      <w:r>
        <w:rPr>
          <w:rFonts w:hint="eastAsia" w:asciiTheme="minorEastAsia" w:hAnsiTheme="minorEastAsia" w:eastAsiaTheme="minorEastAsia" w:cstheme="minorEastAsia"/>
          <w:i w:val="0"/>
          <w:caps w:val="0"/>
          <w:color w:val="auto"/>
          <w:spacing w:val="0"/>
          <w:sz w:val="21"/>
          <w:szCs w:val="21"/>
          <w:highlight w:val="none"/>
          <w:shd w:val="clear" w:fill="FFFFFF"/>
          <w:lang w:val="en-US" w:eastAsia="zh-CN"/>
        </w:rPr>
        <w:t xml:space="preserve">  </w:t>
      </w:r>
    </w:p>
    <w:p>
      <w:pPr>
        <w:shd w:val="clea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注：以上资格证明材料为必备材料，缺少一项或某项达不到</w:t>
      </w:r>
      <w:r>
        <w:rPr>
          <w:rFonts w:hint="eastAsia" w:ascii="宋体" w:hAnsi="宋体"/>
          <w:b/>
          <w:color w:val="auto"/>
          <w:szCs w:val="21"/>
          <w:highlight w:val="none"/>
          <w:lang w:eastAsia="zh-CN"/>
        </w:rPr>
        <w:t>谈判</w:t>
      </w:r>
      <w:r>
        <w:rPr>
          <w:rFonts w:hint="eastAsia" w:ascii="宋体" w:hAnsi="宋体"/>
          <w:b/>
          <w:color w:val="auto"/>
          <w:szCs w:val="21"/>
          <w:highlight w:val="none"/>
        </w:rPr>
        <w:t>文件要求的，按无效响应文件处理。在响应文件</w:t>
      </w:r>
      <w:r>
        <w:rPr>
          <w:rFonts w:hint="eastAsia" w:ascii="宋体" w:hAnsi="宋体"/>
          <w:b/>
          <w:color w:val="auto"/>
          <w:szCs w:val="21"/>
          <w:highlight w:val="none"/>
          <w:lang w:val="en-US" w:eastAsia="zh-CN"/>
        </w:rPr>
        <w:t>中</w:t>
      </w:r>
      <w:r>
        <w:rPr>
          <w:rFonts w:hint="eastAsia" w:ascii="宋体" w:hAnsi="宋体"/>
          <w:b/>
          <w:color w:val="auto"/>
          <w:szCs w:val="21"/>
          <w:highlight w:val="none"/>
        </w:rPr>
        <w:t>应</w:t>
      </w:r>
      <w:r>
        <w:rPr>
          <w:rFonts w:hint="eastAsia" w:ascii="宋体" w:hAnsi="宋体"/>
          <w:b/>
          <w:color w:val="auto"/>
          <w:szCs w:val="21"/>
          <w:highlight w:val="none"/>
          <w:lang w:val="en-US" w:eastAsia="zh-CN"/>
        </w:rPr>
        <w:t>包含</w:t>
      </w:r>
      <w:r>
        <w:rPr>
          <w:rFonts w:hint="eastAsia" w:ascii="宋体" w:hAnsi="宋体"/>
          <w:b/>
          <w:color w:val="auto"/>
          <w:szCs w:val="21"/>
          <w:highlight w:val="none"/>
        </w:rPr>
        <w:t>以上完整的资格证明材料复印件加盖</w:t>
      </w:r>
      <w:r>
        <w:rPr>
          <w:rFonts w:hint="eastAsia" w:ascii="宋体" w:hAnsi="宋体"/>
          <w:b/>
          <w:color w:val="auto"/>
          <w:szCs w:val="21"/>
          <w:highlight w:val="none"/>
          <w:lang w:eastAsia="zh-CN"/>
        </w:rPr>
        <w:t>供应商</w:t>
      </w:r>
      <w:r>
        <w:rPr>
          <w:rFonts w:hint="eastAsia" w:ascii="宋体" w:hAnsi="宋体"/>
          <w:b/>
          <w:color w:val="auto"/>
          <w:szCs w:val="21"/>
          <w:highlight w:val="none"/>
        </w:rPr>
        <w:t>单位公章。</w:t>
      </w:r>
      <w:r>
        <w:rPr>
          <w:rFonts w:hint="eastAsia" w:ascii="宋体" w:hAnsi="宋体" w:eastAsia="宋体" w:cs="Times New Roman"/>
          <w:b/>
          <w:color w:val="auto"/>
          <w:szCs w:val="21"/>
          <w:highlight w:val="none"/>
        </w:rPr>
        <w:t>资格审查时以</w:t>
      </w:r>
      <w:r>
        <w:rPr>
          <w:rFonts w:hint="eastAsia" w:ascii="宋体" w:hAnsi="宋体" w:eastAsia="宋体" w:cs="Times New Roman"/>
          <w:b/>
          <w:color w:val="auto"/>
          <w:szCs w:val="21"/>
          <w:highlight w:val="none"/>
          <w:lang w:val="en-US" w:eastAsia="zh-CN"/>
        </w:rPr>
        <w:t>响应</w:t>
      </w:r>
      <w:r>
        <w:rPr>
          <w:rFonts w:hint="eastAsia" w:ascii="宋体" w:hAnsi="宋体" w:eastAsia="宋体" w:cs="Times New Roman"/>
          <w:b/>
          <w:color w:val="auto"/>
          <w:szCs w:val="21"/>
          <w:highlight w:val="none"/>
        </w:rPr>
        <w:t>文件中所附证明材料为准（信用记录</w:t>
      </w:r>
      <w:r>
        <w:rPr>
          <w:rFonts w:hint="eastAsia" w:ascii="宋体" w:hAnsi="宋体" w:eastAsia="宋体" w:cs="Times New Roman"/>
          <w:b/>
          <w:color w:val="auto"/>
          <w:szCs w:val="21"/>
          <w:highlight w:val="none"/>
          <w:lang w:val="en-US" w:eastAsia="zh-CN"/>
        </w:rPr>
        <w:t>如无特殊说明</w:t>
      </w:r>
      <w:r>
        <w:rPr>
          <w:rFonts w:hint="eastAsia" w:ascii="宋体" w:hAnsi="宋体" w:eastAsia="宋体" w:cs="Times New Roman"/>
          <w:b/>
          <w:color w:val="auto"/>
          <w:szCs w:val="21"/>
          <w:highlight w:val="none"/>
        </w:rPr>
        <w:t>可不提供，由</w:t>
      </w:r>
      <w:r>
        <w:rPr>
          <w:rFonts w:hint="eastAsia" w:ascii="宋体" w:hAnsi="宋体" w:cs="Times New Roman"/>
          <w:b/>
          <w:color w:val="auto"/>
          <w:szCs w:val="21"/>
          <w:highlight w:val="none"/>
          <w:lang w:val="en-US" w:eastAsia="zh-CN"/>
        </w:rPr>
        <w:t>采购人或</w:t>
      </w:r>
      <w:r>
        <w:rPr>
          <w:rFonts w:hint="eastAsia" w:ascii="宋体" w:hAnsi="宋体" w:eastAsia="宋体" w:cs="Times New Roman"/>
          <w:b/>
          <w:color w:val="auto"/>
          <w:szCs w:val="21"/>
          <w:highlight w:val="none"/>
        </w:rPr>
        <w:t>代理机构</w:t>
      </w:r>
      <w:r>
        <w:rPr>
          <w:rFonts w:hint="eastAsia" w:ascii="宋体" w:hAnsi="宋体" w:eastAsia="宋体" w:cs="Times New Roman"/>
          <w:b/>
          <w:color w:val="auto"/>
          <w:szCs w:val="21"/>
          <w:highlight w:val="none"/>
          <w:lang w:val="en-US" w:eastAsia="zh-CN"/>
        </w:rPr>
        <w:t>现场</w:t>
      </w:r>
      <w:r>
        <w:rPr>
          <w:rFonts w:hint="eastAsia" w:ascii="宋体" w:hAnsi="宋体" w:eastAsia="宋体" w:cs="Times New Roman"/>
          <w:b/>
          <w:color w:val="auto"/>
          <w:szCs w:val="21"/>
          <w:highlight w:val="none"/>
        </w:rPr>
        <w:t>查询并留存）。</w:t>
      </w:r>
    </w:p>
    <w:p>
      <w:pPr>
        <w:spacing w:line="360" w:lineRule="auto"/>
        <w:ind w:firstLine="420" w:firstLineChars="200"/>
        <w:rPr>
          <w:rFonts w:ascii="宋体" w:hAnsi="宋体" w:eastAsiaTheme="minorEastAsia"/>
          <w:color w:val="FF0000"/>
          <w:szCs w:val="21"/>
        </w:rPr>
      </w:pPr>
      <w:r>
        <w:rPr>
          <w:rFonts w:hint="eastAsia" w:asciiTheme="minorEastAsia" w:hAnsiTheme="minorEastAsia" w:eastAsiaTheme="minorEastAsia" w:cstheme="minorEastAsia"/>
          <w:b/>
          <w:bCs/>
          <w:szCs w:val="21"/>
          <w:shd w:val="clear" w:color="auto" w:fill="FFFFFF"/>
        </w:rPr>
        <w:t>采购人或采购代理机构</w:t>
      </w:r>
      <w:r>
        <w:rPr>
          <w:rFonts w:hint="eastAsia" w:asciiTheme="minorEastAsia" w:hAnsiTheme="minorEastAsia" w:eastAsiaTheme="minorEastAsia" w:cstheme="minorEastAsia"/>
          <w:szCs w:val="21"/>
          <w:shd w:val="clear" w:color="auto" w:fill="FFFFFF"/>
        </w:rPr>
        <w:t>将在</w:t>
      </w:r>
      <w:r>
        <w:rPr>
          <w:rFonts w:hint="eastAsia" w:asciiTheme="minorEastAsia" w:hAnsiTheme="minorEastAsia" w:eastAsiaTheme="minorEastAsia" w:cstheme="minorEastAsia"/>
          <w:szCs w:val="21"/>
          <w:shd w:val="clear" w:color="auto" w:fill="FFFFFF"/>
          <w:lang w:val="en-US" w:eastAsia="zh-CN"/>
        </w:rPr>
        <w:t>谈判</w:t>
      </w:r>
      <w:r>
        <w:rPr>
          <w:rFonts w:hint="eastAsia" w:asciiTheme="minorEastAsia" w:hAnsiTheme="minorEastAsia" w:eastAsiaTheme="minorEastAsia" w:cstheme="minorEastAsia"/>
          <w:szCs w:val="21"/>
          <w:shd w:val="clear" w:color="auto" w:fill="FFFFFF"/>
        </w:rPr>
        <w:t>截止日当天资格审查阶段通过【信用中国（www.creditchina.gov.cn）】和【中国政府采购网（www.ccgp.gov.cn）】等网站对供应商的信用情况进行查询，并将网页截图附在评审资料中作为留存依据（如相关失信记录已失效，供应商需提供相关证明资料，若没有则此项不需要提供）。</w:t>
      </w:r>
    </w:p>
    <w:p>
      <w:pPr>
        <w:pStyle w:val="22"/>
        <w:adjustRightInd w:val="0"/>
        <w:spacing w:line="360" w:lineRule="auto"/>
        <w:ind w:firstLine="420" w:firstLineChars="200"/>
        <w:rPr>
          <w:rFonts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备注：</w:t>
      </w:r>
    </w:p>
    <w:p>
      <w:pPr>
        <w:pStyle w:val="22"/>
        <w:adjustRightInd w:val="0"/>
        <w:spacing w:line="360" w:lineRule="auto"/>
        <w:ind w:firstLine="420" w:firstLineChars="200"/>
        <w:rPr>
          <w:rFonts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（1）以上为供应商必备资格要求，资格证明文件无效或缺项，响应文件按无效响应文件处理。</w:t>
      </w:r>
    </w:p>
    <w:p>
      <w:pPr>
        <w:tabs>
          <w:tab w:val="left" w:pos="720"/>
        </w:tabs>
        <w:snapToGrid w:val="0"/>
        <w:spacing w:line="360" w:lineRule="auto"/>
        <w:ind w:firstLine="420" w:firstLineChars="200"/>
        <w:rPr>
          <w:rFonts w:asciiTheme="minorEastAsia" w:hAnsiTheme="minorEastAsia" w:eastAsiaTheme="minorEastAsia" w:cstheme="minorEastAsia"/>
          <w:b/>
          <w:bCs/>
          <w:szCs w:val="21"/>
          <w:shd w:val="clear" w:color="auto" w:fill="FFFFFF"/>
        </w:rPr>
      </w:pPr>
      <w:r>
        <w:rPr>
          <w:rFonts w:hint="eastAsia" w:asciiTheme="minorEastAsia" w:hAnsiTheme="minorEastAsia" w:eastAsiaTheme="minorEastAsia" w:cstheme="minorEastAsia"/>
          <w:b/>
          <w:bCs/>
          <w:szCs w:val="21"/>
          <w:shd w:val="clear" w:color="auto" w:fill="FFFFFF"/>
        </w:rPr>
        <w:t>（2）标明原件的资格条件，响应文件正本中附原件。其它均为复印件并加盖供应商公章。</w:t>
      </w:r>
    </w:p>
    <w:p>
      <w:pPr>
        <w:tabs>
          <w:tab w:val="left" w:pos="720"/>
        </w:tabs>
        <w:snapToGrid w:val="0"/>
        <w:spacing w:line="360" w:lineRule="auto"/>
        <w:ind w:firstLine="420" w:firstLineChars="200"/>
        <w:rPr>
          <w:rFonts w:asciiTheme="minorEastAsia" w:hAnsiTheme="minorEastAsia" w:eastAsiaTheme="minorEastAsia" w:cstheme="minorEastAsia"/>
          <w:b/>
          <w:bCs/>
          <w:szCs w:val="21"/>
          <w:shd w:val="clear" w:color="auto" w:fill="FFFFFF"/>
        </w:rPr>
      </w:pPr>
      <w:r>
        <w:rPr>
          <w:rFonts w:hint="eastAsia" w:asciiTheme="minorEastAsia" w:hAnsiTheme="minorEastAsia" w:eastAsiaTheme="minorEastAsia" w:cstheme="minorEastAsia"/>
          <w:b/>
          <w:bCs/>
          <w:szCs w:val="21"/>
          <w:shd w:val="clear" w:color="auto" w:fill="FFFFFF"/>
        </w:rPr>
        <w:t>（3）依法免税或不需要缴纳社会保障资金的供应商提供相应证明文件；事业单位法人参与磋商可不提供财务状况报告、税收缴纳证明和社会保障资金缴纳证明。</w:t>
      </w:r>
    </w:p>
    <w:p>
      <w:pPr>
        <w:tabs>
          <w:tab w:val="left" w:pos="720"/>
        </w:tabs>
        <w:snapToGrid w:val="0"/>
        <w:spacing w:line="360" w:lineRule="auto"/>
        <w:ind w:firstLine="420" w:firstLineChars="200"/>
        <w:rPr>
          <w:rFonts w:ascii="宋体" w:hAnsi="宋体"/>
          <w:color w:val="FF0000"/>
          <w:szCs w:val="21"/>
        </w:rPr>
      </w:pPr>
      <w:r>
        <w:rPr>
          <w:rFonts w:hint="eastAsia" w:asciiTheme="minorEastAsia" w:hAnsiTheme="minorEastAsia" w:eastAsiaTheme="minorEastAsia" w:cstheme="minorEastAsia"/>
          <w:b/>
          <w:bCs/>
          <w:szCs w:val="21"/>
          <w:shd w:val="clear" w:color="auto" w:fill="FFFFFF"/>
        </w:rPr>
        <w:t>（4）供应商应保证所提供的全部证明材料的真实性，并保证愿意接受由采购人对其所提供材料的真实性的调查和考证。</w:t>
      </w:r>
    </w:p>
    <w:p>
      <w:pPr>
        <w:shd w:val="clear"/>
        <w:tabs>
          <w:tab w:val="left" w:pos="720"/>
        </w:tabs>
        <w:snapToGrid w:val="0"/>
        <w:spacing w:beforeLines="50" w:afterLines="50" w:line="360" w:lineRule="auto"/>
        <w:rPr>
          <w:rFonts w:ascii="宋体" w:hAnsi="宋体"/>
          <w:color w:val="auto"/>
          <w:szCs w:val="21"/>
          <w:highlight w:val="none"/>
        </w:rPr>
      </w:pPr>
      <w:r>
        <w:rPr>
          <w:rFonts w:hint="eastAsia" w:hAnsi="宋体"/>
          <w:b/>
          <w:color w:val="auto"/>
          <w:sz w:val="30"/>
          <w:szCs w:val="30"/>
          <w:highlight w:val="none"/>
        </w:rPr>
        <w:t>3.2</w:t>
      </w:r>
      <w:r>
        <w:rPr>
          <w:rFonts w:hint="eastAsia" w:hAnsi="宋体"/>
          <w:b/>
          <w:bCs/>
          <w:color w:val="auto"/>
          <w:sz w:val="30"/>
          <w:szCs w:val="30"/>
          <w:highlight w:val="none"/>
        </w:rPr>
        <w:t>授权委托</w:t>
      </w:r>
    </w:p>
    <w:p>
      <w:pPr>
        <w:pStyle w:val="18"/>
        <w:shd w:val="clear"/>
        <w:adjustRightInd w:val="0"/>
        <w:snapToGrid w:val="0"/>
        <w:spacing w:line="360" w:lineRule="auto"/>
        <w:ind w:firstLine="525" w:firstLineChars="250"/>
        <w:rPr>
          <w:color w:val="auto"/>
          <w:highlight w:val="none"/>
        </w:rPr>
      </w:pPr>
      <w:r>
        <w:rPr>
          <w:rFonts w:hint="eastAsia"/>
          <w:color w:val="auto"/>
          <w:highlight w:val="none"/>
        </w:rPr>
        <w:t>3.2.1供应商代表为法定代表人（单位负责人）的，应持有法定代表人（单位负责人）身份证明。供应商代表不是法定代表人（单位负责人）的，应持有法定代表人（单位负责人）授权委托书。</w:t>
      </w:r>
    </w:p>
    <w:p>
      <w:pPr>
        <w:pStyle w:val="18"/>
        <w:shd w:val="clear"/>
        <w:adjustRightInd w:val="0"/>
        <w:snapToGrid w:val="0"/>
        <w:spacing w:line="360" w:lineRule="auto"/>
        <w:ind w:firstLine="525" w:firstLineChars="250"/>
        <w:rPr>
          <w:color w:val="auto"/>
          <w:kern w:val="0"/>
          <w:highlight w:val="none"/>
        </w:rPr>
      </w:pPr>
      <w:r>
        <w:rPr>
          <w:rFonts w:hint="eastAsia"/>
          <w:color w:val="auto"/>
          <w:highlight w:val="none"/>
        </w:rPr>
        <w:t>3.2</w:t>
      </w:r>
      <w:r>
        <w:rPr>
          <w:color w:val="auto"/>
          <w:kern w:val="0"/>
          <w:highlight w:val="none"/>
        </w:rPr>
        <w:t>.2</w:t>
      </w:r>
      <w:r>
        <w:rPr>
          <w:rFonts w:hint="eastAsia"/>
          <w:color w:val="auto"/>
          <w:kern w:val="0"/>
          <w:highlight w:val="none"/>
        </w:rPr>
        <w:t>供应商</w:t>
      </w:r>
      <w:r>
        <w:rPr>
          <w:color w:val="auto"/>
          <w:kern w:val="0"/>
          <w:highlight w:val="none"/>
        </w:rPr>
        <w:t>应</w:t>
      </w:r>
      <w:r>
        <w:rPr>
          <w:rFonts w:hint="eastAsia"/>
          <w:color w:val="auto"/>
          <w:kern w:val="0"/>
          <w:highlight w:val="none"/>
        </w:rPr>
        <w:t>当</w:t>
      </w:r>
      <w:r>
        <w:rPr>
          <w:color w:val="auto"/>
          <w:kern w:val="0"/>
          <w:highlight w:val="none"/>
        </w:rPr>
        <w:t>委托本单位正式员工</w:t>
      </w:r>
      <w:r>
        <w:rPr>
          <w:rFonts w:hint="eastAsia"/>
          <w:color w:val="auto"/>
          <w:kern w:val="0"/>
          <w:highlight w:val="none"/>
        </w:rPr>
        <w:t>作为</w:t>
      </w:r>
      <w:r>
        <w:rPr>
          <w:rFonts w:hint="eastAsia"/>
          <w:color w:val="auto"/>
          <w:kern w:val="0"/>
          <w:highlight w:val="none"/>
          <w:lang w:eastAsia="zh-CN"/>
        </w:rPr>
        <w:t>谈判</w:t>
      </w:r>
      <w:r>
        <w:rPr>
          <w:rFonts w:hint="eastAsia"/>
          <w:color w:val="auto"/>
          <w:kern w:val="0"/>
          <w:highlight w:val="none"/>
        </w:rPr>
        <w:t>代表，且</w:t>
      </w:r>
      <w:r>
        <w:rPr>
          <w:rFonts w:hint="eastAsia"/>
          <w:color w:val="auto"/>
          <w:kern w:val="0"/>
          <w:highlight w:val="none"/>
          <w:lang w:eastAsia="zh-CN"/>
        </w:rPr>
        <w:t>谈判</w:t>
      </w:r>
      <w:r>
        <w:rPr>
          <w:color w:val="auto"/>
          <w:kern w:val="0"/>
          <w:highlight w:val="none"/>
        </w:rPr>
        <w:t>代表只能接受一个</w:t>
      </w:r>
      <w:r>
        <w:rPr>
          <w:rFonts w:hint="eastAsia"/>
          <w:color w:val="auto"/>
          <w:kern w:val="0"/>
          <w:highlight w:val="none"/>
        </w:rPr>
        <w:t>供应商</w:t>
      </w:r>
      <w:r>
        <w:rPr>
          <w:color w:val="auto"/>
          <w:kern w:val="0"/>
          <w:highlight w:val="none"/>
        </w:rPr>
        <w:t>的委托参加</w:t>
      </w:r>
      <w:r>
        <w:rPr>
          <w:rFonts w:hint="eastAsia"/>
          <w:color w:val="auto"/>
          <w:kern w:val="0"/>
          <w:highlight w:val="none"/>
          <w:lang w:eastAsia="zh-CN"/>
        </w:rPr>
        <w:t>谈判</w:t>
      </w:r>
      <w:r>
        <w:rPr>
          <w:color w:val="auto"/>
          <w:kern w:val="0"/>
          <w:highlight w:val="none"/>
        </w:rPr>
        <w:t>。</w:t>
      </w:r>
    </w:p>
    <w:p>
      <w:pPr>
        <w:pStyle w:val="18"/>
        <w:shd w:val="clear"/>
        <w:adjustRightInd w:val="0"/>
        <w:snapToGrid w:val="0"/>
        <w:spacing w:beforeLines="50" w:afterLines="50" w:line="360" w:lineRule="auto"/>
        <w:ind w:left="-178" w:leftChars="-85" w:firstLine="219" w:firstLineChars="73"/>
        <w:rPr>
          <w:rFonts w:hint="eastAsia" w:eastAsia="宋体"/>
          <w:color w:val="auto"/>
          <w:kern w:val="0"/>
          <w:sz w:val="30"/>
          <w:szCs w:val="30"/>
          <w:highlight w:val="none"/>
          <w:lang w:eastAsia="zh-CN"/>
        </w:rPr>
      </w:pPr>
      <w:r>
        <w:rPr>
          <w:rFonts w:hint="eastAsia" w:hAnsi="宋体"/>
          <w:b/>
          <w:color w:val="auto"/>
          <w:sz w:val="30"/>
          <w:szCs w:val="30"/>
          <w:highlight w:val="none"/>
        </w:rPr>
        <w:t>3.3联合体</w:t>
      </w:r>
      <w:r>
        <w:rPr>
          <w:rFonts w:hint="eastAsia" w:hAnsi="宋体"/>
          <w:b/>
          <w:color w:val="auto"/>
          <w:sz w:val="30"/>
          <w:szCs w:val="30"/>
          <w:highlight w:val="none"/>
          <w:lang w:eastAsia="zh-CN"/>
        </w:rPr>
        <w:t>谈判</w:t>
      </w:r>
    </w:p>
    <w:p>
      <w:pPr>
        <w:shd w:val="clear"/>
        <w:tabs>
          <w:tab w:val="left" w:pos="7665"/>
        </w:tabs>
        <w:spacing w:line="360" w:lineRule="auto"/>
        <w:ind w:left="12" w:leftChars="6" w:firstLine="411" w:firstLineChars="196"/>
        <w:rPr>
          <w:rFonts w:ascii="宋体" w:hAnsi="宋体"/>
          <w:color w:val="auto"/>
          <w:szCs w:val="21"/>
          <w:highlight w:val="none"/>
        </w:rPr>
      </w:pPr>
      <w:r>
        <w:rPr>
          <w:rFonts w:hint="eastAsia" w:ascii="宋体" w:hAnsi="宋体"/>
          <w:color w:val="auto"/>
          <w:szCs w:val="21"/>
          <w:highlight w:val="none"/>
        </w:rPr>
        <w:t>本项目不允许联合投标。</w:t>
      </w:r>
    </w:p>
    <w:p>
      <w:pPr>
        <w:adjustRightInd w:val="0"/>
        <w:snapToGrid w:val="0"/>
        <w:spacing w:before="120" w:beforeLines="50" w:after="120" w:afterLines="50" w:line="360" w:lineRule="auto"/>
        <w:jc w:val="left"/>
        <w:rPr>
          <w:rFonts w:ascii="宋体" w:hAnsi="宋体"/>
          <w:b/>
          <w:sz w:val="30"/>
          <w:szCs w:val="30"/>
        </w:rPr>
      </w:pPr>
      <w:r>
        <w:rPr>
          <w:rFonts w:hint="eastAsia" w:ascii="宋体" w:hAnsi="宋体"/>
          <w:b/>
          <w:sz w:val="30"/>
          <w:szCs w:val="30"/>
        </w:rPr>
        <w:t>3.4享受的政府采购政策</w:t>
      </w:r>
    </w:p>
    <w:p>
      <w:pPr>
        <w:spacing w:line="360" w:lineRule="auto"/>
        <w:ind w:firstLine="420" w:firstLineChars="200"/>
        <w:rPr>
          <w:rFonts w:ascii="宋体" w:hAnsi="宋体" w:cs="宋体"/>
          <w:b/>
          <w:bCs/>
          <w:szCs w:val="21"/>
        </w:rPr>
      </w:pPr>
      <w:r>
        <w:rPr>
          <w:rFonts w:hint="eastAsia" w:ascii="宋体" w:hAnsi="宋体" w:cs="宋体"/>
          <w:b/>
          <w:bCs/>
          <w:szCs w:val="21"/>
        </w:rPr>
        <w:t>3.4.1落实促进支持中小企业、监狱企业、残疾人福利性单位发展、脱贫攻坚工作的政策(如为专门面向中小企业的采购项目（或采购包），不执行3.4.1.1，3.4.1.2，3.4.1.3条款。)</w:t>
      </w:r>
    </w:p>
    <w:p>
      <w:pPr>
        <w:spacing w:line="360" w:lineRule="auto"/>
        <w:ind w:firstLine="420" w:firstLineChars="200"/>
        <w:rPr>
          <w:rFonts w:ascii="宋体" w:hAnsi="宋体" w:cs="宋体"/>
          <w:b/>
          <w:bCs/>
          <w:szCs w:val="21"/>
        </w:rPr>
      </w:pPr>
      <w:r>
        <w:rPr>
          <w:rFonts w:hint="eastAsia" w:ascii="宋体" w:hAnsi="宋体" w:cs="宋体"/>
          <w:b/>
          <w:bCs/>
          <w:szCs w:val="21"/>
        </w:rPr>
        <w:t>3.4.1.1 《政府采购促进中小企业发展管理办法》（财库〔2020〕46号）</w:t>
      </w:r>
    </w:p>
    <w:p>
      <w:pPr>
        <w:spacing w:line="360" w:lineRule="auto"/>
        <w:ind w:firstLine="420" w:firstLineChars="200"/>
        <w:rPr>
          <w:rFonts w:ascii="宋体" w:hAnsi="宋体" w:cs="宋体"/>
          <w:szCs w:val="21"/>
        </w:rPr>
      </w:pPr>
      <w:r>
        <w:rPr>
          <w:rFonts w:hint="eastAsia" w:ascii="宋体" w:hAnsi="宋体" w:cs="宋体"/>
          <w:szCs w:val="21"/>
        </w:rPr>
        <w:t>在政府采购活动中，供应商提供的货物、工程或者服务符合下列情形的，享受《办法》规定的中小企业扶持政策：</w:t>
      </w:r>
    </w:p>
    <w:p>
      <w:pPr>
        <w:spacing w:line="360" w:lineRule="auto"/>
        <w:ind w:firstLine="420" w:firstLineChars="200"/>
        <w:rPr>
          <w:rFonts w:ascii="宋体" w:hAnsi="宋体" w:cs="宋体"/>
          <w:szCs w:val="21"/>
        </w:rPr>
      </w:pPr>
      <w:r>
        <w:rPr>
          <w:rFonts w:hint="eastAsia" w:ascii="宋体" w:hAnsi="宋体" w:cs="宋体"/>
          <w:szCs w:val="21"/>
        </w:rPr>
        <w:t>(一)在货物采购项目中，货物由中小企业制造，即货物由中小企业生产且使用该中小企业商号或者注册商标；</w:t>
      </w:r>
    </w:p>
    <w:p>
      <w:pPr>
        <w:spacing w:line="360" w:lineRule="auto"/>
        <w:ind w:firstLine="420" w:firstLineChars="200"/>
        <w:rPr>
          <w:rFonts w:ascii="宋体" w:hAnsi="宋体" w:cs="宋体"/>
          <w:szCs w:val="21"/>
        </w:rPr>
      </w:pPr>
      <w:r>
        <w:rPr>
          <w:rFonts w:hint="eastAsia" w:ascii="宋体" w:hAnsi="宋体" w:cs="宋体"/>
          <w:szCs w:val="21"/>
        </w:rPr>
        <w:t>(二)在工程采购项目中，工程由中小企业承建，即工程施工单位为中小企业；</w:t>
      </w:r>
    </w:p>
    <w:p>
      <w:pPr>
        <w:spacing w:line="360" w:lineRule="auto"/>
        <w:ind w:firstLine="420" w:firstLineChars="200"/>
        <w:rPr>
          <w:rFonts w:ascii="宋体" w:hAnsi="宋体" w:cs="宋体"/>
          <w:szCs w:val="21"/>
        </w:rPr>
      </w:pPr>
      <w:r>
        <w:rPr>
          <w:rFonts w:hint="eastAsia" w:ascii="宋体" w:hAnsi="宋体" w:cs="宋体"/>
          <w:szCs w:val="21"/>
        </w:rPr>
        <w:t>(三)在服务采购项目中，服务由中小企业承接，即提供服务的人员为中小企业依照《中华人民共和国劳动法》订立劳动合同的从业人员。</w:t>
      </w:r>
    </w:p>
    <w:p>
      <w:pPr>
        <w:spacing w:line="360" w:lineRule="auto"/>
        <w:ind w:firstLine="420" w:firstLineChars="200"/>
        <w:rPr>
          <w:rFonts w:ascii="宋体" w:hAnsi="宋体" w:cs="宋体"/>
          <w:szCs w:val="21"/>
        </w:rPr>
      </w:pPr>
      <w:r>
        <w:rPr>
          <w:rFonts w:hint="eastAsia" w:ascii="宋体" w:hAnsi="宋体" w:cs="宋体"/>
          <w:szCs w:val="21"/>
        </w:rPr>
        <w:t>在货物采购项目中，供应商提供的货物既有中小企业制造货物，也有大型企业制造货物的，不享受《办法》规定的中小企业扶持政策。</w:t>
      </w:r>
    </w:p>
    <w:p>
      <w:pPr>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szCs w:val="21"/>
        </w:rPr>
      </w:pPr>
      <w:r>
        <w:rPr>
          <w:rFonts w:hint="eastAsia" w:ascii="宋体" w:hAnsi="宋体" w:cs="宋体"/>
          <w:szCs w:val="21"/>
        </w:rPr>
        <w:t>依据《办法》规定享受扶持政策获得政府采购合同的，小微企业不得将合同分包给大中型企业，中型企业不得将合同分包给大型企业。</w:t>
      </w:r>
    </w:p>
    <w:p>
      <w:pPr>
        <w:spacing w:line="360" w:lineRule="auto"/>
        <w:ind w:firstLine="420" w:firstLineChars="200"/>
        <w:rPr>
          <w:rFonts w:ascii="宋体" w:hAnsi="宋体" w:cs="宋体"/>
          <w:szCs w:val="21"/>
        </w:rPr>
      </w:pPr>
      <w:r>
        <w:rPr>
          <w:rFonts w:hint="eastAsia" w:ascii="宋体" w:hAnsi="宋体" w:cs="宋体"/>
          <w:szCs w:val="21"/>
        </w:rPr>
        <w:t>根据《政府采购促进中小企业发展管理办法》的通知（财库〔2020〕46号）规定，参加政府采购活动的中小企业应当提供《中小企业声明函》。供应商提供的《中小企业声明函》原件必须真实，否则，按照有关规定予以处理。</w:t>
      </w:r>
    </w:p>
    <w:p>
      <w:pPr>
        <w:spacing w:line="360" w:lineRule="auto"/>
        <w:ind w:firstLine="420" w:firstLineChars="200"/>
        <w:rPr>
          <w:rFonts w:ascii="宋体" w:hAnsi="宋体" w:cs="宋体"/>
          <w:szCs w:val="21"/>
        </w:rPr>
      </w:pPr>
      <w:r>
        <w:rPr>
          <w:rFonts w:hint="eastAsia" w:ascii="宋体" w:hAnsi="宋体" w:cs="宋体"/>
          <w:szCs w:val="21"/>
        </w:rPr>
        <w:t>根据《政府采购促进中小企业发展管理办法》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line="360" w:lineRule="auto"/>
        <w:ind w:firstLine="420" w:firstLineChars="200"/>
        <w:rPr>
          <w:rFonts w:ascii="宋体" w:hAnsi="宋体" w:cs="宋体"/>
          <w:szCs w:val="21"/>
        </w:rPr>
      </w:pP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360" w:lineRule="auto"/>
        <w:ind w:firstLine="420" w:firstLineChars="200"/>
        <w:rPr>
          <w:rFonts w:ascii="宋体" w:hAnsi="宋体" w:cs="宋体"/>
          <w:b/>
          <w:bCs/>
          <w:szCs w:val="21"/>
        </w:rPr>
      </w:pPr>
      <w:r>
        <w:rPr>
          <w:rFonts w:hint="eastAsia" w:ascii="宋体" w:hAnsi="宋体" w:cs="宋体"/>
          <w:b/>
          <w:bCs/>
          <w:szCs w:val="21"/>
        </w:rPr>
        <w:t xml:space="preserve">3.4.1.2 《财政部 司法部关于政府采购支持监狱企业发展有关问题的通知》（财库〔2014〕68号） </w:t>
      </w:r>
    </w:p>
    <w:p>
      <w:pPr>
        <w:spacing w:line="360" w:lineRule="auto"/>
        <w:ind w:firstLine="420" w:firstLineChars="200"/>
        <w:rPr>
          <w:rFonts w:ascii="宋体" w:hAnsi="宋体" w:cs="宋体"/>
          <w:szCs w:val="21"/>
        </w:rPr>
      </w:pPr>
      <w:r>
        <w:rPr>
          <w:rFonts w:hint="eastAsia" w:ascii="宋体" w:hAnsi="宋体" w:cs="宋体"/>
          <w:szCs w:val="21"/>
        </w:rPr>
        <w:t>监狱企业参加政府采购活动时，应当提供由省级以上监狱管理局、戒毒管理局（含新疆生产建设兵团）出具的属于监狱企业的证明文件。在政府采购活动中，监狱企业视同小型、微型企业。</w:t>
      </w:r>
    </w:p>
    <w:p>
      <w:pPr>
        <w:spacing w:line="360" w:lineRule="auto"/>
        <w:ind w:firstLine="420" w:firstLineChars="200"/>
        <w:rPr>
          <w:rFonts w:ascii="宋体" w:hAnsi="宋体" w:cs="宋体"/>
          <w:szCs w:val="21"/>
        </w:rPr>
      </w:pPr>
      <w:r>
        <w:rPr>
          <w:rFonts w:hint="eastAsia" w:ascii="宋体" w:hAnsi="宋体" w:cs="宋体"/>
          <w:b/>
          <w:bCs/>
          <w:szCs w:val="21"/>
        </w:rPr>
        <w:t>3.4.1.3 《三部门联合发布关于促进残疾人就业政府采购政策的通知》（财库〔2017〕141号）；</w:t>
      </w:r>
    </w:p>
    <w:p>
      <w:pPr>
        <w:spacing w:line="360" w:lineRule="auto"/>
        <w:ind w:firstLine="420" w:firstLineChars="200"/>
        <w:rPr>
          <w:rFonts w:ascii="宋体" w:hAnsi="宋体" w:cs="宋体"/>
          <w:b/>
          <w:bCs/>
          <w:szCs w:val="21"/>
        </w:rPr>
      </w:pPr>
      <w:r>
        <w:rPr>
          <w:rFonts w:hint="eastAsia" w:ascii="宋体" w:hAnsi="宋体" w:cs="宋体"/>
          <w:szCs w:val="21"/>
        </w:rPr>
        <w:t>符合条件的残疾人福利性单位在参加政府采购活动时，应当提供本通知规定的《残疾人福利性单位声明函》，并对声明的真实性负责。在政府采购活动中，残疾人福利性单位视同小型、微型企业，享受预留份额。</w:t>
      </w:r>
    </w:p>
    <w:p>
      <w:pPr>
        <w:adjustRightInd w:val="0"/>
        <w:snapToGrid w:val="0"/>
        <w:spacing w:line="360" w:lineRule="auto"/>
        <w:ind w:firstLine="630" w:firstLineChars="300"/>
        <w:rPr>
          <w:rFonts w:ascii="宋体" w:hAnsi="宋体" w:cs="宋体"/>
          <w:b/>
          <w:bCs/>
          <w:szCs w:val="21"/>
        </w:rPr>
      </w:pPr>
      <w:r>
        <w:rPr>
          <w:rFonts w:hint="eastAsia" w:ascii="宋体" w:hAnsi="宋体" w:cs="宋体"/>
          <w:b/>
          <w:bCs/>
          <w:szCs w:val="21"/>
        </w:rPr>
        <w:t>3.4.1.4</w:t>
      </w:r>
      <w:r>
        <w:rPr>
          <w:rFonts w:hint="eastAsia"/>
          <w:b/>
          <w:bCs/>
          <w:szCs w:val="22"/>
        </w:rPr>
        <w:t>《财政部国务院扶贫办关于运用政府采购政策支持脱贫攻坚的通知》--（财库〔2019〕27号）</w:t>
      </w:r>
    </w:p>
    <w:p>
      <w:pPr>
        <w:spacing w:line="360" w:lineRule="auto"/>
        <w:ind w:firstLine="420" w:firstLineChars="200"/>
        <w:rPr>
          <w:rFonts w:ascii="宋体" w:hAnsi="宋体" w:cs="宋体"/>
          <w:szCs w:val="21"/>
        </w:rPr>
      </w:pPr>
      <w:r>
        <w:rPr>
          <w:rFonts w:hint="eastAsia" w:ascii="宋体" w:hAnsi="宋体" w:cs="宋体"/>
          <w:szCs w:val="21"/>
        </w:rPr>
        <w:t>《财政部国务院扶贫办关于运用政府采购政策支持脱贫攻坚的通知》--（财库〔2019〕27号）各级预算单位采购农副产品的，同等条件下应优先采购贫困地区农副产品。贫困地区农副产品是指832个国家级贫困县域内注册的企业、农民专业合作社、家庭农场等出产的农副产品。</w:t>
      </w:r>
    </w:p>
    <w:p>
      <w:pPr>
        <w:spacing w:line="360" w:lineRule="auto"/>
        <w:ind w:firstLine="420" w:firstLineChars="200"/>
        <w:rPr>
          <w:rFonts w:ascii="宋体" w:hAnsi="宋体" w:cs="宋体"/>
          <w:b/>
          <w:bCs/>
          <w:szCs w:val="21"/>
        </w:rPr>
      </w:pPr>
      <w:r>
        <w:rPr>
          <w:rFonts w:hint="eastAsia" w:ascii="宋体" w:hAnsi="宋体" w:cs="宋体"/>
          <w:szCs w:val="21"/>
        </w:rPr>
        <w:t>各级预算单位使用财政性资金采购物业服务的，有条件的应当优先采购注册地在832个国家级贫困县域内，且聘用建档立卡贫困人员物业公司提供的物业服务。</w:t>
      </w:r>
    </w:p>
    <w:p>
      <w:pPr>
        <w:spacing w:line="360" w:lineRule="auto"/>
        <w:ind w:firstLine="420" w:firstLineChars="200"/>
        <w:rPr>
          <w:rFonts w:ascii="宋体" w:hAnsi="宋体" w:cs="宋体"/>
          <w:b/>
          <w:bCs/>
          <w:szCs w:val="21"/>
        </w:rPr>
      </w:pPr>
      <w:r>
        <w:rPr>
          <w:rFonts w:hint="eastAsia" w:ascii="宋体" w:hAnsi="宋体" w:cs="宋体"/>
          <w:b/>
          <w:bCs/>
          <w:szCs w:val="21"/>
        </w:rPr>
        <w:t>3.4.2落实优先采购节能、环保产品的政策</w:t>
      </w:r>
    </w:p>
    <w:p>
      <w:pPr>
        <w:spacing w:line="360" w:lineRule="auto"/>
        <w:ind w:firstLine="420" w:firstLineChars="200"/>
        <w:rPr>
          <w:rFonts w:ascii="宋体" w:hAnsi="宋体" w:cs="宋体"/>
          <w:szCs w:val="21"/>
        </w:rPr>
      </w:pPr>
      <w:r>
        <w:rPr>
          <w:rFonts w:hint="eastAsia" w:ascii="宋体" w:hAnsi="宋体" w:cs="宋体"/>
          <w:szCs w:val="21"/>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20" w:firstLineChars="200"/>
        <w:rPr>
          <w:rFonts w:ascii="宋体" w:hAnsi="宋体" w:cs="宋体"/>
          <w:szCs w:val="21"/>
        </w:rPr>
      </w:pPr>
      <w:r>
        <w:rPr>
          <w:rFonts w:hint="eastAsia" w:ascii="宋体" w:hAnsi="宋体" w:cs="宋体"/>
          <w:szCs w:val="21"/>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20" w:firstLineChars="200"/>
        <w:rPr>
          <w:rFonts w:ascii="宋体" w:hAnsi="宋体" w:cs="宋体"/>
          <w:szCs w:val="21"/>
        </w:rPr>
      </w:pPr>
      <w:r>
        <w:rPr>
          <w:rFonts w:hint="eastAsia" w:ascii="宋体" w:hAnsi="宋体" w:cs="宋体"/>
          <w:szCs w:val="21"/>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pacing w:line="360" w:lineRule="auto"/>
        <w:ind w:firstLine="420" w:firstLineChars="200"/>
        <w:rPr>
          <w:rFonts w:ascii="宋体" w:hAnsi="宋体" w:cs="宋体"/>
          <w:szCs w:val="21"/>
        </w:rPr>
      </w:pPr>
      <w:r>
        <w:rPr>
          <w:rFonts w:hint="eastAsia" w:ascii="宋体" w:hAnsi="宋体" w:cs="宋体"/>
          <w:szCs w:val="21"/>
        </w:rPr>
        <w:t>3.4.2.4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20" w:firstLineChars="200"/>
        <w:rPr>
          <w:rFonts w:ascii="宋体" w:hAnsi="宋体" w:cs="宋体"/>
          <w:szCs w:val="21"/>
        </w:rPr>
      </w:pPr>
      <w:r>
        <w:rPr>
          <w:rFonts w:hint="eastAsia" w:ascii="宋体" w:hAnsi="宋体" w:cs="宋体"/>
          <w:szCs w:val="21"/>
        </w:rPr>
        <w:t>所有投标产品进入 “节能产品政府采购品目清单”的，应提供相关证书复印件，相关证书的颁发机构应来自《参与实施政府采购节能产品认证机构名录》。</w:t>
      </w:r>
    </w:p>
    <w:p>
      <w:pPr>
        <w:spacing w:line="360" w:lineRule="auto"/>
        <w:ind w:firstLine="420" w:firstLineChars="200"/>
        <w:rPr>
          <w:rFonts w:ascii="宋体" w:hAnsi="宋体" w:cs="宋体"/>
          <w:b/>
          <w:bCs/>
          <w:szCs w:val="21"/>
        </w:rPr>
      </w:pPr>
      <w:r>
        <w:rPr>
          <w:rFonts w:hint="eastAsia" w:ascii="宋体" w:hAnsi="宋体" w:cs="宋体"/>
          <w:szCs w:val="21"/>
        </w:rPr>
        <w:t>所有投标产品进入“环境标志产品政府采购品目清单”的，应提供相关证书复印件，相关证书的颁发机构应来自《参与实施政府采购环境标志产品认证机构名录》。</w:t>
      </w:r>
    </w:p>
    <w:p>
      <w:pPr>
        <w:spacing w:line="360" w:lineRule="auto"/>
        <w:ind w:firstLine="420" w:firstLineChars="200"/>
        <w:rPr>
          <w:rFonts w:ascii="宋体" w:hAnsi="宋体" w:cs="宋体"/>
          <w:b/>
          <w:bCs/>
          <w:szCs w:val="21"/>
        </w:rPr>
      </w:pPr>
      <w:r>
        <w:rPr>
          <w:rFonts w:hint="eastAsia" w:ascii="宋体" w:hAnsi="宋体" w:cs="宋体"/>
          <w:szCs w:val="21"/>
        </w:rPr>
        <w:t>3.4.2.5</w:t>
      </w:r>
      <w:r>
        <w:rPr>
          <w:rFonts w:hint="eastAsia"/>
        </w:rPr>
        <w:t xml:space="preserve"> </w:t>
      </w:r>
      <w:r>
        <w:rPr>
          <w:rFonts w:hint="eastAsia" w:ascii="宋体" w:hAnsi="宋体"/>
          <w:szCs w:val="21"/>
        </w:rPr>
        <w:t xml:space="preserve"> </w:t>
      </w:r>
      <w:r>
        <w:rPr>
          <w:rFonts w:hint="eastAsia"/>
        </w:rPr>
        <w:t>享受中小企业扶持政策的供应商，可以同时享受节能产品、环境标志产品优先采购政策。</w:t>
      </w:r>
    </w:p>
    <w:p>
      <w:pPr>
        <w:spacing w:line="360" w:lineRule="auto"/>
        <w:ind w:firstLine="420" w:firstLineChars="200"/>
        <w:rPr>
          <w:rFonts w:ascii="宋体" w:hAnsi="宋体" w:cs="宋体"/>
          <w:b/>
          <w:bCs/>
          <w:szCs w:val="21"/>
        </w:rPr>
      </w:pPr>
      <w:r>
        <w:rPr>
          <w:rFonts w:hint="eastAsia" w:ascii="宋体" w:hAnsi="宋体" w:cs="宋体"/>
          <w:b/>
          <w:bCs/>
          <w:szCs w:val="21"/>
        </w:rPr>
        <w:t>3.4.3政府采购信用融资政策</w:t>
      </w:r>
    </w:p>
    <w:p>
      <w:pPr>
        <w:spacing w:line="360" w:lineRule="auto"/>
        <w:ind w:firstLine="420" w:firstLineChars="200"/>
      </w:pPr>
      <w:r>
        <w:rPr>
          <w:rFonts w:hint="eastAsia" w:ascii="宋体" w:hAnsi="宋体" w:cs="宋体"/>
          <w:szCs w:val="21"/>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w:t>
      </w:r>
      <w:r>
        <w:rPr>
          <w:rFonts w:hint="eastAsia"/>
          <w:szCs w:val="22"/>
        </w:rPr>
        <w:t>（http://www.ccgp-shaanxi.gov.cn/zcdservice/zcd/shanxi/）</w:t>
      </w:r>
      <w:r>
        <w:rPr>
          <w:rFonts w:hint="eastAsia" w:ascii="宋体" w:hAnsi="宋体" w:cs="宋体"/>
          <w:szCs w:val="21"/>
        </w:rPr>
        <w:t>”查询并办理相关业务。</w:t>
      </w:r>
    </w:p>
    <w:p>
      <w:pPr>
        <w:adjustRightInd w:val="0"/>
        <w:snapToGrid w:val="0"/>
        <w:spacing w:line="360" w:lineRule="auto"/>
        <w:ind w:firstLine="420" w:firstLineChars="200"/>
        <w:rPr>
          <w:rFonts w:ascii="宋体" w:hAnsi="宋体"/>
          <w:szCs w:val="21"/>
        </w:rPr>
      </w:pPr>
      <w:r>
        <w:rPr>
          <w:rFonts w:hint="eastAsia" w:ascii="宋体" w:hAnsi="宋体"/>
          <w:b/>
          <w:szCs w:val="21"/>
        </w:rPr>
        <w:t>3.4.4 供应商提供的《中小企业声明函》或者《残疾人福利性单位声明函》存在明显错误的，</w:t>
      </w:r>
      <w:r>
        <w:rPr>
          <w:rFonts w:hint="eastAsia" w:ascii="宋体" w:hAnsi="宋体"/>
          <w:b/>
          <w:szCs w:val="21"/>
          <w:lang w:val="en-US" w:eastAsia="zh-CN"/>
        </w:rPr>
        <w:t>谈判</w:t>
      </w:r>
      <w:r>
        <w:rPr>
          <w:rFonts w:hint="eastAsia" w:ascii="宋体" w:hAnsi="宋体"/>
          <w:b/>
          <w:szCs w:val="21"/>
        </w:rPr>
        <w:t>小组可以按照第三章第1.3条款的规定，要求供应商作出澄清；澄清后，符合</w:t>
      </w:r>
      <w:r>
        <w:rPr>
          <w:rFonts w:hint="eastAsia" w:ascii="宋体" w:hAnsi="宋体"/>
          <w:b/>
          <w:szCs w:val="21"/>
          <w:lang w:val="en-US" w:eastAsia="zh-CN"/>
        </w:rPr>
        <w:t>中小</w:t>
      </w:r>
      <w:r>
        <w:rPr>
          <w:rFonts w:hint="eastAsia" w:ascii="宋体" w:hAnsi="宋体"/>
          <w:b/>
          <w:szCs w:val="21"/>
        </w:rPr>
        <w:t>企业条件的，供应商可以享受价格扣除优惠政策；否则，不享受价格扣除优惠政策</w:t>
      </w:r>
      <w:r>
        <w:rPr>
          <w:rFonts w:hint="eastAsia" w:ascii="宋体" w:hAnsi="宋体"/>
          <w:szCs w:val="21"/>
        </w:rPr>
        <w:t>。</w:t>
      </w:r>
    </w:p>
    <w:p>
      <w:pPr>
        <w:pStyle w:val="18"/>
        <w:adjustRightInd w:val="0"/>
        <w:snapToGrid w:val="0"/>
        <w:spacing w:line="360" w:lineRule="auto"/>
        <w:ind w:firstLine="420" w:firstLineChars="200"/>
        <w:rPr>
          <w:rFonts w:hAnsi="宋体"/>
        </w:rPr>
      </w:pPr>
      <w:r>
        <w:rPr>
          <w:rFonts w:hint="eastAsia" w:hAnsi="宋体" w:cs="宋体"/>
          <w:b/>
          <w:bCs/>
        </w:rPr>
        <w:t>3.4.5 政府采购监督检查、投诉处理及政府采购行政处罚中对中小企业的认定，由服务商注册登记所在地的县级以上人民政府中小企业主管部门负责。</w:t>
      </w:r>
    </w:p>
    <w:p>
      <w:pPr>
        <w:widowControl/>
        <w:spacing w:before="120" w:beforeLines="50" w:after="120" w:afterLines="50" w:line="360" w:lineRule="auto"/>
        <w:jc w:val="left"/>
        <w:rPr>
          <w:rFonts w:ascii="宋体" w:hAnsi="宋体" w:cs="宋体"/>
          <w:b/>
          <w:bCs/>
          <w:kern w:val="0"/>
          <w:sz w:val="30"/>
          <w:szCs w:val="30"/>
        </w:rPr>
      </w:pPr>
      <w:r>
        <w:rPr>
          <w:rFonts w:hint="eastAsia" w:ascii="宋体" w:hAnsi="宋体"/>
          <w:b/>
          <w:bCs/>
          <w:sz w:val="30"/>
          <w:szCs w:val="30"/>
        </w:rPr>
        <w:t>3.5</w:t>
      </w:r>
      <w:r>
        <w:rPr>
          <w:rFonts w:hint="eastAsia" w:ascii="宋体" w:hAnsi="宋体" w:cs="宋体"/>
          <w:b/>
          <w:bCs/>
          <w:kern w:val="0"/>
          <w:sz w:val="30"/>
          <w:szCs w:val="30"/>
        </w:rPr>
        <w:t>转包与分包</w:t>
      </w:r>
    </w:p>
    <w:p>
      <w:pPr>
        <w:widowControl/>
        <w:snapToGrid w:val="0"/>
        <w:spacing w:line="360" w:lineRule="auto"/>
        <w:ind w:firstLine="420" w:firstLineChars="200"/>
        <w:jc w:val="left"/>
        <w:rPr>
          <w:rFonts w:ascii="宋体" w:hAnsi="宋体" w:cs="宋体"/>
          <w:b/>
          <w:bCs/>
          <w:kern w:val="0"/>
          <w:sz w:val="30"/>
          <w:szCs w:val="30"/>
        </w:rPr>
      </w:pPr>
      <w:r>
        <w:rPr>
          <w:rFonts w:hint="eastAsia" w:ascii="宋体" w:hAnsi="宋体"/>
          <w:szCs w:val="21"/>
        </w:rPr>
        <w:t xml:space="preserve">3.5.1 </w:t>
      </w:r>
      <w:r>
        <w:rPr>
          <w:rFonts w:hint="eastAsia" w:ascii="宋体" w:hAnsi="宋体" w:cs="宋体"/>
          <w:kern w:val="0"/>
          <w:szCs w:val="21"/>
        </w:rPr>
        <w:t>本项目严禁采取转包或分包方式履行合同。本项项目所称转包，是指中标人将政府采购合同业务转让给第三人，并退出现有政府采购合同当事人双方权利业务关系，受让人（即第三人）成为政府采购合同的另一方当事人的行为。</w:t>
      </w:r>
    </w:p>
    <w:p>
      <w:pPr>
        <w:widowControl/>
        <w:snapToGrid w:val="0"/>
        <w:spacing w:line="360" w:lineRule="auto"/>
        <w:ind w:firstLine="482"/>
        <w:jc w:val="left"/>
        <w:rPr>
          <w:rFonts w:ascii="宋体" w:hAnsi="宋体" w:cs="宋体"/>
          <w:kern w:val="0"/>
          <w:szCs w:val="21"/>
        </w:rPr>
      </w:pPr>
      <w:r>
        <w:rPr>
          <w:rFonts w:hint="eastAsia" w:ascii="宋体" w:hAnsi="宋体"/>
          <w:szCs w:val="21"/>
        </w:rPr>
        <w:t>成交供应商</w:t>
      </w:r>
      <w:r>
        <w:rPr>
          <w:rFonts w:hint="eastAsia" w:ascii="宋体" w:hAnsi="宋体" w:cs="宋体"/>
          <w:kern w:val="0"/>
          <w:szCs w:val="21"/>
        </w:rPr>
        <w:t>转包的，视同拒绝履行政府采购合同业务，将依法追究法律责任。</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 xml:space="preserve">3.5.2 </w:t>
      </w:r>
      <w:r>
        <w:rPr>
          <w:rFonts w:hint="eastAsia" w:ascii="宋体" w:hAnsi="宋体"/>
          <w:szCs w:val="21"/>
        </w:rPr>
        <w:t>享受中小企业扶持政策获得政府采购合同的，小微企业不得将合同分包给大中型企业。否则，将依法追究法律责任。</w:t>
      </w:r>
    </w:p>
    <w:p>
      <w:pPr>
        <w:adjustRightInd w:val="0"/>
        <w:snapToGrid w:val="0"/>
        <w:spacing w:line="360" w:lineRule="auto"/>
        <w:ind w:firstLine="420" w:firstLineChars="200"/>
        <w:rPr>
          <w:rFonts w:ascii="宋体" w:hAnsi="宋体"/>
          <w:szCs w:val="21"/>
        </w:rPr>
      </w:pPr>
      <w:r>
        <w:rPr>
          <w:rFonts w:hint="eastAsia" w:ascii="宋体" w:hAnsi="宋体"/>
          <w:szCs w:val="21"/>
        </w:rPr>
        <w:t>3.5.3供应商须知前附表规定允许大中型企业向小微企业分包的，成交供应商可以将采购项目分包给小微企业完成，并在响应文件中提供分包意向协议。</w:t>
      </w:r>
    </w:p>
    <w:p>
      <w:pPr>
        <w:spacing w:line="360" w:lineRule="auto"/>
        <w:ind w:firstLine="420" w:firstLineChars="200"/>
        <w:rPr>
          <w:rFonts w:ascii="宋体" w:hAnsi="宋体" w:cs="宋体"/>
          <w:b/>
          <w:bCs/>
          <w:kern w:val="0"/>
          <w:szCs w:val="21"/>
        </w:rPr>
      </w:pPr>
      <w:r>
        <w:rPr>
          <w:rFonts w:hint="eastAsia" w:ascii="宋体" w:hAnsi="宋体" w:cs="宋体"/>
          <w:kern w:val="0"/>
          <w:szCs w:val="21"/>
        </w:rPr>
        <w:t>接受分包的供应商不得再次分包。</w:t>
      </w:r>
      <w:r>
        <w:rPr>
          <w:rFonts w:hint="eastAsia" w:ascii="宋体" w:hAnsi="宋体"/>
          <w:szCs w:val="21"/>
        </w:rPr>
        <w:t>采购合同实行分包履行的，成交供应商就采购项目和分包项目向采购人负责，分包供应商就分包项目承担责任。</w:t>
      </w:r>
    </w:p>
    <w:p>
      <w:pPr>
        <w:widowControl/>
        <w:spacing w:before="120" w:beforeLines="50" w:after="120" w:afterLines="50" w:line="360" w:lineRule="auto"/>
        <w:jc w:val="left"/>
        <w:rPr>
          <w:rFonts w:ascii="宋体" w:hAnsi="宋体" w:cs="宋体"/>
          <w:kern w:val="0"/>
          <w:sz w:val="30"/>
          <w:szCs w:val="30"/>
        </w:rPr>
      </w:pPr>
      <w:r>
        <w:rPr>
          <w:rFonts w:hint="eastAsia" w:ascii="宋体" w:hAnsi="宋体" w:cs="宋体"/>
          <w:b/>
          <w:bCs/>
          <w:kern w:val="0"/>
          <w:sz w:val="30"/>
          <w:szCs w:val="30"/>
        </w:rPr>
        <w:t>3.6 供应商的风险</w:t>
      </w:r>
    </w:p>
    <w:p>
      <w:pPr>
        <w:tabs>
          <w:tab w:val="left" w:pos="7665"/>
        </w:tabs>
        <w:spacing w:line="360" w:lineRule="auto"/>
        <w:ind w:firstLine="420" w:firstLineChars="200"/>
        <w:rPr>
          <w:rFonts w:ascii="宋体" w:hAnsi="宋体" w:cs="宋体"/>
          <w:kern w:val="0"/>
          <w:szCs w:val="21"/>
        </w:rPr>
      </w:pPr>
      <w:r>
        <w:rPr>
          <w:rFonts w:hint="eastAsia" w:ascii="宋体" w:hAnsi="宋体"/>
          <w:szCs w:val="21"/>
        </w:rPr>
        <w:t>供应商应认真阅读和充分理解磋商文件中所有的事项、格式条款和规范要求，任何对</w:t>
      </w:r>
      <w:r>
        <w:rPr>
          <w:rFonts w:hint="eastAsia" w:ascii="宋体" w:hAnsi="宋体"/>
          <w:bCs/>
          <w:szCs w:val="21"/>
        </w:rPr>
        <w:t>磋商</w:t>
      </w:r>
      <w:r>
        <w:rPr>
          <w:rFonts w:hint="eastAsia" w:ascii="宋体" w:hAnsi="宋体"/>
          <w:szCs w:val="21"/>
        </w:rPr>
        <w:t>文件的忽略或误解不能作为响应文件存在缺陷或瑕疵的理由；供应商</w:t>
      </w:r>
      <w:r>
        <w:rPr>
          <w:rFonts w:hint="eastAsia" w:ascii="宋体" w:hAnsi="宋体" w:cs="宋体"/>
          <w:kern w:val="0"/>
          <w:szCs w:val="21"/>
        </w:rPr>
        <w:t>没有按照磋商文件要求提供全部资料，</w:t>
      </w:r>
      <w:r>
        <w:rPr>
          <w:rFonts w:hint="eastAsia" w:ascii="宋体" w:hAnsi="宋体"/>
          <w:szCs w:val="21"/>
        </w:rPr>
        <w:t>或对磋商文件未全面做出实质性响应是供应商的风险，</w:t>
      </w:r>
      <w:r>
        <w:rPr>
          <w:rFonts w:hint="eastAsia" w:ascii="宋体" w:hAnsi="宋体" w:cs="宋体"/>
          <w:kern w:val="0"/>
          <w:szCs w:val="21"/>
        </w:rPr>
        <w:t>并可能导致其响应文件被拒绝。</w:t>
      </w:r>
    </w:p>
    <w:p>
      <w:pPr>
        <w:spacing w:before="120" w:beforeLines="50" w:after="120" w:afterLines="50" w:line="360" w:lineRule="auto"/>
        <w:rPr>
          <w:rFonts w:ascii="宋体" w:hAnsi="宋体"/>
          <w:b/>
          <w:sz w:val="30"/>
          <w:szCs w:val="30"/>
        </w:rPr>
      </w:pPr>
      <w:r>
        <w:rPr>
          <w:rFonts w:hint="eastAsia" w:ascii="宋体" w:hAnsi="宋体"/>
          <w:b/>
          <w:sz w:val="30"/>
          <w:szCs w:val="30"/>
        </w:rPr>
        <w:t>3.7供应商的纪律要求</w:t>
      </w:r>
    </w:p>
    <w:p>
      <w:pPr>
        <w:pStyle w:val="6"/>
        <w:spacing w:line="360" w:lineRule="auto"/>
        <w:ind w:firstLineChars="200"/>
        <w:rPr>
          <w:szCs w:val="21"/>
        </w:rPr>
      </w:pPr>
      <w:r>
        <w:rPr>
          <w:rFonts w:hint="eastAsia" w:ascii="宋体" w:hAnsi="宋体"/>
          <w:szCs w:val="21"/>
        </w:rPr>
        <w:t xml:space="preserve">3.7.1 </w:t>
      </w:r>
      <w:r>
        <w:rPr>
          <w:rFonts w:hint="eastAsia"/>
          <w:szCs w:val="21"/>
        </w:rPr>
        <w:t>有下列情形之一的，属于不合格供应商，其磋商或成交资格将被取消：</w:t>
      </w:r>
    </w:p>
    <w:p>
      <w:pPr>
        <w:spacing w:line="360" w:lineRule="auto"/>
        <w:ind w:firstLine="403" w:firstLineChars="192"/>
        <w:rPr>
          <w:rFonts w:ascii="宋体" w:hAnsi="宋体"/>
          <w:szCs w:val="21"/>
        </w:rPr>
      </w:pPr>
      <w:r>
        <w:rPr>
          <w:rFonts w:hint="eastAsia" w:ascii="宋体" w:hAnsi="宋体"/>
          <w:szCs w:val="21"/>
        </w:rPr>
        <w:t>（1）提供虚假材料谋取成交资格；</w:t>
      </w:r>
    </w:p>
    <w:p>
      <w:pPr>
        <w:spacing w:line="360" w:lineRule="auto"/>
        <w:ind w:firstLine="403" w:firstLineChars="192"/>
        <w:rPr>
          <w:rFonts w:ascii="宋体" w:hAnsi="宋体"/>
          <w:szCs w:val="21"/>
        </w:rPr>
      </w:pPr>
      <w:r>
        <w:rPr>
          <w:rFonts w:hint="eastAsia" w:ascii="宋体" w:hAnsi="宋体"/>
          <w:szCs w:val="21"/>
        </w:rPr>
        <w:t>（2）提供假冒伪劣产品；</w:t>
      </w:r>
    </w:p>
    <w:p>
      <w:pPr>
        <w:spacing w:line="360" w:lineRule="auto"/>
        <w:ind w:firstLine="403" w:firstLineChars="192"/>
        <w:rPr>
          <w:rFonts w:ascii="宋体" w:hAnsi="宋体"/>
          <w:szCs w:val="21"/>
        </w:rPr>
      </w:pPr>
      <w:r>
        <w:rPr>
          <w:rFonts w:hint="eastAsia" w:ascii="宋体" w:hAnsi="宋体"/>
          <w:szCs w:val="21"/>
        </w:rPr>
        <w:t>（3）采取不正当手段诋毁、排挤其他供应商；</w:t>
      </w:r>
    </w:p>
    <w:p>
      <w:pPr>
        <w:spacing w:line="360" w:lineRule="auto"/>
        <w:ind w:firstLine="420" w:firstLineChars="200"/>
        <w:rPr>
          <w:rFonts w:ascii="宋体" w:hAnsi="宋体"/>
          <w:szCs w:val="21"/>
        </w:rPr>
      </w:pPr>
      <w:r>
        <w:rPr>
          <w:rFonts w:hint="eastAsia" w:ascii="宋体" w:hAnsi="宋体"/>
          <w:szCs w:val="21"/>
        </w:rPr>
        <w:t>（4）与采购人、采购代理机构、其他供应商恶意串通；</w:t>
      </w:r>
    </w:p>
    <w:p>
      <w:pPr>
        <w:spacing w:line="360" w:lineRule="auto"/>
        <w:ind w:firstLine="420" w:firstLineChars="200"/>
        <w:rPr>
          <w:rFonts w:ascii="宋体" w:hAnsi="宋体"/>
          <w:szCs w:val="21"/>
        </w:rPr>
      </w:pPr>
      <w:r>
        <w:rPr>
          <w:rFonts w:hint="eastAsia" w:ascii="宋体" w:hAnsi="宋体"/>
          <w:szCs w:val="21"/>
        </w:rPr>
        <w:t>（5）向采购人、采购代理机构、磋商小组成员行贿或者提供其他不正当利益；</w:t>
      </w:r>
    </w:p>
    <w:p>
      <w:pPr>
        <w:pStyle w:val="20"/>
        <w:spacing w:line="360" w:lineRule="auto"/>
        <w:ind w:firstLine="420" w:firstLineChars="200"/>
        <w:rPr>
          <w:rFonts w:ascii="宋体" w:hAnsi="宋体"/>
          <w:sz w:val="21"/>
          <w:szCs w:val="21"/>
        </w:rPr>
      </w:pPr>
      <w:r>
        <w:rPr>
          <w:rFonts w:hint="eastAsia" w:ascii="宋体" w:hAnsi="宋体"/>
          <w:sz w:val="21"/>
          <w:szCs w:val="21"/>
        </w:rPr>
        <w:t>（6）拒绝有关部门的监督检查或者向监督检查部门提供虚假情况；</w:t>
      </w:r>
    </w:p>
    <w:p>
      <w:pPr>
        <w:pStyle w:val="20"/>
        <w:spacing w:line="360" w:lineRule="auto"/>
        <w:ind w:firstLine="420" w:firstLineChars="200"/>
        <w:rPr>
          <w:rFonts w:ascii="宋体" w:hAnsi="宋体"/>
          <w:sz w:val="21"/>
          <w:szCs w:val="21"/>
        </w:rPr>
      </w:pPr>
      <w:r>
        <w:rPr>
          <w:rFonts w:hint="eastAsia" w:ascii="宋体" w:hAnsi="宋体"/>
          <w:sz w:val="21"/>
          <w:szCs w:val="21"/>
        </w:rPr>
        <w:t>（7）法律法规规定的其他情形。</w:t>
      </w:r>
    </w:p>
    <w:p>
      <w:pPr>
        <w:spacing w:line="360" w:lineRule="auto"/>
        <w:ind w:firstLine="420" w:firstLineChars="200"/>
        <w:rPr>
          <w:rFonts w:ascii="宋体" w:hAnsi="宋体"/>
          <w:szCs w:val="21"/>
        </w:rPr>
      </w:pPr>
      <w:r>
        <w:rPr>
          <w:rFonts w:hint="eastAsia" w:ascii="宋体" w:hAnsi="宋体"/>
          <w:szCs w:val="21"/>
        </w:rPr>
        <w:t>3.7.2</w:t>
      </w:r>
      <w:r>
        <w:rPr>
          <w:rFonts w:ascii="宋体" w:hAnsi="宋体"/>
          <w:szCs w:val="21"/>
        </w:rPr>
        <w:t>有下列情形之一的，视为</w:t>
      </w:r>
      <w:r>
        <w:rPr>
          <w:rFonts w:hint="eastAsia" w:ascii="宋体" w:hAnsi="宋体"/>
          <w:szCs w:val="21"/>
        </w:rPr>
        <w:t>供应商</w:t>
      </w:r>
      <w:r>
        <w:rPr>
          <w:rFonts w:ascii="宋体" w:hAnsi="宋体"/>
          <w:szCs w:val="21"/>
        </w:rPr>
        <w:t>相互恶意串通</w:t>
      </w:r>
      <w:r>
        <w:rPr>
          <w:rFonts w:hint="eastAsia" w:ascii="宋体" w:hAnsi="宋体"/>
          <w:szCs w:val="21"/>
        </w:rPr>
        <w:t>磋商响应，其响应文件无效</w:t>
      </w:r>
      <w:r>
        <w:rPr>
          <w:rFonts w:ascii="宋体" w:hAnsi="宋体"/>
          <w:szCs w:val="21"/>
        </w:rPr>
        <w:t>：</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）不同</w:t>
      </w:r>
      <w:r>
        <w:rPr>
          <w:rFonts w:hint="eastAsia" w:ascii="宋体" w:hAnsi="宋体"/>
          <w:szCs w:val="21"/>
        </w:rPr>
        <w:t>供应商</w:t>
      </w:r>
      <w:r>
        <w:rPr>
          <w:rFonts w:ascii="宋体" w:hAnsi="宋体"/>
          <w:szCs w:val="21"/>
        </w:rPr>
        <w:t>的</w:t>
      </w:r>
      <w:r>
        <w:rPr>
          <w:rFonts w:hint="eastAsia" w:ascii="宋体" w:hAnsi="宋体"/>
          <w:szCs w:val="21"/>
        </w:rPr>
        <w:t>响应</w:t>
      </w:r>
      <w:r>
        <w:rPr>
          <w:rFonts w:ascii="宋体" w:hAnsi="宋体"/>
          <w:szCs w:val="21"/>
        </w:rPr>
        <w:t>文件由同一单位或者个人编制；</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）不同</w:t>
      </w:r>
      <w:r>
        <w:rPr>
          <w:rFonts w:hint="eastAsia" w:ascii="宋体" w:hAnsi="宋体"/>
          <w:szCs w:val="21"/>
        </w:rPr>
        <w:t>供应商</w:t>
      </w:r>
      <w:r>
        <w:rPr>
          <w:rFonts w:ascii="宋体" w:hAnsi="宋体"/>
          <w:szCs w:val="21"/>
        </w:rPr>
        <w:t>委托同一单位或者个人办理</w:t>
      </w:r>
      <w:r>
        <w:rPr>
          <w:rFonts w:hint="eastAsia" w:ascii="宋体" w:hAnsi="宋体"/>
          <w:szCs w:val="21"/>
        </w:rPr>
        <w:t>磋商</w:t>
      </w:r>
      <w:r>
        <w:rPr>
          <w:rFonts w:ascii="宋体" w:hAnsi="宋体"/>
          <w:szCs w:val="21"/>
        </w:rPr>
        <w:t>事宜；</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）不同</w:t>
      </w:r>
      <w:r>
        <w:rPr>
          <w:rFonts w:hint="eastAsia" w:ascii="宋体" w:hAnsi="宋体"/>
          <w:szCs w:val="21"/>
        </w:rPr>
        <w:t>供应商</w:t>
      </w:r>
      <w:r>
        <w:rPr>
          <w:rFonts w:ascii="宋体" w:hAnsi="宋体"/>
          <w:szCs w:val="21"/>
        </w:rPr>
        <w:t>的</w:t>
      </w:r>
      <w:r>
        <w:rPr>
          <w:rFonts w:hint="eastAsia" w:ascii="宋体" w:hAnsi="宋体"/>
          <w:szCs w:val="21"/>
        </w:rPr>
        <w:t>响应</w:t>
      </w:r>
      <w:r>
        <w:rPr>
          <w:rFonts w:ascii="宋体" w:hAnsi="宋体"/>
          <w:szCs w:val="21"/>
        </w:rPr>
        <w:t>文件载明的项目管理成员为同一人；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）不同</w:t>
      </w:r>
      <w:r>
        <w:rPr>
          <w:rFonts w:hint="eastAsia" w:ascii="宋体" w:hAnsi="宋体"/>
          <w:szCs w:val="21"/>
        </w:rPr>
        <w:t>供应商</w:t>
      </w:r>
      <w:r>
        <w:rPr>
          <w:rFonts w:ascii="宋体" w:hAnsi="宋体"/>
          <w:szCs w:val="21"/>
        </w:rPr>
        <w:t>的</w:t>
      </w:r>
      <w:r>
        <w:rPr>
          <w:rFonts w:hint="eastAsia" w:ascii="宋体" w:hAnsi="宋体"/>
          <w:szCs w:val="21"/>
        </w:rPr>
        <w:t>响应</w:t>
      </w:r>
      <w:r>
        <w:rPr>
          <w:rFonts w:ascii="宋体" w:hAnsi="宋体"/>
          <w:szCs w:val="21"/>
        </w:rPr>
        <w:t>文件异常一致或者</w:t>
      </w:r>
      <w:r>
        <w:rPr>
          <w:rFonts w:hint="eastAsia" w:ascii="宋体" w:hAnsi="宋体"/>
          <w:szCs w:val="21"/>
        </w:rPr>
        <w:t>磋商</w:t>
      </w:r>
      <w:r>
        <w:rPr>
          <w:rFonts w:ascii="宋体" w:hAnsi="宋体"/>
          <w:szCs w:val="21"/>
        </w:rPr>
        <w:t>报价呈规律性差异；</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5</w:t>
      </w:r>
      <w:r>
        <w:rPr>
          <w:rFonts w:ascii="宋体" w:hAnsi="宋体"/>
          <w:szCs w:val="21"/>
        </w:rPr>
        <w:t>）不同</w:t>
      </w:r>
      <w:r>
        <w:rPr>
          <w:rFonts w:hint="eastAsia" w:ascii="宋体" w:hAnsi="宋体"/>
          <w:szCs w:val="21"/>
        </w:rPr>
        <w:t>供应商</w:t>
      </w:r>
      <w:r>
        <w:rPr>
          <w:rFonts w:ascii="宋体" w:hAnsi="宋体"/>
          <w:szCs w:val="21"/>
        </w:rPr>
        <w:t>的</w:t>
      </w:r>
      <w:r>
        <w:rPr>
          <w:rFonts w:hint="eastAsia" w:ascii="宋体" w:hAnsi="宋体"/>
          <w:szCs w:val="21"/>
        </w:rPr>
        <w:t>响应</w:t>
      </w:r>
      <w:r>
        <w:rPr>
          <w:rFonts w:ascii="宋体" w:hAnsi="宋体"/>
          <w:szCs w:val="21"/>
        </w:rPr>
        <w:t>文件相互混装；</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6</w:t>
      </w:r>
      <w:r>
        <w:rPr>
          <w:rFonts w:ascii="宋体" w:hAnsi="宋体"/>
          <w:szCs w:val="21"/>
        </w:rPr>
        <w:t>）</w:t>
      </w:r>
      <w:r>
        <w:rPr>
          <w:rFonts w:hint="eastAsia" w:ascii="宋体" w:hAnsi="宋体"/>
          <w:szCs w:val="21"/>
        </w:rPr>
        <w:t>不同供应商的响应文件由同一单位送达</w:t>
      </w:r>
      <w:r>
        <w:rPr>
          <w:rFonts w:ascii="宋体" w:hAnsi="宋体"/>
          <w:szCs w:val="21"/>
        </w:rPr>
        <w:t>。</w:t>
      </w:r>
    </w:p>
    <w:p>
      <w:pPr>
        <w:pStyle w:val="4"/>
        <w:shd w:val="clear"/>
        <w:spacing w:line="240" w:lineRule="auto"/>
        <w:rPr>
          <w:rFonts w:ascii="黑体" w:hAnsi="宋体" w:cs="宋体"/>
          <w:b w:val="0"/>
          <w:bCs w:val="0"/>
          <w:color w:val="auto"/>
          <w:kern w:val="0"/>
          <w:sz w:val="36"/>
          <w:szCs w:val="36"/>
          <w:highlight w:val="none"/>
        </w:rPr>
      </w:pPr>
      <w:bookmarkStart w:id="61" w:name="_Toc25672"/>
      <w:r>
        <w:rPr>
          <w:rFonts w:hint="eastAsia" w:ascii="黑体"/>
          <w:b w:val="0"/>
          <w:bCs w:val="0"/>
          <w:color w:val="auto"/>
          <w:sz w:val="36"/>
          <w:szCs w:val="36"/>
          <w:highlight w:val="none"/>
        </w:rPr>
        <w:t>4.响应文件</w:t>
      </w:r>
      <w:bookmarkEnd w:id="61"/>
    </w:p>
    <w:p>
      <w:pPr>
        <w:shd w:val="clear"/>
        <w:spacing w:line="360" w:lineRule="auto"/>
        <w:rPr>
          <w:rFonts w:ascii="宋体" w:hAnsi="宋体"/>
          <w:b/>
          <w:bCs/>
          <w:color w:val="auto"/>
          <w:sz w:val="30"/>
          <w:szCs w:val="30"/>
          <w:highlight w:val="none"/>
        </w:rPr>
      </w:pPr>
      <w:bookmarkStart w:id="62" w:name="_Toc18074969"/>
      <w:r>
        <w:rPr>
          <w:rFonts w:hint="eastAsia" w:ascii="宋体" w:hAnsi="宋体"/>
          <w:b/>
          <w:bCs/>
          <w:color w:val="auto"/>
          <w:sz w:val="30"/>
          <w:szCs w:val="30"/>
          <w:highlight w:val="none"/>
        </w:rPr>
        <w:t>4.1 响应文件的编写原则和要求</w:t>
      </w:r>
      <w:bookmarkEnd w:id="62"/>
    </w:p>
    <w:p>
      <w:pPr>
        <w:shd w:val="clea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4.1.1供应商应仔细阅读</w:t>
      </w:r>
      <w:r>
        <w:rPr>
          <w:rFonts w:hint="eastAsia" w:ascii="宋体" w:hAnsi="宋体"/>
          <w:color w:val="auto"/>
          <w:szCs w:val="21"/>
          <w:highlight w:val="none"/>
          <w:lang w:eastAsia="zh-CN"/>
        </w:rPr>
        <w:t>谈判</w:t>
      </w:r>
      <w:r>
        <w:rPr>
          <w:rFonts w:hint="eastAsia" w:ascii="宋体" w:hAnsi="宋体"/>
          <w:color w:val="auto"/>
          <w:szCs w:val="21"/>
          <w:highlight w:val="none"/>
        </w:rPr>
        <w:t>文件的所有内容，按照</w:t>
      </w:r>
      <w:r>
        <w:rPr>
          <w:rFonts w:hint="eastAsia" w:ascii="宋体" w:hAnsi="宋体"/>
          <w:color w:val="auto"/>
          <w:szCs w:val="21"/>
          <w:highlight w:val="none"/>
          <w:lang w:eastAsia="zh-CN"/>
        </w:rPr>
        <w:t>谈判</w:t>
      </w:r>
      <w:r>
        <w:rPr>
          <w:rFonts w:hint="eastAsia" w:ascii="宋体" w:hAnsi="宋体"/>
          <w:color w:val="auto"/>
          <w:szCs w:val="21"/>
          <w:highlight w:val="none"/>
        </w:rPr>
        <w:t>文件规定及要求编写，应当对</w:t>
      </w:r>
      <w:r>
        <w:rPr>
          <w:rFonts w:hint="eastAsia" w:ascii="宋体" w:hAnsi="宋体"/>
          <w:color w:val="auto"/>
          <w:szCs w:val="21"/>
          <w:highlight w:val="none"/>
          <w:lang w:eastAsia="zh-CN"/>
        </w:rPr>
        <w:t>谈判</w:t>
      </w:r>
      <w:r>
        <w:rPr>
          <w:rFonts w:hint="eastAsia" w:ascii="宋体" w:hAnsi="宋体"/>
          <w:color w:val="auto"/>
          <w:szCs w:val="21"/>
          <w:highlight w:val="none"/>
        </w:rPr>
        <w:t>文件提出的实质性要求做出响应，并提交完整的响应文件。供应商应对采购的货物和服务提供完整详细的技术说明，若供应商对指定的技术要求不能完全响应，应在响应文件中清楚地注明。供应商对本</w:t>
      </w:r>
      <w:r>
        <w:rPr>
          <w:rFonts w:hint="eastAsia" w:ascii="宋体" w:hAnsi="宋体"/>
          <w:color w:val="auto"/>
          <w:szCs w:val="21"/>
          <w:highlight w:val="none"/>
          <w:lang w:eastAsia="zh-CN"/>
        </w:rPr>
        <w:t>谈判</w:t>
      </w:r>
      <w:r>
        <w:rPr>
          <w:rFonts w:hint="eastAsia" w:ascii="宋体" w:hAnsi="宋体"/>
          <w:color w:val="auto"/>
          <w:szCs w:val="21"/>
          <w:highlight w:val="none"/>
        </w:rPr>
        <w:t>文件的每一项要求所给予的响应必须是唯一的，否则将视为无效响应文件。</w:t>
      </w:r>
    </w:p>
    <w:bookmarkEnd w:id="58"/>
    <w:bookmarkEnd w:id="59"/>
    <w:bookmarkEnd w:id="60"/>
    <w:p>
      <w:pPr>
        <w:shd w:val="clear"/>
        <w:tabs>
          <w:tab w:val="left" w:pos="720"/>
        </w:tabs>
        <w:snapToGrid w:val="0"/>
        <w:spacing w:line="360" w:lineRule="auto"/>
        <w:ind w:firstLine="420" w:firstLineChars="200"/>
        <w:rPr>
          <w:rFonts w:ascii="宋体" w:hAnsi="宋体"/>
          <w:b/>
          <w:color w:val="auto"/>
          <w:szCs w:val="21"/>
          <w:highlight w:val="none"/>
        </w:rPr>
      </w:pPr>
      <w:bookmarkStart w:id="63" w:name="_Toc183582217"/>
      <w:bookmarkStart w:id="64" w:name="_Toc183682354"/>
      <w:bookmarkStart w:id="65" w:name="_Toc217446048"/>
      <w:r>
        <w:rPr>
          <w:rFonts w:hint="eastAsia" w:ascii="宋体" w:hAnsi="宋体"/>
          <w:b/>
          <w:color w:val="auto"/>
          <w:szCs w:val="21"/>
          <w:highlight w:val="none"/>
        </w:rPr>
        <w:t>4.1.2 真实性原则</w:t>
      </w:r>
    </w:p>
    <w:p>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4.1.2.1 供应商应保证所提供的响应文件和所有资料的真实性、准确性和完整性。</w:t>
      </w:r>
    </w:p>
    <w:p>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4.1.2.2 供应商被认定为在政府采购活动中提供不真实材料的，无论其材料是否重要，采购人均有权拒绝，并取消其</w:t>
      </w:r>
      <w:r>
        <w:rPr>
          <w:rFonts w:hint="eastAsia" w:ascii="宋体" w:hAnsi="宋体"/>
          <w:color w:val="auto"/>
          <w:szCs w:val="21"/>
          <w:highlight w:val="none"/>
          <w:lang w:eastAsia="zh-CN"/>
        </w:rPr>
        <w:t>谈判</w:t>
      </w:r>
      <w:r>
        <w:rPr>
          <w:rFonts w:hint="eastAsia" w:ascii="宋体" w:hAnsi="宋体"/>
          <w:color w:val="auto"/>
          <w:szCs w:val="21"/>
          <w:highlight w:val="none"/>
        </w:rPr>
        <w:t>或成交资格，供应商需承担相应的法律后果。</w:t>
      </w:r>
    </w:p>
    <w:p>
      <w:pPr>
        <w:shd w:val="clear"/>
        <w:tabs>
          <w:tab w:val="left" w:pos="720"/>
        </w:tabs>
        <w:snapToGrid w:val="0"/>
        <w:spacing w:line="360" w:lineRule="auto"/>
        <w:ind w:firstLine="480"/>
        <w:rPr>
          <w:rFonts w:ascii="宋体" w:hAnsi="宋体"/>
          <w:b/>
          <w:color w:val="auto"/>
          <w:szCs w:val="21"/>
          <w:highlight w:val="none"/>
        </w:rPr>
      </w:pPr>
      <w:r>
        <w:rPr>
          <w:rFonts w:hint="eastAsia" w:ascii="宋体" w:hAnsi="宋体"/>
          <w:b/>
          <w:color w:val="auto"/>
          <w:szCs w:val="21"/>
          <w:highlight w:val="none"/>
        </w:rPr>
        <w:t>4.1.3 报价使用货币</w:t>
      </w:r>
    </w:p>
    <w:p>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本项目的报价均以人民币报价。</w:t>
      </w:r>
    </w:p>
    <w:p>
      <w:pPr>
        <w:shd w:val="clear"/>
        <w:tabs>
          <w:tab w:val="left" w:pos="720"/>
        </w:tabs>
        <w:snapToGrid w:val="0"/>
        <w:spacing w:line="360" w:lineRule="auto"/>
        <w:ind w:firstLine="422" w:firstLineChars="201"/>
        <w:rPr>
          <w:rFonts w:hAnsi="宋体"/>
          <w:b/>
          <w:color w:val="auto"/>
          <w:highlight w:val="none"/>
        </w:rPr>
      </w:pPr>
      <w:r>
        <w:rPr>
          <w:rFonts w:hint="eastAsia" w:ascii="宋体" w:hAnsi="宋体"/>
          <w:b/>
          <w:color w:val="auto"/>
          <w:highlight w:val="none"/>
        </w:rPr>
        <w:t xml:space="preserve">4.1.4 </w:t>
      </w:r>
      <w:r>
        <w:rPr>
          <w:rFonts w:hint="eastAsia" w:hAnsi="宋体"/>
          <w:b/>
          <w:color w:val="auto"/>
          <w:highlight w:val="none"/>
        </w:rPr>
        <w:t>响应</w:t>
      </w:r>
      <w:r>
        <w:rPr>
          <w:rFonts w:hint="eastAsia"/>
          <w:b/>
          <w:color w:val="auto"/>
          <w:highlight w:val="none"/>
        </w:rPr>
        <w:t>文件形式</w:t>
      </w:r>
    </w:p>
    <w:p>
      <w:pPr>
        <w:pStyle w:val="18"/>
        <w:shd w:val="clear"/>
        <w:adjustRightInd w:val="0"/>
        <w:snapToGrid w:val="0"/>
        <w:spacing w:line="360" w:lineRule="auto"/>
        <w:ind w:firstLine="630" w:firstLineChars="300"/>
        <w:rPr>
          <w:color w:val="auto"/>
          <w:highlight w:val="none"/>
        </w:rPr>
      </w:pPr>
      <w:r>
        <w:rPr>
          <w:rFonts w:hint="eastAsia" w:hAnsi="宋体"/>
          <w:color w:val="auto"/>
          <w:highlight w:val="none"/>
        </w:rPr>
        <w:t>本项目响应</w:t>
      </w:r>
      <w:r>
        <w:rPr>
          <w:rFonts w:hint="eastAsia"/>
          <w:color w:val="auto"/>
          <w:highlight w:val="none"/>
        </w:rPr>
        <w:t>文件应采用书面文件形式，电报、传真、电子邮件形式的响应文件不予接受。</w:t>
      </w:r>
    </w:p>
    <w:p>
      <w:pPr>
        <w:shd w:val="clear"/>
        <w:tabs>
          <w:tab w:val="left" w:pos="720"/>
        </w:tabs>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4.1.5 备选方案</w:t>
      </w:r>
    </w:p>
    <w:p>
      <w:pPr>
        <w:shd w:val="clear"/>
        <w:tabs>
          <w:tab w:val="left" w:pos="720"/>
        </w:tabs>
        <w:snapToGrid w:val="0"/>
        <w:spacing w:line="360" w:lineRule="auto"/>
        <w:ind w:firstLine="630" w:firstLineChars="300"/>
        <w:rPr>
          <w:rFonts w:hAnsi="宋体"/>
          <w:color w:val="auto"/>
          <w:szCs w:val="21"/>
          <w:highlight w:val="none"/>
        </w:rPr>
      </w:pPr>
      <w:r>
        <w:rPr>
          <w:rFonts w:hint="eastAsia" w:ascii="宋体" w:hAnsi="宋体"/>
          <w:color w:val="auto"/>
          <w:szCs w:val="21"/>
          <w:highlight w:val="none"/>
        </w:rPr>
        <w:t>4.1.5.1 除供应商须知前附表规定允许外，供应商不得递交备选响应方案，响应文件的报价只允许有一个报价，不接受具有附加条件的报价，否则，视为</w:t>
      </w:r>
      <w:r>
        <w:rPr>
          <w:rFonts w:hint="eastAsia" w:hAnsi="宋体"/>
          <w:color w:val="auto"/>
          <w:szCs w:val="21"/>
          <w:highlight w:val="none"/>
        </w:rPr>
        <w:t>无效响应文件。</w:t>
      </w:r>
    </w:p>
    <w:p>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4.1.5.2 允许供应商递交备选响应方案的，只有成交供应商所递交的备选响应方案方可予以考虑。</w:t>
      </w:r>
      <w:r>
        <w:rPr>
          <w:rFonts w:hint="eastAsia" w:ascii="宋体" w:hAnsi="宋体"/>
          <w:color w:val="auto"/>
          <w:szCs w:val="21"/>
          <w:highlight w:val="none"/>
          <w:lang w:eastAsia="zh-CN"/>
        </w:rPr>
        <w:t>谈判</w:t>
      </w:r>
      <w:r>
        <w:rPr>
          <w:rFonts w:hint="eastAsia" w:ascii="宋体" w:hAnsi="宋体"/>
          <w:color w:val="auto"/>
          <w:szCs w:val="21"/>
          <w:highlight w:val="none"/>
        </w:rPr>
        <w:t>小组认为成交供应商的备选响应方案优于其按照</w:t>
      </w:r>
      <w:r>
        <w:rPr>
          <w:rFonts w:hint="eastAsia" w:ascii="宋体" w:hAnsi="宋体"/>
          <w:color w:val="auto"/>
          <w:szCs w:val="21"/>
          <w:highlight w:val="none"/>
          <w:lang w:eastAsia="zh-CN"/>
        </w:rPr>
        <w:t>谈判</w:t>
      </w:r>
      <w:r>
        <w:rPr>
          <w:rFonts w:hint="eastAsia" w:ascii="宋体" w:hAnsi="宋体"/>
          <w:color w:val="auto"/>
          <w:szCs w:val="21"/>
          <w:highlight w:val="none"/>
        </w:rPr>
        <w:t>文件要求编制的响应方案的，采购人可以接受该备选方案。</w:t>
      </w:r>
    </w:p>
    <w:p>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4.1.5.3 供应商提供两个或两个以上</w:t>
      </w:r>
      <w:r>
        <w:rPr>
          <w:rFonts w:hint="eastAsia" w:ascii="宋体" w:hAnsi="宋体"/>
          <w:color w:val="auto"/>
          <w:szCs w:val="21"/>
          <w:highlight w:val="none"/>
          <w:lang w:eastAsia="zh-CN"/>
        </w:rPr>
        <w:t>谈判</w:t>
      </w:r>
      <w:r>
        <w:rPr>
          <w:rFonts w:hint="eastAsia" w:ascii="宋体" w:hAnsi="宋体"/>
          <w:color w:val="auto"/>
          <w:szCs w:val="21"/>
          <w:highlight w:val="none"/>
        </w:rPr>
        <w:t>报价，或者在响应文件中提供一个</w:t>
      </w:r>
      <w:r>
        <w:rPr>
          <w:rFonts w:hint="eastAsia" w:ascii="宋体" w:hAnsi="宋体"/>
          <w:color w:val="auto"/>
          <w:szCs w:val="21"/>
          <w:highlight w:val="none"/>
          <w:lang w:eastAsia="zh-CN"/>
        </w:rPr>
        <w:t>谈判</w:t>
      </w:r>
      <w:r>
        <w:rPr>
          <w:rFonts w:hint="eastAsia" w:ascii="宋体" w:hAnsi="宋体"/>
          <w:color w:val="auto"/>
          <w:szCs w:val="21"/>
          <w:highlight w:val="none"/>
        </w:rPr>
        <w:t>报价，但同时提供两个或两个以上供货方案的，视为提供备选方案。</w:t>
      </w:r>
    </w:p>
    <w:p>
      <w:pPr>
        <w:shd w:val="clear"/>
        <w:tabs>
          <w:tab w:val="left" w:pos="720"/>
        </w:tabs>
        <w:snapToGrid w:val="0"/>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4.2 响应文件的组成</w:t>
      </w:r>
    </w:p>
    <w:bookmarkEnd w:id="63"/>
    <w:bookmarkEnd w:id="64"/>
    <w:bookmarkEnd w:id="65"/>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4.2.1响应文件由下列文件组成：</w:t>
      </w:r>
    </w:p>
    <w:p>
      <w:pPr>
        <w:shd w:val="clear"/>
        <w:tabs>
          <w:tab w:val="left" w:pos="2730"/>
        </w:tabs>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（1）资格审查部分；</w:t>
      </w:r>
      <w:r>
        <w:rPr>
          <w:rFonts w:ascii="宋体" w:hAnsi="宋体"/>
          <w:color w:val="auto"/>
          <w:szCs w:val="21"/>
          <w:highlight w:val="none"/>
        </w:rPr>
        <w:tab/>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（2）商务与技术部分。</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4.2.2 资格审查部分包括本章第3.1.1条款内容。</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4.2.3 商务与技术部分主要包括下列内容：</w:t>
      </w:r>
    </w:p>
    <w:p>
      <w:pPr>
        <w:shd w:val="clear"/>
        <w:spacing w:line="360" w:lineRule="auto"/>
        <w:ind w:left="503" w:leftChars="226" w:hanging="29" w:hangingChars="14"/>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竞争性谈判</w:t>
      </w:r>
      <w:r>
        <w:rPr>
          <w:rFonts w:hint="eastAsia" w:ascii="宋体" w:hAnsi="宋体"/>
          <w:color w:val="auto"/>
          <w:szCs w:val="21"/>
          <w:highlight w:val="none"/>
        </w:rPr>
        <w:t>响应函；</w:t>
      </w:r>
    </w:p>
    <w:p>
      <w:pPr>
        <w:shd w:val="clear"/>
        <w:spacing w:line="360" w:lineRule="auto"/>
        <w:ind w:left="503" w:leftChars="226" w:hanging="29" w:hangingChars="14"/>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首次</w:t>
      </w:r>
      <w:r>
        <w:rPr>
          <w:rFonts w:hint="eastAsia" w:ascii="宋体" w:hAnsi="宋体"/>
          <w:color w:val="auto"/>
          <w:szCs w:val="21"/>
          <w:highlight w:val="none"/>
          <w:lang w:eastAsia="zh-CN"/>
        </w:rPr>
        <w:t>谈判</w:t>
      </w:r>
      <w:r>
        <w:rPr>
          <w:rFonts w:hint="eastAsia" w:ascii="宋体" w:hAnsi="宋体"/>
          <w:color w:val="auto"/>
          <w:szCs w:val="21"/>
          <w:highlight w:val="none"/>
        </w:rPr>
        <w:t>报价一览表</w:t>
      </w:r>
    </w:p>
    <w:p>
      <w:pPr>
        <w:shd w:val="clear"/>
        <w:spacing w:line="360" w:lineRule="auto"/>
        <w:ind w:left="503" w:leftChars="226" w:hanging="29" w:hangingChars="14"/>
        <w:rPr>
          <w:rFonts w:hint="eastAsia" w:ascii="宋体" w:hAnsi="宋体" w:eastAsia="宋体"/>
          <w:color w:val="auto"/>
          <w:szCs w:val="21"/>
          <w:highlight w:val="none"/>
          <w:lang w:eastAsia="zh-CN"/>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lang w:val="en-US" w:eastAsia="zh-CN"/>
        </w:rPr>
        <w:t>施工组织设计</w:t>
      </w:r>
    </w:p>
    <w:p>
      <w:pPr>
        <w:shd w:val="clear"/>
        <w:spacing w:line="360" w:lineRule="auto"/>
        <w:ind w:left="522" w:leftChars="236" w:hanging="27" w:hangingChars="13"/>
        <w:rPr>
          <w:rFonts w:hint="default" w:ascii="宋体" w:hAnsi="宋体" w:eastAsia="宋体"/>
          <w:color w:val="auto"/>
          <w:szCs w:val="21"/>
          <w:highlight w:val="none"/>
          <w:lang w:val="en-US" w:eastAsia="zh-CN"/>
        </w:rPr>
      </w:pPr>
      <w:r>
        <w:rPr>
          <w:rFonts w:hint="eastAsia" w:ascii="宋体" w:hAnsi="宋体"/>
          <w:color w:val="auto"/>
          <w:szCs w:val="21"/>
          <w:highlight w:val="none"/>
        </w:rPr>
        <w:t>（4）商务条款偏离表</w:t>
      </w:r>
    </w:p>
    <w:p>
      <w:pPr>
        <w:shd w:val="clear"/>
        <w:spacing w:line="360" w:lineRule="auto"/>
        <w:ind w:left="503" w:leftChars="226" w:hanging="29" w:hangingChars="14"/>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供应商认为需要提供的其他文件和资料</w:t>
      </w:r>
    </w:p>
    <w:p>
      <w:pPr>
        <w:shd w:val="clear"/>
        <w:spacing w:line="360" w:lineRule="auto"/>
        <w:ind w:left="522" w:leftChars="236" w:hanging="27" w:hangingChars="13"/>
        <w:rPr>
          <w:rFonts w:hint="eastAsia" w:ascii="宋体" w:hAnsi="宋体"/>
          <w:b/>
          <w:color w:val="auto"/>
          <w:sz w:val="30"/>
          <w:szCs w:val="30"/>
          <w:highlight w:val="none"/>
        </w:rPr>
      </w:pPr>
      <w:r>
        <w:rPr>
          <w:rFonts w:hint="eastAsia" w:ascii="宋体" w:hAnsi="宋体"/>
          <w:color w:val="auto"/>
          <w:szCs w:val="21"/>
          <w:highlight w:val="none"/>
        </w:rPr>
        <w:t>（6）</w:t>
      </w:r>
      <w:r>
        <w:rPr>
          <w:rFonts w:hint="eastAsia" w:ascii="宋体" w:hAnsi="宋体" w:cs="Times New Roman"/>
          <w:color w:val="auto"/>
          <w:szCs w:val="21"/>
          <w:highlight w:val="none"/>
          <w:lang w:eastAsia="zh-CN"/>
        </w:rPr>
        <w:t>陕西省政府采购供应商拒绝政府采购领域商业贿赂承诺书</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4.3</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报价</w:t>
      </w:r>
    </w:p>
    <w:p>
      <w:pPr>
        <w:spacing w:line="360" w:lineRule="auto"/>
        <w:ind w:firstLine="411" w:firstLineChars="196"/>
        <w:rPr>
          <w:rFonts w:hint="eastAsia" w:ascii="宋体" w:hAnsi="宋体"/>
          <w:color w:val="auto"/>
          <w:szCs w:val="21"/>
        </w:rPr>
      </w:pPr>
      <w:r>
        <w:rPr>
          <w:rFonts w:hint="eastAsia" w:ascii="宋体" w:hAnsi="宋体"/>
          <w:color w:val="auto"/>
          <w:szCs w:val="21"/>
        </w:rPr>
        <w:t xml:space="preserve">4.3.1 </w:t>
      </w:r>
      <w:r>
        <w:rPr>
          <w:rFonts w:hint="eastAsia" w:ascii="宋体" w:hAnsi="宋体"/>
          <w:bCs/>
          <w:color w:val="auto"/>
          <w:szCs w:val="21"/>
        </w:rPr>
        <w:t>供应商应当</w:t>
      </w:r>
      <w:r>
        <w:rPr>
          <w:rFonts w:hint="eastAsia" w:ascii="宋体" w:hAnsi="宋体"/>
          <w:color w:val="auto"/>
          <w:szCs w:val="21"/>
        </w:rPr>
        <w:t>按照谈判文件确定的采购工程范围内全部工作内容进行谈判报价，并充分了解本工程项目的总体情况以及影响谈判报价的其他要素。</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4.3.2 </w:t>
      </w:r>
      <w:r>
        <w:rPr>
          <w:rFonts w:hint="eastAsia" w:ascii="宋体" w:hAnsi="宋体" w:cs="宋体"/>
          <w:color w:val="auto"/>
          <w:kern w:val="0"/>
          <w:szCs w:val="21"/>
        </w:rPr>
        <w:t>供应商的谈判报价</w:t>
      </w:r>
      <w:r>
        <w:rPr>
          <w:rFonts w:hint="eastAsia" w:ascii="宋体" w:hAnsi="宋体"/>
          <w:color w:val="auto"/>
          <w:szCs w:val="21"/>
        </w:rPr>
        <w:t>包括施工机械使用费、人工费、材料与设备费、其他（运杂费、质检费、安装费、缺陷修复费、保险费，以及合同明示或暗示的风险、责任和义务等），以及管理费、税金、利润、采购代理服务费等所有费用，并符合建设工程计价规则。</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4.3.3 本项目将根据谈判的具体情况来确定谈判轮次，最终一轮谈判报价为最后报价。</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4.3.4供应商的各轮次谈判报价不得超过供应商须知前附表规定的预算金额，否则，作为不实质性响应谈判文件，按</w:t>
      </w:r>
      <w:r>
        <w:rPr>
          <w:rFonts w:hint="eastAsia" w:ascii="宋体" w:hAnsi="宋体"/>
          <w:b/>
          <w:color w:val="auto"/>
          <w:szCs w:val="21"/>
        </w:rPr>
        <w:t>无效响应文件</w:t>
      </w:r>
      <w:r>
        <w:rPr>
          <w:rFonts w:hint="eastAsia" w:ascii="宋体" w:hAnsi="宋体"/>
          <w:color w:val="auto"/>
          <w:szCs w:val="21"/>
        </w:rPr>
        <w:t>处理；供应商须知前附表设定了最高限价的，供应商的各轮次谈判报价也不得超过最高限价，否则，作为不实质性响应谈判文件，按</w:t>
      </w:r>
      <w:r>
        <w:rPr>
          <w:rFonts w:hint="eastAsia" w:ascii="宋体" w:hAnsi="宋体"/>
          <w:b/>
          <w:color w:val="auto"/>
          <w:szCs w:val="21"/>
        </w:rPr>
        <w:t>无效响应文件</w:t>
      </w:r>
      <w:r>
        <w:rPr>
          <w:rFonts w:hint="eastAsia" w:ascii="宋体" w:hAnsi="宋体"/>
          <w:color w:val="auto"/>
          <w:szCs w:val="21"/>
        </w:rPr>
        <w:t>处理。</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4.3.5 供应商首次提交的响应文件，</w:t>
      </w:r>
      <w:r>
        <w:rPr>
          <w:rFonts w:hint="eastAsia" w:ascii="宋体" w:hAnsi="宋体" w:cs="宋体"/>
          <w:color w:val="auto"/>
          <w:kern w:val="0"/>
          <w:szCs w:val="21"/>
        </w:rPr>
        <w:t>应按</w:t>
      </w:r>
      <w:r>
        <w:rPr>
          <w:rFonts w:hint="eastAsia" w:ascii="宋体" w:hAnsi="宋体"/>
          <w:color w:val="auto"/>
          <w:szCs w:val="21"/>
        </w:rPr>
        <w:t>“谈判报价一览表”及“报价明细表</w:t>
      </w:r>
      <w:r>
        <w:rPr>
          <w:rFonts w:hint="eastAsia" w:ascii="宋体" w:hAnsi="宋体" w:cs="宋体"/>
          <w:color w:val="auto"/>
          <w:kern w:val="0"/>
          <w:szCs w:val="21"/>
        </w:rPr>
        <w:t>（已标价工程量清单）</w:t>
      </w:r>
      <w:r>
        <w:rPr>
          <w:rFonts w:hint="eastAsia" w:ascii="宋体" w:hAnsi="宋体"/>
          <w:color w:val="auto"/>
          <w:szCs w:val="21"/>
        </w:rPr>
        <w:t>”</w:t>
      </w:r>
      <w:r>
        <w:rPr>
          <w:rFonts w:hint="eastAsia" w:ascii="宋体" w:hAnsi="宋体" w:cs="宋体"/>
          <w:color w:val="auto"/>
          <w:kern w:val="0"/>
          <w:szCs w:val="21"/>
        </w:rPr>
        <w:t>的内容</w:t>
      </w:r>
      <w:r>
        <w:rPr>
          <w:rFonts w:hint="eastAsia" w:ascii="宋体" w:hAnsi="宋体"/>
          <w:color w:val="auto"/>
          <w:szCs w:val="21"/>
        </w:rPr>
        <w:t>和格式要求自主报价。填写的项目编码、项目名称、项目特征、计量单位、工程量应与采购人提供的一致，包括但不限于分部分项工程、措施项目、其他项目、规费及税金等。其中安全文明施工费、暂定金额、暂估价、规费及税金应按工程量清单（总说明）的要求计取。</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供应商对工程量清单中的分部分项工程量清单项目的单价未填报或填报为零的，视为单价遗漏。出现单价遗漏情况，视为其费用已分摊在工程量清单其他相关子目的单价（价格）之中。如成交，供应商应完成该项目，但该项目不得另行计价。</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谈判报价中不得包含谈判文件要求以外的内容，否则，在评审时不予核减。供应商首次谈判报价如只有总价而无明细报价，或者只有明细报价而无总报价的，将视为</w:t>
      </w:r>
      <w:r>
        <w:rPr>
          <w:rFonts w:hint="eastAsia" w:ascii="宋体" w:hAnsi="宋体"/>
          <w:b/>
          <w:color w:val="auto"/>
          <w:szCs w:val="21"/>
        </w:rPr>
        <w:t>无效响应文件</w:t>
      </w:r>
      <w:r>
        <w:rPr>
          <w:rFonts w:hint="eastAsia" w:ascii="宋体" w:hAnsi="宋体"/>
          <w:color w:val="auto"/>
          <w:szCs w:val="21"/>
        </w:rPr>
        <w:t>。</w:t>
      </w:r>
    </w:p>
    <w:p>
      <w:pPr>
        <w:shd w:val="clea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4.3.6 </w:t>
      </w:r>
      <w:r>
        <w:rPr>
          <w:rFonts w:hint="eastAsia" w:ascii="宋体" w:hAnsi="宋体" w:cs="宋体"/>
          <w:b/>
          <w:color w:val="auto"/>
          <w:kern w:val="0"/>
          <w:szCs w:val="21"/>
        </w:rPr>
        <w:t>供应商除首次谈判报价外，其余轮次报价只报总价，</w:t>
      </w:r>
      <w:r>
        <w:rPr>
          <w:rFonts w:hint="eastAsia" w:ascii="宋体" w:hAnsi="宋体" w:cs="宋体"/>
          <w:color w:val="auto"/>
          <w:kern w:val="0"/>
          <w:szCs w:val="21"/>
        </w:rPr>
        <w:t>不再填报报价明细表（已标价工程量清单），由供应商法定代表人签名或者委托代理人签名或者加盖单位章确认。由委托代理人签名的，应附法定代表人授权委托书。</w:t>
      </w:r>
    </w:p>
    <w:p>
      <w:pPr>
        <w:pStyle w:val="18"/>
        <w:adjustRightInd w:val="0"/>
        <w:snapToGrid w:val="0"/>
        <w:spacing w:line="360" w:lineRule="auto"/>
        <w:ind w:firstLine="420" w:firstLineChars="200"/>
        <w:rPr>
          <w:rFonts w:hint="eastAsia" w:hAnsi="宋体"/>
          <w:b/>
          <w:color w:val="auto"/>
        </w:rPr>
      </w:pPr>
      <w:r>
        <w:rPr>
          <w:rFonts w:hint="eastAsia" w:hAnsi="宋体"/>
          <w:b/>
          <w:color w:val="auto"/>
        </w:rPr>
        <w:t>4.3.7 最后报价</w:t>
      </w:r>
    </w:p>
    <w:p>
      <w:pPr>
        <w:shd w:val="clear"/>
        <w:adjustRightInd w:val="0"/>
        <w:snapToGrid w:val="0"/>
        <w:spacing w:line="360" w:lineRule="auto"/>
        <w:ind w:firstLine="420" w:firstLineChars="200"/>
        <w:rPr>
          <w:rFonts w:hint="eastAsia" w:ascii="宋体" w:hAnsi="宋体"/>
          <w:color w:val="auto"/>
          <w:szCs w:val="21"/>
          <w:highlight w:val="none"/>
        </w:rPr>
      </w:pPr>
      <w:r>
        <w:rPr>
          <w:rFonts w:hint="eastAsia" w:hAnsi="宋体"/>
          <w:color w:val="auto"/>
        </w:rPr>
        <w:t>4.3.7.</w:t>
      </w:r>
      <w:r>
        <w:rPr>
          <w:rFonts w:hint="eastAsia" w:hAnsi="宋体"/>
          <w:color w:val="auto"/>
          <w:lang w:val="en-US" w:eastAsia="zh-CN"/>
        </w:rPr>
        <w:t>1</w:t>
      </w:r>
      <w:r>
        <w:rPr>
          <w:rFonts w:hint="eastAsia" w:hAnsi="宋体"/>
          <w:color w:val="auto"/>
        </w:rPr>
        <w:t>本工程项目采用综合单价据实结算方式。除国家规定不可调整外，其余按降价比例（最后报价/首次报价）进行综合单价调整</w:t>
      </w:r>
      <w:r>
        <w:rPr>
          <w:rFonts w:hint="eastAsia" w:hAnsi="宋体"/>
          <w:b/>
          <w:color w:val="auto"/>
        </w:rPr>
        <w:t>，</w:t>
      </w:r>
      <w:r>
        <w:rPr>
          <w:rFonts w:hint="eastAsia" w:hAnsi="宋体"/>
          <w:color w:val="auto"/>
        </w:rPr>
        <w:t>调整后价格</w:t>
      </w:r>
      <w:r>
        <w:rPr>
          <w:rFonts w:hint="eastAsia" w:hAnsi="宋体" w:cs="仿宋"/>
          <w:color w:val="auto"/>
        </w:rPr>
        <w:t>作</w:t>
      </w:r>
      <w:r>
        <w:rPr>
          <w:rFonts w:hint="eastAsia" w:hAnsi="宋体"/>
          <w:color w:val="auto"/>
        </w:rPr>
        <w:t>为工程变更及竣工结算的依据，在合同执行过程中是固定不变的，不得以任何理由予以变更。以可变动价格提交的报价将被认为是非实质响应而被拒绝。成交后供应商不得擅自改变工程范围内容、质量标准和工期。</w:t>
      </w:r>
    </w:p>
    <w:p>
      <w:pPr>
        <w:shd w:val="clear"/>
        <w:adjustRightInd w:val="0"/>
        <w:snapToGrid w:val="0"/>
        <w:spacing w:line="360" w:lineRule="auto"/>
        <w:ind w:firstLine="420" w:firstLineChars="200"/>
        <w:rPr>
          <w:rFonts w:ascii="宋体" w:hAnsi="宋体"/>
          <w:color w:val="FF0000"/>
          <w:szCs w:val="21"/>
          <w:highlight w:val="none"/>
        </w:rPr>
      </w:pPr>
      <w:r>
        <w:rPr>
          <w:rFonts w:hint="eastAsia" w:ascii="宋体" w:hAnsi="宋体"/>
          <w:color w:val="auto"/>
          <w:szCs w:val="21"/>
          <w:highlight w:val="none"/>
        </w:rPr>
        <w:t>4.3.</w:t>
      </w:r>
      <w:r>
        <w:rPr>
          <w:rFonts w:hint="eastAsia" w:ascii="宋体" w:hAnsi="宋体"/>
          <w:color w:val="auto"/>
          <w:szCs w:val="21"/>
          <w:highlight w:val="none"/>
          <w:lang w:val="en-US" w:eastAsia="zh-CN"/>
        </w:rPr>
        <w:t>7.2</w:t>
      </w:r>
      <w:r>
        <w:rPr>
          <w:rFonts w:hint="eastAsia" w:ascii="宋体" w:hAnsi="宋体"/>
          <w:color w:val="auto"/>
          <w:szCs w:val="21"/>
          <w:highlight w:val="none"/>
        </w:rPr>
        <w:t xml:space="preserve"> 成交后供应商不得擅自改变</w:t>
      </w:r>
      <w:r>
        <w:rPr>
          <w:rFonts w:hint="eastAsia" w:ascii="宋体" w:hAnsi="宋体"/>
          <w:color w:val="auto"/>
          <w:szCs w:val="21"/>
          <w:highlight w:val="none"/>
          <w:lang w:val="en-US" w:eastAsia="zh-CN"/>
        </w:rPr>
        <w:t>工程</w:t>
      </w:r>
      <w:r>
        <w:rPr>
          <w:rFonts w:hint="eastAsia" w:ascii="宋体" w:hAnsi="宋体"/>
          <w:color w:val="auto"/>
          <w:szCs w:val="21"/>
          <w:highlight w:val="none"/>
        </w:rPr>
        <w:t>内容、</w:t>
      </w:r>
      <w:r>
        <w:rPr>
          <w:rFonts w:hint="eastAsia" w:ascii="宋体" w:hAnsi="宋体"/>
          <w:color w:val="auto"/>
          <w:szCs w:val="21"/>
          <w:highlight w:val="none"/>
          <w:lang w:val="en-US" w:eastAsia="zh-CN"/>
        </w:rPr>
        <w:t>质量</w:t>
      </w:r>
      <w:r>
        <w:rPr>
          <w:rFonts w:hint="eastAsia" w:ascii="宋体" w:hAnsi="宋体"/>
          <w:color w:val="auto"/>
          <w:szCs w:val="21"/>
          <w:highlight w:val="none"/>
        </w:rPr>
        <w:t>标准、</w:t>
      </w:r>
      <w:r>
        <w:rPr>
          <w:rFonts w:hint="eastAsia" w:ascii="宋体" w:hAnsi="宋体"/>
          <w:color w:val="auto"/>
          <w:szCs w:val="21"/>
          <w:highlight w:val="none"/>
          <w:lang w:val="en-US" w:eastAsia="zh-CN"/>
        </w:rPr>
        <w:t>工期</w:t>
      </w:r>
      <w:r>
        <w:rPr>
          <w:rFonts w:hint="eastAsia" w:ascii="宋体" w:hAnsi="宋体"/>
          <w:color w:val="auto"/>
          <w:szCs w:val="21"/>
          <w:highlight w:val="none"/>
        </w:rPr>
        <w:t>和追加项目预算。</w:t>
      </w:r>
      <w:r>
        <w:rPr>
          <w:rFonts w:hint="eastAsia" w:ascii="宋体" w:hAnsi="宋体"/>
          <w:color w:val="auto"/>
          <w:szCs w:val="21"/>
          <w:highlight w:val="none"/>
          <w:lang w:eastAsia="zh-CN"/>
        </w:rPr>
        <w:t>谈判</w:t>
      </w:r>
      <w:r>
        <w:rPr>
          <w:rFonts w:hint="eastAsia" w:ascii="宋体" w:hAnsi="宋体"/>
          <w:color w:val="auto"/>
          <w:szCs w:val="21"/>
          <w:highlight w:val="none"/>
        </w:rPr>
        <w:t>报价在合同履行过程中是固定不变的，任何有选择或可调整的报价将不予接受，并按无效响应文件处理。</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w:t>
      </w:r>
      <w:r>
        <w:rPr>
          <w:rFonts w:hint="eastAsia" w:ascii="宋体" w:hAnsi="宋体"/>
          <w:color w:val="auto"/>
          <w:szCs w:val="21"/>
          <w:highlight w:val="none"/>
          <w:lang w:val="en-US" w:eastAsia="zh-CN"/>
        </w:rPr>
        <w:t>7.3</w:t>
      </w:r>
      <w:r>
        <w:rPr>
          <w:rFonts w:hint="eastAsia" w:ascii="宋体" w:hAnsi="宋体"/>
          <w:color w:val="auto"/>
          <w:szCs w:val="21"/>
          <w:highlight w:val="none"/>
        </w:rPr>
        <w:t xml:space="preserve"> 采购人不接受供应商给予的赠品、回扣或者与采购无关的其他商品、服务。如有赠与行为，其响应文件无效。</w:t>
      </w:r>
    </w:p>
    <w:p>
      <w:pPr>
        <w:shd w:val="clear"/>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4.4</w:t>
      </w:r>
      <w:r>
        <w:rPr>
          <w:rFonts w:hint="eastAsia" w:ascii="宋体" w:hAnsi="宋体"/>
          <w:b/>
          <w:bCs/>
          <w:color w:val="auto"/>
          <w:sz w:val="30"/>
          <w:szCs w:val="30"/>
          <w:highlight w:val="none"/>
          <w:lang w:eastAsia="zh-CN"/>
        </w:rPr>
        <w:t>谈判</w:t>
      </w:r>
      <w:r>
        <w:rPr>
          <w:rFonts w:hint="eastAsia" w:ascii="宋体" w:hAnsi="宋体"/>
          <w:b/>
          <w:bCs/>
          <w:color w:val="auto"/>
          <w:sz w:val="30"/>
          <w:szCs w:val="30"/>
          <w:highlight w:val="none"/>
        </w:rPr>
        <w:t>有效期</w:t>
      </w:r>
    </w:p>
    <w:p>
      <w:pPr>
        <w:shd w:val="clear"/>
        <w:tabs>
          <w:tab w:val="left" w:pos="7665"/>
        </w:tabs>
        <w:spacing w:line="360" w:lineRule="auto"/>
        <w:ind w:left="12" w:leftChars="6" w:firstLine="420" w:firstLineChars="200"/>
        <w:rPr>
          <w:rFonts w:ascii="宋体" w:hAnsi="宋体"/>
          <w:color w:val="auto"/>
          <w:szCs w:val="21"/>
          <w:highlight w:val="none"/>
        </w:rPr>
      </w:pPr>
      <w:r>
        <w:rPr>
          <w:rFonts w:hint="eastAsia" w:ascii="宋体" w:hAnsi="宋体"/>
          <w:color w:val="auto"/>
          <w:szCs w:val="21"/>
          <w:highlight w:val="none"/>
        </w:rPr>
        <w:t>4.4.1</w:t>
      </w:r>
      <w:r>
        <w:rPr>
          <w:rFonts w:hint="eastAsia" w:ascii="宋体" w:hAnsi="宋体"/>
          <w:color w:val="auto"/>
          <w:szCs w:val="21"/>
          <w:highlight w:val="none"/>
          <w:lang w:eastAsia="zh-CN"/>
        </w:rPr>
        <w:t>谈判</w:t>
      </w:r>
      <w:r>
        <w:rPr>
          <w:rFonts w:hint="eastAsia" w:ascii="宋体" w:hAnsi="宋体"/>
          <w:color w:val="auto"/>
          <w:szCs w:val="21"/>
          <w:highlight w:val="none"/>
        </w:rPr>
        <w:t>有效期见供应商须知前附表。</w:t>
      </w:r>
      <w:r>
        <w:rPr>
          <w:rFonts w:hint="eastAsia" w:hAnsi="宋体"/>
          <w:color w:val="auto"/>
          <w:highlight w:val="none"/>
        </w:rPr>
        <w:t>在此期间响应文件对供应商具有法律约束力，</w:t>
      </w:r>
      <w:r>
        <w:rPr>
          <w:rFonts w:hint="eastAsia" w:hAnsi="宋体" w:cs="Arial"/>
          <w:color w:val="auto"/>
          <w:highlight w:val="none"/>
        </w:rPr>
        <w:t>从</w:t>
      </w:r>
      <w:r>
        <w:rPr>
          <w:rFonts w:hint="eastAsia" w:hAnsi="宋体"/>
          <w:b/>
          <w:color w:val="auto"/>
          <w:highlight w:val="none"/>
        </w:rPr>
        <w:t>供应商须知前附表规定</w:t>
      </w:r>
      <w:r>
        <w:rPr>
          <w:rFonts w:hint="eastAsia" w:hAnsi="宋体"/>
          <w:color w:val="auto"/>
          <w:highlight w:val="none"/>
        </w:rPr>
        <w:t>的</w:t>
      </w:r>
      <w:r>
        <w:rPr>
          <w:rFonts w:hint="eastAsia" w:hAnsi="宋体" w:cs="宋体"/>
          <w:color w:val="auto"/>
          <w:kern w:val="0"/>
          <w:highlight w:val="none"/>
        </w:rPr>
        <w:t>递交首次响应文件截止时间</w:t>
      </w:r>
      <w:r>
        <w:rPr>
          <w:rFonts w:hint="eastAsia" w:hAnsi="宋体"/>
          <w:color w:val="auto"/>
          <w:highlight w:val="none"/>
        </w:rPr>
        <w:t>之日</w:t>
      </w:r>
      <w:r>
        <w:rPr>
          <w:rFonts w:hint="eastAsia" w:hAnsi="宋体" w:cs="Arial"/>
          <w:color w:val="auto"/>
          <w:highlight w:val="none"/>
        </w:rPr>
        <w:t>起计算。</w:t>
      </w:r>
      <w:r>
        <w:rPr>
          <w:rFonts w:hint="eastAsia" w:ascii="宋体" w:hAnsi="宋体"/>
          <w:color w:val="auto"/>
          <w:szCs w:val="21"/>
          <w:highlight w:val="none"/>
        </w:rPr>
        <w:t>响应文件中必须载明</w:t>
      </w:r>
      <w:r>
        <w:rPr>
          <w:rFonts w:hint="eastAsia" w:ascii="宋体" w:hAnsi="宋体"/>
          <w:color w:val="auto"/>
          <w:szCs w:val="21"/>
          <w:highlight w:val="none"/>
          <w:lang w:eastAsia="zh-CN"/>
        </w:rPr>
        <w:t>谈判</w:t>
      </w:r>
      <w:r>
        <w:rPr>
          <w:rFonts w:hint="eastAsia" w:ascii="宋体" w:hAnsi="宋体"/>
          <w:color w:val="auto"/>
          <w:szCs w:val="21"/>
          <w:highlight w:val="none"/>
        </w:rPr>
        <w:t>有效期，载明的</w:t>
      </w:r>
      <w:r>
        <w:rPr>
          <w:rFonts w:hint="eastAsia" w:ascii="宋体" w:hAnsi="宋体"/>
          <w:color w:val="auto"/>
          <w:szCs w:val="21"/>
          <w:highlight w:val="none"/>
          <w:lang w:eastAsia="zh-CN"/>
        </w:rPr>
        <w:t>谈判</w:t>
      </w:r>
      <w:r>
        <w:rPr>
          <w:rFonts w:hint="eastAsia" w:ascii="宋体" w:hAnsi="宋体"/>
          <w:color w:val="auto"/>
          <w:szCs w:val="21"/>
          <w:highlight w:val="none"/>
        </w:rPr>
        <w:t>有效期可以长于</w:t>
      </w:r>
      <w:r>
        <w:rPr>
          <w:rFonts w:hint="eastAsia" w:ascii="宋体" w:hAnsi="宋体"/>
          <w:color w:val="auto"/>
          <w:szCs w:val="21"/>
          <w:highlight w:val="none"/>
          <w:lang w:eastAsia="zh-CN"/>
        </w:rPr>
        <w:t>谈判</w:t>
      </w:r>
      <w:r>
        <w:rPr>
          <w:rFonts w:hint="eastAsia" w:ascii="宋体" w:hAnsi="宋体"/>
          <w:color w:val="auto"/>
          <w:szCs w:val="21"/>
          <w:highlight w:val="none"/>
        </w:rPr>
        <w:t>文件规定的期限，但不得短于</w:t>
      </w:r>
      <w:r>
        <w:rPr>
          <w:rFonts w:hint="eastAsia" w:ascii="宋体" w:hAnsi="宋体"/>
          <w:color w:val="auto"/>
          <w:szCs w:val="21"/>
          <w:highlight w:val="none"/>
          <w:lang w:eastAsia="zh-CN"/>
        </w:rPr>
        <w:t>谈判</w:t>
      </w:r>
      <w:r>
        <w:rPr>
          <w:rFonts w:hint="eastAsia" w:ascii="宋体" w:hAnsi="宋体"/>
          <w:color w:val="auto"/>
          <w:szCs w:val="21"/>
          <w:highlight w:val="none"/>
        </w:rPr>
        <w:t>文件规定的期限，否则，属于非实质性响应，将按无效响应文件处理。</w:t>
      </w:r>
    </w:p>
    <w:p>
      <w:pPr>
        <w:shd w:val="clear"/>
        <w:tabs>
          <w:tab w:val="left" w:pos="7665"/>
        </w:tabs>
        <w:spacing w:line="360" w:lineRule="auto"/>
        <w:ind w:left="12" w:leftChars="6" w:firstLine="420" w:firstLineChars="200"/>
        <w:rPr>
          <w:rFonts w:ascii="宋体" w:hAnsi="宋体"/>
          <w:color w:val="auto"/>
          <w:szCs w:val="21"/>
          <w:highlight w:val="none"/>
        </w:rPr>
      </w:pPr>
      <w:r>
        <w:rPr>
          <w:rFonts w:hint="eastAsia" w:ascii="宋体" w:hAnsi="宋体"/>
          <w:color w:val="auto"/>
          <w:szCs w:val="21"/>
          <w:highlight w:val="none"/>
        </w:rPr>
        <w:t>4.4.2 出现特殊情况需要延长</w:t>
      </w:r>
      <w:r>
        <w:rPr>
          <w:rFonts w:hint="eastAsia" w:ascii="宋体" w:hAnsi="宋体"/>
          <w:color w:val="auto"/>
          <w:szCs w:val="21"/>
          <w:highlight w:val="none"/>
          <w:lang w:eastAsia="zh-CN"/>
        </w:rPr>
        <w:t>谈判</w:t>
      </w:r>
      <w:r>
        <w:rPr>
          <w:rFonts w:hint="eastAsia" w:ascii="宋体" w:hAnsi="宋体"/>
          <w:color w:val="auto"/>
          <w:szCs w:val="21"/>
          <w:highlight w:val="none"/>
        </w:rPr>
        <w:t>有效期的，采购代理机构或采购人可于</w:t>
      </w:r>
      <w:r>
        <w:rPr>
          <w:rFonts w:hint="eastAsia" w:ascii="宋体" w:hAnsi="宋体"/>
          <w:color w:val="auto"/>
          <w:szCs w:val="21"/>
          <w:highlight w:val="none"/>
          <w:lang w:eastAsia="zh-CN"/>
        </w:rPr>
        <w:t>谈判</w:t>
      </w:r>
      <w:r>
        <w:rPr>
          <w:rFonts w:hint="eastAsia" w:ascii="宋体" w:hAnsi="宋体"/>
          <w:color w:val="auto"/>
          <w:szCs w:val="21"/>
          <w:highlight w:val="none"/>
        </w:rPr>
        <w:t>有效期满之前，以书面形式通知所有供应商延长</w:t>
      </w:r>
      <w:r>
        <w:rPr>
          <w:rFonts w:hint="eastAsia" w:ascii="宋体" w:hAnsi="宋体"/>
          <w:color w:val="auto"/>
          <w:szCs w:val="21"/>
          <w:highlight w:val="none"/>
          <w:lang w:eastAsia="zh-CN"/>
        </w:rPr>
        <w:t>谈判</w:t>
      </w:r>
      <w:r>
        <w:rPr>
          <w:rFonts w:hint="eastAsia" w:ascii="宋体" w:hAnsi="宋体"/>
          <w:color w:val="auto"/>
          <w:szCs w:val="21"/>
          <w:highlight w:val="none"/>
        </w:rPr>
        <w:t>有效期。供应商应予书面答复，同意延长的，应相应延长其</w:t>
      </w:r>
      <w:r>
        <w:rPr>
          <w:rFonts w:hint="eastAsia" w:ascii="宋体" w:hAnsi="宋体"/>
          <w:color w:val="auto"/>
          <w:szCs w:val="21"/>
          <w:highlight w:val="none"/>
          <w:lang w:eastAsia="zh-CN"/>
        </w:rPr>
        <w:t>谈判</w:t>
      </w:r>
      <w:r>
        <w:rPr>
          <w:rFonts w:hint="eastAsia" w:ascii="宋体" w:hAnsi="宋体"/>
          <w:color w:val="auto"/>
          <w:szCs w:val="21"/>
          <w:highlight w:val="none"/>
        </w:rPr>
        <w:t>保证金有效期，但不得要求或被允许修改其响应文件；供应商拒绝延长的，其响应文件失效，但供应商有权收回其</w:t>
      </w:r>
      <w:r>
        <w:rPr>
          <w:rFonts w:hint="eastAsia" w:ascii="宋体" w:hAnsi="宋体"/>
          <w:color w:val="auto"/>
          <w:szCs w:val="21"/>
          <w:highlight w:val="none"/>
          <w:lang w:eastAsia="zh-CN"/>
        </w:rPr>
        <w:t>谈判</w:t>
      </w:r>
      <w:r>
        <w:rPr>
          <w:rFonts w:hint="eastAsia" w:ascii="宋体" w:hAnsi="宋体"/>
          <w:color w:val="auto"/>
          <w:szCs w:val="21"/>
          <w:highlight w:val="none"/>
        </w:rPr>
        <w:t>保证金。</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4.4.3 在</w:t>
      </w:r>
      <w:r>
        <w:rPr>
          <w:rFonts w:hint="eastAsia" w:ascii="宋体" w:hAnsi="宋体"/>
          <w:color w:val="auto"/>
          <w:szCs w:val="21"/>
          <w:highlight w:val="none"/>
          <w:lang w:eastAsia="zh-CN"/>
        </w:rPr>
        <w:t>谈判</w:t>
      </w:r>
      <w:r>
        <w:rPr>
          <w:rFonts w:hint="eastAsia" w:ascii="宋体" w:hAnsi="宋体"/>
          <w:color w:val="auto"/>
          <w:szCs w:val="21"/>
          <w:highlight w:val="none"/>
        </w:rPr>
        <w:t>有效期内，供应商撤销响应文件的，应承担</w:t>
      </w:r>
      <w:r>
        <w:rPr>
          <w:rFonts w:hint="eastAsia" w:ascii="宋体" w:hAnsi="宋体"/>
          <w:color w:val="auto"/>
          <w:szCs w:val="21"/>
          <w:highlight w:val="none"/>
          <w:lang w:eastAsia="zh-CN"/>
        </w:rPr>
        <w:t>谈判</w:t>
      </w:r>
      <w:r>
        <w:rPr>
          <w:rFonts w:hint="eastAsia" w:ascii="宋体" w:hAnsi="宋体"/>
          <w:color w:val="auto"/>
          <w:szCs w:val="21"/>
          <w:highlight w:val="none"/>
        </w:rPr>
        <w:t>文件和法律规定的责任。</w:t>
      </w:r>
    </w:p>
    <w:p>
      <w:pPr>
        <w:shd w:val="clear"/>
        <w:tabs>
          <w:tab w:val="left" w:pos="7665"/>
        </w:tabs>
        <w:spacing w:line="360" w:lineRule="auto"/>
        <w:ind w:left="12" w:leftChars="6" w:firstLine="420" w:firstLineChars="200"/>
        <w:rPr>
          <w:rFonts w:ascii="宋体" w:hAnsi="宋体"/>
          <w:color w:val="auto"/>
          <w:szCs w:val="21"/>
          <w:highlight w:val="none"/>
        </w:rPr>
      </w:pPr>
      <w:r>
        <w:rPr>
          <w:rFonts w:hint="eastAsia" w:ascii="宋体" w:hAnsi="宋体"/>
          <w:color w:val="auto"/>
          <w:szCs w:val="21"/>
          <w:highlight w:val="none"/>
        </w:rPr>
        <w:t>4.4.4 成交供应商的</w:t>
      </w:r>
      <w:r>
        <w:rPr>
          <w:rFonts w:hint="eastAsia" w:ascii="宋体" w:hAnsi="宋体"/>
          <w:color w:val="auto"/>
          <w:szCs w:val="21"/>
          <w:highlight w:val="none"/>
          <w:lang w:eastAsia="zh-CN"/>
        </w:rPr>
        <w:t>谈判</w:t>
      </w:r>
      <w:r>
        <w:rPr>
          <w:rFonts w:hint="eastAsia" w:ascii="宋体" w:hAnsi="宋体"/>
          <w:color w:val="auto"/>
          <w:szCs w:val="21"/>
          <w:highlight w:val="none"/>
        </w:rPr>
        <w:t>有效期自动延长至合同终止为止。</w:t>
      </w:r>
    </w:p>
    <w:p>
      <w:pPr>
        <w:pStyle w:val="6"/>
        <w:shd w:val="clear"/>
        <w:spacing w:beforeLines="50" w:afterLines="50" w:line="360" w:lineRule="auto"/>
        <w:ind w:firstLine="0"/>
        <w:rPr>
          <w:rFonts w:ascii="宋体" w:hAnsi="宋体"/>
          <w:b/>
          <w:color w:val="auto"/>
          <w:sz w:val="30"/>
          <w:szCs w:val="30"/>
          <w:highlight w:val="none"/>
        </w:rPr>
      </w:pPr>
      <w:r>
        <w:rPr>
          <w:rFonts w:hint="eastAsia" w:ascii="宋体" w:hAnsi="宋体"/>
          <w:b/>
          <w:bCs/>
          <w:color w:val="auto"/>
          <w:sz w:val="30"/>
          <w:szCs w:val="30"/>
          <w:highlight w:val="none"/>
        </w:rPr>
        <w:t>4.5</w:t>
      </w:r>
      <w:r>
        <w:rPr>
          <w:rFonts w:hint="eastAsia" w:ascii="宋体" w:hAnsi="宋体"/>
          <w:b/>
          <w:bCs/>
          <w:color w:val="auto"/>
          <w:sz w:val="30"/>
          <w:szCs w:val="30"/>
          <w:highlight w:val="none"/>
          <w:lang w:eastAsia="zh-CN"/>
        </w:rPr>
        <w:t>谈判</w:t>
      </w:r>
      <w:r>
        <w:rPr>
          <w:rFonts w:hint="eastAsia" w:ascii="宋体" w:hAnsi="宋体"/>
          <w:b/>
          <w:bCs/>
          <w:color w:val="auto"/>
          <w:sz w:val="30"/>
          <w:szCs w:val="30"/>
          <w:highlight w:val="none"/>
        </w:rPr>
        <w:t>保证金</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lang w:eastAsia="zh-CN"/>
        </w:rPr>
        <w:t>根据</w:t>
      </w:r>
      <w:r>
        <w:rPr>
          <w:rFonts w:hint="eastAsia" w:ascii="宋体" w:hAnsi="宋体"/>
          <w:color w:val="auto"/>
          <w:szCs w:val="21"/>
        </w:rPr>
        <w:t>投标人须知前附表</w:t>
      </w:r>
      <w:r>
        <w:rPr>
          <w:rFonts w:hint="eastAsia" w:ascii="宋体" w:hAnsi="宋体"/>
          <w:color w:val="auto"/>
          <w:szCs w:val="21"/>
          <w:lang w:eastAsia="zh-CN"/>
        </w:rPr>
        <w:t>要求，本项目不要求</w:t>
      </w:r>
      <w:r>
        <w:rPr>
          <w:rFonts w:hint="eastAsia" w:ascii="宋体" w:hAnsi="宋体"/>
          <w:color w:val="auto"/>
          <w:szCs w:val="21"/>
        </w:rPr>
        <w:t>投标人提交投标保证金</w:t>
      </w:r>
      <w:r>
        <w:rPr>
          <w:rFonts w:hint="eastAsia" w:ascii="宋体" w:hAnsi="宋体"/>
          <w:color w:val="auto"/>
          <w:szCs w:val="21"/>
          <w:lang w:eastAsia="zh-CN"/>
        </w:rPr>
        <w:t>。</w:t>
      </w:r>
    </w:p>
    <w:p>
      <w:pPr>
        <w:shd w:val="clear"/>
        <w:tabs>
          <w:tab w:val="left" w:pos="7665"/>
        </w:tabs>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4.</w:t>
      </w:r>
      <w:r>
        <w:rPr>
          <w:rFonts w:hint="eastAsia" w:ascii="宋体" w:hAnsi="宋体"/>
          <w:b/>
          <w:bCs/>
          <w:color w:val="auto"/>
          <w:sz w:val="30"/>
          <w:szCs w:val="30"/>
          <w:highlight w:val="none"/>
          <w:lang w:val="en-US" w:eastAsia="zh-CN"/>
        </w:rPr>
        <w:t>6</w:t>
      </w:r>
      <w:r>
        <w:rPr>
          <w:rFonts w:hint="eastAsia" w:ascii="宋体" w:hAnsi="宋体"/>
          <w:b/>
          <w:bCs/>
          <w:color w:val="auto"/>
          <w:sz w:val="30"/>
          <w:szCs w:val="30"/>
          <w:highlight w:val="none"/>
        </w:rPr>
        <w:t xml:space="preserve"> 响应文件的制作和签署</w:t>
      </w:r>
    </w:p>
    <w:p>
      <w:pPr>
        <w:shd w:val="clear"/>
        <w:tabs>
          <w:tab w:val="left" w:pos="7665"/>
        </w:tabs>
        <w:spacing w:line="360" w:lineRule="auto"/>
        <w:ind w:left="12" w:leftChars="6"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.1 响应文件应根据</w:t>
      </w:r>
      <w:r>
        <w:rPr>
          <w:rFonts w:hint="eastAsia" w:ascii="宋体" w:hAnsi="宋体"/>
          <w:color w:val="auto"/>
          <w:szCs w:val="21"/>
          <w:highlight w:val="none"/>
          <w:lang w:eastAsia="zh-CN"/>
        </w:rPr>
        <w:t>谈判</w:t>
      </w:r>
      <w:r>
        <w:rPr>
          <w:rFonts w:hint="eastAsia" w:ascii="宋体" w:hAnsi="宋体"/>
          <w:color w:val="auto"/>
          <w:szCs w:val="21"/>
          <w:highlight w:val="none"/>
        </w:rPr>
        <w:t>文件的要求制作。供应商应填写全称，同时加盖单位章，签署、盖章和内容应完整，如有遗漏，将被视为无效响应文件。</w:t>
      </w:r>
    </w:p>
    <w:p>
      <w:pPr>
        <w:shd w:val="clear"/>
        <w:tabs>
          <w:tab w:val="left" w:pos="7665"/>
        </w:tabs>
        <w:spacing w:line="360" w:lineRule="auto"/>
        <w:ind w:left="12" w:leftChars="6"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.2 响应文件格式。供应商应严格按照第六章提供的“响应文件格式”编写相关内容。除明确允许供应商可以自行编写外，供应商不得以“响应文件格式”规定之外的方式填写相关内容。否则，供应商提供的响应文件将作为无效响应文件处理。</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.3 对于没有格式要求的响应文件由供应商自行编写。</w:t>
      </w:r>
    </w:p>
    <w:p>
      <w:pPr>
        <w:shd w:val="clea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.4 供应商应按“供应商须知前附表”规定的份数准备响应文件正本、副本和相应的电子文件。正本和副本封面右上角应清楚地标明“正本”或“副本”字样。当副本和正本有不一致的内容，以正本书面响应文件为准。</w:t>
      </w:r>
    </w:p>
    <w:p>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.5 响应文件的正本和副本均需打印或用不褪色、不变质的墨水书写，并由供应商的法定代表人或其委托代理人在规定签章处签字和盖章。</w:t>
      </w:r>
    </w:p>
    <w:p>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.6 响应文件的打印或书写应清楚工整，尽量避免行间插字、涂改或增删。如出现上述情况，改动之处应由供应商的法定代表人或其委托代理人签字或盖单位章。字迹潦草、表达不清或可能导致非唯一理解的响应文件可能视为无效响应文件。</w:t>
      </w:r>
    </w:p>
    <w:p>
      <w:pPr>
        <w:shd w:val="clea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.7 响应文件的正本和副本</w:t>
      </w:r>
      <w:r>
        <w:rPr>
          <w:rFonts w:hint="eastAsia" w:ascii="宋体" w:hAnsi="宋体"/>
          <w:color w:val="auto"/>
          <w:szCs w:val="21"/>
          <w:highlight w:val="none"/>
          <w:lang w:val="zh-CN"/>
        </w:rPr>
        <w:t>一律采用A4纸幅面，并</w:t>
      </w:r>
      <w:r>
        <w:rPr>
          <w:rFonts w:hint="eastAsia" w:ascii="宋体" w:hAnsi="宋体"/>
          <w:color w:val="auto"/>
          <w:szCs w:val="21"/>
          <w:highlight w:val="none"/>
        </w:rPr>
        <w:t>分别装订和编制目录。响应文件需分册装订的，具体分册装订要求见</w:t>
      </w:r>
      <w:r>
        <w:rPr>
          <w:rFonts w:hint="eastAsia" w:ascii="宋体" w:hAnsi="宋体"/>
          <w:color w:val="auto"/>
          <w:szCs w:val="21"/>
          <w:highlight w:val="none"/>
          <w:lang w:val="zh-CN"/>
        </w:rPr>
        <w:t>供应商须知前附表的规定。响应文件</w:t>
      </w:r>
      <w:r>
        <w:rPr>
          <w:rFonts w:hint="eastAsia" w:ascii="宋体" w:hAnsi="宋体"/>
          <w:color w:val="auto"/>
          <w:szCs w:val="21"/>
          <w:highlight w:val="none"/>
        </w:rPr>
        <w:t>胶装后，页面不可抽取，不得有活动页，无破损、不可拆分。</w:t>
      </w:r>
    </w:p>
    <w:p>
      <w:pPr>
        <w:shd w:val="clear"/>
        <w:spacing w:line="36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.8 电子文件制作要求。电子文件与纸质正本响应文件的内容应保持一致，具有同等法律效力。</w:t>
      </w:r>
    </w:p>
    <w:p>
      <w:pPr>
        <w:pStyle w:val="6"/>
        <w:shd w:val="clear"/>
        <w:spacing w:beforeLines="50" w:afterLines="50" w:line="360" w:lineRule="auto"/>
        <w:ind w:firstLine="0"/>
        <w:outlineLvl w:val="1"/>
        <w:rPr>
          <w:rFonts w:hint="eastAsia" w:ascii="黑体" w:hAnsi="黑体" w:eastAsia="黑体" w:cs="黑体"/>
          <w:b w:val="0"/>
          <w:bCs/>
          <w:color w:val="auto"/>
          <w:sz w:val="36"/>
          <w:szCs w:val="36"/>
          <w:highlight w:val="none"/>
        </w:rPr>
      </w:pPr>
      <w:bookmarkStart w:id="66" w:name="_Toc27222"/>
      <w:r>
        <w:rPr>
          <w:rFonts w:hint="eastAsia" w:ascii="黑体" w:hAnsi="黑体" w:eastAsia="黑体" w:cs="黑体"/>
          <w:b w:val="0"/>
          <w:bCs/>
          <w:color w:val="auto"/>
          <w:sz w:val="36"/>
          <w:szCs w:val="36"/>
          <w:highlight w:val="none"/>
        </w:rPr>
        <w:t>5.响应文件的提交</w:t>
      </w:r>
      <w:bookmarkEnd w:id="66"/>
    </w:p>
    <w:p>
      <w:pPr>
        <w:shd w:val="clear"/>
        <w:tabs>
          <w:tab w:val="left" w:pos="1080"/>
        </w:tabs>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5.1 响应文件内容要求</w:t>
      </w:r>
    </w:p>
    <w:p>
      <w:pPr>
        <w:shd w:val="clea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供应商应仔细阅读</w:t>
      </w:r>
      <w:r>
        <w:rPr>
          <w:rFonts w:hint="eastAsia" w:ascii="宋体" w:hAnsi="宋体"/>
          <w:color w:val="auto"/>
          <w:szCs w:val="21"/>
          <w:highlight w:val="none"/>
          <w:lang w:eastAsia="zh-CN"/>
        </w:rPr>
        <w:t>谈判</w:t>
      </w:r>
      <w:r>
        <w:rPr>
          <w:rFonts w:hint="eastAsia" w:ascii="宋体" w:hAnsi="宋体"/>
          <w:color w:val="auto"/>
          <w:szCs w:val="21"/>
          <w:highlight w:val="none"/>
        </w:rPr>
        <w:t>文件中的所有事项、格式、条款和要求，对</w:t>
      </w:r>
      <w:r>
        <w:rPr>
          <w:rFonts w:hint="eastAsia" w:ascii="宋体" w:hAnsi="宋体"/>
          <w:color w:val="auto"/>
          <w:szCs w:val="21"/>
          <w:highlight w:val="none"/>
          <w:lang w:eastAsia="zh-CN"/>
        </w:rPr>
        <w:t>谈判</w:t>
      </w:r>
      <w:r>
        <w:rPr>
          <w:rFonts w:hint="eastAsia" w:ascii="宋体" w:hAnsi="宋体"/>
          <w:color w:val="auto"/>
          <w:szCs w:val="21"/>
          <w:highlight w:val="none"/>
        </w:rPr>
        <w:t>文件的全部内容及要求作出实质性响应，提交相应资料。若分包，应以包为单位提交，不得在其中选项提交或将其中内容再行分解；否则，响应文件将视为无效响应文件。</w:t>
      </w:r>
    </w:p>
    <w:p>
      <w:pPr>
        <w:shd w:val="clear"/>
        <w:tabs>
          <w:tab w:val="left" w:pos="1080"/>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5.2 响应文件的密封和标记</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5.2.1 </w:t>
      </w:r>
      <w:r>
        <w:rPr>
          <w:rFonts w:hint="eastAsia" w:ascii="宋体" w:hAnsi="宋体"/>
          <w:color w:val="auto"/>
          <w:kern w:val="0"/>
          <w:szCs w:val="21"/>
          <w:highlight w:val="none"/>
        </w:rPr>
        <w:t>开启响应文件前，供应商应将响应文件所有正本、副本、电子文件全部密封。</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 xml:space="preserve">5.2.2 </w:t>
      </w:r>
      <w:r>
        <w:rPr>
          <w:rFonts w:hint="eastAsia" w:ascii="宋体" w:hAnsi="宋体"/>
          <w:color w:val="auto"/>
          <w:szCs w:val="21"/>
          <w:highlight w:val="none"/>
        </w:rPr>
        <w:t>响应文件装订、密封、装袋要求见供应商须知前附表，并在封套的封口处（缝隙处）加贴封条，应粘贴牢固，加盖密封章（供应商单位章）。</w:t>
      </w:r>
    </w:p>
    <w:p>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5.2.3 响应文件封套上应写明的内容见供应商须知前附表。</w:t>
      </w:r>
    </w:p>
    <w:p>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5.2.4 未按要求密封的响应文件，采购代理机构将予以拒收。</w:t>
      </w:r>
    </w:p>
    <w:p>
      <w:pPr>
        <w:shd w:val="clear"/>
        <w:tabs>
          <w:tab w:val="left" w:pos="1080"/>
        </w:tabs>
        <w:spacing w:beforeLines="50" w:afterLines="50" w:line="360" w:lineRule="auto"/>
        <w:rPr>
          <w:rFonts w:ascii="宋体" w:hAnsi="宋体"/>
          <w:b/>
          <w:color w:val="auto"/>
          <w:sz w:val="30"/>
          <w:szCs w:val="30"/>
          <w:highlight w:val="none"/>
        </w:rPr>
      </w:pPr>
      <w:r>
        <w:rPr>
          <w:rFonts w:hint="eastAsia" w:ascii="宋体" w:hAnsi="宋体"/>
          <w:b/>
          <w:bCs/>
          <w:color w:val="auto"/>
          <w:sz w:val="30"/>
          <w:szCs w:val="30"/>
          <w:highlight w:val="none"/>
        </w:rPr>
        <w:t>5.3 响应文件的提交</w:t>
      </w:r>
    </w:p>
    <w:p>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5.3.1 供应商应在供应商须知前附表规定的提交响应文件截止时间前提交响应文件。</w:t>
      </w:r>
    </w:p>
    <w:p>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5.3.2 供应商提交响应文件地点：见供应商须知前附表。</w:t>
      </w:r>
    </w:p>
    <w:p>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5.3.3 除供应商须知前附表另有规定外，供应商提交的响应文件不予退还。</w:t>
      </w:r>
    </w:p>
    <w:p>
      <w:pPr>
        <w:pStyle w:val="6"/>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5.3.4采购代理机构收到响应文件后，应当如实记载响应文件的送达时间、份数、密封情况和提交人等信息。</w:t>
      </w:r>
    </w:p>
    <w:p>
      <w:pPr>
        <w:shd w:val="clear"/>
        <w:tabs>
          <w:tab w:val="left" w:pos="851"/>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5.3.5 逾期送达的响应文件，采购代理机构将予以拒收。</w:t>
      </w:r>
    </w:p>
    <w:p>
      <w:pPr>
        <w:pStyle w:val="6"/>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5.3.6 本次</w:t>
      </w:r>
      <w:r>
        <w:rPr>
          <w:rFonts w:hint="eastAsia" w:ascii="宋体" w:hAnsi="宋体"/>
          <w:color w:val="auto"/>
          <w:szCs w:val="21"/>
          <w:highlight w:val="none"/>
          <w:lang w:eastAsia="zh-CN"/>
        </w:rPr>
        <w:t>谈判</w:t>
      </w:r>
      <w:r>
        <w:rPr>
          <w:rFonts w:hint="eastAsia" w:ascii="宋体" w:hAnsi="宋体"/>
          <w:color w:val="auto"/>
          <w:szCs w:val="21"/>
          <w:highlight w:val="none"/>
        </w:rPr>
        <w:t>不接受邮寄的响应文件。</w:t>
      </w:r>
    </w:p>
    <w:p>
      <w:pPr>
        <w:pStyle w:val="6"/>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5.3.7 需要供应商提供样品的，同响应文件一起提交。</w:t>
      </w:r>
    </w:p>
    <w:p>
      <w:pPr>
        <w:pStyle w:val="6"/>
        <w:shd w:val="clear"/>
        <w:spacing w:beforeLines="50" w:afterLines="50" w:line="360" w:lineRule="auto"/>
        <w:ind w:firstLine="0"/>
        <w:jc w:val="both"/>
        <w:rPr>
          <w:rFonts w:ascii="宋体" w:hAnsi="宋体"/>
          <w:b/>
          <w:color w:val="auto"/>
          <w:sz w:val="30"/>
          <w:szCs w:val="30"/>
          <w:highlight w:val="none"/>
        </w:rPr>
      </w:pPr>
      <w:r>
        <w:rPr>
          <w:rFonts w:hint="eastAsia" w:ascii="宋体" w:hAnsi="宋体"/>
          <w:b/>
          <w:bCs/>
          <w:color w:val="auto"/>
          <w:sz w:val="30"/>
          <w:szCs w:val="30"/>
          <w:highlight w:val="none"/>
        </w:rPr>
        <w:t xml:space="preserve">5.4 </w:t>
      </w:r>
      <w:r>
        <w:rPr>
          <w:rFonts w:hint="eastAsia" w:ascii="宋体" w:hAnsi="宋体" w:eastAsia="宋体" w:cs="Times New Roman"/>
          <w:b/>
          <w:bCs/>
          <w:color w:val="auto"/>
          <w:kern w:val="2"/>
          <w:sz w:val="30"/>
          <w:szCs w:val="30"/>
          <w:highlight w:val="none"/>
          <w:lang w:val="en-US" w:eastAsia="zh-CN" w:bidi="ar-SA"/>
        </w:rPr>
        <w:t>响应文件的修改和撤回</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5.4.1 在本章第5.3.1项规定的提交响应文件截止时间前，供应商可以补充、修改或者撤回已提交的响应文件，但应以书面形式通知采购代理机构。</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5.4.2 供应商的补充、修改或者撤回通知书，应由其法定代表人或委托代理人签署并盖单位章。补充、修改或者撤回通知书应按本章第5.2.2项规定进行密封，并在密封袋上标注“响应文件补充、修改”或“响应文件撤回通知”字样，“补充、修改文件”作为响应文件的组成部分。补充、修改内容与响应文件不一致的，以补充、修改的内容为准。</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5.4.3 供应商撤回响应文件的，采购代理机构自收到供应商书面撤回通知之日起5个工作日内退还已收取的</w:t>
      </w:r>
      <w:r>
        <w:rPr>
          <w:rFonts w:hint="eastAsia" w:ascii="宋体" w:hAnsi="宋体"/>
          <w:color w:val="auto"/>
          <w:szCs w:val="21"/>
          <w:highlight w:val="none"/>
          <w:lang w:eastAsia="zh-CN"/>
        </w:rPr>
        <w:t>谈判</w:t>
      </w:r>
      <w:r>
        <w:rPr>
          <w:rFonts w:hint="eastAsia" w:ascii="宋体" w:hAnsi="宋体"/>
          <w:color w:val="auto"/>
          <w:szCs w:val="21"/>
          <w:highlight w:val="none"/>
        </w:rPr>
        <w:t>保证金。</w:t>
      </w:r>
    </w:p>
    <w:p>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5.4.4 在提交响应文件截止时间之后，供应商不得对其提交的响应文件做任何补充、修改或者撤销响应文件。</w:t>
      </w:r>
    </w:p>
    <w:p>
      <w:pPr>
        <w:pStyle w:val="6"/>
        <w:shd w:val="clear"/>
        <w:spacing w:beforeLines="50" w:afterLines="50" w:line="360" w:lineRule="auto"/>
        <w:ind w:firstLine="0"/>
        <w:outlineLvl w:val="1"/>
        <w:rPr>
          <w:rFonts w:hint="eastAsia" w:ascii="黑体" w:hAnsi="黑体" w:eastAsia="黑体" w:cs="黑体"/>
          <w:b w:val="0"/>
          <w:bCs/>
          <w:color w:val="auto"/>
          <w:sz w:val="36"/>
          <w:szCs w:val="36"/>
          <w:highlight w:val="none"/>
        </w:rPr>
      </w:pPr>
      <w:bookmarkStart w:id="67" w:name="_Toc14331"/>
      <w:r>
        <w:rPr>
          <w:rFonts w:hint="eastAsia" w:ascii="黑体" w:hAnsi="黑体" w:eastAsia="黑体" w:cs="黑体"/>
          <w:b w:val="0"/>
          <w:bCs/>
          <w:color w:val="auto"/>
          <w:sz w:val="36"/>
          <w:szCs w:val="36"/>
          <w:highlight w:val="none"/>
        </w:rPr>
        <w:t>6.开启响应文件</w:t>
      </w:r>
      <w:bookmarkEnd w:id="67"/>
    </w:p>
    <w:p>
      <w:pPr>
        <w:shd w:val="clear"/>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6.1开启响应文件的时间和地点</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 采购代理机构在供应商须知前附表中规定的开启响应文件时间和地点开启响应文件，并邀请采购人、所有获取</w:t>
      </w:r>
      <w:r>
        <w:rPr>
          <w:rFonts w:hint="eastAsia" w:ascii="宋体" w:hAnsi="宋体"/>
          <w:color w:val="auto"/>
          <w:szCs w:val="21"/>
          <w:highlight w:val="none"/>
          <w:lang w:eastAsia="zh-CN"/>
        </w:rPr>
        <w:t>谈判</w:t>
      </w:r>
      <w:r>
        <w:rPr>
          <w:rFonts w:hint="eastAsia" w:ascii="宋体" w:hAnsi="宋体"/>
          <w:color w:val="auto"/>
          <w:szCs w:val="21"/>
          <w:highlight w:val="none"/>
        </w:rPr>
        <w:t>文件的供应商派代表准时参加并签到以证明其出席。</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6.1.2 采购代理机构将邀请有关监督管理机构对开启响应文件现场进行监督。</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6.1.3供应商不足3家的，不得开启响应文件。</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6.2 开启响应文件程序</w:t>
      </w:r>
    </w:p>
    <w:p>
      <w:pPr>
        <w:pStyle w:val="25"/>
        <w:shd w:val="clear"/>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6.2.1 根据财政部《中华人民共和国政府采购法》</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《政府采购非招标采购方式管理办法》和《陕西省财政厅关于政府采购有关问题的通知》（陕财办采资[2016]53号）文件第六条规定，开启响应文件和每轮</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结束时均不公开报价。</w:t>
      </w:r>
    </w:p>
    <w:p>
      <w:pPr>
        <w:pStyle w:val="25"/>
        <w:shd w:val="clear"/>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6.2.2开启响应文件由采购代理机构主持。主持人按照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文件规定的开启响应文件时间宣布开启响应文件开始，并按下列程序进行（但不限于）：</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（1）宣布开启响应文件开始和开启录音录像设备并致辞；</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（2）宣布开启响应文件纪律和有关注意事项；</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（3）公布在提交响应文件截止时间前提交响应文件的供应商名称；</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（4）宣布参加开启响应文件的现场监督人员和主持人、会议记录等有关工作人员；</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（5）检查并宣布响应文件的密封情况； </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（6）启封响应文件；</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（7）启封响应文件结束，供应商退场；</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（8）向采购人及监督人员宣布供应商首次</w:t>
      </w:r>
      <w:r>
        <w:rPr>
          <w:rFonts w:hint="eastAsia" w:ascii="宋体" w:hAnsi="宋体"/>
          <w:color w:val="auto"/>
          <w:szCs w:val="21"/>
          <w:highlight w:val="none"/>
          <w:lang w:eastAsia="zh-CN"/>
        </w:rPr>
        <w:t>谈判</w:t>
      </w:r>
      <w:r>
        <w:rPr>
          <w:rFonts w:hint="eastAsia" w:ascii="宋体" w:hAnsi="宋体"/>
          <w:color w:val="auto"/>
          <w:szCs w:val="21"/>
          <w:highlight w:val="none"/>
        </w:rPr>
        <w:t>报价，并由监督人员确认；</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（9）开启响应文件结束。</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6.2.3 所有提交了响应文件的供应商在退场后，不要远离会场并</w:t>
      </w:r>
      <w:r>
        <w:rPr>
          <w:rFonts w:hint="eastAsia" w:ascii="宋体"/>
          <w:color w:val="auto"/>
          <w:szCs w:val="21"/>
          <w:highlight w:val="none"/>
        </w:rPr>
        <w:t>保持通讯设备的畅通，以方便后续</w:t>
      </w:r>
      <w:r>
        <w:rPr>
          <w:rFonts w:hint="eastAsia" w:ascii="宋体"/>
          <w:color w:val="auto"/>
          <w:szCs w:val="21"/>
          <w:highlight w:val="none"/>
          <w:lang w:eastAsia="zh-CN"/>
        </w:rPr>
        <w:t>谈判</w:t>
      </w:r>
      <w:r>
        <w:rPr>
          <w:rFonts w:hint="eastAsia" w:ascii="宋体"/>
          <w:color w:val="auto"/>
          <w:szCs w:val="21"/>
          <w:highlight w:val="none"/>
        </w:rPr>
        <w:t>和在评审过程中</w:t>
      </w:r>
      <w:r>
        <w:rPr>
          <w:rFonts w:hint="eastAsia" w:ascii="宋体"/>
          <w:color w:val="auto"/>
          <w:szCs w:val="21"/>
          <w:highlight w:val="none"/>
          <w:lang w:eastAsia="zh-CN"/>
        </w:rPr>
        <w:t>谈判</w:t>
      </w:r>
      <w:r>
        <w:rPr>
          <w:rFonts w:hint="eastAsia" w:ascii="宋体"/>
          <w:color w:val="auto"/>
          <w:szCs w:val="21"/>
          <w:highlight w:val="none"/>
        </w:rPr>
        <w:t>小组要求供应商对响应文件的必要澄清。</w:t>
      </w:r>
    </w:p>
    <w:p>
      <w:pPr>
        <w:shd w:val="clear"/>
        <w:spacing w:line="360" w:lineRule="auto"/>
        <w:ind w:firstLine="420" w:firstLineChars="200"/>
        <w:rPr>
          <w:rFonts w:ascii="宋体"/>
          <w:color w:val="auto"/>
          <w:szCs w:val="21"/>
          <w:highlight w:val="none"/>
        </w:rPr>
      </w:pPr>
      <w:r>
        <w:rPr>
          <w:rFonts w:hint="eastAsia" w:ascii="宋体" w:hAnsi="宋体"/>
          <w:color w:val="auto"/>
          <w:szCs w:val="21"/>
          <w:highlight w:val="none"/>
        </w:rPr>
        <w:t xml:space="preserve">6.2.4 </w:t>
      </w:r>
      <w:r>
        <w:rPr>
          <w:rFonts w:hint="eastAsia" w:ascii="宋体"/>
          <w:color w:val="auto"/>
          <w:szCs w:val="21"/>
          <w:highlight w:val="none"/>
        </w:rPr>
        <w:t>检查响应文件密封情况是指，由供应商或者其推选的代表检查其自己提交的响应文件的密封情况，经检查无误后，签字确认。</w:t>
      </w:r>
    </w:p>
    <w:p>
      <w:pPr>
        <w:shd w:val="clear"/>
        <w:spacing w:line="360" w:lineRule="auto"/>
        <w:ind w:firstLine="420" w:firstLineChars="200"/>
        <w:rPr>
          <w:rFonts w:ascii="宋体" w:hAnsi="宋体"/>
          <w:color w:val="auto"/>
          <w:szCs w:val="21"/>
          <w:highlight w:val="none"/>
        </w:rPr>
      </w:pPr>
      <w:r>
        <w:rPr>
          <w:rFonts w:hint="eastAsia" w:ascii="宋体"/>
          <w:color w:val="auto"/>
          <w:szCs w:val="21"/>
          <w:highlight w:val="none"/>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6.2.6 供应商认为采购人、采购代理机构相关工作人员有需要回避情形的，应当场提出询问或者回避申请。采购人、采购代理机构对供应商提出的询问或者回避申请应当及时处理，并制作记录。</w:t>
      </w:r>
    </w:p>
    <w:p>
      <w:pPr>
        <w:pStyle w:val="6"/>
        <w:shd w:val="clear"/>
        <w:spacing w:beforeLines="50" w:afterLines="50" w:line="360" w:lineRule="auto"/>
        <w:ind w:firstLine="0"/>
        <w:outlineLvl w:val="1"/>
        <w:rPr>
          <w:rFonts w:hint="eastAsia" w:ascii="黑体" w:hAnsi="宋体" w:eastAsia="黑体"/>
          <w:color w:val="auto"/>
          <w:sz w:val="36"/>
          <w:szCs w:val="36"/>
          <w:highlight w:val="none"/>
          <w:lang w:eastAsia="zh-CN"/>
        </w:rPr>
      </w:pPr>
      <w:bookmarkStart w:id="68" w:name="_Toc9167"/>
      <w:r>
        <w:rPr>
          <w:rFonts w:hint="eastAsia" w:ascii="黑体" w:hAnsi="宋体" w:eastAsia="黑体"/>
          <w:color w:val="auto"/>
          <w:sz w:val="36"/>
          <w:szCs w:val="36"/>
          <w:highlight w:val="none"/>
        </w:rPr>
        <w:t>7.</w:t>
      </w:r>
      <w:r>
        <w:rPr>
          <w:rFonts w:hint="eastAsia" w:ascii="黑体" w:hAnsi="宋体" w:eastAsia="黑体"/>
          <w:color w:val="auto"/>
          <w:sz w:val="36"/>
          <w:szCs w:val="36"/>
          <w:highlight w:val="none"/>
          <w:lang w:eastAsia="zh-CN"/>
        </w:rPr>
        <w:t>谈判</w:t>
      </w:r>
      <w:bookmarkEnd w:id="68"/>
    </w:p>
    <w:p>
      <w:pPr>
        <w:shd w:val="clear"/>
        <w:spacing w:beforeLines="50" w:afterLines="50" w:line="360" w:lineRule="auto"/>
        <w:ind w:left="120" w:leftChars="50" w:hanging="15" w:hangingChars="5"/>
        <w:rPr>
          <w:rFonts w:ascii="宋体" w:hAnsi="宋体"/>
          <w:color w:val="auto"/>
          <w:sz w:val="30"/>
          <w:szCs w:val="30"/>
          <w:highlight w:val="none"/>
        </w:rPr>
      </w:pPr>
      <w:bookmarkStart w:id="69" w:name="_Toc217446058"/>
      <w:r>
        <w:rPr>
          <w:rFonts w:hint="eastAsia" w:ascii="宋体" w:hAnsi="宋体"/>
          <w:b/>
          <w:color w:val="auto"/>
          <w:sz w:val="30"/>
          <w:szCs w:val="30"/>
          <w:highlight w:val="none"/>
        </w:rPr>
        <w:t xml:space="preserve">7.1 </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小组</w:t>
      </w:r>
    </w:p>
    <w:p>
      <w:pPr>
        <w:pStyle w:val="28"/>
        <w:shd w:val="clear"/>
        <w:spacing w:before="0" w:beforeAutospacing="0" w:after="0" w:afterAutospacing="0" w:line="360" w:lineRule="auto"/>
        <w:ind w:firstLine="420" w:firstLineChars="200"/>
        <w:rPr>
          <w:color w:val="auto"/>
          <w:spacing w:val="6"/>
          <w:sz w:val="21"/>
          <w:szCs w:val="21"/>
          <w:highlight w:val="none"/>
        </w:rPr>
      </w:pPr>
      <w:r>
        <w:rPr>
          <w:rFonts w:hint="eastAsia"/>
          <w:color w:val="auto"/>
          <w:sz w:val="21"/>
          <w:szCs w:val="21"/>
          <w:highlight w:val="none"/>
        </w:rPr>
        <w:t xml:space="preserve">7.1.1 </w:t>
      </w:r>
      <w:r>
        <w:rPr>
          <w:rFonts w:hint="eastAsia"/>
          <w:color w:val="auto"/>
          <w:sz w:val="21"/>
          <w:szCs w:val="21"/>
          <w:highlight w:val="none"/>
          <w:lang w:eastAsia="zh-CN"/>
        </w:rPr>
        <w:t>谈判</w:t>
      </w:r>
      <w:r>
        <w:rPr>
          <w:rFonts w:hint="eastAsia"/>
          <w:color w:val="auto"/>
          <w:sz w:val="21"/>
          <w:szCs w:val="21"/>
          <w:highlight w:val="none"/>
        </w:rPr>
        <w:t>由</w:t>
      </w:r>
      <w:r>
        <w:rPr>
          <w:rFonts w:hint="eastAsia" w:cs="宋体"/>
          <w:color w:val="auto"/>
          <w:sz w:val="21"/>
          <w:szCs w:val="21"/>
          <w:highlight w:val="none"/>
        </w:rPr>
        <w:t>采购代理机构依法组建的</w:t>
      </w:r>
      <w:r>
        <w:rPr>
          <w:rFonts w:hint="eastAsia" w:cs="宋体"/>
          <w:color w:val="auto"/>
          <w:sz w:val="21"/>
          <w:szCs w:val="21"/>
          <w:highlight w:val="none"/>
          <w:lang w:eastAsia="zh-CN"/>
        </w:rPr>
        <w:t>谈判</w:t>
      </w:r>
      <w:r>
        <w:rPr>
          <w:rFonts w:hint="eastAsia" w:cs="宋体"/>
          <w:color w:val="auto"/>
          <w:sz w:val="21"/>
          <w:szCs w:val="21"/>
          <w:highlight w:val="none"/>
        </w:rPr>
        <w:t>小组负责。</w:t>
      </w:r>
      <w:r>
        <w:rPr>
          <w:rFonts w:hint="eastAsia" w:cs="宋体"/>
          <w:color w:val="auto"/>
          <w:sz w:val="21"/>
          <w:szCs w:val="21"/>
          <w:highlight w:val="none"/>
          <w:lang w:eastAsia="zh-CN"/>
        </w:rPr>
        <w:t>谈判</w:t>
      </w:r>
      <w:r>
        <w:rPr>
          <w:rFonts w:hint="eastAsia" w:cs="宋体"/>
          <w:color w:val="auto"/>
          <w:sz w:val="21"/>
          <w:szCs w:val="21"/>
          <w:highlight w:val="none"/>
        </w:rPr>
        <w:t>小组由采购人代表和评审专家组成，成员由3人以上单数组成，或者达到公开招标限额标准的项目由5人以上单数组成</w:t>
      </w:r>
      <w:r>
        <w:rPr>
          <w:rFonts w:hint="eastAsia"/>
          <w:color w:val="auto"/>
          <w:spacing w:val="6"/>
          <w:sz w:val="21"/>
          <w:szCs w:val="21"/>
          <w:highlight w:val="none"/>
        </w:rPr>
        <w:t>，</w:t>
      </w:r>
      <w:r>
        <w:rPr>
          <w:color w:val="auto"/>
          <w:spacing w:val="6"/>
          <w:sz w:val="21"/>
          <w:szCs w:val="21"/>
          <w:highlight w:val="none"/>
        </w:rPr>
        <w:t>其中评</w:t>
      </w:r>
      <w:r>
        <w:rPr>
          <w:rFonts w:hint="eastAsia"/>
          <w:color w:val="auto"/>
          <w:spacing w:val="6"/>
          <w:sz w:val="21"/>
          <w:szCs w:val="21"/>
          <w:highlight w:val="none"/>
        </w:rPr>
        <w:t>审</w:t>
      </w:r>
      <w:r>
        <w:rPr>
          <w:color w:val="auto"/>
          <w:spacing w:val="6"/>
          <w:sz w:val="21"/>
          <w:szCs w:val="21"/>
          <w:highlight w:val="none"/>
        </w:rPr>
        <w:t>专家不得少于成员总数的三分之二</w:t>
      </w:r>
      <w:r>
        <w:rPr>
          <w:rFonts w:hint="eastAsia"/>
          <w:color w:val="auto"/>
          <w:spacing w:val="6"/>
          <w:sz w:val="21"/>
          <w:szCs w:val="21"/>
          <w:highlight w:val="none"/>
        </w:rPr>
        <w:t>。采购人代表不得以评审专家身份参加本单位或者本部门采购项目的评审。</w:t>
      </w:r>
      <w:r>
        <w:rPr>
          <w:rFonts w:hint="eastAsia" w:ascii="宋体" w:hAnsi="宋体" w:eastAsia="宋体" w:cs="Times New Roman"/>
          <w:color w:val="auto"/>
          <w:spacing w:val="6"/>
          <w:sz w:val="21"/>
          <w:szCs w:val="21"/>
          <w:highlight w:val="none"/>
        </w:rPr>
        <w:t>采购人派一名代表进入谈判小组，并向采购代理机构出具授权函。</w:t>
      </w:r>
    </w:p>
    <w:p>
      <w:pPr>
        <w:pStyle w:val="28"/>
        <w:shd w:val="clear"/>
        <w:spacing w:before="0" w:beforeAutospacing="0" w:after="0" w:afterAutospacing="0" w:line="360" w:lineRule="auto"/>
        <w:ind w:firstLine="444" w:firstLineChars="200"/>
        <w:rPr>
          <w:rFonts w:ascii="Times New Roman" w:hAnsi="Times New Roman"/>
          <w:bCs/>
          <w:color w:val="auto"/>
          <w:kern w:val="2"/>
          <w:sz w:val="21"/>
          <w:szCs w:val="21"/>
          <w:highlight w:val="none"/>
        </w:rPr>
      </w:pPr>
      <w:r>
        <w:rPr>
          <w:rFonts w:hint="eastAsia"/>
          <w:color w:val="auto"/>
          <w:spacing w:val="6"/>
          <w:sz w:val="21"/>
          <w:szCs w:val="21"/>
          <w:highlight w:val="none"/>
        </w:rPr>
        <w:t>7.1.2 评审</w:t>
      </w:r>
      <w:r>
        <w:rPr>
          <w:rFonts w:hint="eastAsia"/>
          <w:color w:val="auto"/>
          <w:sz w:val="21"/>
          <w:szCs w:val="21"/>
          <w:highlight w:val="none"/>
        </w:rPr>
        <w:t>专家应当从省级财政部门设立的政府采购评审专家库内相关专业的专家名单中随机抽取。</w:t>
      </w:r>
      <w:r>
        <w:rPr>
          <w:rFonts w:ascii="Times New Roman" w:hAnsi="Helvetica"/>
          <w:bCs/>
          <w:color w:val="auto"/>
          <w:kern w:val="2"/>
          <w:sz w:val="21"/>
          <w:szCs w:val="21"/>
          <w:highlight w:val="none"/>
        </w:rPr>
        <w:t>对技术复杂、专业性强的采购项目，通过随机方式难以确定合适评</w:t>
      </w:r>
      <w:r>
        <w:rPr>
          <w:rFonts w:hint="eastAsia" w:ascii="Times New Roman" w:hAnsi="Helvetica"/>
          <w:bCs/>
          <w:color w:val="auto"/>
          <w:kern w:val="2"/>
          <w:sz w:val="21"/>
          <w:szCs w:val="21"/>
          <w:highlight w:val="none"/>
        </w:rPr>
        <w:t>审</w:t>
      </w:r>
      <w:r>
        <w:rPr>
          <w:rFonts w:ascii="Times New Roman" w:hAnsi="Helvetica"/>
          <w:bCs/>
          <w:color w:val="auto"/>
          <w:kern w:val="2"/>
          <w:sz w:val="21"/>
          <w:szCs w:val="21"/>
          <w:highlight w:val="none"/>
        </w:rPr>
        <w:t>专家的，经主管预算单位同意，采购人</w:t>
      </w:r>
      <w:r>
        <w:rPr>
          <w:rFonts w:hint="eastAsia" w:ascii="Times New Roman" w:hAnsi="Helvetica"/>
          <w:bCs/>
          <w:color w:val="auto"/>
          <w:kern w:val="2"/>
          <w:sz w:val="21"/>
          <w:szCs w:val="21"/>
          <w:highlight w:val="none"/>
        </w:rPr>
        <w:t>或采购代理机构</w:t>
      </w:r>
      <w:r>
        <w:rPr>
          <w:rFonts w:ascii="Times New Roman" w:hAnsi="Helvetica"/>
          <w:bCs/>
          <w:color w:val="auto"/>
          <w:kern w:val="2"/>
          <w:sz w:val="21"/>
          <w:szCs w:val="21"/>
          <w:highlight w:val="none"/>
        </w:rPr>
        <w:t>可以自行选定相应专业领域的评</w:t>
      </w:r>
      <w:r>
        <w:rPr>
          <w:rFonts w:hint="eastAsia" w:ascii="Times New Roman" w:hAnsi="Helvetica"/>
          <w:bCs/>
          <w:color w:val="auto"/>
          <w:kern w:val="2"/>
          <w:sz w:val="21"/>
          <w:szCs w:val="21"/>
          <w:highlight w:val="none"/>
        </w:rPr>
        <w:t>审</w:t>
      </w:r>
      <w:r>
        <w:rPr>
          <w:rFonts w:ascii="Times New Roman" w:hAnsi="Helvetica"/>
          <w:bCs/>
          <w:color w:val="auto"/>
          <w:kern w:val="2"/>
          <w:sz w:val="21"/>
          <w:szCs w:val="21"/>
          <w:highlight w:val="none"/>
        </w:rPr>
        <w:t>专家。</w:t>
      </w:r>
      <w:r>
        <w:rPr>
          <w:rFonts w:hint="eastAsia" w:ascii="Times New Roman" w:hAnsi="Helvetica"/>
          <w:bCs/>
          <w:color w:val="auto"/>
          <w:kern w:val="2"/>
          <w:sz w:val="21"/>
          <w:szCs w:val="21"/>
          <w:highlight w:val="none"/>
        </w:rPr>
        <w:t>技术复杂、专业性强的采购项目，评审专家中应当包括1名法律专家。</w:t>
      </w:r>
    </w:p>
    <w:p>
      <w:pPr>
        <w:shd w:val="clear"/>
        <w:spacing w:line="360" w:lineRule="auto"/>
        <w:ind w:left="119" w:leftChars="57" w:firstLine="315" w:firstLineChars="150"/>
        <w:rPr>
          <w:rFonts w:ascii="宋体" w:hAnsi="宋体"/>
          <w:color w:val="auto"/>
          <w:szCs w:val="21"/>
          <w:highlight w:val="none"/>
        </w:rPr>
      </w:pPr>
      <w:r>
        <w:rPr>
          <w:rFonts w:hint="eastAsia" w:ascii="宋体" w:hAnsi="宋体"/>
          <w:color w:val="auto"/>
          <w:szCs w:val="21"/>
          <w:highlight w:val="none"/>
        </w:rPr>
        <w:t xml:space="preserve">7.1.3 </w:t>
      </w:r>
      <w:r>
        <w:rPr>
          <w:rFonts w:hint="eastAsia" w:ascii="宋体" w:hAnsi="宋体"/>
          <w:color w:val="auto"/>
          <w:szCs w:val="21"/>
          <w:highlight w:val="none"/>
          <w:lang w:eastAsia="zh-CN"/>
        </w:rPr>
        <w:t>谈判</w:t>
      </w:r>
      <w:r>
        <w:rPr>
          <w:rFonts w:hint="eastAsia" w:ascii="宋体" w:hAnsi="宋体"/>
          <w:color w:val="auto"/>
          <w:szCs w:val="21"/>
          <w:highlight w:val="none"/>
        </w:rPr>
        <w:t>小组成员到位后，推荐一名评审专家担任</w:t>
      </w:r>
      <w:r>
        <w:rPr>
          <w:rFonts w:hint="eastAsia" w:ascii="宋体" w:hAnsi="宋体"/>
          <w:color w:val="auto"/>
          <w:szCs w:val="21"/>
          <w:highlight w:val="none"/>
          <w:lang w:eastAsia="zh-CN"/>
        </w:rPr>
        <w:t>谈判</w:t>
      </w:r>
      <w:r>
        <w:rPr>
          <w:rFonts w:hint="eastAsia" w:ascii="宋体" w:hAnsi="宋体"/>
          <w:color w:val="auto"/>
          <w:szCs w:val="21"/>
          <w:highlight w:val="none"/>
        </w:rPr>
        <w:t>小组组长，并由</w:t>
      </w:r>
      <w:r>
        <w:rPr>
          <w:rFonts w:hint="eastAsia" w:ascii="宋体" w:hAnsi="宋体"/>
          <w:color w:val="auto"/>
          <w:szCs w:val="21"/>
          <w:highlight w:val="none"/>
          <w:lang w:eastAsia="zh-CN"/>
        </w:rPr>
        <w:t>谈判</w:t>
      </w:r>
      <w:r>
        <w:rPr>
          <w:rFonts w:hint="eastAsia" w:ascii="宋体" w:hAnsi="宋体"/>
          <w:color w:val="auto"/>
          <w:szCs w:val="21"/>
          <w:highlight w:val="none"/>
        </w:rPr>
        <w:t>小组组长牵头组织该项目</w:t>
      </w:r>
      <w:r>
        <w:rPr>
          <w:rFonts w:hint="eastAsia" w:ascii="宋体" w:hAnsi="宋体"/>
          <w:color w:val="auto"/>
          <w:szCs w:val="21"/>
          <w:highlight w:val="none"/>
          <w:lang w:eastAsia="zh-CN"/>
        </w:rPr>
        <w:t>谈判</w:t>
      </w:r>
      <w:r>
        <w:rPr>
          <w:rFonts w:hint="eastAsia" w:ascii="宋体" w:hAnsi="宋体"/>
          <w:color w:val="auto"/>
          <w:szCs w:val="21"/>
          <w:highlight w:val="none"/>
        </w:rPr>
        <w:t>工作，采购人代表不得担任</w:t>
      </w:r>
      <w:r>
        <w:rPr>
          <w:rFonts w:hint="eastAsia" w:ascii="宋体" w:hAnsi="宋体"/>
          <w:color w:val="auto"/>
          <w:szCs w:val="21"/>
          <w:highlight w:val="none"/>
          <w:lang w:eastAsia="zh-CN"/>
        </w:rPr>
        <w:t>谈判</w:t>
      </w:r>
      <w:r>
        <w:rPr>
          <w:rFonts w:hint="eastAsia" w:ascii="宋体" w:hAnsi="宋体"/>
          <w:color w:val="auto"/>
          <w:szCs w:val="21"/>
          <w:highlight w:val="none"/>
        </w:rPr>
        <w:t>小组组长。</w:t>
      </w:r>
    </w:p>
    <w:p>
      <w:pPr>
        <w:shd w:val="clear"/>
        <w:spacing w:line="360" w:lineRule="auto"/>
        <w:ind w:left="119" w:leftChars="57" w:firstLine="315" w:firstLineChars="150"/>
        <w:rPr>
          <w:rFonts w:ascii="宋体" w:hAnsi="宋体"/>
          <w:color w:val="auto"/>
          <w:szCs w:val="21"/>
          <w:highlight w:val="none"/>
        </w:rPr>
      </w:pPr>
      <w:r>
        <w:rPr>
          <w:rFonts w:hint="eastAsia" w:ascii="宋体" w:hAnsi="宋体"/>
          <w:color w:val="auto"/>
          <w:szCs w:val="21"/>
          <w:highlight w:val="none"/>
        </w:rPr>
        <w:t xml:space="preserve">7.1.4 </w:t>
      </w:r>
      <w:r>
        <w:rPr>
          <w:rFonts w:hint="eastAsia" w:ascii="宋体" w:hAnsi="宋体"/>
          <w:color w:val="auto"/>
          <w:szCs w:val="21"/>
          <w:highlight w:val="none"/>
          <w:lang w:eastAsia="zh-CN"/>
        </w:rPr>
        <w:t>谈判</w:t>
      </w:r>
      <w:r>
        <w:rPr>
          <w:rFonts w:hint="eastAsia" w:ascii="宋体" w:hAnsi="宋体"/>
          <w:color w:val="auto"/>
          <w:szCs w:val="21"/>
          <w:highlight w:val="none"/>
        </w:rPr>
        <w:t>小组成员有下列情形之一的，应当回避：</w:t>
      </w:r>
    </w:p>
    <w:p>
      <w:pPr>
        <w:shd w:val="clear"/>
        <w:spacing w:line="360" w:lineRule="auto"/>
        <w:ind w:left="119" w:leftChars="57" w:firstLine="315" w:firstLineChars="150"/>
        <w:rPr>
          <w:rFonts w:ascii="宋体" w:hAnsi="宋体"/>
          <w:color w:val="auto"/>
          <w:szCs w:val="21"/>
          <w:highlight w:val="none"/>
        </w:rPr>
      </w:pPr>
      <w:r>
        <w:rPr>
          <w:rFonts w:hint="eastAsia" w:ascii="宋体" w:hAnsi="宋体"/>
          <w:color w:val="auto"/>
          <w:szCs w:val="21"/>
          <w:highlight w:val="none"/>
        </w:rPr>
        <w:t>（1）采购人或供应商的主要负责人的近亲属；</w:t>
      </w:r>
    </w:p>
    <w:p>
      <w:pPr>
        <w:shd w:val="clear"/>
        <w:spacing w:line="360" w:lineRule="auto"/>
        <w:ind w:left="119" w:leftChars="57" w:firstLine="315" w:firstLineChars="150"/>
        <w:rPr>
          <w:rFonts w:ascii="宋体" w:hAnsi="宋体"/>
          <w:color w:val="auto"/>
          <w:szCs w:val="21"/>
          <w:highlight w:val="none"/>
        </w:rPr>
      </w:pPr>
      <w:r>
        <w:rPr>
          <w:rFonts w:hint="eastAsia" w:ascii="宋体" w:hAnsi="宋体"/>
          <w:color w:val="auto"/>
          <w:szCs w:val="21"/>
          <w:highlight w:val="none"/>
        </w:rPr>
        <w:t>（2）与供应商有经济利益关系，可能影响对响应文件公正评审的；</w:t>
      </w:r>
    </w:p>
    <w:p>
      <w:pPr>
        <w:shd w:val="clear"/>
        <w:spacing w:line="360" w:lineRule="auto"/>
        <w:ind w:left="119" w:leftChars="57" w:firstLine="315" w:firstLineChars="150"/>
        <w:rPr>
          <w:rFonts w:ascii="宋体" w:hAnsi="宋体"/>
          <w:color w:val="auto"/>
          <w:szCs w:val="21"/>
          <w:highlight w:val="none"/>
        </w:rPr>
      </w:pPr>
      <w:r>
        <w:rPr>
          <w:rFonts w:hint="eastAsia" w:ascii="宋体" w:hAnsi="宋体"/>
          <w:color w:val="auto"/>
          <w:szCs w:val="21"/>
          <w:highlight w:val="none"/>
        </w:rPr>
        <w:t>（3）曾因在招标、评审以及其他与招标投标有关活动中从事违法行为而受过行政处罚或刑事处罚的。</w:t>
      </w:r>
    </w:p>
    <w:p>
      <w:pPr>
        <w:shd w:val="clear"/>
        <w:autoSpaceDE w:val="0"/>
        <w:autoSpaceDN w:val="0"/>
        <w:spacing w:line="360" w:lineRule="auto"/>
        <w:ind w:firstLine="420" w:firstLineChars="200"/>
        <w:rPr>
          <w:rFonts w:ascii="宋体" w:hAnsi="宋体" w:cs="宋体"/>
          <w:color w:val="auto"/>
          <w:kern w:val="0"/>
          <w:highlight w:val="none"/>
          <w:lang w:val="zh-CN"/>
        </w:rPr>
      </w:pPr>
      <w:r>
        <w:rPr>
          <w:rFonts w:hint="eastAsia" w:ascii="宋体" w:hAnsi="宋体"/>
          <w:color w:val="auto"/>
          <w:szCs w:val="21"/>
          <w:highlight w:val="none"/>
        </w:rPr>
        <w:t xml:space="preserve">7.1.5 </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过程中，因</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小组成员缺席、回避或者健康等特殊原因导致</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小组组成不符合规定的，采购代理机构应当依法补足后继续</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。被更换的</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小组成员所作出的评审意见无效。无法及时补足</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小组成员的，采购代理机构应当停止</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活动，封存所有响应文件和开起响应文件、</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和评审资料，依法重新组建</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小组进行</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。原</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小组所作出的评审意见无效。</w:t>
      </w:r>
      <w:r>
        <w:rPr>
          <w:rFonts w:hint="eastAsia" w:ascii="宋体" w:hAnsi="宋体" w:cs="宋体"/>
          <w:color w:val="auto"/>
          <w:kern w:val="0"/>
          <w:highlight w:val="none"/>
          <w:lang w:val="zh-CN"/>
        </w:rPr>
        <w:t>采购代理机构</w:t>
      </w:r>
      <w:r>
        <w:rPr>
          <w:rFonts w:hint="eastAsia" w:ascii="宋体" w:hAnsi="宋体" w:cs="宋体"/>
          <w:color w:val="auto"/>
          <w:kern w:val="0"/>
          <w:highlight w:val="none"/>
        </w:rPr>
        <w:t>应当将变更、重新组建</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小组的情况予以记录，并随采购文件一并存档。</w:t>
      </w:r>
    </w:p>
    <w:p>
      <w:pPr>
        <w:shd w:val="clea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7.1.6 </w:t>
      </w:r>
      <w:r>
        <w:rPr>
          <w:rFonts w:hint="eastAsia" w:ascii="宋体" w:hAnsi="宋体"/>
          <w:color w:val="auto"/>
          <w:szCs w:val="21"/>
          <w:highlight w:val="none"/>
          <w:lang w:eastAsia="zh-CN"/>
        </w:rPr>
        <w:t>谈判</w:t>
      </w:r>
      <w:r>
        <w:rPr>
          <w:rFonts w:hint="eastAsia" w:ascii="宋体" w:hAnsi="宋体"/>
          <w:color w:val="auto"/>
          <w:szCs w:val="21"/>
          <w:highlight w:val="none"/>
        </w:rPr>
        <w:t>小组成员名单在成交结果公告前，应当保密。</w:t>
      </w:r>
    </w:p>
    <w:p>
      <w:pPr>
        <w:widowControl/>
        <w:shd w:val="clear"/>
        <w:autoSpaceDE w:val="0"/>
        <w:autoSpaceDN w:val="0"/>
        <w:spacing w:line="360" w:lineRule="auto"/>
        <w:ind w:right="51" w:firstLine="420" w:firstLineChars="200"/>
        <w:textAlignment w:val="bottom"/>
        <w:rPr>
          <w:rFonts w:ascii="宋体" w:hAnsi="宋体"/>
          <w:color w:val="auto"/>
          <w:szCs w:val="21"/>
          <w:highlight w:val="none"/>
        </w:rPr>
      </w:pPr>
      <w:r>
        <w:rPr>
          <w:rFonts w:hint="eastAsia" w:ascii="宋体" w:hAnsi="宋体"/>
          <w:color w:val="auto"/>
          <w:szCs w:val="21"/>
          <w:highlight w:val="none"/>
        </w:rPr>
        <w:t xml:space="preserve">7.1.7 </w:t>
      </w:r>
      <w:r>
        <w:rPr>
          <w:rFonts w:hint="eastAsia" w:ascii="宋体" w:hAnsi="宋体"/>
          <w:color w:val="auto"/>
          <w:szCs w:val="21"/>
          <w:highlight w:val="none"/>
          <w:lang w:eastAsia="zh-CN"/>
        </w:rPr>
        <w:t>谈判</w:t>
      </w:r>
      <w:r>
        <w:rPr>
          <w:rFonts w:hint="eastAsia" w:ascii="宋体" w:hAnsi="宋体"/>
          <w:color w:val="auto"/>
          <w:szCs w:val="21"/>
          <w:highlight w:val="none"/>
        </w:rPr>
        <w:t>小组及其成员，在</w:t>
      </w:r>
      <w:r>
        <w:rPr>
          <w:rFonts w:hint="eastAsia" w:ascii="宋体" w:hAnsi="宋体"/>
          <w:color w:val="auto"/>
          <w:szCs w:val="21"/>
          <w:highlight w:val="none"/>
          <w:lang w:eastAsia="zh-CN"/>
        </w:rPr>
        <w:t>谈判</w:t>
      </w:r>
      <w:r>
        <w:rPr>
          <w:rFonts w:hint="eastAsia" w:ascii="宋体" w:hAnsi="宋体"/>
          <w:color w:val="auto"/>
          <w:szCs w:val="21"/>
          <w:highlight w:val="none"/>
        </w:rPr>
        <w:t>中不得有下列行为：</w:t>
      </w:r>
    </w:p>
    <w:p>
      <w:pPr>
        <w:pStyle w:val="18"/>
        <w:spacing w:line="360" w:lineRule="auto"/>
        <w:ind w:firstLine="420" w:firstLineChars="200"/>
        <w:rPr>
          <w:rFonts w:hint="eastAsia"/>
          <w:color w:val="auto"/>
          <w:highlight w:val="none"/>
        </w:rPr>
      </w:pPr>
      <w:r>
        <w:rPr>
          <w:color w:val="auto"/>
          <w:highlight w:val="none"/>
        </w:rPr>
        <w:t>（</w:t>
      </w:r>
      <w:r>
        <w:rPr>
          <w:rFonts w:hint="eastAsia"/>
          <w:color w:val="auto"/>
          <w:highlight w:val="none"/>
        </w:rPr>
        <w:t>1</w:t>
      </w:r>
      <w:r>
        <w:rPr>
          <w:color w:val="auto"/>
          <w:highlight w:val="none"/>
        </w:rPr>
        <w:t>）确定参与</w:t>
      </w:r>
      <w:r>
        <w:rPr>
          <w:rFonts w:hint="eastAsia"/>
          <w:color w:val="auto"/>
          <w:highlight w:val="none"/>
          <w:lang w:eastAsia="zh-CN"/>
        </w:rPr>
        <w:t>谈判</w:t>
      </w:r>
      <w:r>
        <w:rPr>
          <w:color w:val="auto"/>
          <w:highlight w:val="none"/>
        </w:rPr>
        <w:t>至</w:t>
      </w:r>
      <w:r>
        <w:rPr>
          <w:rFonts w:hint="eastAsia"/>
          <w:color w:val="auto"/>
          <w:highlight w:val="none"/>
          <w:lang w:eastAsia="zh-CN"/>
        </w:rPr>
        <w:t>谈判</w:t>
      </w:r>
      <w:r>
        <w:rPr>
          <w:color w:val="auto"/>
          <w:highlight w:val="none"/>
        </w:rPr>
        <w:t>结束前私自接触</w:t>
      </w:r>
      <w:r>
        <w:rPr>
          <w:rFonts w:hint="eastAsia"/>
          <w:color w:val="auto"/>
          <w:highlight w:val="none"/>
        </w:rPr>
        <w:t>供应商</w:t>
      </w:r>
      <w:r>
        <w:rPr>
          <w:color w:val="auto"/>
          <w:highlight w:val="none"/>
        </w:rPr>
        <w:t>；</w:t>
      </w:r>
    </w:p>
    <w:p>
      <w:pPr>
        <w:pStyle w:val="18"/>
        <w:spacing w:line="360" w:lineRule="auto"/>
        <w:ind w:firstLine="420" w:firstLineChars="200"/>
        <w:rPr>
          <w:rFonts w:hint="eastAsia"/>
          <w:color w:val="auto"/>
          <w:highlight w:val="none"/>
        </w:rPr>
      </w:pPr>
      <w:r>
        <w:rPr>
          <w:color w:val="auto"/>
          <w:highlight w:val="none"/>
        </w:rPr>
        <w:t>（</w:t>
      </w:r>
      <w:r>
        <w:rPr>
          <w:rFonts w:hint="eastAsia"/>
          <w:color w:val="auto"/>
          <w:highlight w:val="none"/>
        </w:rPr>
        <w:t>2</w:t>
      </w:r>
      <w:r>
        <w:rPr>
          <w:color w:val="auto"/>
          <w:highlight w:val="none"/>
        </w:rPr>
        <w:t>）接受供应商提出的与</w:t>
      </w:r>
      <w:r>
        <w:rPr>
          <w:rFonts w:hint="eastAsia"/>
          <w:color w:val="auto"/>
          <w:highlight w:val="none"/>
        </w:rPr>
        <w:t>响应</w:t>
      </w:r>
      <w:r>
        <w:rPr>
          <w:color w:val="auto"/>
          <w:highlight w:val="none"/>
        </w:rPr>
        <w:t>文件不一致的澄清和说明；</w:t>
      </w:r>
    </w:p>
    <w:p>
      <w:pPr>
        <w:pStyle w:val="18"/>
        <w:spacing w:line="360" w:lineRule="auto"/>
        <w:ind w:firstLine="420" w:firstLineChars="200"/>
        <w:rPr>
          <w:rFonts w:hint="eastAsia"/>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未集中与单一供应商分别进行</w:t>
      </w:r>
      <w:r>
        <w:rPr>
          <w:rFonts w:hint="eastAsia"/>
          <w:color w:val="auto"/>
          <w:highlight w:val="none"/>
          <w:lang w:eastAsia="zh-CN"/>
        </w:rPr>
        <w:t>谈判</w:t>
      </w:r>
      <w:r>
        <w:rPr>
          <w:rFonts w:hint="eastAsia"/>
          <w:color w:val="auto"/>
          <w:highlight w:val="none"/>
        </w:rPr>
        <w:t>或者未给予所有参加</w:t>
      </w:r>
      <w:r>
        <w:rPr>
          <w:rFonts w:hint="eastAsia"/>
          <w:color w:val="auto"/>
          <w:highlight w:val="none"/>
          <w:lang w:eastAsia="zh-CN"/>
        </w:rPr>
        <w:t>谈判</w:t>
      </w:r>
      <w:r>
        <w:rPr>
          <w:rFonts w:hint="eastAsia"/>
          <w:color w:val="auto"/>
          <w:highlight w:val="none"/>
        </w:rPr>
        <w:t>的供应商平等的</w:t>
      </w:r>
      <w:r>
        <w:rPr>
          <w:rFonts w:hint="eastAsia"/>
          <w:color w:val="auto"/>
          <w:highlight w:val="none"/>
          <w:lang w:eastAsia="zh-CN"/>
        </w:rPr>
        <w:t>谈判</w:t>
      </w:r>
      <w:r>
        <w:rPr>
          <w:rFonts w:hint="eastAsia"/>
          <w:color w:val="auto"/>
          <w:highlight w:val="none"/>
        </w:rPr>
        <w:t>机会；</w:t>
      </w:r>
    </w:p>
    <w:p>
      <w:pPr>
        <w:pStyle w:val="18"/>
        <w:spacing w:line="360" w:lineRule="auto"/>
        <w:ind w:firstLine="420" w:firstLineChars="200"/>
        <w:rPr>
          <w:rFonts w:hint="eastAsia"/>
          <w:color w:val="auto"/>
          <w:highlight w:val="none"/>
        </w:rPr>
      </w:pPr>
      <w:r>
        <w:rPr>
          <w:rFonts w:hint="eastAsia" w:hAnsi="宋体" w:cs="宋体"/>
          <w:color w:val="auto"/>
          <w:kern w:val="0"/>
          <w:highlight w:val="none"/>
        </w:rPr>
        <w:t>（4）违反评审纪律发表倾向性意见或者</w:t>
      </w:r>
      <w:r>
        <w:rPr>
          <w:color w:val="auto"/>
          <w:highlight w:val="none"/>
        </w:rPr>
        <w:t>征询采购人的倾向性意见；</w:t>
      </w:r>
    </w:p>
    <w:p>
      <w:pPr>
        <w:widowControl/>
        <w:spacing w:line="360" w:lineRule="auto"/>
        <w:ind w:firstLine="420" w:firstLineChars="200"/>
        <w:jc w:val="left"/>
        <w:rPr>
          <w:rFonts w:hint="eastAsia"/>
          <w:color w:val="auto"/>
          <w:highlight w:val="none"/>
        </w:rPr>
      </w:pPr>
      <w:r>
        <w:rPr>
          <w:color w:val="auto"/>
          <w:highlight w:val="none"/>
        </w:rPr>
        <w:t>（</w:t>
      </w:r>
      <w:r>
        <w:rPr>
          <w:rFonts w:hint="eastAsia"/>
          <w:color w:val="auto"/>
          <w:highlight w:val="none"/>
        </w:rPr>
        <w:t>5</w:t>
      </w:r>
      <w:r>
        <w:rPr>
          <w:color w:val="auto"/>
          <w:highlight w:val="none"/>
        </w:rPr>
        <w:t>）</w:t>
      </w:r>
      <w:r>
        <w:rPr>
          <w:rFonts w:hint="eastAsia" w:ascii="宋体" w:hAnsi="宋体" w:cs="宋体"/>
          <w:color w:val="auto"/>
          <w:kern w:val="0"/>
          <w:szCs w:val="21"/>
          <w:highlight w:val="none"/>
        </w:rPr>
        <w:t>对需要专业判断的主观评审因素协商评分；</w:t>
      </w:r>
    </w:p>
    <w:p>
      <w:pPr>
        <w:pStyle w:val="18"/>
        <w:spacing w:line="360" w:lineRule="auto"/>
        <w:ind w:firstLine="420" w:firstLineChars="200"/>
        <w:rPr>
          <w:rFonts w:hint="eastAsia"/>
          <w:color w:val="auto"/>
          <w:highlight w:val="none"/>
        </w:rPr>
      </w:pPr>
      <w:r>
        <w:rPr>
          <w:color w:val="auto"/>
          <w:highlight w:val="none"/>
        </w:rPr>
        <w:t>（</w:t>
      </w:r>
      <w:r>
        <w:rPr>
          <w:rFonts w:hint="eastAsia"/>
          <w:color w:val="auto"/>
          <w:highlight w:val="none"/>
        </w:rPr>
        <w:t>6</w:t>
      </w:r>
      <w:r>
        <w:rPr>
          <w:color w:val="auto"/>
          <w:highlight w:val="none"/>
        </w:rPr>
        <w:t>）在</w:t>
      </w:r>
      <w:r>
        <w:rPr>
          <w:rFonts w:hint="eastAsia"/>
          <w:color w:val="auto"/>
          <w:highlight w:val="none"/>
          <w:lang w:eastAsia="zh-CN"/>
        </w:rPr>
        <w:t>谈判</w:t>
      </w:r>
      <w:r>
        <w:rPr>
          <w:rFonts w:hint="eastAsia"/>
          <w:color w:val="auto"/>
          <w:highlight w:val="none"/>
        </w:rPr>
        <w:t>或评审环节</w:t>
      </w:r>
      <w:r>
        <w:rPr>
          <w:color w:val="auto"/>
          <w:highlight w:val="none"/>
        </w:rPr>
        <w:t>擅离职守，影响</w:t>
      </w:r>
      <w:r>
        <w:rPr>
          <w:rFonts w:hint="eastAsia"/>
          <w:color w:val="auto"/>
          <w:highlight w:val="none"/>
          <w:lang w:eastAsia="zh-CN"/>
        </w:rPr>
        <w:t>谈判</w:t>
      </w:r>
      <w:r>
        <w:rPr>
          <w:rFonts w:hint="eastAsia"/>
          <w:color w:val="auto"/>
          <w:highlight w:val="none"/>
        </w:rPr>
        <w:t>或评审</w:t>
      </w:r>
      <w:r>
        <w:rPr>
          <w:color w:val="auto"/>
          <w:highlight w:val="none"/>
        </w:rPr>
        <w:t>程序正常进行的；</w:t>
      </w:r>
    </w:p>
    <w:p>
      <w:pPr>
        <w:pStyle w:val="18"/>
        <w:spacing w:line="360" w:lineRule="auto"/>
        <w:ind w:firstLine="420" w:firstLineChars="200"/>
        <w:rPr>
          <w:rFonts w:hint="eastAsia"/>
          <w:color w:val="auto"/>
          <w:highlight w:val="none"/>
        </w:rPr>
      </w:pPr>
      <w:r>
        <w:rPr>
          <w:color w:val="auto"/>
          <w:highlight w:val="none"/>
        </w:rPr>
        <w:t>（</w:t>
      </w:r>
      <w:r>
        <w:rPr>
          <w:rFonts w:hint="eastAsia"/>
          <w:color w:val="auto"/>
          <w:highlight w:val="none"/>
        </w:rPr>
        <w:t>7</w:t>
      </w:r>
      <w:r>
        <w:rPr>
          <w:color w:val="auto"/>
          <w:highlight w:val="none"/>
        </w:rPr>
        <w:t>）记录、复制或带走任何评</w:t>
      </w:r>
      <w:r>
        <w:rPr>
          <w:rFonts w:hint="eastAsia"/>
          <w:color w:val="auto"/>
          <w:highlight w:val="none"/>
        </w:rPr>
        <w:t>审</w:t>
      </w:r>
      <w:r>
        <w:rPr>
          <w:color w:val="auto"/>
          <w:highlight w:val="none"/>
        </w:rPr>
        <w:t>资料</w:t>
      </w:r>
      <w:r>
        <w:rPr>
          <w:rFonts w:hint="eastAsia"/>
          <w:color w:val="auto"/>
          <w:highlight w:val="none"/>
        </w:rPr>
        <w:t>；</w:t>
      </w:r>
    </w:p>
    <w:p>
      <w:pPr>
        <w:widowControl/>
        <w:spacing w:line="360" w:lineRule="auto"/>
        <w:ind w:firstLine="420" w:firstLineChars="200"/>
        <w:jc w:val="left"/>
        <w:rPr>
          <w:rFonts w:hint="eastAsia" w:ascii="宋体" w:hAnsi="宋体" w:cs="宋体"/>
          <w:color w:val="auto"/>
          <w:kern w:val="0"/>
          <w:szCs w:val="21"/>
          <w:highlight w:val="none"/>
        </w:rPr>
      </w:pPr>
      <w:r>
        <w:rPr>
          <w:rFonts w:hint="eastAsia"/>
          <w:color w:val="auto"/>
          <w:highlight w:val="none"/>
        </w:rPr>
        <w:t>（8）</w:t>
      </w:r>
      <w:r>
        <w:rPr>
          <w:rFonts w:hint="eastAsia" w:ascii="宋体" w:hAnsi="宋体" w:cs="宋体"/>
          <w:color w:val="auto"/>
          <w:kern w:val="0"/>
          <w:szCs w:val="21"/>
          <w:highlight w:val="none"/>
        </w:rPr>
        <w:t>其他不遵守评审纪律的行为。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color w:val="auto"/>
          <w:szCs w:val="21"/>
          <w:highlight w:val="none"/>
          <w:lang w:eastAsia="zh-CN"/>
        </w:rPr>
        <w:t>谈判</w:t>
      </w:r>
      <w:r>
        <w:rPr>
          <w:rFonts w:hint="eastAsia"/>
          <w:color w:val="auto"/>
          <w:szCs w:val="21"/>
          <w:highlight w:val="none"/>
        </w:rPr>
        <w:t>小组</w:t>
      </w:r>
      <w:r>
        <w:rPr>
          <w:color w:val="auto"/>
          <w:szCs w:val="21"/>
          <w:highlight w:val="none"/>
        </w:rPr>
        <w:t>成员有前款第一至</w:t>
      </w:r>
      <w:r>
        <w:rPr>
          <w:rFonts w:hint="eastAsia"/>
          <w:color w:val="auto"/>
          <w:szCs w:val="21"/>
          <w:highlight w:val="none"/>
        </w:rPr>
        <w:t>五</w:t>
      </w:r>
      <w:r>
        <w:rPr>
          <w:color w:val="auto"/>
          <w:szCs w:val="21"/>
          <w:highlight w:val="none"/>
        </w:rPr>
        <w:t>项行为之一的，其评审意见无效</w:t>
      </w:r>
      <w:r>
        <w:rPr>
          <w:rFonts w:hint="eastAsia"/>
          <w:color w:val="auto"/>
          <w:szCs w:val="21"/>
          <w:highlight w:val="none"/>
        </w:rPr>
        <w:t>，</w:t>
      </w:r>
      <w:r>
        <w:rPr>
          <w:rFonts w:hint="eastAsia" w:ascii="宋体" w:hAnsi="宋体" w:cs="宋体"/>
          <w:color w:val="auto"/>
          <w:kern w:val="0"/>
          <w:szCs w:val="21"/>
          <w:highlight w:val="none"/>
        </w:rPr>
        <w:t>并不得获取评审劳务报酬和报销异地评审差旅费。</w:t>
      </w:r>
    </w:p>
    <w:p>
      <w:pPr>
        <w:shd w:val="clear"/>
        <w:spacing w:beforeLines="50" w:afterLines="50" w:line="360" w:lineRule="auto"/>
        <w:rPr>
          <w:rFonts w:ascii="宋体" w:hAnsi="宋体"/>
          <w:color w:val="auto"/>
          <w:sz w:val="30"/>
          <w:szCs w:val="30"/>
          <w:highlight w:val="none"/>
        </w:rPr>
      </w:pPr>
      <w:r>
        <w:rPr>
          <w:rFonts w:hint="eastAsia" w:ascii="宋体" w:hAnsi="宋体"/>
          <w:b/>
          <w:color w:val="auto"/>
          <w:sz w:val="30"/>
          <w:szCs w:val="30"/>
          <w:highlight w:val="none"/>
        </w:rPr>
        <w:t xml:space="preserve">7.2 </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原则</w:t>
      </w:r>
    </w:p>
    <w:p>
      <w:pPr>
        <w:shd w:val="clear"/>
        <w:tabs>
          <w:tab w:val="left" w:pos="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7.2.1“客观、公正、审慎”为本次</w:t>
      </w:r>
      <w:r>
        <w:rPr>
          <w:rFonts w:hint="eastAsia" w:ascii="宋体" w:hAnsi="宋体"/>
          <w:color w:val="auto"/>
          <w:szCs w:val="21"/>
          <w:highlight w:val="none"/>
          <w:lang w:eastAsia="zh-CN"/>
        </w:rPr>
        <w:t>谈判</w:t>
      </w:r>
      <w:r>
        <w:rPr>
          <w:rFonts w:hint="eastAsia" w:ascii="宋体" w:hAnsi="宋体"/>
          <w:color w:val="auto"/>
          <w:szCs w:val="21"/>
          <w:highlight w:val="none"/>
        </w:rPr>
        <w:t>的基本原则，</w:t>
      </w:r>
      <w:r>
        <w:rPr>
          <w:rFonts w:hint="eastAsia" w:ascii="宋体" w:hAnsi="宋体"/>
          <w:color w:val="auto"/>
          <w:szCs w:val="21"/>
          <w:highlight w:val="none"/>
          <w:lang w:eastAsia="zh-CN"/>
        </w:rPr>
        <w:t>谈判</w:t>
      </w:r>
      <w:r>
        <w:rPr>
          <w:rFonts w:hint="eastAsia" w:ascii="宋体" w:hAnsi="宋体"/>
          <w:color w:val="auto"/>
          <w:szCs w:val="21"/>
          <w:highlight w:val="none"/>
        </w:rPr>
        <w:t>小组按照这一原则的要求，公正、平等地对待各供应商。同时，在</w:t>
      </w:r>
      <w:r>
        <w:rPr>
          <w:rFonts w:hint="eastAsia" w:ascii="宋体" w:hAnsi="宋体"/>
          <w:color w:val="auto"/>
          <w:szCs w:val="21"/>
          <w:highlight w:val="none"/>
          <w:lang w:eastAsia="zh-CN"/>
        </w:rPr>
        <w:t>谈判</w:t>
      </w:r>
      <w:r>
        <w:rPr>
          <w:rFonts w:hint="eastAsia" w:ascii="宋体" w:hAnsi="宋体"/>
          <w:color w:val="auto"/>
          <w:szCs w:val="21"/>
          <w:highlight w:val="none"/>
        </w:rPr>
        <w:t>中恪守以下原则：</w:t>
      </w:r>
    </w:p>
    <w:p>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（1）统一性原则：</w:t>
      </w:r>
      <w:r>
        <w:rPr>
          <w:rFonts w:hint="eastAsia" w:ascii="宋体" w:hAnsi="宋体"/>
          <w:color w:val="auto"/>
          <w:szCs w:val="21"/>
          <w:highlight w:val="none"/>
          <w:lang w:eastAsia="zh-CN"/>
        </w:rPr>
        <w:t>谈判</w:t>
      </w:r>
      <w:r>
        <w:rPr>
          <w:rFonts w:hint="eastAsia" w:ascii="宋体" w:hAnsi="宋体"/>
          <w:color w:val="auto"/>
          <w:szCs w:val="21"/>
          <w:highlight w:val="none"/>
        </w:rPr>
        <w:t>小组将按照统一的</w:t>
      </w:r>
      <w:r>
        <w:rPr>
          <w:rFonts w:hint="eastAsia" w:ascii="宋体" w:hAnsi="宋体"/>
          <w:color w:val="auto"/>
          <w:szCs w:val="21"/>
          <w:highlight w:val="none"/>
          <w:lang w:eastAsia="zh-CN"/>
        </w:rPr>
        <w:t>谈判</w:t>
      </w:r>
      <w:r>
        <w:rPr>
          <w:rFonts w:hint="eastAsia" w:ascii="宋体" w:hAnsi="宋体"/>
          <w:color w:val="auto"/>
          <w:szCs w:val="21"/>
          <w:highlight w:val="none"/>
        </w:rPr>
        <w:t>原则和方法，用统一标准进行评审。</w:t>
      </w:r>
    </w:p>
    <w:p>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（2）独立性原则:</w:t>
      </w:r>
      <w:r>
        <w:rPr>
          <w:rFonts w:hint="eastAsia" w:ascii="宋体" w:hAnsi="宋体"/>
          <w:color w:val="auto"/>
          <w:szCs w:val="21"/>
          <w:highlight w:val="none"/>
          <w:lang w:eastAsia="zh-CN"/>
        </w:rPr>
        <w:t>谈判</w:t>
      </w:r>
      <w:r>
        <w:rPr>
          <w:rFonts w:hint="eastAsia" w:ascii="宋体" w:hAnsi="宋体"/>
          <w:color w:val="auto"/>
          <w:szCs w:val="21"/>
          <w:highlight w:val="none"/>
        </w:rPr>
        <w:t>工作在</w:t>
      </w:r>
      <w:r>
        <w:rPr>
          <w:rFonts w:hint="eastAsia" w:ascii="宋体" w:hAnsi="宋体"/>
          <w:color w:val="auto"/>
          <w:szCs w:val="21"/>
          <w:highlight w:val="none"/>
          <w:lang w:eastAsia="zh-CN"/>
        </w:rPr>
        <w:t>谈判</w:t>
      </w:r>
      <w:r>
        <w:rPr>
          <w:rFonts w:hint="eastAsia" w:ascii="宋体" w:hAnsi="宋体"/>
          <w:color w:val="auto"/>
          <w:szCs w:val="21"/>
          <w:highlight w:val="none"/>
        </w:rPr>
        <w:t>小组内部独立进行，不受外界任何因素的干扰和影响。</w:t>
      </w:r>
      <w:r>
        <w:rPr>
          <w:rFonts w:hint="eastAsia" w:ascii="宋体" w:hAnsi="宋体"/>
          <w:color w:val="auto"/>
          <w:szCs w:val="21"/>
          <w:highlight w:val="none"/>
          <w:lang w:eastAsia="zh-CN"/>
        </w:rPr>
        <w:t>谈判</w:t>
      </w:r>
      <w:r>
        <w:rPr>
          <w:rFonts w:hint="eastAsia" w:ascii="宋体" w:hAnsi="宋体"/>
          <w:color w:val="auto"/>
          <w:szCs w:val="21"/>
          <w:highlight w:val="none"/>
        </w:rPr>
        <w:t>小组成员对其出具的意见承担个人责任。</w:t>
      </w:r>
      <w:r>
        <w:rPr>
          <w:rFonts w:hint="eastAsia" w:ascii="宋体" w:hAnsi="宋体" w:cs="宋体"/>
          <w:color w:val="auto"/>
          <w:kern w:val="0"/>
          <w:szCs w:val="21"/>
          <w:highlight w:val="none"/>
        </w:rPr>
        <w:t>供应商试图影响或干预评审的任何行为，将导致其丧失</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的资格，并承担相应的法律责任。</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（3）物有所值原则：通过首轮的</w:t>
      </w:r>
      <w:r>
        <w:rPr>
          <w:rFonts w:hint="eastAsia" w:ascii="宋体" w:hAnsi="宋体"/>
          <w:color w:val="auto"/>
          <w:szCs w:val="21"/>
          <w:highlight w:val="none"/>
          <w:lang w:eastAsia="zh-CN"/>
        </w:rPr>
        <w:t>谈判</w:t>
      </w:r>
      <w:r>
        <w:rPr>
          <w:rFonts w:hint="eastAsia" w:ascii="宋体" w:hAnsi="宋体"/>
          <w:color w:val="auto"/>
          <w:szCs w:val="21"/>
          <w:highlight w:val="none"/>
        </w:rPr>
        <w:t>报价，激发供应商展开竞争，进一步优化方案，并使报价符合预期目标。</w:t>
      </w:r>
    </w:p>
    <w:p>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（4）客观性原则：</w:t>
      </w:r>
      <w:r>
        <w:rPr>
          <w:rFonts w:hint="eastAsia" w:ascii="宋体" w:hAnsi="宋体"/>
          <w:color w:val="auto"/>
          <w:szCs w:val="21"/>
          <w:highlight w:val="none"/>
          <w:lang w:eastAsia="zh-CN"/>
        </w:rPr>
        <w:t>谈判</w:t>
      </w:r>
      <w:r>
        <w:rPr>
          <w:rFonts w:hint="eastAsia" w:ascii="宋体" w:hAnsi="宋体"/>
          <w:color w:val="auto"/>
          <w:szCs w:val="21"/>
          <w:highlight w:val="none"/>
        </w:rPr>
        <w:t>小组将严格按照</w:t>
      </w:r>
      <w:r>
        <w:rPr>
          <w:rFonts w:hint="eastAsia" w:ascii="宋体" w:hAnsi="宋体"/>
          <w:color w:val="auto"/>
          <w:szCs w:val="21"/>
          <w:highlight w:val="none"/>
          <w:lang w:eastAsia="zh-CN"/>
        </w:rPr>
        <w:t>谈判</w:t>
      </w:r>
      <w:r>
        <w:rPr>
          <w:rFonts w:hint="eastAsia" w:ascii="宋体" w:hAnsi="宋体"/>
          <w:color w:val="auto"/>
          <w:szCs w:val="21"/>
          <w:highlight w:val="none"/>
        </w:rPr>
        <w:t>文件要求，对供应商的响应文件进行认真评审；</w:t>
      </w:r>
      <w:r>
        <w:rPr>
          <w:rFonts w:hint="eastAsia" w:ascii="宋体" w:hAnsi="宋体"/>
          <w:color w:val="auto"/>
          <w:szCs w:val="21"/>
          <w:highlight w:val="none"/>
          <w:lang w:eastAsia="zh-CN"/>
        </w:rPr>
        <w:t>谈判</w:t>
      </w:r>
      <w:r>
        <w:rPr>
          <w:rFonts w:hint="eastAsia" w:ascii="宋体" w:hAnsi="宋体"/>
          <w:color w:val="auto"/>
          <w:szCs w:val="21"/>
          <w:highlight w:val="none"/>
        </w:rPr>
        <w:t>小组对响应文件的评审仅依据响应文件本身，而不依据响应文件以外的任何因素。</w:t>
      </w:r>
    </w:p>
    <w:p>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（5）保密性原则：采购代理机构应当采取必要的措施，保证评审在严格保密情况下进行。</w:t>
      </w:r>
    </w:p>
    <w:p>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（6）综合性原则:</w:t>
      </w:r>
      <w:r>
        <w:rPr>
          <w:rFonts w:hint="eastAsia" w:ascii="宋体" w:hAnsi="宋体"/>
          <w:color w:val="auto"/>
          <w:szCs w:val="21"/>
          <w:highlight w:val="none"/>
          <w:lang w:eastAsia="zh-CN"/>
        </w:rPr>
        <w:t>谈判</w:t>
      </w:r>
      <w:r>
        <w:rPr>
          <w:rFonts w:hint="eastAsia" w:ascii="宋体" w:hAnsi="宋体"/>
          <w:color w:val="auto"/>
          <w:szCs w:val="21"/>
          <w:highlight w:val="none"/>
        </w:rPr>
        <w:t>小组将综合分析、评审供应商的各项指标，而不以单项指标的优劣评定出成交供应商。</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7.2.2 </w:t>
      </w:r>
      <w:r>
        <w:rPr>
          <w:rFonts w:hint="eastAsia" w:ascii="宋体" w:hAnsi="宋体"/>
          <w:color w:val="auto"/>
          <w:szCs w:val="21"/>
          <w:highlight w:val="none"/>
          <w:lang w:eastAsia="zh-CN"/>
        </w:rPr>
        <w:t>谈判</w:t>
      </w:r>
      <w:r>
        <w:rPr>
          <w:rFonts w:hint="eastAsia" w:ascii="宋体" w:hAnsi="宋体"/>
          <w:color w:val="auto"/>
          <w:szCs w:val="21"/>
          <w:highlight w:val="none"/>
        </w:rPr>
        <w:t>小组有权对整个</w:t>
      </w:r>
      <w:r>
        <w:rPr>
          <w:rFonts w:hint="eastAsia" w:ascii="宋体" w:hAnsi="宋体"/>
          <w:color w:val="auto"/>
          <w:szCs w:val="21"/>
          <w:highlight w:val="none"/>
          <w:lang w:eastAsia="zh-CN"/>
        </w:rPr>
        <w:t>谈判</w:t>
      </w:r>
      <w:r>
        <w:rPr>
          <w:rFonts w:hint="eastAsia" w:ascii="宋体" w:hAnsi="宋体"/>
          <w:color w:val="auto"/>
          <w:szCs w:val="21"/>
          <w:highlight w:val="none"/>
        </w:rPr>
        <w:t>和评审过程中出现的所有问题，可根据《中华人民共和国政府采购法》及实施条例</w:t>
      </w:r>
      <w:r>
        <w:rPr>
          <w:rFonts w:hint="eastAsia" w:ascii="宋体" w:hAnsi="宋体"/>
          <w:color w:val="auto"/>
          <w:szCs w:val="21"/>
          <w:highlight w:val="none"/>
          <w:lang w:eastAsia="zh-CN"/>
        </w:rPr>
        <w:t>、</w:t>
      </w:r>
      <w:r>
        <w:rPr>
          <w:rFonts w:hint="eastAsia" w:ascii="宋体" w:hAnsi="宋体"/>
          <w:color w:val="auto"/>
          <w:szCs w:val="21"/>
          <w:highlight w:val="none"/>
        </w:rPr>
        <w:t>《政府采购货物和服务招标投标管理办法》和《政府采购非招标采购方式管理办法》等相关规定进行处理。</w:t>
      </w:r>
    </w:p>
    <w:p>
      <w:pPr>
        <w:pStyle w:val="28"/>
        <w:shd w:val="clear"/>
        <w:spacing w:beforeLines="50" w:beforeAutospacing="0" w:afterLines="50" w:afterAutospacing="0" w:line="360" w:lineRule="auto"/>
        <w:rPr>
          <w:rFonts w:hint="eastAsia" w:eastAsia="宋体"/>
          <w:b/>
          <w:color w:val="auto"/>
          <w:kern w:val="2"/>
          <w:sz w:val="30"/>
          <w:szCs w:val="30"/>
          <w:highlight w:val="none"/>
          <w:lang w:eastAsia="zh-CN"/>
        </w:rPr>
      </w:pPr>
      <w:r>
        <w:rPr>
          <w:rFonts w:hint="eastAsia"/>
          <w:b/>
          <w:color w:val="auto"/>
          <w:kern w:val="2"/>
          <w:sz w:val="30"/>
          <w:szCs w:val="30"/>
          <w:highlight w:val="none"/>
        </w:rPr>
        <w:t>7.3</w:t>
      </w:r>
      <w:r>
        <w:rPr>
          <w:rFonts w:hint="eastAsia"/>
          <w:b/>
          <w:color w:val="auto"/>
          <w:kern w:val="2"/>
          <w:sz w:val="30"/>
          <w:szCs w:val="30"/>
          <w:highlight w:val="none"/>
          <w:lang w:eastAsia="zh-CN"/>
        </w:rPr>
        <w:t>谈判</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7.3.1 </w:t>
      </w:r>
      <w:r>
        <w:rPr>
          <w:rFonts w:hint="eastAsia" w:ascii="宋体" w:hAnsi="宋体"/>
          <w:color w:val="auto"/>
          <w:szCs w:val="21"/>
          <w:highlight w:val="none"/>
          <w:lang w:eastAsia="zh-CN"/>
        </w:rPr>
        <w:t>谈判</w:t>
      </w:r>
      <w:r>
        <w:rPr>
          <w:rFonts w:hint="eastAsia" w:ascii="宋体" w:hAnsi="宋体"/>
          <w:color w:val="auto"/>
          <w:szCs w:val="21"/>
          <w:highlight w:val="none"/>
        </w:rPr>
        <w:t>小组根据</w:t>
      </w:r>
      <w:r>
        <w:rPr>
          <w:rFonts w:hint="eastAsia" w:ascii="宋体" w:hAnsi="宋体"/>
          <w:color w:val="auto"/>
          <w:szCs w:val="21"/>
          <w:highlight w:val="none"/>
          <w:lang w:eastAsia="zh-CN"/>
        </w:rPr>
        <w:t>谈判</w:t>
      </w:r>
      <w:r>
        <w:rPr>
          <w:rFonts w:hint="eastAsia" w:ascii="宋体" w:hAnsi="宋体"/>
          <w:color w:val="auto"/>
          <w:szCs w:val="21"/>
          <w:highlight w:val="none"/>
        </w:rPr>
        <w:t>文件第三章“</w:t>
      </w:r>
      <w:r>
        <w:rPr>
          <w:rFonts w:hint="eastAsia" w:ascii="宋体" w:hAnsi="宋体"/>
          <w:color w:val="auto"/>
          <w:szCs w:val="21"/>
          <w:highlight w:val="none"/>
          <w:lang w:eastAsia="zh-CN"/>
        </w:rPr>
        <w:t>谈判</w:t>
      </w:r>
      <w:r>
        <w:rPr>
          <w:rFonts w:hint="eastAsia" w:ascii="宋体" w:hAnsi="宋体"/>
          <w:color w:val="auto"/>
          <w:szCs w:val="21"/>
          <w:highlight w:val="none"/>
        </w:rPr>
        <w:t>办法”规定的方法、评审因素、标准和程序，在与单一供应商进行反复</w:t>
      </w:r>
      <w:r>
        <w:rPr>
          <w:rFonts w:hint="eastAsia" w:ascii="宋体" w:hAnsi="宋体"/>
          <w:color w:val="auto"/>
          <w:szCs w:val="21"/>
          <w:highlight w:val="none"/>
          <w:lang w:eastAsia="zh-CN"/>
        </w:rPr>
        <w:t>谈判</w:t>
      </w:r>
      <w:r>
        <w:rPr>
          <w:rFonts w:hint="eastAsia" w:ascii="宋体" w:hAnsi="宋体"/>
          <w:color w:val="auto"/>
          <w:szCs w:val="21"/>
          <w:highlight w:val="none"/>
        </w:rPr>
        <w:t>的基础上，对其响应文件进行评审。第三章“</w:t>
      </w:r>
      <w:r>
        <w:rPr>
          <w:rFonts w:hint="eastAsia" w:ascii="宋体" w:hAnsi="宋体"/>
          <w:color w:val="auto"/>
          <w:szCs w:val="21"/>
          <w:highlight w:val="none"/>
          <w:lang w:eastAsia="zh-CN"/>
        </w:rPr>
        <w:t>谈判</w:t>
      </w:r>
      <w:r>
        <w:rPr>
          <w:rFonts w:hint="eastAsia" w:ascii="宋体" w:hAnsi="宋体"/>
          <w:color w:val="auto"/>
          <w:szCs w:val="21"/>
          <w:highlight w:val="none"/>
        </w:rPr>
        <w:t>办法”没有规定的方法、评审因素和标准，不作为评审依据。</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7.3.2 </w:t>
      </w:r>
      <w:r>
        <w:rPr>
          <w:rFonts w:hint="eastAsia" w:ascii="宋体" w:hAnsi="宋体"/>
          <w:color w:val="auto"/>
          <w:szCs w:val="21"/>
          <w:highlight w:val="none"/>
          <w:lang w:eastAsia="zh-CN"/>
        </w:rPr>
        <w:t>谈判</w:t>
      </w:r>
      <w:r>
        <w:rPr>
          <w:rFonts w:hint="eastAsia" w:ascii="宋体" w:hAnsi="宋体"/>
          <w:color w:val="auto"/>
          <w:szCs w:val="21"/>
          <w:highlight w:val="none"/>
        </w:rPr>
        <w:t>小组负责具体</w:t>
      </w:r>
      <w:r>
        <w:rPr>
          <w:rFonts w:hint="eastAsia" w:ascii="宋体" w:hAnsi="宋体"/>
          <w:color w:val="auto"/>
          <w:szCs w:val="21"/>
          <w:highlight w:val="none"/>
          <w:lang w:eastAsia="zh-CN"/>
        </w:rPr>
        <w:t>谈判</w:t>
      </w:r>
      <w:r>
        <w:rPr>
          <w:rFonts w:hint="eastAsia" w:ascii="宋体" w:hAnsi="宋体"/>
          <w:color w:val="auto"/>
          <w:szCs w:val="21"/>
          <w:highlight w:val="none"/>
        </w:rPr>
        <w:t>事务，并独立履行下列职责：</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（1）审查、评价响应文件是否符合</w:t>
      </w:r>
      <w:r>
        <w:rPr>
          <w:rFonts w:hint="eastAsia" w:ascii="宋体" w:hAnsi="宋体"/>
          <w:color w:val="auto"/>
          <w:szCs w:val="21"/>
          <w:highlight w:val="none"/>
          <w:lang w:eastAsia="zh-CN"/>
        </w:rPr>
        <w:t>谈判</w:t>
      </w:r>
      <w:r>
        <w:rPr>
          <w:rFonts w:hint="eastAsia" w:ascii="宋体" w:hAnsi="宋体"/>
          <w:color w:val="auto"/>
          <w:szCs w:val="21"/>
          <w:highlight w:val="none"/>
        </w:rPr>
        <w:t>文件的商务、技术、服务等实质性要求；</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（2）要求供应商对响应文件有关事项作出澄清或者说明；</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（3）与合格的供应商分别就技术和商务事务进行</w:t>
      </w:r>
      <w:r>
        <w:rPr>
          <w:rFonts w:hint="eastAsia" w:ascii="宋体" w:hAnsi="宋体"/>
          <w:color w:val="auto"/>
          <w:szCs w:val="21"/>
          <w:highlight w:val="none"/>
          <w:lang w:eastAsia="zh-CN"/>
        </w:rPr>
        <w:t>谈判</w:t>
      </w:r>
      <w:r>
        <w:rPr>
          <w:rFonts w:hint="eastAsia" w:ascii="宋体" w:hAnsi="宋体"/>
          <w:color w:val="auto"/>
          <w:szCs w:val="21"/>
          <w:highlight w:val="none"/>
        </w:rPr>
        <w:t>；</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（4）对响应文件进行比较和评价；</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（5）推荐成交候选人名单，或者根据采购人委托直接确定成交供应商；</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（6）向采购人、采购代理机构或者有关部门报告非法干预</w:t>
      </w:r>
      <w:r>
        <w:rPr>
          <w:rFonts w:hint="eastAsia" w:ascii="宋体" w:hAnsi="宋体"/>
          <w:color w:val="auto"/>
          <w:szCs w:val="21"/>
          <w:highlight w:val="none"/>
          <w:lang w:eastAsia="zh-CN"/>
        </w:rPr>
        <w:t>谈判</w:t>
      </w:r>
      <w:r>
        <w:rPr>
          <w:rFonts w:hint="eastAsia" w:ascii="宋体" w:hAnsi="宋体"/>
          <w:color w:val="auto"/>
          <w:szCs w:val="21"/>
          <w:highlight w:val="none"/>
        </w:rPr>
        <w:t>工作的行为。</w:t>
      </w:r>
    </w:p>
    <w:p>
      <w:pPr>
        <w:pStyle w:val="28"/>
        <w:shd w:val="clear"/>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7.3.3</w:t>
      </w:r>
      <w:r>
        <w:rPr>
          <w:rFonts w:hint="eastAsia"/>
          <w:color w:val="auto"/>
          <w:sz w:val="21"/>
          <w:szCs w:val="21"/>
          <w:highlight w:val="none"/>
          <w:lang w:eastAsia="zh-CN"/>
        </w:rPr>
        <w:t>谈判</w:t>
      </w:r>
      <w:r>
        <w:rPr>
          <w:rFonts w:hint="eastAsia"/>
          <w:color w:val="auto"/>
          <w:sz w:val="21"/>
          <w:szCs w:val="21"/>
          <w:highlight w:val="none"/>
        </w:rPr>
        <w:t>小组成员应当履行下列义务：</w:t>
      </w:r>
    </w:p>
    <w:p>
      <w:pPr>
        <w:pStyle w:val="28"/>
        <w:shd w:val="clear"/>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（1）遵纪守法，客观、公正、廉洁地履行职责；</w:t>
      </w:r>
    </w:p>
    <w:p>
      <w:pPr>
        <w:pStyle w:val="28"/>
        <w:shd w:val="clear"/>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（2）根据采购文件的规定独立进行评审，对个人的评审意见承担法律责任；</w:t>
      </w:r>
    </w:p>
    <w:p>
      <w:pPr>
        <w:pStyle w:val="28"/>
        <w:shd w:val="clear"/>
        <w:snapToGrid w:val="0"/>
        <w:spacing w:before="0" w:beforeAutospacing="0" w:after="0" w:afterAutospacing="0" w:line="360" w:lineRule="auto"/>
        <w:rPr>
          <w:color w:val="auto"/>
          <w:sz w:val="21"/>
          <w:szCs w:val="21"/>
          <w:highlight w:val="none"/>
        </w:rPr>
      </w:pPr>
      <w:r>
        <w:rPr>
          <w:rFonts w:hint="eastAsia"/>
          <w:color w:val="auto"/>
          <w:sz w:val="21"/>
          <w:szCs w:val="21"/>
          <w:highlight w:val="none"/>
        </w:rPr>
        <w:t>　　（3）参与评审报告的起草；</w:t>
      </w:r>
    </w:p>
    <w:p>
      <w:pPr>
        <w:pStyle w:val="28"/>
        <w:shd w:val="clear"/>
        <w:snapToGrid w:val="0"/>
        <w:spacing w:before="0" w:beforeAutospacing="0" w:after="0" w:afterAutospacing="0" w:line="360" w:lineRule="auto"/>
        <w:rPr>
          <w:color w:val="auto"/>
          <w:sz w:val="21"/>
          <w:szCs w:val="21"/>
          <w:highlight w:val="none"/>
        </w:rPr>
      </w:pPr>
      <w:r>
        <w:rPr>
          <w:rFonts w:hint="eastAsia"/>
          <w:color w:val="auto"/>
          <w:sz w:val="21"/>
          <w:szCs w:val="21"/>
          <w:highlight w:val="none"/>
        </w:rPr>
        <w:t>　　（4）配合采购人、采购代理机构答复供应商提出的质疑；</w:t>
      </w:r>
    </w:p>
    <w:p>
      <w:pPr>
        <w:pStyle w:val="28"/>
        <w:shd w:val="clear"/>
        <w:snapToGrid w:val="0"/>
        <w:spacing w:before="0" w:beforeAutospacing="0" w:after="0" w:afterAutospacing="0" w:line="360" w:lineRule="auto"/>
        <w:rPr>
          <w:color w:val="auto"/>
          <w:sz w:val="21"/>
          <w:szCs w:val="21"/>
          <w:highlight w:val="none"/>
        </w:rPr>
      </w:pPr>
      <w:r>
        <w:rPr>
          <w:rFonts w:hint="eastAsia"/>
          <w:color w:val="auto"/>
          <w:sz w:val="21"/>
          <w:szCs w:val="21"/>
          <w:highlight w:val="none"/>
        </w:rPr>
        <w:t>　　（5）配合财政部门的投诉处理和监督检查工作。</w:t>
      </w:r>
    </w:p>
    <w:p>
      <w:pPr>
        <w:pStyle w:val="28"/>
        <w:shd w:val="clear"/>
        <w:spacing w:before="0" w:beforeAutospacing="0" w:after="0" w:afterAutospacing="0" w:line="360" w:lineRule="auto"/>
        <w:ind w:firstLine="420" w:firstLineChars="200"/>
        <w:rPr>
          <w:color w:val="auto"/>
          <w:kern w:val="2"/>
          <w:sz w:val="21"/>
          <w:szCs w:val="21"/>
          <w:highlight w:val="none"/>
        </w:rPr>
      </w:pPr>
      <w:r>
        <w:rPr>
          <w:rFonts w:hint="eastAsia"/>
          <w:color w:val="auto"/>
          <w:sz w:val="21"/>
          <w:szCs w:val="21"/>
          <w:highlight w:val="none"/>
        </w:rPr>
        <w:t xml:space="preserve">7.3.4 </w:t>
      </w:r>
      <w:r>
        <w:rPr>
          <w:color w:val="auto"/>
          <w:kern w:val="2"/>
          <w:sz w:val="21"/>
          <w:szCs w:val="21"/>
          <w:highlight w:val="none"/>
        </w:rPr>
        <w:t>采购代理机构负责组织</w:t>
      </w:r>
      <w:r>
        <w:rPr>
          <w:rFonts w:hint="eastAsia"/>
          <w:color w:val="auto"/>
          <w:kern w:val="2"/>
          <w:sz w:val="21"/>
          <w:szCs w:val="21"/>
          <w:highlight w:val="none"/>
          <w:lang w:eastAsia="zh-CN"/>
        </w:rPr>
        <w:t>谈判</w:t>
      </w:r>
      <w:r>
        <w:rPr>
          <w:color w:val="auto"/>
          <w:kern w:val="2"/>
          <w:sz w:val="21"/>
          <w:szCs w:val="21"/>
          <w:highlight w:val="none"/>
        </w:rPr>
        <w:t>工作并履行下列职责：</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1</w:t>
      </w:r>
      <w:r>
        <w:rPr>
          <w:color w:val="auto"/>
          <w:kern w:val="2"/>
          <w:sz w:val="21"/>
          <w:szCs w:val="21"/>
          <w:highlight w:val="none"/>
        </w:rPr>
        <w:t>）核对</w:t>
      </w:r>
      <w:r>
        <w:rPr>
          <w:rFonts w:hint="eastAsia"/>
          <w:color w:val="auto"/>
          <w:kern w:val="2"/>
          <w:sz w:val="21"/>
          <w:szCs w:val="21"/>
          <w:highlight w:val="none"/>
        </w:rPr>
        <w:t>评审专家</w:t>
      </w:r>
      <w:r>
        <w:rPr>
          <w:color w:val="auto"/>
          <w:kern w:val="2"/>
          <w:sz w:val="21"/>
          <w:szCs w:val="21"/>
          <w:highlight w:val="none"/>
        </w:rPr>
        <w:t>身份和采购人代表授权函</w:t>
      </w:r>
      <w:r>
        <w:rPr>
          <w:rFonts w:hint="eastAsia"/>
          <w:color w:val="auto"/>
          <w:kern w:val="2"/>
          <w:sz w:val="21"/>
          <w:szCs w:val="21"/>
          <w:highlight w:val="none"/>
        </w:rPr>
        <w:t>，</w:t>
      </w:r>
      <w:r>
        <w:rPr>
          <w:rFonts w:hint="eastAsia"/>
          <w:color w:val="auto"/>
          <w:sz w:val="21"/>
          <w:szCs w:val="21"/>
          <w:highlight w:val="none"/>
        </w:rPr>
        <w:t>对评审专家在政府采购活动中的职责履行情况予以记录，并及时将有关违法违规行为向财政部门报告；</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2</w:t>
      </w:r>
      <w:r>
        <w:rPr>
          <w:color w:val="auto"/>
          <w:kern w:val="2"/>
          <w:sz w:val="21"/>
          <w:szCs w:val="21"/>
          <w:highlight w:val="none"/>
        </w:rPr>
        <w:t>）宣布</w:t>
      </w:r>
      <w:r>
        <w:rPr>
          <w:rFonts w:hint="eastAsia"/>
          <w:color w:val="auto"/>
          <w:kern w:val="2"/>
          <w:sz w:val="21"/>
          <w:szCs w:val="21"/>
          <w:highlight w:val="none"/>
          <w:lang w:eastAsia="zh-CN"/>
        </w:rPr>
        <w:t>谈判</w:t>
      </w:r>
      <w:r>
        <w:rPr>
          <w:color w:val="auto"/>
          <w:kern w:val="2"/>
          <w:sz w:val="21"/>
          <w:szCs w:val="21"/>
          <w:highlight w:val="none"/>
        </w:rPr>
        <w:t>纪律</w:t>
      </w:r>
      <w:r>
        <w:rPr>
          <w:rFonts w:hint="eastAsia"/>
          <w:color w:val="auto"/>
          <w:kern w:val="2"/>
          <w:sz w:val="21"/>
          <w:szCs w:val="21"/>
          <w:highlight w:val="none"/>
        </w:rPr>
        <w:t>和开启录音录像设备</w:t>
      </w:r>
      <w:r>
        <w:rPr>
          <w:color w:val="auto"/>
          <w:kern w:val="2"/>
          <w:sz w:val="21"/>
          <w:szCs w:val="21"/>
          <w:highlight w:val="none"/>
        </w:rPr>
        <w:t>；</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3</w:t>
      </w:r>
      <w:r>
        <w:rPr>
          <w:color w:val="auto"/>
          <w:kern w:val="2"/>
          <w:sz w:val="21"/>
          <w:szCs w:val="21"/>
          <w:highlight w:val="none"/>
        </w:rPr>
        <w:t>）公布</w:t>
      </w:r>
      <w:r>
        <w:rPr>
          <w:rFonts w:hint="eastAsia"/>
          <w:color w:val="auto"/>
          <w:kern w:val="2"/>
          <w:sz w:val="21"/>
          <w:szCs w:val="21"/>
          <w:highlight w:val="none"/>
        </w:rPr>
        <w:t>提交了响应文件的供应商</w:t>
      </w:r>
      <w:r>
        <w:rPr>
          <w:color w:val="auto"/>
          <w:kern w:val="2"/>
          <w:sz w:val="21"/>
          <w:szCs w:val="21"/>
          <w:highlight w:val="none"/>
        </w:rPr>
        <w:t>名单，告知</w:t>
      </w:r>
      <w:r>
        <w:rPr>
          <w:rFonts w:hint="eastAsia"/>
          <w:color w:val="auto"/>
          <w:kern w:val="2"/>
          <w:sz w:val="21"/>
          <w:szCs w:val="21"/>
          <w:highlight w:val="none"/>
        </w:rPr>
        <w:t>评审专家</w:t>
      </w:r>
      <w:r>
        <w:rPr>
          <w:color w:val="auto"/>
          <w:kern w:val="2"/>
          <w:sz w:val="21"/>
          <w:szCs w:val="21"/>
          <w:highlight w:val="none"/>
        </w:rPr>
        <w:t>应当回避的情形；</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4</w:t>
      </w:r>
      <w:r>
        <w:rPr>
          <w:color w:val="auto"/>
          <w:kern w:val="2"/>
          <w:sz w:val="21"/>
          <w:szCs w:val="21"/>
          <w:highlight w:val="none"/>
        </w:rPr>
        <w:t>）组织</w:t>
      </w:r>
      <w:r>
        <w:rPr>
          <w:rFonts w:hint="eastAsia"/>
          <w:color w:val="auto"/>
          <w:kern w:val="2"/>
          <w:sz w:val="21"/>
          <w:szCs w:val="21"/>
          <w:highlight w:val="none"/>
          <w:lang w:eastAsia="zh-CN"/>
        </w:rPr>
        <w:t>谈判</w:t>
      </w:r>
      <w:r>
        <w:rPr>
          <w:rFonts w:hint="eastAsia"/>
          <w:color w:val="auto"/>
          <w:kern w:val="2"/>
          <w:sz w:val="21"/>
          <w:szCs w:val="21"/>
          <w:highlight w:val="none"/>
        </w:rPr>
        <w:t>小组成员</w:t>
      </w:r>
      <w:r>
        <w:rPr>
          <w:color w:val="auto"/>
          <w:kern w:val="2"/>
          <w:sz w:val="21"/>
          <w:szCs w:val="21"/>
          <w:highlight w:val="none"/>
        </w:rPr>
        <w:t>推选</w:t>
      </w:r>
      <w:r>
        <w:rPr>
          <w:rFonts w:hint="eastAsia"/>
          <w:color w:val="auto"/>
          <w:kern w:val="2"/>
          <w:sz w:val="21"/>
          <w:szCs w:val="21"/>
          <w:highlight w:val="none"/>
          <w:lang w:eastAsia="zh-CN"/>
        </w:rPr>
        <w:t>谈判</w:t>
      </w:r>
      <w:r>
        <w:rPr>
          <w:rFonts w:hint="eastAsia"/>
          <w:color w:val="auto"/>
          <w:kern w:val="2"/>
          <w:sz w:val="21"/>
          <w:szCs w:val="21"/>
          <w:highlight w:val="none"/>
        </w:rPr>
        <w:t>小组</w:t>
      </w:r>
      <w:r>
        <w:rPr>
          <w:color w:val="auto"/>
          <w:kern w:val="2"/>
          <w:sz w:val="21"/>
          <w:szCs w:val="21"/>
          <w:highlight w:val="none"/>
        </w:rPr>
        <w:t>组长，采购人代表不得担任组长；</w:t>
      </w:r>
    </w:p>
    <w:p>
      <w:pPr>
        <w:widowControl/>
        <w:shd w:val="clear"/>
        <w:spacing w:line="360" w:lineRule="auto"/>
        <w:ind w:firstLine="420" w:firstLineChars="200"/>
        <w:jc w:val="left"/>
        <w:rPr>
          <w:rFonts w:ascii="宋体" w:hAnsi="宋体" w:cs="宋体"/>
          <w:color w:val="auto"/>
          <w:kern w:val="0"/>
          <w:szCs w:val="21"/>
          <w:highlight w:val="none"/>
        </w:rPr>
      </w:pPr>
      <w:r>
        <w:rPr>
          <w:color w:val="auto"/>
          <w:szCs w:val="21"/>
          <w:highlight w:val="none"/>
        </w:rPr>
        <w:t>（</w:t>
      </w:r>
      <w:r>
        <w:rPr>
          <w:rFonts w:hint="eastAsia"/>
          <w:color w:val="auto"/>
          <w:szCs w:val="21"/>
          <w:highlight w:val="none"/>
        </w:rPr>
        <w:t>5</w:t>
      </w:r>
      <w:r>
        <w:rPr>
          <w:color w:val="auto"/>
          <w:szCs w:val="21"/>
          <w:highlight w:val="none"/>
        </w:rPr>
        <w:t>）</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期间采取必要的通讯管理措施，保证</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活动不受外界干扰；</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6</w:t>
      </w:r>
      <w:r>
        <w:rPr>
          <w:color w:val="auto"/>
          <w:kern w:val="2"/>
          <w:sz w:val="21"/>
          <w:szCs w:val="21"/>
          <w:highlight w:val="none"/>
        </w:rPr>
        <w:t>）根据</w:t>
      </w:r>
      <w:r>
        <w:rPr>
          <w:rFonts w:hint="eastAsia"/>
          <w:color w:val="auto"/>
          <w:kern w:val="2"/>
          <w:sz w:val="21"/>
          <w:szCs w:val="21"/>
          <w:highlight w:val="none"/>
          <w:lang w:eastAsia="zh-CN"/>
        </w:rPr>
        <w:t>谈判</w:t>
      </w:r>
      <w:r>
        <w:rPr>
          <w:rFonts w:hint="eastAsia"/>
          <w:color w:val="auto"/>
          <w:kern w:val="2"/>
          <w:sz w:val="21"/>
          <w:szCs w:val="21"/>
          <w:highlight w:val="none"/>
        </w:rPr>
        <w:t>小组</w:t>
      </w:r>
      <w:r>
        <w:rPr>
          <w:color w:val="auto"/>
          <w:kern w:val="2"/>
          <w:sz w:val="21"/>
          <w:szCs w:val="21"/>
          <w:highlight w:val="none"/>
        </w:rPr>
        <w:t>的要求介绍政府采购相关政策法规、</w:t>
      </w:r>
      <w:r>
        <w:rPr>
          <w:rFonts w:hint="eastAsia"/>
          <w:color w:val="auto"/>
          <w:kern w:val="2"/>
          <w:sz w:val="21"/>
          <w:szCs w:val="21"/>
          <w:highlight w:val="none"/>
          <w:lang w:eastAsia="zh-CN"/>
        </w:rPr>
        <w:t>谈判</w:t>
      </w:r>
      <w:r>
        <w:rPr>
          <w:color w:val="auto"/>
          <w:kern w:val="2"/>
          <w:sz w:val="21"/>
          <w:szCs w:val="21"/>
          <w:highlight w:val="none"/>
        </w:rPr>
        <w:t>文件；</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7</w:t>
      </w:r>
      <w:r>
        <w:rPr>
          <w:color w:val="auto"/>
          <w:kern w:val="2"/>
          <w:sz w:val="21"/>
          <w:szCs w:val="21"/>
          <w:highlight w:val="none"/>
        </w:rPr>
        <w:t>）维护</w:t>
      </w:r>
      <w:r>
        <w:rPr>
          <w:rFonts w:hint="eastAsia"/>
          <w:color w:val="auto"/>
          <w:kern w:val="2"/>
          <w:sz w:val="21"/>
          <w:szCs w:val="21"/>
          <w:highlight w:val="none"/>
          <w:lang w:eastAsia="zh-CN"/>
        </w:rPr>
        <w:t>谈判</w:t>
      </w:r>
      <w:r>
        <w:rPr>
          <w:color w:val="auto"/>
          <w:kern w:val="2"/>
          <w:sz w:val="21"/>
          <w:szCs w:val="21"/>
          <w:highlight w:val="none"/>
        </w:rPr>
        <w:t>秩序，监督</w:t>
      </w:r>
      <w:r>
        <w:rPr>
          <w:rFonts w:hint="eastAsia"/>
          <w:color w:val="auto"/>
          <w:kern w:val="2"/>
          <w:sz w:val="21"/>
          <w:szCs w:val="21"/>
          <w:highlight w:val="none"/>
          <w:lang w:eastAsia="zh-CN"/>
        </w:rPr>
        <w:t>谈判</w:t>
      </w:r>
      <w:r>
        <w:rPr>
          <w:rFonts w:hint="eastAsia"/>
          <w:color w:val="auto"/>
          <w:kern w:val="2"/>
          <w:sz w:val="21"/>
          <w:szCs w:val="21"/>
          <w:highlight w:val="none"/>
        </w:rPr>
        <w:t>小组</w:t>
      </w:r>
      <w:r>
        <w:rPr>
          <w:color w:val="auto"/>
          <w:kern w:val="2"/>
          <w:sz w:val="21"/>
          <w:szCs w:val="21"/>
          <w:highlight w:val="none"/>
        </w:rPr>
        <w:t>依照</w:t>
      </w:r>
      <w:r>
        <w:rPr>
          <w:rFonts w:hint="eastAsia"/>
          <w:color w:val="auto"/>
          <w:kern w:val="2"/>
          <w:sz w:val="21"/>
          <w:szCs w:val="21"/>
          <w:highlight w:val="none"/>
          <w:lang w:eastAsia="zh-CN"/>
        </w:rPr>
        <w:t>谈判</w:t>
      </w:r>
      <w:r>
        <w:rPr>
          <w:color w:val="auto"/>
          <w:kern w:val="2"/>
          <w:sz w:val="21"/>
          <w:szCs w:val="21"/>
          <w:highlight w:val="none"/>
        </w:rPr>
        <w:t>文件规定的</w:t>
      </w:r>
      <w:r>
        <w:rPr>
          <w:rFonts w:hint="eastAsia"/>
          <w:color w:val="auto"/>
          <w:kern w:val="2"/>
          <w:sz w:val="21"/>
          <w:szCs w:val="21"/>
          <w:highlight w:val="none"/>
          <w:lang w:eastAsia="zh-CN"/>
        </w:rPr>
        <w:t>谈判</w:t>
      </w:r>
      <w:r>
        <w:rPr>
          <w:color w:val="auto"/>
          <w:kern w:val="2"/>
          <w:sz w:val="21"/>
          <w:szCs w:val="21"/>
          <w:highlight w:val="none"/>
        </w:rPr>
        <w:t>程序、</w:t>
      </w:r>
      <w:r>
        <w:rPr>
          <w:rFonts w:hint="eastAsia"/>
          <w:color w:val="auto"/>
          <w:kern w:val="2"/>
          <w:sz w:val="21"/>
          <w:szCs w:val="21"/>
          <w:highlight w:val="none"/>
        </w:rPr>
        <w:t>评审</w:t>
      </w:r>
      <w:r>
        <w:rPr>
          <w:color w:val="auto"/>
          <w:kern w:val="2"/>
          <w:sz w:val="21"/>
          <w:szCs w:val="21"/>
          <w:highlight w:val="none"/>
        </w:rPr>
        <w:t>方法和标准进行独立评审，对采购人代表、</w:t>
      </w:r>
      <w:r>
        <w:rPr>
          <w:rFonts w:hint="eastAsia"/>
          <w:color w:val="auto"/>
          <w:kern w:val="2"/>
          <w:sz w:val="21"/>
          <w:szCs w:val="21"/>
          <w:highlight w:val="none"/>
          <w:lang w:eastAsia="zh-CN"/>
        </w:rPr>
        <w:t>谈判</w:t>
      </w:r>
      <w:r>
        <w:rPr>
          <w:rFonts w:hint="eastAsia"/>
          <w:color w:val="auto"/>
          <w:kern w:val="2"/>
          <w:sz w:val="21"/>
          <w:szCs w:val="21"/>
          <w:highlight w:val="none"/>
        </w:rPr>
        <w:t>小组成员</w:t>
      </w:r>
      <w:r>
        <w:rPr>
          <w:color w:val="auto"/>
          <w:kern w:val="2"/>
          <w:sz w:val="21"/>
          <w:szCs w:val="21"/>
          <w:highlight w:val="none"/>
        </w:rPr>
        <w:t>的倾向性言论或违法违规行为及时制止和纠正；</w:t>
      </w:r>
    </w:p>
    <w:p>
      <w:pPr>
        <w:pStyle w:val="28"/>
        <w:shd w:val="clear"/>
        <w:spacing w:before="0" w:beforeAutospacing="0" w:after="0" w:afterAutospacing="0" w:line="360" w:lineRule="auto"/>
        <w:ind w:firstLine="420" w:firstLineChars="200"/>
        <w:rPr>
          <w:color w:val="auto"/>
          <w:kern w:val="2"/>
          <w:sz w:val="21"/>
          <w:szCs w:val="21"/>
          <w:highlight w:val="none"/>
        </w:rPr>
      </w:pPr>
      <w:r>
        <w:rPr>
          <w:color w:val="auto"/>
          <w:kern w:val="2"/>
          <w:sz w:val="21"/>
          <w:szCs w:val="21"/>
          <w:highlight w:val="none"/>
        </w:rPr>
        <w:t>（</w:t>
      </w:r>
      <w:r>
        <w:rPr>
          <w:rFonts w:hint="eastAsia"/>
          <w:color w:val="auto"/>
          <w:kern w:val="2"/>
          <w:sz w:val="21"/>
          <w:szCs w:val="21"/>
          <w:highlight w:val="none"/>
        </w:rPr>
        <w:t>8</w:t>
      </w:r>
      <w:r>
        <w:rPr>
          <w:color w:val="auto"/>
          <w:kern w:val="2"/>
          <w:sz w:val="21"/>
          <w:szCs w:val="21"/>
          <w:highlight w:val="none"/>
        </w:rPr>
        <w:t>）核对</w:t>
      </w:r>
      <w:r>
        <w:rPr>
          <w:rFonts w:hint="eastAsia"/>
          <w:color w:val="auto"/>
          <w:kern w:val="2"/>
          <w:sz w:val="21"/>
          <w:szCs w:val="21"/>
          <w:highlight w:val="none"/>
        </w:rPr>
        <w:t>评审</w:t>
      </w:r>
      <w:r>
        <w:rPr>
          <w:color w:val="auto"/>
          <w:kern w:val="2"/>
          <w:sz w:val="21"/>
          <w:szCs w:val="21"/>
          <w:highlight w:val="none"/>
        </w:rPr>
        <w:t>结果，有</w:t>
      </w:r>
      <w:r>
        <w:rPr>
          <w:rFonts w:hint="eastAsia"/>
          <w:color w:val="auto"/>
          <w:kern w:val="2"/>
          <w:sz w:val="21"/>
          <w:szCs w:val="21"/>
          <w:highlight w:val="none"/>
        </w:rPr>
        <w:t>《政府采购非招标采购方式管理办法》第二十一条</w:t>
      </w:r>
      <w:r>
        <w:rPr>
          <w:color w:val="auto"/>
          <w:kern w:val="2"/>
          <w:sz w:val="21"/>
          <w:szCs w:val="21"/>
          <w:highlight w:val="none"/>
        </w:rPr>
        <w:t>规定情形的，要求</w:t>
      </w:r>
      <w:r>
        <w:rPr>
          <w:rFonts w:hint="eastAsia"/>
          <w:color w:val="auto"/>
          <w:kern w:val="2"/>
          <w:sz w:val="21"/>
          <w:szCs w:val="21"/>
          <w:highlight w:val="none"/>
          <w:lang w:val="en-US" w:eastAsia="zh-CN"/>
        </w:rPr>
        <w:t>谈判</w:t>
      </w:r>
      <w:r>
        <w:rPr>
          <w:rFonts w:hint="eastAsia"/>
          <w:color w:val="auto"/>
          <w:kern w:val="2"/>
          <w:sz w:val="21"/>
          <w:szCs w:val="21"/>
          <w:highlight w:val="none"/>
        </w:rPr>
        <w:t>小组</w:t>
      </w:r>
      <w:r>
        <w:rPr>
          <w:color w:val="auto"/>
          <w:kern w:val="2"/>
          <w:sz w:val="21"/>
          <w:szCs w:val="21"/>
          <w:highlight w:val="none"/>
        </w:rPr>
        <w:t>复核或书面说明理由，</w:t>
      </w:r>
      <w:r>
        <w:rPr>
          <w:rFonts w:hint="eastAsia"/>
          <w:color w:val="auto"/>
          <w:kern w:val="2"/>
          <w:sz w:val="21"/>
          <w:szCs w:val="21"/>
          <w:highlight w:val="none"/>
          <w:lang w:val="en-US" w:eastAsia="zh-CN"/>
        </w:rPr>
        <w:t>谈判</w:t>
      </w:r>
      <w:r>
        <w:rPr>
          <w:rFonts w:hint="eastAsia"/>
          <w:color w:val="auto"/>
          <w:kern w:val="2"/>
          <w:sz w:val="21"/>
          <w:szCs w:val="21"/>
          <w:highlight w:val="none"/>
        </w:rPr>
        <w:t>小组</w:t>
      </w:r>
      <w:r>
        <w:rPr>
          <w:color w:val="auto"/>
          <w:kern w:val="2"/>
          <w:sz w:val="21"/>
          <w:szCs w:val="21"/>
          <w:highlight w:val="none"/>
        </w:rPr>
        <w:t>拒绝的，应予记录并向</w:t>
      </w:r>
      <w:r>
        <w:rPr>
          <w:rFonts w:hint="eastAsia"/>
          <w:color w:val="auto"/>
          <w:kern w:val="2"/>
          <w:sz w:val="21"/>
          <w:szCs w:val="21"/>
          <w:highlight w:val="none"/>
        </w:rPr>
        <w:t>采购人</w:t>
      </w:r>
      <w:r>
        <w:rPr>
          <w:color w:val="auto"/>
          <w:kern w:val="2"/>
          <w:sz w:val="21"/>
          <w:szCs w:val="21"/>
          <w:highlight w:val="none"/>
        </w:rPr>
        <w:t>本级财政部门报告；</w:t>
      </w:r>
    </w:p>
    <w:p>
      <w:pPr>
        <w:widowControl/>
        <w:shd w:val="clear"/>
        <w:spacing w:line="360" w:lineRule="auto"/>
        <w:ind w:firstLine="420" w:firstLineChars="200"/>
        <w:jc w:val="left"/>
        <w:rPr>
          <w:rFonts w:ascii="宋体" w:hAnsi="宋体"/>
          <w:bCs/>
          <w:color w:val="auto"/>
          <w:szCs w:val="21"/>
          <w:highlight w:val="none"/>
        </w:rPr>
      </w:pPr>
      <w:r>
        <w:rPr>
          <w:color w:val="auto"/>
          <w:szCs w:val="21"/>
          <w:highlight w:val="none"/>
        </w:rPr>
        <w:t>（</w:t>
      </w:r>
      <w:r>
        <w:rPr>
          <w:rFonts w:hint="eastAsia"/>
          <w:color w:val="auto"/>
          <w:szCs w:val="21"/>
          <w:highlight w:val="none"/>
        </w:rPr>
        <w:t>9</w:t>
      </w:r>
      <w:r>
        <w:rPr>
          <w:color w:val="auto"/>
          <w:szCs w:val="21"/>
          <w:highlight w:val="none"/>
        </w:rPr>
        <w:t>）</w:t>
      </w:r>
      <w:r>
        <w:rPr>
          <w:rFonts w:hint="eastAsia" w:ascii="宋体" w:hAnsi="宋体"/>
          <w:bCs/>
          <w:color w:val="auto"/>
          <w:szCs w:val="21"/>
          <w:highlight w:val="none"/>
          <w:lang w:eastAsia="zh-CN"/>
        </w:rPr>
        <w:t>谈判</w:t>
      </w:r>
      <w:r>
        <w:rPr>
          <w:rFonts w:hint="eastAsia" w:ascii="宋体" w:hAnsi="宋体"/>
          <w:color w:val="auto"/>
          <w:kern w:val="0"/>
          <w:szCs w:val="21"/>
          <w:highlight w:val="none"/>
        </w:rPr>
        <w:t>工作完成后，按照规定向评审专家支付劳务报酬和异地评审差旅费，不得向评审专家以外的其他人员支付评审劳务报酬；</w:t>
      </w:r>
    </w:p>
    <w:p>
      <w:pPr>
        <w:pStyle w:val="28"/>
        <w:shd w:val="clear"/>
        <w:spacing w:before="0" w:beforeAutospacing="0" w:after="0" w:afterAutospacing="0" w:line="360" w:lineRule="auto"/>
        <w:ind w:firstLine="420" w:firstLineChars="200"/>
        <w:rPr>
          <w:color w:val="auto"/>
          <w:kern w:val="2"/>
          <w:sz w:val="21"/>
          <w:szCs w:val="21"/>
          <w:highlight w:val="none"/>
        </w:rPr>
      </w:pPr>
      <w:r>
        <w:rPr>
          <w:rFonts w:hint="eastAsia"/>
          <w:color w:val="auto"/>
          <w:kern w:val="2"/>
          <w:sz w:val="21"/>
          <w:szCs w:val="21"/>
          <w:highlight w:val="none"/>
        </w:rPr>
        <w:t>（10）</w:t>
      </w:r>
      <w:r>
        <w:rPr>
          <w:color w:val="auto"/>
          <w:kern w:val="2"/>
          <w:sz w:val="21"/>
          <w:szCs w:val="21"/>
          <w:highlight w:val="none"/>
        </w:rPr>
        <w:t>处理与</w:t>
      </w:r>
      <w:r>
        <w:rPr>
          <w:rFonts w:hint="eastAsia"/>
          <w:color w:val="auto"/>
          <w:kern w:val="2"/>
          <w:sz w:val="21"/>
          <w:szCs w:val="21"/>
          <w:highlight w:val="none"/>
          <w:lang w:eastAsia="zh-CN"/>
        </w:rPr>
        <w:t>谈判</w:t>
      </w:r>
      <w:r>
        <w:rPr>
          <w:color w:val="auto"/>
          <w:kern w:val="2"/>
          <w:sz w:val="21"/>
          <w:szCs w:val="21"/>
          <w:highlight w:val="none"/>
        </w:rPr>
        <w:t>有关的其他事项。</w:t>
      </w:r>
    </w:p>
    <w:p>
      <w:pPr>
        <w:shd w:val="clea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 xml:space="preserve">7.3.5 </w:t>
      </w:r>
      <w:r>
        <w:rPr>
          <w:rFonts w:ascii="宋体" w:hAnsi="宋体"/>
          <w:color w:val="auto"/>
          <w:szCs w:val="21"/>
          <w:highlight w:val="none"/>
        </w:rPr>
        <w:t>采购人可以在</w:t>
      </w:r>
      <w:r>
        <w:rPr>
          <w:rFonts w:hint="eastAsia" w:ascii="宋体" w:hAnsi="宋体"/>
          <w:color w:val="auto"/>
          <w:szCs w:val="21"/>
          <w:highlight w:val="none"/>
          <w:lang w:eastAsia="zh-CN"/>
        </w:rPr>
        <w:t>谈判</w:t>
      </w:r>
      <w:r>
        <w:rPr>
          <w:rFonts w:ascii="宋体" w:hAnsi="宋体"/>
          <w:color w:val="auto"/>
          <w:szCs w:val="21"/>
          <w:highlight w:val="none"/>
        </w:rPr>
        <w:t>前介绍项目背景和采购需求，介绍内容不得含有歧视性、倾向性意见，不得超出</w:t>
      </w:r>
      <w:r>
        <w:rPr>
          <w:rFonts w:hint="eastAsia" w:ascii="宋体" w:hAnsi="宋体"/>
          <w:color w:val="auto"/>
          <w:szCs w:val="21"/>
          <w:highlight w:val="none"/>
          <w:lang w:eastAsia="zh-CN"/>
        </w:rPr>
        <w:t>谈判</w:t>
      </w:r>
      <w:r>
        <w:rPr>
          <w:rFonts w:ascii="宋体" w:hAnsi="宋体"/>
          <w:color w:val="auto"/>
          <w:szCs w:val="21"/>
          <w:highlight w:val="none"/>
        </w:rPr>
        <w:t>文件所述范围。介绍应当提交书面介绍材料，并随采购文件一并存档。</w:t>
      </w:r>
    </w:p>
    <w:p>
      <w:pPr>
        <w:shd w:val="clear"/>
        <w:spacing w:line="360" w:lineRule="auto"/>
        <w:ind w:left="119" w:leftChars="57" w:firstLine="315" w:firstLineChars="150"/>
        <w:rPr>
          <w:rFonts w:ascii="宋体" w:hAnsi="宋体"/>
          <w:color w:val="auto"/>
          <w:szCs w:val="21"/>
          <w:highlight w:val="none"/>
        </w:rPr>
      </w:pPr>
      <w:r>
        <w:rPr>
          <w:rFonts w:hint="eastAsia" w:ascii="宋体" w:hAnsi="宋体"/>
          <w:color w:val="auto"/>
          <w:szCs w:val="21"/>
          <w:highlight w:val="none"/>
        </w:rPr>
        <w:t xml:space="preserve">7.3.6 </w:t>
      </w:r>
      <w:r>
        <w:rPr>
          <w:rFonts w:hint="eastAsia" w:ascii="宋体" w:hAnsi="宋体"/>
          <w:color w:val="auto"/>
          <w:szCs w:val="21"/>
          <w:highlight w:val="none"/>
          <w:lang w:eastAsia="zh-CN"/>
        </w:rPr>
        <w:t>谈判</w:t>
      </w:r>
      <w:r>
        <w:rPr>
          <w:rFonts w:hint="eastAsia" w:ascii="宋体" w:hAnsi="宋体"/>
          <w:color w:val="auto"/>
          <w:szCs w:val="21"/>
          <w:highlight w:val="none"/>
        </w:rPr>
        <w:t>过程严格保密</w:t>
      </w:r>
    </w:p>
    <w:p>
      <w:pPr>
        <w:shd w:val="clear"/>
        <w:autoSpaceDE w:val="0"/>
        <w:autoSpaceDN w:val="0"/>
        <w:spacing w:line="360" w:lineRule="auto"/>
        <w:ind w:firstLine="630" w:firstLineChars="300"/>
        <w:rPr>
          <w:rFonts w:ascii="宋体" w:hAnsi="宋体" w:cs="宋体"/>
          <w:color w:val="auto"/>
          <w:kern w:val="0"/>
          <w:highlight w:val="none"/>
        </w:rPr>
      </w:pPr>
      <w:r>
        <w:rPr>
          <w:rFonts w:hint="eastAsia" w:ascii="宋体" w:hAnsi="宋体"/>
          <w:color w:val="auto"/>
          <w:szCs w:val="21"/>
          <w:highlight w:val="none"/>
        </w:rPr>
        <w:t xml:space="preserve">7.3.6.1 </w:t>
      </w:r>
      <w:r>
        <w:rPr>
          <w:rFonts w:hint="eastAsia" w:ascii="宋体" w:hAnsi="宋体" w:cs="宋体"/>
          <w:color w:val="auto"/>
          <w:kern w:val="0"/>
          <w:highlight w:val="none"/>
        </w:rPr>
        <w:t>采购人、采购代理机构应当采取必要措施，保证</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在严格保密的情况下进行。除采购人代表、</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现场组织人员外，采购人的其他工作人员以及与</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工作无关的人员不得进入</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现场。</w:t>
      </w:r>
    </w:p>
    <w:p>
      <w:pPr>
        <w:shd w:val="clear"/>
        <w:autoSpaceDE w:val="0"/>
        <w:autoSpaceDN w:val="0"/>
        <w:spacing w:line="360" w:lineRule="auto"/>
        <w:ind w:firstLine="630" w:firstLineChars="300"/>
        <w:rPr>
          <w:rFonts w:ascii="宋体" w:hAnsi="宋体"/>
          <w:color w:val="auto"/>
          <w:szCs w:val="21"/>
          <w:highlight w:val="none"/>
        </w:rPr>
      </w:pPr>
      <w:r>
        <w:rPr>
          <w:rFonts w:hint="eastAsia" w:ascii="宋体" w:hAnsi="宋体" w:cs="宋体"/>
          <w:color w:val="auto"/>
          <w:kern w:val="0"/>
          <w:highlight w:val="none"/>
        </w:rPr>
        <w:t>7.3.6.2 有关人员对</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情况以及在</w:t>
      </w:r>
      <w:r>
        <w:rPr>
          <w:rFonts w:hint="eastAsia" w:ascii="宋体" w:hAnsi="宋体" w:cs="宋体"/>
          <w:color w:val="auto"/>
          <w:kern w:val="0"/>
          <w:highlight w:val="none"/>
          <w:lang w:eastAsia="zh-CN"/>
        </w:rPr>
        <w:t>谈判</w:t>
      </w:r>
      <w:r>
        <w:rPr>
          <w:rFonts w:hint="eastAsia" w:ascii="宋体" w:hAnsi="宋体" w:cs="宋体"/>
          <w:color w:val="auto"/>
          <w:kern w:val="0"/>
          <w:highlight w:val="none"/>
        </w:rPr>
        <w:t>过程中获悉的国家秘密、商业秘密负有保密责任。</w:t>
      </w:r>
      <w:r>
        <w:rPr>
          <w:rFonts w:hint="eastAsia" w:ascii="宋体" w:hAnsi="宋体"/>
          <w:color w:val="auto"/>
          <w:szCs w:val="21"/>
          <w:highlight w:val="none"/>
        </w:rPr>
        <w:t>开启响应文件后，直至授予成交供应商合同为止，凡属于对响应文件的审查、澄清、评价和比较的有关资料以及成交候选人的推荐情况，与</w:t>
      </w:r>
      <w:r>
        <w:rPr>
          <w:rFonts w:hint="eastAsia" w:ascii="宋体" w:hAnsi="宋体"/>
          <w:color w:val="auto"/>
          <w:szCs w:val="21"/>
          <w:highlight w:val="none"/>
          <w:lang w:eastAsia="zh-CN"/>
        </w:rPr>
        <w:t>谈判</w:t>
      </w:r>
      <w:r>
        <w:rPr>
          <w:rFonts w:hint="eastAsia" w:ascii="宋体" w:hAnsi="宋体"/>
          <w:color w:val="auto"/>
          <w:szCs w:val="21"/>
          <w:highlight w:val="none"/>
        </w:rPr>
        <w:t>有关的其他任何情况均严格保密。</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7.3.7 供应商对</w:t>
      </w:r>
      <w:r>
        <w:rPr>
          <w:rFonts w:hint="eastAsia" w:ascii="宋体" w:hAnsi="宋体"/>
          <w:color w:val="auto"/>
          <w:szCs w:val="21"/>
          <w:highlight w:val="none"/>
          <w:lang w:eastAsia="zh-CN"/>
        </w:rPr>
        <w:t>谈判</w:t>
      </w:r>
      <w:r>
        <w:rPr>
          <w:rFonts w:hint="eastAsia" w:ascii="宋体" w:hAnsi="宋体"/>
          <w:color w:val="auto"/>
          <w:szCs w:val="21"/>
          <w:highlight w:val="none"/>
        </w:rPr>
        <w:t>小组的</w:t>
      </w:r>
      <w:r>
        <w:rPr>
          <w:rFonts w:hint="eastAsia" w:ascii="宋体" w:hAnsi="宋体"/>
          <w:color w:val="auto"/>
          <w:szCs w:val="21"/>
          <w:highlight w:val="none"/>
          <w:lang w:eastAsia="zh-CN"/>
        </w:rPr>
        <w:t>谈判</w:t>
      </w:r>
      <w:r>
        <w:rPr>
          <w:rFonts w:hint="eastAsia" w:ascii="宋体" w:hAnsi="宋体"/>
          <w:color w:val="auto"/>
          <w:szCs w:val="21"/>
          <w:highlight w:val="none"/>
        </w:rPr>
        <w:t>过程或合同授予决定施加影响的任何行为都可能导致其响应文件无效。</w:t>
      </w:r>
    </w:p>
    <w:p>
      <w:pPr>
        <w:shd w:val="clear"/>
        <w:tabs>
          <w:tab w:val="left" w:pos="426"/>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7.3.8 </w:t>
      </w:r>
      <w:r>
        <w:rPr>
          <w:rFonts w:hint="eastAsia" w:ascii="宋体" w:hAnsi="宋体"/>
          <w:color w:val="auto"/>
          <w:szCs w:val="21"/>
          <w:highlight w:val="none"/>
          <w:lang w:eastAsia="zh-CN"/>
        </w:rPr>
        <w:t>谈判</w:t>
      </w:r>
      <w:r>
        <w:rPr>
          <w:rFonts w:hint="eastAsia" w:ascii="宋体" w:hAnsi="宋体"/>
          <w:color w:val="auto"/>
          <w:szCs w:val="21"/>
          <w:highlight w:val="none"/>
        </w:rPr>
        <w:t>完成后，</w:t>
      </w:r>
      <w:r>
        <w:rPr>
          <w:rFonts w:hint="eastAsia" w:ascii="宋体" w:hAnsi="宋体"/>
          <w:color w:val="auto"/>
          <w:szCs w:val="21"/>
          <w:highlight w:val="none"/>
          <w:lang w:eastAsia="zh-CN"/>
        </w:rPr>
        <w:t>谈判</w:t>
      </w:r>
      <w:r>
        <w:rPr>
          <w:rFonts w:hint="eastAsia" w:ascii="宋体" w:hAnsi="宋体"/>
          <w:color w:val="auto"/>
          <w:szCs w:val="21"/>
          <w:highlight w:val="none"/>
        </w:rPr>
        <w:t>小组应当向采购人提交书面评审报告，并由采购代理机构转送。</w:t>
      </w:r>
    </w:p>
    <w:p>
      <w:pPr>
        <w:pStyle w:val="4"/>
        <w:shd w:val="clear"/>
        <w:rPr>
          <w:rFonts w:ascii="黑体" w:hAnsi="宋体"/>
          <w:b w:val="0"/>
          <w:bCs/>
          <w:color w:val="auto"/>
          <w:sz w:val="36"/>
          <w:szCs w:val="36"/>
          <w:highlight w:val="none"/>
        </w:rPr>
      </w:pPr>
      <w:bookmarkStart w:id="70" w:name="_Toc17788"/>
      <w:r>
        <w:rPr>
          <w:rFonts w:hint="eastAsia" w:ascii="黑体" w:hAnsi="宋体"/>
          <w:b w:val="0"/>
          <w:bCs/>
          <w:color w:val="auto"/>
          <w:sz w:val="36"/>
          <w:szCs w:val="36"/>
          <w:highlight w:val="none"/>
        </w:rPr>
        <w:t>8</w:t>
      </w:r>
      <w:bookmarkStart w:id="71" w:name="_Toc217446061"/>
      <w:r>
        <w:rPr>
          <w:rFonts w:hint="eastAsia" w:ascii="黑体" w:hAnsi="宋体"/>
          <w:b w:val="0"/>
          <w:bCs/>
          <w:color w:val="auto"/>
          <w:sz w:val="36"/>
          <w:szCs w:val="36"/>
          <w:highlight w:val="none"/>
        </w:rPr>
        <w:t>.确定成交供应商</w:t>
      </w:r>
      <w:bookmarkEnd w:id="70"/>
    </w:p>
    <w:p>
      <w:pPr>
        <w:shd w:val="clear"/>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8.1确定成交供应商原则</w:t>
      </w:r>
      <w:bookmarkEnd w:id="71"/>
    </w:p>
    <w:p>
      <w:pPr>
        <w:spacing w:line="360" w:lineRule="auto"/>
        <w:ind w:firstLine="411" w:firstLineChars="196"/>
        <w:rPr>
          <w:rFonts w:hint="eastAsia" w:ascii="宋体" w:hAnsi="宋体"/>
          <w:color w:val="auto"/>
          <w:szCs w:val="21"/>
        </w:rPr>
      </w:pPr>
      <w:bookmarkStart w:id="72" w:name="_Toc217446062"/>
      <w:r>
        <w:rPr>
          <w:rFonts w:hint="eastAsia" w:ascii="宋体" w:hAnsi="宋体"/>
          <w:color w:val="auto"/>
          <w:szCs w:val="21"/>
        </w:rPr>
        <w:t>采购人或其授权的谈判小组从评审报告提出的成交候选人中，根据质量和</w:t>
      </w:r>
      <w:r>
        <w:rPr>
          <w:rFonts w:hint="eastAsia" w:ascii="宋体" w:hAnsi="宋体"/>
          <w:color w:val="auto"/>
          <w:szCs w:val="21"/>
          <w:lang w:val="en-US" w:eastAsia="zh-CN"/>
        </w:rPr>
        <w:t>工程</w:t>
      </w:r>
      <w:r>
        <w:rPr>
          <w:rFonts w:hint="eastAsia" w:ascii="宋体" w:hAnsi="宋体"/>
          <w:color w:val="auto"/>
          <w:szCs w:val="21"/>
        </w:rPr>
        <w:t>均能满足谈判文件实质性响应要求且</w:t>
      </w:r>
      <w:r>
        <w:rPr>
          <w:rFonts w:hint="eastAsia" w:ascii="宋体" w:hAnsi="宋体"/>
          <w:b/>
          <w:color w:val="auto"/>
          <w:szCs w:val="21"/>
        </w:rPr>
        <w:t>政策性扣除后</w:t>
      </w:r>
      <w:r>
        <w:rPr>
          <w:rFonts w:hint="eastAsia" w:ascii="宋体" w:hAnsi="宋体"/>
          <w:color w:val="auto"/>
          <w:szCs w:val="21"/>
        </w:rPr>
        <w:t>最后报价最低的原则确定成交供应商。</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8.2 确定成交供应商程序</w:t>
      </w:r>
      <w:bookmarkEnd w:id="72"/>
    </w:p>
    <w:p>
      <w:pPr>
        <w:spacing w:line="360" w:lineRule="auto"/>
        <w:ind w:firstLine="420" w:firstLineChars="200"/>
        <w:rPr>
          <w:rFonts w:hint="eastAsia"/>
          <w:color w:val="auto"/>
          <w:szCs w:val="21"/>
        </w:rPr>
      </w:pPr>
      <w:r>
        <w:rPr>
          <w:rFonts w:hint="eastAsia" w:ascii="宋体" w:hAnsi="宋体"/>
          <w:color w:val="auto"/>
          <w:szCs w:val="21"/>
        </w:rPr>
        <w:t xml:space="preserve">8.2.1 </w:t>
      </w:r>
      <w:r>
        <w:rPr>
          <w:rFonts w:hint="eastAsia"/>
          <w:color w:val="auto"/>
          <w:szCs w:val="21"/>
        </w:rPr>
        <w:t>谈判小组从质量和服务均能满足采购文件实质性响应要求的供应商所提交的最后报价进行政策性扣除，并依据扣除后的价格按照由低到高的顺序提出</w:t>
      </w:r>
      <w:r>
        <w:rPr>
          <w:color w:val="auto"/>
          <w:szCs w:val="21"/>
        </w:rPr>
        <w:t>3</w:t>
      </w:r>
      <w:r>
        <w:rPr>
          <w:rFonts w:hint="eastAsia"/>
          <w:color w:val="auto"/>
          <w:szCs w:val="21"/>
        </w:rPr>
        <w:t>名以上成交候选人。</w:t>
      </w:r>
    </w:p>
    <w:p>
      <w:pPr>
        <w:spacing w:line="360" w:lineRule="auto"/>
        <w:ind w:firstLine="482"/>
        <w:rPr>
          <w:rFonts w:hint="eastAsia" w:ascii="宋体" w:hAnsi="宋体"/>
          <w:color w:val="auto"/>
          <w:szCs w:val="21"/>
        </w:rPr>
      </w:pPr>
      <w:r>
        <w:rPr>
          <w:rFonts w:hint="eastAsia" w:ascii="宋体" w:hAnsi="宋体"/>
          <w:color w:val="auto"/>
          <w:szCs w:val="21"/>
        </w:rPr>
        <w:t>若供应商的最后报价（或政策性扣除后）相同的，按技术参数（条款）的优劣确定成交人；报价相同，技术参数（条款）也相同的，按商务条款优劣确定成交人；报价相同，且技术和商务相同或不具有可比性则在相同报价供应商中以抽签形式确定成交人。</w:t>
      </w:r>
    </w:p>
    <w:p>
      <w:pPr>
        <w:spacing w:line="360" w:lineRule="auto"/>
        <w:ind w:firstLine="420" w:firstLineChars="200"/>
        <w:rPr>
          <w:rFonts w:hint="eastAsia" w:ascii="宋体" w:hAnsi="宋体"/>
          <w:color w:val="auto"/>
          <w:szCs w:val="21"/>
        </w:rPr>
      </w:pPr>
      <w:r>
        <w:rPr>
          <w:rFonts w:hint="eastAsia" w:ascii="宋体" w:hAnsi="宋体"/>
          <w:color w:val="auto"/>
          <w:szCs w:val="21"/>
        </w:rPr>
        <w:t>8.2.2 采购代理机构在评审结束后2个工作日内将评审报告送采购人确认。</w:t>
      </w:r>
    </w:p>
    <w:p>
      <w:pPr>
        <w:spacing w:line="360" w:lineRule="auto"/>
        <w:ind w:firstLine="420" w:firstLineChars="200"/>
        <w:rPr>
          <w:rFonts w:hint="eastAsia" w:ascii="宋体" w:hAnsi="宋体"/>
          <w:color w:val="auto"/>
          <w:szCs w:val="21"/>
        </w:rPr>
      </w:pPr>
      <w:r>
        <w:rPr>
          <w:rFonts w:hint="eastAsia" w:ascii="宋体" w:hAnsi="宋体"/>
          <w:color w:val="auto"/>
          <w:szCs w:val="21"/>
        </w:rPr>
        <w:t>8.2.3 采购人应当在收到评审报告后5个工作日内，按照评审报告中推荐的成交候选人中，按照顺序由高到低确定成交供应商。同时，将确定成交供应商的结果复函至采购代理机构。</w:t>
      </w:r>
    </w:p>
    <w:p>
      <w:pPr>
        <w:spacing w:line="360" w:lineRule="auto"/>
        <w:ind w:firstLine="420" w:firstLineChars="200"/>
        <w:rPr>
          <w:rFonts w:hint="eastAsia" w:ascii="宋体" w:hAnsi="宋体"/>
          <w:color w:val="auto"/>
          <w:szCs w:val="21"/>
        </w:rPr>
      </w:pPr>
      <w:r>
        <w:rPr>
          <w:rFonts w:hint="eastAsia" w:ascii="宋体" w:hAnsi="宋体"/>
          <w:color w:val="auto"/>
          <w:szCs w:val="21"/>
        </w:rPr>
        <w:t>采购人逾期未确定成交供应商，且不提出异议的，视同确定评审报告提出的排名第一的成交候选人为成交供应商。</w:t>
      </w:r>
    </w:p>
    <w:p>
      <w:pPr>
        <w:spacing w:line="360" w:lineRule="auto"/>
        <w:ind w:firstLine="472" w:firstLineChars="225"/>
        <w:rPr>
          <w:rFonts w:hint="eastAsia" w:ascii="宋体" w:hAnsi="宋体"/>
          <w:color w:val="auto"/>
          <w:szCs w:val="21"/>
        </w:rPr>
      </w:pPr>
      <w:r>
        <w:rPr>
          <w:rFonts w:hint="eastAsia" w:ascii="宋体" w:hAnsi="宋体"/>
          <w:color w:val="auto"/>
          <w:szCs w:val="21"/>
        </w:rPr>
        <w:t>8.2.4采购代理机构应当在接到采购人“定标”复函之日起2个工作日内，根据采购人确定的成交供应商，在省级以上财政部门指定的媒体上公告成交结果，谈判文件应当随成交结果同时公告；成交供应商的《中小企业声明函》或者《残疾人福利性单位声明函》也应随成交结果同时公告。</w:t>
      </w:r>
    </w:p>
    <w:p>
      <w:pPr>
        <w:spacing w:line="360" w:lineRule="auto"/>
        <w:ind w:firstLine="472" w:firstLineChars="225"/>
        <w:rPr>
          <w:rFonts w:ascii="宋体" w:hAnsi="宋体"/>
          <w:color w:val="auto"/>
          <w:szCs w:val="21"/>
          <w:highlight w:val="none"/>
        </w:rPr>
      </w:pPr>
      <w:r>
        <w:rPr>
          <w:rFonts w:hint="eastAsia" w:ascii="宋体" w:hAnsi="宋体"/>
          <w:color w:val="auto"/>
          <w:szCs w:val="21"/>
        </w:rPr>
        <w:t>在公告成交结果的同时，采购人或采购代理机构应当向成交供应商发出《成交通知书》，向未成交供应商发出评审结果通知书。</w:t>
      </w:r>
      <w:r>
        <w:rPr>
          <w:rFonts w:hint="eastAsia" w:ascii="宋体" w:hAnsi="宋体" w:cs="宋体"/>
          <w:color w:val="auto"/>
          <w:kern w:val="0"/>
          <w:szCs w:val="21"/>
        </w:rPr>
        <w:t>对未通过资格审查或未通符合性审查的供应商，应告知其未通过的原因。</w:t>
      </w:r>
      <w:r>
        <w:rPr>
          <w:rFonts w:hint="eastAsia" w:ascii="宋体" w:hAnsi="宋体"/>
          <w:color w:val="auto"/>
          <w:szCs w:val="21"/>
        </w:rPr>
        <w:t xml:space="preserve"> </w:t>
      </w:r>
      <w:r>
        <w:rPr>
          <w:rFonts w:hint="eastAsia" w:ascii="宋体" w:hAnsi="宋体"/>
          <w:color w:val="auto"/>
          <w:szCs w:val="21"/>
          <w:highlight w:val="none"/>
        </w:rPr>
        <w:t xml:space="preserve"> </w:t>
      </w:r>
    </w:p>
    <w:p>
      <w:pPr>
        <w:shd w:val="clear"/>
        <w:spacing w:beforeLines="50" w:afterLines="50" w:line="360" w:lineRule="auto"/>
        <w:rPr>
          <w:rFonts w:ascii="宋体" w:hAnsi="宋体"/>
          <w:b/>
          <w:color w:val="auto"/>
          <w:sz w:val="30"/>
          <w:szCs w:val="30"/>
          <w:highlight w:val="none"/>
        </w:rPr>
      </w:pPr>
      <w:r>
        <w:rPr>
          <w:rFonts w:hint="eastAsia" w:ascii="宋体" w:hAnsi="宋体"/>
          <w:b/>
          <w:bCs/>
          <w:color w:val="auto"/>
          <w:sz w:val="30"/>
          <w:szCs w:val="30"/>
          <w:highlight w:val="none"/>
        </w:rPr>
        <w:t>8.3 成交通知书</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w:t>
      </w:r>
      <w:r>
        <w:rPr>
          <w:rFonts w:hint="eastAsia" w:ascii="宋体" w:hAnsi="宋体"/>
          <w:b/>
          <w:bCs/>
          <w:color w:val="auto"/>
          <w:szCs w:val="21"/>
          <w:highlight w:val="none"/>
        </w:rPr>
        <w:t>.</w:t>
      </w:r>
      <w:r>
        <w:rPr>
          <w:rFonts w:hint="eastAsia" w:ascii="宋体" w:hAnsi="宋体"/>
          <w:color w:val="auto"/>
          <w:szCs w:val="21"/>
          <w:highlight w:val="none"/>
        </w:rPr>
        <w:t>1 成交通知书为签订政府采购合同的依据之一，是合同的有效组成部分。</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8.3.2 成交通知书对采购人和成交供应商均具有法律效力。</w:t>
      </w:r>
      <w:r>
        <w:rPr>
          <w:rFonts w:hint="eastAsia" w:ascii="宋体" w:hAnsi="宋体"/>
          <w:color w:val="auto"/>
          <w:szCs w:val="21"/>
          <w:highlight w:val="none"/>
          <w:shd w:val="clear" w:color="auto" w:fill="FFFFFF"/>
        </w:rPr>
        <w:t>成交通知书发出后，采购人不得违法改变成交结果，成交供应商无正当理由不得放弃成交资格。否则，</w:t>
      </w:r>
      <w:r>
        <w:rPr>
          <w:rFonts w:hint="eastAsia" w:ascii="宋体" w:hAnsi="宋体"/>
          <w:color w:val="auto"/>
          <w:szCs w:val="21"/>
          <w:highlight w:val="none"/>
        </w:rPr>
        <w:t>应当承担相应的法律责任。</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8.3.3 成交供应商应当在接到采购代理机构通知之日起2个工作日内领取《成交通知书》。</w:t>
      </w:r>
    </w:p>
    <w:p>
      <w:pPr>
        <w:shd w:val="clea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bookmarkEnd w:id="69"/>
      <w:bookmarkStart w:id="73" w:name="_Toc217446064"/>
      <w:bookmarkStart w:id="74" w:name="_Toc217446065"/>
      <w:bookmarkStart w:id="75" w:name="_Toc183582240"/>
      <w:bookmarkStart w:id="76" w:name="_Toc183682377"/>
    </w:p>
    <w:p>
      <w:pPr>
        <w:pStyle w:val="4"/>
        <w:shd w:val="clear"/>
        <w:rPr>
          <w:rFonts w:hint="eastAsia" w:ascii="黑体" w:hAnsi="宋体"/>
          <w:b w:val="0"/>
          <w:bCs/>
          <w:color w:val="auto"/>
          <w:sz w:val="36"/>
          <w:szCs w:val="36"/>
          <w:highlight w:val="none"/>
        </w:rPr>
      </w:pPr>
      <w:bookmarkStart w:id="77" w:name="_Toc18087"/>
      <w:r>
        <w:rPr>
          <w:rFonts w:hint="eastAsia" w:ascii="黑体" w:hAnsi="宋体"/>
          <w:b w:val="0"/>
          <w:bCs/>
          <w:color w:val="auto"/>
          <w:sz w:val="36"/>
          <w:szCs w:val="36"/>
          <w:highlight w:val="none"/>
        </w:rPr>
        <w:t>9.合同</w:t>
      </w:r>
      <w:bookmarkEnd w:id="73"/>
      <w:r>
        <w:rPr>
          <w:rFonts w:hint="eastAsia" w:ascii="黑体" w:hAnsi="宋体"/>
          <w:b w:val="0"/>
          <w:bCs/>
          <w:color w:val="auto"/>
          <w:sz w:val="36"/>
          <w:szCs w:val="36"/>
          <w:highlight w:val="none"/>
        </w:rPr>
        <w:t>授予</w:t>
      </w:r>
      <w:bookmarkEnd w:id="77"/>
    </w:p>
    <w:p>
      <w:pPr>
        <w:shd w:val="clear"/>
        <w:tabs>
          <w:tab w:val="left" w:pos="7665"/>
        </w:tabs>
        <w:spacing w:line="360" w:lineRule="auto"/>
        <w:rPr>
          <w:rFonts w:ascii="宋体" w:hAnsi="宋体"/>
          <w:b/>
          <w:color w:val="auto"/>
          <w:sz w:val="30"/>
          <w:szCs w:val="30"/>
          <w:highlight w:val="none"/>
        </w:rPr>
      </w:pPr>
      <w:r>
        <w:rPr>
          <w:rFonts w:hint="eastAsia" w:ascii="宋体" w:hAnsi="宋体"/>
          <w:b/>
          <w:color w:val="auto"/>
          <w:sz w:val="30"/>
          <w:szCs w:val="30"/>
          <w:highlight w:val="none"/>
        </w:rPr>
        <w:t>9.1 履约保证金</w:t>
      </w:r>
    </w:p>
    <w:p>
      <w:pPr>
        <w:shd w:val="clear"/>
        <w:tabs>
          <w:tab w:val="left" w:pos="7665"/>
        </w:tabs>
        <w:spacing w:line="360" w:lineRule="auto"/>
        <w:ind w:firstLine="482"/>
        <w:rPr>
          <w:rFonts w:ascii="宋体" w:hAnsi="宋体"/>
          <w:color w:val="auto"/>
          <w:szCs w:val="21"/>
          <w:highlight w:val="none"/>
        </w:rPr>
      </w:pPr>
      <w:r>
        <w:rPr>
          <w:rFonts w:hint="eastAsia" w:ascii="宋体" w:hAnsi="宋体"/>
          <w:color w:val="auto"/>
          <w:szCs w:val="21"/>
          <w:highlight w:val="none"/>
        </w:rPr>
        <w:t>9.1.1本项目按照供应商须知前附表规定需要提交履约保证金的，成交供应商在收到采购代理机构的成交通知书后10日内，应当按照供应商须知前附表规定的形式、金额，向采购人提交履约保证金或履约担保。联合体成交的，履约保证金或履约担保由联合体各方或者联合体中牵头人的名义提交。</w:t>
      </w:r>
    </w:p>
    <w:p>
      <w:pPr>
        <w:shd w:val="clear"/>
        <w:tabs>
          <w:tab w:val="left" w:pos="7665"/>
        </w:tabs>
        <w:spacing w:line="360" w:lineRule="auto"/>
        <w:ind w:firstLine="482"/>
        <w:rPr>
          <w:rFonts w:ascii="宋体" w:hAnsi="宋体"/>
          <w:b/>
          <w:color w:val="auto"/>
          <w:szCs w:val="21"/>
          <w:highlight w:val="none"/>
        </w:rPr>
      </w:pPr>
      <w:r>
        <w:rPr>
          <w:rFonts w:hint="eastAsia" w:ascii="宋体" w:hAnsi="宋体"/>
          <w:color w:val="auto"/>
          <w:szCs w:val="21"/>
          <w:highlight w:val="none"/>
        </w:rPr>
        <w:t>9.1.2 成交供应商</w:t>
      </w:r>
      <w:r>
        <w:rPr>
          <w:rFonts w:hint="eastAsia" w:ascii="宋体" w:hAnsi="宋体"/>
          <w:color w:val="auto"/>
          <w:spacing w:val="4"/>
          <w:szCs w:val="21"/>
          <w:highlight w:val="none"/>
        </w:rPr>
        <w:t>不能按照本章第9.1.1项规定</w:t>
      </w:r>
      <w:r>
        <w:rPr>
          <w:rFonts w:hint="eastAsia" w:ascii="宋体" w:hAnsi="宋体"/>
          <w:color w:val="auto"/>
          <w:szCs w:val="21"/>
          <w:highlight w:val="none"/>
        </w:rPr>
        <w:t>提交履约保证金或履约担保的</w:t>
      </w:r>
      <w:r>
        <w:rPr>
          <w:rFonts w:hint="eastAsia" w:ascii="宋体" w:hAnsi="宋体"/>
          <w:color w:val="auto"/>
          <w:spacing w:val="4"/>
          <w:szCs w:val="21"/>
          <w:highlight w:val="none"/>
        </w:rPr>
        <w:t>，视为放弃</w:t>
      </w:r>
      <w:r>
        <w:rPr>
          <w:rFonts w:hint="eastAsia" w:ascii="宋体" w:hAnsi="宋体"/>
          <w:color w:val="auto"/>
          <w:szCs w:val="21"/>
          <w:highlight w:val="none"/>
        </w:rPr>
        <w:t>成交资格</w:t>
      </w:r>
      <w:r>
        <w:rPr>
          <w:rFonts w:hint="eastAsia" w:ascii="宋体" w:hAnsi="宋体"/>
          <w:color w:val="auto"/>
          <w:spacing w:val="4"/>
          <w:szCs w:val="21"/>
          <w:highlight w:val="none"/>
        </w:rPr>
        <w:t>，</w:t>
      </w:r>
      <w:r>
        <w:rPr>
          <w:rFonts w:hint="eastAsia" w:ascii="宋体" w:hAnsi="宋体"/>
          <w:color w:val="auto"/>
          <w:spacing w:val="2"/>
          <w:szCs w:val="21"/>
          <w:highlight w:val="none"/>
        </w:rPr>
        <w:t>其</w:t>
      </w:r>
      <w:r>
        <w:rPr>
          <w:rFonts w:hint="eastAsia" w:ascii="宋体" w:hAnsi="宋体"/>
          <w:color w:val="auto"/>
          <w:spacing w:val="2"/>
          <w:szCs w:val="21"/>
          <w:highlight w:val="none"/>
          <w:lang w:eastAsia="zh-CN"/>
        </w:rPr>
        <w:t>谈判</w:t>
      </w:r>
      <w:r>
        <w:rPr>
          <w:rFonts w:hint="eastAsia" w:ascii="宋体" w:hAnsi="宋体"/>
          <w:color w:val="auto"/>
          <w:spacing w:val="2"/>
          <w:szCs w:val="21"/>
          <w:highlight w:val="none"/>
        </w:rPr>
        <w:t>保证金不予退还，给采购人造成损失的，成交供应商应当予以赔偿。</w:t>
      </w:r>
    </w:p>
    <w:p>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9.2 签订合同</w:t>
      </w:r>
    </w:p>
    <w:p>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9.2.1 采购人应当自《成交通知书》发出之日起30日内，</w:t>
      </w:r>
      <w:r>
        <w:rPr>
          <w:rFonts w:hint="eastAsia"/>
          <w:color w:val="auto"/>
          <w:szCs w:val="21"/>
          <w:highlight w:val="none"/>
        </w:rPr>
        <w:t>按照</w:t>
      </w:r>
      <w:r>
        <w:rPr>
          <w:rFonts w:hint="eastAsia"/>
          <w:color w:val="auto"/>
          <w:szCs w:val="21"/>
          <w:highlight w:val="none"/>
          <w:lang w:eastAsia="zh-CN"/>
        </w:rPr>
        <w:t>谈判</w:t>
      </w:r>
      <w:r>
        <w:rPr>
          <w:rFonts w:hint="eastAsia"/>
          <w:color w:val="auto"/>
          <w:szCs w:val="21"/>
          <w:highlight w:val="none"/>
        </w:rPr>
        <w:t>文件和成交供应商响应文件的的规定，与成交供应商签订书面合同。</w:t>
      </w:r>
      <w:r>
        <w:rPr>
          <w:rFonts w:hint="eastAsia" w:ascii="宋体" w:hAnsi="宋体"/>
          <w:color w:val="auto"/>
          <w:szCs w:val="21"/>
          <w:highlight w:val="none"/>
        </w:rPr>
        <w:t>成交供应商无正当理由拒签合同，或者在签订合同时向采购人提出附件条件，采购人有权取消其成交资格，其</w:t>
      </w:r>
      <w:r>
        <w:rPr>
          <w:rFonts w:hint="eastAsia" w:ascii="宋体" w:hAnsi="宋体"/>
          <w:color w:val="auto"/>
          <w:szCs w:val="21"/>
          <w:highlight w:val="none"/>
          <w:lang w:eastAsia="zh-CN"/>
        </w:rPr>
        <w:t>谈判</w:t>
      </w:r>
      <w:r>
        <w:rPr>
          <w:rFonts w:hint="eastAsia" w:ascii="宋体" w:hAnsi="宋体"/>
          <w:color w:val="auto"/>
          <w:szCs w:val="21"/>
          <w:highlight w:val="none"/>
        </w:rPr>
        <w:t>保证金不予退还，给采购人造成损失的，</w:t>
      </w:r>
      <w:r>
        <w:rPr>
          <w:rFonts w:hint="eastAsia"/>
          <w:color w:val="auto"/>
          <w:spacing w:val="2"/>
          <w:szCs w:val="21"/>
          <w:highlight w:val="none"/>
        </w:rPr>
        <w:t>成交供应商应当予以赔偿。采购人可以</w:t>
      </w:r>
      <w:r>
        <w:rPr>
          <w:rFonts w:hint="eastAsia" w:ascii="宋体" w:hAnsi="宋体"/>
          <w:color w:val="auto"/>
          <w:szCs w:val="21"/>
          <w:highlight w:val="none"/>
        </w:rPr>
        <w:t>按照评审报告推荐的成交候选人名单排序确定下一候选人为成交供应商，并签订合同或者重新开展采购活动。拒绝签订政府采购合同的成交供应商不得参加对该项目重新开展的采购活动。</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9.2.2 发出成交通知书后，采购人不得向成交供应商提出任何不合理要求，作为签订合的条件，不得与成交供应商私下订立背离合同实质性内容的任何协议，所签订的合同不得对</w:t>
      </w:r>
      <w:r>
        <w:rPr>
          <w:rFonts w:hint="eastAsia" w:ascii="宋体" w:hAnsi="宋体"/>
          <w:color w:val="auto"/>
          <w:szCs w:val="21"/>
          <w:highlight w:val="none"/>
          <w:lang w:eastAsia="zh-CN"/>
        </w:rPr>
        <w:t>谈判</w:t>
      </w:r>
      <w:r>
        <w:rPr>
          <w:rFonts w:hint="eastAsia" w:ascii="宋体" w:hAnsi="宋体"/>
          <w:color w:val="auto"/>
          <w:szCs w:val="21"/>
          <w:highlight w:val="none"/>
        </w:rPr>
        <w:t>文件确定的事项和成交供应商响应文件做实质性修改。</w:t>
      </w:r>
    </w:p>
    <w:bookmarkEnd w:id="74"/>
    <w:bookmarkEnd w:id="75"/>
    <w:bookmarkEnd w:id="76"/>
    <w:p>
      <w:pPr>
        <w:spacing w:line="360" w:lineRule="auto"/>
        <w:ind w:firstLine="420" w:firstLineChars="200"/>
        <w:rPr>
          <w:rFonts w:hint="eastAsia" w:ascii="宋体" w:hAnsi="宋体"/>
          <w:color w:val="auto"/>
          <w:szCs w:val="21"/>
          <w:highlight w:val="none"/>
        </w:rPr>
      </w:pPr>
      <w:bookmarkStart w:id="78" w:name="_Toc217446081"/>
      <w:r>
        <w:rPr>
          <w:rFonts w:hint="eastAsia" w:ascii="宋体" w:hAnsi="宋体"/>
          <w:color w:val="auto"/>
          <w:szCs w:val="21"/>
          <w:highlight w:val="none"/>
        </w:rPr>
        <w:t>9.2.3 联合体成交的，联合体各方应当与采购人签订采购合同，就成交项目向采购人承担连带责任。</w:t>
      </w:r>
    </w:p>
    <w:p>
      <w:pPr>
        <w:shd w:val="clear"/>
        <w:tabs>
          <w:tab w:val="left" w:pos="426"/>
        </w:tabs>
        <w:autoSpaceDE w:val="0"/>
        <w:autoSpaceDN w:val="0"/>
        <w:adjustRightInd w:val="0"/>
        <w:snapToGrid w:val="0"/>
        <w:spacing w:beforeLines="50" w:afterLines="50"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9.3 合同履行</w:t>
      </w:r>
    </w:p>
    <w:p>
      <w:pPr>
        <w:shd w:val="clear"/>
        <w:tabs>
          <w:tab w:val="left" w:pos="426"/>
        </w:tabs>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9.3.1 政府采购合同的履行、违约责任和解决争议的方法等适用《中华人民共和国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w:t>
      </w:r>
    </w:p>
    <w:p>
      <w:pPr>
        <w:shd w:val="clea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9.3.2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shd w:val="clear"/>
        <w:tabs>
          <w:tab w:val="left" w:pos="426"/>
        </w:tabs>
        <w:autoSpaceDE w:val="0"/>
        <w:autoSpaceDN w:val="0"/>
        <w:adjustRightInd w:val="0"/>
        <w:snapToGrid w:val="0"/>
        <w:spacing w:line="360" w:lineRule="auto"/>
        <w:ind w:firstLine="420" w:firstLineChars="200"/>
        <w:rPr>
          <w:rFonts w:hint="eastAsia" w:ascii="宋体" w:hAnsi="宋体" w:cs="宋体"/>
          <w:color w:val="auto"/>
          <w:szCs w:val="21"/>
          <w:highlight w:val="none"/>
          <w:lang w:eastAsia="zh-TW"/>
        </w:rPr>
      </w:pPr>
      <w:r>
        <w:rPr>
          <w:rFonts w:hint="eastAsia" w:ascii="宋体" w:hAnsi="宋体" w:cs="宋体"/>
          <w:color w:val="auto"/>
          <w:szCs w:val="21"/>
          <w:highlight w:val="none"/>
        </w:rPr>
        <w:t xml:space="preserve">9.3.3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rPr>
        <w:t>成交供应商</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pPr>
        <w:tabs>
          <w:tab w:val="left" w:pos="426"/>
        </w:tabs>
        <w:autoSpaceDE w:val="0"/>
        <w:autoSpaceDN w:val="0"/>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9.3.4 供应商须知前附表规定允许合同分包的，成交供应商享受了中小企业政府采购扶持政策，在履行合同时，未按分包意向协议约定的比例分包给小微企业的，视为提供虚假材料谋取中标情形，采购人将依法追究其法律责任。</w:t>
      </w:r>
    </w:p>
    <w:p>
      <w:pPr>
        <w:pStyle w:val="4"/>
        <w:shd w:val="clear"/>
        <w:rPr>
          <w:rFonts w:hint="eastAsia" w:ascii="黑体" w:hAnsi="宋体" w:eastAsia="黑体"/>
          <w:b w:val="0"/>
          <w:bCs/>
          <w:color w:val="auto"/>
          <w:sz w:val="36"/>
          <w:szCs w:val="36"/>
          <w:highlight w:val="none"/>
          <w:lang w:eastAsia="zh-CN"/>
        </w:rPr>
      </w:pPr>
      <w:bookmarkStart w:id="79" w:name="_Toc3967"/>
      <w:r>
        <w:rPr>
          <w:rFonts w:hint="eastAsia" w:ascii="黑体" w:hAnsi="宋体"/>
          <w:b w:val="0"/>
          <w:bCs/>
          <w:color w:val="auto"/>
          <w:sz w:val="36"/>
          <w:szCs w:val="36"/>
          <w:highlight w:val="none"/>
        </w:rPr>
        <w:t>10.终止</w:t>
      </w:r>
      <w:r>
        <w:rPr>
          <w:rFonts w:hint="eastAsia" w:ascii="黑体" w:hAnsi="宋体"/>
          <w:b w:val="0"/>
          <w:bCs/>
          <w:color w:val="auto"/>
          <w:sz w:val="36"/>
          <w:szCs w:val="36"/>
          <w:highlight w:val="none"/>
          <w:lang w:eastAsia="zh-CN"/>
        </w:rPr>
        <w:t>谈判</w:t>
      </w:r>
      <w:bookmarkEnd w:id="79"/>
    </w:p>
    <w:p>
      <w:pPr>
        <w:widowControl/>
        <w:shd w:val="clea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10.1</w:t>
      </w:r>
      <w:r>
        <w:rPr>
          <w:rFonts w:hint="eastAsia" w:ascii="宋体" w:hAnsi="宋体" w:cs="宋体"/>
          <w:snapToGrid w:val="0"/>
          <w:color w:val="auto"/>
          <w:kern w:val="0"/>
          <w:szCs w:val="21"/>
          <w:highlight w:val="none"/>
        </w:rPr>
        <w:t>出现下列情形之一的，采购人或者采购代理机构应当终止本次</w:t>
      </w:r>
      <w:r>
        <w:rPr>
          <w:rFonts w:hint="eastAsia" w:ascii="宋体" w:hAnsi="宋体" w:cs="宋体"/>
          <w:snapToGrid w:val="0"/>
          <w:color w:val="auto"/>
          <w:kern w:val="0"/>
          <w:szCs w:val="21"/>
          <w:highlight w:val="none"/>
          <w:lang w:eastAsia="zh-CN"/>
        </w:rPr>
        <w:t>竞争性谈判</w:t>
      </w:r>
      <w:r>
        <w:rPr>
          <w:rFonts w:hint="eastAsia" w:ascii="宋体" w:hAnsi="宋体" w:cs="宋体"/>
          <w:snapToGrid w:val="0"/>
          <w:color w:val="auto"/>
          <w:kern w:val="0"/>
          <w:szCs w:val="21"/>
          <w:highlight w:val="none"/>
        </w:rPr>
        <w:t>采购活动，发布终止公告并说明原因，重新开展采购活动：</w:t>
      </w:r>
    </w:p>
    <w:p>
      <w:pPr>
        <w:widowControl/>
        <w:shd w:val="clea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（1）因情况变化，不再符合规定的</w:t>
      </w:r>
      <w:r>
        <w:rPr>
          <w:rFonts w:hint="eastAsia" w:ascii="宋体" w:hAnsi="宋体" w:cs="宋体"/>
          <w:snapToGrid w:val="0"/>
          <w:color w:val="auto"/>
          <w:kern w:val="0"/>
          <w:szCs w:val="21"/>
          <w:highlight w:val="none"/>
          <w:lang w:eastAsia="zh-CN"/>
        </w:rPr>
        <w:t>竞争性谈判</w:t>
      </w:r>
      <w:r>
        <w:rPr>
          <w:rFonts w:hint="eastAsia" w:ascii="宋体" w:hAnsi="宋体" w:cs="宋体"/>
          <w:snapToGrid w:val="0"/>
          <w:color w:val="auto"/>
          <w:kern w:val="0"/>
          <w:szCs w:val="21"/>
          <w:highlight w:val="none"/>
        </w:rPr>
        <w:t>采购方式适用情形的；</w:t>
      </w:r>
    </w:p>
    <w:p>
      <w:pPr>
        <w:widowControl/>
        <w:shd w:val="clea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（2）出现影响采购公正的违法、违规行为的；</w:t>
      </w:r>
    </w:p>
    <w:p>
      <w:pPr>
        <w:widowControl/>
        <w:shd w:val="clear"/>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olor w:val="auto"/>
          <w:szCs w:val="21"/>
          <w:highlight w:val="none"/>
        </w:rPr>
        <w:t>《政府采购非招标采购方式管理办法》</w:t>
      </w:r>
      <w:r>
        <w:rPr>
          <w:rFonts w:hint="eastAsia" w:ascii="宋体" w:hAnsi="宋体"/>
          <w:color w:val="auto"/>
          <w:szCs w:val="21"/>
          <w:highlight w:val="none"/>
          <w:lang w:val="en-US" w:eastAsia="zh-CN"/>
        </w:rPr>
        <w:t>规定的事项</w:t>
      </w:r>
      <w:r>
        <w:rPr>
          <w:rFonts w:hint="eastAsia" w:ascii="宋体" w:hAnsi="宋体" w:cs="宋体"/>
          <w:snapToGrid w:val="0"/>
          <w:color w:val="auto"/>
          <w:kern w:val="0"/>
          <w:szCs w:val="21"/>
          <w:highlight w:val="none"/>
        </w:rPr>
        <w:t>。</w:t>
      </w:r>
    </w:p>
    <w:p>
      <w:pPr>
        <w:widowControl/>
        <w:spacing w:line="360" w:lineRule="auto"/>
        <w:ind w:firstLine="420" w:firstLineChars="200"/>
        <w:rPr>
          <w:color w:val="auto"/>
          <w:highlight w:val="none"/>
        </w:rPr>
      </w:pPr>
      <w:r>
        <w:rPr>
          <w:rFonts w:hint="eastAsia" w:ascii="宋体" w:hAnsi="宋体" w:cs="宋体"/>
          <w:snapToGrid w:val="0"/>
          <w:color w:val="auto"/>
          <w:kern w:val="0"/>
          <w:szCs w:val="21"/>
          <w:highlight w:val="none"/>
        </w:rPr>
        <w:t>10.2在采购活动中因重大变故，采购任务取消的，采购人或者采购代理机构应当终止</w:t>
      </w:r>
      <w:r>
        <w:rPr>
          <w:rFonts w:hint="eastAsia" w:ascii="宋体" w:hAnsi="宋体" w:cs="宋体"/>
          <w:b/>
          <w:snapToGrid w:val="0"/>
          <w:color w:val="auto"/>
          <w:kern w:val="0"/>
          <w:szCs w:val="21"/>
          <w:highlight w:val="none"/>
        </w:rPr>
        <w:t>项目</w:t>
      </w:r>
      <w:r>
        <w:rPr>
          <w:rFonts w:hint="eastAsia" w:ascii="宋体" w:hAnsi="宋体" w:cs="宋体"/>
          <w:snapToGrid w:val="0"/>
          <w:color w:val="auto"/>
          <w:kern w:val="0"/>
          <w:szCs w:val="21"/>
          <w:highlight w:val="none"/>
        </w:rPr>
        <w:t>采购活动，通知所有参加采购活动的供应商，并将项目实施情况和采购任务取消原因报送本级财政部门。</w:t>
      </w:r>
    </w:p>
    <w:p>
      <w:pPr>
        <w:pStyle w:val="4"/>
        <w:shd w:val="clear"/>
        <w:rPr>
          <w:rFonts w:hint="eastAsia" w:ascii="黑体" w:hAnsi="宋体" w:cs="Times New Roman"/>
          <w:b w:val="0"/>
          <w:bCs/>
          <w:color w:val="auto"/>
          <w:sz w:val="36"/>
          <w:szCs w:val="36"/>
          <w:highlight w:val="none"/>
        </w:rPr>
      </w:pPr>
      <w:bookmarkStart w:id="80" w:name="_Toc4897"/>
      <w:r>
        <w:rPr>
          <w:rFonts w:hint="eastAsia" w:ascii="黑体" w:hAnsi="宋体" w:cs="Times New Roman"/>
          <w:b w:val="0"/>
          <w:bCs/>
          <w:color w:val="auto"/>
          <w:sz w:val="36"/>
          <w:szCs w:val="36"/>
          <w:highlight w:val="none"/>
        </w:rPr>
        <w:t>11.采购代理服务费</w:t>
      </w:r>
      <w:bookmarkEnd w:id="80"/>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11.1 </w:t>
      </w:r>
      <w:r>
        <w:rPr>
          <w:rFonts w:hint="eastAsia" w:ascii="宋体" w:hAnsi="宋体"/>
          <w:color w:val="auto"/>
          <w:szCs w:val="21"/>
          <w:highlight w:val="none"/>
          <w:lang w:val="en-US" w:eastAsia="zh-CN"/>
        </w:rPr>
        <w:t>由采购人向</w:t>
      </w:r>
      <w:r>
        <w:rPr>
          <w:rFonts w:hint="eastAsia" w:ascii="宋体" w:hAnsi="宋体"/>
          <w:color w:val="auto"/>
          <w:szCs w:val="21"/>
          <w:highlight w:val="none"/>
        </w:rPr>
        <w:t>采购代理机构交纳采购代理服务费。</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采购代理服务费依据《国家计委关于印发招标代理服务收费管理暂行办法的通知》（计价格【2002】1980号）和国家发改委办公厅颁发的《关于招标代理服务收费有关问题的通知》（发改办价格【2003】857号）文件规定标准收取。具体收费金额将在成交公告中公布。</w:t>
      </w:r>
    </w:p>
    <w:p>
      <w:pPr>
        <w:shd w:val="clea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11.3 采购代理服务费，可以采取现金、支票、银行汇票、电汇、网银等方式交纳，但不得用</w:t>
      </w:r>
      <w:r>
        <w:rPr>
          <w:rFonts w:hint="eastAsia" w:ascii="宋体" w:hAnsi="宋体"/>
          <w:color w:val="auto"/>
          <w:szCs w:val="21"/>
          <w:highlight w:val="none"/>
          <w:lang w:eastAsia="zh-CN"/>
        </w:rPr>
        <w:t>谈判</w:t>
      </w:r>
      <w:r>
        <w:rPr>
          <w:rFonts w:hint="eastAsia" w:ascii="宋体" w:hAnsi="宋体"/>
          <w:color w:val="auto"/>
          <w:szCs w:val="21"/>
          <w:highlight w:val="none"/>
        </w:rPr>
        <w:t>保证金</w:t>
      </w:r>
      <w:r>
        <w:rPr>
          <w:rFonts w:hint="eastAsia" w:ascii="宋体" w:hAnsi="宋体" w:eastAsia="宋体"/>
          <w:color w:val="auto"/>
          <w:szCs w:val="21"/>
          <w:highlight w:val="none"/>
          <w:lang w:val="en-US" w:eastAsia="zh-CN"/>
        </w:rPr>
        <w:t>冲抵。</w:t>
      </w:r>
      <w:bookmarkStart w:id="153" w:name="_GoBack"/>
      <w:bookmarkEnd w:id="153"/>
    </w:p>
    <w:p>
      <w:pPr>
        <w:shd w:val="clea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11.4代理服务费账户信息</w:t>
      </w:r>
    </w:p>
    <w:p>
      <w:pPr>
        <w:shd w:val="clea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开户名称：陕西优正项目管理有限公司</w:t>
      </w:r>
    </w:p>
    <w:p>
      <w:pPr>
        <w:shd w:val="clea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开户银行：中国银行股份有限公司咸阳渭城区支行</w:t>
      </w:r>
    </w:p>
    <w:p>
      <w:pPr>
        <w:shd w:val="clea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账    号：102075807616</w:t>
      </w:r>
    </w:p>
    <w:p>
      <w:pPr>
        <w:pStyle w:val="4"/>
        <w:shd w:val="clear"/>
        <w:rPr>
          <w:rFonts w:ascii="黑体" w:hAnsi="宋体"/>
          <w:b w:val="0"/>
          <w:bCs/>
          <w:color w:val="auto"/>
          <w:sz w:val="36"/>
          <w:szCs w:val="36"/>
          <w:highlight w:val="none"/>
        </w:rPr>
      </w:pPr>
      <w:bookmarkStart w:id="81" w:name="_Toc25644"/>
      <w:r>
        <w:rPr>
          <w:rFonts w:hint="eastAsia" w:ascii="黑体" w:hAnsi="宋体"/>
          <w:b w:val="0"/>
          <w:bCs/>
          <w:color w:val="auto"/>
          <w:sz w:val="36"/>
          <w:szCs w:val="36"/>
          <w:highlight w:val="none"/>
        </w:rPr>
        <w:t>12.质疑与投诉</w:t>
      </w:r>
      <w:bookmarkEnd w:id="81"/>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12.1质疑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12.1.1如供应商对本次采购活动有疑问，认为需要提出质疑和投诉的，应当按照《政府采购质疑投诉办法》（财政部94号令）的有关规定办理。</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12.1.2 供应商对采购文件、采购过程或成交结果使自身的合法权益受到损害，应当在法定期限内，按照质疑函范本格式要求以书面形式向采购代理机构或采购人提出质疑，并附必要的证明材料。</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12.1.3 质疑函应当包括下列内容：</w:t>
      </w:r>
    </w:p>
    <w:p>
      <w:pPr>
        <w:widowControl/>
        <w:shd w:val="clear"/>
        <w:spacing w:line="360" w:lineRule="auto"/>
        <w:ind w:right="227" w:firstLine="525" w:firstLineChars="250"/>
        <w:jc w:val="left"/>
        <w:rPr>
          <w:rFonts w:ascii="宋体" w:hAnsi="宋体" w:cs="Arial"/>
          <w:color w:val="auto"/>
          <w:kern w:val="0"/>
          <w:szCs w:val="21"/>
          <w:highlight w:val="none"/>
        </w:rPr>
      </w:pPr>
      <w:r>
        <w:rPr>
          <w:rFonts w:hint="eastAsia" w:ascii="宋体" w:hAnsi="宋体"/>
          <w:color w:val="auto"/>
          <w:szCs w:val="21"/>
          <w:highlight w:val="none"/>
        </w:rPr>
        <w:t>（1）</w:t>
      </w:r>
      <w:r>
        <w:rPr>
          <w:rFonts w:hint="eastAsia" w:ascii="宋体" w:hAnsi="宋体" w:cs="Arial"/>
          <w:color w:val="auto"/>
          <w:kern w:val="0"/>
          <w:szCs w:val="21"/>
          <w:highlight w:val="none"/>
        </w:rPr>
        <w:t>供应商的姓名或者名称、地址、邮编、联系人及联系电话；</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（2）质疑项目的名称、编号；</w:t>
      </w:r>
    </w:p>
    <w:p>
      <w:pPr>
        <w:widowControl/>
        <w:shd w:val="clear"/>
        <w:spacing w:line="360" w:lineRule="auto"/>
        <w:ind w:right="227" w:firstLine="525" w:firstLineChars="250"/>
        <w:jc w:val="left"/>
        <w:rPr>
          <w:rFonts w:ascii="宋体" w:hAnsi="宋体" w:cs="Arial"/>
          <w:color w:val="auto"/>
          <w:kern w:val="0"/>
          <w:szCs w:val="21"/>
          <w:highlight w:val="none"/>
        </w:rPr>
      </w:pPr>
      <w:r>
        <w:rPr>
          <w:rFonts w:hint="eastAsia" w:ascii="宋体" w:hAnsi="宋体" w:cs="Arial"/>
          <w:color w:val="auto"/>
          <w:kern w:val="0"/>
          <w:szCs w:val="21"/>
          <w:highlight w:val="none"/>
        </w:rPr>
        <w:t>（3）具体、明确的质疑事项和与质疑事项相关的请求；</w:t>
      </w:r>
    </w:p>
    <w:p>
      <w:pPr>
        <w:widowControl/>
        <w:shd w:val="clear"/>
        <w:spacing w:line="360" w:lineRule="auto"/>
        <w:ind w:right="227" w:firstLine="525" w:firstLineChars="250"/>
        <w:jc w:val="left"/>
        <w:rPr>
          <w:rFonts w:ascii="宋体" w:hAnsi="宋体" w:cs="Arial"/>
          <w:color w:val="auto"/>
          <w:kern w:val="0"/>
          <w:szCs w:val="21"/>
          <w:highlight w:val="none"/>
        </w:rPr>
      </w:pPr>
      <w:r>
        <w:rPr>
          <w:rFonts w:hint="eastAsia" w:ascii="宋体" w:hAnsi="宋体" w:cs="Arial"/>
          <w:color w:val="auto"/>
          <w:kern w:val="0"/>
          <w:szCs w:val="21"/>
          <w:highlight w:val="none"/>
        </w:rPr>
        <w:t>（4）事实依据；</w:t>
      </w:r>
    </w:p>
    <w:p>
      <w:pPr>
        <w:widowControl/>
        <w:shd w:val="clear"/>
        <w:spacing w:line="360" w:lineRule="auto"/>
        <w:ind w:right="227" w:firstLine="525" w:firstLineChars="250"/>
        <w:jc w:val="left"/>
        <w:rPr>
          <w:rFonts w:ascii="宋体" w:hAnsi="宋体" w:cs="Arial"/>
          <w:color w:val="auto"/>
          <w:kern w:val="0"/>
          <w:szCs w:val="21"/>
          <w:highlight w:val="none"/>
        </w:rPr>
      </w:pPr>
      <w:r>
        <w:rPr>
          <w:rFonts w:hint="eastAsia" w:ascii="宋体" w:hAnsi="宋体" w:cs="Arial"/>
          <w:color w:val="auto"/>
          <w:kern w:val="0"/>
          <w:szCs w:val="21"/>
          <w:highlight w:val="none"/>
        </w:rPr>
        <w:t>（5）必要的法律依据；</w:t>
      </w:r>
    </w:p>
    <w:p>
      <w:pPr>
        <w:widowControl/>
        <w:shd w:val="clear"/>
        <w:spacing w:line="360" w:lineRule="auto"/>
        <w:ind w:right="227" w:firstLine="525" w:firstLineChars="250"/>
        <w:jc w:val="left"/>
        <w:rPr>
          <w:rFonts w:ascii="宋体" w:hAnsi="宋体" w:cs="Arial"/>
          <w:color w:val="auto"/>
          <w:kern w:val="0"/>
          <w:szCs w:val="21"/>
          <w:highlight w:val="none"/>
        </w:rPr>
      </w:pPr>
      <w:r>
        <w:rPr>
          <w:rFonts w:hint="eastAsia" w:ascii="宋体" w:hAnsi="宋体" w:cs="Arial"/>
          <w:color w:val="auto"/>
          <w:kern w:val="0"/>
          <w:szCs w:val="21"/>
          <w:highlight w:val="none"/>
        </w:rPr>
        <w:t>（6）提出质疑的日期。</w:t>
      </w:r>
    </w:p>
    <w:p>
      <w:pPr>
        <w:widowControl/>
        <w:shd w:val="clear"/>
        <w:spacing w:line="360" w:lineRule="auto"/>
        <w:ind w:right="227"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供应商为自然人的，应当由本人签字；供应商为法人或者其他组织的，应当由法定代表人、主要负责人，或者其委托代理人签字或者盖章，并加盖单位章。</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12.1.5 质疑函范本格式在中国政府采购网站（</w:t>
      </w:r>
      <w:r>
        <w:rPr>
          <w:rFonts w:ascii="宋体" w:hAnsi="宋体"/>
          <w:color w:val="auto"/>
          <w:szCs w:val="21"/>
          <w:highlight w:val="none"/>
        </w:rPr>
        <w:t>http://www.ccgp.gov.cn/</w:t>
      </w:r>
      <w:r>
        <w:rPr>
          <w:rFonts w:hint="eastAsia" w:ascii="宋体" w:hAnsi="宋体"/>
          <w:color w:val="auto"/>
          <w:szCs w:val="21"/>
          <w:highlight w:val="none"/>
        </w:rPr>
        <w:t>）自行下载。</w:t>
      </w:r>
    </w:p>
    <w:p>
      <w:pPr>
        <w:widowControl/>
        <w:shd w:val="clear"/>
        <w:spacing w:line="360" w:lineRule="auto"/>
        <w:ind w:right="225" w:firstLine="420" w:firstLineChars="200"/>
        <w:jc w:val="left"/>
        <w:rPr>
          <w:rFonts w:ascii="宋体" w:hAnsi="宋体"/>
          <w:color w:val="auto"/>
          <w:szCs w:val="21"/>
          <w:highlight w:val="none"/>
        </w:rPr>
      </w:pPr>
      <w:r>
        <w:rPr>
          <w:rFonts w:hint="eastAsia" w:ascii="宋体" w:hAnsi="宋体"/>
          <w:color w:val="auto"/>
          <w:szCs w:val="21"/>
          <w:highlight w:val="none"/>
        </w:rPr>
        <w:t xml:space="preserve">12.1.6 </w:t>
      </w:r>
      <w:r>
        <w:rPr>
          <w:rFonts w:hint="eastAsia" w:ascii="宋体" w:hAnsi="宋体" w:cs="Arial"/>
          <w:color w:val="auto"/>
          <w:kern w:val="0"/>
          <w:szCs w:val="21"/>
          <w:highlight w:val="none"/>
        </w:rPr>
        <w:t>接收质疑函的联系部门、联系电话和通讯地址同</w:t>
      </w:r>
      <w:r>
        <w:rPr>
          <w:rFonts w:hint="eastAsia" w:ascii="宋体" w:hAnsi="宋体" w:cs="Arial"/>
          <w:color w:val="auto"/>
          <w:kern w:val="0"/>
          <w:szCs w:val="21"/>
          <w:highlight w:val="none"/>
          <w:lang w:eastAsia="zh-CN"/>
        </w:rPr>
        <w:t>谈判</w:t>
      </w:r>
      <w:r>
        <w:rPr>
          <w:rFonts w:hint="eastAsia" w:ascii="宋体" w:hAnsi="宋体" w:cs="Arial"/>
          <w:color w:val="auto"/>
          <w:kern w:val="0"/>
          <w:szCs w:val="21"/>
          <w:highlight w:val="none"/>
        </w:rPr>
        <w:t>公告。</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12.1.7 有下列情形之一的，属于无效质疑，采购代理机构和采购人不予受理：</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（1）质疑人不是参与本次政府采购项目的供应商；</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（2）质疑人与质疑事项不存在利害关系的；</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（3）未在法定期限内提出质疑的；</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（4）质疑未以书面形式提出，以传真、电子邮件、移动通信等形式即时收悉提交的质疑材料；</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（5）质疑未按质疑函范本格式提出的；</w:t>
      </w:r>
    </w:p>
    <w:p>
      <w:pPr>
        <w:widowControl/>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（6）未提交营业执照或法人证书复印件，由授权代表签字的，未提交授权委托书；</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（7）质疑书没有合法有效的签字、盖章的；</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（8）以非法手段取得证据、材料的；</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（9）质疑答复后，同一质疑人就同一事项再次提出质疑的；</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（10）不符合法律、法规、规章和政府采购监管机构规定的其他条件的。</w:t>
      </w:r>
    </w:p>
    <w:p>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12.1.8 采购代理机构或采购人将在收到书面质疑后7个工作日内做出答复，并以书面形式通知质疑人和其他有关供应商。</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12.2 投诉</w:t>
      </w:r>
    </w:p>
    <w:p>
      <w:pPr>
        <w:widowControl/>
        <w:shd w:val="clear"/>
        <w:tabs>
          <w:tab w:val="left" w:pos="8931"/>
        </w:tabs>
        <w:spacing w:line="360" w:lineRule="auto"/>
        <w:ind w:right="-113" w:firstLine="420" w:firstLineChars="200"/>
        <w:jc w:val="left"/>
        <w:rPr>
          <w:rFonts w:ascii="宋体" w:hAnsi="宋体" w:cs="Arial"/>
          <w:color w:val="auto"/>
          <w:kern w:val="0"/>
          <w:szCs w:val="21"/>
          <w:highlight w:val="none"/>
        </w:rPr>
      </w:pPr>
      <w:r>
        <w:rPr>
          <w:rFonts w:hint="eastAsia" w:ascii="宋体" w:hAnsi="宋体"/>
          <w:color w:val="auto"/>
          <w:szCs w:val="21"/>
          <w:highlight w:val="none"/>
        </w:rPr>
        <w:t>12.2.1 质疑人对采购代理机构或采购人的答复不满意，</w:t>
      </w:r>
      <w:r>
        <w:rPr>
          <w:rFonts w:hint="eastAsia" w:ascii="宋体" w:hAnsi="宋体" w:cs="Arial"/>
          <w:color w:val="auto"/>
          <w:kern w:val="0"/>
          <w:szCs w:val="21"/>
          <w:highlight w:val="none"/>
        </w:rPr>
        <w:t>或者采购人、采购代理机构未在规定时间内作出答复的，可以在答复期满后15个工作日内财政部门提起投诉。</w:t>
      </w:r>
    </w:p>
    <w:p>
      <w:pPr>
        <w:widowControl/>
        <w:shd w:val="clear"/>
        <w:spacing w:line="360" w:lineRule="auto"/>
        <w:ind w:right="28" w:firstLine="420" w:firstLineChars="200"/>
        <w:jc w:val="left"/>
        <w:rPr>
          <w:rFonts w:ascii="宋体" w:hAnsi="宋体" w:cs="Arial"/>
          <w:color w:val="auto"/>
          <w:kern w:val="0"/>
          <w:szCs w:val="21"/>
          <w:highlight w:val="none"/>
        </w:rPr>
      </w:pPr>
      <w:r>
        <w:rPr>
          <w:rFonts w:hint="eastAsia" w:ascii="宋体" w:hAnsi="宋体"/>
          <w:color w:val="auto"/>
          <w:szCs w:val="21"/>
          <w:highlight w:val="none"/>
        </w:rPr>
        <w:t xml:space="preserve">12.2.2 </w:t>
      </w:r>
      <w:r>
        <w:rPr>
          <w:rFonts w:hint="eastAsia" w:ascii="宋体" w:hAnsi="宋体" w:cs="Arial"/>
          <w:color w:val="auto"/>
          <w:kern w:val="0"/>
          <w:szCs w:val="21"/>
          <w:highlight w:val="none"/>
        </w:rPr>
        <w:t>供应商投诉时,应当提交投诉书和必要的证明材料，并按照被投诉采购人、采购代理机构（以下简称被投诉人）和与投诉事项有关的供应商数量提供投诉书的副本。投诉书应当包括下列内容：</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（1）投诉人和被投诉人的姓名或者名称、通讯地址、邮编、联系人及联系电话；</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（2）质疑和质疑答复情况说明及相关证明材料；</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（3）具体、明确的投诉事项和与投诉事项相关的投诉请求；</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（4）事实依据；</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（5）法律依据；</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（6）提起投诉的日期。</w:t>
      </w:r>
    </w:p>
    <w:p>
      <w:pPr>
        <w:widowControl/>
        <w:shd w:val="clear"/>
        <w:spacing w:line="360" w:lineRule="auto"/>
        <w:ind w:left="105" w:right="227" w:hanging="105" w:hangingChars="50"/>
        <w:jc w:val="left"/>
        <w:rPr>
          <w:rFonts w:ascii="宋体" w:hAnsi="宋体" w:cs="Arial"/>
          <w:color w:val="auto"/>
          <w:kern w:val="0"/>
          <w:szCs w:val="21"/>
          <w:highlight w:val="none"/>
        </w:rPr>
      </w:pPr>
      <w:r>
        <w:rPr>
          <w:rFonts w:hint="eastAsia" w:ascii="宋体" w:hAnsi="宋体" w:cs="Arial"/>
          <w:color w:val="auto"/>
          <w:kern w:val="0"/>
          <w:szCs w:val="21"/>
          <w:highlight w:val="none"/>
        </w:rPr>
        <w:t>　   投诉人为自然人的，应当由本人签字；投诉人为法人或者其他组织的，应当由法定代表人、主要负责人，或者其委托代理人签字或者盖章，并加盖单位章。</w:t>
      </w:r>
    </w:p>
    <w:p>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13.2.3 投诉书范本格式在中国政府采购网站（</w:t>
      </w:r>
      <w:r>
        <w:rPr>
          <w:rFonts w:ascii="宋体" w:hAnsi="宋体"/>
          <w:color w:val="auto"/>
          <w:szCs w:val="21"/>
          <w:highlight w:val="none"/>
        </w:rPr>
        <w:t>http://www.ccgp.gov.cn/</w:t>
      </w:r>
      <w:r>
        <w:rPr>
          <w:rFonts w:hint="eastAsia" w:ascii="宋体" w:hAnsi="宋体"/>
          <w:color w:val="auto"/>
          <w:szCs w:val="21"/>
          <w:highlight w:val="none"/>
        </w:rPr>
        <w:t>）自行下载。</w:t>
      </w:r>
    </w:p>
    <w:p>
      <w:pPr>
        <w:widowControl/>
        <w:shd w:val="clear"/>
        <w:spacing w:line="360" w:lineRule="auto"/>
        <w:ind w:left="301" w:right="227" w:firstLine="105" w:firstLineChars="50"/>
        <w:jc w:val="left"/>
        <w:rPr>
          <w:rFonts w:ascii="宋体" w:hAnsi="宋体" w:cs="Arial"/>
          <w:color w:val="auto"/>
          <w:kern w:val="0"/>
          <w:szCs w:val="21"/>
          <w:highlight w:val="none"/>
        </w:rPr>
      </w:pPr>
      <w:r>
        <w:rPr>
          <w:rFonts w:hint="eastAsia" w:ascii="宋体" w:hAnsi="宋体"/>
          <w:color w:val="auto"/>
          <w:szCs w:val="21"/>
          <w:highlight w:val="none"/>
        </w:rPr>
        <w:t xml:space="preserve">13.2.4 </w:t>
      </w:r>
      <w:r>
        <w:rPr>
          <w:rFonts w:hint="eastAsia" w:ascii="宋体" w:hAnsi="宋体" w:cs="Arial"/>
          <w:color w:val="auto"/>
          <w:kern w:val="0"/>
          <w:szCs w:val="21"/>
          <w:highlight w:val="none"/>
        </w:rPr>
        <w:t>投诉人提起投诉应当符合下列条件：</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（1）提起投诉前已依法进行质疑；</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（2）投诉书内容符合财政部94号令的规定；</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（3）在投诉有效期限内提起投诉；</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（4）同一投诉事项未经财政部门投诉处理；</w:t>
      </w:r>
    </w:p>
    <w:p>
      <w:pPr>
        <w:widowControl/>
        <w:shd w:val="clear"/>
        <w:spacing w:line="360" w:lineRule="auto"/>
        <w:ind w:left="301" w:right="227"/>
        <w:jc w:val="left"/>
        <w:rPr>
          <w:rFonts w:ascii="宋体" w:hAnsi="宋体" w:cs="Arial"/>
          <w:color w:val="auto"/>
          <w:kern w:val="0"/>
          <w:szCs w:val="21"/>
          <w:highlight w:val="none"/>
        </w:rPr>
      </w:pPr>
      <w:r>
        <w:rPr>
          <w:rFonts w:hint="eastAsia" w:ascii="宋体" w:hAnsi="宋体" w:cs="Arial"/>
          <w:color w:val="auto"/>
          <w:kern w:val="0"/>
          <w:szCs w:val="21"/>
          <w:highlight w:val="none"/>
        </w:rPr>
        <w:t>　　（5）财政部规定的其他条件。</w:t>
      </w:r>
    </w:p>
    <w:p>
      <w:pPr>
        <w:widowControl/>
        <w:shd w:val="clear"/>
        <w:spacing w:line="360" w:lineRule="auto"/>
        <w:ind w:right="28"/>
        <w:jc w:val="left"/>
        <w:rPr>
          <w:rFonts w:ascii="宋体" w:hAnsi="宋体" w:cs="Arial"/>
          <w:color w:val="auto"/>
          <w:kern w:val="0"/>
          <w:szCs w:val="21"/>
          <w:highlight w:val="none"/>
        </w:rPr>
      </w:pPr>
      <w:r>
        <w:rPr>
          <w:rFonts w:hint="eastAsia" w:ascii="宋体" w:hAnsi="宋体" w:cs="Arial"/>
          <w:color w:val="auto"/>
          <w:kern w:val="0"/>
          <w:szCs w:val="21"/>
          <w:highlight w:val="none"/>
        </w:rPr>
        <w:t>　  13.2.5  投诉人投诉的事项不得超出已质疑事项的范围，但基于质疑答复内容提出的投诉事项除外。</w:t>
      </w:r>
    </w:p>
    <w:p>
      <w:pPr>
        <w:pStyle w:val="4"/>
        <w:shd w:val="clear"/>
        <w:rPr>
          <w:rFonts w:ascii="黑体" w:hAnsi="宋体"/>
          <w:b w:val="0"/>
          <w:color w:val="auto"/>
          <w:sz w:val="36"/>
          <w:szCs w:val="36"/>
          <w:highlight w:val="none"/>
        </w:rPr>
      </w:pPr>
      <w:bookmarkStart w:id="82" w:name="_Toc14828"/>
      <w:r>
        <w:rPr>
          <w:rFonts w:hint="eastAsia" w:ascii="黑体" w:hAnsi="宋体"/>
          <w:b w:val="0"/>
          <w:color w:val="auto"/>
          <w:sz w:val="36"/>
          <w:szCs w:val="36"/>
          <w:highlight w:val="none"/>
        </w:rPr>
        <w:t>13.其他</w:t>
      </w:r>
      <w:bookmarkEnd w:id="82"/>
    </w:p>
    <w:p>
      <w:pPr>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13.1成交供应商融资</w:t>
      </w:r>
    </w:p>
    <w:p>
      <w:pPr>
        <w:shd w:val="clear"/>
        <w:spacing w:beforeLines="50" w:afterLines="50" w:line="360" w:lineRule="auto"/>
        <w:ind w:firstLine="420" w:firstLineChars="200"/>
        <w:jc w:val="left"/>
        <w:rPr>
          <w:rFonts w:ascii="宋体" w:hAnsi="宋体"/>
          <w:b/>
          <w:color w:val="auto"/>
          <w:sz w:val="30"/>
          <w:szCs w:val="30"/>
          <w:highlight w:val="none"/>
        </w:rPr>
      </w:pPr>
      <w:r>
        <w:rPr>
          <w:rFonts w:hint="eastAsia" w:ascii="宋体" w:hAnsi="宋体" w:cs="Helvetica"/>
          <w:color w:val="auto"/>
          <w:szCs w:val="21"/>
          <w:highlight w:val="none"/>
        </w:rPr>
        <w:t>本着</w:t>
      </w:r>
      <w:r>
        <w:rPr>
          <w:rFonts w:hint="eastAsia" w:ascii="宋体" w:hAnsi="宋体" w:cs="Helvetica"/>
          <w:color w:val="auto"/>
          <w:szCs w:val="21"/>
          <w:highlight w:val="none"/>
          <w:lang w:val="en"/>
        </w:rPr>
        <w:t xml:space="preserve"> “银企自愿，风险自担”的原则，</w:t>
      </w:r>
      <w:r>
        <w:rPr>
          <w:rFonts w:hint="eastAsia" w:ascii="宋体" w:hAnsi="宋体"/>
          <w:color w:val="auto"/>
          <w:szCs w:val="21"/>
          <w:highlight w:val="none"/>
        </w:rPr>
        <w:t>成交供应商为中小企业的可以自愿选择</w:t>
      </w:r>
      <w:r>
        <w:rPr>
          <w:rFonts w:ascii="宋体" w:hAnsi="宋体" w:cs="Helvetica"/>
          <w:color w:val="auto"/>
          <w:szCs w:val="21"/>
          <w:highlight w:val="none"/>
          <w:lang w:val="en"/>
        </w:rPr>
        <w:t>政府采购贷款</w:t>
      </w:r>
      <w:r>
        <w:rPr>
          <w:rFonts w:hint="eastAsia" w:ascii="宋体" w:hAnsi="宋体" w:cs="Helvetica"/>
          <w:color w:val="auto"/>
          <w:szCs w:val="21"/>
          <w:highlight w:val="none"/>
          <w:lang w:val="en"/>
        </w:rPr>
        <w:t>进行融资，通过“陕西省政府采购合同融资平台”（</w:t>
      </w:r>
      <w:r>
        <w:rPr>
          <w:rFonts w:ascii="宋体" w:hAnsi="宋体" w:cs="Helvetica"/>
          <w:color w:val="auto"/>
          <w:szCs w:val="21"/>
          <w:highlight w:val="none"/>
          <w:lang w:val="en"/>
        </w:rPr>
        <w:t>http://www.ccgp-shaanxi.gov.cn/</w:t>
      </w:r>
      <w:r>
        <w:rPr>
          <w:rFonts w:hint="eastAsia" w:ascii="宋体" w:hAnsi="宋体" w:cs="Helvetica"/>
          <w:color w:val="auto"/>
          <w:szCs w:val="21"/>
          <w:highlight w:val="none"/>
          <w:lang w:val="en"/>
        </w:rPr>
        <w:t>）实施。</w:t>
      </w:r>
    </w:p>
    <w:p>
      <w:pPr>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13.2 录音录像</w:t>
      </w:r>
    </w:p>
    <w:p>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采购代理机构对开启响应文件、</w:t>
      </w:r>
      <w:r>
        <w:rPr>
          <w:rFonts w:hint="eastAsia" w:ascii="宋体" w:hAnsi="宋体"/>
          <w:color w:val="auto"/>
          <w:szCs w:val="21"/>
          <w:highlight w:val="none"/>
          <w:lang w:eastAsia="zh-CN"/>
        </w:rPr>
        <w:t>谈判</w:t>
      </w:r>
      <w:r>
        <w:rPr>
          <w:rFonts w:hint="eastAsia" w:ascii="宋体" w:hAnsi="宋体"/>
          <w:color w:val="auto"/>
          <w:szCs w:val="21"/>
          <w:highlight w:val="none"/>
        </w:rPr>
        <w:t>和评审过程进行全程录音录像、文字记录，并存档备查。</w:t>
      </w:r>
    </w:p>
    <w:p>
      <w:pPr>
        <w:spacing w:before="120" w:beforeLines="50" w:line="360" w:lineRule="auto"/>
        <w:jc w:val="left"/>
        <w:rPr>
          <w:rFonts w:hint="eastAsia" w:ascii="宋体" w:hAnsi="宋体"/>
          <w:b/>
          <w:color w:val="auto"/>
          <w:sz w:val="30"/>
          <w:szCs w:val="30"/>
        </w:rPr>
      </w:pPr>
      <w:r>
        <w:rPr>
          <w:rFonts w:hint="eastAsia" w:ascii="宋体" w:hAnsi="宋体"/>
          <w:b/>
          <w:color w:val="auto"/>
          <w:sz w:val="30"/>
          <w:szCs w:val="30"/>
        </w:rPr>
        <w:t>1</w:t>
      </w:r>
      <w:r>
        <w:rPr>
          <w:rFonts w:hint="eastAsia" w:ascii="宋体" w:hAnsi="宋体"/>
          <w:b/>
          <w:color w:val="auto"/>
          <w:sz w:val="30"/>
          <w:szCs w:val="30"/>
          <w:lang w:val="en-US" w:eastAsia="zh-CN"/>
        </w:rPr>
        <w:t>3</w:t>
      </w:r>
      <w:r>
        <w:rPr>
          <w:rFonts w:hint="eastAsia" w:ascii="宋体" w:hAnsi="宋体"/>
          <w:b/>
          <w:color w:val="auto"/>
          <w:sz w:val="30"/>
          <w:szCs w:val="30"/>
        </w:rPr>
        <w:t>.3需要补充的其他内容</w:t>
      </w:r>
    </w:p>
    <w:p>
      <w:pPr>
        <w:adjustRightInd w:val="0"/>
        <w:snapToGrid w:val="0"/>
        <w:spacing w:before="120" w:beforeLines="50" w:line="360" w:lineRule="auto"/>
        <w:ind w:firstLine="420" w:firstLineChars="200"/>
        <w:jc w:val="left"/>
        <w:rPr>
          <w:rFonts w:hint="eastAsia" w:ascii="宋体" w:hAnsi="宋体"/>
          <w:color w:val="auto"/>
          <w:szCs w:val="21"/>
        </w:rPr>
      </w:pPr>
      <w:r>
        <w:rPr>
          <w:rFonts w:hint="eastAsia" w:ascii="宋体" w:hAnsi="宋体"/>
          <w:color w:val="auto"/>
          <w:lang w:val="en-US" w:eastAsia="zh-CN"/>
        </w:rPr>
        <w:t>谈判</w:t>
      </w:r>
      <w:r>
        <w:rPr>
          <w:rFonts w:hint="eastAsia" w:ascii="宋体" w:hAnsi="宋体"/>
          <w:color w:val="auto"/>
        </w:rPr>
        <w:t>文件需要补充的其</w:t>
      </w:r>
      <w:r>
        <w:rPr>
          <w:rFonts w:hint="eastAsia" w:ascii="宋体" w:hAnsi="宋体"/>
          <w:color w:val="auto"/>
          <w:szCs w:val="21"/>
        </w:rPr>
        <w:t>他内容见</w:t>
      </w:r>
      <w:r>
        <w:rPr>
          <w:rFonts w:hint="eastAsia" w:ascii="宋体" w:hAnsi="宋体"/>
          <w:b/>
          <w:color w:val="auto"/>
          <w:szCs w:val="21"/>
        </w:rPr>
        <w:t>投标须知前附表</w:t>
      </w:r>
      <w:r>
        <w:rPr>
          <w:rFonts w:hint="eastAsia" w:ascii="宋体" w:hAnsi="宋体"/>
          <w:color w:val="auto"/>
          <w:szCs w:val="21"/>
        </w:rPr>
        <w:t>。</w:t>
      </w:r>
    </w:p>
    <w:p>
      <w:pPr>
        <w:shd w:val="clear"/>
        <w:spacing w:line="360" w:lineRule="auto"/>
        <w:rPr>
          <w:color w:val="auto"/>
          <w:sz w:val="24"/>
          <w:highlight w:val="none"/>
        </w:rPr>
      </w:pPr>
      <w:r>
        <w:rPr>
          <w:color w:val="auto"/>
          <w:sz w:val="24"/>
          <w:highlight w:val="none"/>
        </w:rPr>
        <w:br w:type="page"/>
      </w:r>
    </w:p>
    <w:p>
      <w:pPr>
        <w:pStyle w:val="3"/>
        <w:shd w:val="clear"/>
        <w:jc w:val="center"/>
        <w:rPr>
          <w:rFonts w:ascii="宋体" w:hAnsi="宋体"/>
          <w:color w:val="auto"/>
          <w:sz w:val="24"/>
          <w:highlight w:val="none"/>
        </w:rPr>
      </w:pPr>
      <w:bookmarkStart w:id="83" w:name="_Toc2037"/>
      <w:r>
        <w:rPr>
          <w:rFonts w:hint="eastAsia" w:ascii="宋体" w:hAnsi="宋体"/>
          <w:color w:val="auto"/>
          <w:sz w:val="44"/>
          <w:szCs w:val="44"/>
          <w:highlight w:val="none"/>
        </w:rPr>
        <w:t>第三章</w:t>
      </w:r>
      <w:bookmarkStart w:id="84" w:name="_Toc217446093"/>
      <w:r>
        <w:rPr>
          <w:rFonts w:hint="eastAsia" w:ascii="宋体" w:hAnsi="宋体"/>
          <w:color w:val="auto"/>
          <w:sz w:val="44"/>
          <w:szCs w:val="44"/>
          <w:highlight w:val="none"/>
        </w:rPr>
        <w:t xml:space="preserve"> </w:t>
      </w:r>
      <w:r>
        <w:rPr>
          <w:rFonts w:hint="eastAsia" w:ascii="宋体" w:hAnsi="宋体"/>
          <w:color w:val="auto"/>
          <w:sz w:val="44"/>
          <w:szCs w:val="44"/>
          <w:highlight w:val="none"/>
          <w:lang w:eastAsia="zh-CN"/>
        </w:rPr>
        <w:t>谈判</w:t>
      </w:r>
      <w:r>
        <w:rPr>
          <w:rFonts w:hint="eastAsia" w:ascii="宋体" w:hAnsi="宋体"/>
          <w:color w:val="auto"/>
          <w:sz w:val="44"/>
          <w:szCs w:val="44"/>
          <w:highlight w:val="none"/>
        </w:rPr>
        <w:t>办法</w:t>
      </w:r>
      <w:bookmarkEnd w:id="83"/>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根据《中华人民共和国政府采购法》及其实施条例和财政部《</w:t>
      </w:r>
      <w:r>
        <w:rPr>
          <w:rFonts w:hint="eastAsia" w:ascii="宋体" w:hAnsi="宋体" w:eastAsia="宋体"/>
          <w:color w:val="auto"/>
          <w:sz w:val="21"/>
          <w:szCs w:val="21"/>
          <w:highlight w:val="none"/>
        </w:rPr>
        <w:t>政府采购非招标采购方式管理办法</w:t>
      </w:r>
      <w:r>
        <w:rPr>
          <w:rFonts w:hint="eastAsia" w:ascii="宋体" w:hAnsi="宋体"/>
          <w:color w:val="auto"/>
          <w:szCs w:val="21"/>
          <w:highlight w:val="none"/>
        </w:rPr>
        <w:t>》等法律法规的规定，结合采购项目特点，制定本</w:t>
      </w:r>
      <w:r>
        <w:rPr>
          <w:rFonts w:hint="eastAsia" w:ascii="宋体" w:hAnsi="宋体"/>
          <w:color w:val="auto"/>
          <w:szCs w:val="21"/>
          <w:highlight w:val="none"/>
          <w:lang w:eastAsia="zh-CN"/>
        </w:rPr>
        <w:t>谈判</w:t>
      </w:r>
      <w:r>
        <w:rPr>
          <w:rFonts w:hint="eastAsia" w:ascii="宋体" w:hAnsi="宋体"/>
          <w:color w:val="auto"/>
          <w:szCs w:val="21"/>
          <w:highlight w:val="none"/>
        </w:rPr>
        <w:t>办法。</w:t>
      </w:r>
    </w:p>
    <w:p>
      <w:pPr>
        <w:pStyle w:val="4"/>
        <w:shd w:val="clear"/>
        <w:rPr>
          <w:rFonts w:ascii="黑体" w:hAnsi="宋体"/>
          <w:b w:val="0"/>
          <w:bCs/>
          <w:color w:val="auto"/>
          <w:sz w:val="36"/>
          <w:szCs w:val="36"/>
          <w:highlight w:val="none"/>
        </w:rPr>
      </w:pPr>
      <w:bookmarkStart w:id="85" w:name="_Toc29228"/>
      <w:r>
        <w:rPr>
          <w:rFonts w:hint="eastAsia" w:ascii="黑体" w:hAnsi="宋体"/>
          <w:b w:val="0"/>
          <w:bCs/>
          <w:color w:val="auto"/>
          <w:sz w:val="36"/>
          <w:szCs w:val="36"/>
          <w:highlight w:val="none"/>
        </w:rPr>
        <w:t>1.</w:t>
      </w:r>
      <w:r>
        <w:rPr>
          <w:rFonts w:hint="eastAsia" w:ascii="黑体" w:hAnsi="宋体"/>
          <w:b w:val="0"/>
          <w:bCs/>
          <w:color w:val="auto"/>
          <w:sz w:val="36"/>
          <w:szCs w:val="36"/>
          <w:highlight w:val="none"/>
          <w:lang w:eastAsia="zh-CN"/>
        </w:rPr>
        <w:t>谈判</w:t>
      </w:r>
      <w:r>
        <w:rPr>
          <w:rFonts w:hint="eastAsia" w:ascii="黑体" w:hAnsi="宋体"/>
          <w:b w:val="0"/>
          <w:bCs/>
          <w:color w:val="auto"/>
          <w:sz w:val="36"/>
          <w:szCs w:val="36"/>
          <w:highlight w:val="none"/>
        </w:rPr>
        <w:t>程序</w:t>
      </w:r>
      <w:bookmarkEnd w:id="85"/>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 xml:space="preserve">1.1 </w:t>
      </w:r>
      <w:r>
        <w:rPr>
          <w:rFonts w:hint="eastAsia" w:ascii="宋体" w:hAnsi="宋体"/>
          <w:b/>
          <w:color w:val="auto"/>
          <w:sz w:val="30"/>
          <w:szCs w:val="30"/>
          <w:highlight w:val="none"/>
          <w:lang w:eastAsia="zh-CN"/>
        </w:rPr>
        <w:t>谈判</w:t>
      </w:r>
      <w:r>
        <w:rPr>
          <w:rFonts w:hint="eastAsia" w:ascii="宋体" w:hAnsi="宋体"/>
          <w:b/>
          <w:color w:val="auto"/>
          <w:sz w:val="30"/>
          <w:szCs w:val="30"/>
          <w:highlight w:val="none"/>
        </w:rPr>
        <w:t>按下列程序进行：</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（1）响应文件初步评审；</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（2）响应文件的澄清；</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谈判</w:t>
      </w:r>
      <w:r>
        <w:rPr>
          <w:rFonts w:hint="eastAsia" w:ascii="宋体" w:hAnsi="宋体"/>
          <w:color w:val="auto"/>
          <w:szCs w:val="21"/>
          <w:highlight w:val="none"/>
        </w:rPr>
        <w:t>；</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）复核与核对评审结果；</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）确定成交候选人名单；</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）编写评审报告。</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1.2 响应文件初步评审</w:t>
      </w:r>
    </w:p>
    <w:p>
      <w:pPr>
        <w:shd w:val="clear"/>
        <w:tabs>
          <w:tab w:val="left" w:pos="0"/>
        </w:tabs>
        <w:adjustRightInd w:val="0"/>
        <w:snapToGrid w:val="0"/>
        <w:spacing w:line="360" w:lineRule="auto"/>
        <w:ind w:firstLine="411" w:firstLineChars="196"/>
        <w:rPr>
          <w:rFonts w:ascii="宋体" w:hAnsi="宋体"/>
          <w:b/>
          <w:color w:val="auto"/>
          <w:szCs w:val="21"/>
          <w:highlight w:val="none"/>
        </w:rPr>
      </w:pPr>
      <w:r>
        <w:rPr>
          <w:rFonts w:hint="eastAsia" w:ascii="宋体" w:hAnsi="宋体"/>
          <w:b/>
          <w:color w:val="auto"/>
          <w:szCs w:val="21"/>
          <w:highlight w:val="none"/>
        </w:rPr>
        <w:t>1.2.1 资格性审查</w:t>
      </w:r>
    </w:p>
    <w:p>
      <w:pPr>
        <w:shd w:val="clear"/>
        <w:tabs>
          <w:tab w:val="left" w:pos="0"/>
        </w:tabs>
        <w:adjustRightInd w:val="0"/>
        <w:snapToGrid w:val="0"/>
        <w:spacing w:line="360" w:lineRule="auto"/>
        <w:ind w:firstLine="621" w:firstLineChars="296"/>
        <w:rPr>
          <w:rFonts w:ascii="宋体" w:hAnsi="宋体" w:cs="宋体"/>
          <w:color w:val="auto"/>
          <w:kern w:val="0"/>
          <w:szCs w:val="21"/>
          <w:highlight w:val="none"/>
        </w:rPr>
      </w:pPr>
      <w:r>
        <w:rPr>
          <w:rFonts w:hint="eastAsia" w:ascii="宋体" w:hAnsi="宋体"/>
          <w:color w:val="auto"/>
          <w:szCs w:val="21"/>
          <w:highlight w:val="none"/>
        </w:rPr>
        <w:t xml:space="preserve">1.2.1.1 </w:t>
      </w:r>
      <w:r>
        <w:rPr>
          <w:rFonts w:hint="eastAsia" w:cs="Times New Roman" w:asciiTheme="minorEastAsia" w:hAnsiTheme="minorEastAsia" w:eastAsiaTheme="minorEastAsia"/>
          <w:color w:val="auto"/>
          <w:szCs w:val="21"/>
        </w:rPr>
        <w:t>采购人依法</w:t>
      </w:r>
      <w:r>
        <w:rPr>
          <w:rFonts w:hint="eastAsia" w:asciiTheme="minorEastAsia" w:hAnsiTheme="minorEastAsia" w:eastAsiaTheme="minorEastAsia"/>
          <w:color w:val="auto"/>
          <w:szCs w:val="21"/>
        </w:rPr>
        <w:t>对</w:t>
      </w:r>
      <w:r>
        <w:rPr>
          <w:rFonts w:hint="eastAsia" w:asciiTheme="minorEastAsia" w:hAnsiTheme="minorEastAsia" w:eastAsiaTheme="minorEastAsia"/>
          <w:color w:val="auto"/>
          <w:szCs w:val="21"/>
          <w:lang w:val="en-US" w:eastAsia="zh-CN"/>
        </w:rPr>
        <w:t>谈判</w:t>
      </w:r>
      <w:r>
        <w:rPr>
          <w:rFonts w:hint="eastAsia" w:asciiTheme="minorEastAsia" w:hAnsiTheme="minorEastAsia" w:eastAsiaTheme="minorEastAsia"/>
          <w:color w:val="auto"/>
          <w:szCs w:val="21"/>
        </w:rPr>
        <w:t>供应商的资格进行审查</w:t>
      </w:r>
      <w:r>
        <w:rPr>
          <w:rFonts w:hint="eastAsia" w:asciiTheme="minorEastAsia" w:hAnsiTheme="minorEastAsia" w:eastAsiaTheme="minorEastAsia"/>
          <w:color w:val="auto"/>
          <w:szCs w:val="21"/>
          <w:lang w:eastAsia="zh-CN"/>
        </w:rPr>
        <w:t>，</w:t>
      </w:r>
      <w:r>
        <w:rPr>
          <w:rFonts w:hint="eastAsia" w:ascii="宋体" w:hAnsi="宋体"/>
          <w:color w:val="auto"/>
          <w:szCs w:val="21"/>
          <w:highlight w:val="none"/>
        </w:rPr>
        <w:t>将依据供应商的响应文件之资格审查部分文件，</w:t>
      </w:r>
      <w:r>
        <w:rPr>
          <w:rFonts w:hint="eastAsia" w:ascii="宋体" w:hAnsi="宋体"/>
          <w:color w:val="auto"/>
          <w:szCs w:val="21"/>
          <w:highlight w:val="none"/>
          <w:lang w:eastAsia="zh-CN"/>
        </w:rPr>
        <w:t>谈判</w:t>
      </w:r>
      <w:r>
        <w:rPr>
          <w:rFonts w:hint="eastAsia" w:ascii="宋体" w:hAnsi="宋体"/>
          <w:color w:val="auto"/>
          <w:szCs w:val="21"/>
          <w:highlight w:val="none"/>
        </w:rPr>
        <w:t>文件第二章第3.1条所述资格要求对供应商进行资格审查，以确定其是否具备相应资格。</w:t>
      </w:r>
      <w:r>
        <w:rPr>
          <w:rFonts w:hint="eastAsia" w:ascii="宋体" w:hAnsi="宋体" w:cs="宋体"/>
          <w:color w:val="auto"/>
          <w:kern w:val="0"/>
          <w:szCs w:val="21"/>
          <w:highlight w:val="none"/>
        </w:rPr>
        <w:t>如果供应商不具备资格、不满足</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文件所规定的资格条件,将被视为未实质性响应</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文件,按无效响应文件处理。</w:t>
      </w:r>
    </w:p>
    <w:p>
      <w:pPr>
        <w:shd w:val="clea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 xml:space="preserve">  1.2.1.2 </w:t>
      </w:r>
      <w:r>
        <w:rPr>
          <w:rFonts w:hint="eastAsia" w:ascii="宋体" w:hAnsi="宋体" w:cs="宋体"/>
          <w:color w:val="auto"/>
          <w:kern w:val="0"/>
          <w:szCs w:val="21"/>
          <w:highlight w:val="none"/>
        </w:rPr>
        <w:t>信用信息查询时间截至时点，见供应商须知前附表，其查询结果在供应商限制性资格条件审查时使用。</w:t>
      </w:r>
    </w:p>
    <w:p>
      <w:pPr>
        <w:pStyle w:val="14"/>
        <w:ind w:firstLine="630" w:firstLineChars="300"/>
        <w:rPr>
          <w:color w:val="auto"/>
          <w:highlight w:val="none"/>
        </w:rPr>
      </w:pPr>
      <w:r>
        <w:rPr>
          <w:rFonts w:hint="eastAsia" w:ascii="宋体" w:hAnsi="宋体" w:cs="宋体"/>
          <w:color w:val="auto"/>
          <w:kern w:val="0"/>
          <w:szCs w:val="21"/>
          <w:highlight w:val="none"/>
        </w:rPr>
        <w:t>1.2.1.3 采购代理机构可协助</w:t>
      </w:r>
      <w:r>
        <w:rPr>
          <w:rFonts w:hint="eastAsia" w:cs="Times New Roman" w:asciiTheme="minorEastAsia" w:hAnsiTheme="minorEastAsia" w:eastAsiaTheme="minorEastAsia"/>
          <w:color w:val="auto"/>
          <w:szCs w:val="21"/>
        </w:rPr>
        <w:t>采购人</w:t>
      </w:r>
      <w:r>
        <w:rPr>
          <w:rFonts w:hint="eastAsia" w:ascii="宋体" w:hAnsi="宋体" w:cs="宋体"/>
          <w:color w:val="auto"/>
          <w:kern w:val="0"/>
          <w:szCs w:val="21"/>
          <w:highlight w:val="none"/>
        </w:rPr>
        <w:t>通过官网查询供应商相关信息。</w:t>
      </w:r>
    </w:p>
    <w:p>
      <w:pPr>
        <w:shd w:val="clear"/>
        <w:tabs>
          <w:tab w:val="left" w:pos="0"/>
        </w:tabs>
        <w:adjustRightInd w:val="0"/>
        <w:snapToGrid w:val="0"/>
        <w:spacing w:line="360" w:lineRule="auto"/>
        <w:ind w:firstLine="630" w:firstLineChars="300"/>
        <w:rPr>
          <w:rFonts w:ascii="宋体" w:hAnsi="宋体" w:cs="宋体"/>
          <w:b/>
          <w:color w:val="auto"/>
          <w:kern w:val="0"/>
          <w:szCs w:val="21"/>
          <w:highlight w:val="none"/>
        </w:rPr>
      </w:pPr>
      <w:r>
        <w:rPr>
          <w:rFonts w:hint="eastAsia" w:ascii="宋体" w:hAnsi="宋体" w:cs="宋体"/>
          <w:b/>
          <w:color w:val="auto"/>
          <w:kern w:val="0"/>
          <w:szCs w:val="21"/>
          <w:highlight w:val="none"/>
        </w:rPr>
        <w:t>1.2.1.3 基本资格条件的审查方法：</w:t>
      </w:r>
    </w:p>
    <w:p>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（1）供应商属企业法人的，其3证合1或多证合1的营业执照，不审查原件，通过国家企业信用信息公示系统（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）进行相关信息的核实；</w:t>
      </w:r>
    </w:p>
    <w:p>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（2）供应商属事业单位的，审查事业单位法人证书；</w:t>
      </w:r>
    </w:p>
    <w:p>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（3）供应商属于其他组织的（包括但不限于民办非企业单位登记证书、社会团体法人登记证书、基金会法人登记证书），审查登记证书；</w:t>
      </w:r>
    </w:p>
    <w:p>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（4）属于自然人的，审查身份证。</w:t>
      </w:r>
    </w:p>
    <w:p>
      <w:pPr>
        <w:shd w:val="clear"/>
        <w:tabs>
          <w:tab w:val="left" w:pos="0"/>
        </w:tabs>
        <w:adjustRightInd w:val="0"/>
        <w:snapToGrid w:val="0"/>
        <w:spacing w:line="360" w:lineRule="auto"/>
        <w:ind w:firstLine="720" w:firstLineChars="343"/>
        <w:rPr>
          <w:rFonts w:ascii="宋体" w:hAnsi="宋体" w:cs="宋体"/>
          <w:b/>
          <w:color w:val="auto"/>
          <w:kern w:val="0"/>
          <w:szCs w:val="21"/>
          <w:highlight w:val="none"/>
        </w:rPr>
      </w:pPr>
      <w:r>
        <w:rPr>
          <w:rFonts w:hint="eastAsia" w:ascii="宋体" w:hAnsi="宋体" w:cs="宋体"/>
          <w:b/>
          <w:color w:val="auto"/>
          <w:kern w:val="0"/>
          <w:szCs w:val="21"/>
          <w:highlight w:val="none"/>
        </w:rPr>
        <w:t>1.2.1.4 基本资格条件的审查标准：</w:t>
      </w:r>
    </w:p>
    <w:p>
      <w:pPr>
        <w:shd w:val="clear"/>
        <w:tabs>
          <w:tab w:val="left" w:pos="0"/>
        </w:tabs>
        <w:adjustRightInd w:val="0"/>
        <w:snapToGrid w:val="0"/>
        <w:spacing w:afterLines="50" w:line="360" w:lineRule="auto"/>
        <w:ind w:firstLine="735" w:firstLineChars="350"/>
        <w:rPr>
          <w:rFonts w:ascii="宋体" w:hAnsi="宋体" w:cs="宋体"/>
          <w:color w:val="auto"/>
          <w:kern w:val="0"/>
          <w:szCs w:val="21"/>
          <w:highlight w:val="none"/>
        </w:rPr>
      </w:pPr>
      <w:r>
        <w:rPr>
          <w:rFonts w:hint="eastAsia" w:cs="Times New Roman" w:asciiTheme="minorEastAsia" w:hAnsiTheme="minorEastAsia" w:eastAsiaTheme="minorEastAsia"/>
          <w:color w:val="auto"/>
          <w:szCs w:val="21"/>
        </w:rPr>
        <w:t>采购人</w:t>
      </w:r>
      <w:r>
        <w:rPr>
          <w:rFonts w:hint="eastAsia" w:ascii="宋体" w:hAnsi="宋体" w:cs="宋体"/>
          <w:color w:val="auto"/>
          <w:kern w:val="0"/>
          <w:szCs w:val="21"/>
          <w:highlight w:val="none"/>
        </w:rPr>
        <w:t>将按下表所列举的审查标准对供应商的基本资格条件进行</w:t>
      </w:r>
      <w:r>
        <w:rPr>
          <w:rFonts w:hint="eastAsia" w:ascii="宋体" w:cs="宋体"/>
          <w:bCs/>
          <w:color w:val="auto"/>
          <w:szCs w:val="21"/>
          <w:highlight w:val="none"/>
        </w:rPr>
        <w:t>审查，供应商若</w:t>
      </w:r>
      <w:r>
        <w:rPr>
          <w:rFonts w:hint="eastAsia" w:ascii="宋体" w:hAnsi="宋体" w:cs="宋体"/>
          <w:color w:val="auto"/>
          <w:kern w:val="0"/>
          <w:szCs w:val="21"/>
          <w:highlight w:val="none"/>
        </w:rPr>
        <w:t>有一项不合格，即判定其基本资格条件审查结果为不合格，将不具备</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资格，按无效响应文件处理。</w:t>
      </w:r>
    </w:p>
    <w:tbl>
      <w:tblPr>
        <w:tblStyle w:val="30"/>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04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ind w:left="519" w:leftChars="-3" w:hanging="525" w:hangingChars="2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根据供应商类别进行审查：</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ind w:left="519" w:leftChars="-3" w:hanging="525" w:hangingChars="2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(1)企业</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的：营业执照(3证合1或多证合1)</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(2)事业单位</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的：事业单位法人证书</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(3)其他组织</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的：登记证书</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(4)自然人</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的：身份证</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041" w:type="dxa"/>
            <w:vAlign w:val="center"/>
          </w:tcPr>
          <w:p>
            <w:pPr>
              <w:keepNext w:val="0"/>
              <w:keepLines w:val="0"/>
              <w:pageBreakBefore w:val="0"/>
              <w:widowControl w:val="0"/>
              <w:numPr>
                <w:ilvl w:val="0"/>
                <w:numId w:val="1"/>
              </w:numPr>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法定代表人（负责人）</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的：法定代表人（负责人）身份证明及身份证</w:t>
            </w:r>
          </w:p>
          <w:p>
            <w:pPr>
              <w:keepNext w:val="0"/>
              <w:keepLines w:val="0"/>
              <w:pageBreakBefore w:val="0"/>
              <w:widowControl w:val="0"/>
              <w:numPr>
                <w:ilvl w:val="0"/>
                <w:numId w:val="1"/>
              </w:numPr>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的：授权委托书及委托代理人身份证</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合法有效</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审查原件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Theme="minorEastAsia" w:hAnsiTheme="minorEastAsia" w:eastAsiaTheme="minorEastAsia" w:cstheme="minorEastAsia"/>
                <w:color w:val="auto"/>
                <w:kern w:val="2"/>
                <w:sz w:val="21"/>
                <w:szCs w:val="21"/>
                <w:lang w:val="en-US" w:eastAsia="zh-CN" w:bidi="ar-SA"/>
              </w:rPr>
              <w:t>具有建设行政主管部门颁发的市政公用工程施工总承包三级（含三级）以上资质并具有有效的安全生产许可证</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6041" w:type="dxa"/>
            <w:vAlign w:val="center"/>
          </w:tcPr>
          <w:p>
            <w:pPr>
              <w:keepNext w:val="0"/>
              <w:keepLines w:val="0"/>
              <w:pageBreakBefore w:val="0"/>
              <w:widowControl w:val="0"/>
              <w:numPr>
                <w:ilvl w:val="0"/>
                <w:numId w:val="0"/>
              </w:numPr>
              <w:shd w:val="clear"/>
              <w:kinsoku/>
              <w:wordWrap/>
              <w:overflowPunct/>
              <w:topLinePunct w:val="0"/>
              <w:autoSpaceDE/>
              <w:autoSpaceDN/>
              <w:bidi w:val="0"/>
              <w:snapToGrid w:val="0"/>
              <w:spacing w:line="240" w:lineRule="auto"/>
              <w:ind w:leftChars="0"/>
              <w:textAlignment w:val="auto"/>
              <w:rPr>
                <w:rFonts w:ascii="宋体" w:hAnsi="宋体" w:cs="宋体"/>
                <w:color w:val="auto"/>
                <w:kern w:val="0"/>
                <w:szCs w:val="21"/>
                <w:highlight w:val="none"/>
              </w:rPr>
            </w:pPr>
            <w:r>
              <w:rPr>
                <w:rFonts w:hint="eastAsia" w:asciiTheme="minorEastAsia" w:hAnsiTheme="minorEastAsia" w:eastAsiaTheme="minorEastAsia" w:cstheme="minorEastAsia"/>
                <w:color w:val="auto"/>
                <w:kern w:val="2"/>
                <w:sz w:val="21"/>
                <w:szCs w:val="21"/>
                <w:lang w:val="en-US" w:eastAsia="zh-CN" w:bidi="ar-SA"/>
              </w:rPr>
              <w:t>拟派注册建造师须具有市政公用工程专业贰级（含贰级）以上资格，具有有效的安全生产考核合格证书（B级），且无在建项目</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Theme="minorEastAsia" w:hAnsiTheme="minorEastAsia" w:eastAsiaTheme="minorEastAsia" w:cstheme="minorEastAsia"/>
                <w:color w:val="auto"/>
                <w:kern w:val="2"/>
                <w:sz w:val="21"/>
                <w:szCs w:val="21"/>
                <w:lang w:val="en-US" w:eastAsia="zh-CN" w:bidi="ar-SA"/>
              </w:rPr>
              <w:t>提供供应商2021年经审计的财务报告或在谈判日期前6个月内其基本开户银行出具的资信证明和开户行许可证</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hint="eastAsia" w:ascii="宋体" w:hAnsi="宋体" w:cs="宋体"/>
                <w:bCs/>
                <w:color w:val="auto"/>
                <w:kern w:val="0"/>
                <w:szCs w:val="21"/>
                <w:highlight w:val="none"/>
                <w:lang w:eastAsia="zh-CN"/>
              </w:rPr>
            </w:pPr>
            <w:r>
              <w:rPr>
                <w:rFonts w:hint="eastAsia" w:asciiTheme="minorEastAsia" w:hAnsiTheme="minorEastAsia" w:eastAsiaTheme="minorEastAsia" w:cstheme="minorEastAsia"/>
                <w:color w:val="auto"/>
                <w:kern w:val="2"/>
                <w:sz w:val="21"/>
                <w:szCs w:val="21"/>
                <w:lang w:val="en-US" w:eastAsia="zh-CN" w:bidi="ar-SA"/>
              </w:rPr>
              <w:t>提供供应商自2022年1月1日以来已缴纳任意时段的纳税凭据或完税证明（任意税种）；依法免税的应提供相关文件证明</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hint="default" w:ascii="宋体" w:hAnsi="宋体" w:cs="宋体"/>
                <w:bCs/>
                <w:color w:val="auto"/>
                <w:kern w:val="0"/>
                <w:szCs w:val="21"/>
                <w:highlight w:val="none"/>
                <w:lang w:val="en-US" w:eastAsia="zh-CN"/>
              </w:rPr>
            </w:pPr>
            <w:r>
              <w:rPr>
                <w:rFonts w:hint="eastAsia" w:asciiTheme="minorEastAsia" w:hAnsiTheme="minorEastAsia" w:eastAsiaTheme="minorEastAsia" w:cstheme="minorEastAsia"/>
                <w:color w:val="auto"/>
                <w:kern w:val="2"/>
                <w:sz w:val="21"/>
                <w:szCs w:val="21"/>
                <w:lang w:val="en-US" w:eastAsia="zh-CN" w:bidi="ar-SA"/>
              </w:rPr>
              <w:t>提供供应商自2022年1月1日以来已缴存的任意时段的社会保障资金缴存单据或社保机构开具的社会保险参保缴费情况证明；依法不需要缴纳社会保障资金的应提供相关文件证明</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Cs w:val="21"/>
                <w:highlight w:val="none"/>
                <w:lang w:val="zh-CN"/>
              </w:rPr>
            </w:pPr>
            <w:r>
              <w:rPr>
                <w:rFonts w:hint="eastAsia" w:asciiTheme="minorEastAsia" w:hAnsiTheme="minorEastAsia" w:eastAsiaTheme="minorEastAsia" w:cstheme="minorEastAsia"/>
                <w:color w:val="auto"/>
                <w:kern w:val="2"/>
                <w:sz w:val="21"/>
                <w:szCs w:val="21"/>
                <w:lang w:val="en-US" w:eastAsia="zh-CN" w:bidi="ar-SA"/>
              </w:rPr>
              <w:t>供应商具备履行合同所必需的设备及专业技术能力</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Theme="minorEastAsia" w:hAnsiTheme="minorEastAsia" w:eastAsiaTheme="minorEastAsia" w:cstheme="minorEastAsia"/>
                <w:color w:val="auto"/>
                <w:kern w:val="2"/>
                <w:sz w:val="21"/>
                <w:szCs w:val="21"/>
                <w:lang w:val="en-US" w:eastAsia="zh-CN" w:bidi="ar-SA"/>
              </w:rPr>
              <w:t>参加本次谈判前3年内，在经营活动中没有重大违法记录的书面声明</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法定代表人（负责人）为同一人或者存在直接控股、管理关系的不同供应商，不得同时参加本采购项目谈判</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ascii="宋体" w:hAnsi="宋体" w:cs="宋体"/>
                <w:color w:val="auto"/>
                <w:kern w:val="0"/>
                <w:szCs w:val="21"/>
                <w:highlight w:val="none"/>
              </w:rPr>
            </w:pPr>
            <w:r>
              <w:rPr>
                <w:rFonts w:hint="eastAsia" w:asciiTheme="minorEastAsia" w:hAnsiTheme="minorEastAsia" w:eastAsiaTheme="minorEastAsia" w:cstheme="minorEastAsia"/>
                <w:color w:val="auto"/>
                <w:kern w:val="2"/>
                <w:sz w:val="21"/>
                <w:szCs w:val="21"/>
                <w:lang w:val="en-US" w:eastAsia="zh-CN" w:bidi="ar-SA"/>
              </w:rPr>
              <w:t>本项目为专门面向中小企业项目，供应商应为中型企业、小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63"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041"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供应商不得为列入“信用中国”网站(http://www.creditchina.gov.cn)“失信被执行人（页面跳转至“中国执行信息公开网”http://zxgk.court.gov.cn/shixin/）、重大税收违法失信主体、中国政府采购网(www.ccgp.gov.cn)的政府采购严重违法失信行为记录名单。</w:t>
            </w:r>
          </w:p>
        </w:tc>
        <w:tc>
          <w:tcPr>
            <w:tcW w:w="2265" w:type="dxa"/>
            <w:vAlign w:val="center"/>
          </w:tcPr>
          <w:p>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文件要求</w:t>
            </w:r>
          </w:p>
        </w:tc>
      </w:tr>
    </w:tbl>
    <w:p>
      <w:pPr>
        <w:tabs>
          <w:tab w:val="left" w:pos="0"/>
        </w:tabs>
        <w:adjustRightInd w:val="0"/>
        <w:snapToGrid w:val="0"/>
        <w:spacing w:before="240" w:beforeLines="100" w:line="360" w:lineRule="auto"/>
        <w:ind w:firstLine="619" w:firstLineChars="295"/>
        <w:rPr>
          <w:rFonts w:hint="eastAsia" w:ascii="宋体" w:hAnsi="宋体" w:cs="宋体"/>
          <w:b/>
          <w:color w:val="auto"/>
          <w:kern w:val="0"/>
          <w:szCs w:val="21"/>
          <w:highlight w:val="none"/>
        </w:rPr>
      </w:pPr>
      <w:r>
        <w:rPr>
          <w:rFonts w:hint="eastAsia" w:ascii="宋体" w:hAnsi="宋体" w:cs="宋体"/>
          <w:b/>
          <w:color w:val="auto"/>
          <w:kern w:val="0"/>
          <w:szCs w:val="21"/>
          <w:highlight w:val="none"/>
        </w:rPr>
        <w:t>1.2.1.5供应商落实政府采购政策资格条件审查</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606" w:firstLineChars="289"/>
        <w:textAlignment w:val="auto"/>
        <w:rPr>
          <w:rFonts w:hint="eastAsia"/>
          <w:color w:val="auto"/>
          <w:sz w:val="21"/>
          <w:szCs w:val="21"/>
          <w:highlight w:val="none"/>
          <w:lang w:val="en-US" w:eastAsia="zh-CN"/>
        </w:rPr>
      </w:pPr>
      <w:r>
        <w:rPr>
          <w:rFonts w:hint="eastAsia" w:ascii="宋体" w:hAnsi="宋体" w:eastAsia="宋体" w:cs="宋体"/>
          <w:color w:val="auto"/>
          <w:szCs w:val="21"/>
          <w:lang w:val="en-US" w:eastAsia="zh-CN"/>
        </w:rPr>
        <w:t>本项目</w:t>
      </w:r>
      <w:r>
        <w:rPr>
          <w:rFonts w:hint="eastAsia" w:ascii="宋体" w:hAnsi="宋体" w:eastAsia="宋体" w:cs="宋体"/>
          <w:color w:val="auto"/>
          <w:szCs w:val="21"/>
        </w:rPr>
        <w:t>专门面向中小企业采购</w:t>
      </w:r>
      <w:r>
        <w:rPr>
          <w:rFonts w:hint="eastAsia" w:ascii="宋体" w:hAnsi="宋体" w:eastAsia="宋体" w:cs="宋体"/>
          <w:color w:val="auto"/>
          <w:szCs w:val="21"/>
          <w:lang w:eastAsia="zh-CN"/>
        </w:rPr>
        <w:t>，</w:t>
      </w:r>
      <w:r>
        <w:rPr>
          <w:rFonts w:hint="eastAsia"/>
          <w:color w:val="auto"/>
          <w:sz w:val="21"/>
          <w:szCs w:val="21"/>
          <w:highlight w:val="none"/>
          <w:lang w:val="zh-CN"/>
        </w:rPr>
        <w:t>仅允许中小企业参与，投标</w:t>
      </w:r>
      <w:r>
        <w:rPr>
          <w:rFonts w:hint="eastAsia"/>
          <w:color w:val="auto"/>
          <w:sz w:val="21"/>
          <w:szCs w:val="21"/>
          <w:highlight w:val="none"/>
          <w:lang w:val="en-US" w:eastAsia="zh-CN"/>
        </w:rPr>
        <w:t>供应商须提供中小企业声明函。</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606" w:firstLineChars="289"/>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1.2.1.</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 xml:space="preserve"> 供应商限定资格条件审查</w:t>
      </w:r>
    </w:p>
    <w:p>
      <w:pPr>
        <w:shd w:val="clear"/>
        <w:tabs>
          <w:tab w:val="left" w:pos="0"/>
        </w:tabs>
        <w:adjustRightInd w:val="0"/>
        <w:snapToGrid w:val="0"/>
        <w:spacing w:line="360" w:lineRule="auto"/>
        <w:ind w:firstLine="606" w:firstLineChars="289"/>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cs="Times New Roman" w:asciiTheme="minorEastAsia" w:hAnsiTheme="minorEastAsia" w:eastAsiaTheme="minorEastAsia"/>
          <w:color w:val="auto"/>
          <w:szCs w:val="21"/>
        </w:rPr>
        <w:t>采购人</w:t>
      </w:r>
      <w:r>
        <w:rPr>
          <w:rFonts w:hint="eastAsia" w:ascii="宋体" w:hAnsi="宋体" w:cs="宋体"/>
          <w:color w:val="auto"/>
          <w:kern w:val="0"/>
          <w:szCs w:val="21"/>
          <w:highlight w:val="none"/>
        </w:rPr>
        <w:t>将通过信用中国网（</w:t>
      </w:r>
      <w:r>
        <w:rPr>
          <w:rFonts w:ascii="宋体" w:hAnsi="宋体" w:cs="宋体"/>
          <w:color w:val="auto"/>
          <w:kern w:val="0"/>
          <w:szCs w:val="21"/>
          <w:highlight w:val="none"/>
        </w:rPr>
        <w:t>http://www.creditchina.gov.cn/</w:t>
      </w:r>
      <w:r>
        <w:rPr>
          <w:rFonts w:hint="eastAsia" w:ascii="宋体" w:hAnsi="宋体" w:cs="宋体"/>
          <w:color w:val="auto"/>
          <w:kern w:val="0"/>
          <w:szCs w:val="21"/>
          <w:highlight w:val="none"/>
        </w:rPr>
        <w:t>）和中国政府采购网（网址：</w:t>
      </w:r>
      <w:r>
        <w:rPr>
          <w:rFonts w:ascii="宋体" w:hAnsi="宋体" w:cs="宋体"/>
          <w:color w:val="auto"/>
          <w:kern w:val="0"/>
          <w:szCs w:val="21"/>
          <w:highlight w:val="none"/>
        </w:rPr>
        <w:t>http://www.ccgp.gov.cn/cr/list</w:t>
      </w:r>
      <w:r>
        <w:rPr>
          <w:rFonts w:hint="eastAsia" w:ascii="宋体" w:hAnsi="宋体" w:cs="宋体"/>
          <w:color w:val="auto"/>
          <w:kern w:val="0"/>
          <w:szCs w:val="21"/>
          <w:highlight w:val="none"/>
        </w:rPr>
        <w:t>）对供应商的信用信息进行查询核实。</w:t>
      </w:r>
    </w:p>
    <w:p>
      <w:pPr>
        <w:pStyle w:val="14"/>
        <w:ind w:firstLine="630" w:firstLineChars="300"/>
        <w:rPr>
          <w:rFonts w:hint="eastAsia" w:eastAsia="宋体"/>
          <w:color w:val="auto"/>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w:t>
      </w:r>
      <w:r>
        <w:rPr>
          <w:rFonts w:ascii="宋体" w:hAnsi="宋体" w:cs="宋体"/>
          <w:color w:val="auto"/>
          <w:kern w:val="0"/>
          <w:szCs w:val="21"/>
          <w:highlight w:val="none"/>
        </w:rPr>
        <w:t>不良信用记录以</w:t>
      </w:r>
      <w:r>
        <w:rPr>
          <w:rFonts w:hint="eastAsia" w:cs="Times New Roman" w:asciiTheme="minorEastAsia" w:hAnsiTheme="minorEastAsia" w:eastAsiaTheme="minorEastAsia"/>
          <w:color w:val="auto"/>
          <w:szCs w:val="21"/>
        </w:rPr>
        <w:t>采购人</w:t>
      </w:r>
      <w:r>
        <w:rPr>
          <w:rFonts w:ascii="宋体" w:hAnsi="宋体" w:cs="宋体"/>
          <w:color w:val="auto"/>
          <w:kern w:val="0"/>
          <w:szCs w:val="21"/>
          <w:highlight w:val="none"/>
        </w:rPr>
        <w:t>查询结果为准</w:t>
      </w:r>
      <w:r>
        <w:rPr>
          <w:rFonts w:hint="eastAsia" w:ascii="宋体" w:hAnsi="宋体" w:cs="宋体"/>
          <w:color w:val="auto"/>
          <w:kern w:val="0"/>
          <w:szCs w:val="21"/>
          <w:highlight w:val="none"/>
        </w:rPr>
        <w:t>。</w:t>
      </w:r>
    </w:p>
    <w:p>
      <w:pPr>
        <w:shd w:val="clear"/>
        <w:tabs>
          <w:tab w:val="left" w:pos="0"/>
        </w:tabs>
        <w:adjustRightInd w:val="0"/>
        <w:snapToGrid w:val="0"/>
        <w:spacing w:line="360" w:lineRule="auto"/>
        <w:ind w:firstLine="40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kern w:val="0"/>
          <w:sz w:val="21"/>
          <w:szCs w:val="21"/>
          <w:highlight w:val="none"/>
          <w:lang w:val="en-US" w:eastAsia="zh-CN" w:bidi="ar-SA"/>
        </w:rPr>
        <w:t xml:space="preserve"> </w:t>
      </w:r>
      <w:r>
        <w:rPr>
          <w:rFonts w:hint="eastAsia" w:ascii="宋体" w:hAnsi="宋体" w:eastAsia="宋体" w:cs="宋体"/>
          <w:b/>
          <w:bCs/>
          <w:color w:val="auto"/>
          <w:kern w:val="0"/>
          <w:sz w:val="21"/>
          <w:szCs w:val="21"/>
          <w:highlight w:val="none"/>
          <w:lang w:val="en-US" w:eastAsia="zh-CN" w:bidi="ar-SA"/>
        </w:rPr>
        <w:t>特别说明：供应商如在成交通知书发出前出现违法失信行为，采购人仍有权利提请</w:t>
      </w:r>
      <w:r>
        <w:rPr>
          <w:rFonts w:hint="eastAsia" w:ascii="宋体" w:hAnsi="宋体" w:cs="宋体"/>
          <w:b/>
          <w:bCs/>
          <w:color w:val="auto"/>
          <w:kern w:val="0"/>
          <w:sz w:val="21"/>
          <w:szCs w:val="21"/>
          <w:highlight w:val="none"/>
          <w:lang w:val="en-US" w:eastAsia="zh-CN" w:bidi="ar-SA"/>
        </w:rPr>
        <w:t>谈判</w:t>
      </w:r>
      <w:r>
        <w:rPr>
          <w:rFonts w:hint="eastAsia" w:ascii="宋体" w:hAnsi="宋体" w:eastAsia="宋体" w:cs="宋体"/>
          <w:b/>
          <w:bCs/>
          <w:color w:val="auto"/>
          <w:kern w:val="0"/>
          <w:sz w:val="21"/>
          <w:szCs w:val="21"/>
          <w:highlight w:val="none"/>
          <w:lang w:val="en-US" w:eastAsia="zh-CN" w:bidi="ar-SA"/>
        </w:rPr>
        <w:t>小组取消其成交资格。</w:t>
      </w:r>
    </w:p>
    <w:p>
      <w:pPr>
        <w:shd w:val="clear"/>
        <w:tabs>
          <w:tab w:val="left" w:pos="0"/>
        </w:tabs>
        <w:adjustRightInd w:val="0"/>
        <w:snapToGrid w:val="0"/>
        <w:spacing w:line="360" w:lineRule="auto"/>
        <w:ind w:firstLine="405"/>
        <w:rPr>
          <w:rFonts w:ascii="宋体" w:hAnsi="宋体" w:cs="宋体"/>
          <w:b/>
          <w:color w:val="auto"/>
          <w:kern w:val="0"/>
          <w:szCs w:val="21"/>
          <w:highlight w:val="none"/>
        </w:rPr>
      </w:pPr>
      <w:r>
        <w:rPr>
          <w:rFonts w:hint="eastAsia" w:ascii="宋体" w:hAnsi="宋体" w:cs="宋体"/>
          <w:b/>
          <w:color w:val="auto"/>
          <w:kern w:val="0"/>
          <w:szCs w:val="21"/>
          <w:highlight w:val="none"/>
        </w:rPr>
        <w:t>1.2.1.</w:t>
      </w: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 xml:space="preserve"> 审查标准如下：</w:t>
      </w:r>
    </w:p>
    <w:p>
      <w:pPr>
        <w:tabs>
          <w:tab w:val="left" w:pos="0"/>
        </w:tabs>
        <w:adjustRightInd w:val="0"/>
        <w:snapToGrid w:val="0"/>
        <w:spacing w:line="360" w:lineRule="auto"/>
        <w:ind w:firstLine="40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（1）供应商存在第二章第</w:t>
      </w:r>
      <w:r>
        <w:rPr>
          <w:rFonts w:hint="eastAsia" w:ascii="宋体" w:hAnsi="宋体"/>
          <w:color w:val="auto"/>
          <w:szCs w:val="21"/>
          <w:highlight w:val="none"/>
        </w:rPr>
        <w:t>1.3.2条列举</w:t>
      </w:r>
      <w:r>
        <w:rPr>
          <w:rFonts w:hint="eastAsia" w:ascii="宋体" w:hAnsi="宋体" w:cs="宋体"/>
          <w:color w:val="auto"/>
          <w:kern w:val="0"/>
          <w:szCs w:val="21"/>
          <w:highlight w:val="none"/>
        </w:rPr>
        <w:t>情形之一的，审查不予通过，即判定其限定资格条件审查结果为不合格，将不具备</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资格，按无效响应文件处理。</w:t>
      </w:r>
    </w:p>
    <w:p>
      <w:pPr>
        <w:tabs>
          <w:tab w:val="left" w:pos="0"/>
        </w:tabs>
        <w:adjustRightInd w:val="0"/>
        <w:snapToGrid w:val="0"/>
        <w:spacing w:line="360" w:lineRule="auto"/>
        <w:ind w:firstLine="405"/>
        <w:rPr>
          <w:rFonts w:ascii="宋体" w:hAnsi="宋体" w:cs="宋体"/>
          <w:color w:val="auto"/>
          <w:kern w:val="0"/>
          <w:szCs w:val="21"/>
          <w:highlight w:val="none"/>
        </w:rPr>
      </w:pPr>
      <w:r>
        <w:rPr>
          <w:rFonts w:hint="eastAsia" w:ascii="宋体" w:hAnsi="宋体" w:cs="宋体"/>
          <w:color w:val="auto"/>
          <w:kern w:val="0"/>
          <w:szCs w:val="21"/>
          <w:highlight w:val="none"/>
        </w:rPr>
        <w:t xml:space="preserve">  （2）供应商须知前附表规定接受联合体</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的，联合体任何一方存在第二章第</w:t>
      </w:r>
      <w:r>
        <w:rPr>
          <w:rFonts w:hint="eastAsia" w:ascii="宋体" w:hAnsi="宋体"/>
          <w:color w:val="auto"/>
          <w:szCs w:val="21"/>
          <w:highlight w:val="none"/>
        </w:rPr>
        <w:t>1.3.2条列举</w:t>
      </w:r>
      <w:r>
        <w:rPr>
          <w:rFonts w:hint="eastAsia" w:ascii="宋体" w:hAnsi="宋体" w:cs="宋体"/>
          <w:color w:val="auto"/>
          <w:kern w:val="0"/>
          <w:szCs w:val="21"/>
          <w:highlight w:val="none"/>
        </w:rPr>
        <w:t>情形之一的，视同联合体存在相同情形，审查不予通过，即判定其限定资格条件审查结果为不合格，将不具备</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资格，按无效响应文件处理。</w:t>
      </w:r>
    </w:p>
    <w:p>
      <w:pPr>
        <w:shd w:val="clear"/>
        <w:tabs>
          <w:tab w:val="left" w:pos="0"/>
        </w:tabs>
        <w:adjustRightInd w:val="0"/>
        <w:snapToGrid w:val="0"/>
        <w:spacing w:line="360" w:lineRule="auto"/>
        <w:ind w:firstLine="619" w:firstLineChars="295"/>
        <w:rPr>
          <w:rFonts w:ascii="宋体" w:hAnsi="宋体"/>
          <w:b/>
          <w:color w:val="auto"/>
          <w:szCs w:val="21"/>
          <w:highlight w:val="none"/>
        </w:rPr>
      </w:pPr>
      <w:r>
        <w:rPr>
          <w:rFonts w:hint="eastAsia" w:ascii="宋体" w:hAnsi="宋体" w:cs="宋体"/>
          <w:b/>
          <w:color w:val="auto"/>
          <w:kern w:val="0"/>
          <w:szCs w:val="21"/>
          <w:highlight w:val="none"/>
        </w:rPr>
        <w:t>1.2.1.</w:t>
      </w: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 xml:space="preserve"> </w:t>
      </w:r>
      <w:r>
        <w:rPr>
          <w:rFonts w:hint="eastAsia" w:ascii="宋体" w:hAnsi="宋体"/>
          <w:b/>
          <w:color w:val="auto"/>
          <w:szCs w:val="21"/>
          <w:highlight w:val="none"/>
        </w:rPr>
        <w:t>未通过资格审查的供应商，不得进入后续</w:t>
      </w:r>
      <w:r>
        <w:rPr>
          <w:rFonts w:hint="eastAsia" w:ascii="宋体" w:hAnsi="宋体"/>
          <w:b/>
          <w:color w:val="auto"/>
          <w:szCs w:val="21"/>
          <w:highlight w:val="none"/>
          <w:lang w:eastAsia="zh-CN"/>
        </w:rPr>
        <w:t>谈判</w:t>
      </w:r>
      <w:r>
        <w:rPr>
          <w:rFonts w:hint="eastAsia" w:ascii="宋体" w:hAnsi="宋体"/>
          <w:b/>
          <w:color w:val="auto"/>
          <w:szCs w:val="21"/>
          <w:highlight w:val="none"/>
        </w:rPr>
        <w:t>环节。</w:t>
      </w:r>
    </w:p>
    <w:p>
      <w:pPr>
        <w:shd w:val="clear"/>
        <w:spacing w:line="360" w:lineRule="auto"/>
        <w:ind w:firstLine="411" w:firstLineChars="196"/>
        <w:rPr>
          <w:rFonts w:ascii="宋体" w:hAnsi="宋体"/>
          <w:b/>
          <w:color w:val="auto"/>
          <w:szCs w:val="21"/>
          <w:highlight w:val="none"/>
        </w:rPr>
      </w:pPr>
      <w:r>
        <w:rPr>
          <w:rFonts w:hint="eastAsia" w:ascii="宋体" w:hAnsi="宋体"/>
          <w:b/>
          <w:color w:val="auto"/>
          <w:szCs w:val="21"/>
          <w:highlight w:val="none"/>
        </w:rPr>
        <w:t>1.2.2 符合性审查</w:t>
      </w:r>
    </w:p>
    <w:p>
      <w:pPr>
        <w:shd w:val="clear"/>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 xml:space="preserve">1.2.2.1 </w:t>
      </w:r>
      <w:r>
        <w:rPr>
          <w:rFonts w:hint="eastAsia" w:ascii="宋体" w:hAnsi="宋体"/>
          <w:color w:val="auto"/>
          <w:szCs w:val="21"/>
          <w:highlight w:val="none"/>
          <w:lang w:eastAsia="zh-CN"/>
        </w:rPr>
        <w:t>谈判</w:t>
      </w:r>
      <w:r>
        <w:rPr>
          <w:rFonts w:hint="eastAsia" w:ascii="宋体" w:hAnsi="宋体"/>
          <w:color w:val="auto"/>
          <w:szCs w:val="21"/>
          <w:highlight w:val="none"/>
        </w:rPr>
        <w:t>小组依法对符合资格条件的供应商的响应文件进行符合性审查。</w:t>
      </w:r>
      <w:r>
        <w:rPr>
          <w:rFonts w:hint="eastAsia" w:ascii="宋体" w:hAnsi="宋体"/>
          <w:color w:val="auto"/>
          <w:szCs w:val="21"/>
          <w:highlight w:val="none"/>
          <w:lang w:eastAsia="zh-CN"/>
        </w:rPr>
        <w:t>谈判</w:t>
      </w:r>
      <w:r>
        <w:rPr>
          <w:rFonts w:hint="eastAsia" w:ascii="宋体" w:hAnsi="宋体"/>
          <w:color w:val="auto"/>
          <w:szCs w:val="21"/>
          <w:highlight w:val="none"/>
        </w:rPr>
        <w:t>小组从响应文件的有效性、完整性和对</w:t>
      </w:r>
      <w:r>
        <w:rPr>
          <w:rFonts w:hint="eastAsia" w:ascii="宋体" w:hAnsi="宋体"/>
          <w:color w:val="auto"/>
          <w:szCs w:val="21"/>
          <w:highlight w:val="none"/>
          <w:lang w:eastAsia="zh-CN"/>
        </w:rPr>
        <w:t>谈判</w:t>
      </w:r>
      <w:r>
        <w:rPr>
          <w:rFonts w:hint="eastAsia" w:ascii="宋体" w:hAnsi="宋体"/>
          <w:color w:val="auto"/>
          <w:szCs w:val="21"/>
          <w:highlight w:val="none"/>
        </w:rPr>
        <w:t>文件的响应程度进行审查，以确定其是否对</w:t>
      </w:r>
      <w:r>
        <w:rPr>
          <w:rFonts w:hint="eastAsia" w:ascii="宋体" w:hAnsi="宋体"/>
          <w:color w:val="auto"/>
          <w:szCs w:val="21"/>
          <w:highlight w:val="none"/>
          <w:lang w:eastAsia="zh-CN"/>
        </w:rPr>
        <w:t>谈判</w:t>
      </w:r>
      <w:r>
        <w:rPr>
          <w:rFonts w:hint="eastAsia" w:ascii="宋体" w:hAnsi="宋体"/>
          <w:color w:val="auto"/>
          <w:szCs w:val="21"/>
          <w:highlight w:val="none"/>
        </w:rPr>
        <w:t>文件实质性内容作出响应</w:t>
      </w:r>
      <w:r>
        <w:rPr>
          <w:rFonts w:hint="eastAsia" w:ascii="宋体" w:hAnsi="宋体" w:cs="宋体"/>
          <w:color w:val="auto"/>
          <w:kern w:val="0"/>
          <w:szCs w:val="21"/>
          <w:highlight w:val="none"/>
        </w:rPr>
        <w:t>（采购人可根据具体项目的情况对实质性要求作特别的具体规定）</w:t>
      </w:r>
      <w:r>
        <w:rPr>
          <w:rFonts w:hint="eastAsia" w:ascii="宋体" w:hAnsi="宋体"/>
          <w:color w:val="auto"/>
          <w:szCs w:val="21"/>
          <w:highlight w:val="none"/>
        </w:rPr>
        <w:t>。</w:t>
      </w:r>
    </w:p>
    <w:p>
      <w:pPr>
        <w:shd w:val="clear"/>
        <w:tabs>
          <w:tab w:val="left" w:pos="0"/>
        </w:tabs>
        <w:adjustRightInd w:val="0"/>
        <w:snapToGrid w:val="0"/>
        <w:spacing w:afterLines="50" w:line="360" w:lineRule="auto"/>
        <w:ind w:firstLine="735" w:firstLineChars="350"/>
        <w:rPr>
          <w:rFonts w:hint="eastAsia" w:ascii="宋体" w:hAnsi="宋体" w:cs="宋体"/>
          <w:color w:val="auto"/>
          <w:kern w:val="0"/>
          <w:szCs w:val="21"/>
          <w:highlight w:val="none"/>
        </w:rPr>
      </w:pPr>
      <w:r>
        <w:rPr>
          <w:rFonts w:hint="eastAsia" w:ascii="宋体" w:hAnsi="宋体"/>
          <w:color w:val="auto"/>
          <w:szCs w:val="21"/>
          <w:highlight w:val="none"/>
        </w:rPr>
        <w:t xml:space="preserve">1.2.2.2 </w:t>
      </w:r>
      <w:r>
        <w:rPr>
          <w:rFonts w:hint="eastAsia" w:ascii="宋体" w:hAnsi="宋体"/>
          <w:color w:val="auto"/>
          <w:szCs w:val="21"/>
          <w:highlight w:val="none"/>
          <w:lang w:eastAsia="zh-CN"/>
        </w:rPr>
        <w:t>谈判</w:t>
      </w:r>
      <w:r>
        <w:rPr>
          <w:rFonts w:hint="eastAsia" w:ascii="宋体" w:hAnsi="宋体"/>
          <w:color w:val="auto"/>
          <w:szCs w:val="21"/>
          <w:highlight w:val="none"/>
        </w:rPr>
        <w:t>小组将按下列评审标准对供应商的响应文件进行符合性审查，</w:t>
      </w:r>
      <w:r>
        <w:rPr>
          <w:rFonts w:hint="eastAsia" w:ascii="宋体" w:cs="宋体"/>
          <w:bCs/>
          <w:color w:val="auto"/>
          <w:szCs w:val="21"/>
          <w:highlight w:val="none"/>
        </w:rPr>
        <w:t>供应商若</w:t>
      </w:r>
      <w:r>
        <w:rPr>
          <w:rFonts w:hint="eastAsia" w:ascii="宋体" w:hAnsi="宋体" w:cs="宋体"/>
          <w:color w:val="auto"/>
          <w:kern w:val="0"/>
          <w:szCs w:val="21"/>
          <w:highlight w:val="none"/>
        </w:rPr>
        <w:t>有一项不合格，即判定其符合性审查结果为不合格，将不具备</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资格，按无效响应文件处理。</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tbl>
      <w:tblPr>
        <w:tblStyle w:val="30"/>
        <w:tblW w:w="9238"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5"/>
        <w:gridCol w:w="2685"/>
        <w:gridCol w:w="4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80" w:type="dxa"/>
            <w:vAlign w:val="center"/>
          </w:tcPr>
          <w:p>
            <w:pPr>
              <w:shd w:val="clear"/>
              <w:tabs>
                <w:tab w:val="left" w:pos="0"/>
              </w:tabs>
              <w:adjustRightInd w:val="0"/>
              <w:snapToGrid w:val="0"/>
              <w:jc w:val="center"/>
              <w:rPr>
                <w:rFonts w:ascii="宋体" w:hAnsi="宋体"/>
                <w:b/>
                <w:color w:val="auto"/>
                <w:sz w:val="24"/>
                <w:highlight w:val="none"/>
              </w:rPr>
            </w:pPr>
            <w:r>
              <w:rPr>
                <w:rFonts w:hint="eastAsia" w:ascii="宋体" w:hAnsi="宋体"/>
                <w:b/>
                <w:color w:val="auto"/>
                <w:sz w:val="24"/>
                <w:highlight w:val="none"/>
              </w:rPr>
              <w:t>序号</w:t>
            </w:r>
          </w:p>
        </w:tc>
        <w:tc>
          <w:tcPr>
            <w:tcW w:w="3570" w:type="dxa"/>
            <w:gridSpan w:val="2"/>
            <w:vAlign w:val="center"/>
          </w:tcPr>
          <w:p>
            <w:pPr>
              <w:shd w:val="clear"/>
              <w:tabs>
                <w:tab w:val="left" w:pos="0"/>
              </w:tabs>
              <w:adjustRightInd w:val="0"/>
              <w:snapToGrid w:val="0"/>
              <w:jc w:val="center"/>
              <w:rPr>
                <w:rFonts w:ascii="宋体" w:hAnsi="宋体"/>
                <w:b/>
                <w:color w:val="auto"/>
                <w:sz w:val="24"/>
                <w:highlight w:val="none"/>
              </w:rPr>
            </w:pPr>
            <w:r>
              <w:rPr>
                <w:rFonts w:hint="eastAsia" w:ascii="宋体" w:hAnsi="宋体"/>
                <w:b/>
                <w:color w:val="auto"/>
                <w:sz w:val="24"/>
                <w:highlight w:val="none"/>
              </w:rPr>
              <w:t>评审因素</w:t>
            </w:r>
          </w:p>
        </w:tc>
        <w:tc>
          <w:tcPr>
            <w:tcW w:w="4888" w:type="dxa"/>
            <w:vAlign w:val="center"/>
          </w:tcPr>
          <w:p>
            <w:pPr>
              <w:shd w:val="clear"/>
              <w:tabs>
                <w:tab w:val="left" w:pos="0"/>
              </w:tabs>
              <w:adjustRightInd w:val="0"/>
              <w:snapToGrid w:val="0"/>
              <w:jc w:val="center"/>
              <w:rPr>
                <w:rFonts w:ascii="宋体" w:hAnsi="宋体"/>
                <w:b/>
                <w:color w:val="auto"/>
                <w:sz w:val="24"/>
                <w:highlight w:val="none"/>
              </w:rPr>
            </w:pPr>
            <w:r>
              <w:rPr>
                <w:rFonts w:hint="eastAsia" w:ascii="宋体" w:hAnsi="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80" w:type="dxa"/>
            <w:vMerge w:val="restart"/>
            <w:vAlign w:val="center"/>
          </w:tcPr>
          <w:p>
            <w:pPr>
              <w:shd w:val="clea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885" w:type="dxa"/>
            <w:vMerge w:val="restart"/>
            <w:vAlign w:val="center"/>
          </w:tcPr>
          <w:p>
            <w:pPr>
              <w:shd w:val="clea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有效性审查</w:t>
            </w: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（1）响应文件的签署盖章</w:t>
            </w:r>
          </w:p>
        </w:tc>
        <w:tc>
          <w:tcPr>
            <w:tcW w:w="4888" w:type="dxa"/>
            <w:vAlign w:val="center"/>
          </w:tcPr>
          <w:p>
            <w:pPr>
              <w:shd w:val="clear"/>
              <w:tabs>
                <w:tab w:val="left" w:pos="0"/>
              </w:tabs>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响应文件上法定代表人或其委托代理人的签</w:t>
            </w:r>
            <w:r>
              <w:rPr>
                <w:rFonts w:hint="eastAsia" w:ascii="宋体" w:hAnsi="宋体"/>
                <w:color w:val="auto"/>
                <w:szCs w:val="21"/>
                <w:highlight w:val="none"/>
                <w:lang w:eastAsia="zh-CN"/>
              </w:rPr>
              <w:t>字或盖章</w:t>
            </w:r>
            <w:r>
              <w:rPr>
                <w:rFonts w:hint="eastAsia" w:ascii="宋体" w:hAnsi="宋体"/>
                <w:color w:val="auto"/>
                <w:szCs w:val="21"/>
                <w:highlight w:val="none"/>
              </w:rPr>
              <w:t>齐全</w:t>
            </w:r>
            <w:r>
              <w:rPr>
                <w:rFonts w:hint="eastAsia" w:ascii="宋体" w:hAnsi="宋体"/>
                <w:color w:val="auto"/>
                <w:szCs w:val="21"/>
                <w:highlight w:val="none"/>
                <w:lang w:eastAsia="zh-CN"/>
              </w:rPr>
              <w:t>，并</w:t>
            </w:r>
            <w:r>
              <w:rPr>
                <w:rFonts w:hint="eastAsia" w:ascii="宋体" w:hAnsi="宋体"/>
                <w:color w:val="auto"/>
                <w:szCs w:val="21"/>
                <w:highlight w:val="none"/>
              </w:rPr>
              <w:t>加盖单位</w:t>
            </w:r>
            <w:r>
              <w:rPr>
                <w:rFonts w:hint="eastAsia" w:ascii="宋体" w:hAnsi="宋体"/>
                <w:color w:val="auto"/>
                <w:szCs w:val="21"/>
                <w:highlight w:val="none"/>
                <w:lang w:val="en-US" w:eastAsia="zh-CN"/>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（2）响应文件格式、语言、计量单位、报价货币</w:t>
            </w:r>
          </w:p>
        </w:tc>
        <w:tc>
          <w:tcPr>
            <w:tcW w:w="4888"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（3）报价唯一</w:t>
            </w:r>
          </w:p>
        </w:tc>
        <w:tc>
          <w:tcPr>
            <w:tcW w:w="4888"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只能有一个有效报价，不得提交选择性报价，且报价不超过采购预算金额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0" w:type="dxa"/>
            <w:vMerge w:val="restart"/>
            <w:vAlign w:val="center"/>
          </w:tcPr>
          <w:p>
            <w:pPr>
              <w:shd w:val="clea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885" w:type="dxa"/>
            <w:vMerge w:val="restart"/>
            <w:vAlign w:val="center"/>
          </w:tcPr>
          <w:p>
            <w:pPr>
              <w:shd w:val="clea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完整性审查</w:t>
            </w: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）响应文件份数</w:t>
            </w:r>
          </w:p>
        </w:tc>
        <w:tc>
          <w:tcPr>
            <w:tcW w:w="4888"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）响应文件内容</w:t>
            </w:r>
          </w:p>
        </w:tc>
        <w:tc>
          <w:tcPr>
            <w:tcW w:w="4888"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0" w:type="dxa"/>
            <w:vMerge w:val="restart"/>
            <w:vAlign w:val="center"/>
          </w:tcPr>
          <w:p>
            <w:pPr>
              <w:shd w:val="clea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85" w:type="dxa"/>
            <w:vMerge w:val="restart"/>
            <w:vAlign w:val="center"/>
          </w:tcPr>
          <w:p>
            <w:pPr>
              <w:shd w:val="clea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响应性审查</w:t>
            </w: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）对</w:t>
            </w:r>
            <w:r>
              <w:rPr>
                <w:rFonts w:hint="eastAsia" w:ascii="宋体" w:hAnsi="宋体"/>
                <w:color w:val="auto"/>
                <w:szCs w:val="21"/>
                <w:highlight w:val="none"/>
                <w:lang w:eastAsia="zh-CN"/>
              </w:rPr>
              <w:t>谈判</w:t>
            </w:r>
            <w:r>
              <w:rPr>
                <w:rFonts w:hint="eastAsia" w:ascii="宋体" w:hAnsi="宋体"/>
                <w:color w:val="auto"/>
                <w:szCs w:val="21"/>
                <w:highlight w:val="none"/>
              </w:rPr>
              <w:t>文件响应程度</w:t>
            </w:r>
          </w:p>
        </w:tc>
        <w:tc>
          <w:tcPr>
            <w:tcW w:w="4888"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80" w:type="dxa"/>
            <w:vMerge w:val="continue"/>
            <w:vAlign w:val="center"/>
          </w:tcPr>
          <w:p>
            <w:pPr>
              <w:shd w:val="clear"/>
              <w:tabs>
                <w:tab w:val="left" w:pos="0"/>
              </w:tabs>
              <w:adjustRightInd w:val="0"/>
              <w:snapToGrid w:val="0"/>
              <w:spacing w:line="360" w:lineRule="auto"/>
              <w:jc w:val="center"/>
              <w:rPr>
                <w:rFonts w:hint="eastAsia" w:ascii="宋体" w:hAnsi="宋体"/>
                <w:color w:val="auto"/>
                <w:szCs w:val="21"/>
                <w:highlight w:val="none"/>
              </w:rPr>
            </w:pPr>
          </w:p>
        </w:tc>
        <w:tc>
          <w:tcPr>
            <w:tcW w:w="885" w:type="dxa"/>
            <w:vMerge w:val="continue"/>
            <w:vAlign w:val="center"/>
          </w:tcPr>
          <w:p>
            <w:pPr>
              <w:shd w:val="clear"/>
              <w:tabs>
                <w:tab w:val="left" w:pos="0"/>
              </w:tabs>
              <w:adjustRightInd w:val="0"/>
              <w:snapToGrid w:val="0"/>
              <w:jc w:val="center"/>
              <w:rPr>
                <w:rFonts w:hint="eastAsia" w:ascii="宋体" w:hAnsi="宋体"/>
                <w:color w:val="auto"/>
                <w:szCs w:val="21"/>
                <w:highlight w:val="none"/>
              </w:rPr>
            </w:pPr>
          </w:p>
        </w:tc>
        <w:tc>
          <w:tcPr>
            <w:tcW w:w="2685"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）拟提供</w:t>
            </w:r>
            <w:r>
              <w:rPr>
                <w:rFonts w:hint="eastAsia" w:ascii="宋体" w:hAnsi="宋体"/>
                <w:color w:val="auto"/>
                <w:szCs w:val="21"/>
                <w:lang w:val="en-US" w:eastAsia="zh-CN"/>
              </w:rPr>
              <w:t>工程</w:t>
            </w:r>
          </w:p>
        </w:tc>
        <w:tc>
          <w:tcPr>
            <w:tcW w:w="4888"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应满足</w:t>
            </w:r>
            <w:r>
              <w:rPr>
                <w:rFonts w:hint="eastAsia" w:ascii="宋体" w:hAnsi="宋体"/>
                <w:color w:val="auto"/>
                <w:szCs w:val="21"/>
                <w:lang w:eastAsia="zh-CN"/>
              </w:rPr>
              <w:t>谈判</w:t>
            </w:r>
            <w:r>
              <w:rPr>
                <w:rFonts w:hint="eastAsia" w:ascii="宋体" w:hAnsi="宋体"/>
                <w:color w:val="auto"/>
                <w:szCs w:val="21"/>
              </w:rPr>
              <w:t>文件提出的</w:t>
            </w:r>
            <w:r>
              <w:rPr>
                <w:rFonts w:hint="eastAsia" w:ascii="宋体" w:hAnsi="宋体"/>
                <w:color w:val="auto"/>
                <w:szCs w:val="21"/>
                <w:lang w:val="en-US" w:eastAsia="zh-CN"/>
              </w:rPr>
              <w:t>工程技术</w:t>
            </w:r>
            <w:r>
              <w:rPr>
                <w:rFonts w:hint="eastAsia" w:ascii="宋体" w:hAnsi="宋体"/>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工期</w:t>
            </w:r>
          </w:p>
        </w:tc>
        <w:tc>
          <w:tcPr>
            <w:tcW w:w="4888" w:type="dxa"/>
            <w:vAlign w:val="center"/>
          </w:tcPr>
          <w:p>
            <w:pPr>
              <w:shd w:val="clear"/>
              <w:tabs>
                <w:tab w:val="left" w:pos="0"/>
              </w:tabs>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应满足</w:t>
            </w:r>
            <w:r>
              <w:rPr>
                <w:rFonts w:hint="eastAsia" w:ascii="宋体" w:hAnsi="宋体"/>
                <w:color w:val="auto"/>
                <w:szCs w:val="21"/>
                <w:highlight w:val="none"/>
                <w:lang w:eastAsia="zh-CN"/>
              </w:rPr>
              <w:t>谈判</w:t>
            </w:r>
            <w:r>
              <w:rPr>
                <w:rFonts w:hint="eastAsia" w:ascii="宋体" w:hAnsi="宋体"/>
                <w:color w:val="auto"/>
                <w:szCs w:val="21"/>
                <w:highlight w:val="none"/>
              </w:rPr>
              <w:t>文件中要求的</w:t>
            </w:r>
            <w:r>
              <w:rPr>
                <w:rFonts w:hint="eastAsia" w:ascii="宋体" w:hAnsi="宋体"/>
                <w:color w:val="auto"/>
                <w:szCs w:val="21"/>
                <w:highlight w:val="no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工程质量</w:t>
            </w:r>
          </w:p>
        </w:tc>
        <w:tc>
          <w:tcPr>
            <w:tcW w:w="4888" w:type="dxa"/>
            <w:vAlign w:val="center"/>
          </w:tcPr>
          <w:p>
            <w:pPr>
              <w:shd w:val="clea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应满足</w:t>
            </w:r>
            <w:r>
              <w:rPr>
                <w:rFonts w:hint="eastAsia" w:ascii="宋体" w:hAnsi="宋体"/>
                <w:color w:val="auto"/>
                <w:szCs w:val="21"/>
                <w:highlight w:val="none"/>
                <w:lang w:eastAsia="zh-CN"/>
              </w:rPr>
              <w:t>谈判</w:t>
            </w:r>
            <w:r>
              <w:rPr>
                <w:rFonts w:hint="eastAsia" w:ascii="宋体" w:hAnsi="宋体"/>
                <w:color w:val="auto"/>
                <w:szCs w:val="21"/>
                <w:highlight w:val="none"/>
              </w:rPr>
              <w:t>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质保期</w:t>
            </w:r>
          </w:p>
        </w:tc>
        <w:tc>
          <w:tcPr>
            <w:tcW w:w="4888" w:type="dxa"/>
            <w:vAlign w:val="center"/>
          </w:tcPr>
          <w:p>
            <w:pPr>
              <w:shd w:val="clear"/>
              <w:tabs>
                <w:tab w:val="left" w:pos="0"/>
              </w:tabs>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应满足</w:t>
            </w:r>
            <w:r>
              <w:rPr>
                <w:rFonts w:hint="eastAsia" w:ascii="宋体" w:hAnsi="宋体"/>
                <w:color w:val="auto"/>
                <w:szCs w:val="21"/>
                <w:highlight w:val="none"/>
                <w:lang w:eastAsia="zh-CN"/>
              </w:rPr>
              <w:t>谈判</w:t>
            </w:r>
            <w:r>
              <w:rPr>
                <w:rFonts w:hint="eastAsia" w:ascii="宋体" w:hAnsi="宋体"/>
                <w:color w:val="auto"/>
                <w:szCs w:val="21"/>
                <w:highlight w:val="none"/>
              </w:rPr>
              <w:t>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0"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885" w:type="dxa"/>
            <w:vMerge w:val="continue"/>
          </w:tcPr>
          <w:p>
            <w:pPr>
              <w:shd w:val="clear"/>
              <w:tabs>
                <w:tab w:val="left" w:pos="0"/>
              </w:tabs>
              <w:adjustRightInd w:val="0"/>
              <w:snapToGrid w:val="0"/>
              <w:spacing w:line="360" w:lineRule="auto"/>
              <w:rPr>
                <w:rFonts w:ascii="宋体" w:hAnsi="宋体"/>
                <w:color w:val="auto"/>
                <w:szCs w:val="21"/>
                <w:highlight w:val="none"/>
              </w:rPr>
            </w:pPr>
          </w:p>
        </w:tc>
        <w:tc>
          <w:tcPr>
            <w:tcW w:w="2685" w:type="dxa"/>
            <w:vAlign w:val="center"/>
          </w:tcPr>
          <w:p>
            <w:pPr>
              <w:shd w:val="clear"/>
              <w:tabs>
                <w:tab w:val="left" w:pos="0"/>
              </w:tabs>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eastAsia="zh-CN"/>
              </w:rPr>
              <w:t>谈判</w:t>
            </w:r>
            <w:r>
              <w:rPr>
                <w:rFonts w:hint="eastAsia" w:ascii="宋体" w:hAnsi="宋体"/>
                <w:color w:val="auto"/>
                <w:szCs w:val="21"/>
                <w:highlight w:val="none"/>
              </w:rPr>
              <w:t>有效期</w:t>
            </w:r>
          </w:p>
        </w:tc>
        <w:tc>
          <w:tcPr>
            <w:tcW w:w="4888" w:type="dxa"/>
            <w:vAlign w:val="center"/>
          </w:tcPr>
          <w:p>
            <w:pPr>
              <w:shd w:val="clear"/>
              <w:tabs>
                <w:tab w:val="left" w:pos="0"/>
              </w:tabs>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应满足</w:t>
            </w:r>
            <w:r>
              <w:rPr>
                <w:rFonts w:hint="eastAsia" w:ascii="宋体" w:hAnsi="宋体"/>
                <w:color w:val="auto"/>
                <w:szCs w:val="21"/>
                <w:highlight w:val="none"/>
                <w:lang w:eastAsia="zh-CN"/>
              </w:rPr>
              <w:t>谈判</w:t>
            </w:r>
            <w:r>
              <w:rPr>
                <w:rFonts w:hint="eastAsia" w:ascii="宋体" w:hAnsi="宋体"/>
                <w:color w:val="auto"/>
                <w:szCs w:val="21"/>
                <w:highlight w:val="none"/>
              </w:rPr>
              <w:t>文件中的规定</w:t>
            </w:r>
          </w:p>
        </w:tc>
      </w:tr>
    </w:tbl>
    <w:p>
      <w:pPr>
        <w:ind w:firstLine="420" w:firstLineChars="200"/>
        <w:rPr>
          <w:rFonts w:ascii="宋体" w:hAnsi="宋体"/>
          <w:b/>
          <w:color w:val="auto"/>
          <w:szCs w:val="21"/>
          <w:highlight w:val="none"/>
        </w:rPr>
      </w:pPr>
      <w:r>
        <w:rPr>
          <w:rFonts w:hint="eastAsia" w:ascii="宋体" w:hAnsi="宋体"/>
          <w:b/>
          <w:color w:val="auto"/>
          <w:szCs w:val="21"/>
          <w:highlight w:val="none"/>
        </w:rPr>
        <w:t>1.2.2.3 未通过符合性检查的供应商，不得进入后续</w:t>
      </w:r>
      <w:r>
        <w:rPr>
          <w:rFonts w:hint="eastAsia" w:ascii="宋体" w:hAnsi="宋体"/>
          <w:b/>
          <w:color w:val="auto"/>
          <w:szCs w:val="21"/>
          <w:highlight w:val="none"/>
          <w:lang w:eastAsia="zh-CN"/>
        </w:rPr>
        <w:t>谈判</w:t>
      </w:r>
      <w:r>
        <w:rPr>
          <w:rFonts w:hint="eastAsia" w:ascii="宋体" w:hAnsi="宋体"/>
          <w:b/>
          <w:color w:val="auto"/>
          <w:szCs w:val="21"/>
          <w:highlight w:val="none"/>
        </w:rPr>
        <w:t>环节。</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1.3 响应文件的澄清</w:t>
      </w:r>
    </w:p>
    <w:p>
      <w:pPr>
        <w:shd w:val="clea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1.3.1 </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hd w:val="clea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要求供应商澄清、说明或者更正响应文件应当以书面形式作出。供应商的澄清、说明或者更正应当由法定代表人或其授权代表签字或者加盖公章。由委托代理人签字的，应当附法定代表人授权书。供应商为自然人的，应当由本人签字并附身份证明。</w:t>
      </w:r>
    </w:p>
    <w:p>
      <w:pPr>
        <w:shd w:val="clear"/>
        <w:spacing w:line="360" w:lineRule="auto"/>
        <w:ind w:firstLine="420" w:firstLineChars="200"/>
        <w:rPr>
          <w:rFonts w:ascii="宋体" w:hAnsi="宋体"/>
          <w:color w:val="auto"/>
          <w:szCs w:val="21"/>
          <w:highlight w:val="none"/>
        </w:rPr>
      </w:pPr>
      <w:r>
        <w:rPr>
          <w:rFonts w:hint="eastAsia" w:ascii="宋体" w:hAnsi="宋体" w:cs="宋体"/>
          <w:snapToGrid w:val="0"/>
          <w:color w:val="auto"/>
          <w:kern w:val="0"/>
          <w:szCs w:val="21"/>
          <w:highlight w:val="none"/>
        </w:rPr>
        <w:t xml:space="preserve">1.3.3 </w:t>
      </w:r>
      <w:r>
        <w:rPr>
          <w:rFonts w:hint="eastAsia"/>
          <w:color w:val="auto"/>
          <w:szCs w:val="21"/>
          <w:highlight w:val="none"/>
        </w:rPr>
        <w:t>供应商拒不按照要求对响应文件进行澄清、说明或者更正的，</w:t>
      </w:r>
      <w:r>
        <w:rPr>
          <w:rFonts w:hint="eastAsia"/>
          <w:color w:val="auto"/>
          <w:szCs w:val="21"/>
          <w:highlight w:val="none"/>
          <w:lang w:eastAsia="zh-CN"/>
        </w:rPr>
        <w:t>谈判</w:t>
      </w:r>
      <w:r>
        <w:rPr>
          <w:rFonts w:hint="eastAsia"/>
          <w:color w:val="auto"/>
          <w:szCs w:val="21"/>
          <w:highlight w:val="none"/>
        </w:rPr>
        <w:t>小组可以拒绝其响应文件。</w:t>
      </w:r>
      <w:r>
        <w:rPr>
          <w:rFonts w:hint="eastAsia" w:ascii="宋体" w:hAnsi="宋体"/>
          <w:color w:val="auto"/>
          <w:szCs w:val="21"/>
          <w:highlight w:val="none"/>
          <w:lang w:eastAsia="zh-CN"/>
        </w:rPr>
        <w:t>谈判</w:t>
      </w:r>
      <w:r>
        <w:rPr>
          <w:rFonts w:hint="eastAsia" w:ascii="宋体" w:hAnsi="宋体"/>
          <w:color w:val="auto"/>
          <w:szCs w:val="21"/>
          <w:highlight w:val="none"/>
        </w:rPr>
        <w:t>小组不接受供应商主动提出的澄清、说明或者更正。</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1.3.4 有效的书面澄清、说明或者更正材料，是响应文件的补充材料，并构成响应文件的组成部分。</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1.3.5 </w:t>
      </w:r>
      <w:r>
        <w:rPr>
          <w:rFonts w:hint="eastAsia" w:ascii="宋体" w:hAnsi="宋体"/>
          <w:color w:val="auto"/>
          <w:szCs w:val="21"/>
          <w:highlight w:val="none"/>
          <w:lang w:eastAsia="zh-CN"/>
        </w:rPr>
        <w:t>谈判</w:t>
      </w:r>
      <w:r>
        <w:rPr>
          <w:rFonts w:hint="eastAsia" w:ascii="宋体" w:hAnsi="宋体"/>
          <w:color w:val="auto"/>
          <w:szCs w:val="21"/>
          <w:highlight w:val="none"/>
        </w:rPr>
        <w:t>小组对供应商提交的澄清、说明或者更正有疑问的，可以要求供应商进一步澄清、说明或者更正，直至满足</w:t>
      </w:r>
      <w:r>
        <w:rPr>
          <w:rFonts w:hint="eastAsia" w:ascii="宋体" w:hAnsi="宋体"/>
          <w:color w:val="auto"/>
          <w:szCs w:val="21"/>
          <w:highlight w:val="none"/>
          <w:lang w:eastAsia="zh-CN"/>
        </w:rPr>
        <w:t>谈判</w:t>
      </w:r>
      <w:r>
        <w:rPr>
          <w:rFonts w:hint="eastAsia" w:ascii="宋体" w:hAnsi="宋体"/>
          <w:color w:val="auto"/>
          <w:szCs w:val="21"/>
          <w:highlight w:val="none"/>
        </w:rPr>
        <w:t>小组的要求。</w:t>
      </w:r>
    </w:p>
    <w:p>
      <w:pPr>
        <w:shd w:val="clear"/>
        <w:spacing w:line="360" w:lineRule="auto"/>
        <w:ind w:firstLine="482"/>
        <w:rPr>
          <w:rFonts w:hint="eastAsia" w:ascii="宋体" w:hAnsi="宋体"/>
          <w:b/>
          <w:color w:val="auto"/>
          <w:sz w:val="30"/>
          <w:szCs w:val="30"/>
          <w:highlight w:val="none"/>
        </w:rPr>
      </w:pPr>
      <w:r>
        <w:rPr>
          <w:rFonts w:hint="eastAsia" w:ascii="宋体" w:hAnsi="宋体" w:cs="宋体"/>
          <w:snapToGrid w:val="0"/>
          <w:color w:val="auto"/>
          <w:kern w:val="0"/>
          <w:szCs w:val="21"/>
          <w:highlight w:val="none"/>
          <w:lang w:val="en-US" w:eastAsia="zh-CN"/>
        </w:rPr>
        <w:t>1.3.6</w:t>
      </w:r>
      <w:r>
        <w:rPr>
          <w:rFonts w:hint="eastAsia" w:ascii="宋体" w:hAnsi="宋体" w:cs="宋体"/>
          <w:snapToGrid w:val="0"/>
          <w:color w:val="auto"/>
          <w:kern w:val="0"/>
          <w:szCs w:val="21"/>
          <w:highlight w:val="none"/>
        </w:rPr>
        <w:t>如果供应商在澄清规定期限内，未能答复或拒绝答复谈判小组提出的澄清要求，将由谈判小组根据其竞争性谈判响应文件按最大风险进行评审。</w:t>
      </w:r>
    </w:p>
    <w:p>
      <w:pPr>
        <w:shd w:val="clear"/>
        <w:spacing w:beforeLines="50" w:afterLines="50" w:line="360" w:lineRule="auto"/>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 xml:space="preserve">1.4 </w:t>
      </w:r>
      <w:r>
        <w:rPr>
          <w:rFonts w:hint="eastAsia" w:ascii="宋体" w:hAnsi="宋体"/>
          <w:b/>
          <w:color w:val="auto"/>
          <w:sz w:val="30"/>
          <w:szCs w:val="30"/>
          <w:highlight w:val="none"/>
          <w:lang w:eastAsia="zh-CN"/>
        </w:rPr>
        <w:t>谈判</w:t>
      </w:r>
    </w:p>
    <w:p>
      <w:pPr>
        <w:shd w:val="clear"/>
        <w:spacing w:line="360" w:lineRule="auto"/>
        <w:ind w:firstLine="480"/>
        <w:rPr>
          <w:rFonts w:ascii="宋体" w:hAnsi="宋体"/>
          <w:b/>
          <w:color w:val="auto"/>
          <w:szCs w:val="21"/>
          <w:highlight w:val="none"/>
        </w:rPr>
      </w:pPr>
      <w:r>
        <w:rPr>
          <w:rFonts w:hint="eastAsia" w:ascii="宋体" w:hAnsi="宋体"/>
          <w:b/>
          <w:color w:val="auto"/>
          <w:szCs w:val="21"/>
          <w:highlight w:val="none"/>
        </w:rPr>
        <w:t>1.4.1</w:t>
      </w:r>
      <w:r>
        <w:rPr>
          <w:rFonts w:hint="eastAsia" w:ascii="宋体" w:hAnsi="宋体"/>
          <w:b/>
          <w:color w:val="auto"/>
          <w:szCs w:val="21"/>
          <w:highlight w:val="none"/>
          <w:lang w:eastAsia="zh-CN"/>
        </w:rPr>
        <w:t>谈判</w:t>
      </w:r>
      <w:r>
        <w:rPr>
          <w:rFonts w:hint="eastAsia" w:ascii="宋体" w:hAnsi="宋体"/>
          <w:b/>
          <w:color w:val="auto"/>
          <w:szCs w:val="21"/>
          <w:highlight w:val="none"/>
        </w:rPr>
        <w:t>方式：</w:t>
      </w:r>
    </w:p>
    <w:p>
      <w:pPr>
        <w:shd w:val="clear"/>
        <w:spacing w:line="360" w:lineRule="auto"/>
        <w:ind w:firstLine="688" w:firstLineChars="328"/>
        <w:rPr>
          <w:rFonts w:ascii="宋体" w:hAnsi="宋体" w:cs="宋体"/>
          <w:color w:val="auto"/>
          <w:kern w:val="0"/>
          <w:szCs w:val="21"/>
          <w:highlight w:val="none"/>
        </w:rPr>
      </w:pPr>
      <w:r>
        <w:rPr>
          <w:rFonts w:hint="eastAsia" w:ascii="宋体" w:hAnsi="宋体" w:cs="宋体"/>
          <w:color w:val="auto"/>
          <w:kern w:val="0"/>
          <w:szCs w:val="21"/>
          <w:highlight w:val="none"/>
        </w:rPr>
        <w:t>1.4.1.1 对资格性审查和符合性审查合格的供应商，进入本次</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环节。</w:t>
      </w:r>
    </w:p>
    <w:p>
      <w:pPr>
        <w:shd w:val="clear"/>
        <w:spacing w:line="360" w:lineRule="auto"/>
        <w:ind w:firstLine="688" w:firstLineChars="328"/>
        <w:rPr>
          <w:rFonts w:ascii="宋体" w:hAnsi="宋体" w:cs="宋体"/>
          <w:color w:val="auto"/>
          <w:kern w:val="0"/>
          <w:szCs w:val="21"/>
          <w:highlight w:val="none"/>
        </w:rPr>
      </w:pPr>
      <w:r>
        <w:rPr>
          <w:rFonts w:hint="eastAsia" w:ascii="宋体" w:hAnsi="宋体" w:cs="宋体"/>
          <w:color w:val="auto"/>
          <w:kern w:val="0"/>
          <w:szCs w:val="21"/>
          <w:highlight w:val="none"/>
        </w:rPr>
        <w:t>1.4.1.2 在</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期间，供应商应派代表参加</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，代表人数不超过</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人。</w:t>
      </w:r>
    </w:p>
    <w:p>
      <w:pPr>
        <w:shd w:val="clear"/>
        <w:spacing w:line="360" w:lineRule="auto"/>
        <w:ind w:firstLine="688" w:firstLineChars="328"/>
        <w:rPr>
          <w:rFonts w:ascii="宋体" w:hAnsi="宋体" w:cs="宋体"/>
          <w:color w:val="auto"/>
          <w:kern w:val="0"/>
          <w:szCs w:val="21"/>
          <w:highlight w:val="none"/>
        </w:rPr>
      </w:pPr>
      <w:r>
        <w:rPr>
          <w:rFonts w:hint="eastAsia" w:ascii="宋体" w:hAnsi="宋体" w:cs="宋体"/>
          <w:color w:val="auto"/>
          <w:kern w:val="0"/>
          <w:szCs w:val="21"/>
          <w:highlight w:val="none"/>
        </w:rPr>
        <w:t xml:space="preserve">1.4.1.3 </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小组将通过随机方式确定供应商进行</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的顺序，所有成员集中与单一供应商按照顺序分别进行</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w:t>
      </w:r>
      <w:r>
        <w:rPr>
          <w:rFonts w:hint="eastAsia"/>
          <w:color w:val="auto"/>
          <w:szCs w:val="21"/>
          <w:highlight w:val="none"/>
        </w:rPr>
        <w:t>并给予所有参加</w:t>
      </w:r>
      <w:r>
        <w:rPr>
          <w:rFonts w:hint="eastAsia"/>
          <w:color w:val="auto"/>
          <w:szCs w:val="21"/>
          <w:highlight w:val="none"/>
          <w:lang w:eastAsia="zh-CN"/>
        </w:rPr>
        <w:t>谈判</w:t>
      </w:r>
      <w:r>
        <w:rPr>
          <w:rFonts w:hint="eastAsia"/>
          <w:color w:val="auto"/>
          <w:szCs w:val="21"/>
          <w:highlight w:val="none"/>
        </w:rPr>
        <w:t>的供应商平等的</w:t>
      </w:r>
      <w:r>
        <w:rPr>
          <w:rFonts w:hint="eastAsia"/>
          <w:color w:val="auto"/>
          <w:szCs w:val="21"/>
          <w:highlight w:val="none"/>
          <w:lang w:eastAsia="zh-CN"/>
        </w:rPr>
        <w:t>谈判</w:t>
      </w:r>
      <w:r>
        <w:rPr>
          <w:rFonts w:hint="eastAsia"/>
          <w:color w:val="auto"/>
          <w:szCs w:val="21"/>
          <w:highlight w:val="none"/>
        </w:rPr>
        <w:t>机会</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的任何一方不得透露与</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有关的其他供应商的技术资料、价格和其他信息。</w:t>
      </w:r>
    </w:p>
    <w:p>
      <w:pPr>
        <w:shd w:val="clea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1.4.2</w:t>
      </w:r>
      <w:r>
        <w:rPr>
          <w:rFonts w:hint="eastAsia" w:ascii="宋体" w:hAnsi="宋体"/>
          <w:b/>
          <w:color w:val="auto"/>
          <w:szCs w:val="21"/>
          <w:highlight w:val="none"/>
          <w:lang w:eastAsia="zh-CN"/>
        </w:rPr>
        <w:t>谈判</w:t>
      </w:r>
      <w:r>
        <w:rPr>
          <w:rFonts w:hint="eastAsia" w:ascii="宋体" w:hAnsi="宋体"/>
          <w:b/>
          <w:color w:val="auto"/>
          <w:szCs w:val="21"/>
          <w:highlight w:val="none"/>
        </w:rPr>
        <w:t>步骤：</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第一次报价---分别谈判---第二次报价---评审推荐成交供应商。（注：谈判响应文件拆封时的价格为第一次报价，无效谈判响应供应商将不得进入第二次报价）。</w:t>
      </w:r>
    </w:p>
    <w:p>
      <w:pPr>
        <w:shd w:val="clear"/>
        <w:spacing w:line="360" w:lineRule="auto"/>
        <w:ind w:firstLine="482"/>
        <w:rPr>
          <w:rFonts w:hint="eastAsia" w:ascii="黑体" w:hAnsi="宋体"/>
          <w:b w:val="0"/>
          <w:bCs/>
          <w:color w:val="auto"/>
          <w:sz w:val="36"/>
          <w:szCs w:val="36"/>
          <w:highlight w:val="none"/>
        </w:rPr>
      </w:pPr>
      <w:r>
        <w:rPr>
          <w:rFonts w:hint="eastAsia" w:ascii="宋体" w:hAnsi="宋体" w:cs="宋体"/>
          <w:snapToGrid w:val="0"/>
          <w:color w:val="auto"/>
          <w:kern w:val="0"/>
          <w:szCs w:val="21"/>
          <w:highlight w:val="none"/>
        </w:rPr>
        <w:t>当第二次报价全部超过谈判文件规定的采购预算（或最高限价）或均低于公认的制作成本时，谈判小组有权决定是否谈判失败或进行第三次报价。当第三次报价若超出财政预算，且采购人又无力支付，谈判小组有权决定谈判失败。</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1.5 最后报价</w:t>
      </w:r>
    </w:p>
    <w:p>
      <w:pPr>
        <w:widowControl/>
        <w:shd w:val="clear"/>
        <w:spacing w:line="360" w:lineRule="auto"/>
        <w:ind w:firstLine="420" w:firstLineChars="200"/>
        <w:rPr>
          <w:rFonts w:ascii="宋体" w:hAnsi="宋体" w:cs="宋体"/>
          <w:snapToGrid w:val="0"/>
          <w:color w:val="auto"/>
          <w:kern w:val="0"/>
          <w:szCs w:val="21"/>
          <w:highlight w:val="none"/>
        </w:rPr>
      </w:pPr>
      <w:r>
        <w:rPr>
          <w:rFonts w:hint="eastAsia" w:ascii="宋体" w:hAnsi="宋体"/>
          <w:color w:val="auto"/>
          <w:szCs w:val="21"/>
          <w:highlight w:val="none"/>
        </w:rPr>
        <w:t>1.5.1 供应商应当以书面形式提交最后报价，并由其法定代表人或者委托代理人签字或者加盖单位章。</w:t>
      </w:r>
      <w:r>
        <w:rPr>
          <w:rFonts w:hint="eastAsia" w:ascii="宋体" w:hAnsi="宋体" w:cs="宋体"/>
          <w:snapToGrid w:val="0"/>
          <w:color w:val="auto"/>
          <w:kern w:val="0"/>
          <w:szCs w:val="21"/>
          <w:highlight w:val="none"/>
        </w:rPr>
        <w:t>由委托代理人签字的，应</w:t>
      </w:r>
      <w:r>
        <w:rPr>
          <w:rFonts w:hint="eastAsia" w:ascii="宋体" w:hAnsi="宋体" w:cs="宋体"/>
          <w:snapToGrid w:val="0"/>
          <w:color w:val="auto"/>
          <w:kern w:val="0"/>
          <w:szCs w:val="21"/>
          <w:highlight w:val="none"/>
          <w:lang w:eastAsia="zh-CN"/>
        </w:rPr>
        <w:t>具有</w:t>
      </w:r>
      <w:r>
        <w:rPr>
          <w:rFonts w:hint="eastAsia" w:ascii="宋体" w:hAnsi="宋体" w:cs="宋体"/>
          <w:snapToGrid w:val="0"/>
          <w:color w:val="auto"/>
          <w:kern w:val="0"/>
          <w:szCs w:val="21"/>
          <w:highlight w:val="none"/>
        </w:rPr>
        <w:t>法定代表人授权书。供应商为自然人的，应当由本人签字并附身份证明。</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 最后报价是供应商响应文件的有效组成部分。</w:t>
      </w:r>
    </w:p>
    <w:p>
      <w:pPr>
        <w:shd w:val="clea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 xml:space="preserve">1.5.3 </w:t>
      </w:r>
      <w:r>
        <w:rPr>
          <w:rFonts w:hint="eastAsia" w:ascii="宋体" w:hAnsi="宋体" w:eastAsia="宋体" w:cs="Times New Roman"/>
          <w:color w:val="auto"/>
          <w:szCs w:val="21"/>
          <w:highlight w:val="none"/>
        </w:rPr>
        <w:t>经谈判确定最终采购需求和提交最后报价的供应商后，由谈判小组采用</w:t>
      </w:r>
      <w:r>
        <w:rPr>
          <w:rFonts w:hint="eastAsia" w:ascii="宋体" w:hAnsi="宋体" w:eastAsia="宋体" w:cs="Times New Roman"/>
          <w:b/>
          <w:bCs/>
          <w:color w:val="auto"/>
          <w:szCs w:val="21"/>
          <w:highlight w:val="none"/>
        </w:rPr>
        <w:t>最低评标价法</w:t>
      </w:r>
      <w:r>
        <w:rPr>
          <w:rFonts w:hint="eastAsia" w:ascii="宋体" w:hAnsi="宋体" w:eastAsia="宋体" w:cs="Times New Roman"/>
          <w:color w:val="auto"/>
          <w:szCs w:val="21"/>
          <w:highlight w:val="none"/>
        </w:rPr>
        <w:t>对提交最后报价的供应商的最后报价进行评审。</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最后报价仅向采购人及监督人员宣布，并由监督人员确认。</w:t>
      </w:r>
    </w:p>
    <w:p>
      <w:pPr>
        <w:shd w:val="clear"/>
        <w:spacing w:beforeLines="50" w:line="360" w:lineRule="auto"/>
        <w:rPr>
          <w:rFonts w:ascii="宋体" w:hAnsi="宋体"/>
          <w:b/>
          <w:color w:val="auto"/>
          <w:sz w:val="30"/>
          <w:szCs w:val="30"/>
          <w:highlight w:val="none"/>
        </w:rPr>
      </w:pPr>
      <w:r>
        <w:rPr>
          <w:rFonts w:hint="eastAsia" w:ascii="宋体" w:hAnsi="宋体"/>
          <w:b/>
          <w:color w:val="auto"/>
          <w:sz w:val="30"/>
          <w:szCs w:val="30"/>
          <w:highlight w:val="none"/>
        </w:rPr>
        <w:t>1.</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复核与核对评审结果</w:t>
      </w:r>
    </w:p>
    <w:p>
      <w:pPr>
        <w:shd w:val="clear"/>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 评分汇总结束后，</w:t>
      </w:r>
      <w:r>
        <w:rPr>
          <w:rFonts w:hint="eastAsia" w:ascii="宋体" w:hAnsi="宋体"/>
          <w:color w:val="auto"/>
          <w:szCs w:val="21"/>
          <w:highlight w:val="none"/>
          <w:lang w:eastAsia="zh-CN"/>
        </w:rPr>
        <w:t>谈判</w:t>
      </w:r>
      <w:r>
        <w:rPr>
          <w:rFonts w:hint="eastAsia" w:ascii="宋体" w:hAnsi="宋体"/>
          <w:color w:val="auto"/>
          <w:szCs w:val="21"/>
          <w:highlight w:val="none"/>
        </w:rPr>
        <w:t>小组应当进行复核。</w:t>
      </w:r>
    </w:p>
    <w:p>
      <w:pPr>
        <w:pStyle w:val="55"/>
        <w:shd w:val="clea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.2 评审结果汇总完成后，</w:t>
      </w:r>
      <w:r>
        <w:rPr>
          <w:rFonts w:ascii="宋体" w:hAnsi="宋体"/>
          <w:color w:val="auto"/>
          <w:highlight w:val="none"/>
        </w:rPr>
        <w:t>评</w:t>
      </w:r>
      <w:r>
        <w:rPr>
          <w:rFonts w:hint="eastAsia" w:ascii="宋体" w:hAnsi="宋体"/>
          <w:color w:val="auto"/>
          <w:highlight w:val="none"/>
        </w:rPr>
        <w:t>审</w:t>
      </w:r>
      <w:r>
        <w:rPr>
          <w:rFonts w:ascii="宋体" w:hAnsi="宋体"/>
          <w:color w:val="auto"/>
          <w:highlight w:val="none"/>
        </w:rPr>
        <w:t>报告签署前，</w:t>
      </w:r>
      <w:r>
        <w:rPr>
          <w:rFonts w:hint="eastAsia" w:ascii="宋体" w:hAnsi="宋体"/>
          <w:color w:val="auto"/>
          <w:highlight w:val="none"/>
        </w:rPr>
        <w:t>采购代理机构应当</w:t>
      </w:r>
      <w:r>
        <w:rPr>
          <w:rFonts w:ascii="宋体" w:hAnsi="宋体"/>
          <w:bCs/>
          <w:color w:val="auto"/>
          <w:highlight w:val="none"/>
        </w:rPr>
        <w:t>核对评</w:t>
      </w:r>
      <w:r>
        <w:rPr>
          <w:rFonts w:hint="eastAsia" w:ascii="宋体" w:hAnsi="宋体"/>
          <w:bCs/>
          <w:color w:val="auto"/>
          <w:highlight w:val="none"/>
        </w:rPr>
        <w:t>审</w:t>
      </w:r>
      <w:r>
        <w:rPr>
          <w:rFonts w:ascii="宋体" w:hAnsi="宋体"/>
          <w:bCs/>
          <w:color w:val="auto"/>
          <w:highlight w:val="none"/>
        </w:rPr>
        <w:t>结果，</w:t>
      </w:r>
      <w:r>
        <w:rPr>
          <w:rFonts w:ascii="宋体" w:hAnsi="宋体"/>
          <w:color w:val="auto"/>
          <w:highlight w:val="none"/>
        </w:rPr>
        <w:t>除下列情形外，任何人不得修改评</w:t>
      </w:r>
      <w:r>
        <w:rPr>
          <w:rFonts w:hint="eastAsia" w:ascii="宋体" w:hAnsi="宋体"/>
          <w:color w:val="auto"/>
          <w:highlight w:val="none"/>
        </w:rPr>
        <w:t>审</w:t>
      </w:r>
      <w:r>
        <w:rPr>
          <w:rFonts w:ascii="宋体" w:hAnsi="宋体"/>
          <w:color w:val="auto"/>
          <w:highlight w:val="none"/>
        </w:rPr>
        <w:t>结果：</w:t>
      </w:r>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资格性认定错误的；</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分值汇总计算错误的；</w:t>
      </w:r>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）分项评分超出评分标准范围的；</w:t>
      </w:r>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lang w:eastAsia="zh-CN"/>
        </w:rPr>
        <w:t>谈判</w:t>
      </w:r>
      <w:r>
        <w:rPr>
          <w:rFonts w:hint="eastAsia" w:ascii="宋体" w:hAnsi="宋体"/>
          <w:color w:val="auto"/>
          <w:szCs w:val="21"/>
          <w:highlight w:val="none"/>
        </w:rPr>
        <w:t>小组</w:t>
      </w:r>
      <w:r>
        <w:rPr>
          <w:rFonts w:ascii="宋体" w:hAnsi="宋体"/>
          <w:color w:val="auto"/>
          <w:szCs w:val="21"/>
          <w:highlight w:val="none"/>
        </w:rPr>
        <w:t>对客观评审因素评分不一致的；</w:t>
      </w:r>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）经</w:t>
      </w:r>
      <w:r>
        <w:rPr>
          <w:rFonts w:hint="eastAsia" w:ascii="宋体" w:hAnsi="宋体"/>
          <w:color w:val="auto"/>
          <w:szCs w:val="21"/>
          <w:highlight w:val="none"/>
          <w:lang w:eastAsia="zh-CN"/>
        </w:rPr>
        <w:t>谈判</w:t>
      </w:r>
      <w:r>
        <w:rPr>
          <w:rFonts w:hint="eastAsia" w:ascii="宋体" w:hAnsi="宋体"/>
          <w:color w:val="auto"/>
          <w:szCs w:val="21"/>
          <w:highlight w:val="none"/>
        </w:rPr>
        <w:t>小组一致</w:t>
      </w:r>
      <w:r>
        <w:rPr>
          <w:rFonts w:ascii="宋体" w:hAnsi="宋体"/>
          <w:color w:val="auto"/>
          <w:szCs w:val="21"/>
          <w:highlight w:val="none"/>
        </w:rPr>
        <w:t>认定评分畸高、畸低的。</w:t>
      </w:r>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经复核发现存在以上情形之一的，</w:t>
      </w:r>
      <w:r>
        <w:rPr>
          <w:rFonts w:hint="eastAsia" w:ascii="宋体" w:hAnsi="宋体"/>
          <w:color w:val="auto"/>
          <w:szCs w:val="21"/>
          <w:highlight w:val="none"/>
          <w:lang w:eastAsia="zh-CN"/>
        </w:rPr>
        <w:t>谈判</w:t>
      </w:r>
      <w:r>
        <w:rPr>
          <w:rFonts w:hint="eastAsia" w:ascii="宋体" w:hAnsi="宋体"/>
          <w:color w:val="auto"/>
          <w:szCs w:val="21"/>
          <w:highlight w:val="none"/>
        </w:rPr>
        <w:t>小组</w:t>
      </w:r>
      <w:r>
        <w:rPr>
          <w:rFonts w:ascii="宋体" w:hAnsi="宋体"/>
          <w:color w:val="auto"/>
          <w:szCs w:val="21"/>
          <w:highlight w:val="none"/>
        </w:rPr>
        <w:t>应当当场修改评</w:t>
      </w:r>
      <w:r>
        <w:rPr>
          <w:rFonts w:hint="eastAsia" w:ascii="宋体" w:hAnsi="宋体"/>
          <w:color w:val="auto"/>
          <w:szCs w:val="21"/>
          <w:highlight w:val="none"/>
        </w:rPr>
        <w:t>审</w:t>
      </w:r>
      <w:r>
        <w:rPr>
          <w:rFonts w:ascii="宋体" w:hAnsi="宋体"/>
          <w:color w:val="auto"/>
          <w:szCs w:val="21"/>
          <w:highlight w:val="none"/>
        </w:rPr>
        <w:t>结果，并在评</w:t>
      </w:r>
      <w:r>
        <w:rPr>
          <w:rFonts w:hint="eastAsia" w:ascii="宋体" w:hAnsi="宋体"/>
          <w:color w:val="auto"/>
          <w:szCs w:val="21"/>
          <w:highlight w:val="none"/>
        </w:rPr>
        <w:t>审</w:t>
      </w:r>
      <w:r>
        <w:rPr>
          <w:rFonts w:ascii="宋体" w:hAnsi="宋体"/>
          <w:color w:val="auto"/>
          <w:szCs w:val="21"/>
          <w:highlight w:val="none"/>
        </w:rPr>
        <w:t>报告中记载</w:t>
      </w:r>
      <w:r>
        <w:rPr>
          <w:rFonts w:hint="eastAsia" w:ascii="宋体" w:hAnsi="宋体"/>
          <w:color w:val="auto"/>
          <w:szCs w:val="21"/>
          <w:highlight w:val="none"/>
        </w:rPr>
        <w:t>。</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w:t>
      </w:r>
      <w:r>
        <w:rPr>
          <w:rFonts w:hint="eastAsia" w:ascii="宋体" w:hAnsi="宋体"/>
          <w:b/>
          <w:color w:val="auto"/>
          <w:sz w:val="30"/>
          <w:szCs w:val="30"/>
          <w:highlight w:val="none"/>
          <w:lang w:val="en-US" w:eastAsia="zh-CN"/>
        </w:rPr>
        <w:t>7</w:t>
      </w:r>
      <w:r>
        <w:rPr>
          <w:rFonts w:hint="eastAsia" w:ascii="宋体" w:hAnsi="宋体"/>
          <w:b/>
          <w:color w:val="auto"/>
          <w:sz w:val="30"/>
          <w:szCs w:val="30"/>
          <w:highlight w:val="none"/>
        </w:rPr>
        <w:t xml:space="preserve"> 确定成交候选人名单</w:t>
      </w:r>
    </w:p>
    <w:p>
      <w:pPr>
        <w:shd w:val="clear"/>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确定成交候选人程序祥见第二章第8.1、8.2条款。</w:t>
      </w:r>
    </w:p>
    <w:p>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w:t>
      </w:r>
      <w:r>
        <w:rPr>
          <w:rFonts w:hint="eastAsia" w:ascii="宋体" w:hAnsi="宋体"/>
          <w:b/>
          <w:color w:val="auto"/>
          <w:sz w:val="30"/>
          <w:szCs w:val="30"/>
          <w:highlight w:val="none"/>
          <w:lang w:val="en-US" w:eastAsia="zh-CN"/>
        </w:rPr>
        <w:t>8</w:t>
      </w:r>
      <w:r>
        <w:rPr>
          <w:rFonts w:hint="eastAsia" w:ascii="宋体" w:hAnsi="宋体"/>
          <w:b/>
          <w:color w:val="auto"/>
          <w:sz w:val="30"/>
          <w:szCs w:val="30"/>
          <w:highlight w:val="none"/>
        </w:rPr>
        <w:t xml:space="preserve"> 编写评审报告</w:t>
      </w:r>
    </w:p>
    <w:p>
      <w:pPr>
        <w:shd w:val="clear"/>
        <w:spacing w:line="360" w:lineRule="auto"/>
        <w:ind w:firstLine="482"/>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 xml:space="preserve">.1 </w:t>
      </w:r>
      <w:r>
        <w:rPr>
          <w:rFonts w:hint="eastAsia" w:ascii="宋体" w:hAnsi="宋体"/>
          <w:color w:val="auto"/>
          <w:szCs w:val="21"/>
          <w:highlight w:val="none"/>
          <w:lang w:eastAsia="zh-CN"/>
        </w:rPr>
        <w:t>谈判</w:t>
      </w:r>
      <w:r>
        <w:rPr>
          <w:rFonts w:hint="eastAsia" w:ascii="宋体" w:hAnsi="宋体"/>
          <w:color w:val="auto"/>
          <w:szCs w:val="21"/>
          <w:highlight w:val="none"/>
        </w:rPr>
        <w:t>小组在确定成交候选人名单后，应当编写评审报告并向采购人出具。评审报告应当包括以下主要内容：</w:t>
      </w:r>
    </w:p>
    <w:p>
      <w:pPr>
        <w:shd w:val="clear"/>
        <w:spacing w:line="360" w:lineRule="auto"/>
        <w:ind w:firstLine="482"/>
        <w:rPr>
          <w:rFonts w:ascii="宋体" w:hAnsi="宋体" w:cs="宋体"/>
          <w:snapToGrid w:val="0"/>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snapToGrid w:val="0"/>
          <w:color w:val="auto"/>
          <w:kern w:val="0"/>
          <w:szCs w:val="21"/>
          <w:highlight w:val="none"/>
        </w:rPr>
        <w:t>邀请供应商参加采购活动的具体方式和相关情况；</w:t>
      </w:r>
    </w:p>
    <w:p>
      <w:pPr>
        <w:shd w:val="clear"/>
        <w:spacing w:line="360" w:lineRule="auto"/>
        <w:ind w:firstLine="48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（2）响应文件开启日期和地点；</w:t>
      </w:r>
    </w:p>
    <w:p>
      <w:pPr>
        <w:shd w:val="clear"/>
        <w:spacing w:line="360" w:lineRule="auto"/>
        <w:ind w:firstLine="48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（3）获取</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文件的供应商名单和</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小组成员名单；</w:t>
      </w:r>
    </w:p>
    <w:p>
      <w:pPr>
        <w:shd w:val="clear"/>
        <w:spacing w:line="360" w:lineRule="auto"/>
        <w:ind w:firstLine="48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（4）评审情况记录和说明，包括对供应商的资格审查情况、供应商响应文件评审情况、</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情况（含</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文件实质性变动情况）、报价情况等；</w:t>
      </w:r>
    </w:p>
    <w:p>
      <w:pPr>
        <w:shd w:val="clear"/>
        <w:spacing w:line="360" w:lineRule="auto"/>
        <w:ind w:firstLine="48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（5）提出的成交候选人的排序名单及理由。</w:t>
      </w:r>
    </w:p>
    <w:p>
      <w:pPr>
        <w:shd w:val="clear"/>
        <w:spacing w:line="360" w:lineRule="auto"/>
        <w:ind w:firstLine="482"/>
        <w:rPr>
          <w:rFonts w:ascii="宋体" w:hAnsi="宋体" w:cs="宋体"/>
          <w:color w:val="auto"/>
          <w:kern w:val="0"/>
          <w:szCs w:val="21"/>
          <w:highlight w:val="none"/>
        </w:rPr>
      </w:pPr>
      <w:r>
        <w:rPr>
          <w:rFonts w:hint="eastAsia" w:ascii="宋体" w:hAnsi="宋体" w:cs="宋体"/>
          <w:color w:val="auto"/>
          <w:kern w:val="0"/>
          <w:szCs w:val="21"/>
          <w:highlight w:val="none"/>
        </w:rPr>
        <w:t>（6）其他需要说明的情况，包括评审过程中供应商根据</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小组要求进行的澄清、说明或者更正，</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小组成员的更换等，报价最高的供应商为第一中标候选人的，对其报价合理性予以特别书面。</w:t>
      </w:r>
    </w:p>
    <w:p>
      <w:pPr>
        <w:widowControl/>
        <w:shd w:val="clear"/>
        <w:spacing w:line="360" w:lineRule="auto"/>
        <w:ind w:firstLine="420" w:firstLineChars="200"/>
        <w:rPr>
          <w:rFonts w:hint="eastAsia" w:ascii="黑体" w:hAnsi="宋体"/>
          <w:b w:val="0"/>
          <w:bCs/>
          <w:color w:val="auto"/>
          <w:sz w:val="36"/>
          <w:szCs w:val="36"/>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 xml:space="preserve">.2 </w:t>
      </w:r>
      <w:r>
        <w:rPr>
          <w:rFonts w:hint="eastAsia" w:ascii="宋体" w:hAnsi="宋体" w:cs="宋体"/>
          <w:snapToGrid w:val="0"/>
          <w:color w:val="auto"/>
          <w:kern w:val="0"/>
          <w:szCs w:val="21"/>
          <w:highlight w:val="none"/>
        </w:rPr>
        <w:t>评审报告应当由</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小组全体人员签字认可。</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小组成员对评审报告有异议的，</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小组按照少数服从多数的原则推荐成交候选人名单，采购程序继续进行。对评审报告有异议的</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小组成员，应当在报告上签署不同意见并说明理由，由</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小组书面记录相关情况。</w:t>
      </w:r>
      <w:r>
        <w:rPr>
          <w:rFonts w:hint="eastAsia" w:ascii="宋体" w:hAnsi="宋体" w:cs="宋体"/>
          <w:snapToGrid w:val="0"/>
          <w:color w:val="auto"/>
          <w:kern w:val="0"/>
          <w:szCs w:val="21"/>
          <w:highlight w:val="none"/>
          <w:lang w:eastAsia="zh-CN"/>
        </w:rPr>
        <w:t>谈判</w:t>
      </w:r>
      <w:r>
        <w:rPr>
          <w:rFonts w:hint="eastAsia" w:ascii="宋体" w:hAnsi="宋体" w:cs="宋体"/>
          <w:snapToGrid w:val="0"/>
          <w:color w:val="auto"/>
          <w:kern w:val="0"/>
          <w:szCs w:val="21"/>
          <w:highlight w:val="none"/>
        </w:rPr>
        <w:t>小组成员拒绝在报告上签字又不书面说明其不同意见和理由的，视为同意评审报告。</w:t>
      </w:r>
    </w:p>
    <w:p>
      <w:pPr>
        <w:pStyle w:val="4"/>
        <w:shd w:val="clear"/>
        <w:rPr>
          <w:rFonts w:ascii="黑体" w:hAnsi="宋体"/>
          <w:b w:val="0"/>
          <w:bCs/>
          <w:color w:val="auto"/>
          <w:sz w:val="36"/>
          <w:szCs w:val="36"/>
          <w:highlight w:val="none"/>
        </w:rPr>
      </w:pPr>
      <w:bookmarkStart w:id="86" w:name="_Toc12296"/>
      <w:r>
        <w:rPr>
          <w:rFonts w:hint="eastAsia" w:ascii="黑体" w:hAnsi="宋体"/>
          <w:b w:val="0"/>
          <w:bCs/>
          <w:color w:val="auto"/>
          <w:sz w:val="36"/>
          <w:szCs w:val="36"/>
          <w:highlight w:val="none"/>
        </w:rPr>
        <w:t>2.评审方法</w:t>
      </w:r>
      <w:bookmarkEnd w:id="86"/>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照《中华人民共和国政府采购法》及实施条例和《政府采购非招标采购方式管理办法》的规定，本次评审采用最低评标价法，即在全部满足竞争性谈判文件实质性要求前提下，依据统一的价格要素评定最低报价，以提出最低报价的谈判供应商作为成交候选供应商并依次排序。</w:t>
      </w:r>
    </w:p>
    <w:p>
      <w:pPr>
        <w:shd w:val="clear"/>
        <w:spacing w:beforeLines="5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2.1</w:t>
      </w:r>
      <w:r>
        <w:rPr>
          <w:rFonts w:hint="eastAsia" w:ascii="宋体" w:hAnsi="宋体"/>
          <w:b/>
          <w:color w:val="auto"/>
          <w:sz w:val="30"/>
          <w:szCs w:val="30"/>
          <w:highlight w:val="none"/>
        </w:rPr>
        <w:t>评审程序</w:t>
      </w:r>
    </w:p>
    <w:p>
      <w:pPr>
        <w:shd w:val="clear"/>
        <w:spacing w:line="360" w:lineRule="auto"/>
        <w:ind w:firstLine="482"/>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lang w:val="en-US" w:eastAsia="zh-CN"/>
        </w:rPr>
        <w:t>2.1</w:t>
      </w:r>
      <w:r>
        <w:rPr>
          <w:rFonts w:hint="eastAsia" w:ascii="宋体" w:hAnsi="宋体" w:cs="宋体"/>
          <w:b/>
          <w:bCs/>
          <w:snapToGrid w:val="0"/>
          <w:color w:val="auto"/>
          <w:kern w:val="0"/>
          <w:szCs w:val="21"/>
          <w:highlight w:val="none"/>
        </w:rPr>
        <w:t>.1对谈判响应文件的初审</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（1）资格性审查：采购人或采购代理机构（采购人委托）依据依据法律法规和谈判文件的规定，对响应文件中的资格证明文件进行审查，审查内容为供应商须知前附表中所列的供应商资格条件。</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符合性审查：谈判小组依据谈判文件的规定，从响应文件的有效性、完整性和对谈判文件的响应程度进行审查，以确定是否对谈判文件的实质性内容作出响应。</w:t>
      </w:r>
    </w:p>
    <w:p>
      <w:pPr>
        <w:shd w:val="clear"/>
        <w:spacing w:line="360" w:lineRule="auto"/>
        <w:ind w:firstLine="482"/>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lang w:val="en-US" w:eastAsia="zh-CN"/>
        </w:rPr>
        <w:t>2.1.2</w:t>
      </w:r>
      <w:r>
        <w:rPr>
          <w:rFonts w:hint="eastAsia" w:ascii="宋体" w:hAnsi="宋体" w:cs="宋体"/>
          <w:b/>
          <w:bCs/>
          <w:snapToGrid w:val="0"/>
          <w:color w:val="auto"/>
          <w:kern w:val="0"/>
          <w:szCs w:val="21"/>
          <w:highlight w:val="none"/>
        </w:rPr>
        <w:t>推荐成交候选人</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谈判小组依据谈判响应文件，从质量和服务均能满足谈判文件要求的供应商中，按照最后报价由低到高的顺序依次排序，推荐3名成交候选人，并标明顺序。谈判报价相同的，按照技术指标优劣顺序排序或由全体谈判小组成员无记名投票，得票高者排序在前。</w:t>
      </w:r>
    </w:p>
    <w:p>
      <w:pPr>
        <w:shd w:val="clear"/>
        <w:spacing w:beforeLines="5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2.2</w:t>
      </w:r>
      <w:r>
        <w:rPr>
          <w:rFonts w:hint="eastAsia" w:ascii="宋体" w:hAnsi="宋体"/>
          <w:b/>
          <w:color w:val="auto"/>
          <w:sz w:val="30"/>
          <w:szCs w:val="30"/>
          <w:highlight w:val="none"/>
        </w:rPr>
        <w:t>无效响应文件</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出现下列情形之一的，谈判响应文件无效：</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（1）竞争性谈判响应文件未按竞争性谈判文件要求密封、签署、盖章的；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（2）供应商未按竞争性谈判文件要求提交谈判响应保证金（如有）或保函（如有）的；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（3）不具备谈判文件中规定的资格要求或资格证明文件不全的或无效的；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（4）无谈判有效期或有效期达不到竞争性谈判文件要求的；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（5）谈判总报价超过竞争性谈判文件公布的采购预算的；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（6）响应文件含有采购人不能接受的附加条件的；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（7）单位负责人为同一人或者存在直接控股、管理关系的不同供应商，参加本项目同一合同项下的谈判的；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（8）为本采购项目提供整体设计、规范编制或者项目管理、监理、检测等服务的供应商，参加本采购项目谈判的；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（9）提供虚假文件和资料的；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（10）法律、法规规定的其他无效情形。</w:t>
      </w:r>
    </w:p>
    <w:p>
      <w:pPr>
        <w:shd w:val="clear"/>
        <w:spacing w:beforeLines="50" w:afterLines="50" w:line="360" w:lineRule="auto"/>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2.3特殊情况的处理</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2.3</w:t>
      </w:r>
      <w:r>
        <w:rPr>
          <w:rFonts w:hint="eastAsia" w:ascii="宋体" w:hAnsi="宋体" w:cs="宋体"/>
          <w:snapToGrid w:val="0"/>
          <w:color w:val="auto"/>
          <w:kern w:val="0"/>
          <w:szCs w:val="21"/>
          <w:highlight w:val="none"/>
        </w:rPr>
        <w:t>.1计算错误将按以下方法更正：</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（1）谈判响应文件中谈判响应报价一览表内容与谈判响应文件中相应内容总金额不一致的，以谈判响应报价一览表为准。</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（2）谈判响应文件的大写金额和小写金额不一致的，以大写金额为准；</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（3）单价金额小数点或者百分比有明显错位的，以谈判响应报价一览表的总价为准，并修改单价；</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（4）总价金额与按单价汇总金额不一致的，以单价金额计算结果为准。</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按上述修正的顺序和方法调整的报价应对供应商具有约束力。如果供应商不接受修正后的价格，其响应文件将按无效响应处理。</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2.3</w:t>
      </w:r>
      <w:r>
        <w:rPr>
          <w:rFonts w:hint="eastAsia" w:ascii="宋体" w:hAnsi="宋体" w:cs="宋体"/>
          <w:snapToGrid w:val="0"/>
          <w:color w:val="auto"/>
          <w:kern w:val="0"/>
          <w:szCs w:val="21"/>
          <w:highlight w:val="none"/>
        </w:rPr>
        <w:t>.2对于竞争性谈判响应文件中明显的标点符号错误或不构成实质性偏差的不正规、不一致或不规则，采购人可以接受。</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2.3</w:t>
      </w:r>
      <w:r>
        <w:rPr>
          <w:rFonts w:hint="eastAsia" w:ascii="宋体" w:hAnsi="宋体" w:cs="宋体"/>
          <w:snapToGrid w:val="0"/>
          <w:color w:val="auto"/>
          <w:kern w:val="0"/>
          <w:szCs w:val="21"/>
          <w:highlight w:val="none"/>
        </w:rPr>
        <w:t>.3出现下列情形之一的，采购人或者采购代理机构应当终止竞争性谈判采购活动，发布项目终止公告并说明原因，重新开展采购活动：</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（1）因情况变化，不再符合规定的竞争性谈判采购方式适用情形的；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（2）出现影响采购公正的违法、违规行为的；</w:t>
      </w:r>
    </w:p>
    <w:p>
      <w:pPr>
        <w:shd w:val="clear"/>
        <w:spacing w:line="360" w:lineRule="auto"/>
        <w:ind w:firstLine="48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（3）在采购过程中符合竞争要求的供应商或者报价未超过采购预算的供应商不足3家的，但《政府采购非招标采购方式管理办法》（财政部74号令）第二十七条第二款规定的情形除外。</w:t>
      </w:r>
    </w:p>
    <w:p>
      <w:pPr>
        <w:shd w:val="clear"/>
        <w:spacing w:line="360" w:lineRule="auto"/>
        <w:ind w:firstLine="482"/>
      </w:pPr>
      <w:r>
        <w:rPr>
          <w:rFonts w:hint="eastAsia" w:ascii="宋体" w:hAnsi="宋体" w:cs="宋体"/>
          <w:snapToGrid w:val="0"/>
          <w:color w:val="auto"/>
          <w:kern w:val="0"/>
          <w:szCs w:val="21"/>
          <w:highlight w:val="none"/>
          <w:lang w:val="en-US" w:eastAsia="zh-CN"/>
        </w:rPr>
        <w:t>2.3</w:t>
      </w:r>
      <w:r>
        <w:rPr>
          <w:rFonts w:hint="eastAsia" w:ascii="宋体" w:hAnsi="宋体" w:cs="宋体"/>
          <w:snapToGrid w:val="0"/>
          <w:color w:val="auto"/>
          <w:kern w:val="0"/>
          <w:szCs w:val="21"/>
          <w:highlight w:val="none"/>
        </w:rPr>
        <w:t>.4谈判过程中，若出现本评审方法以外的特殊情况时，将暂停评审，待谈判小组商榷后，再进行评定。</w:t>
      </w:r>
    </w:p>
    <w:p>
      <w:pPr>
        <w:shd w:val="clear"/>
        <w:spacing w:beforeLines="5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2.4</w:t>
      </w:r>
      <w:r>
        <w:rPr>
          <w:rFonts w:hint="eastAsia" w:ascii="宋体" w:hAnsi="宋体"/>
          <w:b/>
          <w:color w:val="auto"/>
          <w:sz w:val="30"/>
          <w:szCs w:val="30"/>
          <w:highlight w:val="none"/>
        </w:rPr>
        <w:t>非实质性偏离（非技术参数）</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非实质性偏离（非技术参数）是指响应文件在实质上响应</w:t>
      </w:r>
      <w:r>
        <w:rPr>
          <w:rFonts w:hint="eastAsia" w:ascii="宋体" w:hAnsi="宋体"/>
          <w:color w:val="auto"/>
          <w:szCs w:val="21"/>
          <w:highlight w:val="none"/>
          <w:lang w:eastAsia="zh-CN"/>
        </w:rPr>
        <w:t>谈判</w:t>
      </w:r>
      <w:r>
        <w:rPr>
          <w:rFonts w:hint="eastAsia" w:ascii="宋体" w:hAnsi="宋体"/>
          <w:color w:val="auto"/>
          <w:szCs w:val="21"/>
          <w:highlight w:val="none"/>
        </w:rPr>
        <w:t>文件的要求，但在个别地方存在一些不规则、不一致、不完整的内容，并且澄清、说明或者更正这些内容不会改变响应文件的实质性内容。以下情况属于非实质性偏离：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（1）文字表述的内容含义不明确；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（2）同类问题表述不一致；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（3）有明显文字和计算错误；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（4）提供的服务信息和数据资料不完整；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（5）正副本数量齐全、密封完好，只是未按照</w:t>
      </w:r>
      <w:r>
        <w:rPr>
          <w:rFonts w:hint="eastAsia" w:ascii="宋体" w:hAnsi="宋体"/>
          <w:color w:val="auto"/>
          <w:szCs w:val="21"/>
          <w:highlight w:val="none"/>
          <w:lang w:eastAsia="zh-CN"/>
        </w:rPr>
        <w:t>谈判</w:t>
      </w:r>
      <w:r>
        <w:rPr>
          <w:rFonts w:hint="eastAsia" w:ascii="宋体" w:hAnsi="宋体"/>
          <w:color w:val="auto"/>
          <w:szCs w:val="21"/>
          <w:highlight w:val="none"/>
        </w:rPr>
        <w:t>文件要求进行分装或者统装；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（6）响应文件应当盖章签字的地方，不超过3处仅有签字或盖章（授权委托书、</w:t>
      </w:r>
      <w:r>
        <w:rPr>
          <w:rFonts w:hint="eastAsia" w:ascii="宋体" w:hAnsi="宋体"/>
          <w:color w:val="auto"/>
          <w:szCs w:val="21"/>
          <w:highlight w:val="none"/>
          <w:lang w:eastAsia="zh-CN"/>
        </w:rPr>
        <w:t>竞争性谈判</w:t>
      </w:r>
      <w:r>
        <w:rPr>
          <w:rFonts w:hint="eastAsia" w:ascii="宋体" w:hAnsi="宋体"/>
          <w:color w:val="auto"/>
          <w:szCs w:val="21"/>
          <w:highlight w:val="none"/>
        </w:rPr>
        <w:t>响应函除外）；</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（7）响应文件未按</w:t>
      </w:r>
      <w:r>
        <w:rPr>
          <w:rFonts w:hint="eastAsia" w:ascii="宋体" w:hAnsi="宋体"/>
          <w:color w:val="auto"/>
          <w:szCs w:val="21"/>
          <w:highlight w:val="none"/>
          <w:lang w:eastAsia="zh-CN"/>
        </w:rPr>
        <w:t>谈判</w:t>
      </w:r>
      <w:r>
        <w:rPr>
          <w:rFonts w:hint="eastAsia" w:ascii="宋体" w:hAnsi="宋体"/>
          <w:color w:val="auto"/>
          <w:szCs w:val="21"/>
          <w:highlight w:val="none"/>
        </w:rPr>
        <w:t>文件要求进行装订或未编制目录、页码或者页码混乱；</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谈判</w:t>
      </w:r>
      <w:r>
        <w:rPr>
          <w:rFonts w:hint="eastAsia" w:ascii="宋体" w:hAnsi="宋体"/>
          <w:color w:val="auto"/>
          <w:szCs w:val="21"/>
          <w:highlight w:val="none"/>
        </w:rPr>
        <w:t>小组认定的其他非实质性偏离。</w:t>
      </w:r>
    </w:p>
    <w:p>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响应文件有上述（1）至（4）情形之一的，</w:t>
      </w:r>
      <w:r>
        <w:rPr>
          <w:rFonts w:hint="eastAsia" w:ascii="宋体" w:hAnsi="宋体"/>
          <w:color w:val="auto"/>
          <w:szCs w:val="21"/>
          <w:highlight w:val="none"/>
          <w:lang w:eastAsia="zh-CN"/>
        </w:rPr>
        <w:t>谈判</w:t>
      </w:r>
      <w:r>
        <w:rPr>
          <w:rFonts w:hint="eastAsia" w:ascii="宋体" w:hAnsi="宋体"/>
          <w:color w:val="auto"/>
          <w:szCs w:val="21"/>
          <w:highlight w:val="none"/>
        </w:rPr>
        <w:t>小组应当书面要求供应商在规定的时间内予以澄清、说明或更正。供应商拒不或在规定的时间内没有进行澄清、说明或更正或者澄清、说明、更正的内容也不能说明问题的，视为响应文件制作不规范。</w:t>
      </w:r>
    </w:p>
    <w:p>
      <w:pPr>
        <w:shd w:val="clear"/>
        <w:rPr>
          <w:rFonts w:hint="eastAsia" w:ascii="宋体" w:hAnsi="宋体"/>
          <w:b/>
          <w:color w:val="auto"/>
          <w:szCs w:val="32"/>
          <w:highlight w:val="none"/>
        </w:rPr>
      </w:pPr>
      <w:r>
        <w:rPr>
          <w:rFonts w:hint="eastAsia" w:ascii="宋体" w:hAnsi="宋体"/>
          <w:b/>
          <w:color w:val="auto"/>
          <w:szCs w:val="32"/>
          <w:highlight w:val="none"/>
        </w:rPr>
        <w:br w:type="page"/>
      </w:r>
    </w:p>
    <w:bookmarkEnd w:id="84"/>
    <w:p>
      <w:pPr>
        <w:pStyle w:val="3"/>
        <w:pageBreakBefore w:val="0"/>
        <w:widowControl w:val="0"/>
        <w:numPr>
          <w:ilvl w:val="0"/>
          <w:numId w:val="0"/>
        </w:numPr>
        <w:shd w:val="clear"/>
        <w:kinsoku/>
        <w:wordWrap/>
        <w:overflowPunct/>
        <w:topLinePunct w:val="0"/>
        <w:autoSpaceDE/>
        <w:autoSpaceDN/>
        <w:bidi w:val="0"/>
        <w:snapToGrid w:val="0"/>
        <w:spacing w:before="0" w:after="0" w:line="360" w:lineRule="auto"/>
        <w:jc w:val="center"/>
        <w:textAlignment w:val="auto"/>
        <w:rPr>
          <w:rFonts w:hint="eastAsia" w:ascii="宋体" w:hAnsi="宋体"/>
          <w:color w:val="auto"/>
          <w:sz w:val="44"/>
          <w:szCs w:val="44"/>
          <w:highlight w:val="none"/>
        </w:rPr>
      </w:pPr>
      <w:bookmarkStart w:id="87" w:name="_Toc21664"/>
      <w:bookmarkStart w:id="88" w:name="_Toc18074970"/>
      <w:r>
        <w:rPr>
          <w:rFonts w:hint="eastAsia" w:ascii="宋体" w:hAnsi="宋体"/>
          <w:color w:val="auto"/>
          <w:sz w:val="44"/>
          <w:szCs w:val="44"/>
          <w:highlight w:val="none"/>
          <w:lang w:val="en-US" w:eastAsia="zh-CN"/>
        </w:rPr>
        <w:t>第四章 施工</w:t>
      </w:r>
      <w:r>
        <w:rPr>
          <w:rFonts w:hint="eastAsia" w:ascii="宋体" w:hAnsi="宋体"/>
          <w:color w:val="auto"/>
          <w:sz w:val="44"/>
          <w:szCs w:val="44"/>
          <w:highlight w:val="none"/>
        </w:rPr>
        <w:t>内容及</w:t>
      </w:r>
      <w:r>
        <w:rPr>
          <w:rFonts w:hint="eastAsia" w:ascii="宋体" w:hAnsi="宋体"/>
          <w:color w:val="auto"/>
          <w:sz w:val="44"/>
          <w:szCs w:val="44"/>
          <w:highlight w:val="none"/>
          <w:lang w:val="en-US" w:eastAsia="zh-CN"/>
        </w:rPr>
        <w:t>商务</w:t>
      </w:r>
      <w:r>
        <w:rPr>
          <w:rFonts w:hint="eastAsia" w:ascii="宋体" w:hAnsi="宋体"/>
          <w:color w:val="auto"/>
          <w:sz w:val="44"/>
          <w:szCs w:val="44"/>
          <w:highlight w:val="none"/>
        </w:rPr>
        <w:t>要求</w:t>
      </w:r>
      <w:bookmarkEnd w:id="87"/>
      <w:bookmarkEnd w:id="88"/>
    </w:p>
    <w:p>
      <w:pPr>
        <w:pStyle w:val="3"/>
        <w:pageBreakBefore w:val="0"/>
        <w:widowControl w:val="0"/>
        <w:numPr>
          <w:ilvl w:val="0"/>
          <w:numId w:val="0"/>
        </w:numPr>
        <w:shd w:val="clear"/>
        <w:kinsoku/>
        <w:wordWrap/>
        <w:overflowPunct/>
        <w:topLinePunct w:val="0"/>
        <w:autoSpaceDE/>
        <w:autoSpaceDN/>
        <w:bidi w:val="0"/>
        <w:snapToGrid w:val="0"/>
        <w:spacing w:before="0" w:after="0" w:line="360" w:lineRule="auto"/>
        <w:jc w:val="both"/>
        <w:textAlignment w:val="auto"/>
        <w:rPr>
          <w:rFonts w:hint="eastAsia" w:ascii="宋体" w:hAnsi="宋体" w:eastAsia="宋体" w:cs="宋体"/>
          <w:b/>
          <w:color w:val="auto"/>
          <w:sz w:val="21"/>
          <w:szCs w:val="21"/>
          <w:highlight w:val="none"/>
          <w:lang w:eastAsia="zh-CN"/>
        </w:rPr>
      </w:pPr>
      <w:bookmarkStart w:id="89" w:name="_Toc4419"/>
      <w:bookmarkStart w:id="90" w:name="_Toc918"/>
      <w:r>
        <w:rPr>
          <w:rFonts w:hint="eastAsia" w:ascii="宋体" w:hAnsi="宋体" w:eastAsia="宋体" w:cs="宋体"/>
          <w:b/>
          <w:color w:val="auto"/>
          <w:sz w:val="21"/>
          <w:szCs w:val="21"/>
          <w:highlight w:val="none"/>
          <w:lang w:eastAsia="zh-CN"/>
        </w:rPr>
        <w:t>一、工程概况</w:t>
      </w:r>
      <w:bookmarkEnd w:id="89"/>
      <w:bookmarkEnd w:id="9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工程名称：</w:t>
      </w:r>
      <w:r>
        <w:rPr>
          <w:rFonts w:hint="eastAsia" w:ascii="宋体" w:hAnsi="宋体" w:cs="宋体"/>
          <w:color w:val="auto"/>
          <w:sz w:val="21"/>
          <w:szCs w:val="21"/>
          <w:highlight w:val="none"/>
          <w:lang w:val="en-US" w:eastAsia="zh-CN"/>
        </w:rPr>
        <w:t>鲁桥镇西区农村生活污水治理建设项目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2、预算金额：</w:t>
      </w:r>
      <w:r>
        <w:rPr>
          <w:rFonts w:hint="eastAsia" w:asciiTheme="minorEastAsia" w:hAnsiTheme="minorEastAsia" w:eastAsiaTheme="minorEastAsia" w:cstheme="minorEastAsia"/>
          <w:color w:val="auto"/>
          <w:sz w:val="21"/>
          <w:szCs w:val="21"/>
          <w:lang w:eastAsia="zh-CN"/>
        </w:rPr>
        <w:t>1123074.16</w:t>
      </w:r>
      <w:r>
        <w:rPr>
          <w:rFonts w:hint="eastAsia" w:ascii="宋体" w:hAnsi="宋体" w:eastAsia="宋体" w:cs="宋体"/>
          <w:color w:val="auto"/>
          <w:sz w:val="21"/>
          <w:szCs w:val="21"/>
          <w:highlight w:val="none"/>
          <w:lang w:val="en-US" w:eastAsia="zh-CN"/>
        </w:rPr>
        <w:t>元</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3、工程地点：三原县</w:t>
      </w:r>
      <w:r>
        <w:rPr>
          <w:rFonts w:hint="eastAsia" w:ascii="宋体" w:hAnsi="宋体" w:eastAsia="宋体" w:cs="Times New Roman"/>
          <w:color w:val="auto"/>
          <w:sz w:val="21"/>
          <w:szCs w:val="21"/>
          <w:lang w:val="en-US" w:eastAsia="zh-CN"/>
        </w:rPr>
        <w:t>鲁桥镇</w:t>
      </w:r>
    </w:p>
    <w:p>
      <w:pPr>
        <w:pageBreakBefore w:val="0"/>
        <w:widowControl w:val="0"/>
        <w:numPr>
          <w:ilvl w:val="0"/>
          <w:numId w:val="0"/>
        </w:numPr>
        <w:tabs>
          <w:tab w:val="left" w:pos="360"/>
        </w:tabs>
        <w:kinsoku/>
        <w:wordWrap/>
        <w:overflowPunct/>
        <w:topLinePunct w:val="0"/>
        <w:autoSpaceDE/>
        <w:autoSpaceDN/>
        <w:bidi w:val="0"/>
        <w:adjustRightInd w:val="0"/>
        <w:snapToGrid w:val="0"/>
        <w:spacing w:line="360" w:lineRule="auto"/>
        <w:ind w:firstLine="420" w:firstLineChars="200"/>
        <w:textAlignment w:val="auto"/>
        <w:outlineLvl w:val="1"/>
        <w:rPr>
          <w:rFonts w:hint="eastAsia" w:ascii="宋体" w:hAnsi="宋体" w:eastAsia="宋体" w:cs="宋体"/>
          <w:b/>
          <w:bCs/>
          <w:sz w:val="21"/>
          <w:szCs w:val="21"/>
          <w:lang w:val="en-US" w:eastAsia="zh-CN"/>
        </w:rPr>
      </w:pPr>
      <w:bookmarkStart w:id="91" w:name="_Toc20931"/>
      <w:bookmarkStart w:id="92" w:name="_Toc19785"/>
      <w:r>
        <w:rPr>
          <w:rFonts w:hint="eastAsia" w:ascii="宋体" w:hAnsi="宋体" w:eastAsia="宋体" w:cs="宋体"/>
          <w:color w:val="auto"/>
          <w:kern w:val="2"/>
          <w:sz w:val="21"/>
          <w:szCs w:val="21"/>
          <w:highlight w:val="none"/>
          <w:lang w:val="en-US" w:eastAsia="zh-CN" w:bidi="ar-SA"/>
        </w:rPr>
        <w:t>4、工程范围及内容：</w:t>
      </w:r>
      <w:bookmarkStart w:id="93" w:name="bookmark104"/>
      <w:r>
        <w:rPr>
          <w:rFonts w:hint="eastAsia" w:ascii="宋体" w:hAnsi="宋体" w:eastAsia="宋体" w:cs="Times New Roman"/>
          <w:color w:val="auto"/>
          <w:sz w:val="21"/>
          <w:szCs w:val="21"/>
          <w:lang w:val="en-US" w:eastAsia="zh-CN"/>
        </w:rPr>
        <w:t>鲁桥镇西区主干道铺设污水官网1.59公里，其中加盖渠道0.959公里，改造渠道生产桥4座，清淤 1.59公里，每隔100米设置检修孔，覆土绿化全段。</w:t>
      </w:r>
      <w:bookmarkEnd w:id="93"/>
      <w:r>
        <w:rPr>
          <w:rFonts w:hint="eastAsia" w:ascii="宋体" w:hAnsi="宋体" w:eastAsia="宋体" w:cs="宋体"/>
          <w:color w:val="auto"/>
          <w:kern w:val="2"/>
          <w:sz w:val="21"/>
          <w:szCs w:val="21"/>
          <w:highlight w:val="none"/>
          <w:lang w:val="en-US" w:eastAsia="zh-CN" w:bidi="ar-SA"/>
        </w:rPr>
        <w:t>详见工程量清单。</w:t>
      </w:r>
      <w:bookmarkEnd w:id="91"/>
      <w:bookmarkEnd w:id="92"/>
    </w:p>
    <w:p>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二、</w:t>
      </w:r>
      <w:r>
        <w:rPr>
          <w:rFonts w:hint="eastAsia" w:ascii="宋体" w:hAnsi="宋体" w:cs="宋体"/>
          <w:b/>
          <w:bCs/>
          <w:sz w:val="21"/>
          <w:szCs w:val="21"/>
          <w:lang w:val="en-US" w:eastAsia="zh-CN"/>
        </w:rPr>
        <w:t>施工</w:t>
      </w:r>
      <w:r>
        <w:rPr>
          <w:rFonts w:hint="eastAsia" w:ascii="宋体" w:hAnsi="宋体" w:eastAsia="宋体" w:cs="宋体"/>
          <w:b/>
          <w:bCs/>
          <w:sz w:val="21"/>
          <w:szCs w:val="21"/>
          <w:lang w:val="zh-CN"/>
        </w:rPr>
        <w:t>要求</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本工程的施工过程和成果必须符合国家有关工程建设标准强制性条文和国家或有关部门关于工程施工方面现行的标准、规范、规程、定额、办法、示例，以及陕西省关于工程施工方面的文件、规定，同时满足中华人民共和国住建部发布的《工程建设标准强制性条文》的规定。</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2、本工程其他技术标准及要求执行图纸及甲方实际需求。</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3、成交人在施工过程中使用或参考上述标准、规范以外的技术部分准、规范时，应征得业主或业主指定代表人的同意。</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4、在施工过程中，如果国家或有关部门颁布了新的技术部分准或规范，则成交人应采用新的标准或规范进行施工。</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zh-CN"/>
        </w:rPr>
        <w:t>成交人在施工期间应严格遵守国家、省、市有关防火、爆破和施工安全以及文明施工、深夜施工、环卫和城管等规定，建立规章制度和防护措施, 应按安全施工的要求，采取严格科学的安全措施，确保施工安全和第三者的安全，确保工程质量和生产安全。否则，由此造成的经济和法律责任均由成交人负责。</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val="zh-CN"/>
        </w:rPr>
        <w:t>成交人负责材料的运输、施工及其他伴随服务。</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w:t>
      </w:r>
      <w:r>
        <w:rPr>
          <w:rFonts w:hint="eastAsia" w:ascii="宋体" w:hAnsi="宋体" w:eastAsia="宋体" w:cs="宋体"/>
          <w:sz w:val="21"/>
          <w:szCs w:val="21"/>
          <w:lang w:val="zh-CN"/>
        </w:rPr>
        <w:t>成交人应配合项目建设进度,向采购人提供施工组织计划、进度计划和施工作业计划，并签订施工安全责任书。</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采购人只提供电源、水源。成交人在施工期间不得破坏原有建筑。</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采购人</w:t>
      </w:r>
      <w:r>
        <w:rPr>
          <w:rFonts w:hint="eastAsia" w:ascii="宋体" w:hAnsi="宋体" w:eastAsia="宋体" w:cs="宋体"/>
          <w:sz w:val="21"/>
          <w:szCs w:val="21"/>
          <w:lang w:val="zh-CN"/>
        </w:rPr>
        <w:t>提供工程的施工图纸和相关技术文件，是招标人现有的能被投标人利用的资料，招标人对投标人做出的任何推论、理解均不负责任。</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lang w:val="zh-CN"/>
        </w:rPr>
        <w:t>、</w:t>
      </w:r>
      <w:r>
        <w:rPr>
          <w:rFonts w:hint="eastAsia" w:ascii="宋体" w:hAnsi="宋体" w:cs="宋体"/>
          <w:sz w:val="21"/>
          <w:szCs w:val="21"/>
          <w:lang w:val="en-US" w:eastAsia="zh-CN"/>
        </w:rPr>
        <w:t>供应商</w:t>
      </w:r>
      <w:r>
        <w:rPr>
          <w:rFonts w:hint="eastAsia" w:ascii="宋体" w:hAnsi="宋体" w:eastAsia="宋体" w:cs="宋体"/>
          <w:sz w:val="21"/>
          <w:szCs w:val="21"/>
          <w:lang w:val="zh-CN"/>
        </w:rPr>
        <w:t>应先到工地踏勘以充分了解工地位置、地质情况、进出场道路、储存空间、运输能力、装卸限制、行车干扰及任何其它足以影响承包价格的情况，了解设计图纸、施工规范、标准以及施工现场实际等情况，并应考虑现有人、材、机市场水平和供应、投标风险、不利的施工因素等，任何因忽视或误解工地情况而导致的索赔或工期延长申请将不获批准。</w:t>
      </w:r>
    </w:p>
    <w:p>
      <w:pPr>
        <w:pageBreakBefore w:val="0"/>
        <w:widowControl w:val="0"/>
        <w:kinsoku/>
        <w:wordWrap/>
        <w:overflowPunct/>
        <w:topLinePunct w:val="0"/>
        <w:autoSpaceDE/>
        <w:autoSpaceDN/>
        <w:bidi w:val="0"/>
        <w:snapToGrid w:val="0"/>
        <w:spacing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三、</w:t>
      </w:r>
      <w:r>
        <w:rPr>
          <w:rFonts w:hint="eastAsia" w:ascii="宋体" w:hAnsi="宋体" w:cs="宋体"/>
          <w:b/>
          <w:bCs/>
          <w:color w:val="auto"/>
          <w:sz w:val="21"/>
          <w:szCs w:val="21"/>
          <w:highlight w:val="none"/>
          <w:lang w:val="en-US" w:eastAsia="zh-CN"/>
        </w:rPr>
        <w:t>施工内容</w:t>
      </w:r>
    </w:p>
    <w:p>
      <w:pPr>
        <w:pStyle w:val="3"/>
        <w:pageBreakBefore w:val="0"/>
        <w:widowControl w:val="0"/>
        <w:kinsoku/>
        <w:wordWrap/>
        <w:overflowPunct/>
        <w:topLinePunct w:val="0"/>
        <w:autoSpaceDE/>
        <w:autoSpaceDN/>
        <w:bidi w:val="0"/>
        <w:snapToGrid w:val="0"/>
        <w:spacing w:before="0" w:after="0" w:line="360" w:lineRule="auto"/>
        <w:ind w:firstLine="420" w:firstLineChars="200"/>
        <w:jc w:val="both"/>
        <w:textAlignment w:val="auto"/>
        <w:rPr>
          <w:rFonts w:hint="eastAsia" w:ascii="宋体" w:hAnsi="宋体" w:eastAsia="宋体" w:cs="宋体"/>
          <w:b w:val="0"/>
          <w:bCs/>
          <w:sz w:val="21"/>
          <w:szCs w:val="21"/>
          <w:highlight w:val="none"/>
        </w:rPr>
      </w:pPr>
      <w:bookmarkStart w:id="94" w:name="_Toc5826"/>
      <w:bookmarkStart w:id="95" w:name="_Toc12247"/>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工程量清单</w:t>
      </w:r>
      <w:r>
        <w:rPr>
          <w:rFonts w:hint="eastAsia" w:ascii="宋体" w:hAnsi="宋体" w:eastAsia="宋体" w:cs="宋体"/>
          <w:b w:val="0"/>
          <w:bCs/>
          <w:sz w:val="21"/>
          <w:szCs w:val="21"/>
          <w:highlight w:val="none"/>
        </w:rPr>
        <w:t>编制依据</w:t>
      </w:r>
      <w:bookmarkEnd w:id="94"/>
      <w:bookmarkEnd w:id="95"/>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依据《陕西省建设工程清单计价规则》、《陕西省建设工程工程量清单计费率》（2009）、《陕西省建筑装饰工程消耗量定额》（2004）、《陕西省安装工程消耗量定额》（2004）、《陕西省建筑装饰工程消耗量定额补充定额》（2009）、《陕西省建筑装饰工程价目表》（2009）、《陕西省安装工程价目表》（2009）《陕西省市政工程价目表》（2009）、《陕西省园林工程价目表》（2009）。</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r>
        <w:rPr>
          <w:rFonts w:hint="eastAsia" w:ascii="宋体" w:hAnsi="宋体" w:cs="宋体"/>
          <w:color w:val="auto"/>
          <w:sz w:val="21"/>
          <w:szCs w:val="21"/>
          <w:lang w:val="zh-CN" w:eastAsia="zh-CN"/>
        </w:rPr>
        <w:t>鲁桥镇西区农村生活污水治理建设项目</w:t>
      </w:r>
      <w:r>
        <w:rPr>
          <w:rFonts w:hint="eastAsia" w:ascii="宋体" w:hAnsi="宋体" w:eastAsia="宋体" w:cs="宋体"/>
          <w:color w:val="auto"/>
          <w:sz w:val="21"/>
          <w:szCs w:val="21"/>
          <w:lang w:val="en-US" w:eastAsia="zh-CN"/>
        </w:rPr>
        <w:t>图纸及相关资料。</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1.3相关的标准图集、规范，常规的施工组织。</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1.4</w:t>
      </w:r>
      <w:r>
        <w:rPr>
          <w:rFonts w:hint="eastAsia" w:ascii="宋体" w:hAnsi="宋体" w:cs="宋体"/>
          <w:color w:val="auto"/>
          <w:sz w:val="21"/>
          <w:szCs w:val="21"/>
          <w:lang w:val="en-US" w:eastAsia="zh-CN"/>
        </w:rPr>
        <w:tab/>
      </w:r>
      <w:r>
        <w:rPr>
          <w:rFonts w:hint="eastAsia" w:ascii="宋体" w:hAnsi="宋体" w:eastAsia="宋体" w:cs="宋体"/>
          <w:color w:val="auto"/>
          <w:sz w:val="21"/>
          <w:szCs w:val="21"/>
          <w:lang w:val="en-US" w:eastAsia="zh-CN"/>
        </w:rPr>
        <w:t>陕建发【2017】270号文件：扬尘污染治理费按陕建发〔2017〕270号文件执行。</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1.5陕建发</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2018</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2019号文件：人工费执行陕建发〔2018〕2019号文件。</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1.6陕建发【2019】45号文件：税金执行陕建发〔2019〕45号文件。</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1.7陕建发【2019】1246号文件：安全文明施工措施费按陕建发〔2019〕1246号文件执行。</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1.8陕建发【2020】1097号文件：建筑安全生产责任险保险费用执行陕建发【2020】1097号文件。</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1.9陕建发【2021】1021号文件：关于全省统一停止收缴建筑业劳保费用的通知执行陕建发【2021】1021号文件，本工程执行此文件，劳保不扣除。</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1.10计价软件采用广联达云计价平台GCCP6.0，版本为6.3000.23.1</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1"/>
          <w:szCs w:val="21"/>
          <w:lang w:val="en-US" w:eastAsia="zh-CN"/>
        </w:rPr>
        <w:t>1.11主要材料单价按《</w:t>
      </w:r>
      <w:r>
        <w:rPr>
          <w:rFonts w:hint="eastAsia" w:ascii="宋体" w:hAnsi="宋体" w:cs="宋体"/>
          <w:color w:val="auto"/>
          <w:sz w:val="21"/>
          <w:szCs w:val="21"/>
          <w:lang w:val="en-US" w:eastAsia="zh-CN"/>
        </w:rPr>
        <w:t>咸阳市</w:t>
      </w:r>
      <w:r>
        <w:rPr>
          <w:rFonts w:hint="eastAsia" w:ascii="宋体" w:hAnsi="宋体" w:eastAsia="宋体" w:cs="宋体"/>
          <w:color w:val="auto"/>
          <w:sz w:val="21"/>
          <w:szCs w:val="21"/>
          <w:lang w:val="en-US" w:eastAsia="zh-CN"/>
        </w:rPr>
        <w:t>工程</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造价信息》</w:t>
      </w:r>
      <w:r>
        <w:rPr>
          <w:rFonts w:hint="eastAsia" w:ascii="宋体" w:hAnsi="宋体" w:cs="宋体"/>
          <w:color w:val="auto"/>
          <w:sz w:val="21"/>
          <w:szCs w:val="21"/>
          <w:lang w:val="en-US" w:eastAsia="zh-CN"/>
        </w:rPr>
        <w:t>（材料信息价）</w:t>
      </w:r>
      <w:r>
        <w:rPr>
          <w:rFonts w:hint="eastAsia" w:ascii="宋体" w:hAnsi="宋体" w:eastAsia="宋体" w:cs="宋体"/>
          <w:color w:val="auto"/>
          <w:sz w:val="21"/>
          <w:szCs w:val="21"/>
          <w:lang w:val="en-US" w:eastAsia="zh-CN"/>
        </w:rPr>
        <w:t>2022年第</w:t>
      </w:r>
      <w:r>
        <w:rPr>
          <w:rFonts w:hint="eastAsia" w:ascii="宋体" w:hAnsi="宋体" w:cs="宋体"/>
          <w:color w:val="auto"/>
          <w:sz w:val="21"/>
          <w:szCs w:val="21"/>
          <w:lang w:val="en-US" w:eastAsia="zh-CN"/>
        </w:rPr>
        <w:t>6期</w:t>
      </w:r>
      <w:r>
        <w:rPr>
          <w:rFonts w:hint="eastAsia" w:ascii="宋体" w:hAnsi="宋体" w:eastAsia="宋体" w:cs="宋体"/>
          <w:color w:val="auto"/>
          <w:sz w:val="21"/>
          <w:szCs w:val="21"/>
          <w:lang w:val="en-US" w:eastAsia="zh-CN"/>
        </w:rPr>
        <w:t>信息价</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lang w:val="en-US" w:eastAsia="zh-CN"/>
        </w:rPr>
        <w:t>市场价计入。</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工程量清单</w:t>
      </w:r>
    </w:p>
    <w:p>
      <w:pPr>
        <w:pStyle w:val="6"/>
        <w:pageBreakBefore w:val="0"/>
        <w:widowControl w:val="0"/>
        <w:kinsoku/>
        <w:wordWrap/>
        <w:overflowPunct/>
        <w:topLinePunct w:val="0"/>
        <w:autoSpaceDE/>
        <w:autoSpaceDN/>
        <w:bidi w:val="0"/>
        <w:snapToGrid w:val="0"/>
        <w:spacing w:line="360" w:lineRule="auto"/>
        <w:ind w:firstLine="3305" w:firstLineChars="1574"/>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sz w:val="21"/>
          <w:szCs w:val="21"/>
        </w:rPr>
        <w:t>（</w:t>
      </w:r>
      <w:r>
        <w:rPr>
          <w:rFonts w:hint="eastAsia" w:ascii="宋体" w:hAnsi="宋体" w:eastAsia="宋体"/>
        </w:rPr>
        <w:t>广联达版电子文档另附</w:t>
      </w:r>
      <w:r>
        <w:rPr>
          <w:rFonts w:hint="eastAsia" w:ascii="宋体" w:hAnsi="宋体" w:eastAsia="宋体" w:cs="宋体"/>
          <w:b/>
          <w:bCs/>
          <w:sz w:val="21"/>
          <w:szCs w:val="21"/>
        </w:rPr>
        <w:t>）</w:t>
      </w:r>
    </w:p>
    <w:p>
      <w:pPr>
        <w:spacing w:before="156" w:beforeLines="50" w:after="156" w:afterLines="50" w:line="440" w:lineRule="exact"/>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专业工程暂估价明细表</w:t>
      </w:r>
    </w:p>
    <w:tbl>
      <w:tblPr>
        <w:tblStyle w:val="30"/>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3"/>
        <w:gridCol w:w="3933"/>
        <w:gridCol w:w="1638"/>
        <w:gridCol w:w="1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833" w:type="dxa"/>
            <w:tcBorders>
              <w:top w:val="single" w:color="auto" w:sz="12" w:space="0"/>
              <w:bottom w:val="double" w:color="auto" w:sz="6" w:space="0"/>
            </w:tcBorders>
            <w:vAlign w:val="center"/>
          </w:tcPr>
          <w:p>
            <w:pPr>
              <w:pStyle w:val="14"/>
              <w:keepNext/>
              <w:spacing w:after="0" w:line="240" w:lineRule="atLeast"/>
              <w:ind w:left="63" w:right="63"/>
              <w:jc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14:textFill>
                  <w14:solidFill>
                    <w14:schemeClr w14:val="tx1"/>
                  </w14:solidFill>
                </w14:textFill>
              </w:rPr>
              <w:t>序号</w:t>
            </w:r>
          </w:p>
        </w:tc>
        <w:tc>
          <w:tcPr>
            <w:tcW w:w="3933" w:type="dxa"/>
            <w:tcBorders>
              <w:top w:val="single" w:color="auto" w:sz="12" w:space="0"/>
              <w:bottom w:val="double" w:color="auto" w:sz="6" w:space="0"/>
            </w:tcBorders>
            <w:vAlign w:val="center"/>
          </w:tcPr>
          <w:p>
            <w:pPr>
              <w:pStyle w:val="14"/>
              <w:keepNext/>
              <w:spacing w:after="0" w:line="240" w:lineRule="atLeast"/>
              <w:ind w:left="63" w:right="63"/>
              <w:jc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14:textFill>
                  <w14:solidFill>
                    <w14:schemeClr w14:val="tx1"/>
                  </w14:solidFill>
                </w14:textFill>
              </w:rPr>
              <w:t>项目名称</w:t>
            </w:r>
          </w:p>
        </w:tc>
        <w:tc>
          <w:tcPr>
            <w:tcW w:w="1638" w:type="dxa"/>
            <w:tcBorders>
              <w:top w:val="single" w:color="auto" w:sz="12" w:space="0"/>
              <w:bottom w:val="double" w:color="auto" w:sz="6" w:space="0"/>
            </w:tcBorders>
            <w:vAlign w:val="center"/>
          </w:tcPr>
          <w:p>
            <w:pPr>
              <w:pStyle w:val="14"/>
              <w:keepNext/>
              <w:spacing w:after="0" w:line="240" w:lineRule="atLeast"/>
              <w:ind w:left="63" w:right="63"/>
              <w:jc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14:textFill>
                  <w14:solidFill>
                    <w14:schemeClr w14:val="tx1"/>
                  </w14:solidFill>
                </w14:textFill>
              </w:rPr>
              <w:t>计量单位</w:t>
            </w:r>
          </w:p>
        </w:tc>
        <w:tc>
          <w:tcPr>
            <w:tcW w:w="1958" w:type="dxa"/>
            <w:tcBorders>
              <w:top w:val="single" w:color="auto" w:sz="12" w:space="0"/>
              <w:bottom w:val="double" w:color="auto" w:sz="6" w:space="0"/>
            </w:tcBorders>
            <w:vAlign w:val="center"/>
          </w:tcPr>
          <w:p>
            <w:pPr>
              <w:pStyle w:val="14"/>
              <w:keepNext/>
              <w:spacing w:after="0" w:line="240" w:lineRule="atLeast"/>
              <w:ind w:right="63"/>
              <w:jc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14:textFill>
                  <w14:solidFill>
                    <w14:schemeClr w14:val="tx1"/>
                  </w14:solidFill>
                </w14:textFill>
              </w:rPr>
              <w:t>暂估金额（元）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833" w:type="dxa"/>
            <w:tcBorders>
              <w:top w:val="double" w:color="auto" w:sz="6" w:space="0"/>
              <w:bottom w:val="single" w:color="auto" w:sz="6" w:space="0"/>
            </w:tcBorders>
            <w:vAlign w:val="center"/>
          </w:tcPr>
          <w:p>
            <w:pPr>
              <w:pStyle w:val="14"/>
              <w:keepNext/>
              <w:spacing w:after="0" w:line="240" w:lineRule="atLeast"/>
              <w:ind w:left="63" w:right="63"/>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3933" w:type="dxa"/>
            <w:tcBorders>
              <w:top w:val="double" w:color="auto" w:sz="6" w:space="0"/>
              <w:bottom w:val="single" w:color="auto" w:sz="6" w:space="0"/>
            </w:tcBorders>
            <w:vAlign w:val="center"/>
          </w:tcPr>
          <w:p>
            <w:pPr>
              <w:pStyle w:val="14"/>
              <w:keepNext/>
              <w:spacing w:after="0" w:line="240" w:lineRule="atLeast"/>
              <w:ind w:left="63" w:right="63"/>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1638" w:type="dxa"/>
            <w:tcBorders>
              <w:top w:val="double" w:color="auto" w:sz="6" w:space="0"/>
              <w:bottom w:val="single" w:color="auto" w:sz="6" w:space="0"/>
            </w:tcBorders>
            <w:vAlign w:val="center"/>
          </w:tcPr>
          <w:p>
            <w:pPr>
              <w:pStyle w:val="14"/>
              <w:keepNext/>
              <w:spacing w:after="0" w:line="240" w:lineRule="atLeast"/>
              <w:ind w:left="63" w:right="63"/>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1958" w:type="dxa"/>
            <w:tcBorders>
              <w:top w:val="double" w:color="auto" w:sz="6" w:space="0"/>
              <w:bottom w:val="single" w:color="auto" w:sz="6" w:space="0"/>
            </w:tcBorders>
            <w:vAlign w:val="center"/>
          </w:tcPr>
          <w:p>
            <w:pPr>
              <w:pStyle w:val="14"/>
              <w:keepNext/>
              <w:spacing w:after="0" w:line="240" w:lineRule="atLeast"/>
              <w:ind w:left="63" w:right="63"/>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0" w:hRule="atLeast"/>
          <w:jc w:val="center"/>
        </w:trPr>
        <w:tc>
          <w:tcPr>
            <w:tcW w:w="833" w:type="dxa"/>
            <w:tcBorders>
              <w:top w:val="nil"/>
            </w:tcBorders>
            <w:vAlign w:val="center"/>
          </w:tcPr>
          <w:p>
            <w:pPr>
              <w:pStyle w:val="14"/>
              <w:keepNext/>
              <w:spacing w:after="0" w:line="240" w:lineRule="atLeast"/>
              <w:ind w:left="63" w:right="63"/>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3933" w:type="dxa"/>
            <w:tcBorders>
              <w:top w:val="nil"/>
            </w:tcBorders>
            <w:vAlign w:val="center"/>
          </w:tcPr>
          <w:p>
            <w:pPr>
              <w:pStyle w:val="14"/>
              <w:keepNext/>
              <w:spacing w:after="0" w:line="240" w:lineRule="atLeast"/>
              <w:ind w:left="63" w:right="63"/>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1638" w:type="dxa"/>
            <w:tcBorders>
              <w:top w:val="nil"/>
            </w:tcBorders>
            <w:vAlign w:val="center"/>
          </w:tcPr>
          <w:p>
            <w:pPr>
              <w:pStyle w:val="14"/>
              <w:keepNext/>
              <w:spacing w:after="0" w:line="240" w:lineRule="atLeast"/>
              <w:ind w:left="63" w:right="63"/>
              <w:jc w:val="center"/>
              <w:rPr>
                <w:rFonts w:hint="eastAsia" w:ascii="宋体" w:hAnsi="宋体" w:eastAsia="宋体" w:cs="宋体"/>
                <w:color w:val="000000" w:themeColor="text1"/>
                <w:kern w:val="2"/>
                <w:sz w:val="22"/>
                <w:szCs w:val="22"/>
                <w14:textFill>
                  <w14:solidFill>
                    <w14:schemeClr w14:val="tx1"/>
                  </w14:solidFill>
                </w14:textFill>
              </w:rPr>
            </w:pPr>
          </w:p>
        </w:tc>
        <w:tc>
          <w:tcPr>
            <w:tcW w:w="1958" w:type="dxa"/>
            <w:tcBorders>
              <w:top w:val="nil"/>
            </w:tcBorders>
            <w:vAlign w:val="center"/>
          </w:tcPr>
          <w:p>
            <w:pPr>
              <w:pStyle w:val="14"/>
              <w:keepNext/>
              <w:spacing w:after="0" w:line="240" w:lineRule="atLeast"/>
              <w:ind w:left="63" w:right="63"/>
              <w:jc w:val="center"/>
              <w:rPr>
                <w:rFonts w:hint="default" w:ascii="宋体" w:hAnsi="宋体" w:eastAsia="宋体" w:cs="宋体"/>
                <w:color w:val="000000" w:themeColor="text1"/>
                <w:kern w:val="2"/>
                <w:sz w:val="22"/>
                <w:szCs w:val="22"/>
                <w:lang w:val="en-US"/>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833"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c>
          <w:tcPr>
            <w:tcW w:w="3933"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c>
          <w:tcPr>
            <w:tcW w:w="1638"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c>
          <w:tcPr>
            <w:tcW w:w="1958"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833"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c>
          <w:tcPr>
            <w:tcW w:w="3933"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c>
          <w:tcPr>
            <w:tcW w:w="1638"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c>
          <w:tcPr>
            <w:tcW w:w="1958" w:type="dxa"/>
            <w:tcBorders>
              <w:top w:val="nil"/>
            </w:tcBorders>
          </w:tcPr>
          <w:p>
            <w:pPr>
              <w:pStyle w:val="14"/>
              <w:keepNext/>
              <w:spacing w:after="0" w:line="440" w:lineRule="exact"/>
              <w:ind w:left="63" w:right="63"/>
              <w:rPr>
                <w:rFonts w:hint="eastAsia" w:ascii="宋体" w:hAnsi="宋体" w:eastAsia="宋体" w:cs="宋体"/>
                <w:color w:val="000000" w:themeColor="text1"/>
                <w:kern w:val="2"/>
                <w:sz w:val="21"/>
                <w:szCs w:val="21"/>
                <w14:textFill>
                  <w14:solidFill>
                    <w14:schemeClr w14:val="tx1"/>
                  </w14:solidFill>
                </w14:textFill>
              </w:rPr>
            </w:pPr>
          </w:p>
        </w:tc>
      </w:tr>
    </w:tbl>
    <w:p>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lang w:val="en-US" w:eastAsia="zh-CN"/>
        </w:rPr>
      </w:pPr>
    </w:p>
    <w:p>
      <w:pPr>
        <w:pageBreakBefore w:val="0"/>
        <w:widowControl w:val="0"/>
        <w:kinsoku/>
        <w:wordWrap/>
        <w:overflowPunct/>
        <w:topLinePunct w:val="0"/>
        <w:autoSpaceDE/>
        <w:autoSpaceDN/>
        <w:bidi w:val="0"/>
        <w:snapToGrid w:val="0"/>
        <w:spacing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四、商务要求</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、工期：</w:t>
      </w:r>
      <w:r>
        <w:rPr>
          <w:rFonts w:hint="eastAsia" w:ascii="宋体" w:hAnsi="宋体" w:eastAsia="宋体" w:cs="宋体"/>
          <w:sz w:val="21"/>
          <w:szCs w:val="21"/>
          <w:lang w:val="en-US" w:eastAsia="zh-CN"/>
        </w:rPr>
        <w:t>合同签订之日起30日历天</w:t>
      </w:r>
      <w:r>
        <w:rPr>
          <w:rFonts w:hint="eastAsia" w:ascii="宋体" w:hAnsi="宋体" w:eastAsia="宋体" w:cs="宋体"/>
          <w:sz w:val="21"/>
          <w:szCs w:val="21"/>
          <w:lang w:val="zh-CN" w:eastAsia="zh-CN"/>
        </w:rPr>
        <w:t>。</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、质保期：</w:t>
      </w:r>
      <w:r>
        <w:rPr>
          <w:rFonts w:hint="eastAsia" w:ascii="宋体" w:hAnsi="宋体" w:eastAsia="宋体" w:cs="宋体"/>
          <w:sz w:val="21"/>
          <w:szCs w:val="21"/>
          <w:lang w:val="en-US" w:eastAsia="zh-CN"/>
        </w:rPr>
        <w:t>自工程竣工验收合格之日起1年。</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、安全要求</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遵守国家的相关安全规定。合同执行过程中供应商应对自身安全负责，施工期内</w:t>
      </w:r>
      <w:r>
        <w:rPr>
          <w:rFonts w:hint="eastAsia" w:ascii="宋体" w:hAnsi="宋体" w:eastAsia="宋体" w:cs="宋体"/>
          <w:sz w:val="21"/>
          <w:szCs w:val="21"/>
          <w:lang w:val="zh-CN" w:eastAsia="zh-CN"/>
        </w:rPr>
        <w:t>的人员伤亡</w:t>
      </w:r>
      <w:r>
        <w:rPr>
          <w:rFonts w:hint="eastAsia" w:ascii="宋体" w:hAnsi="宋体" w:eastAsia="宋体" w:cs="宋体"/>
          <w:sz w:val="21"/>
          <w:szCs w:val="21"/>
          <w:lang w:val="zh-CN"/>
        </w:rPr>
        <w:t>及</w:t>
      </w:r>
      <w:r>
        <w:rPr>
          <w:rFonts w:hint="eastAsia" w:ascii="宋体" w:hAnsi="宋体" w:eastAsia="宋体" w:cs="宋体"/>
          <w:sz w:val="21"/>
          <w:szCs w:val="21"/>
          <w:lang w:val="zh-CN" w:eastAsia="zh-CN"/>
        </w:rPr>
        <w:t>财产损失</w:t>
      </w:r>
      <w:r>
        <w:rPr>
          <w:rFonts w:hint="eastAsia" w:ascii="宋体" w:hAnsi="宋体" w:eastAsia="宋体" w:cs="宋体"/>
          <w:sz w:val="21"/>
          <w:szCs w:val="21"/>
          <w:lang w:val="zh-CN"/>
        </w:rPr>
        <w:t>等问题由成交供应商负责并承担相关责任及费用。</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4、质量标准：</w:t>
      </w:r>
      <w:r>
        <w:rPr>
          <w:rFonts w:hint="eastAsia" w:ascii="宋体" w:hAnsi="宋体" w:eastAsia="宋体" w:cs="宋体"/>
          <w:sz w:val="21"/>
          <w:szCs w:val="21"/>
          <w:lang w:val="zh-CN"/>
        </w:rPr>
        <w:t>达到国家现行施工验收规范“合格”标准</w:t>
      </w:r>
      <w:r>
        <w:rPr>
          <w:rFonts w:hint="eastAsia" w:ascii="宋体" w:hAnsi="宋体" w:eastAsia="宋体" w:cs="宋体"/>
          <w:sz w:val="21"/>
          <w:szCs w:val="21"/>
          <w:lang w:val="zh-CN" w:eastAsia="zh-CN"/>
        </w:rPr>
        <w:t>。</w:t>
      </w:r>
    </w:p>
    <w:p>
      <w:pPr>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5、执行的法律法规、技术规范</w:t>
      </w:r>
    </w:p>
    <w:p>
      <w:pPr>
        <w:pageBreakBefore w:val="0"/>
        <w:widowControl w:val="0"/>
        <w:numPr>
          <w:ilvl w:val="0"/>
          <w:numId w:val="0"/>
        </w:numPr>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b w:val="0"/>
          <w:bCs/>
          <w:color w:val="auto"/>
          <w:sz w:val="21"/>
          <w:szCs w:val="21"/>
          <w:highlight w:val="none"/>
        </w:rPr>
        <w:t>执行国家、省、市现行的相关规定及标准文件。具体技术要求包括但不限于以下规定、标准、规范</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《中华人民共和国安全生产法》；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《陕西省建设工程质量安全管理条例》；</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《施工现场临时用电安全技术规范》；</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《中华人民共和国建筑法》；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《咸阳市建筑垃圾管理办法》；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《咸阳市治污减霾网格化管理工作实施方案》；</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《建设工程安全生产管理条例》。</w:t>
      </w:r>
    </w:p>
    <w:p>
      <w:pPr>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以上规范、标准如遇调整或最新规范时，以调整后或最新规范内容为准</w:t>
      </w:r>
      <w:r>
        <w:rPr>
          <w:rFonts w:hint="eastAsia" w:ascii="宋体" w:hAnsi="宋体" w:eastAsia="宋体" w:cs="宋体"/>
          <w:color w:val="auto"/>
          <w:sz w:val="21"/>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r>
        <w:rPr>
          <w:rFonts w:hint="eastAsia" w:ascii="宋体" w:hAnsi="宋体" w:eastAsia="宋体" w:cs="宋体"/>
          <w:kern w:val="2"/>
          <w:sz w:val="21"/>
          <w:szCs w:val="21"/>
          <w:lang w:val="zh-CN" w:eastAsia="zh-CN" w:bidi="ar-SA"/>
        </w:rPr>
        <w:t>、付款方式及依据</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6.1付款方式：合同签订后支付合同价款的40%预付款，竣工验收合格后支付至合同价款的97%，剩余</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3%合同额作为质保金，待</w:t>
      </w:r>
      <w:r>
        <w:rPr>
          <w:rFonts w:hint="eastAsia" w:ascii="宋体" w:hAnsi="宋体" w:cs="宋体"/>
          <w:color w:val="auto"/>
          <w:sz w:val="21"/>
          <w:szCs w:val="21"/>
          <w:highlight w:val="none"/>
          <w:lang w:val="en-US" w:eastAsia="zh-CN"/>
        </w:rPr>
        <w:t>质保期满</w:t>
      </w:r>
      <w:r>
        <w:rPr>
          <w:rFonts w:hint="eastAsia" w:ascii="宋体" w:hAnsi="宋体" w:eastAsia="宋体" w:cs="宋体"/>
          <w:color w:val="auto"/>
          <w:sz w:val="21"/>
          <w:szCs w:val="21"/>
          <w:highlight w:val="none"/>
          <w:lang w:val="en-US" w:eastAsia="zh-CN"/>
        </w:rPr>
        <w:t>后支付。</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6.2付款依据：采购人出具的验收报告、供应商提供的等额发票。</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7、验收：</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7.1验收流程</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7.1.1项目在竣工后，成交人应向采购人提交工程竣工报告，申请工程竣工验收，并将施工过程中相</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关资料提交采购人。</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7.1.2采购人收到工程竣工报告后，对符合竣工验收要求的工程，组织相关单位和其他有关方面的专</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家组成验收组共同验收，签署的工程竣工验收意见。</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7.1.3验收合格后，采购人出具《工程竣工验收报告》，并在建设行政主管部门备案。</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7.1.4验收不合格的成交单位，必须在接到通知后7个日历日内确保工程通过验收。如接到通知后7</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个日历日内验收仍不合格，采购人可提出索赔或取消其施工合同。</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7.2验收标准按照国家、行业有关规范和要求执行。</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7.3.成交人承诺完全达到国家有关部门验收标准，并全部通过验收为交付使用的基本条件，验收过程</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中的一切费用由成交人承担。</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7.4.验收依据</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7.4.1合同文本及合同补充文件（条款）。 </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7.4.2谈判文件。</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7.4.3谈判响应文件。</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7.4.4工程量清单。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7.4.5建筑工程施工质量验收统一标准。</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8、质量保证和售后服务</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8.1质保期符合国家标准要求。成交人承诺的质保时间超过国家标准要求的，按其承诺时间质保。</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8.2工程质量等级达到合格或以上标准。</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8.3成交人承诺的质保期起始时间为终验合格之日。</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8.4成交人应遵照国家规范规定的建筑工程施工质量标准及要求作出明确承诺。</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8.5在质量保证期内，成交人应具有良好、迅速的售后服务能力。</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9、合同实施：</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9.1成交人应在合同签订后，依据采购人提供的平面布置图，向采购人提交项目图纸，审核合格后方</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可施工。</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9.2图纸审核通过后7个日历日内安排人员（项目组成人员简历表所列）就施工工作等进行安排、部</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署。</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9.3若因成交人原因未能在规定工期内完成合同规定的义务，由此对采购人造成的延误和一切损失，</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由成交人承担和赔偿。</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10、违约责任</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10.1按《中华人民共和国民法典》中的相关条款执行。</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10.2未按合同要求提供工程质量或工程质量不能满足技术要求，采购人有权终止合同，并对供方违约</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行为进行追究，同时按《中华人民共和国政府采购法》的有关规定进行处罚。</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11、所使用的原材质、材料需提交相关文本资料，采购项目竣工验收资料。</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-----工程项目开工报告；</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-----工程项目竣工报告；</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-----图纸会审和设计交底记录；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-----设计变更通知单；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-----技术变更核定单；</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-----工程质量事故发生后调查和处理资料；</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-----设备、材料、构件的质量合格证明资料；</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-----隐蔽（陷落）工程验收记录及施工日志；</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-----竣工图；</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-----质量检验评定资料；</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-----工程竣工验收资料；</w:t>
      </w:r>
    </w:p>
    <w:p>
      <w:pPr>
        <w:keepNext w:val="0"/>
        <w:keepLines w:val="0"/>
        <w:pageBreakBefore w:val="0"/>
        <w:widowControl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color w:val="auto"/>
          <w:sz w:val="28"/>
          <w:szCs w:val="28"/>
        </w:rPr>
      </w:pPr>
      <w:r>
        <w:rPr>
          <w:rFonts w:hint="eastAsia" w:ascii="宋体" w:hAnsi="宋体" w:eastAsia="宋体" w:cs="宋体"/>
          <w:color w:val="auto"/>
          <w:sz w:val="21"/>
          <w:szCs w:val="21"/>
          <w:highlight w:val="none"/>
          <w:lang w:val="en-US" w:eastAsia="zh-CN"/>
        </w:rPr>
        <w:t>-----其他相关技术文件。</w:t>
      </w:r>
    </w:p>
    <w:p>
      <w:pPr>
        <w:spacing w:line="500" w:lineRule="exact"/>
        <w:ind w:firstLine="480" w:firstLineChars="200"/>
        <w:jc w:val="left"/>
        <w:rPr>
          <w:rFonts w:hint="eastAsia" w:ascii="宋体" w:hAnsi="宋体"/>
          <w:b/>
          <w:color w:val="auto"/>
          <w:sz w:val="24"/>
          <w:szCs w:val="24"/>
        </w:rPr>
      </w:pPr>
      <w:r>
        <w:rPr>
          <w:rFonts w:hint="eastAsia" w:ascii="宋体" w:hAnsi="宋体"/>
          <w:b/>
          <w:color w:val="auto"/>
          <w:sz w:val="24"/>
          <w:szCs w:val="24"/>
        </w:rPr>
        <w:t>注：商务要求为实质性要求，不得负偏离。</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880" w:firstLineChars="200"/>
        <w:jc w:val="center"/>
        <w:textAlignment w:val="auto"/>
        <w:outlineLvl w:val="0"/>
        <w:rPr>
          <w:rFonts w:hint="eastAsia" w:ascii="宋体" w:hAnsi="宋体" w:eastAsia="宋体" w:cs="Times New Roman"/>
          <w:b/>
          <w:color w:val="auto"/>
          <w:kern w:val="44"/>
          <w:sz w:val="44"/>
          <w:szCs w:val="44"/>
          <w:highlight w:val="none"/>
          <w:lang w:val="en-US" w:eastAsia="zh-CN" w:bidi="ar-SA"/>
        </w:rPr>
      </w:pPr>
    </w:p>
    <w:p>
      <w:pPr>
        <w:pStyle w:val="2"/>
        <w:rPr>
          <w:rFonts w:hint="eastAsia" w:ascii="宋体" w:hAnsi="宋体" w:eastAsia="宋体" w:cs="Times New Roman"/>
          <w:b/>
          <w:color w:val="auto"/>
          <w:kern w:val="44"/>
          <w:sz w:val="44"/>
          <w:szCs w:val="44"/>
          <w:highlight w:val="none"/>
          <w:lang w:val="en-US" w:eastAsia="zh-CN" w:bidi="ar-SA"/>
        </w:rPr>
      </w:pPr>
    </w:p>
    <w:p>
      <w:pPr>
        <w:rPr>
          <w:rFonts w:hint="eastAsia"/>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880" w:firstLineChars="200"/>
        <w:jc w:val="center"/>
        <w:textAlignment w:val="auto"/>
        <w:outlineLvl w:val="0"/>
        <w:rPr>
          <w:rFonts w:ascii="宋体" w:hAnsi="宋体" w:cs="宋体"/>
          <w:color w:val="auto"/>
          <w:sz w:val="24"/>
          <w:highlight w:val="none"/>
        </w:rPr>
      </w:pPr>
      <w:bookmarkStart w:id="96" w:name="_Toc16126"/>
      <w:r>
        <w:rPr>
          <w:rFonts w:hint="eastAsia" w:ascii="宋体" w:hAnsi="宋体" w:eastAsia="宋体" w:cs="Times New Roman"/>
          <w:b/>
          <w:color w:val="auto"/>
          <w:kern w:val="44"/>
          <w:sz w:val="44"/>
          <w:szCs w:val="44"/>
          <w:highlight w:val="none"/>
          <w:lang w:val="en-US" w:eastAsia="zh-CN" w:bidi="ar-SA"/>
        </w:rPr>
        <w:t>第五章 合同主要条款</w:t>
      </w:r>
      <w:bookmarkEnd w:id="96"/>
    </w:p>
    <w:p>
      <w:pPr>
        <w:autoSpaceDE w:val="0"/>
        <w:autoSpaceDN w:val="0"/>
        <w:adjustRightInd w:val="0"/>
        <w:jc w:val="center"/>
        <w:rPr>
          <w:rFonts w:eastAsia="仿宋_GB2312"/>
          <w:b/>
          <w:bCs/>
          <w:color w:val="auto"/>
          <w:sz w:val="28"/>
          <w:szCs w:val="28"/>
          <w:lang w:val="zh-CN"/>
        </w:rPr>
      </w:pPr>
    </w:p>
    <w:p>
      <w:pPr>
        <w:jc w:val="center"/>
        <w:rPr>
          <w:rFonts w:hint="eastAsia"/>
          <w:b/>
          <w:bCs/>
          <w:sz w:val="32"/>
          <w:szCs w:val="32"/>
        </w:rPr>
      </w:pPr>
      <w:r>
        <w:rPr>
          <w:rFonts w:hint="eastAsia"/>
          <w:b/>
          <w:bCs/>
          <w:sz w:val="32"/>
          <w:szCs w:val="32"/>
        </w:rPr>
        <w:t>第一部分 合同协议书</w:t>
      </w:r>
    </w:p>
    <w:p>
      <w:pPr>
        <w:jc w:val="center"/>
        <w:rPr>
          <w:rFonts w:hint="eastAsia"/>
        </w:rPr>
      </w:pPr>
      <w:r>
        <w:rPr>
          <w:rFonts w:hint="eastAsia"/>
        </w:rPr>
        <w:t>（略，见GF-2017-0201）</w:t>
      </w:r>
    </w:p>
    <w:p>
      <w:pPr>
        <w:rPr>
          <w:rFonts w:hint="eastAsia" w:ascii="宋体" w:hAnsi="宋体" w:eastAsia="宋体" w:cs="宋体"/>
          <w:color w:val="auto"/>
          <w:highlight w:val="none"/>
        </w:rPr>
      </w:pPr>
    </w:p>
    <w:p>
      <w:pPr>
        <w:jc w:val="center"/>
        <w:rPr>
          <w:rFonts w:hint="eastAsia"/>
          <w:b/>
          <w:bCs/>
          <w:sz w:val="32"/>
          <w:szCs w:val="32"/>
        </w:rPr>
      </w:pPr>
      <w:r>
        <w:rPr>
          <w:rFonts w:hint="eastAsia"/>
          <w:b/>
          <w:bCs/>
          <w:sz w:val="32"/>
          <w:szCs w:val="32"/>
        </w:rPr>
        <w:t>第二部分 通用合同条款</w:t>
      </w:r>
    </w:p>
    <w:p>
      <w:pPr>
        <w:jc w:val="center"/>
        <w:rPr>
          <w:rFonts w:hint="eastAsia" w:ascii="宋体" w:hAnsi="宋体" w:eastAsia="宋体" w:cs="宋体"/>
          <w:b w:val="0"/>
          <w:color w:val="auto"/>
          <w:sz w:val="21"/>
          <w:szCs w:val="21"/>
          <w:highlight w:val="none"/>
        </w:rPr>
      </w:pPr>
      <w:bookmarkStart w:id="97" w:name="_Hlk504573683"/>
      <w:r>
        <w:rPr>
          <w:rFonts w:hint="eastAsia" w:ascii="宋体" w:hAnsi="宋体" w:eastAsia="宋体" w:cs="宋体"/>
          <w:b w:val="0"/>
          <w:color w:val="auto"/>
          <w:sz w:val="21"/>
          <w:szCs w:val="21"/>
          <w:highlight w:val="none"/>
        </w:rPr>
        <w:t>（略，见GF-2017-0201）</w:t>
      </w:r>
    </w:p>
    <w:bookmarkEnd w:id="97"/>
    <w:p>
      <w:pPr>
        <w:rPr>
          <w:rFonts w:hint="eastAsia"/>
        </w:rPr>
      </w:pPr>
    </w:p>
    <w:p>
      <w:pPr>
        <w:jc w:val="center"/>
        <w:rPr>
          <w:rFonts w:hint="eastAsia"/>
          <w:b/>
          <w:bCs/>
          <w:sz w:val="32"/>
          <w:szCs w:val="32"/>
        </w:rPr>
      </w:pPr>
      <w:r>
        <w:rPr>
          <w:rFonts w:hint="eastAsia"/>
          <w:b/>
          <w:bCs/>
          <w:sz w:val="32"/>
          <w:szCs w:val="32"/>
        </w:rPr>
        <w:t>第三部分 专用合同条款</w:t>
      </w:r>
    </w:p>
    <w:p>
      <w:pPr>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（只列出了主要合同专用条款，其余条款见GF-2017-0201）</w:t>
      </w:r>
    </w:p>
    <w:p>
      <w:pPr>
        <w:rPr>
          <w:rFonts w:hint="eastAsia" w:ascii="宋体" w:hAnsi="宋体" w:eastAsia="宋体" w:cs="宋体"/>
          <w:color w:val="auto"/>
          <w:highlight w:val="none"/>
        </w:rPr>
      </w:pPr>
    </w:p>
    <w:p>
      <w:pPr>
        <w:pStyle w:val="91"/>
        <w:spacing w:line="480" w:lineRule="exact"/>
        <w:ind w:firstLine="0"/>
        <w:rPr>
          <w:rFonts w:hint="eastAsia" w:ascii="宋体" w:hAnsi="宋体" w:eastAsia="宋体" w:cs="仿宋"/>
          <w:bCs/>
          <w:color w:val="auto"/>
          <w:sz w:val="22"/>
          <w:szCs w:val="22"/>
        </w:rPr>
      </w:pPr>
      <w:r>
        <w:rPr>
          <w:rFonts w:hint="eastAsia" w:ascii="宋体" w:hAnsi="宋体" w:eastAsia="宋体" w:cs="仿宋"/>
          <w:bCs/>
          <w:color w:val="auto"/>
          <w:sz w:val="22"/>
          <w:szCs w:val="22"/>
        </w:rPr>
        <w:t>（一）、词语定义及合同文件</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合同文件及解释顺序</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合同文件及解释顺序：执行《通用条款》第2.1条款</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语言文字和适用法律、标准及规范</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2.1 本合同只使用汉语。</w:t>
      </w:r>
    </w:p>
    <w:p>
      <w:pPr>
        <w:spacing w:line="480" w:lineRule="exact"/>
        <w:ind w:firstLine="440" w:firstLineChars="200"/>
        <w:rPr>
          <w:rFonts w:hint="eastAsia" w:ascii="宋体" w:hAnsi="宋体" w:cs="仿宋"/>
          <w:bCs/>
          <w:color w:val="auto"/>
          <w:sz w:val="22"/>
          <w:szCs w:val="22"/>
        </w:rPr>
      </w:pPr>
      <w:r>
        <w:rPr>
          <w:rFonts w:hint="eastAsia" w:ascii="宋体" w:hAnsi="宋体" w:cs="仿宋"/>
          <w:bCs/>
          <w:color w:val="auto"/>
          <w:sz w:val="22"/>
          <w:szCs w:val="22"/>
        </w:rPr>
        <w:t>2.2 适用法律、法规：</w:t>
      </w:r>
      <w:r>
        <w:rPr>
          <w:rFonts w:hint="eastAsia" w:ascii="宋体" w:hAnsi="宋体" w:cs="仿宋"/>
          <w:bCs/>
          <w:color w:val="auto"/>
          <w:sz w:val="22"/>
          <w:szCs w:val="22"/>
          <w:lang w:val="zh-CN"/>
        </w:rPr>
        <w:t>《中华人民共和国建筑法》、《中华人民共和国政府采购法》、《中华人民共和国民法典》。</w:t>
      </w:r>
      <w:r>
        <w:rPr>
          <w:rFonts w:hint="eastAsia" w:ascii="宋体" w:hAnsi="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2.3 适用标准、规范</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适用标准、规范的名称：</w:t>
      </w:r>
      <w:r>
        <w:rPr>
          <w:rFonts w:hint="eastAsia" w:ascii="宋体" w:hAnsi="宋体" w:eastAsia="宋体" w:cs="仿宋"/>
          <w:bCs/>
          <w:color w:val="auto"/>
          <w:sz w:val="22"/>
          <w:szCs w:val="22"/>
          <w:lang w:val="zh-CN"/>
        </w:rPr>
        <w:t>执行国家建筑工程施工及验收规范标准以及材料、设备所涉及的现行国家、省、市或行业的工程建设标准、规范的要求。</w:t>
      </w:r>
      <w:r>
        <w:rPr>
          <w:rFonts w:hint="eastAsia" w:ascii="宋体" w:hAnsi="宋体" w:eastAsia="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发包人提供标准、规范的时间：</w:t>
      </w:r>
      <w:r>
        <w:rPr>
          <w:rFonts w:hint="eastAsia" w:ascii="宋体" w:hAnsi="宋体" w:eastAsia="宋体" w:cs="仿宋"/>
          <w:bCs/>
          <w:color w:val="auto"/>
          <w:sz w:val="22"/>
          <w:szCs w:val="22"/>
          <w:lang w:val="zh-CN"/>
        </w:rPr>
        <w:t>按生产企业在技术监督局的备案标准、并经监理工程师和业主同意。</w:t>
      </w:r>
      <w:r>
        <w:rPr>
          <w:rFonts w:hint="eastAsia" w:ascii="宋体" w:hAnsi="宋体" w:eastAsia="宋体" w:cs="仿宋"/>
          <w:bCs/>
          <w:color w:val="auto"/>
          <w:sz w:val="22"/>
          <w:szCs w:val="22"/>
        </w:rPr>
        <w:t xml:space="preserve">                                 </w:t>
      </w:r>
    </w:p>
    <w:p>
      <w:pPr>
        <w:spacing w:line="480" w:lineRule="exact"/>
        <w:rPr>
          <w:rFonts w:hint="eastAsia" w:ascii="宋体" w:hAnsi="宋体" w:cs="仿宋"/>
          <w:bCs/>
          <w:color w:val="auto"/>
          <w:sz w:val="22"/>
          <w:szCs w:val="22"/>
        </w:rPr>
      </w:pPr>
      <w:r>
        <w:rPr>
          <w:rFonts w:hint="eastAsia" w:ascii="宋体" w:hAnsi="宋体" w:cs="仿宋"/>
          <w:bCs/>
          <w:color w:val="auto"/>
          <w:sz w:val="22"/>
          <w:szCs w:val="22"/>
        </w:rPr>
        <w:t xml:space="preserve">    国内没有相应标准、规范时的约定：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3</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图纸</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3.1发包人向承包人提供图纸日期和套数：                           </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rPr>
        <w:t>发包人对图纸的保密要求：</w:t>
      </w:r>
      <w:r>
        <w:rPr>
          <w:rFonts w:hint="eastAsia" w:ascii="宋体" w:hAnsi="宋体" w:cs="仿宋"/>
          <w:bCs/>
          <w:color w:val="auto"/>
          <w:sz w:val="22"/>
          <w:szCs w:val="22"/>
          <w:lang w:val="zh-CN"/>
        </w:rPr>
        <w:t>不得外传、外借，仅用于本工程的施工及验收的全过程。</w:t>
      </w:r>
      <w:r>
        <w:rPr>
          <w:rFonts w:hint="eastAsia" w:ascii="宋体" w:hAnsi="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使用国外图纸的要求及费用承担：                                  </w:t>
      </w:r>
    </w:p>
    <w:p>
      <w:pPr>
        <w:pStyle w:val="91"/>
        <w:spacing w:line="480" w:lineRule="exact"/>
        <w:ind w:firstLine="0"/>
        <w:rPr>
          <w:rFonts w:hint="eastAsia" w:ascii="宋体" w:hAnsi="宋体" w:eastAsia="宋体" w:cs="仿宋"/>
          <w:bCs/>
          <w:color w:val="auto"/>
          <w:sz w:val="22"/>
          <w:szCs w:val="22"/>
        </w:rPr>
      </w:pPr>
      <w:r>
        <w:rPr>
          <w:rFonts w:hint="eastAsia" w:ascii="宋体" w:hAnsi="宋体" w:eastAsia="宋体" w:cs="仿宋"/>
          <w:bCs/>
          <w:color w:val="auto"/>
          <w:sz w:val="22"/>
          <w:szCs w:val="22"/>
        </w:rPr>
        <w:t>（二）双方一般权利和义务</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4</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工程师</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4.1 监理单位委派的工程师</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姓名：            职务：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发包人委托的职权：</w:t>
      </w:r>
      <w:r>
        <w:rPr>
          <w:rFonts w:hint="eastAsia" w:ascii="宋体" w:hAnsi="宋体" w:eastAsia="宋体" w:cs="仿宋"/>
          <w:bCs/>
          <w:color w:val="auto"/>
          <w:sz w:val="22"/>
          <w:szCs w:val="22"/>
          <w:lang w:val="zh-CN"/>
        </w:rPr>
        <w:t>按照发包方与监理单位签订的“监理合同”中约定的发包方授权和委托，对本工程施工过程的质量、安全、进度控制、合同管理和信息管理，施工中各种矛盾组织协调工作及全程监理。</w:t>
      </w:r>
      <w:r>
        <w:rPr>
          <w:rFonts w:hint="eastAsia" w:ascii="宋体" w:hAnsi="宋体" w:eastAsia="宋体" w:cs="仿宋"/>
          <w:bCs/>
          <w:color w:val="auto"/>
          <w:sz w:val="22"/>
          <w:szCs w:val="22"/>
        </w:rPr>
        <w:t xml:space="preserve">                                                                </w:t>
      </w:r>
    </w:p>
    <w:p>
      <w:pPr>
        <w:spacing w:line="480" w:lineRule="exact"/>
        <w:ind w:firstLine="480"/>
        <w:rPr>
          <w:rFonts w:hint="eastAsia" w:ascii="宋体" w:hAnsi="宋体" w:cs="仿宋"/>
          <w:bCs/>
          <w:color w:val="auto"/>
          <w:sz w:val="22"/>
          <w:szCs w:val="22"/>
        </w:rPr>
      </w:pPr>
      <w:r>
        <w:rPr>
          <w:rFonts w:hint="eastAsia" w:ascii="宋体" w:hAnsi="宋体" w:cs="仿宋"/>
          <w:bCs/>
          <w:color w:val="auto"/>
          <w:sz w:val="22"/>
          <w:szCs w:val="22"/>
        </w:rPr>
        <w:t>需要取得发包人批准才能行使的职权：</w:t>
      </w:r>
      <w:r>
        <w:rPr>
          <w:rFonts w:hint="eastAsia" w:ascii="宋体" w:hAnsi="宋体" w:cs="仿宋"/>
          <w:bCs/>
          <w:color w:val="auto"/>
          <w:sz w:val="22"/>
          <w:szCs w:val="22"/>
          <w:lang w:val="zh-CN"/>
        </w:rPr>
        <w:t>重大工程洽商、设计变更、发包人指定价的认质认价等在决策之前需经业主同意。</w:t>
      </w:r>
      <w:r>
        <w:rPr>
          <w:rFonts w:hint="eastAsia" w:ascii="宋体" w:hAnsi="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4.2 发包人派驻的工程师</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 xml:space="preserve">姓名：         职务：          </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rPr>
        <w:t xml:space="preserve"> </w:t>
      </w:r>
      <w:r>
        <w:rPr>
          <w:rFonts w:hint="eastAsia" w:ascii="宋体" w:hAnsi="宋体" w:eastAsia="宋体" w:cs="仿宋"/>
          <w:bCs/>
          <w:color w:val="auto"/>
          <w:sz w:val="22"/>
          <w:szCs w:val="22"/>
          <w:lang w:val="zh-CN"/>
        </w:rPr>
        <w:t>职权：负责重大工程洽商、设计变更、发包人指定价的认质认价、施工全过程内、外部关系协调、处理往来文件，对工程进度、质量、造价进行管理。</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不实行监理的，工程师的职权： 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5</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项目经理</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姓名：              资质：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6</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发包人工作</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6.1发包人应按约定的时间和要求完成以下工作：</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（1）施工场地具备施工条件的要求及完成的时间：工程开工前5日内。</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2）将施工所需的水、电、电讯线路接至施工场地的时间、地点和供应要求：执行《通用条款》8.1.（2）款。将水、电引至施工现场。安装电表，供电线路由施工单位安装并向发包人交纳水、电费。其计量和计价方法为：按供水、供电管理部门公布的收费标准及公摊损耗量由施工单位全额缴纳。</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（3）施工场地与公共道路的通道开通时间和要求：工程开工前 5日内。</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 xml:space="preserve">（4）工程地质和地下管线资料的提供时间：工程开工前5日内。 </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（5）由发包人办理的施工所需证件、批件的名称和完成时间：工程开工前5日内。</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（6）水准点与座标控制点交验要求：执行《通用条款》8.1.（6）款。</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（7）图纸会审和设计交底时间：工程开工前 5日内。</w:t>
      </w:r>
    </w:p>
    <w:p>
      <w:pPr>
        <w:pStyle w:val="91"/>
        <w:spacing w:line="48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（8）协调处理施工场地周围地下管线和邻近建筑物、构筑物（含文物保护建筑）、古树名木的保护工作：由发包人负责保护。</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lang w:val="zh-CN"/>
        </w:rPr>
        <w:t>（9）双方约定发包人应做的其他工作：无</w:t>
      </w:r>
      <w:r>
        <w:rPr>
          <w:rFonts w:hint="eastAsia" w:ascii="宋体" w:hAnsi="宋体" w:eastAsia="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6.2发包人委托承包人办理的</w:t>
      </w:r>
      <w:r>
        <w:rPr>
          <w:rFonts w:hint="eastAsia" w:ascii="宋体" w:hAnsi="宋体" w:eastAsia="宋体" w:cs="仿宋"/>
          <w:bCs/>
          <w:color w:val="auto"/>
          <w:sz w:val="22"/>
          <w:szCs w:val="22"/>
          <w:lang w:val="zh-CN"/>
        </w:rPr>
        <w:t xml:space="preserve">工作：配合发包人办理施工许可证、质量监督等手续。                        </w:t>
      </w:r>
      <w:r>
        <w:rPr>
          <w:rFonts w:hint="eastAsia" w:ascii="宋体" w:hAnsi="宋体" w:eastAsia="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7</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承包人工作</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承包人应按约定时间和要求，完成以下工作：</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（1）需由设计资质等级和业务范围允许的承包人完成的设计文件提交时间：无</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（2）应提供计划、报表的名称及完成时间：每月1日向业主、监理单位报送 2份《通用条款》9.1.（2）款规定的报表。</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（3）承担施工安全保卫工作及非夜间施工照明的责任和要求：执行《通用条款》9.1.（3）款。</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（4）向发包人提供的办公和生活房屋及设施的要求：为甲方工地代表提供办公室2间，为监理工程师提供办公室2间、宿舍房1间，不配备办公家具，其费用已包含在合同价内。</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（5）需承包人办理的有关施工场地交通、环卫和施工噪音管理等手续：执行《通用条款》9.1.（5）款。</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（6）已完工程成品保护的特殊要求及费用承担：执行《通用条款》9.1.（6）款。</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（7）施工场地周围地下管线和邻近建筑物、构筑物（含文物保护建筑）、古树名木的保护要求及费用承担：执行《通用条款》9.1.（7）款。</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lang w:val="zh-CN"/>
        </w:rPr>
        <w:t>（8）施工场地清洁卫生的要求：承包方式执行《通用条款》9.1.（8）款。交工前应达到工完场清条件及文明工地要求。</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lang w:val="zh-CN"/>
        </w:rPr>
        <w:t>（9）双方约定承包人应做的其他工作：无。</w:t>
      </w:r>
      <w:r>
        <w:rPr>
          <w:rFonts w:hint="eastAsia" w:ascii="宋体" w:hAnsi="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（三）施工组织设计和工期</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8</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进度计划</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8.1承包人提供施工组织设计（施工方案）和进度计划的时间：</w:t>
      </w:r>
      <w:r>
        <w:rPr>
          <w:rFonts w:hint="eastAsia" w:ascii="宋体" w:hAnsi="宋体" w:eastAsia="宋体" w:cs="仿宋"/>
          <w:bCs/>
          <w:color w:val="auto"/>
          <w:sz w:val="22"/>
          <w:szCs w:val="22"/>
          <w:lang w:val="zh-CN"/>
        </w:rPr>
        <w:t>开工前十日内。</w:t>
      </w:r>
      <w:r>
        <w:rPr>
          <w:rFonts w:hint="eastAsia" w:ascii="宋体" w:hAnsi="宋体" w:eastAsia="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工程师确认的时间： </w:t>
      </w:r>
      <w:r>
        <w:rPr>
          <w:rFonts w:hint="eastAsia" w:ascii="宋体" w:hAnsi="宋体" w:eastAsia="宋体" w:cs="仿宋"/>
          <w:bCs/>
          <w:color w:val="auto"/>
          <w:sz w:val="22"/>
          <w:szCs w:val="22"/>
          <w:lang w:val="zh-CN"/>
        </w:rPr>
        <w:t>五日内。</w:t>
      </w:r>
      <w:r>
        <w:rPr>
          <w:rFonts w:hint="eastAsia" w:ascii="宋体" w:hAnsi="宋体" w:eastAsia="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8.2群体工程中有关进度计划的要求：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9</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工期延误</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9.1双方约定工期顺延的其他情况： </w:t>
      </w:r>
      <w:r>
        <w:rPr>
          <w:rFonts w:hint="eastAsia" w:ascii="宋体" w:hAnsi="宋体" w:eastAsia="宋体" w:cs="仿宋"/>
          <w:bCs/>
          <w:color w:val="auto"/>
          <w:sz w:val="22"/>
          <w:szCs w:val="22"/>
          <w:lang w:val="zh-CN"/>
        </w:rPr>
        <w:t>执行《通用条款》13条。工期提前无奖励。工期每推迟一天除按2000元处罚外，若影响到发包人使用时应赔偿由此给甲方造成的损失。</w:t>
      </w:r>
      <w:r>
        <w:rPr>
          <w:rFonts w:hint="eastAsia" w:ascii="宋体" w:hAnsi="宋体" w:eastAsia="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（四）质量与验收</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10</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隐蔽工程和中间验收</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10.1双方约定中间验收部位：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11</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工程试车</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rPr>
        <w:t>11.1试车费用的承担：</w:t>
      </w:r>
      <w:r>
        <w:rPr>
          <w:rFonts w:hint="eastAsia" w:ascii="宋体" w:hAnsi="宋体" w:cs="仿宋"/>
          <w:bCs/>
          <w:color w:val="auto"/>
          <w:sz w:val="22"/>
          <w:szCs w:val="22"/>
          <w:lang w:val="zh-CN"/>
        </w:rPr>
        <w:t xml:space="preserve">动力照明通电费、给排水、采暖及卫生设备试水费均由承包人承担。                 </w:t>
      </w:r>
      <w:r>
        <w:rPr>
          <w:rFonts w:hint="eastAsia" w:ascii="宋体" w:hAnsi="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（五）安全施工</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（六）合同价款与支付</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12</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合同价款及调整：</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12.1 本合同价款采用</w:t>
      </w:r>
      <w:r>
        <w:rPr>
          <w:rFonts w:hint="eastAsia" w:ascii="宋体" w:hAnsi="宋体" w:eastAsia="宋体" w:cs="仿宋"/>
          <w:bCs/>
          <w:color w:val="auto"/>
          <w:sz w:val="22"/>
          <w:szCs w:val="22"/>
          <w:u w:val="single"/>
        </w:rPr>
        <w:t xml:space="preserve">            </w:t>
      </w:r>
      <w:r>
        <w:rPr>
          <w:rFonts w:hint="eastAsia" w:ascii="宋体" w:hAnsi="宋体" w:eastAsia="宋体" w:cs="仿宋"/>
          <w:bCs/>
          <w:color w:val="auto"/>
          <w:sz w:val="22"/>
          <w:szCs w:val="22"/>
        </w:rPr>
        <w:t>方式确定。</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12.2 </w:t>
      </w:r>
      <w:r>
        <w:rPr>
          <w:rFonts w:hint="eastAsia" w:ascii="宋体" w:hAnsi="宋体" w:eastAsia="宋体" w:cs="仿宋"/>
          <w:bCs/>
          <w:color w:val="auto"/>
          <w:sz w:val="22"/>
          <w:szCs w:val="22"/>
          <w:lang w:val="zh-CN"/>
        </w:rPr>
        <w:t>综合单价中包括的风险范围：物价变化、政策调整以及有经验的投标商可以和应该预料到的其它风险。合同执行期间工程量清单中已报价的综合单价均不做调整。</w:t>
      </w:r>
    </w:p>
    <w:p>
      <w:pPr>
        <w:spacing w:line="480" w:lineRule="exact"/>
        <w:ind w:right="-4" w:firstLine="501" w:firstLineChars="228"/>
        <w:rPr>
          <w:rFonts w:hint="eastAsia" w:ascii="宋体" w:hAnsi="宋体" w:cs="仿宋"/>
          <w:bCs/>
          <w:color w:val="auto"/>
          <w:sz w:val="22"/>
          <w:szCs w:val="22"/>
          <w:lang w:val="zh-CN"/>
        </w:rPr>
      </w:pPr>
      <w:r>
        <w:rPr>
          <w:rFonts w:hint="eastAsia" w:ascii="宋体" w:hAnsi="宋体" w:cs="仿宋"/>
          <w:bCs/>
          <w:color w:val="auto"/>
          <w:sz w:val="22"/>
          <w:szCs w:val="22"/>
        </w:rPr>
        <w:t>12.3</w:t>
      </w:r>
      <w:r>
        <w:rPr>
          <w:rFonts w:hint="eastAsia" w:ascii="宋体" w:hAnsi="宋体" w:cs="仿宋"/>
          <w:bCs/>
          <w:color w:val="auto"/>
          <w:sz w:val="22"/>
          <w:szCs w:val="22"/>
          <w:lang w:val="zh-CN"/>
        </w:rPr>
        <w:t xml:space="preserve">双方约定合同价款的其他调整因素：执行《通用条款》27.1条 </w:t>
      </w:r>
    </w:p>
    <w:p>
      <w:pPr>
        <w:spacing w:line="480" w:lineRule="exact"/>
        <w:ind w:right="-4" w:firstLine="501" w:firstLineChars="228"/>
        <w:rPr>
          <w:rFonts w:hint="eastAsia" w:ascii="宋体" w:hAnsi="宋体" w:cs="仿宋"/>
          <w:bCs/>
          <w:color w:val="auto"/>
          <w:sz w:val="22"/>
          <w:szCs w:val="22"/>
          <w:lang w:val="zh-CN"/>
        </w:rPr>
      </w:pPr>
      <w:r>
        <w:rPr>
          <w:rFonts w:hint="eastAsia" w:ascii="宋体" w:hAnsi="宋体" w:cs="仿宋"/>
          <w:bCs/>
          <w:color w:val="auto"/>
          <w:sz w:val="22"/>
          <w:szCs w:val="22"/>
        </w:rPr>
        <w:t>12.4</w:t>
      </w:r>
      <w:r>
        <w:rPr>
          <w:rFonts w:hint="eastAsia" w:ascii="宋体" w:hAnsi="宋体" w:cs="仿宋"/>
          <w:bCs/>
          <w:color w:val="auto"/>
          <w:sz w:val="22"/>
          <w:szCs w:val="22"/>
          <w:lang w:val="zh-CN"/>
        </w:rPr>
        <w:t>工程结算时，据实结算，综合单价不变，只对甲方认质认价的材价格调正负差价，调差部分除计取税金之外不再计取任何费用。</w:t>
      </w:r>
    </w:p>
    <w:p>
      <w:pPr>
        <w:spacing w:line="480" w:lineRule="exact"/>
        <w:ind w:firstLine="501" w:firstLineChars="228"/>
        <w:rPr>
          <w:rFonts w:hint="eastAsia" w:ascii="宋体" w:hAnsi="宋体" w:cs="仿宋"/>
          <w:bCs/>
          <w:color w:val="auto"/>
          <w:sz w:val="22"/>
          <w:szCs w:val="22"/>
          <w:highlight w:val="none"/>
        </w:rPr>
      </w:pPr>
      <w:r>
        <w:rPr>
          <w:rFonts w:hint="eastAsia" w:ascii="宋体" w:hAnsi="宋体" w:cs="仿宋"/>
          <w:bCs/>
          <w:color w:val="auto"/>
          <w:sz w:val="22"/>
          <w:szCs w:val="22"/>
        </w:rPr>
        <w:t>12.5</w:t>
      </w:r>
      <w:r>
        <w:rPr>
          <w:rFonts w:hint="eastAsia" w:ascii="宋体" w:hAnsi="宋体" w:cs="仿宋"/>
          <w:bCs/>
          <w:color w:val="auto"/>
          <w:sz w:val="22"/>
          <w:szCs w:val="22"/>
          <w:lang w:val="zh-CN"/>
        </w:rPr>
        <w:t>如果清单项</w:t>
      </w:r>
      <w:r>
        <w:rPr>
          <w:rFonts w:hint="eastAsia" w:ascii="宋体" w:hAnsi="宋体" w:cs="仿宋"/>
          <w:bCs/>
          <w:color w:val="auto"/>
          <w:sz w:val="22"/>
          <w:szCs w:val="22"/>
          <w:highlight w:val="none"/>
          <w:lang w:val="zh-CN"/>
        </w:rPr>
        <w:t>目内的工程项目在实际施工中未进行施工或者因设计变更减少的项目，结算时按实际减少工程量或清单量和投标预算单价扣减造价。</w:t>
      </w:r>
      <w:r>
        <w:rPr>
          <w:rFonts w:hint="eastAsia" w:ascii="宋体" w:hAnsi="宋体" w:cs="仿宋"/>
          <w:bCs/>
          <w:color w:val="auto"/>
          <w:sz w:val="22"/>
          <w:szCs w:val="22"/>
          <w:highlight w:val="none"/>
        </w:rPr>
        <w:t xml:space="preserve">                      </w:t>
      </w:r>
    </w:p>
    <w:p>
      <w:pPr>
        <w:pStyle w:val="91"/>
        <w:spacing w:line="480" w:lineRule="exact"/>
        <w:ind w:firstLine="560"/>
        <w:rPr>
          <w:rFonts w:hint="eastAsia" w:ascii="宋体" w:hAnsi="宋体" w:eastAsia="宋体" w:cs="仿宋"/>
          <w:bCs/>
          <w:color w:val="auto"/>
          <w:sz w:val="22"/>
          <w:szCs w:val="22"/>
          <w:highlight w:val="none"/>
        </w:rPr>
      </w:pPr>
      <w:r>
        <w:rPr>
          <w:rFonts w:hint="eastAsia" w:ascii="宋体" w:hAnsi="宋体" w:eastAsia="宋体" w:cs="仿宋"/>
          <w:bCs/>
          <w:color w:val="auto"/>
          <w:sz w:val="22"/>
          <w:szCs w:val="22"/>
          <w:highlight w:val="none"/>
        </w:rPr>
        <w:t>13</w:t>
      </w:r>
      <w:r>
        <w:rPr>
          <w:rFonts w:hint="eastAsia" w:ascii="宋体" w:hAnsi="宋体" w:eastAsia="宋体" w:cs="仿宋"/>
          <w:bCs/>
          <w:color w:val="auto"/>
          <w:sz w:val="22"/>
          <w:szCs w:val="22"/>
          <w:highlight w:val="none"/>
          <w:lang w:val="en-US" w:eastAsia="zh-CN"/>
        </w:rPr>
        <w:t>.</w:t>
      </w:r>
      <w:r>
        <w:rPr>
          <w:rFonts w:hint="eastAsia" w:ascii="宋体" w:hAnsi="宋体" w:eastAsia="宋体" w:cs="仿宋"/>
          <w:bCs/>
          <w:color w:val="auto"/>
          <w:sz w:val="22"/>
          <w:szCs w:val="22"/>
          <w:highlight w:val="none"/>
        </w:rPr>
        <w:t>工程预付款</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highlight w:val="none"/>
          <w:lang w:val="zh-CN"/>
        </w:rPr>
        <w:t>发包人向承包人预付工程款的时间和金额或占合同价款总额的比例：工程预付款支付比例为合同价的</w:t>
      </w:r>
      <w:r>
        <w:rPr>
          <w:rFonts w:hint="eastAsia" w:ascii="宋体" w:hAnsi="宋体" w:cs="仿宋"/>
          <w:bCs/>
          <w:color w:val="auto"/>
          <w:sz w:val="22"/>
          <w:szCs w:val="22"/>
          <w:highlight w:val="none"/>
          <w:lang w:val="en-US" w:eastAsia="zh-CN"/>
        </w:rPr>
        <w:t>40</w:t>
      </w:r>
      <w:r>
        <w:rPr>
          <w:rFonts w:hint="eastAsia" w:ascii="宋体" w:hAnsi="宋体" w:cs="仿宋"/>
          <w:bCs/>
          <w:color w:val="auto"/>
          <w:sz w:val="22"/>
          <w:szCs w:val="22"/>
          <w:highlight w:val="none"/>
          <w:lang w:val="zh-CN"/>
        </w:rPr>
        <w:t xml:space="preserve">％，支付时间为合同签订后10日内，预付安全防护、文明施工措施费用的比例和时间：开工前7日足额支付。  </w:t>
      </w:r>
      <w:r>
        <w:rPr>
          <w:rFonts w:hint="eastAsia" w:ascii="宋体" w:hAnsi="宋体" w:cs="仿宋"/>
          <w:bCs/>
          <w:color w:val="auto"/>
          <w:sz w:val="22"/>
          <w:szCs w:val="22"/>
          <w:lang w:val="zh-CN"/>
        </w:rPr>
        <w:t xml:space="preserve">    </w:t>
      </w:r>
      <w:r>
        <w:rPr>
          <w:rFonts w:hint="eastAsia" w:ascii="宋体" w:hAnsi="宋体" w:cs="仿宋"/>
          <w:bCs/>
          <w:color w:val="auto"/>
          <w:sz w:val="22"/>
          <w:szCs w:val="22"/>
        </w:rPr>
        <w:t xml:space="preserve">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14</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工程量确认</w:t>
      </w:r>
    </w:p>
    <w:p>
      <w:pPr>
        <w:pStyle w:val="91"/>
        <w:spacing w:line="480" w:lineRule="exact"/>
        <w:ind w:firstLine="560"/>
        <w:rPr>
          <w:rFonts w:hint="eastAsia" w:ascii="宋体" w:hAnsi="宋体" w:eastAsia="宋体" w:cs="仿宋"/>
          <w:bCs/>
          <w:color w:val="auto"/>
          <w:sz w:val="22"/>
          <w:szCs w:val="22"/>
          <w:highlight w:val="none"/>
        </w:rPr>
      </w:pPr>
      <w:r>
        <w:rPr>
          <w:rFonts w:hint="eastAsia" w:ascii="宋体" w:hAnsi="宋体" w:eastAsia="宋体" w:cs="仿宋"/>
          <w:bCs/>
          <w:color w:val="auto"/>
          <w:sz w:val="22"/>
          <w:szCs w:val="22"/>
        </w:rPr>
        <w:t>承包人向工</w:t>
      </w:r>
      <w:r>
        <w:rPr>
          <w:rFonts w:hint="eastAsia" w:ascii="宋体" w:hAnsi="宋体" w:eastAsia="宋体" w:cs="仿宋"/>
          <w:bCs/>
          <w:color w:val="auto"/>
          <w:sz w:val="22"/>
          <w:szCs w:val="22"/>
          <w:highlight w:val="none"/>
        </w:rPr>
        <w:t xml:space="preserve">程师提交已完工程量报告的时间：               </w:t>
      </w:r>
    </w:p>
    <w:p>
      <w:pPr>
        <w:pStyle w:val="91"/>
        <w:spacing w:line="480" w:lineRule="exact"/>
        <w:ind w:firstLine="560"/>
        <w:rPr>
          <w:rFonts w:hint="eastAsia" w:ascii="宋体" w:hAnsi="宋体" w:eastAsia="宋体" w:cs="仿宋"/>
          <w:bCs/>
          <w:color w:val="auto"/>
          <w:sz w:val="22"/>
          <w:szCs w:val="22"/>
          <w:highlight w:val="none"/>
        </w:rPr>
      </w:pPr>
      <w:r>
        <w:rPr>
          <w:rFonts w:hint="eastAsia" w:ascii="宋体" w:hAnsi="宋体" w:eastAsia="宋体" w:cs="仿宋"/>
          <w:bCs/>
          <w:color w:val="auto"/>
          <w:sz w:val="22"/>
          <w:szCs w:val="22"/>
          <w:highlight w:val="none"/>
        </w:rPr>
        <w:t>15</w:t>
      </w:r>
      <w:r>
        <w:rPr>
          <w:rFonts w:hint="eastAsia" w:ascii="宋体" w:hAnsi="宋体" w:eastAsia="宋体" w:cs="仿宋"/>
          <w:bCs/>
          <w:color w:val="auto"/>
          <w:sz w:val="22"/>
          <w:szCs w:val="22"/>
          <w:highlight w:val="none"/>
          <w:lang w:val="en-US" w:eastAsia="zh-CN"/>
        </w:rPr>
        <w:t>.</w:t>
      </w:r>
      <w:r>
        <w:rPr>
          <w:rFonts w:hint="eastAsia" w:ascii="宋体" w:hAnsi="宋体" w:eastAsia="宋体" w:cs="仿宋"/>
          <w:bCs/>
          <w:color w:val="auto"/>
          <w:sz w:val="22"/>
          <w:szCs w:val="22"/>
          <w:highlight w:val="none"/>
        </w:rPr>
        <w:t>工程款（进度款）支付的方式和时间:</w:t>
      </w:r>
    </w:p>
    <w:p>
      <w:pPr>
        <w:adjustRightInd w:val="0"/>
        <w:snapToGrid w:val="0"/>
        <w:spacing w:line="480" w:lineRule="exact"/>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15</w:t>
      </w:r>
      <w:r>
        <w:rPr>
          <w:rFonts w:hint="eastAsia" w:ascii="宋体" w:hAnsi="宋体" w:cs="仿宋_GB2312"/>
          <w:color w:val="auto"/>
          <w:sz w:val="22"/>
          <w:szCs w:val="22"/>
          <w:highlight w:val="none"/>
          <w:lang w:val="en-US" w:eastAsia="zh-CN"/>
        </w:rPr>
        <w:t>.1</w:t>
      </w:r>
      <w:r>
        <w:rPr>
          <w:rFonts w:hint="eastAsia" w:ascii="宋体" w:hAnsi="宋体" w:cs="仿宋_GB2312"/>
          <w:color w:val="auto"/>
          <w:sz w:val="22"/>
          <w:szCs w:val="22"/>
          <w:highlight w:val="none"/>
        </w:rPr>
        <w:t>项目施工完毕并验收合格后30天内，乙方持《验收合格单》原件在甲方处办理百分之五十七（57%）工程款的支付手续；自验收结束之日起12个月内，在无索赔争议的情况下，在甲方处办理百分之三（3%）工程款的支付手续。</w:t>
      </w:r>
    </w:p>
    <w:p>
      <w:pPr>
        <w:tabs>
          <w:tab w:val="left" w:pos="2700"/>
        </w:tabs>
        <w:spacing w:line="480" w:lineRule="exact"/>
        <w:ind w:firstLine="440" w:firstLineChars="200"/>
        <w:rPr>
          <w:rFonts w:hint="eastAsia" w:ascii="宋体" w:hAnsi="宋体" w:cs="仿宋"/>
          <w:bCs/>
          <w:color w:val="auto"/>
          <w:sz w:val="22"/>
          <w:szCs w:val="22"/>
        </w:rPr>
      </w:pPr>
      <w:r>
        <w:rPr>
          <w:rFonts w:hint="eastAsia" w:ascii="宋体" w:hAnsi="宋体" w:cs="仿宋"/>
          <w:bCs/>
          <w:color w:val="auto"/>
          <w:sz w:val="22"/>
          <w:szCs w:val="22"/>
        </w:rPr>
        <w:t>15</w:t>
      </w:r>
      <w:r>
        <w:rPr>
          <w:rFonts w:hint="eastAsia" w:ascii="宋体" w:hAnsi="宋体" w:cs="仿宋"/>
          <w:bCs/>
          <w:color w:val="auto"/>
          <w:sz w:val="22"/>
          <w:szCs w:val="22"/>
          <w:lang w:val="en-US" w:eastAsia="zh-CN"/>
        </w:rPr>
        <w:t>.</w:t>
      </w:r>
      <w:r>
        <w:rPr>
          <w:rFonts w:hint="eastAsia" w:ascii="宋体" w:hAnsi="宋体" w:cs="仿宋"/>
          <w:bCs/>
          <w:color w:val="auto"/>
          <w:sz w:val="22"/>
          <w:szCs w:val="22"/>
        </w:rPr>
        <w:t>2发包方对总承包方工程项目资金的使用实行监督和控制。</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（七）材料设备供应</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16</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发包人供应材料设备</w:t>
      </w:r>
    </w:p>
    <w:p>
      <w:pPr>
        <w:spacing w:line="480" w:lineRule="exact"/>
        <w:ind w:firstLine="440" w:firstLineChars="200"/>
        <w:rPr>
          <w:rFonts w:hint="eastAsia" w:ascii="宋体" w:hAnsi="宋体" w:cs="仿宋"/>
          <w:bCs/>
          <w:color w:val="auto"/>
          <w:sz w:val="22"/>
          <w:szCs w:val="22"/>
        </w:rPr>
      </w:pPr>
      <w:r>
        <w:rPr>
          <w:rFonts w:hint="eastAsia" w:ascii="宋体" w:hAnsi="宋体" w:cs="仿宋"/>
          <w:bCs/>
          <w:color w:val="auto"/>
          <w:sz w:val="22"/>
          <w:szCs w:val="22"/>
        </w:rPr>
        <w:t xml:space="preserve">发包人供应材料设备：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17</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承包人采购材料设备</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承包人采购材料设备的约定：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（八）工程变更</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18</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 xml:space="preserve">工程设计变更：                                               </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（九）竣工验收与结算</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19</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竣工验收</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rPr>
        <w:t>19.1承包人提供竣工图的约定：</w:t>
      </w:r>
      <w:r>
        <w:rPr>
          <w:rFonts w:hint="eastAsia" w:ascii="宋体" w:hAnsi="宋体" w:cs="仿宋"/>
          <w:bCs/>
          <w:color w:val="auto"/>
          <w:sz w:val="22"/>
          <w:szCs w:val="22"/>
          <w:lang w:val="zh-CN"/>
        </w:rPr>
        <w:t>竣工验收后一个月内，交竣工图及完整资料文件三套。所有资料必须保证有三份是用钢笔书写。工程竣工验收前，资料必须通过质检站备案要求，按城建部门要求做好资料的归档工作。</w:t>
      </w:r>
    </w:p>
    <w:p>
      <w:pPr>
        <w:spacing w:line="480" w:lineRule="exact"/>
        <w:ind w:firstLine="440" w:firstLineChars="200"/>
        <w:rPr>
          <w:rFonts w:hint="eastAsia" w:ascii="宋体" w:hAnsi="宋体" w:cs="仿宋"/>
          <w:bCs/>
          <w:color w:val="auto"/>
          <w:sz w:val="22"/>
          <w:szCs w:val="22"/>
        </w:rPr>
      </w:pPr>
      <w:r>
        <w:rPr>
          <w:rFonts w:hint="eastAsia" w:ascii="宋体" w:hAnsi="宋体" w:cs="仿宋"/>
          <w:bCs/>
          <w:color w:val="auto"/>
          <w:sz w:val="22"/>
          <w:szCs w:val="22"/>
        </w:rPr>
        <w:t>19.2中间交工工程的范围和竣工时间：</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20</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竣工结算</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（十）违约、索赔和争议</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21</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违约</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21.1本合同中关于发包人违约的具体责任如下：</w:t>
      </w:r>
    </w:p>
    <w:p>
      <w:pPr>
        <w:pStyle w:val="91"/>
        <w:spacing w:line="48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本合同通用条款第24条约定发包人违约应承担的违约责任：        </w:t>
      </w:r>
    </w:p>
    <w:p>
      <w:pPr>
        <w:spacing w:line="480" w:lineRule="exact"/>
        <w:ind w:right="-4" w:firstLine="420"/>
        <w:rPr>
          <w:rFonts w:hint="eastAsia" w:ascii="宋体" w:hAnsi="宋体" w:cs="仿宋"/>
          <w:bCs/>
          <w:color w:val="auto"/>
          <w:sz w:val="22"/>
          <w:szCs w:val="22"/>
        </w:rPr>
      </w:pP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rPr>
        <w:t xml:space="preserve"> </w:t>
      </w:r>
      <w:r>
        <w:rPr>
          <w:rFonts w:hint="eastAsia" w:ascii="宋体" w:hAnsi="宋体" w:cs="仿宋"/>
          <w:bCs/>
          <w:color w:val="auto"/>
          <w:sz w:val="22"/>
          <w:szCs w:val="22"/>
          <w:lang w:val="zh-CN"/>
        </w:rPr>
        <w:t>本合同通用条款第28.1条约定发包人违约应承担的违约责任：执行《通用条款》28.1款；</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rPr>
        <w:t xml:space="preserve"> </w:t>
      </w:r>
      <w:r>
        <w:rPr>
          <w:rFonts w:hint="eastAsia" w:ascii="宋体" w:hAnsi="宋体" w:cs="仿宋"/>
          <w:bCs/>
          <w:color w:val="auto"/>
          <w:sz w:val="22"/>
          <w:szCs w:val="22"/>
          <w:lang w:val="zh-CN"/>
        </w:rPr>
        <w:t>本合同通用条款第30.5款约定发包人违约应承担的违约责任：执行《通用条款》30.5款；</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rPr>
        <w:t xml:space="preserve"> </w:t>
      </w:r>
      <w:r>
        <w:rPr>
          <w:rFonts w:hint="eastAsia" w:ascii="宋体" w:hAnsi="宋体" w:cs="仿宋"/>
          <w:bCs/>
          <w:color w:val="auto"/>
          <w:sz w:val="22"/>
          <w:szCs w:val="22"/>
          <w:lang w:val="zh-CN"/>
        </w:rPr>
        <w:t xml:space="preserve">本合同通用条款第37.6款约定发包人违约应承担的违约责任：执行《通用条款》37.6款； </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rPr>
        <w:t xml:space="preserve"> 双方约定的发包人其他违约责任：无。</w:t>
      </w:r>
    </w:p>
    <w:p>
      <w:pPr>
        <w:spacing w:line="480" w:lineRule="exact"/>
        <w:ind w:right="-4" w:firstLine="420"/>
        <w:rPr>
          <w:rFonts w:hint="eastAsia" w:ascii="宋体" w:hAnsi="宋体" w:cs="仿宋"/>
          <w:bCs/>
          <w:color w:val="auto"/>
          <w:sz w:val="22"/>
          <w:szCs w:val="22"/>
        </w:rPr>
      </w:pPr>
      <w:r>
        <w:rPr>
          <w:rFonts w:hint="eastAsia" w:ascii="宋体" w:hAnsi="宋体" w:cs="仿宋"/>
          <w:bCs/>
          <w:color w:val="auto"/>
          <w:sz w:val="22"/>
          <w:szCs w:val="22"/>
        </w:rPr>
        <w:t>21.2本合同中关于承包人违约的具体责任如下：</w:t>
      </w:r>
    </w:p>
    <w:p>
      <w:pPr>
        <w:spacing w:line="480" w:lineRule="exact"/>
        <w:ind w:right="-4" w:firstLine="420"/>
        <w:rPr>
          <w:rFonts w:hint="eastAsia" w:ascii="宋体" w:hAnsi="宋体" w:cs="仿宋"/>
          <w:bCs/>
          <w:color w:val="auto"/>
          <w:sz w:val="22"/>
          <w:szCs w:val="22"/>
          <w:lang w:val="zh-CN"/>
        </w:rPr>
      </w:pPr>
      <w:r>
        <w:rPr>
          <w:rFonts w:hint="eastAsia" w:ascii="宋体" w:hAnsi="宋体" w:cs="仿宋"/>
          <w:bCs/>
          <w:color w:val="auto"/>
          <w:sz w:val="22"/>
          <w:szCs w:val="22"/>
        </w:rPr>
        <w:t xml:space="preserve"> </w:t>
      </w:r>
      <w:r>
        <w:rPr>
          <w:rFonts w:hint="eastAsia" w:ascii="宋体" w:hAnsi="宋体" w:cs="仿宋"/>
          <w:bCs/>
          <w:color w:val="auto"/>
          <w:sz w:val="22"/>
          <w:szCs w:val="22"/>
          <w:lang w:val="zh-CN"/>
        </w:rPr>
        <w:t>本合同通用条款第14.2款约定承包人违约承担的违约责任：乙方工期每推迟一天除按2000元处罚外，若影响发包人使用时，应另赔偿由此给甲方造成的损失，赔偿限额为合同价的5%。</w:t>
      </w:r>
    </w:p>
    <w:p>
      <w:pPr>
        <w:keepNext w:val="0"/>
        <w:keepLines w:val="0"/>
        <w:pageBreakBefore w:val="0"/>
        <w:widowControl w:val="0"/>
        <w:kinsoku/>
        <w:wordWrap/>
        <w:overflowPunct/>
        <w:topLinePunct w:val="0"/>
        <w:autoSpaceDE/>
        <w:bidi w:val="0"/>
        <w:snapToGrid/>
        <w:spacing w:line="460" w:lineRule="exact"/>
        <w:ind w:right="-4" w:firstLine="420"/>
        <w:rPr>
          <w:rFonts w:hint="eastAsia" w:ascii="宋体" w:hAnsi="宋体" w:cs="仿宋"/>
          <w:bCs/>
          <w:color w:val="auto"/>
          <w:sz w:val="22"/>
          <w:szCs w:val="22"/>
        </w:rPr>
      </w:pPr>
      <w:r>
        <w:rPr>
          <w:rFonts w:hint="eastAsia" w:ascii="宋体" w:hAnsi="宋体" w:cs="仿宋"/>
          <w:bCs/>
          <w:color w:val="auto"/>
          <w:sz w:val="22"/>
          <w:szCs w:val="22"/>
        </w:rPr>
        <w:t xml:space="preserve"> </w:t>
      </w:r>
      <w:r>
        <w:rPr>
          <w:rFonts w:hint="eastAsia" w:ascii="宋体" w:hAnsi="宋体" w:cs="仿宋"/>
          <w:bCs/>
          <w:color w:val="auto"/>
          <w:sz w:val="22"/>
          <w:szCs w:val="22"/>
          <w:lang w:val="zh-CN"/>
        </w:rPr>
        <w:t>本合同通用条款第15.1款约定承包人违约应承担的违约责任：承包方按合同价的2%承担违约金外，另按国务院279号令有关规定处理。</w:t>
      </w:r>
      <w:r>
        <w:rPr>
          <w:rFonts w:hint="eastAsia" w:ascii="宋体" w:hAnsi="宋体" w:cs="仿宋"/>
          <w:bCs/>
          <w:color w:val="auto"/>
          <w:sz w:val="22"/>
          <w:szCs w:val="22"/>
        </w:rPr>
        <w:t xml:space="preserve">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双方约定的承包人其他违约责任：无。</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rPr>
        <w:t>22</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争议</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lang w:val="zh-CN"/>
        </w:rPr>
      </w:pPr>
      <w:r>
        <w:rPr>
          <w:rFonts w:hint="eastAsia" w:ascii="宋体" w:hAnsi="宋体" w:eastAsia="宋体" w:cs="仿宋"/>
          <w:bCs/>
          <w:color w:val="auto"/>
          <w:sz w:val="22"/>
          <w:szCs w:val="22"/>
          <w:lang w:val="zh-CN"/>
        </w:rPr>
        <w:t>双方约定，在履行合同过程中产生争议时可依法以下一种方式解决：</w:t>
      </w:r>
    </w:p>
    <w:p>
      <w:pPr>
        <w:keepNext w:val="0"/>
        <w:keepLines w:val="0"/>
        <w:pageBreakBefore w:val="0"/>
        <w:widowControl w:val="0"/>
        <w:kinsoku/>
        <w:wordWrap/>
        <w:overflowPunct/>
        <w:topLinePunct w:val="0"/>
        <w:autoSpaceDE/>
        <w:autoSpaceDN w:val="0"/>
        <w:bidi w:val="0"/>
        <w:adjustRightInd w:val="0"/>
        <w:snapToGrid/>
        <w:spacing w:line="460" w:lineRule="exact"/>
        <w:ind w:firstLine="440" w:firstLineChars="200"/>
        <w:rPr>
          <w:rFonts w:hint="eastAsia" w:ascii="宋体" w:hAnsi="宋体"/>
          <w:color w:val="auto"/>
          <w:kern w:val="0"/>
          <w:sz w:val="22"/>
          <w:szCs w:val="22"/>
        </w:rPr>
      </w:pPr>
      <w:r>
        <w:rPr>
          <w:rFonts w:ascii="宋体" w:hAnsi="宋体"/>
          <w:color w:val="auto"/>
          <w:kern w:val="0"/>
          <w:sz w:val="22"/>
          <w:szCs w:val="22"/>
        </w:rPr>
        <w:t>2</w:t>
      </w:r>
      <w:r>
        <w:rPr>
          <w:rFonts w:hint="eastAsia" w:ascii="宋体" w:hAnsi="宋体"/>
          <w:color w:val="auto"/>
          <w:kern w:val="0"/>
          <w:sz w:val="22"/>
          <w:szCs w:val="22"/>
          <w:lang w:val="en-US" w:eastAsia="zh-CN"/>
        </w:rPr>
        <w:t>2</w:t>
      </w:r>
      <w:r>
        <w:rPr>
          <w:rFonts w:hint="eastAsia" w:ascii="宋体" w:hAnsi="宋体"/>
          <w:color w:val="auto"/>
          <w:kern w:val="0"/>
          <w:sz w:val="22"/>
          <w:szCs w:val="22"/>
        </w:rPr>
        <w:t>.1</w:t>
      </w:r>
      <w:r>
        <w:rPr>
          <w:rFonts w:ascii="宋体" w:hAnsi="宋体"/>
          <w:color w:val="auto"/>
          <w:kern w:val="0"/>
          <w:sz w:val="22"/>
          <w:szCs w:val="22"/>
        </w:rPr>
        <w:t>、双方</w:t>
      </w:r>
      <w:r>
        <w:rPr>
          <w:rFonts w:hint="eastAsia" w:ascii="宋体" w:hAnsi="宋体"/>
          <w:color w:val="auto"/>
          <w:kern w:val="0"/>
          <w:sz w:val="22"/>
          <w:szCs w:val="22"/>
        </w:rPr>
        <w:t>达成仲裁协议，向约定的仲裁委员会申请仲裁</w:t>
      </w:r>
      <w:r>
        <w:rPr>
          <w:rFonts w:ascii="宋体" w:hAnsi="宋体"/>
          <w:color w:val="auto"/>
          <w:kern w:val="0"/>
          <w:sz w:val="22"/>
          <w:szCs w:val="22"/>
        </w:rPr>
        <w:t>。</w:t>
      </w:r>
    </w:p>
    <w:p>
      <w:pPr>
        <w:keepNext w:val="0"/>
        <w:keepLines w:val="0"/>
        <w:pageBreakBefore w:val="0"/>
        <w:widowControl w:val="0"/>
        <w:kinsoku/>
        <w:wordWrap/>
        <w:overflowPunct/>
        <w:topLinePunct w:val="0"/>
        <w:autoSpaceDE/>
        <w:autoSpaceDN w:val="0"/>
        <w:bidi w:val="0"/>
        <w:adjustRightInd w:val="0"/>
        <w:snapToGrid/>
        <w:spacing w:line="460" w:lineRule="exact"/>
        <w:ind w:firstLine="440" w:firstLineChars="200"/>
        <w:rPr>
          <w:rFonts w:hint="eastAsia" w:ascii="宋体" w:hAnsi="宋体"/>
          <w:color w:val="auto"/>
          <w:kern w:val="0"/>
          <w:sz w:val="22"/>
          <w:szCs w:val="22"/>
        </w:rPr>
      </w:pPr>
      <w:r>
        <w:rPr>
          <w:rFonts w:hint="eastAsia" w:ascii="宋体" w:hAnsi="宋体"/>
          <w:color w:val="auto"/>
          <w:kern w:val="0"/>
          <w:sz w:val="22"/>
          <w:szCs w:val="22"/>
        </w:rPr>
        <w:t>2</w:t>
      </w:r>
      <w:r>
        <w:rPr>
          <w:rFonts w:hint="eastAsia" w:ascii="宋体" w:hAnsi="宋体"/>
          <w:color w:val="auto"/>
          <w:kern w:val="0"/>
          <w:sz w:val="22"/>
          <w:szCs w:val="22"/>
          <w:lang w:val="en-US" w:eastAsia="zh-CN"/>
        </w:rPr>
        <w:t>2</w:t>
      </w:r>
      <w:r>
        <w:rPr>
          <w:rFonts w:hint="eastAsia" w:ascii="宋体" w:hAnsi="宋体"/>
          <w:color w:val="auto"/>
          <w:kern w:val="0"/>
          <w:sz w:val="22"/>
          <w:szCs w:val="22"/>
        </w:rPr>
        <w:t>.2、向有管辖权的人民法院起诉。</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（十一）其他</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23</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工程分包</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23.1本工程发包人同意承包人分包的工程： /。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23.2分包施工单位为： /。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24</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不可抗力</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双方关于不可抗力的约定： </w:t>
      </w:r>
      <w:r>
        <w:rPr>
          <w:rFonts w:hint="eastAsia" w:ascii="宋体" w:hAnsi="宋体" w:eastAsia="宋体" w:cs="仿宋"/>
          <w:color w:val="auto"/>
          <w:sz w:val="22"/>
          <w:szCs w:val="22"/>
          <w:u w:val="single"/>
          <w:lang w:val="zh-CN"/>
        </w:rPr>
        <w:t>执行《通用条款》第43条</w:t>
      </w:r>
      <w:r>
        <w:rPr>
          <w:rFonts w:hint="eastAsia" w:ascii="宋体" w:hAnsi="宋体" w:eastAsia="宋体" w:cs="仿宋"/>
          <w:color w:val="auto"/>
          <w:sz w:val="22"/>
          <w:szCs w:val="22"/>
          <w:lang w:val="zh-CN"/>
        </w:rPr>
        <w:t>。</w:t>
      </w:r>
      <w:r>
        <w:rPr>
          <w:rFonts w:hint="eastAsia" w:ascii="宋体" w:hAnsi="宋体" w:eastAsia="宋体" w:cs="仿宋"/>
          <w:bCs/>
          <w:color w:val="auto"/>
          <w:sz w:val="22"/>
          <w:szCs w:val="22"/>
        </w:rPr>
        <w:t xml:space="preserve">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25</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保险</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25.1运至施工场地内用于工程的材料和待安装设备，由承包人办理保险，并支付保险费用。</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26</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担保</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本工程双方约定担保事项如下：</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（1）发包人向承包人提供履约担保，担保方式为：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（2）承包人向发包人提供履约担保，担保方式为：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 xml:space="preserve">（3）双方约定的其他担保事项：        </w:t>
      </w:r>
    </w:p>
    <w:p>
      <w:pPr>
        <w:pStyle w:val="91"/>
        <w:keepNext w:val="0"/>
        <w:keepLines w:val="0"/>
        <w:pageBreakBefore w:val="0"/>
        <w:widowControl w:val="0"/>
        <w:kinsoku/>
        <w:wordWrap/>
        <w:overflowPunct/>
        <w:topLinePunct w:val="0"/>
        <w:autoSpaceDE/>
        <w:bidi w:val="0"/>
        <w:snapToGrid/>
        <w:spacing w:line="460" w:lineRule="exact"/>
        <w:ind w:firstLine="560"/>
        <w:rPr>
          <w:rFonts w:hint="eastAsia" w:ascii="宋体" w:hAnsi="宋体" w:eastAsia="宋体" w:cs="仿宋"/>
          <w:bCs/>
          <w:color w:val="auto"/>
          <w:sz w:val="22"/>
          <w:szCs w:val="22"/>
        </w:rPr>
      </w:pPr>
      <w:r>
        <w:rPr>
          <w:rFonts w:hint="eastAsia" w:ascii="宋体" w:hAnsi="宋体" w:eastAsia="宋体" w:cs="仿宋"/>
          <w:bCs/>
          <w:color w:val="auto"/>
          <w:sz w:val="22"/>
          <w:szCs w:val="22"/>
        </w:rPr>
        <w:t>27</w:t>
      </w:r>
      <w:r>
        <w:rPr>
          <w:rFonts w:hint="eastAsia" w:ascii="宋体" w:hAnsi="宋体" w:eastAsia="宋体" w:cs="仿宋"/>
          <w:bCs/>
          <w:color w:val="auto"/>
          <w:sz w:val="22"/>
          <w:szCs w:val="22"/>
          <w:lang w:val="en-US" w:eastAsia="zh-CN"/>
        </w:rPr>
        <w:t>.</w:t>
      </w:r>
      <w:r>
        <w:rPr>
          <w:rFonts w:hint="eastAsia" w:ascii="宋体" w:hAnsi="宋体" w:eastAsia="宋体" w:cs="仿宋"/>
          <w:bCs/>
          <w:color w:val="auto"/>
          <w:sz w:val="22"/>
          <w:szCs w:val="22"/>
        </w:rPr>
        <w:t>合同份数</w:t>
      </w:r>
    </w:p>
    <w:p>
      <w:pPr>
        <w:spacing w:line="300" w:lineRule="auto"/>
        <w:ind w:firstLine="440" w:firstLineChars="200"/>
        <w:rPr>
          <w:rFonts w:hint="eastAsia" w:ascii="宋体" w:hAnsi="宋体" w:eastAsia="宋体" w:cs="宋体"/>
          <w:color w:val="auto"/>
          <w:sz w:val="21"/>
          <w:szCs w:val="21"/>
          <w:highlight w:val="none"/>
        </w:rPr>
      </w:pPr>
      <w:r>
        <w:rPr>
          <w:rFonts w:hint="eastAsia" w:ascii="宋体" w:hAnsi="宋体" w:eastAsia="宋体" w:cs="仿宋"/>
          <w:bCs/>
          <w:color w:val="auto"/>
          <w:sz w:val="22"/>
          <w:szCs w:val="22"/>
        </w:rPr>
        <w:t>双方约定合同份数：</w:t>
      </w:r>
      <w:r>
        <w:rPr>
          <w:rFonts w:hint="eastAsia" w:ascii="宋体" w:hAnsi="宋体" w:eastAsia="宋体" w:cs="仿宋"/>
          <w:bCs/>
          <w:color w:val="auto"/>
          <w:sz w:val="22"/>
          <w:szCs w:val="22"/>
          <w:lang w:val="zh-CN"/>
        </w:rPr>
        <w:t>正本</w:t>
      </w:r>
      <w:r>
        <w:rPr>
          <w:rFonts w:hint="eastAsia" w:ascii="宋体" w:hAnsi="宋体" w:eastAsia="宋体" w:cs="仿宋"/>
          <w:bCs/>
          <w:color w:val="auto"/>
          <w:sz w:val="22"/>
          <w:szCs w:val="22"/>
          <w:lang w:val="en-US" w:eastAsia="zh-CN"/>
        </w:rPr>
        <w:t>贰</w:t>
      </w:r>
      <w:r>
        <w:rPr>
          <w:rFonts w:hint="eastAsia" w:ascii="宋体" w:hAnsi="宋体" w:eastAsia="宋体" w:cs="仿宋"/>
          <w:bCs/>
          <w:color w:val="auto"/>
          <w:sz w:val="22"/>
          <w:szCs w:val="22"/>
          <w:lang w:val="zh-CN"/>
        </w:rPr>
        <w:t>份，副本</w:t>
      </w:r>
      <w:r>
        <w:rPr>
          <w:rFonts w:hint="eastAsia" w:ascii="宋体" w:hAnsi="宋体" w:eastAsia="宋体" w:cs="仿宋"/>
          <w:bCs/>
          <w:color w:val="auto"/>
          <w:sz w:val="22"/>
          <w:szCs w:val="22"/>
          <w:lang w:val="en-US" w:eastAsia="zh-CN"/>
        </w:rPr>
        <w:t>肆</w:t>
      </w:r>
      <w:r>
        <w:rPr>
          <w:rFonts w:hint="eastAsia" w:ascii="宋体" w:hAnsi="宋体" w:eastAsia="宋体" w:cs="仿宋"/>
          <w:bCs/>
          <w:color w:val="auto"/>
          <w:sz w:val="22"/>
          <w:szCs w:val="22"/>
          <w:lang w:val="zh-CN"/>
        </w:rPr>
        <w:t>份；发、承包双方各持正本壹份、副本承包壹份，发包方</w:t>
      </w:r>
      <w:r>
        <w:rPr>
          <w:rFonts w:hint="eastAsia" w:ascii="宋体" w:hAnsi="宋体" w:eastAsia="宋体" w:cs="仿宋"/>
          <w:bCs/>
          <w:color w:val="auto"/>
          <w:sz w:val="22"/>
          <w:szCs w:val="22"/>
          <w:lang w:val="en-US" w:eastAsia="zh-CN"/>
        </w:rPr>
        <w:t>叁</w:t>
      </w:r>
      <w:r>
        <w:rPr>
          <w:rFonts w:hint="eastAsia" w:ascii="宋体" w:hAnsi="宋体" w:eastAsia="宋体" w:cs="仿宋"/>
          <w:bCs/>
          <w:color w:val="auto"/>
          <w:sz w:val="22"/>
          <w:szCs w:val="22"/>
          <w:lang w:val="zh-CN"/>
        </w:rPr>
        <w:t>份。</w:t>
      </w:r>
    </w:p>
    <w:p>
      <w:pPr>
        <w:spacing w:line="300" w:lineRule="auto"/>
        <w:jc w:val="left"/>
        <w:rPr>
          <w:rFonts w:hint="eastAsia" w:ascii="宋体" w:hAnsi="宋体" w:eastAsia="宋体" w:cs="宋体"/>
          <w:color w:val="auto"/>
          <w:sz w:val="21"/>
          <w:szCs w:val="21"/>
          <w:highlight w:val="none"/>
        </w:rPr>
        <w:sectPr>
          <w:headerReference r:id="rId5" w:type="first"/>
          <w:footerReference r:id="rId7" w:type="first"/>
          <w:footerReference r:id="rId6" w:type="default"/>
          <w:pgSz w:w="11906" w:h="16838"/>
          <w:pgMar w:top="1440" w:right="1080" w:bottom="1440" w:left="1080" w:header="851" w:footer="992" w:gutter="0"/>
          <w:pgNumType w:fmt="decimal" w:start="2"/>
          <w:cols w:space="720" w:num="1"/>
          <w:titlePg/>
          <w:docGrid w:type="linesAndChars" w:linePitch="312" w:charSpace="0"/>
        </w:sectPr>
      </w:pPr>
    </w:p>
    <w:p>
      <w:pPr>
        <w:spacing w:line="360" w:lineRule="auto"/>
        <w:ind w:right="-4" w:firstLine="420"/>
        <w:rPr>
          <w:rFonts w:hint="eastAsia" w:ascii="宋体" w:hAnsi="宋体"/>
          <w:color w:val="auto"/>
          <w:sz w:val="24"/>
          <w:lang w:val="zh-CN"/>
        </w:rPr>
      </w:pPr>
      <w:r>
        <w:rPr>
          <w:rFonts w:hint="eastAsia" w:ascii="宋体" w:hAnsi="宋体"/>
          <w:color w:val="auto"/>
          <w:sz w:val="24"/>
          <w:lang w:val="zh-CN"/>
        </w:rPr>
        <w:t>附件</w:t>
      </w:r>
      <w:r>
        <w:rPr>
          <w:rFonts w:hint="eastAsia" w:ascii="宋体" w:hAnsi="宋体"/>
          <w:color w:val="auto"/>
          <w:sz w:val="24"/>
          <w:lang w:val="en-US" w:eastAsia="zh-CN"/>
        </w:rPr>
        <w:t>1</w:t>
      </w:r>
      <w:r>
        <w:rPr>
          <w:rFonts w:hint="eastAsia" w:ascii="宋体" w:hAnsi="宋体"/>
          <w:color w:val="auto"/>
          <w:sz w:val="24"/>
          <w:lang w:val="zh-CN"/>
        </w:rPr>
        <w:t>：</w:t>
      </w:r>
    </w:p>
    <w:p>
      <w:pPr>
        <w:spacing w:line="360" w:lineRule="auto"/>
        <w:ind w:right="-4" w:firstLine="562"/>
        <w:jc w:val="center"/>
        <w:rPr>
          <w:rFonts w:hint="eastAsia" w:ascii="宋体" w:hAnsi="宋体"/>
          <w:b/>
          <w:color w:val="auto"/>
          <w:sz w:val="24"/>
          <w:lang w:val="zh-CN"/>
        </w:rPr>
      </w:pPr>
      <w:r>
        <w:rPr>
          <w:rFonts w:hint="eastAsia" w:ascii="宋体" w:hAnsi="宋体"/>
          <w:b/>
          <w:color w:val="auto"/>
          <w:sz w:val="24"/>
          <w:lang w:val="zh-CN"/>
        </w:rPr>
        <w:t>工程质量保修书</w:t>
      </w:r>
    </w:p>
    <w:p>
      <w:pPr>
        <w:spacing w:line="360" w:lineRule="auto"/>
        <w:ind w:right="-4" w:firstLine="368"/>
        <w:rPr>
          <w:rFonts w:hint="eastAsia" w:ascii="宋体" w:hAnsi="宋体"/>
          <w:color w:val="auto"/>
          <w:sz w:val="24"/>
          <w:lang w:val="zh-CN"/>
        </w:rPr>
      </w:pPr>
    </w:p>
    <w:p>
      <w:pPr>
        <w:spacing w:line="480" w:lineRule="exact"/>
        <w:ind w:right="-6" w:firstLine="420"/>
        <w:rPr>
          <w:rFonts w:hint="eastAsia" w:ascii="宋体" w:hAnsi="宋体"/>
          <w:color w:val="auto"/>
          <w:sz w:val="24"/>
          <w:u w:val="single"/>
          <w:lang w:val="zh-CN"/>
        </w:rPr>
      </w:pPr>
      <w:r>
        <w:rPr>
          <w:rFonts w:hint="eastAsia" w:ascii="宋体" w:hAnsi="宋体"/>
          <w:color w:val="auto"/>
          <w:sz w:val="24"/>
          <w:lang w:val="zh-CN"/>
        </w:rPr>
        <w:t xml:space="preserve">发包人(全称): </w:t>
      </w:r>
      <w:r>
        <w:rPr>
          <w:rFonts w:hint="eastAsia" w:ascii="宋体" w:hAnsi="宋体"/>
          <w:color w:val="auto"/>
          <w:sz w:val="24"/>
          <w:u w:val="single"/>
          <w:lang w:val="zh-CN"/>
        </w:rPr>
        <w:t xml:space="preserve">                                                          </w:t>
      </w:r>
    </w:p>
    <w:p>
      <w:pPr>
        <w:spacing w:line="480" w:lineRule="exact"/>
        <w:ind w:right="-6" w:firstLine="420"/>
        <w:rPr>
          <w:rFonts w:hint="eastAsia" w:ascii="宋体" w:hAnsi="宋体"/>
          <w:color w:val="auto"/>
          <w:sz w:val="24"/>
          <w:u w:val="single"/>
          <w:lang w:val="zh-CN"/>
        </w:rPr>
      </w:pPr>
      <w:r>
        <w:rPr>
          <w:rFonts w:hint="eastAsia" w:ascii="宋体" w:hAnsi="宋体"/>
          <w:color w:val="auto"/>
          <w:sz w:val="24"/>
          <w:lang w:val="zh-CN"/>
        </w:rPr>
        <w:t>承包人(全称)：</w:t>
      </w:r>
      <w:r>
        <w:rPr>
          <w:rFonts w:hint="eastAsia" w:ascii="宋体" w:hAnsi="宋体"/>
          <w:color w:val="auto"/>
          <w:sz w:val="24"/>
          <w:u w:val="single"/>
          <w:lang w:val="zh-CN"/>
        </w:rPr>
        <w:t xml:space="preserve">                                                          </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为保证</w:t>
      </w:r>
      <w:r>
        <w:rPr>
          <w:rFonts w:hint="eastAsia" w:ascii="宋体" w:hAnsi="宋体"/>
          <w:color w:val="auto"/>
          <w:sz w:val="24"/>
          <w:u w:val="single"/>
          <w:lang w:val="zh-CN"/>
        </w:rPr>
        <w:t xml:space="preserve">                                               </w:t>
      </w:r>
      <w:r>
        <w:rPr>
          <w:rFonts w:hint="eastAsia" w:ascii="宋体" w:hAnsi="宋体"/>
          <w:color w:val="auto"/>
          <w:sz w:val="24"/>
          <w:lang w:val="zh-CN"/>
        </w:rPr>
        <w:t>(工程名称)在合理使用期限内正常使用，发包人、承包人协商一致签订工程质量保修书。承包人在保修期内按照有关管理规定及双方约定承担工程质量保修责任。</w:t>
      </w:r>
    </w:p>
    <w:p>
      <w:pPr>
        <w:tabs>
          <w:tab w:val="left" w:pos="0"/>
        </w:tabs>
        <w:spacing w:line="480" w:lineRule="exact"/>
        <w:ind w:right="-6" w:firstLine="422"/>
        <w:rPr>
          <w:rFonts w:hint="eastAsia" w:ascii="宋体" w:hAnsi="宋体"/>
          <w:b/>
          <w:color w:val="auto"/>
          <w:sz w:val="24"/>
          <w:lang w:val="zh-CN"/>
        </w:rPr>
      </w:pPr>
      <w:r>
        <w:rPr>
          <w:rFonts w:hint="eastAsia" w:ascii="宋体" w:hAnsi="宋体"/>
          <w:b/>
          <w:color w:val="auto"/>
          <w:sz w:val="24"/>
          <w:lang w:val="zh-CN"/>
        </w:rPr>
        <w:t>1、工程质量保修范围和内容</w:t>
      </w:r>
    </w:p>
    <w:p>
      <w:pPr>
        <w:spacing w:line="480" w:lineRule="exact"/>
        <w:ind w:right="-6" w:firstLine="540" w:firstLineChars="225"/>
        <w:rPr>
          <w:rFonts w:hint="eastAsia" w:ascii="宋体" w:hAnsi="宋体"/>
          <w:color w:val="auto"/>
          <w:sz w:val="24"/>
          <w:lang w:val="zh-CN"/>
        </w:rPr>
      </w:pPr>
      <w:r>
        <w:rPr>
          <w:rFonts w:hint="eastAsia" w:ascii="宋体" w:hAnsi="宋体"/>
          <w:color w:val="auto"/>
          <w:sz w:val="24"/>
          <w:lang w:val="zh-CN"/>
        </w:rPr>
        <w:t>质量保修范围包括地基基础工程、主体结构工程、屋面防水工程和双方约定的其他土建工程，以及电气管线、上下水管线的安装工程，供热、供冷系统工程等项目。具体质量保修内容双方约定如下：</w:t>
      </w:r>
    </w:p>
    <w:p>
      <w:pPr>
        <w:tabs>
          <w:tab w:val="left" w:pos="0"/>
        </w:tabs>
        <w:spacing w:line="480" w:lineRule="exact"/>
        <w:ind w:right="-6" w:firstLine="422"/>
        <w:rPr>
          <w:rFonts w:hint="eastAsia" w:ascii="宋体" w:hAnsi="宋体"/>
          <w:b/>
          <w:color w:val="auto"/>
          <w:sz w:val="24"/>
          <w:lang w:val="zh-CN"/>
        </w:rPr>
      </w:pPr>
      <w:r>
        <w:rPr>
          <w:rFonts w:hint="eastAsia" w:ascii="宋体" w:hAnsi="宋体"/>
          <w:b/>
          <w:color w:val="auto"/>
          <w:sz w:val="24"/>
          <w:lang w:val="zh-CN"/>
        </w:rPr>
        <w:t>2、质量保修期</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质量保修期自工程</w:t>
      </w:r>
      <w:r>
        <w:rPr>
          <w:rFonts w:hint="eastAsia" w:ascii="宋体" w:hAnsi="宋体"/>
          <w:color w:val="auto"/>
          <w:sz w:val="24"/>
          <w:lang w:val="en-US" w:eastAsia="zh-CN"/>
        </w:rPr>
        <w:t>验收合格</w:t>
      </w:r>
      <w:r>
        <w:rPr>
          <w:rFonts w:hint="eastAsia" w:ascii="宋体" w:hAnsi="宋体"/>
          <w:color w:val="auto"/>
          <w:sz w:val="24"/>
          <w:lang w:val="zh-CN"/>
        </w:rPr>
        <w:t>之日算起。分单项竣工验收的工程，按单项工程分别计算质量保修期。</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双方根据《建设工程质量管理条例》及国家有关规定，结合具体工程约定质量保修期如下：</w:t>
      </w:r>
    </w:p>
    <w:p>
      <w:pPr>
        <w:tabs>
          <w:tab w:val="left" w:pos="420"/>
        </w:tabs>
        <w:spacing w:line="480" w:lineRule="exact"/>
        <w:ind w:right="-6" w:firstLine="420"/>
        <w:rPr>
          <w:rFonts w:hint="eastAsia" w:ascii="宋体" w:hAnsi="宋体"/>
          <w:color w:val="auto"/>
          <w:sz w:val="24"/>
          <w:lang w:val="zh-CN"/>
        </w:rPr>
      </w:pPr>
      <w:r>
        <w:rPr>
          <w:rFonts w:hint="eastAsia" w:ascii="宋体" w:hAnsi="宋体"/>
          <w:color w:val="auto"/>
          <w:sz w:val="24"/>
          <w:lang w:val="zh-CN"/>
        </w:rPr>
        <w:t>1）、基础、主体、结构部分：</w:t>
      </w:r>
      <w:r>
        <w:rPr>
          <w:rFonts w:hint="eastAsia" w:ascii="宋体" w:hAnsi="宋体"/>
          <w:color w:val="auto"/>
          <w:sz w:val="24"/>
          <w:u w:val="single"/>
          <w:lang w:val="zh-CN"/>
        </w:rPr>
        <w:t xml:space="preserve">  设计合理使用年限；</w:t>
      </w:r>
    </w:p>
    <w:p>
      <w:pPr>
        <w:tabs>
          <w:tab w:val="left" w:pos="420"/>
          <w:tab w:val="left" w:pos="640"/>
        </w:tabs>
        <w:spacing w:line="480" w:lineRule="exact"/>
        <w:ind w:right="-6" w:firstLine="420"/>
        <w:rPr>
          <w:rFonts w:hint="eastAsia" w:ascii="宋体" w:hAnsi="宋体"/>
          <w:color w:val="auto"/>
          <w:sz w:val="24"/>
          <w:lang w:val="zh-CN"/>
        </w:rPr>
      </w:pPr>
      <w:r>
        <w:rPr>
          <w:rFonts w:hint="eastAsia" w:ascii="宋体" w:hAnsi="宋体"/>
          <w:color w:val="auto"/>
          <w:sz w:val="24"/>
          <w:lang w:val="zh-CN"/>
        </w:rPr>
        <w:t>2）、屋面防水工程、防水要求的卫生间、房间和外墙面防渗漏</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年；</w:t>
      </w:r>
    </w:p>
    <w:p>
      <w:pPr>
        <w:tabs>
          <w:tab w:val="left" w:pos="420"/>
        </w:tabs>
        <w:spacing w:line="480" w:lineRule="exact"/>
        <w:ind w:right="-6" w:firstLine="420"/>
        <w:rPr>
          <w:rFonts w:hint="eastAsia" w:ascii="宋体" w:hAnsi="宋体"/>
          <w:color w:val="auto"/>
          <w:sz w:val="24"/>
          <w:lang w:val="zh-CN"/>
        </w:rPr>
      </w:pPr>
      <w:r>
        <w:rPr>
          <w:rFonts w:hint="eastAsia" w:ascii="宋体" w:hAnsi="宋体"/>
          <w:color w:val="auto"/>
          <w:sz w:val="24"/>
          <w:lang w:val="zh-CN"/>
        </w:rPr>
        <w:t xml:space="preserve">3）、电气管线、上下水管线安装工程为 </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 xml:space="preserve"> 年；</w:t>
      </w:r>
    </w:p>
    <w:p>
      <w:pPr>
        <w:tabs>
          <w:tab w:val="left" w:pos="420"/>
        </w:tabs>
        <w:spacing w:line="480" w:lineRule="exact"/>
        <w:ind w:right="-6" w:firstLine="420"/>
        <w:rPr>
          <w:rFonts w:hint="eastAsia" w:ascii="宋体" w:hAnsi="宋体"/>
          <w:color w:val="auto"/>
          <w:sz w:val="24"/>
          <w:lang w:val="zh-CN"/>
        </w:rPr>
      </w:pPr>
      <w:r>
        <w:rPr>
          <w:rFonts w:hint="eastAsia" w:ascii="宋体" w:hAnsi="宋体"/>
          <w:color w:val="auto"/>
          <w:sz w:val="24"/>
          <w:lang w:val="zh-CN"/>
        </w:rPr>
        <w:t>4）、供热及供冷为</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个采暖期及供冷期；</w:t>
      </w:r>
    </w:p>
    <w:p>
      <w:pPr>
        <w:tabs>
          <w:tab w:val="left" w:pos="420"/>
        </w:tabs>
        <w:spacing w:line="480" w:lineRule="exact"/>
        <w:ind w:right="-6" w:firstLine="420"/>
        <w:rPr>
          <w:rFonts w:hint="eastAsia" w:ascii="宋体" w:hAnsi="宋体"/>
          <w:color w:val="auto"/>
          <w:sz w:val="24"/>
          <w:lang w:val="zh-CN"/>
        </w:rPr>
      </w:pPr>
      <w:r>
        <w:rPr>
          <w:rFonts w:hint="eastAsia" w:ascii="宋体" w:hAnsi="宋体"/>
          <w:color w:val="auto"/>
          <w:sz w:val="24"/>
          <w:lang w:val="zh-CN"/>
        </w:rPr>
        <w:t>5）、室外的上下水和小区道路等市政公用工程为</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年；</w:t>
      </w:r>
    </w:p>
    <w:p>
      <w:pPr>
        <w:tabs>
          <w:tab w:val="left" w:pos="420"/>
        </w:tabs>
        <w:spacing w:line="480" w:lineRule="exact"/>
        <w:ind w:right="-6" w:firstLine="420"/>
        <w:rPr>
          <w:rFonts w:hint="eastAsia" w:ascii="宋体" w:hAnsi="宋体"/>
          <w:color w:val="auto"/>
          <w:sz w:val="24"/>
          <w:lang w:val="zh-CN"/>
        </w:rPr>
      </w:pPr>
      <w:r>
        <w:rPr>
          <w:rFonts w:hint="eastAsia" w:ascii="宋体" w:hAnsi="宋体"/>
          <w:color w:val="auto"/>
          <w:sz w:val="24"/>
          <w:lang w:val="zh-CN"/>
        </w:rPr>
        <w:t>6）、其他约定：</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p>
    <w:p>
      <w:pPr>
        <w:tabs>
          <w:tab w:val="left" w:pos="0"/>
        </w:tabs>
        <w:spacing w:line="480" w:lineRule="exact"/>
        <w:ind w:right="-6" w:firstLine="422"/>
        <w:rPr>
          <w:rFonts w:hint="eastAsia" w:ascii="宋体" w:hAnsi="宋体"/>
          <w:b/>
          <w:color w:val="auto"/>
          <w:sz w:val="24"/>
          <w:lang w:val="zh-CN"/>
        </w:rPr>
      </w:pPr>
      <w:r>
        <w:rPr>
          <w:rFonts w:hint="eastAsia" w:ascii="宋体" w:hAnsi="宋体"/>
          <w:b/>
          <w:color w:val="auto"/>
          <w:sz w:val="24"/>
          <w:lang w:val="zh-CN"/>
        </w:rPr>
        <w:t>3、质量保修责任</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1）、属于保修范围和内容的项目，承包人应在接到修理通知之日后7天内派人修理。承包人不在约定期限内，派人修理，发包人可委托其他人员修理，保修费用从质量保修金内扣除。</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2）、发生须紧急抢修事故(如上水跑水、暖气漏水漏气、燃气漏气等)，承包人接到事故通知后，应立即到达事故现场抢修。非承包人施工质量引起的事故，抢修费用由发包人承担。</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3）、在国家规定的工程合理使用期限内，承包人确保地基基础工程和主体结构的质量。因承包人原因致使工程在合理使用期限内造成人身和财产损害的，承包人应承担损害赔偿责任。</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4）、质量保修完成后，由发包人组织验收。</w:t>
      </w:r>
    </w:p>
    <w:p>
      <w:pPr>
        <w:tabs>
          <w:tab w:val="left" w:pos="0"/>
        </w:tabs>
        <w:spacing w:line="480" w:lineRule="exact"/>
        <w:ind w:right="-6" w:firstLine="422"/>
        <w:rPr>
          <w:rFonts w:hint="eastAsia" w:ascii="宋体" w:hAnsi="宋体"/>
          <w:b/>
          <w:color w:val="auto"/>
          <w:sz w:val="24"/>
          <w:lang w:val="zh-CN"/>
        </w:rPr>
      </w:pPr>
      <w:r>
        <w:rPr>
          <w:rFonts w:hint="eastAsia" w:ascii="宋体" w:hAnsi="宋体"/>
          <w:b/>
          <w:color w:val="auto"/>
          <w:sz w:val="24"/>
          <w:lang w:val="zh-CN"/>
        </w:rPr>
        <w:t>4、质量保修金的支付</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 xml:space="preserve">工程质量保修金一般不超过施工合同价款的5％，本工程约定的工程质量保修金为施工合同价款的 </w:t>
      </w:r>
      <w:r>
        <w:rPr>
          <w:rFonts w:hint="eastAsia" w:ascii="宋体" w:hAnsi="宋体"/>
          <w:color w:val="auto"/>
          <w:sz w:val="24"/>
          <w:u w:val="single"/>
          <w:lang w:val="zh-CN"/>
        </w:rPr>
        <w:t xml:space="preserve">   </w:t>
      </w:r>
      <w:r>
        <w:rPr>
          <w:rFonts w:hint="eastAsia" w:ascii="宋体" w:hAnsi="宋体"/>
          <w:color w:val="auto"/>
          <w:sz w:val="24"/>
          <w:u w:val="single"/>
        </w:rPr>
        <w:t xml:space="preserve">  </w:t>
      </w:r>
      <w:r>
        <w:rPr>
          <w:rFonts w:hint="eastAsia" w:ascii="宋体" w:hAnsi="宋体"/>
          <w:color w:val="auto"/>
          <w:sz w:val="24"/>
          <w:u w:val="single"/>
          <w:lang w:val="zh-CN"/>
        </w:rPr>
        <w:t xml:space="preserve">  </w:t>
      </w:r>
      <w:r>
        <w:rPr>
          <w:rFonts w:hint="eastAsia" w:ascii="宋体" w:hAnsi="宋体"/>
          <w:color w:val="auto"/>
          <w:sz w:val="24"/>
          <w:lang w:val="zh-CN"/>
        </w:rPr>
        <w:t>％ 。</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本工程双方约定承包人向发包人支付工程质量保修金金额为</w:t>
      </w:r>
      <w:r>
        <w:rPr>
          <w:rFonts w:hint="eastAsia" w:ascii="宋体" w:hAnsi="宋体"/>
          <w:color w:val="auto"/>
          <w:sz w:val="24"/>
          <w:u w:val="single"/>
          <w:lang w:val="zh-CN"/>
        </w:rPr>
        <w:t xml:space="preserve">        </w:t>
      </w:r>
      <w:r>
        <w:rPr>
          <w:rFonts w:hint="eastAsia" w:ascii="宋体" w:hAnsi="宋体"/>
          <w:color w:val="auto"/>
          <w:sz w:val="24"/>
          <w:lang w:val="zh-CN"/>
        </w:rPr>
        <w:t>（大写）。质量保修金银行利率为</w:t>
      </w:r>
      <w:r>
        <w:rPr>
          <w:rFonts w:hint="eastAsia" w:ascii="宋体" w:hAnsi="宋体"/>
          <w:color w:val="auto"/>
          <w:sz w:val="24"/>
          <w:u w:val="single"/>
          <w:lang w:val="zh-CN"/>
        </w:rPr>
        <w:t xml:space="preserve">  /     </w:t>
      </w:r>
      <w:r>
        <w:rPr>
          <w:rFonts w:hint="eastAsia" w:ascii="宋体" w:hAnsi="宋体"/>
          <w:color w:val="auto"/>
          <w:sz w:val="24"/>
          <w:lang w:val="zh-CN"/>
        </w:rPr>
        <w:t xml:space="preserve"> 。</w:t>
      </w:r>
    </w:p>
    <w:p>
      <w:pPr>
        <w:tabs>
          <w:tab w:val="left" w:pos="0"/>
        </w:tabs>
        <w:spacing w:line="480" w:lineRule="exact"/>
        <w:ind w:right="-6" w:firstLine="422"/>
        <w:rPr>
          <w:rFonts w:hint="eastAsia" w:ascii="宋体" w:hAnsi="宋体"/>
          <w:b/>
          <w:color w:val="auto"/>
          <w:sz w:val="24"/>
          <w:lang w:val="zh-CN"/>
        </w:rPr>
      </w:pPr>
      <w:r>
        <w:rPr>
          <w:rFonts w:hint="eastAsia" w:ascii="宋体" w:hAnsi="宋体"/>
          <w:b/>
          <w:color w:val="auto"/>
          <w:sz w:val="24"/>
          <w:lang w:val="zh-CN"/>
        </w:rPr>
        <w:t>5、质量保修金的返还</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发包人在质量保修期满后</w:t>
      </w:r>
      <w:r>
        <w:rPr>
          <w:rFonts w:hint="eastAsia" w:ascii="宋体" w:hAnsi="宋体"/>
          <w:color w:val="auto"/>
          <w:sz w:val="24"/>
          <w:u w:val="single"/>
          <w:lang w:val="zh-CN"/>
        </w:rPr>
        <w:t xml:space="preserve">   </w:t>
      </w:r>
      <w:r>
        <w:rPr>
          <w:rFonts w:hint="eastAsia" w:ascii="宋体" w:hAnsi="宋体"/>
          <w:color w:val="auto"/>
          <w:sz w:val="24"/>
          <w:lang w:val="zh-CN"/>
        </w:rPr>
        <w:t>天内，将剩余保修金返还承包人。</w:t>
      </w:r>
    </w:p>
    <w:p>
      <w:pPr>
        <w:tabs>
          <w:tab w:val="left" w:pos="0"/>
        </w:tabs>
        <w:spacing w:line="480" w:lineRule="exact"/>
        <w:ind w:right="-6" w:firstLine="422"/>
        <w:rPr>
          <w:rFonts w:hint="eastAsia" w:ascii="宋体" w:hAnsi="宋体"/>
          <w:b/>
          <w:color w:val="auto"/>
          <w:sz w:val="24"/>
          <w:lang w:val="zh-CN"/>
        </w:rPr>
      </w:pPr>
      <w:r>
        <w:rPr>
          <w:rFonts w:hint="eastAsia" w:ascii="宋体" w:hAnsi="宋体"/>
          <w:b/>
          <w:color w:val="auto"/>
          <w:sz w:val="24"/>
          <w:lang w:val="zh-CN"/>
        </w:rPr>
        <w:t>6、其他</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双方约定的其他工程质量保修事项：</w:t>
      </w:r>
      <w:r>
        <w:rPr>
          <w:rFonts w:hint="eastAsia" w:ascii="宋体" w:hAnsi="宋体"/>
          <w:color w:val="auto"/>
          <w:sz w:val="24"/>
          <w:u w:val="single"/>
          <w:lang w:val="zh-CN"/>
        </w:rPr>
        <w:t xml:space="preserve">                                         </w:t>
      </w:r>
    </w:p>
    <w:p>
      <w:pPr>
        <w:spacing w:line="480" w:lineRule="exact"/>
        <w:ind w:right="-6" w:firstLine="420"/>
        <w:rPr>
          <w:rFonts w:hint="eastAsia" w:ascii="宋体" w:hAnsi="宋体"/>
          <w:color w:val="auto"/>
          <w:sz w:val="24"/>
          <w:lang w:val="zh-CN"/>
        </w:rPr>
      </w:pPr>
      <w:r>
        <w:rPr>
          <w:rFonts w:hint="eastAsia" w:ascii="宋体" w:hAnsi="宋体"/>
          <w:color w:val="auto"/>
          <w:sz w:val="24"/>
          <w:lang w:val="zh-CN"/>
        </w:rPr>
        <w:t>本工程质量保修书作为施工合同附件，由施工合同发包人、承包人双方共同签署。</w:t>
      </w:r>
    </w:p>
    <w:p>
      <w:pPr>
        <w:spacing w:line="480" w:lineRule="exact"/>
        <w:ind w:right="-6" w:firstLine="420"/>
        <w:rPr>
          <w:rFonts w:hint="eastAsia" w:ascii="宋体" w:hAnsi="宋体"/>
          <w:color w:val="auto"/>
          <w:sz w:val="24"/>
          <w:lang w:val="zh-CN"/>
        </w:rPr>
      </w:pPr>
    </w:p>
    <w:p>
      <w:pPr>
        <w:spacing w:line="480" w:lineRule="exact"/>
        <w:ind w:right="-6" w:firstLine="420"/>
        <w:rPr>
          <w:rFonts w:hint="eastAsia" w:ascii="宋体" w:hAnsi="宋体"/>
          <w:color w:val="auto"/>
          <w:sz w:val="24"/>
          <w:lang w:val="zh-CN"/>
        </w:rPr>
      </w:pPr>
    </w:p>
    <w:p>
      <w:pPr>
        <w:spacing w:line="480" w:lineRule="exact"/>
        <w:ind w:right="-6" w:firstLine="420"/>
        <w:rPr>
          <w:rFonts w:hint="eastAsia" w:ascii="宋体" w:hAnsi="宋体"/>
          <w:color w:val="auto"/>
          <w:sz w:val="24"/>
          <w:u w:val="single"/>
          <w:lang w:val="zh-CN"/>
        </w:rPr>
      </w:pPr>
      <w:r>
        <w:rPr>
          <w:rFonts w:hint="eastAsia" w:ascii="宋体" w:hAnsi="宋体"/>
          <w:color w:val="auto"/>
          <w:sz w:val="24"/>
          <w:lang w:val="zh-CN"/>
        </w:rPr>
        <w:t>发  包  人(公章)：</w:t>
      </w:r>
      <w:r>
        <w:rPr>
          <w:rFonts w:hint="eastAsia" w:ascii="宋体" w:hAnsi="宋体"/>
          <w:color w:val="auto"/>
          <w:sz w:val="24"/>
          <w:u w:val="single"/>
          <w:lang w:val="zh-CN"/>
        </w:rPr>
        <w:t xml:space="preserve">               </w:t>
      </w:r>
      <w:r>
        <w:rPr>
          <w:rFonts w:hint="eastAsia" w:ascii="宋体" w:hAnsi="宋体"/>
          <w:color w:val="auto"/>
          <w:sz w:val="24"/>
          <w:lang w:val="zh-CN"/>
        </w:rPr>
        <w:t xml:space="preserve">       承  包  人(公章)：</w:t>
      </w:r>
      <w:r>
        <w:rPr>
          <w:rFonts w:hint="eastAsia" w:ascii="宋体" w:hAnsi="宋体"/>
          <w:color w:val="auto"/>
          <w:sz w:val="24"/>
          <w:u w:val="single"/>
          <w:lang w:val="zh-CN"/>
        </w:rPr>
        <w:t xml:space="preserve">                 </w:t>
      </w:r>
    </w:p>
    <w:p>
      <w:pPr>
        <w:spacing w:line="480" w:lineRule="exact"/>
        <w:ind w:right="-6" w:firstLine="420"/>
        <w:rPr>
          <w:rFonts w:hint="eastAsia" w:ascii="宋体" w:hAnsi="宋体"/>
          <w:color w:val="auto"/>
          <w:sz w:val="24"/>
          <w:lang w:val="zh-CN"/>
        </w:rPr>
      </w:pPr>
    </w:p>
    <w:p>
      <w:pPr>
        <w:spacing w:line="480" w:lineRule="exact"/>
        <w:ind w:right="-6" w:firstLine="420"/>
        <w:rPr>
          <w:rFonts w:hint="eastAsia" w:ascii="宋体" w:hAnsi="宋体"/>
          <w:color w:val="auto"/>
          <w:sz w:val="24"/>
          <w:u w:val="single"/>
          <w:lang w:val="zh-CN"/>
        </w:rPr>
      </w:pPr>
      <w:r>
        <w:rPr>
          <w:rFonts w:hint="eastAsia" w:ascii="宋体" w:hAnsi="宋体"/>
          <w:color w:val="auto"/>
          <w:sz w:val="24"/>
          <w:lang w:val="zh-CN"/>
        </w:rPr>
        <w:t>法定代表人(签字)：</w:t>
      </w:r>
      <w:r>
        <w:rPr>
          <w:rFonts w:hint="eastAsia" w:ascii="宋体" w:hAnsi="宋体"/>
          <w:color w:val="auto"/>
          <w:sz w:val="24"/>
          <w:u w:val="single"/>
          <w:lang w:val="zh-CN"/>
        </w:rPr>
        <w:t xml:space="preserve">               </w:t>
      </w:r>
      <w:r>
        <w:rPr>
          <w:rFonts w:hint="eastAsia" w:ascii="宋体" w:hAnsi="宋体"/>
          <w:color w:val="auto"/>
          <w:sz w:val="24"/>
          <w:lang w:val="zh-CN"/>
        </w:rPr>
        <w:t xml:space="preserve">       法定代表人(签字)：</w:t>
      </w:r>
      <w:r>
        <w:rPr>
          <w:rFonts w:hint="eastAsia" w:ascii="宋体" w:hAnsi="宋体"/>
          <w:color w:val="auto"/>
          <w:sz w:val="24"/>
          <w:u w:val="single"/>
          <w:lang w:val="zh-CN"/>
        </w:rPr>
        <w:t xml:space="preserve">                  </w:t>
      </w:r>
    </w:p>
    <w:p>
      <w:pPr>
        <w:spacing w:line="480" w:lineRule="exact"/>
        <w:ind w:right="-6" w:firstLine="420"/>
        <w:rPr>
          <w:rFonts w:hint="eastAsia" w:ascii="宋体" w:hAnsi="宋体"/>
          <w:color w:val="auto"/>
          <w:sz w:val="24"/>
          <w:lang w:val="zh-CN"/>
        </w:rPr>
      </w:pPr>
    </w:p>
    <w:p>
      <w:pPr>
        <w:widowControl/>
        <w:jc w:val="left"/>
        <w:rPr>
          <w:rFonts w:hint="eastAsia" w:ascii="宋体" w:hAnsi="宋体" w:eastAsia="宋体" w:cs="宋体"/>
          <w:color w:val="auto"/>
          <w:sz w:val="21"/>
          <w:szCs w:val="21"/>
          <w:highlight w:val="none"/>
        </w:rPr>
      </w:pPr>
      <w:r>
        <w:rPr>
          <w:rFonts w:hint="eastAsia" w:ascii="宋体" w:hAnsi="宋体"/>
          <w:color w:val="auto"/>
          <w:sz w:val="24"/>
          <w:u w:val="single"/>
          <w:lang w:val="zh-CN"/>
        </w:rPr>
        <w:t xml:space="preserve">     </w:t>
      </w:r>
      <w:r>
        <w:rPr>
          <w:rFonts w:hint="eastAsia" w:ascii="宋体" w:hAnsi="宋体"/>
          <w:color w:val="auto"/>
          <w:sz w:val="24"/>
          <w:lang w:val="zh-CN"/>
        </w:rPr>
        <w:t xml:space="preserve">年 </w:t>
      </w:r>
      <w:r>
        <w:rPr>
          <w:rFonts w:hint="eastAsia" w:ascii="宋体" w:hAnsi="宋体"/>
          <w:color w:val="auto"/>
          <w:sz w:val="24"/>
          <w:u w:val="single"/>
          <w:lang w:val="zh-CN"/>
        </w:rPr>
        <w:t xml:space="preserve">    </w:t>
      </w:r>
      <w:r>
        <w:rPr>
          <w:rFonts w:hint="eastAsia" w:ascii="宋体" w:hAnsi="宋体"/>
          <w:color w:val="auto"/>
          <w:sz w:val="24"/>
          <w:lang w:val="zh-CN"/>
        </w:rPr>
        <w:t xml:space="preserve"> 月 </w:t>
      </w:r>
      <w:r>
        <w:rPr>
          <w:rFonts w:hint="eastAsia" w:ascii="宋体" w:hAnsi="宋体"/>
          <w:color w:val="auto"/>
          <w:sz w:val="24"/>
          <w:u w:val="single"/>
          <w:lang w:val="zh-CN"/>
        </w:rPr>
        <w:t xml:space="preserve">   </w:t>
      </w:r>
      <w:r>
        <w:rPr>
          <w:rFonts w:hint="eastAsia" w:ascii="宋体" w:hAnsi="宋体"/>
          <w:color w:val="auto"/>
          <w:sz w:val="24"/>
          <w:lang w:val="zh-CN"/>
        </w:rPr>
        <w:t xml:space="preserve"> 日                 </w:t>
      </w:r>
      <w:r>
        <w:rPr>
          <w:rFonts w:hint="eastAsia" w:ascii="宋体" w:hAnsi="宋体"/>
          <w:color w:val="auto"/>
          <w:sz w:val="24"/>
          <w:u w:val="single"/>
          <w:lang w:val="zh-CN"/>
        </w:rPr>
        <w:t xml:space="preserve">    </w:t>
      </w:r>
      <w:r>
        <w:rPr>
          <w:rFonts w:hint="eastAsia" w:ascii="宋体" w:hAnsi="宋体"/>
          <w:color w:val="auto"/>
          <w:sz w:val="24"/>
          <w:lang w:val="zh-CN"/>
        </w:rPr>
        <w:t xml:space="preserve"> 年 </w:t>
      </w:r>
      <w:r>
        <w:rPr>
          <w:rFonts w:hint="eastAsia" w:ascii="宋体" w:hAnsi="宋体"/>
          <w:color w:val="auto"/>
          <w:sz w:val="24"/>
          <w:u w:val="single"/>
          <w:lang w:val="zh-CN"/>
        </w:rPr>
        <w:t xml:space="preserve">   </w:t>
      </w:r>
      <w:r>
        <w:rPr>
          <w:rFonts w:hint="eastAsia" w:ascii="宋体" w:hAnsi="宋体"/>
          <w:color w:val="auto"/>
          <w:sz w:val="24"/>
          <w:lang w:val="zh-CN"/>
        </w:rPr>
        <w:t xml:space="preserve"> 月 </w:t>
      </w:r>
      <w:r>
        <w:rPr>
          <w:rFonts w:hint="eastAsia" w:ascii="宋体" w:hAnsi="宋体"/>
          <w:color w:val="auto"/>
          <w:sz w:val="24"/>
          <w:u w:val="single"/>
          <w:lang w:val="zh-CN"/>
        </w:rPr>
        <w:t xml:space="preserve">    </w:t>
      </w:r>
      <w:r>
        <w:rPr>
          <w:rFonts w:hint="eastAsia" w:ascii="宋体" w:hAnsi="宋体"/>
          <w:color w:val="auto"/>
          <w:sz w:val="24"/>
          <w:lang w:val="zh-CN"/>
        </w:rPr>
        <w:t xml:space="preserve"> 日</w:t>
      </w:r>
      <w:r>
        <w:rPr>
          <w:rFonts w:hint="eastAsia" w:ascii="宋体" w:hAnsi="宋体" w:eastAsia="宋体" w:cs="宋体"/>
          <w:color w:val="auto"/>
          <w:sz w:val="21"/>
          <w:szCs w:val="21"/>
          <w:highlight w:val="none"/>
        </w:rPr>
        <w:t xml:space="preserve">  </w:t>
      </w:r>
      <w:bookmarkStart w:id="98" w:name="_Toc453929468"/>
    </w:p>
    <w:bookmarkEnd w:id="98"/>
    <w:p>
      <w:pPr>
        <w:spacing w:line="360" w:lineRule="auto"/>
        <w:ind w:left="105" w:leftChars="50" w:firstLine="491" w:firstLineChars="205"/>
        <w:rPr>
          <w:rFonts w:hint="eastAsia" w:ascii="宋体" w:hAnsi="宋体" w:eastAsia="宋体" w:cs="宋体"/>
          <w:color w:val="auto"/>
          <w:sz w:val="24"/>
          <w:highlight w:val="none"/>
        </w:rPr>
      </w:pPr>
    </w:p>
    <w:p>
      <w:pPr>
        <w:spacing w:line="300" w:lineRule="auto"/>
        <w:ind w:right="150" w:firstLine="1274" w:firstLineChars="531"/>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p>
    <w:p>
      <w:pPr>
        <w:pStyle w:val="3"/>
        <w:shd w:val="clear"/>
        <w:spacing w:line="360" w:lineRule="auto"/>
        <w:jc w:val="center"/>
        <w:rPr>
          <w:rFonts w:hint="eastAsia" w:ascii="宋体" w:hAnsi="宋体" w:eastAsia="宋体" w:cs="Times New Roman"/>
          <w:color w:val="auto"/>
          <w:sz w:val="44"/>
          <w:szCs w:val="44"/>
          <w:highlight w:val="none"/>
        </w:rPr>
      </w:pPr>
      <w:bookmarkStart w:id="99" w:name="_Toc18406"/>
      <w:bookmarkStart w:id="100" w:name="_Toc15616"/>
      <w:bookmarkStart w:id="101" w:name="_Toc11417"/>
      <w:r>
        <w:rPr>
          <w:rFonts w:hint="eastAsia" w:ascii="宋体" w:hAnsi="宋体" w:eastAsia="宋体" w:cs="Times New Roman"/>
          <w:color w:val="auto"/>
          <w:sz w:val="44"/>
          <w:szCs w:val="44"/>
          <w:highlight w:val="none"/>
        </w:rPr>
        <w:t>第六章 工程建设标准</w:t>
      </w:r>
      <w:bookmarkEnd w:id="99"/>
      <w:bookmarkEnd w:id="100"/>
      <w:bookmarkEnd w:id="101"/>
    </w:p>
    <w:p>
      <w:pPr>
        <w:spacing w:line="520" w:lineRule="exact"/>
        <w:ind w:firstLine="480" w:firstLineChars="200"/>
        <w:rPr>
          <w:rFonts w:ascii="宋体" w:hAnsi="宋体"/>
          <w:color w:val="auto"/>
          <w:sz w:val="24"/>
        </w:rPr>
      </w:pPr>
      <w:r>
        <w:rPr>
          <w:rFonts w:hint="eastAsia" w:ascii="宋体" w:hAnsi="宋体"/>
          <w:color w:val="auto"/>
          <w:sz w:val="24"/>
        </w:rPr>
        <w:t>一、依据设计文件的要求，本谈判工程项目的材料、设备、施工须达到所涉及到的现行中华人民共和国以及省、自治区、直辖市或行业的工程建设标准、规范的要求。</w:t>
      </w:r>
    </w:p>
    <w:p>
      <w:pPr>
        <w:spacing w:line="520" w:lineRule="exact"/>
        <w:ind w:firstLine="480" w:firstLineChars="200"/>
        <w:rPr>
          <w:rFonts w:ascii="宋体" w:hAnsi="宋体"/>
          <w:color w:val="auto"/>
          <w:sz w:val="24"/>
        </w:rPr>
      </w:pPr>
      <w:r>
        <w:rPr>
          <w:rFonts w:hint="eastAsia" w:ascii="宋体" w:hAnsi="宋体"/>
          <w:color w:val="auto"/>
          <w:sz w:val="24"/>
        </w:rPr>
        <w:t>二、根据工程设计要求，该项工程项目的材料、设备、施工除必须达到上述第一条标准外，还应满足设计要求和采购人在谈判文件中的有关要求。</w:t>
      </w:r>
    </w:p>
    <w:p>
      <w:pPr>
        <w:spacing w:line="520" w:lineRule="exact"/>
        <w:ind w:firstLine="480" w:firstLineChars="200"/>
        <w:rPr>
          <w:rFonts w:ascii="宋体" w:hAnsi="宋体"/>
          <w:color w:val="auto"/>
          <w:sz w:val="24"/>
        </w:rPr>
      </w:pPr>
      <w:r>
        <w:rPr>
          <w:rFonts w:hint="eastAsia" w:ascii="宋体" w:hAnsi="宋体"/>
          <w:color w:val="auto"/>
          <w:sz w:val="24"/>
        </w:rPr>
        <w:t>三、该工程项目的材料、设备、施工如无上述第一、二条的标准，在材料、设备的订货采购和施工安装时，应出具生产厂家或施工安装企业在技术监督部门已备案企业标准，并经监理和业主批准后方可实施。</w:t>
      </w:r>
    </w:p>
    <w:p>
      <w:pPr>
        <w:pStyle w:val="3"/>
        <w:shd w:val="clear"/>
        <w:spacing w:line="360" w:lineRule="auto"/>
        <w:jc w:val="center"/>
        <w:rPr>
          <w:rFonts w:hint="eastAsia" w:ascii="宋体" w:hAnsi="宋体"/>
          <w:color w:val="auto"/>
          <w:sz w:val="44"/>
          <w:szCs w:val="44"/>
          <w:highlight w:val="none"/>
          <w:lang w:eastAsia="zh-CN"/>
        </w:rPr>
      </w:pPr>
    </w:p>
    <w:p>
      <w:pPr>
        <w:rPr>
          <w:rFonts w:hint="eastAsia" w:ascii="宋体" w:hAnsi="宋体"/>
          <w:color w:val="auto"/>
          <w:sz w:val="44"/>
          <w:szCs w:val="44"/>
          <w:highlight w:val="none"/>
          <w:lang w:eastAsia="zh-CN"/>
        </w:rPr>
      </w:pPr>
    </w:p>
    <w:p>
      <w:pPr>
        <w:pStyle w:val="2"/>
        <w:rPr>
          <w:rFonts w:hint="eastAsia" w:ascii="宋体" w:hAnsi="宋体"/>
          <w:color w:val="auto"/>
          <w:sz w:val="44"/>
          <w:szCs w:val="44"/>
          <w:highlight w:val="none"/>
          <w:lang w:eastAsia="zh-CN"/>
        </w:rPr>
      </w:pPr>
    </w:p>
    <w:p>
      <w:pPr>
        <w:rPr>
          <w:rFonts w:hint="eastAsia" w:ascii="宋体" w:hAnsi="宋体"/>
          <w:color w:val="auto"/>
          <w:sz w:val="44"/>
          <w:szCs w:val="44"/>
          <w:highlight w:val="none"/>
          <w:lang w:eastAsia="zh-CN"/>
        </w:rPr>
      </w:pPr>
    </w:p>
    <w:p>
      <w:pPr>
        <w:pStyle w:val="2"/>
        <w:rPr>
          <w:rFonts w:hint="eastAsia" w:ascii="宋体" w:hAnsi="宋体"/>
          <w:color w:val="auto"/>
          <w:sz w:val="44"/>
          <w:szCs w:val="44"/>
          <w:highlight w:val="none"/>
          <w:lang w:eastAsia="zh-CN"/>
        </w:rPr>
      </w:pPr>
    </w:p>
    <w:p>
      <w:pPr>
        <w:rPr>
          <w:rFonts w:hint="eastAsia" w:ascii="宋体" w:hAnsi="宋体"/>
          <w:color w:val="auto"/>
          <w:sz w:val="44"/>
          <w:szCs w:val="44"/>
          <w:highlight w:val="none"/>
          <w:lang w:eastAsia="zh-CN"/>
        </w:rPr>
      </w:pPr>
    </w:p>
    <w:p>
      <w:pPr>
        <w:pStyle w:val="2"/>
        <w:rPr>
          <w:rFonts w:hint="eastAsia" w:ascii="宋体" w:hAnsi="宋体"/>
          <w:color w:val="auto"/>
          <w:sz w:val="44"/>
          <w:szCs w:val="44"/>
          <w:highlight w:val="none"/>
          <w:lang w:eastAsia="zh-CN"/>
        </w:rPr>
      </w:pPr>
    </w:p>
    <w:p>
      <w:pPr>
        <w:rPr>
          <w:rFonts w:hint="eastAsia" w:ascii="宋体" w:hAnsi="宋体"/>
          <w:color w:val="auto"/>
          <w:sz w:val="44"/>
          <w:szCs w:val="44"/>
          <w:highlight w:val="none"/>
          <w:lang w:eastAsia="zh-CN"/>
        </w:rPr>
      </w:pPr>
    </w:p>
    <w:p>
      <w:pPr>
        <w:pStyle w:val="2"/>
        <w:rPr>
          <w:rFonts w:hint="eastAsia" w:ascii="宋体" w:hAnsi="宋体"/>
          <w:color w:val="auto"/>
          <w:sz w:val="44"/>
          <w:szCs w:val="44"/>
          <w:highlight w:val="none"/>
          <w:lang w:eastAsia="zh-CN"/>
        </w:rPr>
      </w:pPr>
    </w:p>
    <w:p>
      <w:pPr>
        <w:rPr>
          <w:rFonts w:hint="eastAsia" w:ascii="宋体" w:hAnsi="宋体"/>
          <w:color w:val="auto"/>
          <w:sz w:val="44"/>
          <w:szCs w:val="44"/>
          <w:highlight w:val="none"/>
          <w:lang w:eastAsia="zh-CN"/>
        </w:rPr>
      </w:pPr>
    </w:p>
    <w:p>
      <w:pPr>
        <w:pStyle w:val="2"/>
        <w:rPr>
          <w:rFonts w:hint="eastAsia" w:ascii="宋体" w:hAnsi="宋体"/>
          <w:color w:val="auto"/>
          <w:sz w:val="44"/>
          <w:szCs w:val="44"/>
          <w:highlight w:val="none"/>
          <w:lang w:eastAsia="zh-CN"/>
        </w:rPr>
      </w:pPr>
    </w:p>
    <w:p>
      <w:pPr>
        <w:rPr>
          <w:rFonts w:hint="eastAsia"/>
          <w:lang w:eastAsia="zh-CN"/>
        </w:rPr>
      </w:pPr>
    </w:p>
    <w:p>
      <w:pPr>
        <w:pStyle w:val="3"/>
        <w:shd w:val="clear"/>
        <w:spacing w:line="360" w:lineRule="auto"/>
        <w:jc w:val="center"/>
        <w:rPr>
          <w:rFonts w:ascii="仿宋_GB2312" w:eastAsia="仿宋_GB2312"/>
          <w:b/>
          <w:color w:val="auto"/>
          <w:sz w:val="32"/>
          <w:szCs w:val="32"/>
          <w:highlight w:val="none"/>
        </w:rPr>
      </w:pPr>
      <w:bookmarkStart w:id="102" w:name="_Toc4296"/>
      <w:r>
        <w:rPr>
          <w:rFonts w:hint="eastAsia" w:ascii="宋体" w:hAnsi="宋体"/>
          <w:color w:val="auto"/>
          <w:sz w:val="44"/>
          <w:szCs w:val="44"/>
          <w:highlight w:val="none"/>
          <w:lang w:eastAsia="zh-CN"/>
        </w:rPr>
        <w:t>第</w:t>
      </w:r>
      <w:r>
        <w:rPr>
          <w:rFonts w:hint="eastAsia" w:ascii="宋体" w:hAnsi="宋体"/>
          <w:color w:val="auto"/>
          <w:sz w:val="44"/>
          <w:szCs w:val="44"/>
          <w:highlight w:val="none"/>
          <w:lang w:val="en-US" w:eastAsia="zh-CN"/>
        </w:rPr>
        <w:t>七</w:t>
      </w:r>
      <w:r>
        <w:rPr>
          <w:rFonts w:hint="eastAsia" w:ascii="宋体" w:hAnsi="宋体"/>
          <w:color w:val="auto"/>
          <w:sz w:val="44"/>
          <w:szCs w:val="44"/>
          <w:highlight w:val="none"/>
        </w:rPr>
        <w:t>章 响应文件格式</w:t>
      </w:r>
      <w:bookmarkEnd w:id="78"/>
      <w:bookmarkEnd w:id="102"/>
    </w:p>
    <w:p>
      <w:pPr>
        <w:shd w:val="clear"/>
        <w:spacing w:line="360" w:lineRule="auto"/>
        <w:ind w:firstLine="411" w:firstLineChars="196"/>
        <w:rPr>
          <w:rFonts w:ascii="仿宋_GB2312" w:hAnsi="宋体" w:eastAsia="仿宋_GB2312"/>
          <w:b/>
          <w:color w:val="auto"/>
          <w:sz w:val="28"/>
          <w:szCs w:val="28"/>
          <w:highlight w:val="none"/>
        </w:rPr>
      </w:pPr>
      <w:r>
        <w:rPr>
          <w:rFonts w:hint="eastAsia" w:ascii="宋体" w:hAnsi="宋体"/>
          <w:color w:val="auto"/>
          <w:szCs w:val="21"/>
          <w:highlight w:val="none"/>
        </w:rPr>
        <w:t>响应文件格式是供应商的部分响应文件格式，供应商应当严格按照这些格式编制响应文件。编制响应文件前，请详细阅读</w:t>
      </w:r>
      <w:r>
        <w:rPr>
          <w:rFonts w:hint="eastAsia" w:ascii="宋体" w:hAnsi="宋体"/>
          <w:color w:val="auto"/>
          <w:szCs w:val="21"/>
          <w:highlight w:val="none"/>
          <w:lang w:eastAsia="zh-CN"/>
        </w:rPr>
        <w:t>谈判</w:t>
      </w:r>
      <w:r>
        <w:rPr>
          <w:rFonts w:hint="eastAsia" w:ascii="宋体" w:hAnsi="宋体"/>
          <w:color w:val="auto"/>
          <w:szCs w:val="21"/>
          <w:highlight w:val="none"/>
        </w:rPr>
        <w:t>文件，理解文件中的每一项要求，做出逐一实质性响应，认为有必要，可做补充说明。</w:t>
      </w:r>
    </w:p>
    <w:p>
      <w:pPr>
        <w:shd w:val="clear"/>
        <w:spacing w:line="400" w:lineRule="exact"/>
        <w:jc w:val="center"/>
        <w:rPr>
          <w:rFonts w:ascii="仿宋_GB2312" w:hAnsi="宋体" w:eastAsia="仿宋_GB2312"/>
          <w:b/>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spacing w:line="400" w:lineRule="exact"/>
        <w:ind w:firstLine="570"/>
        <w:rPr>
          <w:rFonts w:ascii="仿宋_GB2312" w:hAnsi="宋体" w:eastAsia="仿宋_GB2312"/>
          <w:color w:val="auto"/>
          <w:sz w:val="28"/>
          <w:szCs w:val="28"/>
          <w:highlight w:val="none"/>
        </w:rPr>
      </w:pPr>
    </w:p>
    <w:p>
      <w:pPr>
        <w:shd w:val="clear"/>
        <w:wordWrap w:val="0"/>
        <w:jc w:val="right"/>
        <w:rPr>
          <w:rFonts w:hint="eastAsia" w:ascii="宋体" w:hAnsi="宋体" w:cs="宋体"/>
          <w:color w:val="auto"/>
          <w:sz w:val="24"/>
          <w:szCs w:val="24"/>
          <w:highlight w:val="none"/>
          <w:lang w:val="en-US" w:eastAsia="zh-CN"/>
        </w:rPr>
      </w:pPr>
      <w:r>
        <w:rPr>
          <w:rFonts w:ascii="仿宋_GB2312" w:hAnsi="宋体" w:eastAsia="仿宋_GB2312"/>
          <w:color w:val="auto"/>
          <w:sz w:val="28"/>
          <w:szCs w:val="28"/>
          <w:highlight w:val="none"/>
        </w:rPr>
        <w:br w:type="page"/>
      </w:r>
      <w:bookmarkStart w:id="103" w:name="_Toc217446082"/>
      <w:r>
        <w:rPr>
          <w:rFonts w:hint="eastAsia" w:ascii="宋体" w:hAnsi="宋体"/>
          <w:color w:val="auto"/>
          <w:sz w:val="24"/>
          <w:szCs w:val="24"/>
          <w:highlight w:val="none"/>
        </w:rPr>
        <w:t>正本/副本</w:t>
      </w:r>
    </w:p>
    <w:p>
      <w:pPr>
        <w:shd w:val="clear"/>
        <w:wordWrap w:val="0"/>
        <w:jc w:val="right"/>
        <w:rPr>
          <w:rFonts w:hint="eastAsia" w:ascii="宋体" w:hAnsi="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b/>
          <w:bCs/>
          <w:color w:val="auto"/>
          <w:sz w:val="24"/>
          <w:szCs w:val="24"/>
          <w:highlight w:val="none"/>
          <w:lang w:val="en-US" w:eastAsia="zh-CN"/>
        </w:rPr>
      </w:pPr>
      <w:bookmarkStart w:id="104" w:name="_Toc18074972"/>
      <w:r>
        <w:rPr>
          <w:rFonts w:hint="eastAsia" w:ascii="宋体" w:hAnsi="宋体" w:eastAsia="宋体" w:cs="Times New Roman"/>
          <w:b/>
          <w:bCs/>
          <w:color w:val="auto"/>
          <w:kern w:val="2"/>
          <w:sz w:val="24"/>
          <w:szCs w:val="24"/>
          <w:highlight w:val="none"/>
          <w:lang w:val="en-US" w:eastAsia="zh-CN" w:bidi="ar-SA"/>
        </w:rPr>
        <w:t>政府采购项目</w:t>
      </w:r>
    </w:p>
    <w:p>
      <w:pPr>
        <w:pStyle w:val="14"/>
        <w:jc w:val="left"/>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采购</w:t>
      </w:r>
      <w:r>
        <w:rPr>
          <w:rFonts w:hint="eastAsia" w:ascii="宋体" w:hAnsi="宋体"/>
          <w:b/>
          <w:bCs/>
          <w:color w:val="auto"/>
          <w:sz w:val="24"/>
          <w:szCs w:val="24"/>
          <w:highlight w:val="none"/>
        </w:rPr>
        <w:t>项目编号：</w:t>
      </w:r>
      <w:bookmarkEnd w:id="104"/>
      <w:r>
        <w:rPr>
          <w:rFonts w:hint="eastAsia" w:ascii="宋体" w:hAnsi="宋体"/>
          <w:b/>
          <w:bCs/>
          <w:color w:val="auto"/>
          <w:sz w:val="24"/>
          <w:szCs w:val="24"/>
          <w:highlight w:val="none"/>
          <w:lang w:eastAsia="zh-CN"/>
        </w:rPr>
        <w:t>YZZB-2022-051</w:t>
      </w:r>
    </w:p>
    <w:p>
      <w:pPr>
        <w:rPr>
          <w:color w:val="auto"/>
        </w:rPr>
      </w:pPr>
    </w:p>
    <w:p>
      <w:pPr>
        <w:pStyle w:val="7"/>
        <w:rPr>
          <w:rFonts w:hint="eastAsia"/>
          <w:color w:val="auto"/>
          <w:lang w:eastAsia="zh-CN"/>
        </w:rPr>
      </w:pPr>
    </w:p>
    <w:p>
      <w:pPr>
        <w:pStyle w:val="18"/>
        <w:shd w:val="clear"/>
        <w:adjustRightInd w:val="0"/>
        <w:snapToGrid w:val="0"/>
        <w:spacing w:line="360" w:lineRule="auto"/>
        <w:jc w:val="center"/>
        <w:rPr>
          <w:rFonts w:hint="eastAsia" w:asciiTheme="majorEastAsia" w:hAnsiTheme="majorEastAsia" w:eastAsiaTheme="majorEastAsia" w:cstheme="majorEastAsia"/>
          <w:b/>
          <w:bCs/>
          <w:color w:val="auto"/>
          <w:sz w:val="52"/>
          <w:szCs w:val="52"/>
          <w:highlight w:val="none"/>
          <w:lang w:eastAsia="zh-CN"/>
        </w:rPr>
      </w:pPr>
      <w:r>
        <w:rPr>
          <w:rFonts w:hint="eastAsia" w:asciiTheme="majorEastAsia" w:hAnsiTheme="majorEastAsia" w:eastAsiaTheme="majorEastAsia" w:cstheme="majorEastAsia"/>
          <w:b/>
          <w:bCs/>
          <w:color w:val="auto"/>
          <w:sz w:val="52"/>
          <w:szCs w:val="52"/>
          <w:highlight w:val="none"/>
          <w:lang w:eastAsia="zh-CN"/>
        </w:rPr>
        <w:t>鲁桥镇西区农村生活污水治理建设项目</w:t>
      </w:r>
    </w:p>
    <w:p>
      <w:pPr>
        <w:pStyle w:val="70"/>
        <w:shd w:val="clear"/>
        <w:rPr>
          <w:color w:val="auto"/>
          <w:highlight w:val="none"/>
        </w:rPr>
      </w:pPr>
    </w:p>
    <w:p>
      <w:pPr>
        <w:pStyle w:val="70"/>
        <w:shd w:val="clear"/>
        <w:rPr>
          <w:color w:val="auto"/>
          <w:highlight w:val="none"/>
        </w:rPr>
      </w:pPr>
    </w:p>
    <w:p>
      <w:pPr>
        <w:shd w:val="clear"/>
        <w:jc w:val="both"/>
        <w:rPr>
          <w:rFonts w:hint="eastAsia" w:ascii="宋体" w:hAnsi="宋体"/>
          <w:b/>
          <w:color w:val="auto"/>
          <w:sz w:val="84"/>
          <w:szCs w:val="84"/>
          <w:highlight w:val="none"/>
        </w:rPr>
      </w:pPr>
      <w:bookmarkStart w:id="105" w:name="_Toc18074973"/>
    </w:p>
    <w:p>
      <w:pPr>
        <w:shd w:val="clear"/>
        <w:jc w:val="center"/>
        <w:rPr>
          <w:rFonts w:ascii="宋体" w:hAnsi="宋体"/>
          <w:b/>
          <w:color w:val="auto"/>
          <w:sz w:val="84"/>
          <w:szCs w:val="84"/>
          <w:highlight w:val="none"/>
        </w:rPr>
      </w:pPr>
      <w:r>
        <w:rPr>
          <w:rFonts w:hint="eastAsia" w:ascii="宋体" w:hAnsi="宋体"/>
          <w:b/>
          <w:color w:val="auto"/>
          <w:sz w:val="84"/>
          <w:szCs w:val="84"/>
          <w:highlight w:val="none"/>
          <w:lang w:eastAsia="zh-CN"/>
        </w:rPr>
        <w:t>竞争性谈判</w:t>
      </w:r>
      <w:r>
        <w:rPr>
          <w:rFonts w:hint="eastAsia" w:ascii="宋体" w:hAnsi="宋体"/>
          <w:b/>
          <w:color w:val="auto"/>
          <w:sz w:val="84"/>
          <w:szCs w:val="84"/>
          <w:highlight w:val="none"/>
        </w:rPr>
        <w:t>响应文件</w:t>
      </w:r>
      <w:bookmarkEnd w:id="105"/>
    </w:p>
    <w:p>
      <w:pPr>
        <w:pStyle w:val="6"/>
        <w:shd w:val="clear"/>
        <w:rPr>
          <w:color w:val="auto"/>
          <w:sz w:val="28"/>
          <w:szCs w:val="28"/>
          <w:highlight w:val="none"/>
        </w:rPr>
      </w:pPr>
    </w:p>
    <w:p>
      <w:pPr>
        <w:pStyle w:val="6"/>
        <w:shd w:val="clear"/>
        <w:rPr>
          <w:color w:val="auto"/>
          <w:sz w:val="28"/>
          <w:szCs w:val="28"/>
          <w:highlight w:val="none"/>
        </w:rPr>
      </w:pPr>
    </w:p>
    <w:p>
      <w:pPr>
        <w:pStyle w:val="6"/>
        <w:shd w:val="clear"/>
        <w:rPr>
          <w:color w:val="auto"/>
          <w:sz w:val="28"/>
          <w:szCs w:val="28"/>
          <w:highlight w:val="none"/>
        </w:rPr>
      </w:pPr>
    </w:p>
    <w:p>
      <w:pPr>
        <w:pStyle w:val="6"/>
        <w:shd w:val="clear"/>
        <w:rPr>
          <w:color w:val="auto"/>
          <w:sz w:val="28"/>
          <w:szCs w:val="28"/>
          <w:highlight w:val="none"/>
        </w:rPr>
      </w:pPr>
    </w:p>
    <w:p>
      <w:pPr>
        <w:pStyle w:val="6"/>
        <w:shd w:val="clear"/>
        <w:rPr>
          <w:color w:val="auto"/>
          <w:sz w:val="28"/>
          <w:szCs w:val="28"/>
          <w:highlight w:val="none"/>
        </w:rPr>
      </w:pPr>
    </w:p>
    <w:p>
      <w:pPr>
        <w:pStyle w:val="6"/>
        <w:shd w:val="clear"/>
        <w:spacing w:beforeLines="50"/>
        <w:ind w:firstLine="1630" w:firstLineChars="580"/>
        <w:rPr>
          <w:rFonts w:ascii="宋体" w:hAnsi="宋体"/>
          <w:b/>
          <w:color w:val="auto"/>
          <w:sz w:val="28"/>
          <w:szCs w:val="28"/>
          <w:highlight w:val="none"/>
        </w:rPr>
      </w:pPr>
    </w:p>
    <w:p>
      <w:pPr>
        <w:pStyle w:val="6"/>
        <w:shd w:val="clear"/>
        <w:spacing w:beforeLines="50"/>
        <w:ind w:firstLine="1630" w:firstLineChars="580"/>
        <w:rPr>
          <w:rFonts w:ascii="宋体" w:hAnsi="宋体"/>
          <w:b/>
          <w:color w:val="auto"/>
          <w:sz w:val="28"/>
          <w:szCs w:val="28"/>
          <w:highlight w:val="none"/>
        </w:rPr>
      </w:pPr>
    </w:p>
    <w:p>
      <w:pPr>
        <w:pStyle w:val="6"/>
        <w:shd w:val="clear"/>
        <w:spacing w:beforeLines="50"/>
        <w:ind w:firstLine="1630" w:firstLineChars="580"/>
        <w:rPr>
          <w:rFonts w:ascii="宋体" w:hAnsi="宋体"/>
          <w:b/>
          <w:color w:val="auto"/>
          <w:sz w:val="28"/>
          <w:szCs w:val="28"/>
          <w:highlight w:val="none"/>
        </w:rPr>
      </w:pPr>
    </w:p>
    <w:p>
      <w:pPr>
        <w:pStyle w:val="6"/>
        <w:shd w:val="clear"/>
        <w:spacing w:beforeLines="50"/>
        <w:ind w:firstLine="1630" w:firstLineChars="580"/>
        <w:rPr>
          <w:rFonts w:ascii="宋体" w:hAnsi="宋体"/>
          <w:b/>
          <w:color w:val="auto"/>
          <w:sz w:val="28"/>
          <w:szCs w:val="28"/>
          <w:highlight w:val="none"/>
        </w:rPr>
      </w:pPr>
    </w:p>
    <w:p>
      <w:pPr>
        <w:pStyle w:val="6"/>
        <w:shd w:val="clear"/>
        <w:spacing w:beforeLines="50"/>
        <w:ind w:firstLine="1630" w:firstLineChars="580"/>
        <w:rPr>
          <w:rFonts w:ascii="宋体" w:hAnsi="宋体"/>
          <w:b/>
          <w:color w:val="auto"/>
          <w:sz w:val="28"/>
          <w:szCs w:val="28"/>
          <w:highlight w:val="none"/>
        </w:rPr>
      </w:pPr>
    </w:p>
    <w:p>
      <w:pPr>
        <w:pStyle w:val="6"/>
        <w:shd w:val="clear"/>
        <w:spacing w:beforeLines="50"/>
        <w:ind w:firstLine="1630" w:firstLineChars="580"/>
        <w:rPr>
          <w:rFonts w:ascii="宋体" w:hAnsi="宋体"/>
          <w:b/>
          <w:color w:val="auto"/>
          <w:sz w:val="28"/>
          <w:szCs w:val="28"/>
          <w:highlight w:val="none"/>
        </w:rPr>
      </w:pPr>
    </w:p>
    <w:p>
      <w:pPr>
        <w:shd w:val="clear"/>
        <w:spacing w:line="480" w:lineRule="auto"/>
        <w:ind w:firstLine="1687" w:firstLineChars="600"/>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供</w:t>
      </w:r>
      <w:r>
        <w:rPr>
          <w:rFonts w:hint="eastAsia" w:ascii="宋体" w:hAnsi="宋体" w:cs="仿宋_GB2312"/>
          <w:b/>
          <w:bCs/>
          <w:color w:val="auto"/>
          <w:sz w:val="28"/>
          <w:szCs w:val="28"/>
          <w:highlight w:val="none"/>
          <w:lang w:val="en-US" w:eastAsia="zh-CN"/>
        </w:rPr>
        <w:t xml:space="preserve">  </w:t>
      </w:r>
      <w:r>
        <w:rPr>
          <w:rFonts w:hint="eastAsia" w:ascii="宋体" w:hAnsi="宋体" w:cs="仿宋_GB2312"/>
          <w:b/>
          <w:bCs/>
          <w:color w:val="auto"/>
          <w:sz w:val="28"/>
          <w:szCs w:val="28"/>
          <w:highlight w:val="none"/>
        </w:rPr>
        <w:t>应</w:t>
      </w:r>
      <w:r>
        <w:rPr>
          <w:rFonts w:hint="eastAsia" w:ascii="宋体" w:hAnsi="宋体" w:cs="仿宋_GB2312"/>
          <w:b/>
          <w:bCs/>
          <w:color w:val="auto"/>
          <w:sz w:val="28"/>
          <w:szCs w:val="28"/>
          <w:highlight w:val="none"/>
          <w:lang w:val="en-US" w:eastAsia="zh-CN"/>
        </w:rPr>
        <w:t xml:space="preserve">  </w:t>
      </w:r>
      <w:r>
        <w:rPr>
          <w:rFonts w:hint="eastAsia" w:ascii="宋体" w:hAnsi="宋体" w:cs="仿宋_GB2312"/>
          <w:b/>
          <w:bCs/>
          <w:color w:val="auto"/>
          <w:sz w:val="28"/>
          <w:szCs w:val="28"/>
          <w:highlight w:val="none"/>
        </w:rPr>
        <w:t>商：</w:t>
      </w:r>
      <w:r>
        <w:rPr>
          <w:rFonts w:hint="eastAsia" w:ascii="宋体" w:hAnsi="宋体" w:cs="仿宋_GB2312"/>
          <w:b/>
          <w:bCs/>
          <w:color w:val="auto"/>
          <w:sz w:val="28"/>
          <w:szCs w:val="28"/>
          <w:highlight w:val="none"/>
          <w:u w:val="single"/>
        </w:rPr>
        <w:t xml:space="preserve">                      </w:t>
      </w:r>
      <w:r>
        <w:rPr>
          <w:rFonts w:hint="eastAsia" w:ascii="宋体" w:hAnsi="宋体" w:cs="仿宋_GB2312"/>
          <w:b/>
          <w:bCs/>
          <w:color w:val="auto"/>
          <w:sz w:val="28"/>
          <w:szCs w:val="28"/>
          <w:highlight w:val="none"/>
        </w:rPr>
        <w:t xml:space="preserve">（盖章） </w:t>
      </w:r>
    </w:p>
    <w:p>
      <w:pPr>
        <w:shd w:val="clear"/>
        <w:spacing w:line="480" w:lineRule="auto"/>
        <w:ind w:firstLine="1687" w:firstLineChars="600"/>
        <w:rPr>
          <w:rFonts w:ascii="宋体" w:hAnsi="宋体"/>
          <w:b/>
          <w:bCs/>
          <w:color w:val="auto"/>
          <w:sz w:val="28"/>
          <w:szCs w:val="28"/>
          <w:highlight w:val="none"/>
        </w:rPr>
      </w:pPr>
      <w:r>
        <w:rPr>
          <w:rFonts w:hint="eastAsia" w:ascii="宋体" w:hAnsi="宋体" w:cs="仿宋_GB2312"/>
          <w:b/>
          <w:bCs/>
          <w:color w:val="auto"/>
          <w:sz w:val="28"/>
          <w:szCs w:val="28"/>
          <w:highlight w:val="none"/>
        </w:rPr>
        <w:t>法定代表人或其委托代理人：</w:t>
      </w:r>
      <w:r>
        <w:rPr>
          <w:rFonts w:hint="eastAsia" w:ascii="宋体" w:hAnsi="宋体" w:cs="仿宋_GB2312"/>
          <w:b/>
          <w:bCs/>
          <w:color w:val="auto"/>
          <w:sz w:val="28"/>
          <w:szCs w:val="28"/>
          <w:highlight w:val="none"/>
          <w:u w:val="single"/>
        </w:rPr>
        <w:t xml:space="preserve">        </w:t>
      </w:r>
      <w:r>
        <w:rPr>
          <w:rFonts w:hint="eastAsia" w:ascii="宋体" w:hAnsi="宋体" w:cs="仿宋_GB2312"/>
          <w:b/>
          <w:bCs/>
          <w:color w:val="auto"/>
          <w:sz w:val="28"/>
          <w:szCs w:val="28"/>
          <w:highlight w:val="none"/>
        </w:rPr>
        <w:t>（签字或盖章）</w:t>
      </w:r>
    </w:p>
    <w:p>
      <w:pPr>
        <w:shd w:val="clear"/>
        <w:spacing w:line="480" w:lineRule="auto"/>
        <w:ind w:firstLine="1687" w:firstLineChars="600"/>
        <w:jc w:val="both"/>
        <w:rPr>
          <w:rFonts w:ascii="宋体" w:hAnsi="宋体" w:cs="仿宋_GB2312"/>
          <w:b/>
          <w:bCs/>
          <w:color w:val="auto"/>
          <w:sz w:val="28"/>
          <w:szCs w:val="28"/>
          <w:highlight w:val="none"/>
        </w:rPr>
      </w:pPr>
      <w:r>
        <w:rPr>
          <w:rFonts w:hint="eastAsia" w:ascii="宋体" w:hAnsi="宋体" w:cs="仿宋_GB2312"/>
          <w:b/>
          <w:bCs/>
          <w:color w:val="auto"/>
          <w:sz w:val="28"/>
          <w:szCs w:val="28"/>
          <w:highlight w:val="none"/>
          <w:lang w:eastAsia="zh-CN"/>
        </w:rPr>
        <w:t>日</w:t>
      </w:r>
      <w:r>
        <w:rPr>
          <w:rFonts w:hint="eastAsia" w:ascii="宋体" w:hAnsi="宋体" w:cs="仿宋_GB2312"/>
          <w:b/>
          <w:bCs/>
          <w:color w:val="auto"/>
          <w:sz w:val="28"/>
          <w:szCs w:val="28"/>
          <w:highlight w:val="none"/>
          <w:lang w:val="en-US" w:eastAsia="zh-CN"/>
        </w:rPr>
        <w:t xml:space="preserve">      </w:t>
      </w:r>
      <w:r>
        <w:rPr>
          <w:rFonts w:hint="eastAsia" w:ascii="宋体" w:hAnsi="宋体" w:cs="仿宋_GB2312"/>
          <w:b/>
          <w:bCs/>
          <w:color w:val="auto"/>
          <w:sz w:val="28"/>
          <w:szCs w:val="28"/>
          <w:highlight w:val="none"/>
          <w:lang w:eastAsia="zh-CN"/>
        </w:rPr>
        <w:t>期：</w:t>
      </w:r>
      <w:r>
        <w:rPr>
          <w:rFonts w:hint="eastAsia" w:ascii="宋体" w:hAnsi="宋体" w:cs="仿宋_GB2312"/>
          <w:b/>
          <w:bCs/>
          <w:color w:val="auto"/>
          <w:sz w:val="28"/>
          <w:szCs w:val="28"/>
          <w:highlight w:val="none"/>
          <w:u w:val="single"/>
          <w:lang w:val="en-US" w:eastAsia="zh-CN"/>
        </w:rPr>
        <w:t xml:space="preserve">     </w:t>
      </w:r>
      <w:r>
        <w:rPr>
          <w:rFonts w:hint="eastAsia" w:ascii="宋体" w:hAnsi="宋体" w:cs="仿宋_GB2312"/>
          <w:b/>
          <w:bCs/>
          <w:color w:val="auto"/>
          <w:sz w:val="28"/>
          <w:szCs w:val="28"/>
          <w:highlight w:val="none"/>
        </w:rPr>
        <w:t>年</w:t>
      </w:r>
      <w:r>
        <w:rPr>
          <w:rFonts w:hint="eastAsia" w:ascii="宋体" w:hAnsi="宋体" w:cs="仿宋_GB2312"/>
          <w:b/>
          <w:bCs/>
          <w:color w:val="auto"/>
          <w:sz w:val="28"/>
          <w:szCs w:val="28"/>
          <w:highlight w:val="none"/>
          <w:u w:val="single"/>
        </w:rPr>
        <w:t xml:space="preserve">    </w:t>
      </w:r>
      <w:r>
        <w:rPr>
          <w:rFonts w:hint="eastAsia" w:ascii="宋体" w:hAnsi="宋体" w:cs="仿宋_GB2312"/>
          <w:b/>
          <w:bCs/>
          <w:color w:val="auto"/>
          <w:sz w:val="28"/>
          <w:szCs w:val="28"/>
          <w:highlight w:val="none"/>
        </w:rPr>
        <w:t>月</w:t>
      </w:r>
      <w:r>
        <w:rPr>
          <w:rFonts w:hint="eastAsia" w:ascii="宋体" w:hAnsi="宋体" w:cs="仿宋_GB2312"/>
          <w:b/>
          <w:bCs/>
          <w:color w:val="auto"/>
          <w:sz w:val="28"/>
          <w:szCs w:val="28"/>
          <w:highlight w:val="none"/>
          <w:u w:val="single"/>
        </w:rPr>
        <w:t xml:space="preserve">    </w:t>
      </w:r>
      <w:r>
        <w:rPr>
          <w:rFonts w:hint="eastAsia" w:ascii="宋体" w:hAnsi="宋体" w:cs="仿宋_GB2312"/>
          <w:b/>
          <w:bCs/>
          <w:color w:val="auto"/>
          <w:sz w:val="28"/>
          <w:szCs w:val="28"/>
          <w:highlight w:val="none"/>
        </w:rPr>
        <w:t>日</w:t>
      </w:r>
    </w:p>
    <w:p>
      <w:pPr>
        <w:pStyle w:val="6"/>
        <w:shd w:val="clear"/>
        <w:spacing w:beforeLines="50" w:afterLines="50"/>
        <w:ind w:firstLine="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  录</w:t>
      </w:r>
    </w:p>
    <w:p>
      <w:pPr>
        <w:pStyle w:val="6"/>
        <w:shd w:val="clear"/>
        <w:spacing w:beforeLines="50"/>
        <w:ind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格式自拟，须编制页码</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pPr>
        <w:pStyle w:val="6"/>
        <w:shd w:val="clear"/>
        <w:spacing w:beforeLines="50"/>
        <w:ind w:firstLine="0"/>
        <w:rPr>
          <w:rFonts w:hint="eastAsia" w:ascii="宋体" w:hAnsi="宋体" w:eastAsia="宋体" w:cs="宋体"/>
          <w:color w:val="auto"/>
          <w:sz w:val="21"/>
          <w:szCs w:val="21"/>
          <w:highlight w:val="none"/>
          <w:lang w:eastAsia="zh-CN"/>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jc w:val="center"/>
        <w:outlineLvl w:val="1"/>
        <w:rPr>
          <w:rFonts w:ascii="宋体" w:hAnsi="宋体"/>
          <w:b/>
          <w:color w:val="auto"/>
          <w:sz w:val="72"/>
          <w:szCs w:val="72"/>
          <w:highlight w:val="none"/>
        </w:rPr>
      </w:pPr>
      <w:bookmarkStart w:id="106" w:name="_Toc31607"/>
      <w:r>
        <w:rPr>
          <w:rFonts w:hint="eastAsia" w:ascii="宋体" w:hAnsi="宋体"/>
          <w:b/>
          <w:color w:val="auto"/>
          <w:sz w:val="72"/>
          <w:szCs w:val="72"/>
          <w:highlight w:val="none"/>
        </w:rPr>
        <w:t>资格审查部分</w:t>
      </w:r>
      <w:bookmarkEnd w:id="106"/>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bookmarkEnd w:id="103"/>
    <w:p>
      <w:pPr>
        <w:shd w:val="clear"/>
        <w:adjustRightInd w:val="0"/>
        <w:snapToGrid w:val="0"/>
        <w:spacing w:line="360" w:lineRule="auto"/>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1</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供应商基本情况表</w:t>
      </w: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0"/>
        <w:gridCol w:w="946"/>
        <w:gridCol w:w="2230"/>
        <w:gridCol w:w="1275"/>
        <w:gridCol w:w="2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供应商名称</w:t>
            </w:r>
          </w:p>
        </w:tc>
        <w:tc>
          <w:tcPr>
            <w:tcW w:w="7206"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注册地址</w:t>
            </w:r>
          </w:p>
        </w:tc>
        <w:tc>
          <w:tcPr>
            <w:tcW w:w="3176"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邮政编码</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820" w:type="dxa"/>
            <w:vMerge w:val="restart"/>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联系方式</w:t>
            </w:r>
          </w:p>
        </w:tc>
        <w:tc>
          <w:tcPr>
            <w:tcW w:w="946"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联系人</w:t>
            </w:r>
          </w:p>
        </w:tc>
        <w:tc>
          <w:tcPr>
            <w:tcW w:w="223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电 话</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820" w:type="dxa"/>
            <w:vMerge w:val="continue"/>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传  真</w:t>
            </w:r>
          </w:p>
        </w:tc>
        <w:tc>
          <w:tcPr>
            <w:tcW w:w="223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网 址</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企业类型</w:t>
            </w:r>
          </w:p>
        </w:tc>
        <w:tc>
          <w:tcPr>
            <w:tcW w:w="3176"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企业规模</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法定代表人</w:t>
            </w:r>
          </w:p>
        </w:tc>
        <w:tc>
          <w:tcPr>
            <w:tcW w:w="946"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姓名</w:t>
            </w:r>
          </w:p>
        </w:tc>
        <w:tc>
          <w:tcPr>
            <w:tcW w:w="223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u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u w:val="none"/>
              </w:rPr>
            </w:pPr>
            <w:r>
              <w:rPr>
                <w:rFonts w:ascii="宋体" w:hAnsi="宋体"/>
                <w:color w:val="auto"/>
                <w:szCs w:val="21"/>
                <w:highlight w:val="none"/>
              </w:rPr>
              <w:t>电话</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技术负责人</w:t>
            </w:r>
          </w:p>
        </w:tc>
        <w:tc>
          <w:tcPr>
            <w:tcW w:w="946"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姓名</w:t>
            </w:r>
          </w:p>
        </w:tc>
        <w:tc>
          <w:tcPr>
            <w:tcW w:w="223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strike/>
                <w:dstrike w:val="0"/>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strike/>
                <w:dstrike w:val="0"/>
                <w:color w:val="auto"/>
                <w:szCs w:val="21"/>
                <w:highlight w:val="none"/>
              </w:rPr>
            </w:pPr>
            <w:r>
              <w:rPr>
                <w:rFonts w:ascii="宋体" w:hAnsi="宋体"/>
                <w:color w:val="auto"/>
                <w:szCs w:val="21"/>
                <w:highlight w:val="none"/>
              </w:rPr>
              <w:t>电话</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营业执照号</w:t>
            </w:r>
          </w:p>
        </w:tc>
        <w:tc>
          <w:tcPr>
            <w:tcW w:w="7206"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ind w:firstLine="1050" w:firstLineChars="5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成立时间</w:t>
            </w:r>
          </w:p>
        </w:tc>
        <w:tc>
          <w:tcPr>
            <w:tcW w:w="3176"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注册资金</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hint="eastAsia" w:ascii="宋体" w:hAnsi="宋体"/>
                <w:color w:val="auto"/>
                <w:szCs w:val="21"/>
                <w:highlight w:val="none"/>
              </w:rPr>
              <w:t>资产总额</w:t>
            </w:r>
          </w:p>
        </w:tc>
        <w:tc>
          <w:tcPr>
            <w:tcW w:w="3176"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开户银行</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hint="eastAsia" w:ascii="宋体" w:hAnsi="宋体"/>
                <w:color w:val="auto"/>
                <w:szCs w:val="21"/>
                <w:highlight w:val="none"/>
              </w:rPr>
              <w:t>上年营业额</w:t>
            </w:r>
          </w:p>
        </w:tc>
        <w:tc>
          <w:tcPr>
            <w:tcW w:w="3176"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账号</w:t>
            </w:r>
          </w:p>
        </w:tc>
        <w:tc>
          <w:tcPr>
            <w:tcW w:w="2755"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4" w:hRule="atLeast"/>
          <w:jc w:val="center"/>
        </w:trPr>
        <w:tc>
          <w:tcPr>
            <w:tcW w:w="1820" w:type="dxa"/>
            <w:tcBorders>
              <w:top w:val="single" w:color="auto" w:sz="4" w:space="0"/>
              <w:left w:val="single" w:color="auto" w:sz="4" w:space="0"/>
              <w:right w:val="single" w:color="auto" w:sz="4" w:space="0"/>
            </w:tcBorders>
            <w:vAlign w:val="center"/>
          </w:tcPr>
          <w:p>
            <w:pPr>
              <w:shd w:val="clear"/>
              <w:topLinePunct/>
              <w:spacing w:line="440" w:lineRule="exact"/>
              <w:ind w:firstLine="210" w:firstLineChars="100"/>
              <w:jc w:val="center"/>
              <w:rPr>
                <w:rFonts w:ascii="宋体" w:hAnsi="宋体"/>
                <w:color w:val="auto"/>
                <w:szCs w:val="21"/>
                <w:highlight w:val="none"/>
              </w:rPr>
            </w:pPr>
            <w:r>
              <w:rPr>
                <w:rFonts w:ascii="宋体" w:hAnsi="宋体"/>
                <w:color w:val="auto"/>
                <w:szCs w:val="21"/>
                <w:highlight w:val="none"/>
              </w:rPr>
              <w:t>经营范围</w:t>
            </w:r>
          </w:p>
        </w:tc>
        <w:tc>
          <w:tcPr>
            <w:tcW w:w="7206" w:type="dxa"/>
            <w:gridSpan w:val="4"/>
            <w:tcBorders>
              <w:top w:val="single" w:color="auto" w:sz="4" w:space="0"/>
              <w:left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p>
          <w:p>
            <w:pPr>
              <w:shd w:val="clear"/>
              <w:topLinePunct/>
              <w:spacing w:line="440" w:lineRule="exact"/>
              <w:jc w:val="center"/>
              <w:rPr>
                <w:rFonts w:ascii="宋体" w:hAnsi="宋体"/>
                <w:color w:val="auto"/>
                <w:szCs w:val="21"/>
                <w:highlight w:val="none"/>
              </w:rPr>
            </w:pPr>
          </w:p>
          <w:p>
            <w:pPr>
              <w:shd w:val="clear"/>
              <w:topLinePunct/>
              <w:spacing w:line="440" w:lineRule="exact"/>
              <w:jc w:val="center"/>
              <w:rPr>
                <w:rFonts w:ascii="宋体" w:hAnsi="宋体"/>
                <w:color w:val="auto"/>
                <w:szCs w:val="21"/>
                <w:highlight w:val="none"/>
              </w:rPr>
            </w:pPr>
          </w:p>
          <w:p>
            <w:pPr>
              <w:shd w:val="clear"/>
              <w:topLinePunct/>
              <w:spacing w:line="440" w:lineRule="exact"/>
              <w:jc w:val="center"/>
              <w:rPr>
                <w:rFonts w:ascii="宋体" w:hAnsi="宋体"/>
                <w:color w:val="auto"/>
                <w:szCs w:val="21"/>
                <w:highlight w:val="none"/>
              </w:rPr>
            </w:pPr>
          </w:p>
          <w:p>
            <w:pPr>
              <w:shd w:val="clear"/>
              <w:topLinePunct/>
              <w:spacing w:line="440" w:lineRule="exact"/>
              <w:jc w:val="center"/>
              <w:rPr>
                <w:rFonts w:ascii="宋体" w:hAnsi="宋体"/>
                <w:color w:val="auto"/>
                <w:szCs w:val="21"/>
                <w:highlight w:val="none"/>
              </w:rPr>
            </w:pPr>
          </w:p>
          <w:p>
            <w:pPr>
              <w:shd w:val="clea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宋体" w:hAnsi="宋体"/>
                <w:color w:val="auto"/>
                <w:szCs w:val="21"/>
                <w:highlight w:val="none"/>
              </w:rPr>
            </w:pPr>
            <w:r>
              <w:rPr>
                <w:rFonts w:ascii="宋体" w:hAnsi="宋体"/>
                <w:color w:val="auto"/>
                <w:szCs w:val="21"/>
                <w:highlight w:val="none"/>
              </w:rPr>
              <w:t>备注</w:t>
            </w:r>
          </w:p>
        </w:tc>
        <w:tc>
          <w:tcPr>
            <w:tcW w:w="7206"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rPr>
                <w:rFonts w:ascii="宋体" w:hAnsi="宋体"/>
                <w:color w:val="auto"/>
                <w:szCs w:val="21"/>
                <w:highlight w:val="none"/>
              </w:rPr>
            </w:pPr>
          </w:p>
        </w:tc>
      </w:tr>
    </w:tbl>
    <w:p>
      <w:pPr>
        <w:shd w:val="clear"/>
        <w:adjustRightInd w:val="0"/>
        <w:snapToGrid w:val="0"/>
        <w:spacing w:beforeLines="50"/>
        <w:ind w:left="630" w:hanging="630" w:hangingChars="300"/>
        <w:rPr>
          <w:rFonts w:ascii="楷体" w:hAnsi="楷体" w:eastAsia="楷体"/>
          <w:color w:val="auto"/>
          <w:szCs w:val="21"/>
          <w:highlight w:val="none"/>
        </w:rPr>
      </w:pPr>
    </w:p>
    <w:p>
      <w:pPr>
        <w:shd w:val="clear"/>
        <w:adjustRightInd w:val="0"/>
        <w:snapToGrid w:val="0"/>
        <w:spacing w:beforeLines="50"/>
        <w:ind w:left="632" w:hanging="632" w:hangingChars="300"/>
        <w:rPr>
          <w:rFonts w:ascii="楷体" w:hAnsi="楷体" w:eastAsia="楷体"/>
          <w:b/>
          <w:color w:val="auto"/>
          <w:szCs w:val="21"/>
          <w:highlight w:val="none"/>
        </w:rPr>
      </w:pPr>
      <w:r>
        <w:rPr>
          <w:rFonts w:hint="eastAsia" w:ascii="楷体" w:hAnsi="楷体" w:eastAsia="楷体"/>
          <w:b/>
          <w:color w:val="auto"/>
          <w:szCs w:val="21"/>
          <w:highlight w:val="none"/>
        </w:rPr>
        <w:t>说明：企业规模指特大型、大型、中型、小型、微型。</w:t>
      </w:r>
    </w:p>
    <w:p>
      <w:pPr>
        <w:shd w:val="clear"/>
        <w:adjustRightInd w:val="0"/>
        <w:snapToGrid w:val="0"/>
        <w:spacing w:beforeLines="50"/>
        <w:ind w:left="630" w:hanging="630" w:hangingChars="300"/>
        <w:rPr>
          <w:rFonts w:ascii="楷体" w:hAnsi="楷体" w:eastAsia="楷体"/>
          <w:color w:val="auto"/>
          <w:szCs w:val="21"/>
          <w:highlight w:val="none"/>
        </w:rPr>
      </w:pPr>
    </w:p>
    <w:p>
      <w:pPr>
        <w:shd w:val="clear"/>
        <w:adjustRightInd w:val="0"/>
        <w:snapToGrid w:val="0"/>
        <w:spacing w:beforeLines="100" w:line="360" w:lineRule="auto"/>
        <w:ind w:firstLine="388" w:firstLineChars="185"/>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eastAsia="zh-CN"/>
        </w:rPr>
        <w:t>名称</w:t>
      </w:r>
      <w:r>
        <w:rPr>
          <w:rFonts w:hint="eastAsia" w:ascii="宋体" w:hAnsi="宋体"/>
          <w:bCs/>
          <w:color w:val="auto"/>
          <w:szCs w:val="21"/>
          <w:highlight w:val="none"/>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shd w:val="clear"/>
        <w:adjustRightInd w:val="0"/>
        <w:spacing w:line="360" w:lineRule="auto"/>
        <w:ind w:firstLine="367" w:firstLineChars="17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hd w:val="clear"/>
        <w:adjustRightInd w:val="0"/>
        <w:spacing w:line="360" w:lineRule="auto"/>
        <w:ind w:firstLine="367" w:firstLineChars="175"/>
        <w:jc w:val="left"/>
        <w:rPr>
          <w:rFonts w:ascii="宋体" w:hAnsi="宋体"/>
          <w:bCs/>
          <w:color w:val="auto"/>
          <w:szCs w:val="21"/>
          <w:highlight w:val="none"/>
        </w:rPr>
      </w:pPr>
      <w:r>
        <w:rPr>
          <w:rFonts w:hint="eastAsia" w:ascii="宋体" w:hAnsi="宋体"/>
          <w:bCs/>
          <w:color w:val="auto"/>
          <w:szCs w:val="21"/>
          <w:highlight w:val="none"/>
        </w:rPr>
        <w:t xml:space="preserve">日      </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期:</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shd w:val="clear"/>
        <w:adjustRightInd w:val="0"/>
        <w:spacing w:line="360" w:lineRule="auto"/>
        <w:ind w:firstLine="367" w:firstLineChars="175"/>
        <w:jc w:val="left"/>
        <w:rPr>
          <w:rFonts w:ascii="宋体" w:hAnsi="宋体"/>
          <w:bCs/>
          <w:color w:val="auto"/>
          <w:szCs w:val="21"/>
          <w:highlight w:val="none"/>
        </w:rPr>
      </w:pPr>
      <w:r>
        <w:rPr>
          <w:rFonts w:ascii="宋体" w:hAnsi="宋体"/>
          <w:bCs/>
          <w:color w:val="auto"/>
          <w:szCs w:val="21"/>
          <w:highlight w:val="none"/>
        </w:rPr>
        <w:br w:type="page"/>
      </w:r>
    </w:p>
    <w:p>
      <w:pPr>
        <w:shd w:val="clear"/>
        <w:adjustRightInd w:val="0"/>
        <w:snapToGrid w:val="0"/>
        <w:spacing w:line="360" w:lineRule="auto"/>
        <w:jc w:val="center"/>
        <w:rPr>
          <w:rFonts w:ascii="宋体" w:hAnsi="宋体"/>
          <w:color w:val="auto"/>
          <w:szCs w:val="21"/>
          <w:highlight w:val="none"/>
        </w:rPr>
      </w:pPr>
      <w:r>
        <w:rPr>
          <w:rFonts w:hint="eastAsia" w:ascii="宋体" w:hAnsi="宋体"/>
          <w:b/>
          <w:color w:val="auto"/>
          <w:sz w:val="36"/>
          <w:szCs w:val="36"/>
          <w:highlight w:val="none"/>
        </w:rPr>
        <w:t>2</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法定代表人（单位负责人）身份证明</w:t>
      </w:r>
    </w:p>
    <w:p>
      <w:pPr>
        <w:shd w:val="clear"/>
        <w:snapToGrid w:val="0"/>
        <w:spacing w:line="480" w:lineRule="auto"/>
        <w:rPr>
          <w:rFonts w:ascii="宋体" w:hAnsi="宋体"/>
          <w:color w:val="auto"/>
          <w:szCs w:val="21"/>
          <w:highlight w:val="none"/>
        </w:rPr>
      </w:pPr>
    </w:p>
    <w:p>
      <w:pPr>
        <w:shd w:val="clear"/>
        <w:autoSpaceDE w:val="0"/>
        <w:autoSpaceDN w:val="0"/>
        <w:adjustRightInd w:val="0"/>
        <w:snapToGrid w:val="0"/>
        <w:spacing w:beforeLines="50" w:line="360" w:lineRule="auto"/>
        <w:ind w:firstLine="210" w:firstLineChars="100"/>
        <w:jc w:val="left"/>
        <w:rPr>
          <w:rFonts w:ascii="宋体" w:hAnsi="宋体" w:cs="宋体"/>
          <w:color w:val="auto"/>
          <w:kern w:val="0"/>
          <w:szCs w:val="21"/>
          <w:highlight w:val="non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shd w:val="clear"/>
        <w:autoSpaceDE w:val="0"/>
        <w:autoSpaceDN w:val="0"/>
        <w:adjustRightInd w:val="0"/>
        <w:snapToGrid w:val="0"/>
        <w:spacing w:beforeLines="50"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统一社会信用代码：</w:t>
      </w:r>
      <w:r>
        <w:rPr>
          <w:rFonts w:hint="eastAsia" w:ascii="宋体" w:hAnsi="宋体" w:cs="宋体"/>
          <w:color w:val="auto"/>
          <w:kern w:val="0"/>
          <w:szCs w:val="21"/>
          <w:highlight w:val="none"/>
          <w:u w:val="single"/>
        </w:rPr>
        <w:t xml:space="preserve">                </w:t>
      </w:r>
    </w:p>
    <w:p>
      <w:pPr>
        <w:shd w:val="clear"/>
        <w:autoSpaceDE w:val="0"/>
        <w:autoSpaceDN w:val="0"/>
        <w:adjustRightInd w:val="0"/>
        <w:snapToGrid w:val="0"/>
        <w:spacing w:beforeLines="50"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p>
    <w:p>
      <w:pPr>
        <w:shd w:val="clear"/>
        <w:autoSpaceDE w:val="0"/>
        <w:autoSpaceDN w:val="0"/>
        <w:adjustRightInd w:val="0"/>
        <w:snapToGrid w:val="0"/>
        <w:spacing w:beforeLines="50"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（供应商名称）的法定代表人（单位负责人）。</w:t>
      </w:r>
    </w:p>
    <w:p>
      <w:pPr>
        <w:shd w:val="clear"/>
        <w:autoSpaceDE w:val="0"/>
        <w:autoSpaceDN w:val="0"/>
        <w:adjustRightInd w:val="0"/>
        <w:snapToGrid w:val="0"/>
        <w:spacing w:beforeLines="50"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shd w:val="clear"/>
        <w:autoSpaceDE w:val="0"/>
        <w:autoSpaceDN w:val="0"/>
        <w:adjustRightInd w:val="0"/>
        <w:snapToGrid w:val="0"/>
        <w:spacing w:beforeLines="50" w:line="360" w:lineRule="auto"/>
        <w:jc w:val="left"/>
        <w:rPr>
          <w:rFonts w:ascii="宋体" w:hAnsi="宋体"/>
          <w:color w:val="auto"/>
          <w:szCs w:val="21"/>
          <w:highlight w:val="none"/>
        </w:rPr>
      </w:pPr>
    </w:p>
    <w:p>
      <w:pPr>
        <w:shd w:val="clear"/>
        <w:autoSpaceDE w:val="0"/>
        <w:autoSpaceDN w:val="0"/>
        <w:adjustRightInd w:val="0"/>
        <w:snapToGrid w:val="0"/>
        <w:spacing w:beforeLines="50" w:line="360" w:lineRule="auto"/>
        <w:ind w:firstLine="210" w:firstLineChars="100"/>
        <w:jc w:val="left"/>
        <w:rPr>
          <w:rFonts w:ascii="宋体" w:hAnsi="宋体" w:cs="宋体"/>
          <w:color w:val="auto"/>
          <w:kern w:val="0"/>
          <w:szCs w:val="21"/>
          <w:highlight w:val="none"/>
        </w:rPr>
      </w:pPr>
      <w:r>
        <w:rPr>
          <w:rFonts w:hint="eastAsia" w:ascii="宋体" w:hAnsi="宋体"/>
          <w:color w:val="auto"/>
          <w:szCs w:val="21"/>
          <w:highlight w:val="none"/>
        </w:rPr>
        <w:t>附：法定代表人身份证复印件（正反面均需复印）</w:t>
      </w:r>
    </w:p>
    <w:p>
      <w:pPr>
        <w:shd w:val="clear"/>
        <w:snapToGrid w:val="0"/>
        <w:spacing w:line="480" w:lineRule="auto"/>
        <w:rPr>
          <w:rFonts w:ascii="宋体" w:hAnsi="宋体"/>
          <w:color w:val="auto"/>
          <w:szCs w:val="21"/>
          <w:highlight w:val="none"/>
        </w:rPr>
      </w:pPr>
    </w:p>
    <w:tbl>
      <w:tblPr>
        <w:tblStyle w:val="30"/>
        <w:tblW w:w="0" w:type="auto"/>
        <w:tblInd w:w="540" w:type="dxa"/>
        <w:tblLayout w:type="fixed"/>
        <w:tblCellMar>
          <w:top w:w="0" w:type="dxa"/>
          <w:left w:w="108" w:type="dxa"/>
          <w:bottom w:w="0" w:type="dxa"/>
          <w:right w:w="108" w:type="dxa"/>
        </w:tblCellMar>
      </w:tblPr>
      <w:tblGrid>
        <w:gridCol w:w="8040"/>
      </w:tblGrid>
      <w:tr>
        <w:tblPrEx>
          <w:tblCellMar>
            <w:top w:w="0" w:type="dxa"/>
            <w:left w:w="108" w:type="dxa"/>
            <w:bottom w:w="0" w:type="dxa"/>
            <w:right w:w="108" w:type="dxa"/>
          </w:tblCellMar>
        </w:tblPrEx>
        <w:trPr>
          <w:trHeight w:val="3425" w:hRule="atLeast"/>
        </w:trPr>
        <w:tc>
          <w:tcPr>
            <w:tcW w:w="8040"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val="zh-CN"/>
              </w:rPr>
              <w:t>法定代表人（单位负责人）身份证复印件</w:t>
            </w:r>
            <w:r>
              <w:rPr>
                <w:rFonts w:hint="eastAsia" w:ascii="宋体" w:hAnsi="宋体"/>
                <w:color w:val="auto"/>
                <w:szCs w:val="21"/>
                <w:highlight w:val="none"/>
                <w:lang w:val="en-US" w:eastAsia="zh-CN"/>
              </w:rPr>
              <w:t>(正、反面)</w:t>
            </w:r>
          </w:p>
          <w:p>
            <w:pPr>
              <w:shd w:val="clear"/>
              <w:spacing w:line="360" w:lineRule="auto"/>
              <w:jc w:val="center"/>
              <w:rPr>
                <w:rFonts w:ascii="宋体" w:hAnsi="宋体"/>
                <w:color w:val="auto"/>
                <w:szCs w:val="21"/>
                <w:highlight w:val="none"/>
                <w:u w:val="single"/>
              </w:rPr>
            </w:pPr>
          </w:p>
        </w:tc>
      </w:tr>
    </w:tbl>
    <w:p>
      <w:pPr>
        <w:shd w:val="clear"/>
        <w:snapToGrid w:val="0"/>
        <w:spacing w:line="480" w:lineRule="auto"/>
        <w:rPr>
          <w:rFonts w:ascii="宋体" w:hAnsi="宋体"/>
          <w:color w:val="auto"/>
          <w:szCs w:val="21"/>
          <w:highlight w:val="none"/>
        </w:rPr>
      </w:pPr>
    </w:p>
    <w:p>
      <w:pPr>
        <w:shd w:val="clear"/>
        <w:snapToGrid w:val="0"/>
        <w:spacing w:line="480" w:lineRule="auto"/>
        <w:rPr>
          <w:rFonts w:ascii="宋体" w:hAnsi="宋体"/>
          <w:color w:val="auto"/>
          <w:szCs w:val="21"/>
          <w:highlight w:val="none"/>
        </w:rPr>
      </w:pPr>
    </w:p>
    <w:p>
      <w:pPr>
        <w:shd w:val="clear"/>
        <w:adjustRightInd w:val="0"/>
        <w:snapToGrid w:val="0"/>
        <w:spacing w:line="360" w:lineRule="auto"/>
        <w:ind w:right="420"/>
        <w:rPr>
          <w:rFonts w:ascii="宋体" w:hAnsi="宋体"/>
          <w:color w:val="auto"/>
          <w:szCs w:val="21"/>
          <w:highlight w:val="none"/>
        </w:rPr>
      </w:pPr>
    </w:p>
    <w:p>
      <w:pPr>
        <w:shd w:val="clear"/>
        <w:adjustRightInd w:val="0"/>
        <w:snapToGrid w:val="0"/>
        <w:spacing w:line="480" w:lineRule="auto"/>
        <w:ind w:right="420" w:firstLine="3255" w:firstLineChars="1550"/>
        <w:rPr>
          <w:rFonts w:hint="eastAsia"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eastAsia="zh-CN"/>
        </w:rPr>
        <w:t>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hd w:val="clear"/>
        <w:adjustRightInd w:val="0"/>
        <w:snapToGrid w:val="0"/>
        <w:spacing w:line="480" w:lineRule="auto"/>
        <w:ind w:right="420" w:firstLine="3255" w:firstLineChars="1550"/>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日</w:t>
      </w:r>
    </w:p>
    <w:p>
      <w:pPr>
        <w:shd w:val="clear"/>
        <w:adjustRightInd w:val="0"/>
        <w:snapToGrid w:val="0"/>
        <w:spacing w:line="360" w:lineRule="auto"/>
        <w:ind w:right="420" w:firstLine="3255" w:firstLineChars="1550"/>
        <w:rPr>
          <w:rFonts w:ascii="宋体" w:hAnsi="宋体"/>
          <w:color w:val="auto"/>
          <w:szCs w:val="21"/>
          <w:highlight w:val="none"/>
        </w:rPr>
      </w:pPr>
    </w:p>
    <w:p>
      <w:pPr>
        <w:shd w:val="clear"/>
        <w:adjustRightInd w:val="0"/>
        <w:snapToGrid w:val="0"/>
        <w:spacing w:line="360" w:lineRule="auto"/>
        <w:ind w:right="420" w:firstLine="210" w:firstLineChars="100"/>
        <w:rPr>
          <w:rFonts w:ascii="楷体" w:hAnsi="楷体" w:eastAsia="楷体"/>
          <w:color w:val="auto"/>
          <w:szCs w:val="21"/>
          <w:highlight w:val="none"/>
        </w:rPr>
      </w:pPr>
      <w:r>
        <w:rPr>
          <w:rFonts w:ascii="楷体" w:hAnsi="楷体" w:eastAsia="楷体"/>
          <w:color w:val="auto"/>
          <w:szCs w:val="21"/>
          <w:highlight w:val="none"/>
        </w:rPr>
        <w:br w:type="page"/>
      </w:r>
    </w:p>
    <w:p>
      <w:pPr>
        <w:shd w:val="clear"/>
        <w:jc w:val="center"/>
        <w:rPr>
          <w:rFonts w:ascii="宋体" w:hAnsi="宋体"/>
          <w:b/>
          <w:color w:val="auto"/>
          <w:sz w:val="36"/>
          <w:szCs w:val="36"/>
          <w:highlight w:val="none"/>
        </w:rPr>
      </w:pPr>
      <w:r>
        <w:rPr>
          <w:rFonts w:hint="eastAsia" w:ascii="宋体" w:hAnsi="宋体"/>
          <w:b/>
          <w:color w:val="auto"/>
          <w:sz w:val="36"/>
          <w:szCs w:val="36"/>
          <w:highlight w:val="none"/>
          <w:lang w:val="en-US" w:eastAsia="zh-CN"/>
        </w:rPr>
        <w:t>3</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授权委托书</w:t>
      </w:r>
    </w:p>
    <w:p>
      <w:pPr>
        <w:shd w:val="clear"/>
        <w:spacing w:line="400" w:lineRule="exact"/>
        <w:rPr>
          <w:rFonts w:ascii="仿宋_GB2312" w:hAnsi="宋体" w:eastAsia="仿宋_GB2312"/>
          <w:color w:val="auto"/>
          <w:sz w:val="28"/>
          <w:szCs w:val="28"/>
          <w:highlight w:val="none"/>
        </w:rPr>
      </w:pP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zh-CN"/>
        </w:rPr>
        <w:t>本人</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（姓名）系</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（供应商名称）的法定代表人（单位负责人），现委托</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（姓名）为我方代理人。代理人根据授权，以我方的名义签署、澄清确认、递交、撤回、修改</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（采购项目）响应文件、签订合同和全权处理一切与之有关的事宜，</w:t>
      </w:r>
      <w:r>
        <w:rPr>
          <w:rFonts w:hint="eastAsia" w:ascii="宋体" w:hAnsi="宋体" w:cs="宋体"/>
          <w:color w:val="auto"/>
          <w:kern w:val="0"/>
          <w:szCs w:val="21"/>
          <w:highlight w:val="none"/>
        </w:rPr>
        <w:t>其法律后果由我方承担。</w:t>
      </w:r>
    </w:p>
    <w:p>
      <w:pPr>
        <w:shd w:val="clear"/>
        <w:spacing w:line="48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val="zh-CN"/>
        </w:rPr>
        <w:t>委托期限</w:t>
      </w:r>
      <w:r>
        <w:rPr>
          <w:rFonts w:hint="eastAsia" w:ascii="宋体" w:hAnsi="宋体"/>
          <w:color w:val="auto"/>
          <w:szCs w:val="21"/>
          <w:highlight w:val="none"/>
        </w:rPr>
        <w:t>：自</w:t>
      </w:r>
      <w:r>
        <w:rPr>
          <w:rFonts w:hint="eastAsia" w:ascii="宋体" w:hAnsi="宋体"/>
          <w:color w:val="auto"/>
          <w:szCs w:val="21"/>
          <w:highlight w:val="none"/>
          <w:lang w:val="en-US" w:eastAsia="zh-CN"/>
        </w:rPr>
        <w:t>谈判</w:t>
      </w:r>
      <w:r>
        <w:rPr>
          <w:rFonts w:hint="eastAsia" w:ascii="宋体" w:hAnsi="宋体"/>
          <w:color w:val="auto"/>
          <w:szCs w:val="21"/>
          <w:highlight w:val="none"/>
        </w:rPr>
        <w:t>之日</w:t>
      </w:r>
      <w:r>
        <w:rPr>
          <w:rFonts w:hint="eastAsia" w:ascii="宋体" w:hAnsi="宋体"/>
          <w:color w:val="auto"/>
          <w:szCs w:val="21"/>
          <w:highlight w:val="none"/>
          <w:u w:val="none"/>
        </w:rPr>
        <w:t>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pPr>
        <w:shd w:val="clear"/>
        <w:spacing w:line="480" w:lineRule="auto"/>
        <w:ind w:firstLine="420" w:firstLineChars="200"/>
        <w:rPr>
          <w:rFonts w:ascii="宋体" w:hAnsi="宋体"/>
          <w:b/>
          <w:bCs/>
          <w:color w:val="auto"/>
          <w:szCs w:val="21"/>
          <w:highlight w:val="none"/>
        </w:rPr>
      </w:pPr>
      <w:r>
        <w:rPr>
          <w:rFonts w:hint="eastAsia" w:ascii="宋体" w:hAnsi="宋体"/>
          <w:color w:val="auto"/>
          <w:szCs w:val="21"/>
          <w:highlight w:val="none"/>
        </w:rPr>
        <w:t>代理人无转委托权。</w:t>
      </w:r>
    </w:p>
    <w:p>
      <w:pPr>
        <w:shd w:val="clear"/>
        <w:spacing w:line="360" w:lineRule="auto"/>
        <w:ind w:firstLine="420" w:firstLineChars="200"/>
        <w:rPr>
          <w:rFonts w:ascii="宋体" w:hAnsi="宋体"/>
          <w:color w:val="auto"/>
          <w:szCs w:val="21"/>
          <w:highlight w:val="none"/>
        </w:rPr>
      </w:pPr>
    </w:p>
    <w:p>
      <w:pPr>
        <w:shd w:val="clear"/>
        <w:spacing w:line="360" w:lineRule="auto"/>
        <w:rPr>
          <w:rFonts w:ascii="宋体" w:hAnsi="宋体"/>
          <w:color w:val="auto"/>
          <w:szCs w:val="21"/>
          <w:highlight w:val="none"/>
          <w:u w:val="single"/>
        </w:rPr>
      </w:pPr>
      <w:r>
        <w:rPr>
          <w:rFonts w:hint="eastAsia" w:ascii="宋体" w:hAnsi="宋体"/>
          <w:color w:val="auto"/>
          <w:szCs w:val="21"/>
          <w:highlight w:val="none"/>
          <w:lang w:val="zh-CN"/>
        </w:rPr>
        <w:t>附：法定代表人（单位负责人）身份证复印件</w:t>
      </w:r>
      <w:r>
        <w:rPr>
          <w:rFonts w:hint="eastAsia" w:ascii="宋体" w:hAnsi="宋体"/>
          <w:color w:val="auto"/>
          <w:szCs w:val="21"/>
          <w:highlight w:val="none"/>
        </w:rPr>
        <w:t>、</w:t>
      </w:r>
      <w:r>
        <w:rPr>
          <w:rFonts w:hint="eastAsia" w:ascii="宋体" w:hAnsi="宋体"/>
          <w:color w:val="auto"/>
          <w:szCs w:val="21"/>
          <w:highlight w:val="none"/>
          <w:lang w:val="zh-CN"/>
        </w:rPr>
        <w:t>委托代理人身份证复印件（正反面均需复印）</w:t>
      </w:r>
    </w:p>
    <w:tbl>
      <w:tblPr>
        <w:tblStyle w:val="30"/>
        <w:tblW w:w="0" w:type="auto"/>
        <w:jc w:val="center"/>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704" w:hRule="atLeast"/>
          <w:jc w:val="center"/>
        </w:trPr>
        <w:tc>
          <w:tcPr>
            <w:tcW w:w="4081"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委托代理人身份证复印件</w:t>
            </w:r>
          </w:p>
        </w:tc>
      </w:tr>
    </w:tbl>
    <w:p>
      <w:pPr>
        <w:shd w:val="clear"/>
        <w:ind w:firstLine="420" w:firstLineChars="200"/>
        <w:rPr>
          <w:rFonts w:ascii="宋体" w:hAnsi="宋体"/>
          <w:color w:val="auto"/>
          <w:szCs w:val="21"/>
          <w:highlight w:val="none"/>
        </w:rPr>
      </w:pPr>
    </w:p>
    <w:p>
      <w:pPr>
        <w:shd w:val="clear"/>
        <w:ind w:firstLine="2835" w:firstLineChars="1350"/>
        <w:rPr>
          <w:rFonts w:ascii="宋体" w:hAnsi="宋体"/>
          <w:color w:val="auto"/>
          <w:szCs w:val="21"/>
          <w:highlight w:val="none"/>
        </w:rPr>
      </w:pPr>
    </w:p>
    <w:p>
      <w:pPr>
        <w:shd w:val="clear"/>
        <w:ind w:firstLine="2835" w:firstLineChars="1350"/>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eastAsia="zh-CN"/>
        </w:rPr>
        <w:t>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（盖单位章） </w:t>
      </w:r>
    </w:p>
    <w:p>
      <w:pPr>
        <w:shd w:val="clear"/>
        <w:ind w:firstLine="420" w:firstLineChars="200"/>
        <w:rPr>
          <w:rFonts w:ascii="宋体" w:hAnsi="宋体"/>
          <w:color w:val="auto"/>
          <w:szCs w:val="21"/>
          <w:highlight w:val="none"/>
        </w:rPr>
      </w:pPr>
    </w:p>
    <w:p>
      <w:pPr>
        <w:shd w:val="clear"/>
        <w:ind w:firstLine="2835" w:firstLineChars="1350"/>
        <w:rPr>
          <w:rFonts w:ascii="宋体" w:hAnsi="宋体"/>
          <w:color w:val="auto"/>
          <w:szCs w:val="21"/>
          <w:highlight w:val="none"/>
        </w:rPr>
      </w:pPr>
      <w:r>
        <w:rPr>
          <w:rFonts w:hint="eastAsia" w:ascii="宋体" w:hAnsi="宋体"/>
          <w:color w:val="auto"/>
          <w:szCs w:val="21"/>
          <w:highlight w:val="none"/>
        </w:rPr>
        <w:t xml:space="preserve">法定代表人（单位负责人）: </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hd w:val="clear"/>
        <w:ind w:firstLine="3465" w:firstLineChars="1650"/>
        <w:rPr>
          <w:rFonts w:ascii="宋体" w:hAnsi="宋体"/>
          <w:color w:val="auto"/>
          <w:szCs w:val="21"/>
          <w:highlight w:val="none"/>
        </w:rPr>
      </w:pPr>
    </w:p>
    <w:p>
      <w:pPr>
        <w:shd w:val="clea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shd w:val="clear"/>
        <w:ind w:firstLine="3465" w:firstLineChars="1650"/>
        <w:rPr>
          <w:rFonts w:ascii="宋体" w:hAnsi="宋体"/>
          <w:color w:val="auto"/>
          <w:szCs w:val="21"/>
          <w:highlight w:val="none"/>
        </w:rPr>
      </w:pPr>
    </w:p>
    <w:p>
      <w:pPr>
        <w:shd w:val="clear"/>
        <w:ind w:firstLine="2835" w:firstLineChars="1350"/>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（签字）     </w:t>
      </w:r>
    </w:p>
    <w:p>
      <w:pPr>
        <w:shd w:val="clear"/>
        <w:ind w:firstLine="2835" w:firstLineChars="1350"/>
        <w:jc w:val="left"/>
        <w:rPr>
          <w:rFonts w:ascii="宋体" w:hAnsi="宋体"/>
          <w:color w:val="auto"/>
          <w:szCs w:val="21"/>
          <w:highlight w:val="none"/>
        </w:rPr>
      </w:pPr>
    </w:p>
    <w:p>
      <w:pPr>
        <w:shd w:val="clea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shd w:val="clear"/>
        <w:ind w:firstLine="420" w:firstLineChars="200"/>
        <w:rPr>
          <w:rFonts w:ascii="宋体" w:hAnsi="宋体"/>
          <w:color w:val="auto"/>
          <w:szCs w:val="21"/>
          <w:highlight w:val="none"/>
        </w:rPr>
      </w:pPr>
    </w:p>
    <w:p>
      <w:pPr>
        <w:shd w:val="clear"/>
        <w:ind w:firstLine="2730" w:firstLineChars="1300"/>
        <w:rPr>
          <w:rFonts w:ascii="仿宋_GB2312" w:eastAsia="仿宋_GB2312"/>
          <w:color w:val="auto"/>
          <w:szCs w:val="21"/>
          <w:highlight w:val="none"/>
          <w:lang w:val="zh-CN"/>
        </w:rPr>
      </w:pPr>
      <w:r>
        <w:rPr>
          <w:rFonts w:hint="eastAsia" w:ascii="宋体" w:hAnsi="宋体"/>
          <w:color w:val="auto"/>
          <w:szCs w:val="21"/>
          <w:highlight w:val="none"/>
        </w:rPr>
        <w:t xml:space="preserve"> 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pPr>
        <w:shd w:val="clear"/>
        <w:ind w:firstLine="210" w:firstLineChars="100"/>
        <w:rPr>
          <w:rFonts w:hint="eastAsia" w:ascii="楷体" w:hAnsi="楷体" w:eastAsia="楷体"/>
          <w:color w:val="auto"/>
          <w:highlight w:val="none"/>
          <w:lang w:val="zh-CN"/>
        </w:rPr>
      </w:pPr>
    </w:p>
    <w:p>
      <w:pPr>
        <w:shd w:val="clear"/>
        <w:spacing w:line="360" w:lineRule="auto"/>
        <w:ind w:firstLine="180" w:firstLineChars="100"/>
        <w:rPr>
          <w:rFonts w:hint="eastAsia" w:ascii="楷体" w:hAnsi="楷体" w:eastAsia="楷体"/>
          <w:color w:val="auto"/>
          <w:sz w:val="18"/>
          <w:szCs w:val="18"/>
          <w:highlight w:val="none"/>
          <w:lang w:val="zh-CN" w:eastAsia="zh-CN"/>
        </w:rPr>
      </w:pPr>
      <w:r>
        <w:rPr>
          <w:rFonts w:hint="eastAsia" w:ascii="楷体" w:hAnsi="楷体" w:eastAsia="楷体"/>
          <w:color w:val="auto"/>
          <w:sz w:val="18"/>
          <w:szCs w:val="18"/>
          <w:highlight w:val="none"/>
          <w:lang w:val="zh-CN"/>
        </w:rPr>
        <w:t>说明：</w:t>
      </w:r>
      <w:r>
        <w:rPr>
          <w:rFonts w:hint="eastAsia" w:ascii="楷体" w:hAnsi="楷体" w:eastAsia="楷体"/>
          <w:color w:val="auto"/>
          <w:sz w:val="18"/>
          <w:szCs w:val="18"/>
          <w:highlight w:val="none"/>
          <w:lang w:val="en-US" w:eastAsia="zh-CN"/>
        </w:rPr>
        <w:t>1、</w:t>
      </w:r>
      <w:r>
        <w:rPr>
          <w:rFonts w:hint="eastAsia" w:ascii="楷体" w:hAnsi="楷体" w:eastAsia="楷体"/>
          <w:color w:val="auto"/>
          <w:sz w:val="18"/>
          <w:szCs w:val="18"/>
          <w:highlight w:val="none"/>
          <w:lang w:val="zh-CN" w:eastAsia="zh-CN"/>
        </w:rPr>
        <w:t>本授权委托书有效期自响应文件首次提交截止之日</w:t>
      </w:r>
      <w:r>
        <w:rPr>
          <w:rFonts w:hint="eastAsia" w:ascii="楷体" w:hAnsi="楷体" w:eastAsia="楷体"/>
          <w:color w:val="auto"/>
          <w:sz w:val="18"/>
          <w:szCs w:val="18"/>
          <w:highlight w:val="none"/>
          <w:lang w:val="en-US" w:eastAsia="zh-CN"/>
        </w:rPr>
        <w:t>起</w:t>
      </w:r>
      <w:r>
        <w:rPr>
          <w:rFonts w:hint="eastAsia" w:ascii="楷体" w:hAnsi="楷体" w:eastAsia="楷体"/>
          <w:color w:val="auto"/>
          <w:sz w:val="18"/>
          <w:szCs w:val="18"/>
          <w:highlight w:val="none"/>
          <w:lang w:val="zh-CN" w:eastAsia="zh-CN"/>
        </w:rPr>
        <w:t>不得少于</w:t>
      </w:r>
      <w:r>
        <w:rPr>
          <w:rFonts w:hint="eastAsia" w:ascii="楷体" w:hAnsi="楷体" w:eastAsia="楷体"/>
          <w:color w:val="auto"/>
          <w:sz w:val="18"/>
          <w:szCs w:val="18"/>
          <w:highlight w:val="none"/>
          <w:lang w:val="en-US" w:eastAsia="zh-CN"/>
        </w:rPr>
        <w:t>90日历</w:t>
      </w:r>
      <w:r>
        <w:rPr>
          <w:rFonts w:hint="eastAsia" w:ascii="楷体" w:hAnsi="楷体" w:eastAsia="楷体"/>
          <w:color w:val="auto"/>
          <w:sz w:val="18"/>
          <w:szCs w:val="18"/>
          <w:highlight w:val="none"/>
          <w:lang w:val="zh-CN" w:eastAsia="zh-CN"/>
        </w:rPr>
        <w:t>天，仅限委托代理人参加谈判时提供。</w:t>
      </w:r>
    </w:p>
    <w:p>
      <w:pPr>
        <w:shd w:val="clear"/>
        <w:rPr>
          <w:rFonts w:ascii="楷体" w:hAnsi="楷体" w:eastAsia="楷体"/>
          <w:color w:val="auto"/>
          <w:highlight w:val="none"/>
          <w:lang w:val="zh-CN"/>
        </w:rPr>
      </w:pPr>
      <w:r>
        <w:rPr>
          <w:rFonts w:ascii="楷体" w:hAnsi="楷体" w:eastAsia="楷体"/>
          <w:color w:val="auto"/>
          <w:highlight w:val="none"/>
          <w:lang w:val="zh-CN"/>
        </w:rPr>
        <w:br w:type="page"/>
      </w:r>
    </w:p>
    <w:p>
      <w:pPr>
        <w:shd w:val="clear"/>
        <w:jc w:val="center"/>
        <w:rPr>
          <w:rFonts w:ascii="宋体" w:hAnsi="宋体"/>
          <w:b/>
          <w:color w:val="auto"/>
          <w:sz w:val="36"/>
          <w:szCs w:val="36"/>
          <w:highlight w:val="none"/>
        </w:rPr>
      </w:pP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lang w:eastAsia="zh-CN"/>
        </w:rPr>
        <w:t>、</w:t>
      </w:r>
      <w:r>
        <w:rPr>
          <w:rFonts w:hint="eastAsia" w:ascii="宋体" w:hAnsi="宋体" w:cs="宋体"/>
          <w:b/>
          <w:color w:val="auto"/>
          <w:kern w:val="0"/>
          <w:sz w:val="36"/>
          <w:szCs w:val="36"/>
          <w:highlight w:val="none"/>
          <w:lang w:val="zh-CN"/>
        </w:rPr>
        <w:t>供应商的营业执照等证明文件，自然人的身份证明</w:t>
      </w:r>
    </w:p>
    <w:p>
      <w:pPr>
        <w:pStyle w:val="18"/>
        <w:shd w:val="clear"/>
        <w:adjustRightInd w:val="0"/>
        <w:snapToGrid w:val="0"/>
        <w:spacing w:line="360" w:lineRule="auto"/>
        <w:jc w:val="left"/>
        <w:rPr>
          <w:rFonts w:hAnsi="宋体"/>
          <w:color w:val="auto"/>
          <w:sz w:val="24"/>
          <w:szCs w:val="24"/>
          <w:highlight w:val="none"/>
        </w:rPr>
      </w:pPr>
    </w:p>
    <w:p>
      <w:pPr>
        <w:pStyle w:val="18"/>
        <w:shd w:val="clear"/>
        <w:adjustRightInd w:val="0"/>
        <w:snapToGrid w:val="0"/>
        <w:spacing w:line="360" w:lineRule="auto"/>
        <w:rPr>
          <w:rFonts w:ascii="楷体" w:hAnsi="楷体" w:eastAsia="楷体"/>
          <w:color w:val="auto"/>
          <w:highlight w:val="none"/>
        </w:rPr>
      </w:pPr>
      <w:r>
        <w:rPr>
          <w:rFonts w:hint="eastAsia" w:ascii="楷体" w:hAnsi="楷体" w:eastAsia="楷体"/>
          <w:color w:val="auto"/>
          <w:highlight w:val="none"/>
        </w:rPr>
        <w:t xml:space="preserve"> 说明：</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（1）企业单位</w:t>
      </w:r>
      <w:r>
        <w:rPr>
          <w:rFonts w:hint="eastAsia" w:ascii="楷体" w:hAnsi="楷体" w:eastAsia="楷体"/>
          <w:color w:val="auto"/>
          <w:highlight w:val="none"/>
          <w:lang w:eastAsia="zh-CN"/>
        </w:rPr>
        <w:t>谈判</w:t>
      </w:r>
      <w:r>
        <w:rPr>
          <w:rFonts w:hint="eastAsia" w:ascii="楷体" w:hAnsi="楷体" w:eastAsia="楷体"/>
          <w:color w:val="auto"/>
          <w:highlight w:val="none"/>
        </w:rPr>
        <w:t>的提供有效的营业执照（3证合1或多证合1）；</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（2）事业单位</w:t>
      </w:r>
      <w:r>
        <w:rPr>
          <w:rFonts w:hint="eastAsia" w:ascii="楷体" w:hAnsi="楷体" w:eastAsia="楷体"/>
          <w:color w:val="auto"/>
          <w:highlight w:val="none"/>
          <w:lang w:eastAsia="zh-CN"/>
        </w:rPr>
        <w:t>谈判</w:t>
      </w:r>
      <w:r>
        <w:rPr>
          <w:rFonts w:hint="eastAsia" w:ascii="楷体" w:hAnsi="楷体" w:eastAsia="楷体"/>
          <w:color w:val="auto"/>
          <w:highlight w:val="none"/>
        </w:rPr>
        <w:t>的提供有效的法人证书（带有社会统一信用代码）；</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（3）其他组织</w:t>
      </w:r>
      <w:r>
        <w:rPr>
          <w:rFonts w:hint="eastAsia" w:ascii="楷体" w:hAnsi="楷体" w:eastAsia="楷体"/>
          <w:color w:val="auto"/>
          <w:highlight w:val="none"/>
          <w:lang w:eastAsia="zh-CN"/>
        </w:rPr>
        <w:t>谈判</w:t>
      </w:r>
      <w:r>
        <w:rPr>
          <w:rFonts w:hint="eastAsia" w:ascii="楷体" w:hAnsi="楷体" w:eastAsia="楷体"/>
          <w:color w:val="auto"/>
          <w:highlight w:val="none"/>
        </w:rPr>
        <w:t>的提供有效的登记证书（带有社会统一信用代码）；</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（4）自然人</w:t>
      </w:r>
      <w:r>
        <w:rPr>
          <w:rFonts w:hint="eastAsia" w:ascii="楷体" w:hAnsi="楷体" w:eastAsia="楷体"/>
          <w:color w:val="auto"/>
          <w:highlight w:val="none"/>
          <w:lang w:eastAsia="zh-CN"/>
        </w:rPr>
        <w:t>谈判</w:t>
      </w:r>
      <w:r>
        <w:rPr>
          <w:rFonts w:hint="eastAsia" w:ascii="楷体" w:hAnsi="楷体" w:eastAsia="楷体"/>
          <w:color w:val="auto"/>
          <w:highlight w:val="none"/>
        </w:rPr>
        <w:t>的提供有效的身份证复印件；</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（5）以上（1）-（3）项为正本或者副本复印件，并加盖供应商单位章。</w:t>
      </w:r>
    </w:p>
    <w:p>
      <w:pPr>
        <w:pStyle w:val="6"/>
        <w:shd w:val="clear"/>
        <w:spacing w:beforeLines="50"/>
        <w:ind w:firstLine="0"/>
        <w:rPr>
          <w:rFonts w:ascii="宋体" w:hAnsi="宋体"/>
          <w:b/>
          <w:color w:val="auto"/>
          <w:sz w:val="36"/>
          <w:szCs w:val="36"/>
          <w:highlight w:val="none"/>
        </w:rPr>
      </w:pPr>
    </w:p>
    <w:p>
      <w:pPr>
        <w:pStyle w:val="18"/>
        <w:shd w:val="clear"/>
        <w:adjustRightInd w:val="0"/>
        <w:snapToGrid w:val="0"/>
        <w:spacing w:line="360" w:lineRule="auto"/>
        <w:rPr>
          <w:rFonts w:hint="eastAsia"/>
          <w:b/>
          <w:color w:val="auto"/>
          <w:sz w:val="36"/>
          <w:szCs w:val="36"/>
          <w:highlight w:val="none"/>
          <w:lang w:val="en-US" w:eastAsia="zh-CN"/>
        </w:rPr>
      </w:pPr>
      <w:r>
        <w:rPr>
          <w:rFonts w:hint="eastAsia"/>
          <w:b/>
          <w:color w:val="auto"/>
          <w:sz w:val="36"/>
          <w:szCs w:val="36"/>
          <w:highlight w:val="none"/>
          <w:lang w:val="en-US" w:eastAsia="zh-CN"/>
        </w:rPr>
        <w:br w:type="page"/>
      </w:r>
    </w:p>
    <w:p>
      <w:pPr>
        <w:pStyle w:val="18"/>
        <w:shd w:val="clear"/>
        <w:adjustRightInd w:val="0"/>
        <w:snapToGrid w:val="0"/>
        <w:spacing w:line="360" w:lineRule="auto"/>
        <w:jc w:val="center"/>
        <w:rPr>
          <w:b/>
          <w:color w:val="auto"/>
          <w:sz w:val="36"/>
          <w:szCs w:val="36"/>
          <w:highlight w:val="none"/>
        </w:rPr>
      </w:pPr>
      <w:r>
        <w:rPr>
          <w:rFonts w:hint="eastAsia"/>
          <w:b/>
          <w:color w:val="auto"/>
          <w:sz w:val="36"/>
          <w:szCs w:val="36"/>
          <w:highlight w:val="none"/>
          <w:lang w:val="en-US" w:eastAsia="zh-CN"/>
        </w:rPr>
        <w:t>5</w:t>
      </w:r>
      <w:r>
        <w:rPr>
          <w:rFonts w:hint="eastAsia"/>
          <w:b/>
          <w:color w:val="auto"/>
          <w:sz w:val="36"/>
          <w:szCs w:val="36"/>
          <w:highlight w:val="none"/>
          <w:lang w:eastAsia="zh-CN"/>
        </w:rPr>
        <w:t>、</w:t>
      </w:r>
      <w:r>
        <w:rPr>
          <w:rFonts w:hint="eastAsia"/>
          <w:b/>
          <w:color w:val="auto"/>
          <w:sz w:val="36"/>
          <w:szCs w:val="36"/>
          <w:highlight w:val="none"/>
        </w:rPr>
        <w:t>财务状况报告</w:t>
      </w:r>
    </w:p>
    <w:p>
      <w:pPr>
        <w:pStyle w:val="18"/>
        <w:shd w:val="clear"/>
        <w:adjustRightInd w:val="0"/>
        <w:snapToGrid w:val="0"/>
        <w:spacing w:line="360" w:lineRule="auto"/>
        <w:jc w:val="left"/>
        <w:rPr>
          <w:b/>
          <w:color w:val="auto"/>
          <w:sz w:val="24"/>
          <w:szCs w:val="24"/>
          <w:highlight w:val="none"/>
        </w:rPr>
      </w:pPr>
    </w:p>
    <w:p>
      <w:pPr>
        <w:pStyle w:val="18"/>
        <w:shd w:val="clear"/>
        <w:adjustRightInd w:val="0"/>
        <w:snapToGrid w:val="0"/>
        <w:spacing w:line="360" w:lineRule="auto"/>
        <w:jc w:val="left"/>
        <w:rPr>
          <w:rFonts w:ascii="楷体" w:hAnsi="楷体" w:eastAsia="楷体"/>
          <w:color w:val="auto"/>
          <w:highlight w:val="none"/>
        </w:rPr>
      </w:pPr>
      <w:r>
        <w:rPr>
          <w:rFonts w:hint="eastAsia"/>
          <w:b/>
          <w:color w:val="auto"/>
          <w:sz w:val="24"/>
          <w:szCs w:val="24"/>
          <w:highlight w:val="none"/>
        </w:rPr>
        <w:t xml:space="preserve"> </w:t>
      </w:r>
      <w:r>
        <w:rPr>
          <w:rFonts w:hint="eastAsia" w:ascii="楷体" w:hAnsi="楷体" w:eastAsia="楷体"/>
          <w:color w:val="auto"/>
          <w:highlight w:val="none"/>
        </w:rPr>
        <w:t>说明：</w:t>
      </w:r>
    </w:p>
    <w:p>
      <w:pPr>
        <w:pStyle w:val="18"/>
        <w:shd w:val="clear"/>
        <w:adjustRightInd w:val="0"/>
        <w:snapToGrid w:val="0"/>
        <w:spacing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（1）</w:t>
      </w:r>
      <w:r>
        <w:rPr>
          <w:rFonts w:hint="eastAsia" w:ascii="楷体" w:hAnsi="楷体" w:eastAsia="楷体"/>
          <w:color w:val="auto"/>
          <w:highlight w:val="none"/>
          <w:lang w:val="en-US" w:eastAsia="zh-CN"/>
        </w:rPr>
        <w:t>提供供应商2021年经审计的财务报告或在谈判日期前6个月内其基本开户银行出具的资信证明和开户行许可证；</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（2）公益类事业单位、自然人无需提供。</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（3）原件或复印件可直接装订，复印件加盖供应商单位章。</w:t>
      </w:r>
    </w:p>
    <w:p>
      <w:pPr>
        <w:pStyle w:val="18"/>
        <w:shd w:val="clear"/>
        <w:adjustRightInd w:val="0"/>
        <w:snapToGrid w:val="0"/>
        <w:spacing w:line="360" w:lineRule="auto"/>
        <w:jc w:val="left"/>
        <w:rPr>
          <w:b/>
          <w:color w:val="auto"/>
          <w:sz w:val="24"/>
          <w:szCs w:val="24"/>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jc w:val="center"/>
        <w:rPr>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lang w:val="en-US" w:eastAsia="zh-CN"/>
        </w:rPr>
        <w:t>6</w:t>
      </w:r>
      <w:r>
        <w:rPr>
          <w:rFonts w:hint="eastAsia"/>
          <w:b/>
          <w:color w:val="auto"/>
          <w:sz w:val="36"/>
          <w:szCs w:val="36"/>
          <w:highlight w:val="none"/>
          <w:lang w:eastAsia="zh-CN"/>
        </w:rPr>
        <w:t>、</w:t>
      </w:r>
      <w:r>
        <w:rPr>
          <w:rFonts w:hint="eastAsia"/>
          <w:b/>
          <w:color w:val="auto"/>
          <w:sz w:val="36"/>
          <w:szCs w:val="36"/>
          <w:highlight w:val="none"/>
        </w:rPr>
        <w:t>税收缴纳证明</w:t>
      </w:r>
    </w:p>
    <w:p>
      <w:pPr>
        <w:pStyle w:val="18"/>
        <w:shd w:val="clear"/>
        <w:adjustRightInd w:val="0"/>
        <w:snapToGrid w:val="0"/>
        <w:spacing w:line="360" w:lineRule="auto"/>
        <w:jc w:val="left"/>
        <w:rPr>
          <w:color w:val="auto"/>
          <w:sz w:val="24"/>
          <w:szCs w:val="24"/>
          <w:highlight w:val="none"/>
        </w:rPr>
      </w:pPr>
    </w:p>
    <w:p>
      <w:pPr>
        <w:pStyle w:val="18"/>
        <w:shd w:val="clear"/>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pPr>
        <w:shd w:val="clear"/>
        <w:spacing w:line="360" w:lineRule="auto"/>
        <w:ind w:firstLine="480"/>
        <w:rPr>
          <w:rFonts w:ascii="楷体" w:hAnsi="楷体" w:eastAsia="楷体"/>
          <w:color w:val="auto"/>
          <w:szCs w:val="21"/>
          <w:highlight w:val="none"/>
        </w:rPr>
      </w:pPr>
      <w:r>
        <w:rPr>
          <w:rFonts w:hint="eastAsia" w:ascii="楷体" w:hAnsi="楷体" w:eastAsia="楷体"/>
          <w:color w:val="auto"/>
          <w:szCs w:val="21"/>
          <w:highlight w:val="none"/>
        </w:rPr>
        <w:t>（1）</w:t>
      </w:r>
      <w:r>
        <w:rPr>
          <w:rFonts w:hint="eastAsia" w:ascii="楷体" w:hAnsi="楷体" w:eastAsia="楷体" w:cs="Times New Roman"/>
          <w:color w:val="auto"/>
          <w:szCs w:val="21"/>
          <w:highlight w:val="none"/>
          <w:lang w:val="en-US" w:eastAsia="zh-CN"/>
        </w:rPr>
        <w:t>提供供应商自2022年1月1日以来已缴纳任意时段的纳税凭据或完税证明（任意税种）；</w:t>
      </w:r>
    </w:p>
    <w:p>
      <w:pPr>
        <w:shd w:val="clear"/>
        <w:spacing w:line="360" w:lineRule="auto"/>
        <w:ind w:firstLine="525" w:firstLineChars="250"/>
        <w:rPr>
          <w:rFonts w:ascii="楷体" w:hAnsi="楷体" w:eastAsia="楷体"/>
          <w:color w:val="auto"/>
          <w:szCs w:val="21"/>
          <w:highlight w:val="none"/>
        </w:rPr>
      </w:pPr>
      <w:r>
        <w:rPr>
          <w:rFonts w:hint="eastAsia" w:ascii="楷体" w:hAnsi="楷体" w:eastAsia="楷体"/>
          <w:color w:val="auto"/>
          <w:szCs w:val="21"/>
          <w:highlight w:val="none"/>
        </w:rPr>
        <w:t>（2）依法免税的应提供相关文件证明；</w:t>
      </w:r>
    </w:p>
    <w:p>
      <w:pPr>
        <w:pStyle w:val="18"/>
        <w:shd w:val="clear"/>
        <w:tabs>
          <w:tab w:val="left" w:pos="851"/>
        </w:tabs>
        <w:adjustRightInd w:val="0"/>
        <w:snapToGrid w:val="0"/>
        <w:spacing w:line="360" w:lineRule="auto"/>
        <w:ind w:firstLine="525" w:firstLineChars="250"/>
        <w:rPr>
          <w:rFonts w:ascii="楷体" w:hAnsi="楷体" w:eastAsia="楷体"/>
          <w:color w:val="auto"/>
          <w:highlight w:val="none"/>
        </w:rPr>
      </w:pPr>
      <w:r>
        <w:rPr>
          <w:rFonts w:hint="eastAsia" w:ascii="楷体" w:hAnsi="楷体" w:eastAsia="楷体"/>
          <w:color w:val="auto"/>
          <w:highlight w:val="none"/>
        </w:rPr>
        <w:t>（3）公益类事业单位无需提供；</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 xml:space="preserve"> （4）新成立未发生缴纳税收事项的供应商，应提供纳税书面承诺；</w:t>
      </w:r>
    </w:p>
    <w:p>
      <w:pPr>
        <w:pStyle w:val="18"/>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 xml:space="preserve"> （5）原件或复印件可直接装订，复印件加盖供应商单位章。</w:t>
      </w:r>
    </w:p>
    <w:p>
      <w:pPr>
        <w:pStyle w:val="18"/>
        <w:shd w:val="clear"/>
        <w:adjustRightInd w:val="0"/>
        <w:snapToGrid w:val="0"/>
        <w:spacing w:line="360" w:lineRule="auto"/>
        <w:ind w:firstLine="420" w:firstLineChars="200"/>
        <w:rPr>
          <w:rFonts w:hAnsi="宋体"/>
          <w:color w:val="auto"/>
          <w:highlight w:val="none"/>
        </w:rPr>
      </w:pPr>
    </w:p>
    <w:p>
      <w:pPr>
        <w:pStyle w:val="18"/>
        <w:shd w:val="clear"/>
        <w:adjustRightInd w:val="0"/>
        <w:snapToGrid w:val="0"/>
        <w:spacing w:line="360" w:lineRule="auto"/>
        <w:jc w:val="left"/>
        <w:rPr>
          <w:color w:val="auto"/>
          <w:sz w:val="24"/>
          <w:szCs w:val="24"/>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r>
        <w:rPr>
          <w:rFonts w:ascii="宋体" w:hAnsi="宋体"/>
          <w:b/>
          <w:color w:val="auto"/>
          <w:sz w:val="36"/>
          <w:szCs w:val="36"/>
          <w:highlight w:val="none"/>
        </w:rPr>
        <w:br w:type="page"/>
      </w:r>
    </w:p>
    <w:p>
      <w:pPr>
        <w:pStyle w:val="18"/>
        <w:shd w:val="clear"/>
        <w:adjustRightInd w:val="0"/>
        <w:snapToGrid w:val="0"/>
        <w:spacing w:line="360" w:lineRule="auto"/>
        <w:jc w:val="center"/>
        <w:rPr>
          <w:rFonts w:hAnsi="宋体"/>
          <w:b/>
          <w:color w:val="auto"/>
          <w:sz w:val="36"/>
          <w:szCs w:val="36"/>
          <w:highlight w:val="none"/>
        </w:rPr>
      </w:pPr>
      <w:r>
        <w:rPr>
          <w:rFonts w:hint="eastAsia"/>
          <w:b/>
          <w:color w:val="auto"/>
          <w:sz w:val="36"/>
          <w:szCs w:val="36"/>
          <w:highlight w:val="none"/>
          <w:lang w:val="en-US" w:eastAsia="zh-CN"/>
        </w:rPr>
        <w:t>7</w:t>
      </w:r>
      <w:r>
        <w:rPr>
          <w:rFonts w:hint="eastAsia"/>
          <w:b/>
          <w:color w:val="auto"/>
          <w:sz w:val="36"/>
          <w:szCs w:val="36"/>
          <w:highlight w:val="none"/>
          <w:lang w:eastAsia="zh-CN"/>
        </w:rPr>
        <w:t>、</w:t>
      </w:r>
      <w:r>
        <w:rPr>
          <w:rFonts w:hint="eastAsia"/>
          <w:b/>
          <w:color w:val="auto"/>
          <w:sz w:val="36"/>
          <w:szCs w:val="36"/>
          <w:highlight w:val="none"/>
        </w:rPr>
        <w:t>缴纳社会保障资金证明</w:t>
      </w:r>
    </w:p>
    <w:p>
      <w:pPr>
        <w:pStyle w:val="18"/>
        <w:shd w:val="clear"/>
        <w:adjustRightInd w:val="0"/>
        <w:snapToGrid w:val="0"/>
        <w:spacing w:line="360" w:lineRule="auto"/>
        <w:jc w:val="left"/>
        <w:rPr>
          <w:rFonts w:hAnsi="宋体"/>
          <w:color w:val="auto"/>
          <w:sz w:val="24"/>
          <w:szCs w:val="24"/>
          <w:highlight w:val="none"/>
        </w:rPr>
      </w:pPr>
    </w:p>
    <w:p>
      <w:pPr>
        <w:pStyle w:val="18"/>
        <w:shd w:val="clear"/>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pPr>
        <w:shd w:val="clear"/>
        <w:spacing w:line="360" w:lineRule="auto"/>
        <w:ind w:firstLine="482"/>
        <w:rPr>
          <w:rFonts w:ascii="楷体" w:hAnsi="楷体" w:eastAsia="楷体"/>
          <w:color w:val="auto"/>
          <w:szCs w:val="21"/>
          <w:highlight w:val="none"/>
        </w:rPr>
      </w:pPr>
      <w:r>
        <w:rPr>
          <w:rFonts w:hint="eastAsia" w:ascii="楷体" w:hAnsi="楷体" w:eastAsia="楷体"/>
          <w:color w:val="auto"/>
          <w:szCs w:val="21"/>
          <w:highlight w:val="none"/>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提供供应商自2022年1月1日以来已缴存的任意时段的社会保障资金缴存单据或社保机构开具的社会保险参保缴费情况证明；</w:t>
      </w:r>
    </w:p>
    <w:p>
      <w:pPr>
        <w:shd w:val="clear"/>
        <w:spacing w:line="360" w:lineRule="auto"/>
        <w:ind w:firstLine="482"/>
        <w:rPr>
          <w:rFonts w:ascii="楷体" w:hAnsi="楷体" w:eastAsia="楷体"/>
          <w:color w:val="auto"/>
          <w:szCs w:val="21"/>
          <w:highlight w:val="none"/>
        </w:rPr>
      </w:pPr>
      <w:r>
        <w:rPr>
          <w:rFonts w:hint="eastAsia" w:ascii="楷体" w:hAnsi="楷体" w:eastAsia="楷体"/>
          <w:color w:val="auto"/>
          <w:szCs w:val="21"/>
          <w:highlight w:val="none"/>
        </w:rPr>
        <w:t>（2）</w:t>
      </w:r>
      <w:r>
        <w:rPr>
          <w:rFonts w:ascii="楷体" w:hAnsi="楷体" w:eastAsia="楷体"/>
          <w:color w:val="auto"/>
          <w:szCs w:val="21"/>
          <w:highlight w:val="none"/>
        </w:rPr>
        <w:t>依法不需要缴纳社会保障资金的</w:t>
      </w:r>
      <w:r>
        <w:rPr>
          <w:rFonts w:hint="eastAsia" w:ascii="楷体" w:hAnsi="楷体" w:eastAsia="楷体"/>
          <w:color w:val="auto"/>
          <w:szCs w:val="21"/>
          <w:highlight w:val="none"/>
        </w:rPr>
        <w:t>供应商</w:t>
      </w:r>
      <w:r>
        <w:rPr>
          <w:rFonts w:ascii="楷体" w:hAnsi="楷体" w:eastAsia="楷体"/>
          <w:color w:val="auto"/>
          <w:szCs w:val="21"/>
          <w:highlight w:val="none"/>
        </w:rPr>
        <w:t>应提供相关文件证明</w:t>
      </w:r>
      <w:r>
        <w:rPr>
          <w:rFonts w:hint="eastAsia" w:ascii="楷体" w:hAnsi="楷体" w:eastAsia="楷体"/>
          <w:color w:val="auto"/>
          <w:szCs w:val="21"/>
          <w:highlight w:val="none"/>
        </w:rPr>
        <w:t>；</w:t>
      </w:r>
    </w:p>
    <w:p>
      <w:pPr>
        <w:pStyle w:val="18"/>
        <w:shd w:val="clear"/>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（3）公益类事业单位无需提供；</w:t>
      </w:r>
    </w:p>
    <w:p>
      <w:pPr>
        <w:pStyle w:val="18"/>
        <w:shd w:val="clear"/>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（4）新成立未发生缴纳社保资金事项的供应商，应提供缴纳社保资金的书面承诺；</w:t>
      </w:r>
    </w:p>
    <w:p>
      <w:pPr>
        <w:pStyle w:val="18"/>
        <w:shd w:val="clear"/>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（5）原件或复印件可直接装订，复印件加盖供应商单位章。</w:t>
      </w:r>
    </w:p>
    <w:p>
      <w:pPr>
        <w:pStyle w:val="6"/>
        <w:shd w:val="clear"/>
        <w:spacing w:beforeLines="50"/>
        <w:ind w:firstLine="0"/>
        <w:rPr>
          <w:rFonts w:ascii="宋体" w:hAnsi="宋体"/>
          <w:b/>
          <w:color w:val="auto"/>
          <w:sz w:val="36"/>
          <w:szCs w:val="36"/>
          <w:highlight w:val="none"/>
        </w:rPr>
      </w:pPr>
    </w:p>
    <w:p>
      <w:pPr>
        <w:pStyle w:val="6"/>
        <w:shd w:val="clear"/>
        <w:spacing w:beforeLines="50"/>
        <w:ind w:firstLine="0"/>
        <w:rPr>
          <w:rFonts w:ascii="宋体" w:hAnsi="宋体"/>
          <w:b/>
          <w:color w:val="auto"/>
          <w:sz w:val="36"/>
          <w:szCs w:val="36"/>
          <w:highlight w:val="none"/>
        </w:rPr>
      </w:pPr>
      <w:r>
        <w:rPr>
          <w:rFonts w:ascii="宋体" w:hAnsi="宋体"/>
          <w:b/>
          <w:color w:val="auto"/>
          <w:sz w:val="36"/>
          <w:szCs w:val="36"/>
          <w:highlight w:val="none"/>
        </w:rPr>
        <w:br w:type="page"/>
      </w:r>
    </w:p>
    <w:p>
      <w:pPr>
        <w:pStyle w:val="18"/>
        <w:shd w:val="clear"/>
        <w:adjustRightInd w:val="0"/>
        <w:snapToGrid w:val="0"/>
        <w:spacing w:line="360" w:lineRule="auto"/>
        <w:jc w:val="center"/>
        <w:rPr>
          <w:rFonts w:hint="default"/>
          <w:b/>
          <w:color w:val="auto"/>
          <w:sz w:val="36"/>
          <w:szCs w:val="36"/>
          <w:highlight w:val="none"/>
          <w:lang w:val="en-US" w:eastAsia="zh-CN"/>
        </w:rPr>
      </w:pPr>
      <w:r>
        <w:rPr>
          <w:rFonts w:hint="eastAsia"/>
          <w:b/>
          <w:color w:val="auto"/>
          <w:sz w:val="36"/>
          <w:szCs w:val="36"/>
          <w:highlight w:val="none"/>
          <w:lang w:val="en-US" w:eastAsia="zh-CN"/>
        </w:rPr>
        <w:t>8、供应商资质证明</w:t>
      </w:r>
    </w:p>
    <w:p>
      <w:pPr>
        <w:rPr>
          <w:rFonts w:hint="eastAsia"/>
          <w:color w:val="auto"/>
          <w:highlight w:val="none"/>
        </w:rPr>
      </w:pPr>
      <w:r>
        <w:rPr>
          <w:rFonts w:hint="eastAsia" w:ascii="楷体" w:hAnsi="楷体" w:eastAsia="楷体" w:cs="Courier New"/>
          <w:color w:val="auto"/>
          <w:kern w:val="2"/>
          <w:sz w:val="21"/>
          <w:szCs w:val="21"/>
          <w:highlight w:val="none"/>
          <w:lang w:val="en-US" w:eastAsia="zh-CN" w:bidi="ar-SA"/>
        </w:rPr>
        <w:t>说明：具有建设行政主管部门颁发的市政公用工程施工总承包三级（含三级）以上资质并具有有效的安全生产许可证，在有效期内；提供复印件加盖供应商单位章。</w:t>
      </w:r>
    </w:p>
    <w:p>
      <w:pPr>
        <w:rPr>
          <w:rFonts w:hint="eastAsia"/>
          <w:color w:val="auto"/>
          <w:highlight w:val="none"/>
        </w:rPr>
      </w:pPr>
      <w:r>
        <w:rPr>
          <w:rFonts w:hint="eastAsia"/>
          <w:color w:val="auto"/>
          <w:highlight w:val="none"/>
        </w:rPr>
        <w:br w:type="page"/>
      </w:r>
    </w:p>
    <w:p>
      <w:pPr>
        <w:pStyle w:val="18"/>
        <w:shd w:val="clear"/>
        <w:adjustRightInd w:val="0"/>
        <w:snapToGrid w:val="0"/>
        <w:spacing w:line="360" w:lineRule="auto"/>
        <w:jc w:val="center"/>
        <w:rPr>
          <w:rFonts w:hint="eastAsia"/>
          <w:color w:val="auto"/>
          <w:highlight w:val="none"/>
        </w:rPr>
      </w:pPr>
      <w:r>
        <w:rPr>
          <w:rFonts w:hint="eastAsia"/>
          <w:b/>
          <w:color w:val="auto"/>
          <w:sz w:val="36"/>
          <w:szCs w:val="36"/>
          <w:highlight w:val="none"/>
          <w:lang w:val="en-US" w:eastAsia="zh-CN"/>
        </w:rPr>
        <w:t>9、项目经理资格证明</w:t>
      </w:r>
    </w:p>
    <w:p>
      <w:pPr>
        <w:rPr>
          <w:rFonts w:hint="eastAsia" w:ascii="楷体" w:hAnsi="楷体" w:eastAsia="楷体" w:cs="Courier New"/>
          <w:color w:val="auto"/>
          <w:kern w:val="2"/>
          <w:sz w:val="21"/>
          <w:szCs w:val="21"/>
          <w:highlight w:val="none"/>
          <w:lang w:val="en-US" w:eastAsia="zh-CN" w:bidi="ar-SA"/>
        </w:rPr>
      </w:pPr>
      <w:r>
        <w:rPr>
          <w:rFonts w:hint="eastAsia" w:ascii="楷体" w:hAnsi="楷体" w:eastAsia="楷体" w:cs="Courier New"/>
          <w:color w:val="auto"/>
          <w:kern w:val="2"/>
          <w:sz w:val="21"/>
          <w:szCs w:val="21"/>
          <w:highlight w:val="none"/>
          <w:lang w:val="en-US" w:eastAsia="zh-CN" w:bidi="ar-SA"/>
        </w:rPr>
        <w:t>说明：拟派项目经理须具有市政公用工程专业贰级（含贰级）以上资格，具有有效的安全生产考核合格证书（B级），且无在建项目，提供复印件加盖供应商单位章。</w:t>
      </w:r>
    </w:p>
    <w:p>
      <w:pPr>
        <w:rPr>
          <w:rFonts w:hint="eastAsia" w:ascii="宋体" w:hAnsi="宋体" w:cs="宋体"/>
          <w:b/>
          <w:color w:val="auto"/>
          <w:kern w:val="0"/>
          <w:sz w:val="36"/>
          <w:szCs w:val="36"/>
          <w:highlight w:val="none"/>
          <w:lang w:val="zh-CN"/>
        </w:rPr>
      </w:pPr>
      <w:r>
        <w:rPr>
          <w:rFonts w:hint="eastAsia" w:ascii="宋体" w:hAnsi="宋体" w:cs="宋体"/>
          <w:b/>
          <w:color w:val="auto"/>
          <w:kern w:val="0"/>
          <w:sz w:val="36"/>
          <w:szCs w:val="36"/>
          <w:highlight w:val="none"/>
          <w:lang w:val="zh-CN"/>
        </w:rPr>
        <w:br w:type="page"/>
      </w:r>
    </w:p>
    <w:p>
      <w:pPr>
        <w:pStyle w:val="6"/>
        <w:shd w:val="clear"/>
        <w:ind w:firstLine="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10、</w:t>
      </w:r>
      <w:r>
        <w:rPr>
          <w:rFonts w:hint="eastAsia" w:ascii="宋体" w:hAnsi="宋体" w:cs="宋体"/>
          <w:b/>
          <w:color w:val="auto"/>
          <w:kern w:val="0"/>
          <w:sz w:val="36"/>
          <w:szCs w:val="36"/>
          <w:highlight w:val="none"/>
          <w:lang w:val="zh-CN"/>
        </w:rPr>
        <w:t>具备履行合同所必需的设备及专业技术</w:t>
      </w:r>
      <w:r>
        <w:rPr>
          <w:rFonts w:hint="eastAsia" w:ascii="宋体" w:hAnsi="宋体" w:cs="宋体"/>
          <w:b/>
          <w:color w:val="auto"/>
          <w:kern w:val="0"/>
          <w:sz w:val="36"/>
          <w:szCs w:val="36"/>
          <w:highlight w:val="none"/>
        </w:rPr>
        <w:t>能力</w:t>
      </w:r>
    </w:p>
    <w:p>
      <w:pPr>
        <w:pStyle w:val="6"/>
        <w:shd w:val="clear"/>
        <w:spacing w:afterLines="100"/>
        <w:ind w:firstLine="0"/>
        <w:jc w:val="center"/>
        <w:rPr>
          <w:rFonts w:ascii="宋体" w:hAnsi="宋体" w:cs="宋体"/>
          <w:b/>
          <w:color w:val="auto"/>
          <w:kern w:val="0"/>
          <w:sz w:val="32"/>
          <w:szCs w:val="32"/>
          <w:highlight w:val="none"/>
          <w:lang w:val="zh-CN"/>
        </w:rPr>
      </w:pPr>
    </w:p>
    <w:p>
      <w:pPr>
        <w:bidi w:val="0"/>
        <w:spacing w:line="360" w:lineRule="auto"/>
        <w:jc w:val="center"/>
        <w:rPr>
          <w:rFonts w:hint="eastAsia"/>
          <w:color w:val="auto"/>
          <w:sz w:val="28"/>
          <w:szCs w:val="28"/>
          <w:highlight w:val="none"/>
        </w:rPr>
      </w:pPr>
      <w:bookmarkStart w:id="107" w:name="_Toc18074977"/>
      <w:r>
        <w:rPr>
          <w:rFonts w:hint="eastAsia"/>
          <w:color w:val="auto"/>
          <w:sz w:val="28"/>
          <w:szCs w:val="28"/>
          <w:highlight w:val="none"/>
        </w:rPr>
        <w:t>具备履行合同所必需的设备及专业技术能力的书面声明</w:t>
      </w:r>
    </w:p>
    <w:p>
      <w:pPr>
        <w:pStyle w:val="14"/>
        <w:rPr>
          <w:rFonts w:hint="eastAsia"/>
          <w:color w:val="auto"/>
        </w:rPr>
      </w:pPr>
    </w:p>
    <w:p>
      <w:pPr>
        <w:bidi w:val="0"/>
        <w:spacing w:line="480" w:lineRule="auto"/>
        <w:jc w:val="both"/>
        <w:rPr>
          <w:rFonts w:hint="eastAsia"/>
          <w:color w:val="auto"/>
          <w:highlight w:val="none"/>
          <w:u w:val="single"/>
        </w:rPr>
      </w:pPr>
      <w:r>
        <w:rPr>
          <w:rFonts w:hint="eastAsia"/>
          <w:color w:val="auto"/>
          <w:highlight w:val="none"/>
          <w:u w:val="single"/>
        </w:rPr>
        <w:t>（采购人名称）</w:t>
      </w:r>
      <w:r>
        <w:rPr>
          <w:rFonts w:hint="eastAsia"/>
          <w:color w:val="auto"/>
          <w:highlight w:val="none"/>
          <w:u w:val="single"/>
          <w:lang w:val="en-US" w:eastAsia="zh-CN"/>
        </w:rPr>
        <w:t xml:space="preserve">       </w:t>
      </w:r>
      <w:r>
        <w:rPr>
          <w:rFonts w:hint="eastAsia"/>
          <w:color w:val="auto"/>
          <w:highlight w:val="none"/>
          <w:u w:val="single"/>
        </w:rPr>
        <w:t xml:space="preserve"> ： </w:t>
      </w:r>
    </w:p>
    <w:p>
      <w:pPr>
        <w:bidi w:val="0"/>
        <w:spacing w:line="480" w:lineRule="auto"/>
        <w:ind w:firstLine="420" w:firstLineChars="200"/>
        <w:jc w:val="both"/>
        <w:rPr>
          <w:rFonts w:hint="eastAsia"/>
          <w:color w:val="auto"/>
          <w:highlight w:val="none"/>
        </w:rPr>
      </w:pPr>
      <w:r>
        <w:rPr>
          <w:rFonts w:hint="eastAsia"/>
          <w:color w:val="auto"/>
          <w:highlight w:val="none"/>
          <w:u w:val="single"/>
        </w:rPr>
        <w:t>（供应商名称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于</w:t>
      </w:r>
      <w:r>
        <w:rPr>
          <w:rFonts w:hint="eastAsia"/>
          <w:color w:val="auto"/>
          <w:highlight w:val="none"/>
          <w:u w:val="single"/>
          <w:lang w:val="en-US" w:eastAsia="zh-CN"/>
        </w:rPr>
        <w:t xml:space="preserve">      </w:t>
      </w:r>
      <w:r>
        <w:rPr>
          <w:rFonts w:hint="eastAsia"/>
          <w:color w:val="auto"/>
          <w:highlight w:val="none"/>
        </w:rPr>
        <w:t xml:space="preserve">年 </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 xml:space="preserve">日在中华人民共和国境内 </w:t>
      </w:r>
      <w:r>
        <w:rPr>
          <w:rFonts w:hint="eastAsia"/>
          <w:color w:val="auto"/>
          <w:highlight w:val="none"/>
          <w:u w:val="single"/>
        </w:rPr>
        <w:t>（详细注册地址）</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合法注册并经营，公司主营业务为</w:t>
      </w:r>
      <w:r>
        <w:rPr>
          <w:rFonts w:hint="eastAsia"/>
          <w:color w:val="auto"/>
          <w:highlight w:val="none"/>
          <w:u w:val="single"/>
          <w:lang w:val="en-US" w:eastAsia="zh-CN"/>
        </w:rPr>
        <w:t xml:space="preserve">               </w:t>
      </w:r>
      <w:r>
        <w:rPr>
          <w:rFonts w:hint="eastAsia"/>
          <w:color w:val="auto"/>
          <w:highlight w:val="none"/>
        </w:rPr>
        <w:t xml:space="preserve"> ，营业面积为</w:t>
      </w:r>
      <w:r>
        <w:rPr>
          <w:rFonts w:hint="eastAsia"/>
          <w:color w:val="auto"/>
          <w:highlight w:val="none"/>
          <w:u w:val="single"/>
          <w:lang w:val="en-US" w:eastAsia="zh-CN"/>
        </w:rPr>
        <w:t xml:space="preserve">        </w:t>
      </w:r>
      <w:r>
        <w:rPr>
          <w:rFonts w:hint="eastAsia"/>
          <w:color w:val="auto"/>
          <w:highlight w:val="none"/>
        </w:rPr>
        <w:t xml:space="preserve"> ，现有员工数量为</w:t>
      </w:r>
      <w:r>
        <w:rPr>
          <w:rFonts w:hint="eastAsia"/>
          <w:color w:val="auto"/>
          <w:highlight w:val="none"/>
          <w:u w:val="single"/>
          <w:lang w:val="en-US" w:eastAsia="zh-CN"/>
        </w:rPr>
        <w:t xml:space="preserve">        </w:t>
      </w:r>
      <w:r>
        <w:rPr>
          <w:rFonts w:hint="eastAsia"/>
          <w:color w:val="auto"/>
          <w:highlight w:val="none"/>
        </w:rPr>
        <w:t xml:space="preserve"> ，其中与履行本合同相关的专业技术人员有</w:t>
      </w:r>
      <w:r>
        <w:rPr>
          <w:rFonts w:hint="eastAsia"/>
          <w:color w:val="auto"/>
          <w:highlight w:val="none"/>
          <w:u w:val="single"/>
        </w:rPr>
        <w:t>（ 专业能力、数量 ）</w:t>
      </w:r>
      <w:r>
        <w:rPr>
          <w:rFonts w:hint="eastAsia"/>
          <w:color w:val="auto"/>
          <w:highlight w:val="none"/>
          <w:u w:val="single"/>
          <w:lang w:val="en-US" w:eastAsia="zh-CN"/>
        </w:rPr>
        <w:t xml:space="preserve">         </w:t>
      </w:r>
      <w:r>
        <w:rPr>
          <w:rFonts w:hint="eastAsia"/>
          <w:color w:val="auto"/>
          <w:highlight w:val="none"/>
        </w:rPr>
        <w:t xml:space="preserve">，本公司郑重声明，具有履行本合同所必需的设备及专业技术能力。如有不实，我方将无条件地退出本项目的采购活动，并遵照《政府采购法》有关“提供虚假材料的规定”接受处罚。 </w:t>
      </w:r>
    </w:p>
    <w:p>
      <w:pPr>
        <w:bidi w:val="0"/>
        <w:spacing w:line="480" w:lineRule="auto"/>
        <w:jc w:val="both"/>
        <w:rPr>
          <w:rFonts w:hint="eastAsia"/>
          <w:color w:val="auto"/>
          <w:highlight w:val="none"/>
        </w:rPr>
      </w:pPr>
    </w:p>
    <w:p>
      <w:pPr>
        <w:bidi w:val="0"/>
        <w:spacing w:line="480" w:lineRule="auto"/>
        <w:jc w:val="both"/>
        <w:rPr>
          <w:rFonts w:hint="eastAsia"/>
          <w:color w:val="auto"/>
          <w:highlight w:val="none"/>
        </w:rPr>
      </w:pPr>
    </w:p>
    <w:p>
      <w:pPr>
        <w:bidi w:val="0"/>
        <w:spacing w:line="480" w:lineRule="auto"/>
        <w:jc w:val="both"/>
        <w:rPr>
          <w:rFonts w:hint="eastAsia"/>
          <w:color w:val="auto"/>
          <w:highlight w:val="none"/>
        </w:rPr>
      </w:pPr>
    </w:p>
    <w:p>
      <w:pPr>
        <w:bidi w:val="0"/>
        <w:spacing w:line="480" w:lineRule="auto"/>
        <w:jc w:val="both"/>
        <w:rPr>
          <w:rFonts w:hint="eastAsia"/>
          <w:color w:val="auto"/>
          <w:highlight w:val="none"/>
        </w:rPr>
      </w:pPr>
    </w:p>
    <w:p>
      <w:pPr>
        <w:bidi w:val="0"/>
        <w:spacing w:line="480" w:lineRule="auto"/>
        <w:jc w:val="both"/>
        <w:rPr>
          <w:rFonts w:hint="eastAsia"/>
          <w:color w:val="auto"/>
          <w:highlight w:val="none"/>
        </w:rPr>
      </w:pPr>
    </w:p>
    <w:p>
      <w:pPr>
        <w:bidi w:val="0"/>
        <w:spacing w:line="480" w:lineRule="auto"/>
        <w:ind w:firstLine="3150" w:firstLineChars="1500"/>
        <w:jc w:val="both"/>
        <w:rPr>
          <w:rFonts w:hint="eastAsia"/>
          <w:color w:val="auto"/>
          <w:highlight w:val="none"/>
        </w:rPr>
      </w:pPr>
      <w:r>
        <w:rPr>
          <w:rFonts w:hint="eastAsia"/>
          <w:color w:val="auto"/>
          <w:highlight w:val="none"/>
        </w:rPr>
        <w:t>供应商名称</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rPr>
        <w:t xml:space="preserve">（盖单位章） </w:t>
      </w:r>
    </w:p>
    <w:p>
      <w:pPr>
        <w:bidi w:val="0"/>
        <w:spacing w:line="480" w:lineRule="auto"/>
        <w:ind w:firstLine="3150" w:firstLineChars="1500"/>
        <w:jc w:val="both"/>
        <w:rPr>
          <w:rFonts w:hint="eastAsia"/>
          <w:color w:val="auto"/>
          <w:highlight w:val="none"/>
        </w:rPr>
      </w:pPr>
      <w:r>
        <w:rPr>
          <w:rFonts w:hint="eastAsia"/>
          <w:color w:val="auto"/>
          <w:highlight w:val="none"/>
        </w:rPr>
        <w:t>法定代表人或委托代理人：</w:t>
      </w:r>
      <w:r>
        <w:rPr>
          <w:rFonts w:hint="eastAsia"/>
          <w:color w:val="auto"/>
          <w:highlight w:val="none"/>
          <w:u w:val="single"/>
          <w:lang w:val="en-US" w:eastAsia="zh-CN"/>
        </w:rPr>
        <w:t xml:space="preserve">              </w:t>
      </w:r>
      <w:r>
        <w:rPr>
          <w:rFonts w:hint="eastAsia"/>
          <w:color w:val="auto"/>
          <w:highlight w:val="none"/>
        </w:rPr>
        <w:t xml:space="preserve">（签字或盖章） </w:t>
      </w:r>
    </w:p>
    <w:p>
      <w:pPr>
        <w:bidi w:val="0"/>
        <w:spacing w:line="480" w:lineRule="auto"/>
        <w:ind w:firstLine="3150" w:firstLineChars="1500"/>
        <w:jc w:val="both"/>
        <w:rPr>
          <w:rFonts w:hint="eastAsia"/>
          <w:color w:val="auto"/>
          <w:highlight w:val="none"/>
        </w:rPr>
      </w:pP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 xml:space="preserve">日 </w:t>
      </w:r>
    </w:p>
    <w:p>
      <w:pPr>
        <w:bidi w:val="0"/>
        <w:spacing w:line="480" w:lineRule="auto"/>
        <w:jc w:val="both"/>
        <w:rPr>
          <w:rFonts w:hint="eastAsia"/>
          <w:color w:val="auto"/>
          <w:highlight w:val="none"/>
        </w:rPr>
      </w:pPr>
    </w:p>
    <w:p>
      <w:pPr>
        <w:bidi w:val="0"/>
        <w:spacing w:line="480" w:lineRule="auto"/>
        <w:jc w:val="both"/>
        <w:rPr>
          <w:rFonts w:hint="eastAsia"/>
          <w:color w:val="auto"/>
          <w:highlight w:val="none"/>
        </w:rPr>
      </w:pPr>
    </w:p>
    <w:p>
      <w:pPr>
        <w:bidi w:val="0"/>
        <w:spacing w:line="480" w:lineRule="auto"/>
        <w:jc w:val="both"/>
        <w:rPr>
          <w:rFonts w:hint="eastAsia"/>
          <w:color w:val="auto"/>
          <w:highlight w:val="none"/>
        </w:rPr>
      </w:pPr>
    </w:p>
    <w:p>
      <w:pPr>
        <w:shd w:val="clear"/>
        <w:spacing w:line="360" w:lineRule="auto"/>
        <w:ind w:firstLine="482"/>
        <w:rPr>
          <w:rFonts w:hint="eastAsia" w:ascii="楷体" w:hAnsi="楷体" w:eastAsia="楷体"/>
          <w:color w:val="auto"/>
          <w:szCs w:val="21"/>
          <w:highlight w:val="none"/>
        </w:rPr>
      </w:pPr>
      <w:r>
        <w:rPr>
          <w:rFonts w:hint="eastAsia" w:ascii="楷体" w:hAnsi="楷体" w:eastAsia="楷体"/>
          <w:color w:val="auto"/>
          <w:szCs w:val="21"/>
          <w:highlight w:val="none"/>
        </w:rPr>
        <w:t>（若</w:t>
      </w:r>
      <w:r>
        <w:rPr>
          <w:rFonts w:hint="eastAsia" w:ascii="楷体" w:hAnsi="楷体" w:eastAsia="楷体"/>
          <w:color w:val="auto"/>
          <w:szCs w:val="21"/>
          <w:highlight w:val="none"/>
          <w:lang w:val="en-US" w:eastAsia="zh-CN"/>
        </w:rPr>
        <w:t>供应商</w:t>
      </w:r>
      <w:r>
        <w:rPr>
          <w:rFonts w:hint="eastAsia" w:ascii="楷体" w:hAnsi="楷体" w:eastAsia="楷体"/>
          <w:color w:val="auto"/>
          <w:szCs w:val="21"/>
          <w:highlight w:val="none"/>
        </w:rPr>
        <w:t>需要提供其他证明材料，可另纸说明）</w:t>
      </w:r>
      <w:bookmarkEnd w:id="107"/>
    </w:p>
    <w:p>
      <w:pPr>
        <w:rPr>
          <w:rFonts w:hint="eastAsia" w:ascii="宋体" w:hAnsi="宋体"/>
          <w:b/>
          <w:color w:val="auto"/>
          <w:sz w:val="36"/>
          <w:szCs w:val="36"/>
          <w:highlight w:val="none"/>
          <w:lang w:val="en-US" w:eastAsia="zh-CN"/>
        </w:rPr>
      </w:pPr>
      <w:r>
        <w:rPr>
          <w:rFonts w:hint="eastAsia" w:ascii="宋体" w:hAnsi="宋体"/>
          <w:b/>
          <w:color w:val="auto"/>
          <w:sz w:val="36"/>
          <w:szCs w:val="36"/>
          <w:highlight w:val="none"/>
          <w:lang w:val="en-US" w:eastAsia="zh-CN"/>
        </w:rPr>
        <w:br w:type="page"/>
      </w:r>
    </w:p>
    <w:p>
      <w:pPr>
        <w:shd w:val="clear"/>
        <w:jc w:val="center"/>
        <w:rPr>
          <w:rFonts w:ascii="宋体" w:hAnsi="宋体"/>
          <w:b/>
          <w:color w:val="auto"/>
          <w:sz w:val="36"/>
          <w:szCs w:val="36"/>
          <w:highlight w:val="none"/>
        </w:rPr>
      </w:pPr>
      <w:r>
        <w:rPr>
          <w:rFonts w:hint="eastAsia" w:ascii="宋体" w:hAnsi="宋体"/>
          <w:b/>
          <w:color w:val="auto"/>
          <w:sz w:val="36"/>
          <w:szCs w:val="36"/>
          <w:highlight w:val="none"/>
          <w:lang w:val="en-US" w:eastAsia="zh-CN"/>
        </w:rPr>
        <w:t>11</w:t>
      </w:r>
      <w:r>
        <w:rPr>
          <w:rFonts w:hint="eastAsia" w:ascii="宋体" w:hAnsi="宋体"/>
          <w:b/>
          <w:color w:val="auto"/>
          <w:sz w:val="36"/>
          <w:szCs w:val="36"/>
          <w:highlight w:val="none"/>
          <w:lang w:eastAsia="zh-CN"/>
        </w:rPr>
        <w:t>、竞争性谈判</w:t>
      </w:r>
      <w:r>
        <w:rPr>
          <w:rFonts w:hint="eastAsia" w:ascii="宋体" w:hAnsi="宋体"/>
          <w:b/>
          <w:color w:val="auto"/>
          <w:sz w:val="36"/>
          <w:szCs w:val="36"/>
          <w:highlight w:val="none"/>
        </w:rPr>
        <w:t>响应声明书</w:t>
      </w:r>
    </w:p>
    <w:p>
      <w:pPr>
        <w:pStyle w:val="6"/>
        <w:shd w:val="clear"/>
        <w:ind w:firstLine="0"/>
        <w:jc w:val="both"/>
        <w:rPr>
          <w:rFonts w:ascii="仿宋_GB2312" w:eastAsia="仿宋_GB2312"/>
          <w:b/>
          <w:color w:val="auto"/>
          <w:sz w:val="36"/>
          <w:szCs w:val="36"/>
          <w:highlight w:val="none"/>
        </w:rPr>
      </w:pPr>
    </w:p>
    <w:p>
      <w:pPr>
        <w:pStyle w:val="6"/>
        <w:shd w:val="clear"/>
        <w:spacing w:line="360" w:lineRule="auto"/>
        <w:ind w:left="0" w:lef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（采购人名称）</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 </w:t>
      </w:r>
    </w:p>
    <w:p>
      <w:pPr>
        <w:pStyle w:val="6"/>
        <w:shd w:val="clear"/>
        <w:spacing w:line="360" w:lineRule="auto"/>
        <w:ind w:firstLine="573"/>
        <w:rPr>
          <w:rFonts w:ascii="宋体" w:hAnsi="宋体"/>
          <w:color w:val="auto"/>
          <w:szCs w:val="21"/>
          <w:highlight w:val="none"/>
        </w:rPr>
      </w:pPr>
      <w:r>
        <w:rPr>
          <w:rFonts w:hint="eastAsia" w:ascii="宋体" w:hAnsi="宋体" w:eastAsia="宋体" w:cs="Times New Roman"/>
          <w:color w:val="auto"/>
          <w:szCs w:val="21"/>
          <w:highlight w:val="none"/>
        </w:rPr>
        <w:t>我方</w:t>
      </w:r>
      <w:r>
        <w:rPr>
          <w:rFonts w:hint="eastAsia" w:ascii="宋体" w:hAnsi="宋体" w:eastAsia="宋体" w:cs="Times New Roman"/>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（供应商名称），就参加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谈判</w:t>
      </w:r>
      <w:r>
        <w:rPr>
          <w:rFonts w:hint="eastAsia" w:ascii="宋体" w:hAnsi="宋体"/>
          <w:color w:val="auto"/>
          <w:szCs w:val="21"/>
          <w:highlight w:val="none"/>
        </w:rPr>
        <w:t>事宜，在此郑重声明：</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1.我方所提交的响应文件全部真实有效；</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2.我方近3年来无因安全事故、质量事故、投标违规等不良记录被政府有关部门处罚或仍在处罚期限内的情形存在；</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3.我方近3年来无违规违法经营受到责令停产(或停止经营)、吊销生产许可证（或经营许可证）、较大数额罚款（举行听证会的）等行政处罚的情形存在；</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4.我方无企业财产被查封、冻结或处于破产状态或严重亏损状态等情形存在；</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5.我方承诺在</w:t>
      </w:r>
      <w:r>
        <w:rPr>
          <w:rFonts w:hint="eastAsia" w:ascii="宋体" w:hAnsi="宋体"/>
          <w:color w:val="auto"/>
          <w:szCs w:val="21"/>
          <w:highlight w:val="none"/>
          <w:lang w:eastAsia="zh-CN"/>
        </w:rPr>
        <w:t>谈判</w:t>
      </w:r>
      <w:r>
        <w:rPr>
          <w:rFonts w:hint="eastAsia" w:ascii="宋体" w:hAnsi="宋体"/>
          <w:color w:val="auto"/>
          <w:szCs w:val="21"/>
          <w:highlight w:val="none"/>
        </w:rPr>
        <w:t>过程中，保证不予其他单位恶意串通，不出让</w:t>
      </w:r>
      <w:r>
        <w:rPr>
          <w:rFonts w:hint="eastAsia" w:ascii="宋体" w:hAnsi="宋体"/>
          <w:color w:val="auto"/>
          <w:szCs w:val="21"/>
          <w:highlight w:val="none"/>
          <w:lang w:eastAsia="zh-CN"/>
        </w:rPr>
        <w:t>谈判</w:t>
      </w:r>
      <w:r>
        <w:rPr>
          <w:rFonts w:hint="eastAsia" w:ascii="宋体" w:hAnsi="宋体"/>
          <w:color w:val="auto"/>
          <w:szCs w:val="21"/>
          <w:highlight w:val="none"/>
        </w:rPr>
        <w:t>资格，不采取不正当手段诋毁、排挤其他供应商，不向采购人、采购代理机构和</w:t>
      </w:r>
      <w:r>
        <w:rPr>
          <w:rFonts w:hint="eastAsia" w:ascii="宋体" w:hAnsi="宋体"/>
          <w:color w:val="auto"/>
          <w:szCs w:val="21"/>
          <w:highlight w:val="none"/>
          <w:lang w:eastAsia="zh-CN"/>
        </w:rPr>
        <w:t>谈判</w:t>
      </w:r>
      <w:r>
        <w:rPr>
          <w:rFonts w:hint="eastAsia" w:ascii="宋体" w:hAnsi="宋体"/>
          <w:color w:val="auto"/>
          <w:szCs w:val="21"/>
          <w:highlight w:val="none"/>
        </w:rPr>
        <w:t>小组成员行贿；</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6.我方参加本次政府采购活动近3年内，在经营活动中没有重大违法记录；</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7.我方在提交响应文件时，未被列入政府采购严重违法</w:t>
      </w:r>
      <w:r>
        <w:rPr>
          <w:rFonts w:hint="eastAsia" w:ascii="宋体" w:hAnsi="宋体" w:cs="Arial"/>
          <w:color w:val="auto"/>
          <w:szCs w:val="21"/>
          <w:highlight w:val="none"/>
          <w:shd w:val="clear" w:color="auto" w:fill="FFFFFF"/>
        </w:rPr>
        <w:t>失信行为记录</w:t>
      </w:r>
      <w:r>
        <w:rPr>
          <w:rFonts w:hint="eastAsia" w:ascii="宋体" w:hAnsi="宋体"/>
          <w:color w:val="auto"/>
          <w:szCs w:val="21"/>
          <w:highlight w:val="none"/>
        </w:rPr>
        <w:t>名单、失信被执行人、重大税收违法案件当事人名单。</w:t>
      </w:r>
    </w:p>
    <w:p>
      <w:pPr>
        <w:pStyle w:val="6"/>
        <w:shd w:val="clear"/>
        <w:spacing w:line="360" w:lineRule="auto"/>
        <w:ind w:firstLine="573"/>
        <w:rPr>
          <w:rFonts w:ascii="宋体" w:hAnsi="宋体"/>
          <w:color w:val="auto"/>
          <w:szCs w:val="21"/>
          <w:highlight w:val="none"/>
        </w:rPr>
      </w:pPr>
      <w:r>
        <w:rPr>
          <w:rFonts w:hint="eastAsia" w:ascii="宋体" w:hAnsi="宋体"/>
          <w:color w:val="auto"/>
          <w:szCs w:val="21"/>
          <w:highlight w:val="none"/>
        </w:rPr>
        <w:t>以上声明若有违反，一经查实，我方愿意接受政府有关部门的相应处罚，并愿意承担由此带来的法律后果。</w:t>
      </w:r>
    </w:p>
    <w:p>
      <w:pPr>
        <w:pStyle w:val="6"/>
        <w:shd w:val="clear"/>
        <w:spacing w:line="480" w:lineRule="auto"/>
        <w:ind w:firstLine="570"/>
        <w:rPr>
          <w:rFonts w:ascii="宋体" w:hAnsi="宋体"/>
          <w:color w:val="auto"/>
          <w:szCs w:val="21"/>
          <w:highlight w:val="none"/>
        </w:rPr>
      </w:pPr>
    </w:p>
    <w:p>
      <w:pPr>
        <w:pStyle w:val="6"/>
        <w:shd w:val="clear"/>
        <w:spacing w:line="480" w:lineRule="auto"/>
        <w:ind w:firstLine="570"/>
        <w:rPr>
          <w:rFonts w:ascii="宋体" w:hAnsi="宋体"/>
          <w:color w:val="auto"/>
          <w:szCs w:val="21"/>
          <w:highlight w:val="none"/>
        </w:rPr>
      </w:pPr>
      <w:r>
        <w:rPr>
          <w:rFonts w:hint="eastAsia" w:ascii="宋体" w:hAnsi="宋体"/>
          <w:color w:val="auto"/>
          <w:szCs w:val="21"/>
          <w:highlight w:val="none"/>
        </w:rPr>
        <w:t>特此声明！</w:t>
      </w:r>
    </w:p>
    <w:p>
      <w:pPr>
        <w:pStyle w:val="6"/>
        <w:shd w:val="clear"/>
        <w:spacing w:line="480" w:lineRule="auto"/>
        <w:ind w:firstLine="570"/>
        <w:rPr>
          <w:rFonts w:ascii="宋体" w:hAnsi="宋体"/>
          <w:color w:val="auto"/>
          <w:szCs w:val="21"/>
          <w:highlight w:val="none"/>
        </w:rPr>
      </w:pPr>
    </w:p>
    <w:p>
      <w:pPr>
        <w:pStyle w:val="6"/>
        <w:shd w:val="clear"/>
        <w:spacing w:line="480" w:lineRule="auto"/>
        <w:ind w:firstLine="570"/>
        <w:rPr>
          <w:rFonts w:ascii="宋体" w:hAnsi="宋体"/>
          <w:color w:val="auto"/>
          <w:szCs w:val="21"/>
          <w:highlight w:val="none"/>
        </w:rPr>
      </w:pPr>
    </w:p>
    <w:p>
      <w:pPr>
        <w:pStyle w:val="6"/>
        <w:shd w:val="clear"/>
        <w:spacing w:line="480" w:lineRule="auto"/>
        <w:ind w:firstLine="570"/>
        <w:rPr>
          <w:rFonts w:ascii="宋体" w:hAnsi="宋体"/>
          <w:color w:val="auto"/>
          <w:szCs w:val="21"/>
          <w:highlight w:val="none"/>
        </w:rPr>
      </w:pPr>
      <w:r>
        <w:rPr>
          <w:rFonts w:hint="eastAsia" w:ascii="宋体" w:hAnsi="宋体"/>
          <w:color w:val="auto"/>
          <w:szCs w:val="21"/>
          <w:highlight w:val="none"/>
        </w:rPr>
        <w:t>声  明  人</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(供应商名称、盖单位章)</w:t>
      </w:r>
    </w:p>
    <w:p>
      <w:pPr>
        <w:pStyle w:val="6"/>
        <w:shd w:val="clear"/>
        <w:spacing w:line="48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pStyle w:val="6"/>
        <w:shd w:val="clear"/>
        <w:spacing w:line="480" w:lineRule="auto"/>
        <w:ind w:firstLine="573"/>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hd w:val="clear"/>
        <w:tabs>
          <w:tab w:val="left" w:pos="3600"/>
        </w:tabs>
        <w:adjustRightInd w:val="0"/>
        <w:snapToGrid w:val="0"/>
        <w:jc w:val="center"/>
        <w:rPr>
          <w:rFonts w:ascii="宋体" w:hAnsi="宋体"/>
          <w:b/>
          <w:color w:val="auto"/>
          <w:sz w:val="36"/>
          <w:szCs w:val="36"/>
          <w:highlight w:val="none"/>
        </w:rPr>
      </w:pPr>
      <w:r>
        <w:rPr>
          <w:rFonts w:ascii="宋体" w:hAnsi="宋体"/>
          <w:b/>
          <w:color w:val="auto"/>
          <w:sz w:val="36"/>
          <w:szCs w:val="36"/>
          <w:highlight w:val="none"/>
        </w:rPr>
        <w:br w:type="page"/>
      </w:r>
    </w:p>
    <w:p>
      <w:pPr>
        <w:spacing w:line="440" w:lineRule="exact"/>
        <w:jc w:val="center"/>
        <w:rPr>
          <w:rFonts w:hint="eastAsia" w:ascii="宋体" w:hAnsi="宋体" w:eastAsia="宋体" w:cs="宋体"/>
          <w:b/>
          <w:szCs w:val="21"/>
          <w:highlight w:val="none"/>
        </w:rPr>
      </w:pP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lang w:eastAsia="zh-CN"/>
        </w:rPr>
        <w:t>、</w:t>
      </w:r>
      <w:r>
        <w:rPr>
          <w:rFonts w:hint="eastAsia" w:ascii="宋体" w:hAnsi="宋体" w:eastAsia="宋体" w:cs="Times New Roman"/>
          <w:b/>
          <w:color w:val="auto"/>
          <w:sz w:val="36"/>
          <w:szCs w:val="36"/>
          <w:highlight w:val="none"/>
          <w:lang w:val="en-US" w:eastAsia="zh-CN"/>
        </w:rPr>
        <w:t>供应商企业关系关联的声明</w:t>
      </w:r>
    </w:p>
    <w:p>
      <w:pPr>
        <w:autoSpaceDE w:val="0"/>
        <w:autoSpaceDN w:val="0"/>
        <w:adjustRightInd w:val="0"/>
        <w:spacing w:line="360" w:lineRule="auto"/>
        <w:rPr>
          <w:rFonts w:ascii="宋体" w:hAnsi="宋体" w:cs="宋体"/>
          <w:sz w:val="22"/>
          <w:szCs w:val="22"/>
          <w:highlight w:val="none"/>
        </w:rPr>
      </w:pPr>
    </w:p>
    <w:p>
      <w:pPr>
        <w:autoSpaceDE w:val="0"/>
        <w:autoSpaceDN w:val="0"/>
        <w:adjustRightInd w:val="0"/>
        <w:snapToGrid w:val="0"/>
        <w:spacing w:line="480" w:lineRule="auto"/>
        <w:ind w:firstLine="420" w:firstLineChars="200"/>
        <w:rPr>
          <w:rFonts w:ascii="宋体" w:hAnsi="宋体" w:cs="宋体"/>
          <w:color w:val="FF0000"/>
          <w:sz w:val="21"/>
          <w:szCs w:val="21"/>
          <w:highlight w:val="none"/>
        </w:rPr>
      </w:pPr>
      <w:r>
        <w:rPr>
          <w:rFonts w:hint="eastAsia" w:ascii="宋体" w:hAnsi="宋体" w:cs="宋体"/>
          <w:sz w:val="21"/>
          <w:szCs w:val="21"/>
          <w:highlight w:val="none"/>
        </w:rPr>
        <w:t>我单位在本</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项目中，不存在与其它供应商负责人为同一人，有控股、管理等关联关系承诺。</w:t>
      </w:r>
    </w:p>
    <w:p>
      <w:pPr>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1、管理关系说明：</w:t>
      </w:r>
    </w:p>
    <w:p>
      <w:pPr>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我单位管理的具有独立法人的下属单位有：</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pPr>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我单位的上级管理单位有：</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pPr>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2、股权关系说明：</w:t>
      </w:r>
    </w:p>
    <w:p>
      <w:pPr>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我单位控股的单位有</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pPr>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我单位被单位控股</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pPr>
        <w:autoSpaceDE w:val="0"/>
        <w:autoSpaceDN w:val="0"/>
        <w:adjustRightInd w:val="0"/>
        <w:snapToGrid w:val="0"/>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我单位承诺以上说明真实有效，无虚假内容或隐瞒。</w:t>
      </w:r>
    </w:p>
    <w:p>
      <w:pPr>
        <w:wordWrap w:val="0"/>
        <w:spacing w:line="360" w:lineRule="auto"/>
        <w:rPr>
          <w:rFonts w:ascii="宋体" w:hAnsi="宋体" w:cs="宋体"/>
          <w:color w:val="000000"/>
          <w:sz w:val="22"/>
          <w:szCs w:val="22"/>
          <w:highlight w:val="none"/>
          <w:lang w:val="zh-TW" w:eastAsia="zh-TW" w:bidi="zh-TW"/>
        </w:rPr>
      </w:pPr>
    </w:p>
    <w:p>
      <w:pPr>
        <w:wordWrap w:val="0"/>
        <w:spacing w:line="360" w:lineRule="auto"/>
        <w:ind w:firstLine="440" w:firstLineChars="200"/>
        <w:jc w:val="right"/>
        <w:rPr>
          <w:rFonts w:ascii="宋体" w:hAnsi="宋体" w:cs="宋体"/>
          <w:color w:val="000000"/>
          <w:sz w:val="22"/>
          <w:szCs w:val="22"/>
          <w:highlight w:val="none"/>
          <w:lang w:val="zh-TW" w:eastAsia="zh-TW" w:bidi="zh-TW"/>
        </w:rPr>
      </w:pPr>
    </w:p>
    <w:p>
      <w:pPr>
        <w:pStyle w:val="6"/>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ascii="宋体" w:hAnsi="宋体"/>
          <w:szCs w:val="21"/>
          <w:highlight w:val="none"/>
        </w:rPr>
      </w:pPr>
      <w:bookmarkStart w:id="108" w:name="4.3_申请人信用信息报告"/>
      <w:bookmarkEnd w:id="108"/>
      <w:r>
        <w:rPr>
          <w:rFonts w:hint="eastAsia" w:ascii="宋体" w:hAnsi="宋体"/>
          <w:szCs w:val="21"/>
          <w:highlight w:val="none"/>
        </w:rPr>
        <w:t>声  明  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投标人</w:t>
      </w:r>
      <w:r>
        <w:rPr>
          <w:rFonts w:hint="eastAsia" w:ascii="宋体" w:hAnsi="宋体"/>
          <w:szCs w:val="21"/>
          <w:highlight w:val="none"/>
        </w:rPr>
        <w:t>名称、盖单位章)</w:t>
      </w:r>
    </w:p>
    <w:p>
      <w:pPr>
        <w:pStyle w:val="6"/>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（盖章或签字）</w:t>
      </w:r>
    </w:p>
    <w:p>
      <w:pPr>
        <w:pStyle w:val="6"/>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ascii="宋体" w:hAnsi="宋体" w:cs="宋体"/>
          <w:szCs w:val="21"/>
          <w:highlight w:val="none"/>
        </w:rPr>
      </w:pP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hd w:val="clear"/>
        <w:tabs>
          <w:tab w:val="left" w:pos="3600"/>
        </w:tabs>
        <w:adjustRightInd w:val="0"/>
        <w:snapToGrid w:val="0"/>
        <w:jc w:val="center"/>
        <w:rPr>
          <w:rFonts w:ascii="宋体" w:hAnsi="宋体"/>
          <w:b/>
          <w:color w:val="auto"/>
          <w:sz w:val="36"/>
          <w:szCs w:val="36"/>
          <w:highlight w:val="none"/>
        </w:rPr>
      </w:pPr>
    </w:p>
    <w:p>
      <w:pPr>
        <w:shd w:val="clear"/>
        <w:tabs>
          <w:tab w:val="left" w:pos="3600"/>
        </w:tabs>
        <w:adjustRightInd w:val="0"/>
        <w:snapToGrid w:val="0"/>
        <w:jc w:val="center"/>
        <w:rPr>
          <w:rFonts w:ascii="宋体" w:hAnsi="宋体"/>
          <w:b/>
          <w:color w:val="auto"/>
          <w:sz w:val="36"/>
          <w:szCs w:val="36"/>
          <w:highlight w:val="none"/>
        </w:rPr>
      </w:pPr>
    </w:p>
    <w:p>
      <w:pPr>
        <w:shd w:val="clear"/>
        <w:tabs>
          <w:tab w:val="left" w:pos="3600"/>
        </w:tabs>
        <w:adjustRightInd w:val="0"/>
        <w:snapToGrid w:val="0"/>
        <w:jc w:val="center"/>
        <w:rPr>
          <w:rFonts w:ascii="宋体" w:hAnsi="宋体"/>
          <w:b/>
          <w:color w:val="auto"/>
          <w:sz w:val="36"/>
          <w:szCs w:val="36"/>
          <w:highlight w:val="none"/>
        </w:rPr>
      </w:pPr>
    </w:p>
    <w:p>
      <w:pPr>
        <w:shd w:val="clear"/>
        <w:tabs>
          <w:tab w:val="left" w:pos="3600"/>
        </w:tabs>
        <w:adjustRightInd w:val="0"/>
        <w:snapToGrid w:val="0"/>
        <w:spacing w:line="360" w:lineRule="auto"/>
        <w:ind w:firstLine="723" w:firstLineChars="200"/>
        <w:jc w:val="left"/>
        <w:rPr>
          <w:rFonts w:ascii="宋体" w:hAnsi="宋体"/>
          <w:b/>
          <w:bCs/>
          <w:color w:val="auto"/>
          <w:sz w:val="36"/>
          <w:szCs w:val="36"/>
          <w:highlight w:val="none"/>
        </w:rPr>
      </w:pPr>
    </w:p>
    <w:p>
      <w:pPr>
        <w:shd w:val="clear"/>
        <w:tabs>
          <w:tab w:val="left" w:pos="3600"/>
        </w:tabs>
        <w:adjustRightInd w:val="0"/>
        <w:snapToGrid w:val="0"/>
        <w:jc w:val="center"/>
        <w:rPr>
          <w:rFonts w:ascii="宋体" w:hAnsi="宋体"/>
          <w:b/>
          <w:color w:val="auto"/>
          <w:sz w:val="36"/>
          <w:szCs w:val="36"/>
          <w:highlight w:val="none"/>
        </w:rPr>
      </w:pPr>
    </w:p>
    <w:p>
      <w:pPr>
        <w:shd w:val="clear"/>
        <w:tabs>
          <w:tab w:val="left" w:pos="3600"/>
        </w:tabs>
        <w:adjustRightInd w:val="0"/>
        <w:snapToGrid w:val="0"/>
        <w:jc w:val="center"/>
        <w:rPr>
          <w:rFonts w:ascii="宋体" w:hAnsi="宋体"/>
          <w:b/>
          <w:color w:val="auto"/>
          <w:sz w:val="36"/>
          <w:szCs w:val="36"/>
          <w:highlight w:val="none"/>
        </w:rPr>
      </w:pPr>
    </w:p>
    <w:p>
      <w:pPr>
        <w:shd w:val="clear"/>
        <w:spacing w:line="360" w:lineRule="auto"/>
        <w:ind w:right="640" w:firstLine="5481" w:firstLineChars="2600"/>
        <w:rPr>
          <w:rFonts w:ascii="宋体" w:hAnsi="宋体"/>
          <w:color w:val="auto"/>
          <w:szCs w:val="21"/>
          <w:highlight w:val="none"/>
        </w:rPr>
      </w:pPr>
      <w:r>
        <w:rPr>
          <w:rFonts w:ascii="宋体" w:hAnsi="宋体"/>
          <w:b/>
          <w:bCs/>
          <w:color w:val="auto"/>
          <w:szCs w:val="21"/>
          <w:highlight w:val="none"/>
        </w:rPr>
        <w:br w:type="page"/>
      </w:r>
    </w:p>
    <w:p>
      <w:pPr>
        <w:pStyle w:val="61"/>
        <w:spacing w:line="500" w:lineRule="exact"/>
        <w:rPr>
          <w:rFonts w:ascii="宋体" w:hAnsi="宋体" w:cs="宋体"/>
          <w:color w:val="1129B9"/>
          <w:kern w:val="0"/>
          <w:szCs w:val="21"/>
          <w:highlight w:val="none"/>
        </w:rPr>
      </w:pP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p>
    <w:p>
      <w:pPr>
        <w:widowControl/>
        <w:spacing w:line="500" w:lineRule="exact"/>
        <w:ind w:firstLine="482"/>
        <w:jc w:val="center"/>
        <w:textAlignment w:val="baseline"/>
        <w:rPr>
          <w:rFonts w:ascii="宋体" w:hAnsi="宋体" w:cs="宋体"/>
          <w:b/>
          <w:color w:val="1129B9"/>
          <w:kern w:val="0"/>
          <w:szCs w:val="21"/>
          <w:highlight w:val="none"/>
        </w:rPr>
      </w:pPr>
    </w:p>
    <w:p>
      <w:pPr>
        <w:jc w:val="center"/>
        <w:rPr>
          <w:rFonts w:ascii="宋体" w:hAnsi="宋体" w:cs="仿宋"/>
          <w:b/>
          <w:bCs/>
          <w:kern w:val="0"/>
          <w:sz w:val="22"/>
          <w:szCs w:val="22"/>
          <w:highlight w:val="none"/>
        </w:rPr>
      </w:pPr>
      <w:r>
        <w:rPr>
          <w:rFonts w:ascii="宋体" w:hAnsi="宋体" w:cs="仿宋"/>
          <w:b/>
          <w:bCs/>
          <w:kern w:val="0"/>
          <w:sz w:val="22"/>
          <w:szCs w:val="22"/>
          <w:highlight w:val="none"/>
        </w:rPr>
        <w:t>中小企业声明函</w:t>
      </w:r>
      <w:r>
        <w:rPr>
          <w:rFonts w:hint="eastAsia" w:ascii="宋体" w:hAnsi="宋体" w:cs="仿宋"/>
          <w:b/>
          <w:bCs/>
          <w:kern w:val="0"/>
          <w:sz w:val="22"/>
          <w:szCs w:val="22"/>
          <w:highlight w:val="none"/>
        </w:rPr>
        <w:t>（</w:t>
      </w:r>
      <w:r>
        <w:rPr>
          <w:rFonts w:hint="eastAsia" w:ascii="宋体" w:hAnsi="宋体" w:eastAsia="宋体" w:cs="仿宋"/>
          <w:b/>
          <w:bCs/>
          <w:kern w:val="0"/>
          <w:sz w:val="22"/>
          <w:szCs w:val="22"/>
          <w:highlight w:val="none"/>
        </w:rPr>
        <w:t>工程、服务</w:t>
      </w:r>
      <w:r>
        <w:rPr>
          <w:rFonts w:hint="eastAsia" w:ascii="宋体" w:hAnsi="宋体" w:cs="仿宋"/>
          <w:b/>
          <w:bCs/>
          <w:kern w:val="0"/>
          <w:sz w:val="22"/>
          <w:szCs w:val="22"/>
          <w:highlight w:val="none"/>
        </w:rPr>
        <w:t>）</w:t>
      </w:r>
    </w:p>
    <w:p>
      <w:pPr>
        <w:adjustRightInd w:val="0"/>
        <w:snapToGrid w:val="0"/>
        <w:ind w:left="420" w:hanging="420" w:hangingChars="200"/>
        <w:jc w:val="left"/>
        <w:rPr>
          <w:rFonts w:ascii="宋体" w:hAnsi="宋体"/>
          <w:szCs w:val="22"/>
          <w:highlight w:val="none"/>
        </w:rPr>
      </w:pPr>
    </w:p>
    <w:p>
      <w:pPr>
        <w:spacing w:before="624" w:beforeLines="200" w:line="360" w:lineRule="auto"/>
        <w:ind w:firstLine="444" w:firstLineChars="200"/>
        <w:rPr>
          <w:rFonts w:ascii="宋体" w:hAnsi="宋体"/>
          <w:spacing w:val="6"/>
          <w:szCs w:val="21"/>
          <w:highlight w:val="none"/>
        </w:rPr>
      </w:pPr>
      <w:r>
        <w:rPr>
          <w:rFonts w:ascii="宋体" w:hAnsi="宋体"/>
          <w:spacing w:val="6"/>
          <w:szCs w:val="21"/>
          <w:highlight w:val="none"/>
        </w:rPr>
        <w:t>本公司(联合体)郑重声明，根据《政府采购促进中小企业发展管理办法》(财库〔2020〕46 号)的规定，本公司(联合体)参加</w:t>
      </w:r>
      <w:r>
        <w:rPr>
          <w:rFonts w:hint="eastAsia" w:ascii="宋体" w:hAnsi="宋体"/>
          <w:spacing w:val="6"/>
          <w:szCs w:val="21"/>
          <w:highlight w:val="none"/>
          <w:u w:val="single"/>
        </w:rPr>
        <w:t xml:space="preserve">             </w:t>
      </w:r>
      <w:r>
        <w:rPr>
          <w:rFonts w:ascii="宋体" w:hAnsi="宋体"/>
          <w:spacing w:val="6"/>
          <w:szCs w:val="21"/>
          <w:highlight w:val="none"/>
          <w:u w:val="single"/>
        </w:rPr>
        <w:t>(</w:t>
      </w:r>
      <w:r>
        <w:rPr>
          <w:rFonts w:hint="eastAsia" w:ascii="宋体" w:hAnsi="宋体"/>
          <w:spacing w:val="6"/>
          <w:szCs w:val="21"/>
          <w:highlight w:val="none"/>
          <w:u w:val="single"/>
        </w:rPr>
        <w:t>单位</w:t>
      </w:r>
      <w:r>
        <w:rPr>
          <w:rFonts w:ascii="宋体" w:hAnsi="宋体"/>
          <w:spacing w:val="6"/>
          <w:szCs w:val="21"/>
          <w:highlight w:val="none"/>
          <w:u w:val="single"/>
        </w:rPr>
        <w:t>名称</w:t>
      </w:r>
      <w:r>
        <w:rPr>
          <w:rFonts w:ascii="宋体" w:hAnsi="宋体"/>
          <w:spacing w:val="6"/>
          <w:szCs w:val="21"/>
          <w:highlight w:val="none"/>
        </w:rPr>
        <w:t>)的</w:t>
      </w:r>
      <w:r>
        <w:rPr>
          <w:rFonts w:hint="eastAsia" w:ascii="宋体" w:hAnsi="宋体"/>
          <w:spacing w:val="6"/>
          <w:szCs w:val="21"/>
          <w:highlight w:val="none"/>
          <w:u w:val="single"/>
        </w:rPr>
        <w:t xml:space="preserve">           </w:t>
      </w:r>
      <w:r>
        <w:rPr>
          <w:rFonts w:ascii="宋体" w:hAnsi="宋体"/>
          <w:spacing w:val="6"/>
          <w:szCs w:val="21"/>
          <w:highlight w:val="none"/>
          <w:u w:val="single"/>
        </w:rPr>
        <w:t>(项目名称</w:t>
      </w:r>
      <w:r>
        <w:rPr>
          <w:rFonts w:ascii="宋体" w:hAnsi="宋体"/>
          <w:spacing w:val="6"/>
          <w:szCs w:val="21"/>
          <w:highlight w:val="none"/>
        </w:rPr>
        <w:t>)采购活动，</w:t>
      </w:r>
      <w:r>
        <w:rPr>
          <w:rFonts w:hint="eastAsia" w:ascii="宋体" w:hAnsi="宋体"/>
          <w:spacing w:val="6"/>
          <w:szCs w:val="21"/>
          <w:highlight w:val="none"/>
        </w:rPr>
        <w:t>工程的施工单位全部为符合要求的中小企业（或者：</w:t>
      </w:r>
      <w:r>
        <w:rPr>
          <w:rFonts w:ascii="宋体" w:hAnsi="宋体"/>
          <w:spacing w:val="6"/>
          <w:szCs w:val="21"/>
          <w:highlight w:val="none"/>
        </w:rPr>
        <w:t>服务全部由符合政策要求的中小企业承接</w:t>
      </w:r>
      <w:r>
        <w:rPr>
          <w:rFonts w:hint="eastAsia" w:ascii="宋体" w:hAnsi="宋体"/>
          <w:spacing w:val="6"/>
          <w:szCs w:val="21"/>
          <w:highlight w:val="none"/>
        </w:rPr>
        <w:t>）</w:t>
      </w:r>
      <w:r>
        <w:rPr>
          <w:rFonts w:ascii="宋体" w:hAnsi="宋体"/>
          <w:spacing w:val="6"/>
          <w:szCs w:val="21"/>
          <w:highlight w:val="none"/>
        </w:rPr>
        <w:t>。相关企业(含联合体中的中小企业、签订分包意向协议的中小企业)的具体情况如下:</w:t>
      </w:r>
    </w:p>
    <w:p>
      <w:pPr>
        <w:spacing w:line="360" w:lineRule="auto"/>
        <w:ind w:firstLine="419" w:firstLineChars="189"/>
        <w:rPr>
          <w:rFonts w:ascii="宋体" w:hAnsi="宋体"/>
          <w:spacing w:val="6"/>
          <w:szCs w:val="21"/>
          <w:highlight w:val="none"/>
        </w:rPr>
      </w:pPr>
      <w:r>
        <w:rPr>
          <w:rFonts w:ascii="宋体" w:hAnsi="宋体"/>
          <w:spacing w:val="6"/>
          <w:szCs w:val="21"/>
          <w:highlight w:val="none"/>
        </w:rPr>
        <w:t>1.</w:t>
      </w:r>
      <w:r>
        <w:rPr>
          <w:rFonts w:hint="eastAsia" w:ascii="宋体" w:hAnsi="宋体"/>
          <w:spacing w:val="6"/>
          <w:szCs w:val="21"/>
          <w:highlight w:val="none"/>
          <w:u w:val="single"/>
        </w:rPr>
        <w:t xml:space="preserve">       </w:t>
      </w:r>
      <w:r>
        <w:rPr>
          <w:rFonts w:ascii="宋体" w:hAnsi="宋体"/>
          <w:spacing w:val="6"/>
          <w:szCs w:val="21"/>
          <w:highlight w:val="none"/>
          <w:u w:val="single"/>
        </w:rPr>
        <w:t>(标的名称)</w:t>
      </w:r>
      <w:r>
        <w:rPr>
          <w:rFonts w:ascii="宋体" w:hAnsi="宋体"/>
          <w:spacing w:val="6"/>
          <w:szCs w:val="21"/>
          <w:highlight w:val="none"/>
        </w:rPr>
        <w:t>，属于</w:t>
      </w:r>
      <w:r>
        <w:rPr>
          <w:rFonts w:hint="eastAsia" w:ascii="宋体" w:hAnsi="宋体"/>
          <w:spacing w:val="6"/>
          <w:szCs w:val="21"/>
          <w:highlight w:val="none"/>
          <w:u w:val="single"/>
        </w:rPr>
        <w:t xml:space="preserve">      </w:t>
      </w:r>
      <w:r>
        <w:rPr>
          <w:rFonts w:ascii="宋体" w:hAnsi="宋体"/>
          <w:spacing w:val="6"/>
          <w:szCs w:val="21"/>
          <w:highlight w:val="none"/>
          <w:u w:val="single"/>
        </w:rPr>
        <w:t>(采购文件中明确的所属行业</w:t>
      </w:r>
      <w:r>
        <w:rPr>
          <w:rFonts w:ascii="宋体" w:hAnsi="宋体"/>
          <w:spacing w:val="6"/>
          <w:szCs w:val="21"/>
          <w:highlight w:val="none"/>
        </w:rPr>
        <w:t>)</w:t>
      </w:r>
      <w:r>
        <w:rPr>
          <w:rFonts w:hint="eastAsia" w:ascii="宋体" w:hAnsi="宋体"/>
          <w:spacing w:val="6"/>
          <w:szCs w:val="21"/>
          <w:highlight w:val="none"/>
        </w:rPr>
        <w:t>；</w:t>
      </w:r>
      <w:r>
        <w:rPr>
          <w:rFonts w:ascii="宋体" w:hAnsi="宋体"/>
          <w:spacing w:val="6"/>
          <w:szCs w:val="21"/>
          <w:highlight w:val="none"/>
        </w:rPr>
        <w:t>承</w:t>
      </w:r>
      <w:r>
        <w:rPr>
          <w:rFonts w:hint="eastAsia" w:ascii="宋体" w:hAnsi="宋体"/>
          <w:spacing w:val="6"/>
          <w:szCs w:val="21"/>
          <w:highlight w:val="none"/>
        </w:rPr>
        <w:t>建（</w:t>
      </w:r>
      <w:r>
        <w:rPr>
          <w:rFonts w:ascii="宋体" w:hAnsi="宋体"/>
          <w:spacing w:val="6"/>
          <w:szCs w:val="21"/>
          <w:highlight w:val="none"/>
        </w:rPr>
        <w:t>承接</w:t>
      </w:r>
      <w:r>
        <w:rPr>
          <w:rFonts w:hint="eastAsia" w:ascii="宋体" w:hAnsi="宋体"/>
          <w:spacing w:val="6"/>
          <w:szCs w:val="21"/>
          <w:highlight w:val="none"/>
        </w:rPr>
        <w:t>）</w:t>
      </w:r>
      <w:r>
        <w:rPr>
          <w:rFonts w:ascii="宋体" w:hAnsi="宋体"/>
          <w:spacing w:val="6"/>
          <w:szCs w:val="21"/>
          <w:highlight w:val="none"/>
        </w:rPr>
        <w:t>企业为</w:t>
      </w:r>
      <w:r>
        <w:rPr>
          <w:rFonts w:hint="eastAsia" w:ascii="宋体" w:hAnsi="宋体"/>
          <w:spacing w:val="6"/>
          <w:szCs w:val="21"/>
          <w:highlight w:val="none"/>
          <w:u w:val="single"/>
        </w:rPr>
        <w:t xml:space="preserve">   </w:t>
      </w:r>
      <w:r>
        <w:rPr>
          <w:rFonts w:ascii="宋体" w:hAnsi="宋体"/>
          <w:spacing w:val="6"/>
          <w:szCs w:val="21"/>
          <w:highlight w:val="none"/>
          <w:u w:val="single"/>
        </w:rPr>
        <w:t>(企业名称</w:t>
      </w:r>
      <w:r>
        <w:rPr>
          <w:rFonts w:ascii="宋体" w:hAnsi="宋体"/>
          <w:spacing w:val="6"/>
          <w:szCs w:val="21"/>
          <w:highlight w:val="none"/>
        </w:rPr>
        <w:t>)，从业人员</w:t>
      </w:r>
      <w:r>
        <w:rPr>
          <w:rFonts w:hint="eastAsia" w:ascii="宋体" w:hAnsi="宋体"/>
          <w:spacing w:val="6"/>
          <w:szCs w:val="21"/>
          <w:highlight w:val="none"/>
          <w:u w:val="single"/>
        </w:rPr>
        <w:t xml:space="preserve">          </w:t>
      </w:r>
      <w:r>
        <w:rPr>
          <w:rFonts w:ascii="宋体" w:hAnsi="宋体"/>
          <w:spacing w:val="6"/>
          <w:szCs w:val="21"/>
          <w:highlight w:val="none"/>
        </w:rPr>
        <w:t>人，营业收入为</w:t>
      </w:r>
      <w:r>
        <w:rPr>
          <w:rFonts w:hint="eastAsia" w:ascii="宋体" w:hAnsi="宋体"/>
          <w:spacing w:val="6"/>
          <w:szCs w:val="21"/>
          <w:highlight w:val="none"/>
          <w:u w:val="single"/>
        </w:rPr>
        <w:t xml:space="preserve">         </w:t>
      </w:r>
      <w:r>
        <w:rPr>
          <w:rFonts w:ascii="宋体" w:hAnsi="宋体"/>
          <w:spacing w:val="6"/>
          <w:szCs w:val="21"/>
          <w:highlight w:val="none"/>
        </w:rPr>
        <w:t>万元，资产总额为</w:t>
      </w:r>
      <w:r>
        <w:rPr>
          <w:rFonts w:hint="eastAsia" w:ascii="宋体" w:hAnsi="宋体"/>
          <w:spacing w:val="6"/>
          <w:szCs w:val="21"/>
          <w:highlight w:val="none"/>
          <w:u w:val="single"/>
        </w:rPr>
        <w:t xml:space="preserve">       </w:t>
      </w:r>
      <w:r>
        <w:rPr>
          <w:rFonts w:ascii="宋体" w:hAnsi="宋体"/>
          <w:spacing w:val="6"/>
          <w:szCs w:val="21"/>
          <w:highlight w:val="none"/>
        </w:rPr>
        <w:t>万元，属于</w:t>
      </w:r>
      <w:r>
        <w:rPr>
          <w:rFonts w:hint="eastAsia" w:ascii="宋体" w:hAnsi="宋体"/>
          <w:spacing w:val="6"/>
          <w:szCs w:val="21"/>
          <w:highlight w:val="none"/>
          <w:u w:val="single"/>
        </w:rPr>
        <w:t xml:space="preserve">            </w:t>
      </w:r>
      <w:r>
        <w:rPr>
          <w:rFonts w:ascii="宋体" w:hAnsi="宋体"/>
          <w:spacing w:val="6"/>
          <w:szCs w:val="21"/>
          <w:highlight w:val="none"/>
          <w:u w:val="single"/>
        </w:rPr>
        <w:t>(中型企业、小型企业、微型企业)</w:t>
      </w:r>
      <w:r>
        <w:rPr>
          <w:rFonts w:ascii="宋体" w:hAnsi="宋体"/>
          <w:spacing w:val="6"/>
          <w:szCs w:val="21"/>
          <w:highlight w:val="none"/>
        </w:rPr>
        <w:t>;</w:t>
      </w:r>
    </w:p>
    <w:p>
      <w:pPr>
        <w:spacing w:line="360" w:lineRule="auto"/>
        <w:ind w:firstLine="444" w:firstLineChars="200"/>
        <w:rPr>
          <w:rFonts w:ascii="宋体" w:hAnsi="宋体"/>
          <w:spacing w:val="6"/>
          <w:szCs w:val="21"/>
          <w:highlight w:val="none"/>
        </w:rPr>
      </w:pPr>
      <w:r>
        <w:rPr>
          <w:rFonts w:hint="eastAsia" w:ascii="宋体" w:hAnsi="宋体"/>
          <w:spacing w:val="6"/>
          <w:szCs w:val="21"/>
          <w:highlight w:val="none"/>
        </w:rPr>
        <w:t>2</w:t>
      </w:r>
      <w:r>
        <w:rPr>
          <w:rFonts w:ascii="宋体" w:hAnsi="宋体"/>
          <w:spacing w:val="6"/>
          <w:szCs w:val="21"/>
          <w:highlight w:val="none"/>
        </w:rPr>
        <w:t>..</w:t>
      </w:r>
      <w:r>
        <w:rPr>
          <w:rFonts w:hint="eastAsia" w:ascii="宋体" w:hAnsi="宋体"/>
          <w:spacing w:val="6"/>
          <w:szCs w:val="21"/>
          <w:highlight w:val="none"/>
          <w:u w:val="single"/>
        </w:rPr>
        <w:t xml:space="preserve">      </w:t>
      </w:r>
      <w:r>
        <w:rPr>
          <w:rFonts w:ascii="宋体" w:hAnsi="宋体"/>
          <w:spacing w:val="6"/>
          <w:szCs w:val="21"/>
          <w:highlight w:val="none"/>
          <w:u w:val="single"/>
        </w:rPr>
        <w:t>(标的名称)</w:t>
      </w:r>
      <w:r>
        <w:rPr>
          <w:rFonts w:ascii="宋体" w:hAnsi="宋体"/>
          <w:spacing w:val="6"/>
          <w:szCs w:val="21"/>
          <w:highlight w:val="none"/>
        </w:rPr>
        <w:t>，属于</w:t>
      </w:r>
      <w:r>
        <w:rPr>
          <w:rFonts w:hint="eastAsia" w:ascii="宋体" w:hAnsi="宋体"/>
          <w:spacing w:val="6"/>
          <w:szCs w:val="21"/>
          <w:highlight w:val="none"/>
          <w:u w:val="single"/>
        </w:rPr>
        <w:t xml:space="preserve">      </w:t>
      </w:r>
      <w:r>
        <w:rPr>
          <w:rFonts w:ascii="宋体" w:hAnsi="宋体"/>
          <w:spacing w:val="6"/>
          <w:szCs w:val="21"/>
          <w:highlight w:val="none"/>
          <w:u w:val="single"/>
        </w:rPr>
        <w:t>(采购文件中明确的所属行业</w:t>
      </w:r>
      <w:r>
        <w:rPr>
          <w:rFonts w:ascii="宋体" w:hAnsi="宋体"/>
          <w:spacing w:val="6"/>
          <w:szCs w:val="21"/>
          <w:highlight w:val="none"/>
        </w:rPr>
        <w:t>);承接企业为</w:t>
      </w:r>
      <w:r>
        <w:rPr>
          <w:rFonts w:hint="eastAsia" w:ascii="宋体" w:hAnsi="宋体"/>
          <w:spacing w:val="6"/>
          <w:szCs w:val="21"/>
          <w:highlight w:val="none"/>
          <w:u w:val="single"/>
        </w:rPr>
        <w:t xml:space="preserve">   </w:t>
      </w:r>
      <w:r>
        <w:rPr>
          <w:rFonts w:ascii="宋体" w:hAnsi="宋体"/>
          <w:spacing w:val="6"/>
          <w:szCs w:val="21"/>
          <w:highlight w:val="none"/>
          <w:u w:val="single"/>
        </w:rPr>
        <w:t>(企业名称</w:t>
      </w:r>
      <w:r>
        <w:rPr>
          <w:rFonts w:ascii="宋体" w:hAnsi="宋体"/>
          <w:spacing w:val="6"/>
          <w:szCs w:val="21"/>
          <w:highlight w:val="none"/>
        </w:rPr>
        <w:t>)，从业人员</w:t>
      </w:r>
      <w:r>
        <w:rPr>
          <w:rFonts w:hint="eastAsia" w:ascii="宋体" w:hAnsi="宋体"/>
          <w:spacing w:val="6"/>
          <w:szCs w:val="21"/>
          <w:highlight w:val="none"/>
          <w:u w:val="single"/>
        </w:rPr>
        <w:t xml:space="preserve">          </w:t>
      </w:r>
      <w:r>
        <w:rPr>
          <w:rFonts w:ascii="宋体" w:hAnsi="宋体"/>
          <w:spacing w:val="6"/>
          <w:szCs w:val="21"/>
          <w:highlight w:val="none"/>
        </w:rPr>
        <w:t>人，营业收入为</w:t>
      </w:r>
      <w:r>
        <w:rPr>
          <w:rFonts w:hint="eastAsia" w:ascii="宋体" w:hAnsi="宋体"/>
          <w:spacing w:val="6"/>
          <w:szCs w:val="21"/>
          <w:highlight w:val="none"/>
          <w:u w:val="single"/>
        </w:rPr>
        <w:t xml:space="preserve">         </w:t>
      </w:r>
      <w:r>
        <w:rPr>
          <w:rFonts w:ascii="宋体" w:hAnsi="宋体"/>
          <w:spacing w:val="6"/>
          <w:szCs w:val="21"/>
          <w:highlight w:val="none"/>
        </w:rPr>
        <w:t>万元，资产总额为</w:t>
      </w:r>
      <w:r>
        <w:rPr>
          <w:rFonts w:hint="eastAsia" w:ascii="宋体" w:hAnsi="宋体"/>
          <w:spacing w:val="6"/>
          <w:szCs w:val="21"/>
          <w:highlight w:val="none"/>
          <w:u w:val="single"/>
        </w:rPr>
        <w:t xml:space="preserve">         </w:t>
      </w:r>
      <w:r>
        <w:rPr>
          <w:rFonts w:ascii="宋体" w:hAnsi="宋体"/>
          <w:spacing w:val="6"/>
          <w:szCs w:val="21"/>
          <w:highlight w:val="none"/>
        </w:rPr>
        <w:t>万元，属于</w:t>
      </w:r>
      <w:r>
        <w:rPr>
          <w:rFonts w:hint="eastAsia" w:ascii="宋体" w:hAnsi="宋体"/>
          <w:spacing w:val="6"/>
          <w:szCs w:val="21"/>
          <w:highlight w:val="none"/>
          <w:u w:val="single"/>
        </w:rPr>
        <w:t xml:space="preserve">            </w:t>
      </w:r>
      <w:r>
        <w:rPr>
          <w:rFonts w:ascii="宋体" w:hAnsi="宋体"/>
          <w:spacing w:val="6"/>
          <w:szCs w:val="21"/>
          <w:highlight w:val="none"/>
          <w:u w:val="single"/>
        </w:rPr>
        <w:t>(中型企业、小型企业、微型企业)</w:t>
      </w:r>
      <w:r>
        <w:rPr>
          <w:rFonts w:hint="eastAsia" w:ascii="宋体" w:hAnsi="宋体"/>
          <w:spacing w:val="6"/>
          <w:szCs w:val="21"/>
          <w:highlight w:val="none"/>
        </w:rPr>
        <w:t>。</w:t>
      </w:r>
    </w:p>
    <w:p>
      <w:pPr>
        <w:ind w:firstLine="444" w:firstLineChars="200"/>
        <w:rPr>
          <w:rFonts w:ascii="宋体" w:hAnsi="宋体"/>
          <w:spacing w:val="6"/>
          <w:szCs w:val="21"/>
          <w:highlight w:val="none"/>
        </w:rPr>
      </w:pPr>
    </w:p>
    <w:p>
      <w:pPr>
        <w:ind w:firstLine="444" w:firstLineChars="200"/>
        <w:rPr>
          <w:highlight w:val="none"/>
        </w:rPr>
      </w:pPr>
      <w:r>
        <w:rPr>
          <w:rFonts w:ascii="宋体" w:hAnsi="宋体"/>
          <w:spacing w:val="6"/>
          <w:szCs w:val="21"/>
          <w:highlight w:val="none"/>
        </w:rPr>
        <w:t>......</w:t>
      </w:r>
    </w:p>
    <w:p>
      <w:pPr>
        <w:spacing w:line="360" w:lineRule="auto"/>
        <w:ind w:firstLine="444" w:firstLineChars="200"/>
        <w:rPr>
          <w:rFonts w:ascii="宋体" w:hAnsi="宋体"/>
          <w:spacing w:val="6"/>
          <w:szCs w:val="21"/>
          <w:highlight w:val="none"/>
        </w:rPr>
      </w:pPr>
    </w:p>
    <w:p>
      <w:pPr>
        <w:snapToGrid w:val="0"/>
        <w:spacing w:line="360" w:lineRule="auto"/>
        <w:ind w:firstLine="444" w:firstLineChars="200"/>
        <w:rPr>
          <w:rFonts w:ascii="宋体" w:hAnsi="宋体"/>
          <w:spacing w:val="6"/>
          <w:szCs w:val="21"/>
          <w:highlight w:val="none"/>
        </w:rPr>
      </w:pPr>
      <w:r>
        <w:rPr>
          <w:rFonts w:ascii="宋体" w:hAnsi="宋体"/>
          <w:spacing w:val="6"/>
          <w:szCs w:val="21"/>
          <w:highlight w:val="none"/>
        </w:rPr>
        <w:t>以上企业，不属于大企业的分支机构，不存在控股股东为大企业的情形，也不存在与大企业的负责人为同一人的情形。</w:t>
      </w:r>
    </w:p>
    <w:p>
      <w:pPr>
        <w:snapToGrid w:val="0"/>
        <w:spacing w:line="360" w:lineRule="auto"/>
        <w:ind w:firstLine="444" w:firstLineChars="200"/>
        <w:rPr>
          <w:rFonts w:ascii="宋体" w:hAnsi="宋体"/>
          <w:spacing w:val="6"/>
          <w:szCs w:val="21"/>
          <w:highlight w:val="none"/>
        </w:rPr>
      </w:pPr>
      <w:r>
        <w:rPr>
          <w:rFonts w:ascii="宋体" w:hAnsi="宋体"/>
          <w:spacing w:val="6"/>
          <w:szCs w:val="21"/>
          <w:highlight w:val="none"/>
        </w:rPr>
        <w:t>本企业对上述声明内容的真实性负责。如有虚假，将依法承担相应责任。</w:t>
      </w:r>
    </w:p>
    <w:p>
      <w:pPr>
        <w:spacing w:line="360" w:lineRule="auto"/>
        <w:ind w:firstLine="444" w:firstLineChars="200"/>
        <w:rPr>
          <w:rFonts w:ascii="宋体" w:hAnsi="宋体"/>
          <w:spacing w:val="6"/>
          <w:szCs w:val="21"/>
          <w:highlight w:val="none"/>
        </w:rPr>
      </w:pPr>
    </w:p>
    <w:p>
      <w:pPr>
        <w:spacing w:line="360" w:lineRule="auto"/>
        <w:ind w:firstLine="444" w:firstLineChars="200"/>
        <w:rPr>
          <w:rFonts w:ascii="宋体" w:hAnsi="宋体"/>
          <w:spacing w:val="6"/>
          <w:szCs w:val="21"/>
          <w:highlight w:val="none"/>
        </w:rPr>
      </w:pPr>
      <w:r>
        <w:rPr>
          <w:rFonts w:ascii="宋体" w:hAnsi="宋体"/>
          <w:spacing w:val="6"/>
          <w:szCs w:val="21"/>
          <w:highlight w:val="none"/>
        </w:rPr>
        <w:t>企业名称：</w:t>
      </w:r>
      <w:r>
        <w:rPr>
          <w:rFonts w:hint="eastAsia" w:ascii="宋体" w:hAnsi="宋体"/>
          <w:spacing w:val="6"/>
          <w:szCs w:val="21"/>
          <w:highlight w:val="none"/>
          <w:u w:val="single"/>
        </w:rPr>
        <w:t xml:space="preserve">                      </w:t>
      </w:r>
      <w:r>
        <w:rPr>
          <w:rFonts w:hint="eastAsia" w:ascii="宋体" w:hAnsi="宋体"/>
          <w:bCs/>
          <w:szCs w:val="21"/>
          <w:highlight w:val="none"/>
        </w:rPr>
        <w:t>（盖单位章）</w:t>
      </w:r>
    </w:p>
    <w:p>
      <w:pPr>
        <w:spacing w:line="360" w:lineRule="auto"/>
        <w:ind w:firstLine="444" w:firstLineChars="200"/>
        <w:rPr>
          <w:rFonts w:ascii="宋体" w:hAnsi="宋体"/>
          <w:kern w:val="0"/>
          <w:szCs w:val="21"/>
          <w:highlight w:val="none"/>
        </w:rPr>
      </w:pPr>
      <w:r>
        <w:rPr>
          <w:rFonts w:ascii="宋体" w:hAnsi="宋体"/>
          <w:spacing w:val="6"/>
          <w:szCs w:val="21"/>
          <w:highlight w:val="none"/>
        </w:rPr>
        <w:t>日</w:t>
      </w:r>
      <w:r>
        <w:rPr>
          <w:rFonts w:hint="eastAsia" w:ascii="宋体" w:hAnsi="宋体"/>
          <w:spacing w:val="6"/>
          <w:szCs w:val="21"/>
          <w:highlight w:val="none"/>
        </w:rPr>
        <w:t xml:space="preserve">    </w:t>
      </w:r>
      <w:r>
        <w:rPr>
          <w:rFonts w:ascii="宋体" w:hAnsi="宋体"/>
          <w:spacing w:val="6"/>
          <w:szCs w:val="21"/>
          <w:highlight w:val="none"/>
        </w:rPr>
        <w:t>期:</w:t>
      </w:r>
      <w:r>
        <w:rPr>
          <w:rFonts w:hint="eastAsia" w:ascii="宋体" w:hAnsi="宋体"/>
          <w:spacing w:val="6"/>
          <w:szCs w:val="21"/>
          <w:highlight w:val="none"/>
          <w:u w:val="single"/>
        </w:rPr>
        <w:t xml:space="preserve">                       </w:t>
      </w:r>
    </w:p>
    <w:p>
      <w:pPr>
        <w:snapToGrid w:val="0"/>
        <w:spacing w:line="480" w:lineRule="auto"/>
        <w:ind w:left="4620" w:leftChars="2200"/>
        <w:rPr>
          <w:rFonts w:ascii="宋体" w:hAnsi="宋体"/>
          <w:szCs w:val="20"/>
          <w:highlight w:val="none"/>
        </w:rPr>
      </w:pPr>
    </w:p>
    <w:p>
      <w:pPr>
        <w:spacing w:line="360" w:lineRule="auto"/>
        <w:rPr>
          <w:rFonts w:ascii="宋体" w:hAnsi="宋体"/>
          <w:szCs w:val="22"/>
          <w:highlight w:val="none"/>
        </w:rPr>
      </w:pPr>
    </w:p>
    <w:p>
      <w:pPr>
        <w:spacing w:line="360" w:lineRule="auto"/>
        <w:rPr>
          <w:rFonts w:ascii="宋体" w:hAnsi="宋体"/>
          <w:szCs w:val="22"/>
          <w:highlight w:val="none"/>
        </w:rPr>
      </w:pPr>
    </w:p>
    <w:p>
      <w:pPr>
        <w:spacing w:line="360" w:lineRule="auto"/>
        <w:rPr>
          <w:rFonts w:ascii="宋体" w:hAnsi="宋体"/>
          <w:szCs w:val="22"/>
          <w:highlight w:val="none"/>
        </w:rPr>
      </w:pPr>
    </w:p>
    <w:p>
      <w:pPr>
        <w:tabs>
          <w:tab w:val="left" w:pos="1755"/>
        </w:tabs>
        <w:spacing w:line="500" w:lineRule="atLeast"/>
        <w:rPr>
          <w:rFonts w:ascii="宋体" w:hAnsi="宋体"/>
          <w:szCs w:val="22"/>
          <w:highlight w:val="none"/>
        </w:rPr>
      </w:pPr>
      <w:r>
        <w:rPr>
          <w:rFonts w:hint="eastAsia" w:ascii="宋体" w:hAnsi="宋体"/>
          <w:szCs w:val="22"/>
          <w:highlight w:val="none"/>
          <w:vertAlign w:val="superscript"/>
        </w:rPr>
        <w:t>1</w:t>
      </w:r>
      <w:r>
        <w:rPr>
          <w:rFonts w:ascii="宋体" w:hAnsi="宋体"/>
          <w:szCs w:val="22"/>
          <w:highlight w:val="none"/>
        </w:rPr>
        <w:t>从业人员、营业收入、资产总额填报上一年度数据，无上一年度数据的新成立企业可不填报。</w:t>
      </w: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p>
    <w:p>
      <w:pPr>
        <w:spacing w:line="588" w:lineRule="exact"/>
        <w:jc w:val="center"/>
        <w:rPr>
          <w:rFonts w:ascii="宋体" w:hAnsi="宋体" w:cs="宋体"/>
          <w:b/>
          <w:spacing w:val="6"/>
          <w:szCs w:val="21"/>
          <w:highlight w:val="none"/>
        </w:rPr>
      </w:pPr>
      <w:r>
        <w:rPr>
          <w:rFonts w:hint="eastAsia" w:ascii="宋体" w:hAnsi="宋体" w:cs="宋体"/>
          <w:b/>
          <w:spacing w:val="6"/>
          <w:szCs w:val="21"/>
          <w:highlight w:val="none"/>
        </w:rPr>
        <w:t>残疾人福利性单位声明函</w:t>
      </w:r>
      <w:r>
        <w:rPr>
          <w:rFonts w:hint="eastAsia" w:ascii="宋体" w:hAnsi="宋体" w:cs="宋体"/>
          <w:b/>
          <w:spacing w:val="6"/>
          <w:szCs w:val="21"/>
          <w:highlight w:val="none"/>
          <w:lang w:val="zh-CN"/>
        </w:rPr>
        <w:t>（非</w:t>
      </w:r>
      <w:r>
        <w:rPr>
          <w:rFonts w:hint="eastAsia" w:ascii="宋体" w:hAnsi="宋体" w:cs="宋体"/>
          <w:b/>
          <w:spacing w:val="6"/>
          <w:szCs w:val="21"/>
          <w:highlight w:val="none"/>
        </w:rPr>
        <w:t>残疾人福利企业</w:t>
      </w:r>
      <w:r>
        <w:rPr>
          <w:rFonts w:hint="eastAsia" w:ascii="宋体" w:hAnsi="宋体" w:cs="宋体"/>
          <w:b/>
          <w:spacing w:val="6"/>
          <w:szCs w:val="21"/>
          <w:highlight w:val="none"/>
          <w:lang w:val="zh-CN"/>
        </w:rPr>
        <w:t>不</w:t>
      </w:r>
      <w:r>
        <w:rPr>
          <w:rFonts w:hint="eastAsia" w:ascii="宋体" w:hAnsi="宋体" w:cs="宋体"/>
          <w:b/>
          <w:spacing w:val="6"/>
          <w:szCs w:val="21"/>
          <w:highlight w:val="none"/>
        </w:rPr>
        <w:t>填写</w:t>
      </w:r>
      <w:r>
        <w:rPr>
          <w:rFonts w:hint="eastAsia" w:ascii="宋体" w:hAnsi="宋体" w:cs="宋体"/>
          <w:b/>
          <w:spacing w:val="6"/>
          <w:szCs w:val="21"/>
          <w:highlight w:val="none"/>
          <w:lang w:val="zh-CN"/>
        </w:rPr>
        <w:t>）</w:t>
      </w:r>
    </w:p>
    <w:p>
      <w:pPr>
        <w:spacing w:line="588" w:lineRule="exact"/>
        <w:rPr>
          <w:rFonts w:ascii="宋体" w:hAnsi="宋体" w:cs="宋体"/>
          <w:b/>
          <w:spacing w:val="6"/>
          <w:szCs w:val="21"/>
          <w:highlight w:val="none"/>
        </w:rPr>
      </w:pPr>
    </w:p>
    <w:p>
      <w:pPr>
        <w:spacing w:line="50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pPr>
        <w:spacing w:line="500" w:lineRule="exact"/>
        <w:ind w:firstLine="444" w:firstLineChars="200"/>
        <w:rPr>
          <w:rFonts w:ascii="宋体" w:hAnsi="宋体" w:cs="宋体"/>
          <w:spacing w:val="6"/>
          <w:szCs w:val="21"/>
          <w:highlight w:val="none"/>
        </w:rPr>
      </w:pPr>
    </w:p>
    <w:p>
      <w:pPr>
        <w:spacing w:line="500" w:lineRule="exact"/>
        <w:ind w:firstLine="444" w:firstLineChars="200"/>
        <w:rPr>
          <w:rFonts w:ascii="宋体" w:hAnsi="宋体" w:cs="宋体"/>
          <w:spacing w:val="6"/>
          <w:szCs w:val="21"/>
          <w:highlight w:val="none"/>
        </w:rPr>
      </w:pPr>
    </w:p>
    <w:p>
      <w:pPr>
        <w:tabs>
          <w:tab w:val="left" w:pos="4860"/>
        </w:tabs>
        <w:spacing w:line="500" w:lineRule="exact"/>
        <w:ind w:right="1560" w:firstLine="444" w:firstLineChars="200"/>
        <w:jc w:val="center"/>
        <w:rPr>
          <w:rFonts w:ascii="宋体" w:hAnsi="宋体" w:cs="宋体"/>
          <w:spacing w:val="6"/>
          <w:szCs w:val="21"/>
          <w:highlight w:val="none"/>
          <w:u w:val="single"/>
        </w:rPr>
      </w:pPr>
      <w:r>
        <w:rPr>
          <w:rFonts w:hint="eastAsia" w:ascii="宋体" w:hAnsi="宋体" w:cs="宋体"/>
          <w:spacing w:val="6"/>
          <w:szCs w:val="21"/>
          <w:highlight w:val="none"/>
        </w:rPr>
        <w:t xml:space="preserve">               单位名称（盖章）：</w:t>
      </w:r>
      <w:r>
        <w:rPr>
          <w:rFonts w:hint="eastAsia" w:ascii="宋体" w:hAnsi="宋体" w:cs="宋体"/>
          <w:spacing w:val="6"/>
          <w:szCs w:val="21"/>
          <w:highlight w:val="none"/>
          <w:u w:val="single"/>
        </w:rPr>
        <w:t xml:space="preserve">                                    </w:t>
      </w:r>
    </w:p>
    <w:p>
      <w:pPr>
        <w:spacing w:line="440" w:lineRule="exact"/>
        <w:rPr>
          <w:rFonts w:ascii="宋体" w:hAnsi="宋体" w:cs="宋体"/>
          <w:szCs w:val="21"/>
          <w:highlight w:val="none"/>
        </w:rPr>
      </w:pPr>
      <w:r>
        <w:rPr>
          <w:rFonts w:hint="eastAsia" w:ascii="宋体" w:hAnsi="宋体" w:cs="宋体"/>
          <w:spacing w:val="6"/>
          <w:szCs w:val="21"/>
          <w:highlight w:val="none"/>
        </w:rPr>
        <w:t xml:space="preserve">                                  日          期：</w:t>
      </w:r>
      <w:r>
        <w:rPr>
          <w:rFonts w:hint="eastAsia" w:ascii="宋体" w:hAnsi="宋体" w:cs="宋体"/>
          <w:spacing w:val="6"/>
          <w:szCs w:val="21"/>
          <w:highlight w:val="none"/>
          <w:u w:val="single"/>
        </w:rPr>
        <w:t xml:space="preserve">               </w:t>
      </w: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eastAsia="宋体" w:cs="宋体"/>
          <w:sz w:val="21"/>
          <w:szCs w:val="21"/>
          <w:highlight w:val="none"/>
        </w:rPr>
      </w:pPr>
    </w:p>
    <w:p>
      <w:pPr>
        <w:pStyle w:val="61"/>
        <w:spacing w:line="500" w:lineRule="exact"/>
        <w:rPr>
          <w:rFonts w:hint="eastAsia" w:ascii="宋体" w:hAnsi="宋体" w:cs="宋体"/>
          <w:sz w:val="28"/>
          <w:szCs w:val="28"/>
          <w:highlight w:val="none"/>
        </w:rPr>
      </w:pP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p>
    <w:p>
      <w:pPr>
        <w:spacing w:line="588" w:lineRule="exact"/>
        <w:jc w:val="center"/>
        <w:rPr>
          <w:rFonts w:hint="eastAsia" w:ascii="宋体" w:hAnsi="宋体" w:cs="宋体"/>
          <w:b/>
          <w:spacing w:val="6"/>
          <w:szCs w:val="21"/>
          <w:highlight w:val="none"/>
        </w:rPr>
      </w:pPr>
      <w:r>
        <w:rPr>
          <w:rFonts w:hint="eastAsia" w:ascii="宋体" w:hAnsi="宋体" w:cs="宋体"/>
          <w:b/>
          <w:spacing w:val="6"/>
          <w:szCs w:val="21"/>
          <w:highlight w:val="none"/>
        </w:rPr>
        <w:t>监狱企业证明文件</w:t>
      </w:r>
      <w:r>
        <w:rPr>
          <w:rFonts w:hint="eastAsia" w:ascii="宋体" w:hAnsi="宋体" w:cs="宋体"/>
          <w:b/>
          <w:spacing w:val="6"/>
          <w:szCs w:val="21"/>
          <w:highlight w:val="none"/>
          <w:lang w:val="zh-CN"/>
        </w:rPr>
        <w:t>（非监狱、戒毒企业不</w:t>
      </w:r>
      <w:r>
        <w:rPr>
          <w:rFonts w:hint="eastAsia" w:ascii="宋体" w:hAnsi="宋体" w:cs="宋体"/>
          <w:b/>
          <w:spacing w:val="6"/>
          <w:szCs w:val="21"/>
          <w:highlight w:val="none"/>
        </w:rPr>
        <w:t>填写</w:t>
      </w:r>
      <w:r>
        <w:rPr>
          <w:rFonts w:hint="eastAsia" w:ascii="宋体" w:hAnsi="宋体" w:cs="宋体"/>
          <w:b/>
          <w:spacing w:val="6"/>
          <w:szCs w:val="21"/>
          <w:highlight w:val="none"/>
          <w:lang w:val="zh-CN"/>
        </w:rPr>
        <w:t>）</w:t>
      </w:r>
    </w:p>
    <w:p>
      <w:pPr>
        <w:spacing w:line="360" w:lineRule="auto"/>
        <w:jc w:val="left"/>
        <w:rPr>
          <w:rFonts w:hint="eastAsia" w:ascii="宋体" w:hAnsi="宋体"/>
          <w:spacing w:val="4"/>
          <w:sz w:val="24"/>
          <w:highlight w:val="none"/>
        </w:rPr>
      </w:pPr>
    </w:p>
    <w:p>
      <w:pPr>
        <w:spacing w:line="500" w:lineRule="exact"/>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ascii="楷体" w:hAnsi="楷体" w:eastAsia="楷体" w:cs="楷体"/>
          <w:color w:val="0000FF"/>
          <w:spacing w:val="6"/>
          <w:sz w:val="28"/>
          <w:szCs w:val="36"/>
          <w:highlight w:val="none"/>
        </w:rPr>
      </w:pPr>
    </w:p>
    <w:p>
      <w:pPr>
        <w:pStyle w:val="58"/>
        <w:rPr>
          <w:rFonts w:ascii="楷体" w:hAnsi="楷体" w:eastAsia="楷体" w:cs="楷体"/>
          <w:color w:val="0000FF"/>
          <w:spacing w:val="6"/>
          <w:sz w:val="28"/>
          <w:szCs w:val="36"/>
          <w:highlight w:val="none"/>
        </w:rPr>
      </w:pPr>
    </w:p>
    <w:p>
      <w:pPr>
        <w:pStyle w:val="58"/>
        <w:rPr>
          <w:rFonts w:ascii="楷体" w:hAnsi="楷体" w:eastAsia="楷体" w:cs="楷体"/>
          <w:color w:val="0000FF"/>
          <w:spacing w:val="6"/>
          <w:sz w:val="28"/>
          <w:szCs w:val="36"/>
          <w:highlight w:val="none"/>
        </w:rPr>
      </w:pPr>
    </w:p>
    <w:p>
      <w:pPr>
        <w:pStyle w:val="58"/>
        <w:rPr>
          <w:rFonts w:ascii="楷体" w:hAnsi="楷体" w:eastAsia="楷体" w:cs="楷体"/>
          <w:color w:val="0000FF"/>
          <w:spacing w:val="6"/>
          <w:sz w:val="28"/>
          <w:szCs w:val="36"/>
          <w:highlight w:val="none"/>
        </w:rPr>
      </w:pP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center"/>
        <w:rPr>
          <w:rFonts w:ascii="宋体" w:hAnsi="宋体"/>
          <w:spacing w:val="4"/>
          <w:szCs w:val="21"/>
          <w:highlight w:val="none"/>
          <w:u w:val="single"/>
        </w:rPr>
      </w:pPr>
      <w:r>
        <w:rPr>
          <w:rFonts w:hint="eastAsia" w:ascii="宋体" w:hAnsi="宋体"/>
          <w:spacing w:val="4"/>
          <w:sz w:val="24"/>
          <w:highlight w:val="none"/>
        </w:rPr>
        <w:t xml:space="preserve">      </w:t>
      </w:r>
      <w:r>
        <w:rPr>
          <w:rFonts w:hint="eastAsia" w:ascii="宋体" w:hAnsi="宋体"/>
          <w:spacing w:val="4"/>
          <w:szCs w:val="21"/>
          <w:highlight w:val="none"/>
        </w:rPr>
        <w:t xml:space="preserve">   单位名称（盖章）：</w:t>
      </w:r>
      <w:r>
        <w:rPr>
          <w:rFonts w:hint="eastAsia" w:ascii="宋体" w:hAnsi="宋体"/>
          <w:spacing w:val="4"/>
          <w:szCs w:val="21"/>
          <w:highlight w:val="none"/>
          <w:u w:val="single"/>
        </w:rPr>
        <w:t xml:space="preserve">                    </w:t>
      </w:r>
    </w:p>
    <w:p>
      <w:pPr>
        <w:spacing w:line="360" w:lineRule="auto"/>
        <w:ind w:firstLine="436" w:firstLineChars="200"/>
        <w:jc w:val="center"/>
        <w:rPr>
          <w:rFonts w:ascii="宋体" w:hAnsi="宋体"/>
          <w:spacing w:val="4"/>
          <w:szCs w:val="21"/>
          <w:highlight w:val="none"/>
        </w:rPr>
      </w:pPr>
      <w:r>
        <w:rPr>
          <w:rFonts w:hint="eastAsia" w:ascii="宋体" w:hAnsi="宋体"/>
          <w:spacing w:val="4"/>
          <w:szCs w:val="21"/>
          <w:highlight w:val="none"/>
        </w:rPr>
        <w:t xml:space="preserve">                            日    期：</w:t>
      </w:r>
    </w:p>
    <w:p>
      <w:pPr>
        <w:pStyle w:val="61"/>
        <w:spacing w:line="500" w:lineRule="exact"/>
        <w:rPr>
          <w:rFonts w:hint="eastAsia" w:ascii="宋体" w:hAnsi="宋体" w:eastAsia="宋体" w:cs="宋体"/>
          <w:sz w:val="21"/>
          <w:szCs w:val="21"/>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pStyle w:val="6"/>
        <w:shd w:val="clear"/>
        <w:spacing w:beforeLines="50"/>
        <w:ind w:firstLine="0"/>
        <w:rPr>
          <w:rFonts w:ascii="黑体" w:eastAsia="黑体"/>
          <w:color w:val="auto"/>
          <w:sz w:val="52"/>
          <w:szCs w:val="52"/>
          <w:highlight w:val="none"/>
        </w:rPr>
      </w:pPr>
    </w:p>
    <w:p>
      <w:pPr>
        <w:rPr>
          <w:rFonts w:ascii="黑体" w:eastAsia="黑体"/>
          <w:color w:val="auto"/>
          <w:sz w:val="52"/>
          <w:szCs w:val="52"/>
          <w:highlight w:val="none"/>
        </w:rPr>
      </w:pPr>
    </w:p>
    <w:p>
      <w:pPr>
        <w:pStyle w:val="14"/>
      </w:pPr>
    </w:p>
    <w:p>
      <w:pPr>
        <w:pStyle w:val="6"/>
        <w:shd w:val="clear"/>
        <w:spacing w:beforeLines="50"/>
        <w:ind w:firstLine="0"/>
        <w:jc w:val="center"/>
        <w:outlineLvl w:val="1"/>
        <w:rPr>
          <w:rFonts w:hint="eastAsia" w:ascii="宋体" w:hAnsi="宋体"/>
          <w:b/>
          <w:color w:val="auto"/>
          <w:sz w:val="72"/>
          <w:szCs w:val="72"/>
          <w:highlight w:val="none"/>
        </w:rPr>
      </w:pPr>
    </w:p>
    <w:p>
      <w:pPr>
        <w:pStyle w:val="6"/>
        <w:shd w:val="clear"/>
        <w:spacing w:beforeLines="50"/>
        <w:ind w:firstLine="0"/>
        <w:jc w:val="center"/>
        <w:outlineLvl w:val="1"/>
        <w:rPr>
          <w:rFonts w:hint="eastAsia" w:ascii="宋体" w:hAnsi="宋体"/>
          <w:b/>
          <w:color w:val="auto"/>
          <w:sz w:val="72"/>
          <w:szCs w:val="72"/>
          <w:highlight w:val="none"/>
        </w:rPr>
      </w:pPr>
    </w:p>
    <w:p>
      <w:pPr>
        <w:pStyle w:val="6"/>
        <w:shd w:val="clear"/>
        <w:spacing w:beforeLines="50"/>
        <w:ind w:firstLine="0"/>
        <w:jc w:val="center"/>
        <w:outlineLvl w:val="1"/>
        <w:rPr>
          <w:rFonts w:hint="eastAsia" w:ascii="宋体" w:hAnsi="宋体"/>
          <w:b/>
          <w:color w:val="auto"/>
          <w:sz w:val="72"/>
          <w:szCs w:val="72"/>
          <w:highlight w:val="none"/>
        </w:rPr>
      </w:pPr>
    </w:p>
    <w:p>
      <w:pPr>
        <w:pStyle w:val="6"/>
        <w:shd w:val="clear"/>
        <w:spacing w:beforeLines="50"/>
        <w:ind w:firstLine="0"/>
        <w:jc w:val="center"/>
        <w:outlineLvl w:val="1"/>
        <w:rPr>
          <w:rFonts w:hint="eastAsia" w:ascii="宋体" w:hAnsi="宋体"/>
          <w:b/>
          <w:color w:val="auto"/>
          <w:sz w:val="72"/>
          <w:szCs w:val="72"/>
          <w:highlight w:val="none"/>
        </w:rPr>
      </w:pPr>
    </w:p>
    <w:p>
      <w:pPr>
        <w:pStyle w:val="6"/>
        <w:shd w:val="clear"/>
        <w:spacing w:beforeLines="50"/>
        <w:ind w:firstLine="0"/>
        <w:jc w:val="center"/>
        <w:outlineLvl w:val="1"/>
        <w:rPr>
          <w:rFonts w:ascii="宋体" w:hAnsi="宋体"/>
          <w:b/>
          <w:color w:val="auto"/>
          <w:sz w:val="72"/>
          <w:szCs w:val="72"/>
          <w:highlight w:val="none"/>
        </w:rPr>
      </w:pPr>
      <w:bookmarkStart w:id="109" w:name="_Toc23297"/>
      <w:r>
        <w:rPr>
          <w:rFonts w:hint="eastAsia" w:ascii="宋体" w:hAnsi="宋体"/>
          <w:b/>
          <w:color w:val="auto"/>
          <w:sz w:val="72"/>
          <w:szCs w:val="72"/>
          <w:highlight w:val="none"/>
        </w:rPr>
        <w:t>商务与技术部分</w:t>
      </w:r>
      <w:bookmarkEnd w:id="109"/>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pStyle w:val="6"/>
        <w:shd w:val="clear"/>
        <w:spacing w:beforeLines="50"/>
        <w:ind w:firstLine="0"/>
        <w:rPr>
          <w:rFonts w:ascii="仿宋_GB2312" w:eastAsia="仿宋_GB2312"/>
          <w:color w:val="auto"/>
          <w:sz w:val="36"/>
          <w:szCs w:val="36"/>
          <w:highlight w:val="none"/>
        </w:rPr>
      </w:pPr>
    </w:p>
    <w:p>
      <w:pPr>
        <w:shd w:val="clear"/>
        <w:spacing w:line="400" w:lineRule="exact"/>
        <w:jc w:val="center"/>
        <w:outlineLvl w:val="1"/>
        <w:rPr>
          <w:rFonts w:ascii="仿宋_GB2312" w:eastAsia="仿宋_GB2312"/>
          <w:b/>
          <w:bCs/>
          <w:color w:val="auto"/>
          <w:sz w:val="28"/>
          <w:szCs w:val="28"/>
          <w:highlight w:val="none"/>
        </w:rPr>
      </w:pPr>
      <w:r>
        <w:rPr>
          <w:rFonts w:ascii="仿宋_GB2312" w:eastAsia="仿宋_GB2312"/>
          <w:color w:val="auto"/>
          <w:sz w:val="36"/>
          <w:szCs w:val="36"/>
          <w:highlight w:val="none"/>
        </w:rPr>
        <w:br w:type="page"/>
      </w:r>
      <w:bookmarkStart w:id="110" w:name="_Toc31211"/>
      <w:bookmarkStart w:id="111" w:name="_Toc1609"/>
      <w:bookmarkStart w:id="112" w:name="_Toc10385"/>
      <w:r>
        <w:rPr>
          <w:rFonts w:hint="eastAsia" w:ascii="宋体" w:hAnsi="宋体"/>
          <w:b/>
          <w:bCs/>
          <w:color w:val="auto"/>
          <w:sz w:val="36"/>
          <w:szCs w:val="36"/>
          <w:highlight w:val="none"/>
        </w:rPr>
        <w:t>一、</w:t>
      </w:r>
      <w:r>
        <w:rPr>
          <w:rFonts w:hint="eastAsia" w:ascii="宋体" w:hAnsi="宋体"/>
          <w:b/>
          <w:bCs/>
          <w:color w:val="auto"/>
          <w:sz w:val="36"/>
          <w:szCs w:val="36"/>
          <w:highlight w:val="none"/>
          <w:lang w:eastAsia="zh-CN"/>
        </w:rPr>
        <w:t>竞争性谈判</w:t>
      </w:r>
      <w:r>
        <w:rPr>
          <w:rFonts w:hint="eastAsia" w:ascii="宋体" w:hAnsi="宋体"/>
          <w:b/>
          <w:bCs/>
          <w:color w:val="auto"/>
          <w:sz w:val="36"/>
          <w:szCs w:val="36"/>
          <w:highlight w:val="none"/>
        </w:rPr>
        <w:t>响应函</w:t>
      </w:r>
      <w:bookmarkEnd w:id="110"/>
      <w:bookmarkEnd w:id="111"/>
      <w:bookmarkEnd w:id="112"/>
    </w:p>
    <w:p>
      <w:pPr>
        <w:pStyle w:val="20"/>
        <w:shd w:val="clear"/>
        <w:spacing w:afterLines="100" w:line="400" w:lineRule="exact"/>
        <w:ind w:firstLine="422"/>
        <w:rPr>
          <w:rFonts w:ascii="宋体" w:hAnsi="宋体"/>
          <w:b/>
          <w:bCs/>
          <w:color w:val="auto"/>
          <w:sz w:val="21"/>
          <w:szCs w:val="21"/>
          <w:highlight w:val="none"/>
        </w:rPr>
      </w:pPr>
    </w:p>
    <w:p>
      <w:pPr>
        <w:pStyle w:val="6"/>
        <w:shd w:val="clear"/>
        <w:spacing w:line="360" w:lineRule="auto"/>
        <w:ind w:left="0" w:lef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（采购人名称）</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 </w:t>
      </w:r>
    </w:p>
    <w:p>
      <w:pPr>
        <w:pStyle w:val="20"/>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我方已仔细研究了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项目名称)的</w:t>
      </w:r>
      <w:r>
        <w:rPr>
          <w:rFonts w:hint="eastAsia" w:ascii="宋体" w:hAnsi="宋体"/>
          <w:color w:val="auto"/>
          <w:sz w:val="21"/>
          <w:szCs w:val="21"/>
          <w:highlight w:val="none"/>
          <w:lang w:eastAsia="zh-CN"/>
        </w:rPr>
        <w:t>谈判</w:t>
      </w:r>
      <w:r>
        <w:rPr>
          <w:rFonts w:hint="eastAsia" w:ascii="宋体" w:hAnsi="宋体"/>
          <w:color w:val="auto"/>
          <w:sz w:val="21"/>
          <w:szCs w:val="21"/>
          <w:highlight w:val="none"/>
        </w:rPr>
        <w:t>文件（项目编号：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）的全部内容，知悉参加</w:t>
      </w:r>
      <w:r>
        <w:rPr>
          <w:rFonts w:hint="eastAsia" w:ascii="宋体" w:hAnsi="宋体"/>
          <w:color w:val="auto"/>
          <w:sz w:val="21"/>
          <w:szCs w:val="21"/>
          <w:highlight w:val="none"/>
          <w:lang w:eastAsia="zh-CN"/>
        </w:rPr>
        <w:t>谈判</w:t>
      </w:r>
      <w:r>
        <w:rPr>
          <w:rFonts w:hint="eastAsia" w:ascii="宋体" w:hAnsi="宋体"/>
          <w:color w:val="auto"/>
          <w:sz w:val="21"/>
          <w:szCs w:val="21"/>
          <w:highlight w:val="none"/>
        </w:rPr>
        <w:t>的风险，我方承诺接受</w:t>
      </w:r>
      <w:r>
        <w:rPr>
          <w:rFonts w:hint="eastAsia" w:ascii="宋体" w:hAnsi="宋体"/>
          <w:color w:val="auto"/>
          <w:sz w:val="21"/>
          <w:szCs w:val="21"/>
          <w:highlight w:val="none"/>
          <w:lang w:eastAsia="zh-CN"/>
        </w:rPr>
        <w:t>谈判</w:t>
      </w:r>
      <w:r>
        <w:rPr>
          <w:rFonts w:hint="eastAsia" w:ascii="宋体" w:hAnsi="宋体"/>
          <w:color w:val="auto"/>
          <w:sz w:val="21"/>
          <w:szCs w:val="21"/>
          <w:highlight w:val="none"/>
        </w:rPr>
        <w:t>文件的全部条款且无任何异议，</w:t>
      </w:r>
      <w:r>
        <w:rPr>
          <w:rFonts w:hint="eastAsia" w:ascii="宋体" w:hAnsi="宋体"/>
          <w:bCs/>
          <w:color w:val="auto"/>
          <w:sz w:val="21"/>
          <w:szCs w:val="21"/>
          <w:highlight w:val="none"/>
        </w:rPr>
        <w:t>决定参加贵单位组织的本项目</w:t>
      </w:r>
      <w:r>
        <w:rPr>
          <w:rFonts w:hint="eastAsia" w:ascii="宋体" w:hAnsi="宋体"/>
          <w:bCs/>
          <w:color w:val="auto"/>
          <w:sz w:val="21"/>
          <w:szCs w:val="21"/>
          <w:highlight w:val="none"/>
          <w:lang w:eastAsia="zh-CN"/>
        </w:rPr>
        <w:t>谈判</w:t>
      </w:r>
      <w:r>
        <w:rPr>
          <w:rFonts w:hint="eastAsia" w:ascii="宋体" w:hAnsi="宋体"/>
          <w:bCs/>
          <w:color w:val="auto"/>
          <w:sz w:val="21"/>
          <w:szCs w:val="21"/>
          <w:highlight w:val="none"/>
        </w:rPr>
        <w:t>。</w:t>
      </w:r>
    </w:p>
    <w:p>
      <w:pPr>
        <w:pStyle w:val="18"/>
        <w:shd w:val="clear"/>
        <w:adjustRightInd w:val="0"/>
        <w:snapToGrid w:val="0"/>
        <w:spacing w:line="360" w:lineRule="auto"/>
        <w:ind w:firstLine="420" w:firstLineChars="200"/>
        <w:rPr>
          <w:rFonts w:hAnsi="宋体"/>
          <w:bCs/>
          <w:color w:val="auto"/>
          <w:highlight w:val="none"/>
        </w:rPr>
      </w:pPr>
      <w:r>
        <w:rPr>
          <w:rFonts w:hint="eastAsia" w:hAnsi="宋体"/>
          <w:color w:val="auto"/>
          <w:highlight w:val="none"/>
        </w:rPr>
        <w:t>一、我方提交响应文件正本一套和副本</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套，</w:t>
      </w:r>
      <w:r>
        <w:rPr>
          <w:rFonts w:hint="eastAsia" w:hAnsi="宋体"/>
          <w:bCs/>
          <w:color w:val="auto"/>
          <w:highlight w:val="none"/>
        </w:rPr>
        <w:t>电子文件</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r>
        <w:rPr>
          <w:rFonts w:hint="eastAsia" w:hAnsi="宋体"/>
          <w:bCs/>
          <w:color w:val="auto"/>
          <w:highlight w:val="none"/>
        </w:rPr>
        <w:t>份。</w:t>
      </w:r>
    </w:p>
    <w:p>
      <w:pPr>
        <w:pStyle w:val="18"/>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二、我方的</w:t>
      </w:r>
      <w:r>
        <w:rPr>
          <w:rFonts w:hint="eastAsia" w:hAnsi="宋体"/>
          <w:color w:val="auto"/>
          <w:highlight w:val="none"/>
          <w:lang w:eastAsia="zh-CN"/>
        </w:rPr>
        <w:t>谈判</w:t>
      </w:r>
      <w:r>
        <w:rPr>
          <w:rFonts w:hint="eastAsia" w:hAnsi="宋体"/>
          <w:color w:val="auto"/>
          <w:highlight w:val="none"/>
        </w:rPr>
        <w:t>总报价为人民币（大写）</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color w:val="auto"/>
          <w:highlight w:val="none"/>
          <w:lang w:eastAsia="zh-CN"/>
        </w:rPr>
        <w:t>小写</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none"/>
          <w:lang w:val="en-US" w:eastAsia="zh-CN"/>
        </w:rPr>
        <w:t xml:space="preserve"> </w:t>
      </w:r>
      <w:r>
        <w:rPr>
          <w:rFonts w:hint="eastAsia" w:hAnsi="宋体"/>
          <w:color w:val="auto"/>
          <w:highlight w:val="none"/>
          <w:u w:val="none"/>
          <w:lang w:eastAsia="zh-CN"/>
        </w:rPr>
        <w:t>元</w:t>
      </w:r>
      <w:r>
        <w:rPr>
          <w:rFonts w:hint="eastAsia" w:hAnsi="宋体"/>
          <w:color w:val="auto"/>
          <w:highlight w:val="none"/>
        </w:rPr>
        <w:t>）；</w:t>
      </w:r>
      <w:r>
        <w:rPr>
          <w:rFonts w:hint="eastAsia" w:hAnsi="宋体"/>
          <w:color w:val="auto"/>
          <w:highlight w:val="none"/>
          <w:lang w:val="en-US" w:eastAsia="zh-CN"/>
        </w:rPr>
        <w:t>项目经理</w:t>
      </w:r>
      <w:r>
        <w:rPr>
          <w:rFonts w:hint="eastAsia" w:hAnsi="宋体"/>
          <w:color w:val="auto"/>
          <w:highlight w:val="none"/>
          <w:u w:val="single"/>
          <w:lang w:val="en-US" w:eastAsia="zh-CN"/>
        </w:rPr>
        <w:t xml:space="preserve">       </w:t>
      </w:r>
      <w:r>
        <w:rPr>
          <w:rFonts w:hint="eastAsia" w:hAnsi="宋体"/>
          <w:color w:val="auto"/>
          <w:highlight w:val="none"/>
          <w:u w:val="none"/>
          <w:lang w:val="en-US" w:eastAsia="zh-CN"/>
        </w:rPr>
        <w:t>，</w:t>
      </w:r>
      <w:r>
        <w:rPr>
          <w:rFonts w:hint="eastAsia" w:hAnsi="宋体"/>
          <w:color w:val="auto"/>
          <w:highlight w:val="none"/>
          <w:lang w:val="en-US" w:eastAsia="zh-CN"/>
        </w:rPr>
        <w:t>工期</w:t>
      </w:r>
      <w:r>
        <w:rPr>
          <w:rFonts w:hint="eastAsia" w:hAnsi="宋体"/>
          <w:color w:val="auto"/>
          <w:highlight w:val="none"/>
        </w:rPr>
        <w:t>为</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r>
        <w:rPr>
          <w:rFonts w:hint="eastAsia" w:hAnsi="宋体"/>
          <w:color w:val="auto"/>
          <w:highlight w:val="none"/>
        </w:rPr>
        <w:t xml:space="preserve">， </w:t>
      </w:r>
      <w:r>
        <w:rPr>
          <w:rFonts w:hint="eastAsia" w:hAnsi="宋体"/>
          <w:color w:val="auto"/>
          <w:highlight w:val="none"/>
          <w:lang w:eastAsia="zh-CN"/>
        </w:rPr>
        <w:t>谈判</w:t>
      </w:r>
      <w:r>
        <w:rPr>
          <w:rFonts w:hint="eastAsia" w:hAnsi="宋体"/>
          <w:color w:val="auto"/>
          <w:highlight w:val="none"/>
        </w:rPr>
        <w:t>有效期为</w:t>
      </w:r>
      <w:r>
        <w:rPr>
          <w:rFonts w:hint="eastAsia"/>
          <w:color w:val="auto"/>
          <w:highlight w:val="none"/>
          <w:lang w:val="zh-CN"/>
        </w:rPr>
        <w:t>提交响应文件截止日起</w:t>
      </w:r>
      <w:r>
        <w:rPr>
          <w:rFonts w:hint="eastAsia"/>
          <w:color w:val="auto"/>
          <w:highlight w:val="none"/>
          <w:u w:val="single"/>
          <w:lang w:val="zh-CN"/>
        </w:rPr>
        <w:t xml:space="preserve">     </w:t>
      </w:r>
      <w:r>
        <w:rPr>
          <w:rFonts w:hint="eastAsia"/>
          <w:color w:val="auto"/>
          <w:highlight w:val="none"/>
          <w:lang w:val="zh-CN"/>
        </w:rPr>
        <w:t>日历</w:t>
      </w:r>
      <w:r>
        <w:rPr>
          <w:rFonts w:hint="eastAsia"/>
          <w:color w:val="auto"/>
          <w:highlight w:val="none"/>
        </w:rPr>
        <w:t>天。</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三、我方承诺承诺除商务和</w:t>
      </w:r>
      <w:r>
        <w:rPr>
          <w:rFonts w:hint="eastAsia" w:ascii="宋体" w:hAnsi="宋体"/>
          <w:bCs/>
          <w:color w:val="auto"/>
          <w:sz w:val="21"/>
          <w:szCs w:val="21"/>
          <w:highlight w:val="none"/>
          <w:lang w:val="en-US" w:eastAsia="zh-CN"/>
        </w:rPr>
        <w:t>工程</w:t>
      </w:r>
      <w:r>
        <w:rPr>
          <w:rFonts w:hint="eastAsia" w:ascii="宋体" w:hAnsi="宋体"/>
          <w:bCs/>
          <w:color w:val="auto"/>
          <w:sz w:val="21"/>
          <w:szCs w:val="21"/>
          <w:highlight w:val="none"/>
        </w:rPr>
        <w:t>（技术）偏</w:t>
      </w:r>
      <w:r>
        <w:rPr>
          <w:rFonts w:hint="eastAsia" w:ascii="宋体" w:hAnsi="宋体"/>
          <w:bCs/>
          <w:color w:val="auto"/>
          <w:sz w:val="21"/>
          <w:szCs w:val="21"/>
          <w:highlight w:val="none"/>
          <w:lang w:eastAsia="zh-CN"/>
        </w:rPr>
        <w:t>离</w:t>
      </w:r>
      <w:r>
        <w:rPr>
          <w:rFonts w:hint="eastAsia" w:ascii="宋体" w:hAnsi="宋体"/>
          <w:bCs/>
          <w:color w:val="auto"/>
          <w:sz w:val="21"/>
          <w:szCs w:val="21"/>
          <w:highlight w:val="none"/>
        </w:rPr>
        <w:t>表列出的偏差外，我方响应</w:t>
      </w:r>
      <w:r>
        <w:rPr>
          <w:rFonts w:hint="eastAsia" w:ascii="宋体" w:hAnsi="宋体"/>
          <w:bCs/>
          <w:color w:val="auto"/>
          <w:sz w:val="21"/>
          <w:szCs w:val="21"/>
          <w:highlight w:val="none"/>
          <w:lang w:eastAsia="zh-CN"/>
        </w:rPr>
        <w:t>谈判</w:t>
      </w:r>
      <w:r>
        <w:rPr>
          <w:rFonts w:hint="eastAsia" w:ascii="宋体" w:hAnsi="宋体"/>
          <w:bCs/>
          <w:color w:val="auto"/>
          <w:sz w:val="21"/>
          <w:szCs w:val="21"/>
          <w:highlight w:val="none"/>
        </w:rPr>
        <w:t>文件的全部要求。</w:t>
      </w:r>
    </w:p>
    <w:p>
      <w:pPr>
        <w:pStyle w:val="18"/>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四、我方愿意向贵方提供任何与本项采购有关的数据、情况和技术资料。若贵方需要，我方愿意提供我方作出的一切承诺的证明材料。</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五、</w:t>
      </w:r>
      <w:r>
        <w:rPr>
          <w:rFonts w:hint="eastAsia" w:ascii="宋体" w:hAnsi="宋体"/>
          <w:bCs/>
          <w:color w:val="auto"/>
          <w:sz w:val="21"/>
          <w:szCs w:val="21"/>
          <w:highlight w:val="none"/>
        </w:rPr>
        <w:t>我方承诺在</w:t>
      </w:r>
      <w:r>
        <w:rPr>
          <w:rFonts w:hint="eastAsia" w:ascii="宋体" w:hAnsi="宋体"/>
          <w:bCs/>
          <w:color w:val="auto"/>
          <w:sz w:val="21"/>
          <w:szCs w:val="21"/>
          <w:highlight w:val="none"/>
          <w:lang w:eastAsia="zh-CN"/>
        </w:rPr>
        <w:t>谈判</w:t>
      </w:r>
      <w:r>
        <w:rPr>
          <w:rFonts w:hint="eastAsia" w:ascii="宋体" w:hAnsi="宋体"/>
          <w:bCs/>
          <w:color w:val="auto"/>
          <w:sz w:val="21"/>
          <w:szCs w:val="21"/>
          <w:highlight w:val="none"/>
        </w:rPr>
        <w:t>文件规定的</w:t>
      </w:r>
      <w:r>
        <w:rPr>
          <w:rFonts w:hint="eastAsia" w:ascii="宋体" w:hAnsi="宋体"/>
          <w:bCs/>
          <w:color w:val="auto"/>
          <w:sz w:val="21"/>
          <w:szCs w:val="21"/>
          <w:highlight w:val="none"/>
          <w:lang w:eastAsia="zh-CN"/>
        </w:rPr>
        <w:t>谈判</w:t>
      </w:r>
      <w:r>
        <w:rPr>
          <w:rFonts w:hint="eastAsia" w:ascii="宋体" w:hAnsi="宋体"/>
          <w:bCs/>
          <w:color w:val="auto"/>
          <w:sz w:val="21"/>
          <w:szCs w:val="21"/>
          <w:highlight w:val="none"/>
        </w:rPr>
        <w:t>有效期内不撤销响应文件。</w:t>
      </w:r>
    </w:p>
    <w:p>
      <w:pPr>
        <w:pStyle w:val="18"/>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六、我方承诺遵守《中华人民共和国政府采购法》及其实施条例等法律法规的有关规定，保证在获得成交资格后：</w:t>
      </w:r>
    </w:p>
    <w:p>
      <w:pPr>
        <w:pStyle w:val="20"/>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1.在收到成交通知书后，在成交通知书规定的期限内与采购人签订合同；</w:t>
      </w:r>
    </w:p>
    <w:p>
      <w:pPr>
        <w:pStyle w:val="20"/>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3.在合同规定期限内完成合同规定的全部义务；</w:t>
      </w:r>
      <w:r>
        <w:rPr>
          <w:rFonts w:hint="eastAsia" w:ascii="宋体" w:hAnsi="宋体"/>
          <w:bCs/>
          <w:color w:val="auto"/>
          <w:sz w:val="21"/>
          <w:szCs w:val="21"/>
          <w:highlight w:val="none"/>
        </w:rPr>
        <w:t xml:space="preserve"> </w:t>
      </w:r>
    </w:p>
    <w:p>
      <w:pPr>
        <w:pStyle w:val="18"/>
        <w:shd w:val="clear"/>
        <w:adjustRightInd w:val="0"/>
        <w:snapToGrid w:val="0"/>
        <w:spacing w:line="360" w:lineRule="auto"/>
        <w:ind w:firstLine="420" w:firstLineChars="200"/>
        <w:rPr>
          <w:rFonts w:hAnsi="宋体"/>
          <w:bCs/>
          <w:color w:val="auto"/>
          <w:highlight w:val="none"/>
        </w:rPr>
      </w:pPr>
      <w:r>
        <w:rPr>
          <w:rFonts w:hint="eastAsia" w:hAnsi="宋体"/>
          <w:color w:val="auto"/>
          <w:highlight w:val="none"/>
        </w:rPr>
        <w:t>4.</w:t>
      </w:r>
      <w:r>
        <w:rPr>
          <w:rFonts w:hint="eastAsia" w:hAnsi="宋体"/>
          <w:bCs/>
          <w:color w:val="auto"/>
          <w:highlight w:val="none"/>
        </w:rPr>
        <w:t>按照</w:t>
      </w:r>
      <w:r>
        <w:rPr>
          <w:rFonts w:hint="eastAsia" w:hAnsi="宋体"/>
          <w:bCs/>
          <w:color w:val="auto"/>
          <w:highlight w:val="none"/>
          <w:lang w:eastAsia="zh-CN"/>
        </w:rPr>
        <w:t>谈判</w:t>
      </w:r>
      <w:r>
        <w:rPr>
          <w:rFonts w:hint="eastAsia" w:hAnsi="宋体"/>
          <w:bCs/>
          <w:color w:val="auto"/>
          <w:highlight w:val="none"/>
        </w:rPr>
        <w:t>文件规定和标准向贵方交纳采购代理服务费；</w:t>
      </w:r>
    </w:p>
    <w:p>
      <w:pPr>
        <w:pStyle w:val="18"/>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5.按照</w:t>
      </w:r>
      <w:r>
        <w:rPr>
          <w:rFonts w:hint="eastAsia" w:hAnsi="宋体"/>
          <w:color w:val="auto"/>
          <w:highlight w:val="none"/>
          <w:lang w:eastAsia="zh-CN"/>
        </w:rPr>
        <w:t>谈判</w:t>
      </w:r>
      <w:r>
        <w:rPr>
          <w:rFonts w:hint="eastAsia" w:hAnsi="宋体"/>
          <w:color w:val="auto"/>
          <w:highlight w:val="none"/>
        </w:rPr>
        <w:t>文件规定提交履约保证金。</w:t>
      </w:r>
    </w:p>
    <w:p>
      <w:pPr>
        <w:pStyle w:val="18"/>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七、我方完全理解并同意</w:t>
      </w:r>
      <w:r>
        <w:rPr>
          <w:rFonts w:hint="eastAsia" w:hAnsi="宋体"/>
          <w:color w:val="auto"/>
          <w:highlight w:val="none"/>
          <w:lang w:eastAsia="zh-CN"/>
        </w:rPr>
        <w:t>谈判</w:t>
      </w:r>
      <w:r>
        <w:rPr>
          <w:rFonts w:hint="eastAsia" w:hAnsi="宋体"/>
          <w:color w:val="auto"/>
          <w:highlight w:val="none"/>
        </w:rPr>
        <w:t>文件中有关不退还</w:t>
      </w:r>
      <w:r>
        <w:rPr>
          <w:rFonts w:hint="eastAsia" w:hAnsi="宋体"/>
          <w:color w:val="auto"/>
          <w:highlight w:val="none"/>
          <w:lang w:eastAsia="zh-CN"/>
        </w:rPr>
        <w:t>谈判</w:t>
      </w:r>
      <w:r>
        <w:rPr>
          <w:rFonts w:hint="eastAsia" w:hAnsi="宋体"/>
          <w:color w:val="auto"/>
          <w:highlight w:val="none"/>
        </w:rPr>
        <w:t>保证金条款所规定的情形。</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八、</w:t>
      </w:r>
      <w:r>
        <w:rPr>
          <w:rFonts w:hint="eastAsia" w:ascii="宋体" w:hAnsi="宋体"/>
          <w:bCs/>
          <w:color w:val="auto"/>
          <w:sz w:val="21"/>
          <w:szCs w:val="21"/>
          <w:highlight w:val="none"/>
        </w:rPr>
        <w:t>我方完全理解最低报价不是成交的唯一条件，并尊重</w:t>
      </w:r>
      <w:r>
        <w:rPr>
          <w:rFonts w:hint="eastAsia" w:ascii="宋体" w:hAnsi="宋体"/>
          <w:bCs/>
          <w:color w:val="auto"/>
          <w:sz w:val="21"/>
          <w:szCs w:val="21"/>
          <w:highlight w:val="none"/>
          <w:lang w:eastAsia="zh-CN"/>
        </w:rPr>
        <w:t>谈判</w:t>
      </w:r>
      <w:r>
        <w:rPr>
          <w:rFonts w:hint="eastAsia" w:ascii="宋体" w:hAnsi="宋体"/>
          <w:bCs/>
          <w:color w:val="auto"/>
          <w:sz w:val="21"/>
          <w:szCs w:val="21"/>
          <w:highlight w:val="none"/>
        </w:rPr>
        <w:t>小组的评审结论和成交结果。</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九、</w:t>
      </w:r>
      <w:r>
        <w:rPr>
          <w:rFonts w:hint="eastAsia" w:hAnsi="宋体"/>
          <w:color w:val="auto"/>
          <w:sz w:val="21"/>
          <w:szCs w:val="21"/>
          <w:highlight w:val="none"/>
        </w:rPr>
        <w:t>我方在此声明，所递交的响应文件及有关资料内容完整、真实和准确，且不存在第二章“供应商须知”第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十、</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（其他补充说明）。</w:t>
      </w: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十一、有关本项目的所有函电，请按下列地址联系：</w:t>
      </w:r>
    </w:p>
    <w:p>
      <w:pPr>
        <w:pStyle w:val="20"/>
        <w:shd w:val="clear"/>
        <w:spacing w:line="360" w:lineRule="auto"/>
        <w:ind w:firstLine="0"/>
        <w:rPr>
          <w:rFonts w:ascii="宋体" w:hAnsi="宋体"/>
          <w:bCs/>
          <w:color w:val="auto"/>
          <w:sz w:val="21"/>
          <w:szCs w:val="21"/>
          <w:highlight w:val="none"/>
        </w:rPr>
      </w:pPr>
    </w:p>
    <w:p>
      <w:pPr>
        <w:pStyle w:val="20"/>
        <w:shd w:val="clear"/>
        <w:spacing w:line="360" w:lineRule="auto"/>
        <w:ind w:firstLine="0"/>
        <w:rPr>
          <w:rFonts w:ascii="宋体" w:hAnsi="宋体"/>
          <w:bCs/>
          <w:color w:val="auto"/>
          <w:sz w:val="21"/>
          <w:szCs w:val="21"/>
          <w:highlight w:val="none"/>
        </w:rPr>
      </w:pP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供应商名称：</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（盖单位章）</w:t>
      </w:r>
    </w:p>
    <w:p>
      <w:pPr>
        <w:pStyle w:val="20"/>
        <w:shd w:val="clear"/>
        <w:spacing w:line="360" w:lineRule="auto"/>
        <w:ind w:firstLine="420" w:firstLineChars="200"/>
        <w:rPr>
          <w:rFonts w:ascii="宋体" w:hAnsi="宋体"/>
          <w:bCs/>
          <w:color w:val="auto"/>
          <w:sz w:val="21"/>
          <w:szCs w:val="21"/>
          <w:highlight w:val="none"/>
        </w:rPr>
      </w:pPr>
    </w:p>
    <w:p>
      <w:pPr>
        <w:pStyle w:val="20"/>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法定代表人或委托代理人：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（签字或盖章）</w:t>
      </w:r>
    </w:p>
    <w:p>
      <w:pPr>
        <w:shd w:val="clear"/>
        <w:spacing w:line="360" w:lineRule="auto"/>
        <w:rPr>
          <w:rFonts w:ascii="仿宋_GB2312" w:hAnsi="宋体" w:eastAsia="仿宋_GB2312"/>
          <w:b/>
          <w:color w:val="auto"/>
          <w:sz w:val="28"/>
          <w:szCs w:val="28"/>
          <w:highlight w:val="none"/>
        </w:rPr>
      </w:pP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通讯地址：</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邮政编码：</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联系电话：</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传    真：</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电子邮件：</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开户银行:</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帐    号：</w:t>
      </w:r>
    </w:p>
    <w:p>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 xml:space="preserve"> 年   月   日</w:t>
      </w: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p>
    <w:p>
      <w:pPr>
        <w:shd w:val="clear"/>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br w:type="page"/>
      </w:r>
    </w:p>
    <w:p>
      <w:pPr>
        <w:shd w:val="clear"/>
        <w:spacing w:line="400" w:lineRule="exact"/>
        <w:jc w:val="center"/>
        <w:outlineLvl w:val="1"/>
        <w:rPr>
          <w:rFonts w:ascii="宋体" w:hAnsi="宋体"/>
          <w:b/>
          <w:color w:val="auto"/>
          <w:sz w:val="36"/>
          <w:szCs w:val="36"/>
          <w:highlight w:val="none"/>
        </w:rPr>
      </w:pPr>
      <w:bookmarkStart w:id="113" w:name="_Toc18074978"/>
      <w:bookmarkStart w:id="114" w:name="_Toc9192"/>
      <w:bookmarkStart w:id="115" w:name="_Toc659"/>
      <w:bookmarkStart w:id="116" w:name="_Toc23176"/>
      <w:r>
        <w:rPr>
          <w:rFonts w:hint="eastAsia" w:ascii="宋体" w:hAnsi="宋体"/>
          <w:b/>
          <w:bCs/>
          <w:color w:val="auto"/>
          <w:sz w:val="36"/>
          <w:szCs w:val="36"/>
          <w:highlight w:val="none"/>
        </w:rPr>
        <w:t>二、</w:t>
      </w:r>
      <w:r>
        <w:rPr>
          <w:rFonts w:hint="eastAsia" w:ascii="宋体" w:hAnsi="宋体"/>
          <w:b/>
          <w:bCs/>
          <w:color w:val="auto"/>
          <w:sz w:val="36"/>
          <w:szCs w:val="36"/>
          <w:highlight w:val="none"/>
          <w:lang w:val="en-US" w:eastAsia="zh-CN"/>
        </w:rPr>
        <w:t>首次</w:t>
      </w:r>
      <w:r>
        <w:rPr>
          <w:rFonts w:hint="eastAsia" w:ascii="宋体" w:hAnsi="宋体"/>
          <w:b/>
          <w:color w:val="auto"/>
          <w:sz w:val="36"/>
          <w:szCs w:val="36"/>
          <w:highlight w:val="none"/>
          <w:lang w:eastAsia="zh-CN"/>
        </w:rPr>
        <w:t>谈判</w:t>
      </w:r>
      <w:r>
        <w:rPr>
          <w:rFonts w:hint="eastAsia" w:ascii="宋体" w:hAnsi="宋体"/>
          <w:b/>
          <w:color w:val="auto"/>
          <w:sz w:val="36"/>
          <w:szCs w:val="36"/>
          <w:highlight w:val="none"/>
        </w:rPr>
        <w:t>报价一览表</w:t>
      </w:r>
      <w:bookmarkEnd w:id="113"/>
      <w:bookmarkEnd w:id="114"/>
      <w:bookmarkEnd w:id="115"/>
      <w:bookmarkEnd w:id="116"/>
    </w:p>
    <w:p>
      <w:pPr>
        <w:shd w:val="clear"/>
        <w:rPr>
          <w:rFonts w:ascii="宋体" w:hAnsi="宋体"/>
          <w:b/>
          <w:color w:val="auto"/>
          <w:sz w:val="36"/>
          <w:szCs w:val="36"/>
          <w:highlight w:val="none"/>
        </w:rPr>
      </w:pPr>
    </w:p>
    <w:p>
      <w:pPr>
        <w:pStyle w:val="28"/>
        <w:shd w:val="clear"/>
        <w:spacing w:before="0" w:beforeAutospacing="0" w:after="0" w:afterAutospacing="0" w:line="360" w:lineRule="auto"/>
        <w:ind w:firstLine="420"/>
        <w:rPr>
          <w:color w:val="auto"/>
          <w:sz w:val="21"/>
          <w:szCs w:val="21"/>
          <w:highlight w:val="none"/>
        </w:rPr>
      </w:pPr>
      <w:r>
        <w:rPr>
          <w:rFonts w:hint="eastAsia"/>
          <w:color w:val="auto"/>
          <w:sz w:val="21"/>
          <w:szCs w:val="21"/>
          <w:highlight w:val="none"/>
          <w:lang w:val="en-US" w:eastAsia="zh-CN"/>
        </w:rPr>
        <w:t xml:space="preserve">                                 </w:t>
      </w:r>
    </w:p>
    <w:tbl>
      <w:tblPr>
        <w:tblStyle w:val="30"/>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903" w:type="dxa"/>
            <w:vAlign w:val="center"/>
          </w:tcPr>
          <w:p>
            <w:pPr>
              <w:bidi w:val="0"/>
              <w:jc w:val="center"/>
              <w:rPr>
                <w:rFonts w:hint="eastAsia"/>
                <w:color w:val="auto"/>
                <w:lang w:eastAsia="zh-CN"/>
              </w:rPr>
            </w:pPr>
            <w:r>
              <w:rPr>
                <w:rFonts w:hint="eastAsia"/>
                <w:color w:val="auto"/>
                <w:lang w:eastAsia="zh-CN"/>
              </w:rPr>
              <w:t>项目名称</w:t>
            </w:r>
          </w:p>
        </w:tc>
        <w:tc>
          <w:tcPr>
            <w:tcW w:w="6659" w:type="dxa"/>
            <w:vAlign w:val="center"/>
          </w:tcPr>
          <w:p>
            <w:pPr>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903" w:type="dxa"/>
            <w:vAlign w:val="center"/>
          </w:tcPr>
          <w:p>
            <w:pPr>
              <w:bidi w:val="0"/>
              <w:jc w:val="center"/>
              <w:rPr>
                <w:rFonts w:hint="eastAsia"/>
                <w:color w:val="auto"/>
                <w:lang w:eastAsia="zh-CN"/>
              </w:rPr>
            </w:pPr>
            <w:r>
              <w:rPr>
                <w:rFonts w:hint="eastAsia"/>
                <w:color w:val="auto"/>
                <w:lang w:eastAsia="zh-CN"/>
              </w:rPr>
              <w:t>项目编号</w:t>
            </w:r>
          </w:p>
        </w:tc>
        <w:tc>
          <w:tcPr>
            <w:tcW w:w="6659" w:type="dxa"/>
            <w:vAlign w:val="center"/>
          </w:tcPr>
          <w:p>
            <w:pPr>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3" w:type="dxa"/>
            <w:vMerge w:val="restart"/>
            <w:vAlign w:val="center"/>
          </w:tcPr>
          <w:p>
            <w:pPr>
              <w:bidi w:val="0"/>
              <w:jc w:val="center"/>
              <w:rPr>
                <w:color w:val="auto"/>
              </w:rPr>
            </w:pPr>
            <w:r>
              <w:rPr>
                <w:rFonts w:hint="eastAsia"/>
                <w:color w:val="auto"/>
                <w:lang w:eastAsia="zh-CN"/>
              </w:rPr>
              <w:t>谈判</w:t>
            </w:r>
            <w:r>
              <w:rPr>
                <w:rFonts w:hint="eastAsia"/>
                <w:color w:val="auto"/>
              </w:rPr>
              <w:t>总报价（元）</w:t>
            </w:r>
          </w:p>
        </w:tc>
        <w:tc>
          <w:tcPr>
            <w:tcW w:w="6659" w:type="dxa"/>
            <w:vAlign w:val="center"/>
          </w:tcPr>
          <w:p>
            <w:pPr>
              <w:bidi w:val="0"/>
              <w:rPr>
                <w:rFonts w:hint="eastAsia"/>
                <w:color w:val="auto"/>
              </w:rPr>
            </w:pPr>
            <w:r>
              <w:rPr>
                <w:rFonts w:hint="eastAsia"/>
                <w:color w:val="auto"/>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03" w:type="dxa"/>
            <w:vMerge w:val="continue"/>
            <w:vAlign w:val="center"/>
          </w:tcPr>
          <w:p>
            <w:pPr>
              <w:bidi w:val="0"/>
              <w:jc w:val="center"/>
              <w:rPr>
                <w:rFonts w:hint="eastAsia"/>
                <w:color w:val="auto"/>
                <w:lang w:eastAsia="zh-CN"/>
              </w:rPr>
            </w:pPr>
          </w:p>
        </w:tc>
        <w:tc>
          <w:tcPr>
            <w:tcW w:w="6659" w:type="dxa"/>
            <w:vAlign w:val="center"/>
          </w:tcPr>
          <w:p>
            <w:pPr>
              <w:bidi w:val="0"/>
              <w:rPr>
                <w:rFonts w:hint="eastAsia"/>
                <w:color w:val="auto"/>
                <w:lang w:eastAsia="zh-CN"/>
              </w:rPr>
            </w:pPr>
            <w:r>
              <w:rPr>
                <w:rFonts w:hint="eastAsia"/>
                <w:color w:val="auto"/>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903" w:type="dxa"/>
            <w:vAlign w:val="center"/>
          </w:tcPr>
          <w:p>
            <w:pPr>
              <w:bidi w:val="0"/>
              <w:jc w:val="center"/>
              <w:rPr>
                <w:rFonts w:hint="eastAsia"/>
                <w:color w:val="auto"/>
                <w:lang w:eastAsia="zh-CN"/>
              </w:rPr>
            </w:pPr>
            <w:r>
              <w:rPr>
                <w:rFonts w:hint="eastAsia"/>
                <w:color w:val="auto"/>
                <w:lang w:val="en-US" w:eastAsia="zh-CN"/>
              </w:rPr>
              <w:t>项目经理</w:t>
            </w:r>
          </w:p>
        </w:tc>
        <w:tc>
          <w:tcPr>
            <w:tcW w:w="6659" w:type="dxa"/>
            <w:vAlign w:val="center"/>
          </w:tcPr>
          <w:p>
            <w:pPr>
              <w:bidi w:val="0"/>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903" w:type="dxa"/>
            <w:vAlign w:val="center"/>
          </w:tcPr>
          <w:p>
            <w:pPr>
              <w:pStyle w:val="28"/>
              <w:shd w:val="clear"/>
              <w:spacing w:before="0" w:beforeAutospacing="0" w:after="0" w:afterAutospacing="0" w:line="240" w:lineRule="auto"/>
              <w:jc w:val="center"/>
              <w:rPr>
                <w:rFonts w:cs="Courier New"/>
                <w:color w:val="auto"/>
                <w:sz w:val="21"/>
                <w:szCs w:val="21"/>
                <w:highlight w:val="none"/>
              </w:rPr>
            </w:pPr>
            <w:r>
              <w:rPr>
                <w:rFonts w:hint="eastAsia" w:ascii="Times New Roman" w:hAnsi="Times New Roman" w:cs="Times New Roman"/>
                <w:color w:val="auto"/>
                <w:kern w:val="2"/>
                <w:sz w:val="21"/>
                <w:szCs w:val="24"/>
                <w:lang w:val="en-US" w:eastAsia="zh-CN" w:bidi="ar-SA"/>
              </w:rPr>
              <w:t>工期</w:t>
            </w:r>
          </w:p>
        </w:tc>
        <w:tc>
          <w:tcPr>
            <w:tcW w:w="6659" w:type="dxa"/>
            <w:vAlign w:val="center"/>
          </w:tcPr>
          <w:p>
            <w:pPr>
              <w:pStyle w:val="28"/>
              <w:shd w:val="clear"/>
              <w:spacing w:before="0" w:beforeAutospacing="0" w:after="0" w:afterAutospacing="0" w:line="240" w:lineRule="auto"/>
              <w:jc w:val="center"/>
              <w:rPr>
                <w:rFonts w:cs="Courier New"/>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903" w:type="dxa"/>
            <w:vAlign w:val="center"/>
          </w:tcPr>
          <w:p>
            <w:pPr>
              <w:pStyle w:val="28"/>
              <w:shd w:val="clear"/>
              <w:spacing w:before="0" w:beforeAutospacing="0" w:after="0" w:afterAutospacing="0" w:line="240" w:lineRule="auto"/>
              <w:jc w:val="center"/>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质量</w:t>
            </w:r>
          </w:p>
        </w:tc>
        <w:tc>
          <w:tcPr>
            <w:tcW w:w="6659" w:type="dxa"/>
            <w:vAlign w:val="center"/>
          </w:tcPr>
          <w:p>
            <w:pPr>
              <w:pStyle w:val="28"/>
              <w:shd w:val="clear"/>
              <w:spacing w:before="0" w:beforeAutospacing="0" w:after="0" w:afterAutospacing="0" w:line="240" w:lineRule="auto"/>
              <w:jc w:val="center"/>
              <w:rPr>
                <w:rFonts w:cs="Courier New"/>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903" w:type="dxa"/>
            <w:vAlign w:val="center"/>
          </w:tcPr>
          <w:p>
            <w:pPr>
              <w:pStyle w:val="28"/>
              <w:shd w:val="clear"/>
              <w:spacing w:before="0" w:beforeAutospacing="0" w:after="0" w:afterAutospacing="0" w:line="240" w:lineRule="auto"/>
              <w:jc w:val="center"/>
              <w:rPr>
                <w:rFonts w:hint="eastAsia" w:ascii="Times New Roman" w:hAnsi="Times New Roman"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质保期</w:t>
            </w:r>
          </w:p>
        </w:tc>
        <w:tc>
          <w:tcPr>
            <w:tcW w:w="6659" w:type="dxa"/>
            <w:vAlign w:val="center"/>
          </w:tcPr>
          <w:p>
            <w:pPr>
              <w:pStyle w:val="28"/>
              <w:shd w:val="clear"/>
              <w:spacing w:before="0" w:beforeAutospacing="0" w:after="0" w:afterAutospacing="0" w:line="240" w:lineRule="auto"/>
              <w:jc w:val="center"/>
              <w:rPr>
                <w:rFonts w:cs="Courier New"/>
                <w:color w:val="auto"/>
                <w:sz w:val="21"/>
                <w:szCs w:val="21"/>
                <w:highlight w:val="none"/>
              </w:rPr>
            </w:pPr>
          </w:p>
        </w:tc>
      </w:tr>
    </w:tbl>
    <w:p>
      <w:pPr>
        <w:pStyle w:val="28"/>
        <w:shd w:val="clear"/>
        <w:spacing w:before="0" w:beforeAutospacing="0" w:after="0" w:afterAutospacing="0" w:line="360" w:lineRule="auto"/>
        <w:ind w:firstLine="480"/>
        <w:rPr>
          <w:color w:val="auto"/>
          <w:sz w:val="21"/>
          <w:szCs w:val="21"/>
          <w:highlight w:val="none"/>
        </w:rPr>
      </w:pPr>
    </w:p>
    <w:p>
      <w:pPr>
        <w:shd w:val="clear"/>
        <w:adjustRightInd w:val="0"/>
        <w:snapToGrid w:val="0"/>
        <w:spacing w:beforeLines="50"/>
        <w:ind w:left="752" w:leftChars="58" w:hanging="630" w:hangingChars="300"/>
        <w:rPr>
          <w:rFonts w:hint="eastAsia" w:ascii="楷体" w:hAnsi="楷体" w:eastAsia="楷体"/>
          <w:color w:val="auto"/>
          <w:szCs w:val="21"/>
          <w:highlight w:val="none"/>
          <w:lang w:eastAsia="zh-CN"/>
        </w:rPr>
      </w:pPr>
      <w:r>
        <w:rPr>
          <w:rFonts w:hint="eastAsia" w:ascii="楷体" w:hAnsi="楷体" w:eastAsia="楷体"/>
          <w:color w:val="auto"/>
          <w:szCs w:val="21"/>
          <w:highlight w:val="none"/>
        </w:rPr>
        <w:t>说明：</w:t>
      </w:r>
      <w:r>
        <w:rPr>
          <w:rFonts w:hint="eastAsia" w:ascii="楷体" w:hAnsi="楷体" w:eastAsia="楷体"/>
          <w:color w:val="auto"/>
          <w:szCs w:val="21"/>
          <w:highlight w:val="none"/>
          <w:lang w:val="en-US" w:eastAsia="zh-CN"/>
        </w:rPr>
        <w:t>1.</w:t>
      </w:r>
      <w:r>
        <w:rPr>
          <w:rFonts w:hint="eastAsia" w:ascii="楷体" w:hAnsi="楷体" w:eastAsia="楷体"/>
          <w:color w:val="auto"/>
          <w:szCs w:val="21"/>
          <w:highlight w:val="none"/>
        </w:rPr>
        <w:t>报价精确到小数点后两位，大小写不一致时，以大写为准</w:t>
      </w:r>
      <w:r>
        <w:rPr>
          <w:rFonts w:hint="eastAsia" w:ascii="楷体" w:hAnsi="楷体" w:eastAsia="楷体"/>
          <w:color w:val="auto"/>
          <w:szCs w:val="21"/>
          <w:highlight w:val="none"/>
          <w:lang w:eastAsia="zh-CN"/>
        </w:rPr>
        <w:t>；</w:t>
      </w:r>
    </w:p>
    <w:p>
      <w:pPr>
        <w:numPr>
          <w:ilvl w:val="0"/>
          <w:numId w:val="0"/>
        </w:numPr>
        <w:shd w:val="clear"/>
        <w:adjustRightInd w:val="0"/>
        <w:snapToGrid w:val="0"/>
        <w:spacing w:beforeLines="50"/>
        <w:ind w:leftChars="356"/>
        <w:rPr>
          <w:rFonts w:hint="eastAsia" w:ascii="楷体" w:hAnsi="楷体" w:eastAsia="楷体"/>
          <w:color w:val="auto"/>
          <w:szCs w:val="21"/>
          <w:highlight w:val="none"/>
          <w:lang w:val="en-US" w:eastAsia="zh-CN"/>
        </w:rPr>
      </w:pPr>
      <w:r>
        <w:rPr>
          <w:rFonts w:hint="eastAsia" w:ascii="楷体" w:hAnsi="楷体" w:eastAsia="楷体"/>
          <w:color w:val="auto"/>
          <w:szCs w:val="21"/>
          <w:highlight w:val="none"/>
          <w:lang w:val="en-US" w:eastAsia="zh-CN"/>
        </w:rPr>
        <w:t>2.</w:t>
      </w:r>
      <w:r>
        <w:rPr>
          <w:rFonts w:hint="eastAsia" w:ascii="楷体" w:hAnsi="楷体" w:eastAsia="楷体" w:cs="Times New Roman"/>
          <w:color w:val="auto"/>
          <w:szCs w:val="21"/>
          <w:highlight w:val="none"/>
        </w:rPr>
        <w:t>本报价为供应商完成</w:t>
      </w:r>
      <w:r>
        <w:rPr>
          <w:rFonts w:hint="eastAsia" w:ascii="楷体" w:hAnsi="楷体" w:eastAsia="楷体" w:cs="Times New Roman"/>
          <w:color w:val="auto"/>
          <w:szCs w:val="21"/>
          <w:highlight w:val="none"/>
          <w:lang w:val="en-US" w:eastAsia="zh-CN"/>
        </w:rPr>
        <w:t>谈判</w:t>
      </w:r>
      <w:r>
        <w:rPr>
          <w:rFonts w:hint="eastAsia" w:ascii="楷体" w:hAnsi="楷体" w:eastAsia="楷体" w:cs="Times New Roman"/>
          <w:color w:val="auto"/>
          <w:szCs w:val="21"/>
          <w:highlight w:val="none"/>
        </w:rPr>
        <w:t>项目所需的全部费用</w:t>
      </w:r>
      <w:r>
        <w:rPr>
          <w:rFonts w:hint="eastAsia" w:ascii="楷体" w:hAnsi="楷体" w:eastAsia="楷体" w:cs="Times New Roman"/>
          <w:color w:val="auto"/>
          <w:szCs w:val="21"/>
          <w:highlight w:val="none"/>
          <w:lang w:eastAsia="zh-CN"/>
        </w:rPr>
        <w:t>；</w:t>
      </w:r>
    </w:p>
    <w:p>
      <w:pPr>
        <w:numPr>
          <w:ilvl w:val="0"/>
          <w:numId w:val="0"/>
        </w:numPr>
        <w:shd w:val="clear"/>
        <w:adjustRightInd w:val="0"/>
        <w:snapToGrid w:val="0"/>
        <w:spacing w:beforeLines="50"/>
        <w:ind w:leftChars="356"/>
        <w:rPr>
          <w:rFonts w:ascii="楷体" w:hAnsi="楷体" w:eastAsia="楷体"/>
          <w:color w:val="auto"/>
          <w:szCs w:val="21"/>
          <w:highlight w:val="none"/>
        </w:rPr>
      </w:pPr>
      <w:r>
        <w:rPr>
          <w:rFonts w:hint="eastAsia" w:ascii="楷体" w:hAnsi="楷体" w:eastAsia="楷体"/>
          <w:color w:val="auto"/>
          <w:szCs w:val="21"/>
          <w:highlight w:val="none"/>
          <w:lang w:val="en-US" w:eastAsia="zh-CN"/>
        </w:rPr>
        <w:t>3</w:t>
      </w:r>
      <w:r>
        <w:rPr>
          <w:rFonts w:hint="eastAsia" w:ascii="楷体" w:hAnsi="楷体" w:eastAsia="楷体"/>
          <w:color w:val="auto"/>
          <w:szCs w:val="21"/>
          <w:highlight w:val="none"/>
        </w:rPr>
        <w:t>.本表所列各项数据与</w:t>
      </w:r>
      <w:r>
        <w:rPr>
          <w:rFonts w:hint="eastAsia" w:ascii="楷体" w:hAnsi="楷体" w:eastAsia="楷体"/>
          <w:color w:val="auto"/>
          <w:szCs w:val="21"/>
          <w:highlight w:val="none"/>
          <w:lang w:eastAsia="zh-CN"/>
        </w:rPr>
        <w:t>谈判</w:t>
      </w:r>
      <w:r>
        <w:rPr>
          <w:rFonts w:hint="eastAsia" w:ascii="楷体" w:hAnsi="楷体" w:eastAsia="楷体"/>
          <w:color w:val="auto"/>
          <w:szCs w:val="21"/>
          <w:highlight w:val="none"/>
        </w:rPr>
        <w:t>文件其他地方表述不一致时，以本表为准。</w:t>
      </w:r>
    </w:p>
    <w:p>
      <w:pPr>
        <w:shd w:val="clear"/>
        <w:spacing w:beforeLines="50" w:line="200" w:lineRule="exact"/>
        <w:ind w:left="412" w:leftChars="196" w:firstLine="315" w:firstLineChars="150"/>
        <w:jc w:val="left"/>
        <w:rPr>
          <w:rFonts w:ascii="宋体" w:hAnsi="宋体"/>
          <w:color w:val="auto"/>
          <w:szCs w:val="21"/>
          <w:highlight w:val="none"/>
        </w:rPr>
      </w:pPr>
    </w:p>
    <w:p>
      <w:pPr>
        <w:pStyle w:val="28"/>
        <w:shd w:val="clear"/>
        <w:spacing w:before="0" w:beforeAutospacing="0" w:after="0" w:afterAutospacing="0" w:line="360" w:lineRule="auto"/>
        <w:rPr>
          <w:color w:val="auto"/>
          <w:sz w:val="21"/>
          <w:szCs w:val="21"/>
          <w:highlight w:val="none"/>
        </w:rPr>
      </w:pPr>
    </w:p>
    <w:p>
      <w:pPr>
        <w:pStyle w:val="28"/>
        <w:shd w:val="clear"/>
        <w:spacing w:before="0" w:beforeAutospacing="0" w:after="0" w:afterAutospacing="0" w:line="360" w:lineRule="auto"/>
        <w:ind w:firstLine="3045" w:firstLineChars="1450"/>
        <w:rPr>
          <w:color w:val="auto"/>
          <w:sz w:val="21"/>
          <w:szCs w:val="21"/>
          <w:highlight w:val="none"/>
        </w:rPr>
      </w:pPr>
    </w:p>
    <w:p>
      <w:pPr>
        <w:pStyle w:val="28"/>
        <w:shd w:val="clear"/>
        <w:spacing w:before="0" w:beforeAutospacing="0" w:after="0" w:afterAutospacing="0" w:line="480" w:lineRule="auto"/>
        <w:ind w:firstLine="2940" w:firstLineChars="1400"/>
        <w:rPr>
          <w:color w:val="auto"/>
          <w:sz w:val="21"/>
          <w:szCs w:val="21"/>
          <w:highlight w:val="none"/>
          <w:u w:val="single"/>
        </w:rPr>
      </w:pPr>
      <w:r>
        <w:rPr>
          <w:rFonts w:hint="eastAsia"/>
          <w:color w:val="auto"/>
          <w:sz w:val="21"/>
          <w:szCs w:val="21"/>
          <w:highlight w:val="none"/>
        </w:rPr>
        <w:t>供应商名称：</w:t>
      </w:r>
      <w:r>
        <w:rPr>
          <w:rFonts w:hint="eastAsia"/>
          <w:color w:val="auto"/>
          <w:sz w:val="21"/>
          <w:szCs w:val="21"/>
          <w:highlight w:val="none"/>
          <w:u w:val="single"/>
        </w:rPr>
        <w:t xml:space="preserve">                         </w:t>
      </w:r>
      <w:r>
        <w:rPr>
          <w:rFonts w:hint="eastAsia" w:ascii="宋体" w:hAnsi="宋体"/>
          <w:bCs/>
          <w:color w:val="auto"/>
          <w:sz w:val="21"/>
          <w:szCs w:val="21"/>
          <w:highlight w:val="none"/>
        </w:rPr>
        <w:t>（盖单位章）</w:t>
      </w:r>
    </w:p>
    <w:p>
      <w:pPr>
        <w:pStyle w:val="28"/>
        <w:shd w:val="clear"/>
        <w:spacing w:before="0" w:beforeAutospacing="0" w:after="0" w:afterAutospacing="0" w:line="480" w:lineRule="auto"/>
        <w:ind w:firstLine="2940" w:firstLineChars="1400"/>
        <w:rPr>
          <w:rFonts w:hint="eastAsia"/>
          <w:color w:val="auto"/>
          <w:sz w:val="21"/>
          <w:szCs w:val="21"/>
          <w:highlight w:val="none"/>
          <w:u w:val="none"/>
        </w:rPr>
      </w:pPr>
      <w:r>
        <w:rPr>
          <w:rFonts w:hint="eastAsia"/>
          <w:color w:val="auto"/>
          <w:sz w:val="21"/>
          <w:szCs w:val="21"/>
          <w:highlight w:val="none"/>
        </w:rPr>
        <w:t>法定代表人或授权代理人：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u w:val="none"/>
        </w:rPr>
        <w:t>（签字或盖章）</w:t>
      </w:r>
    </w:p>
    <w:p>
      <w:pPr>
        <w:pStyle w:val="28"/>
        <w:shd w:val="clear"/>
        <w:spacing w:before="0" w:beforeAutospacing="0" w:after="0" w:afterAutospacing="0" w:line="480" w:lineRule="auto"/>
        <w:ind w:firstLine="2940" w:firstLineChars="1400"/>
        <w:rPr>
          <w:color w:val="auto"/>
          <w:sz w:val="21"/>
          <w:szCs w:val="21"/>
          <w:highlight w:val="none"/>
        </w:rPr>
        <w:sectPr>
          <w:footerReference r:id="rId12" w:type="first"/>
          <w:headerReference r:id="rId8" w:type="default"/>
          <w:footerReference r:id="rId10" w:type="default"/>
          <w:headerReference r:id="rId9" w:type="even"/>
          <w:footerReference r:id="rId11" w:type="even"/>
          <w:pgSz w:w="11907" w:h="16840"/>
          <w:pgMar w:top="1440" w:right="1080" w:bottom="1440" w:left="1080" w:header="851" w:footer="992" w:gutter="0"/>
          <w:pgBorders>
            <w:top w:val="none" w:sz="0" w:space="0"/>
            <w:left w:val="none" w:sz="0" w:space="0"/>
            <w:bottom w:val="none" w:sz="0" w:space="0"/>
            <w:right w:val="none" w:sz="0" w:space="0"/>
          </w:pgBorders>
          <w:cols w:space="720" w:num="1"/>
          <w:titlePg/>
        </w:sectPr>
      </w:pPr>
      <w:r>
        <w:rPr>
          <w:rFonts w:hint="eastAsia"/>
          <w:color w:val="auto"/>
          <w:sz w:val="21"/>
          <w:szCs w:val="21"/>
          <w:highlight w:val="none"/>
          <w:u w:val="none"/>
          <w:lang w:eastAsia="zh-CN"/>
        </w:rPr>
        <w:t>日</w:t>
      </w:r>
      <w:r>
        <w:rPr>
          <w:rFonts w:hint="eastAsia"/>
          <w:color w:val="auto"/>
          <w:sz w:val="21"/>
          <w:szCs w:val="21"/>
          <w:highlight w:val="none"/>
          <w:u w:val="none"/>
          <w:lang w:val="en-US" w:eastAsia="zh-CN"/>
        </w:rPr>
        <w:t xml:space="preserve">       </w:t>
      </w:r>
      <w:r>
        <w:rPr>
          <w:rFonts w:hint="eastAsia"/>
          <w:color w:val="auto"/>
          <w:sz w:val="21"/>
          <w:szCs w:val="21"/>
          <w:highlight w:val="none"/>
          <w:u w:val="none"/>
          <w:lang w:eastAsia="zh-CN"/>
        </w:rPr>
        <w:t>期：</w:t>
      </w:r>
      <w:r>
        <w:rPr>
          <w:rFonts w:hint="eastAsia"/>
          <w:color w:val="auto"/>
          <w:sz w:val="21"/>
          <w:szCs w:val="21"/>
          <w:highlight w:val="none"/>
          <w:u w:val="none"/>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pPr>
        <w:pStyle w:val="70"/>
        <w:spacing w:line="500" w:lineRule="exact"/>
        <w:ind w:left="0" w:leftChars="0" w:firstLine="0" w:firstLineChars="0"/>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工程量清单计价表</w:t>
      </w:r>
    </w:p>
    <w:p>
      <w:pPr>
        <w:shd w:val="clear"/>
        <w:spacing w:line="360" w:lineRule="auto"/>
        <w:rPr>
          <w:rFonts w:ascii="宋体" w:hAnsi="宋体"/>
          <w:bCs/>
          <w:color w:val="auto"/>
          <w:kern w:val="0"/>
          <w:szCs w:val="21"/>
          <w:highlight w:val="none"/>
        </w:rPr>
      </w:pPr>
    </w:p>
    <w:p>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后附广联达软件</w:t>
      </w:r>
      <w:r>
        <w:rPr>
          <w:rFonts w:hint="eastAsia" w:ascii="宋体" w:hAnsi="宋体" w:cs="宋体"/>
          <w:b w:val="0"/>
          <w:bCs w:val="0"/>
          <w:sz w:val="24"/>
          <w:szCs w:val="24"/>
          <w:highlight w:val="none"/>
          <w:lang w:val="en-US" w:eastAsia="zh-CN"/>
        </w:rPr>
        <w:t>导出</w:t>
      </w:r>
      <w:r>
        <w:rPr>
          <w:rFonts w:hint="eastAsia" w:ascii="宋体" w:hAnsi="宋体" w:eastAsia="宋体" w:cs="宋体"/>
          <w:b w:val="0"/>
          <w:bCs w:val="0"/>
          <w:sz w:val="24"/>
          <w:szCs w:val="24"/>
          <w:highlight w:val="none"/>
          <w:lang w:val="en-US" w:eastAsia="zh-CN"/>
        </w:rPr>
        <w:t>表格</w:t>
      </w:r>
      <w:r>
        <w:rPr>
          <w:rFonts w:hint="eastAsia" w:ascii="宋体" w:hAnsi="宋体" w:eastAsia="宋体" w:cs="宋体"/>
          <w:b w:val="0"/>
          <w:bCs w:val="0"/>
          <w:sz w:val="24"/>
          <w:szCs w:val="24"/>
          <w:highlight w:val="none"/>
          <w:lang w:eastAsia="zh-CN"/>
        </w:rPr>
        <w:t>）</w:t>
      </w:r>
    </w:p>
    <w:p>
      <w:pPr>
        <w:shd w:val="clear"/>
        <w:spacing w:line="360" w:lineRule="auto"/>
        <w:ind w:firstLine="1680" w:firstLineChars="800"/>
        <w:rPr>
          <w:rFonts w:ascii="宋体" w:hAnsi="宋体"/>
          <w:color w:val="auto"/>
          <w:szCs w:val="21"/>
          <w:highlight w:val="none"/>
        </w:rPr>
      </w:pPr>
    </w:p>
    <w:p>
      <w:pPr>
        <w:pStyle w:val="7"/>
        <w:shd w:val="clear"/>
        <w:rPr>
          <w:rFonts w:ascii="宋体" w:hAnsi="宋体"/>
          <w:color w:val="auto"/>
          <w:szCs w:val="21"/>
          <w:highlight w:val="none"/>
        </w:rPr>
      </w:pPr>
    </w:p>
    <w:p>
      <w:pPr>
        <w:shd w:val="clear"/>
        <w:rPr>
          <w:rFonts w:ascii="宋体" w:hAnsi="宋体"/>
          <w:color w:val="auto"/>
          <w:szCs w:val="21"/>
          <w:highlight w:val="none"/>
        </w:rPr>
      </w:pPr>
    </w:p>
    <w:p>
      <w:pPr>
        <w:pStyle w:val="7"/>
        <w:shd w:val="clear"/>
        <w:rPr>
          <w:rFonts w:ascii="宋体" w:hAnsi="宋体"/>
          <w:color w:val="auto"/>
          <w:szCs w:val="21"/>
          <w:highlight w:val="none"/>
        </w:rPr>
      </w:pPr>
    </w:p>
    <w:p>
      <w:pPr>
        <w:shd w:val="clear"/>
        <w:rPr>
          <w:rFonts w:ascii="宋体" w:hAnsi="宋体"/>
          <w:color w:val="auto"/>
          <w:szCs w:val="21"/>
          <w:highlight w:val="none"/>
        </w:rPr>
      </w:pPr>
    </w:p>
    <w:p>
      <w:pPr>
        <w:pStyle w:val="7"/>
        <w:shd w:val="clear"/>
        <w:rPr>
          <w:rFonts w:ascii="宋体" w:hAnsi="宋体"/>
          <w:color w:val="auto"/>
          <w:szCs w:val="21"/>
          <w:highlight w:val="none"/>
        </w:rPr>
      </w:pPr>
    </w:p>
    <w:p>
      <w:pPr>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pStyle w:val="43"/>
        <w:rPr>
          <w:rFonts w:ascii="宋体" w:hAnsi="宋体"/>
          <w:color w:val="auto"/>
          <w:szCs w:val="21"/>
          <w:highlight w:val="none"/>
        </w:rPr>
      </w:pPr>
    </w:p>
    <w:p>
      <w:pPr>
        <w:shd w:val="clear"/>
        <w:rPr>
          <w:rFonts w:ascii="宋体" w:hAnsi="宋体"/>
          <w:color w:val="auto"/>
          <w:szCs w:val="21"/>
          <w:highlight w:val="none"/>
        </w:rPr>
      </w:pPr>
    </w:p>
    <w:p>
      <w:pPr>
        <w:pStyle w:val="7"/>
        <w:shd w:val="clear"/>
        <w:rPr>
          <w:color w:val="auto"/>
          <w:highlight w:val="none"/>
        </w:rPr>
      </w:pPr>
    </w:p>
    <w:p>
      <w:pPr>
        <w:spacing w:line="480" w:lineRule="auto"/>
        <w:ind w:firstLine="2940" w:firstLineChars="1400"/>
        <w:rPr>
          <w:rFonts w:hint="eastAsia" w:ascii="宋体" w:hAnsi="宋体"/>
          <w:color w:val="auto"/>
          <w:highlight w:val="none"/>
        </w:rPr>
      </w:pPr>
      <w:r>
        <w:rPr>
          <w:rFonts w:hint="eastAsia" w:ascii="宋体" w:hAnsi="宋体"/>
          <w:color w:val="auto"/>
          <w:highlight w:val="none"/>
        </w:rPr>
        <w:br w:type="page"/>
      </w:r>
    </w:p>
    <w:p>
      <w:pPr>
        <w:pStyle w:val="4"/>
        <w:keepNext/>
        <w:keepLines/>
        <w:pageBreakBefore w:val="0"/>
        <w:widowControl w:val="0"/>
        <w:shd w:val="clear"/>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sz w:val="36"/>
          <w:szCs w:val="36"/>
          <w:highlight w:val="none"/>
          <w:lang w:val="en-US"/>
        </w:rPr>
      </w:pPr>
      <w:bookmarkStart w:id="117" w:name="_Toc32436"/>
      <w:bookmarkStart w:id="118" w:name="_Toc5919"/>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lang w:val="en-US" w:eastAsia="zh-CN"/>
        </w:rPr>
        <w:t>施工组织设计</w:t>
      </w:r>
      <w:bookmarkEnd w:id="117"/>
      <w:bookmarkEnd w:id="118"/>
    </w:p>
    <w:p>
      <w:pPr>
        <w:shd w:val="clear"/>
        <w:adjustRightInd w:val="0"/>
        <w:spacing w:line="400" w:lineRule="exact"/>
        <w:jc w:val="center"/>
        <w:rPr>
          <w:rFonts w:hint="eastAsia" w:ascii="宋体" w:hAnsi="宋体" w:eastAsia="宋体" w:cs="宋体"/>
          <w:b/>
          <w:color w:val="auto"/>
          <w:sz w:val="36"/>
          <w:szCs w:val="36"/>
          <w:highlight w:val="none"/>
        </w:rPr>
      </w:pPr>
    </w:p>
    <w:p>
      <w:pPr>
        <w:shd w:val="clear"/>
        <w:adjustRightInd w:val="0"/>
        <w:spacing w:line="40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格式自拟。</w:t>
      </w:r>
    </w:p>
    <w:p>
      <w:pPr>
        <w:shd w:val="clear"/>
        <w:spacing w:beforeLines="50"/>
        <w:jc w:val="left"/>
        <w:rPr>
          <w:rFonts w:hint="eastAsia" w:ascii="宋体" w:hAnsi="宋体" w:eastAsia="宋体" w:cs="宋体"/>
          <w:color w:val="auto"/>
          <w:szCs w:val="21"/>
          <w:highlight w:val="none"/>
        </w:rPr>
      </w:pP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1、</w:t>
      </w:r>
      <w:r>
        <w:rPr>
          <w:rFonts w:hint="eastAsia" w:ascii="宋体" w:hAnsi="宋体" w:eastAsia="宋体" w:cs="宋体"/>
          <w:sz w:val="21"/>
          <w:szCs w:val="24"/>
        </w:rPr>
        <w:t>项目经理和项目部组成</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2、施工方案</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3、施工部署</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4、</w:t>
      </w:r>
      <w:r>
        <w:rPr>
          <w:rFonts w:hint="eastAsia" w:ascii="宋体" w:hAnsi="宋体" w:eastAsia="宋体" w:cs="宋体"/>
          <w:lang w:val="en-US" w:eastAsia="zh-CN"/>
        </w:rPr>
        <w:t>主要机具、设备和</w:t>
      </w:r>
      <w:r>
        <w:rPr>
          <w:rFonts w:hint="eastAsia" w:ascii="宋体" w:hAnsi="宋体" w:cs="宋体"/>
          <w:lang w:val="en-US" w:eastAsia="zh-CN"/>
        </w:rPr>
        <w:t>材料配备计划</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5、确保工期的技术组织措施</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6、确保工程质量的技术组织措施</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7、确保安全施工的技术组织措施</w:t>
      </w:r>
    </w:p>
    <w:p>
      <w:pPr>
        <w:spacing w:line="360" w:lineRule="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8、确保文明施工的技术组织措施及环境保护措施</w:t>
      </w:r>
    </w:p>
    <w:p>
      <w:pPr>
        <w:spacing w:line="360" w:lineRule="auto"/>
        <w:rPr>
          <w:rFonts w:hint="eastAsia" w:ascii="宋体" w:hAnsi="宋体" w:cs="宋体"/>
          <w:lang w:val="en-US" w:eastAsia="zh-CN"/>
        </w:rPr>
      </w:pPr>
      <w:r>
        <w:rPr>
          <w:rFonts w:hint="eastAsia" w:ascii="宋体" w:hAnsi="宋体" w:eastAsia="宋体" w:cs="宋体"/>
          <w:sz w:val="21"/>
          <w:szCs w:val="24"/>
          <w:lang w:val="en-US" w:eastAsia="zh-CN"/>
        </w:rPr>
        <w:t>9、</w:t>
      </w:r>
      <w:r>
        <w:rPr>
          <w:rFonts w:hint="eastAsia" w:ascii="宋体" w:hAnsi="宋体" w:eastAsia="宋体" w:cs="宋体"/>
          <w:lang w:val="en-US" w:eastAsia="zh-CN"/>
        </w:rPr>
        <w:t>劳动力</w:t>
      </w:r>
      <w:r>
        <w:rPr>
          <w:rFonts w:hint="eastAsia" w:ascii="宋体" w:hAnsi="宋体" w:cs="宋体"/>
          <w:lang w:val="en-US" w:eastAsia="zh-CN"/>
        </w:rPr>
        <w:t>计划</w:t>
      </w:r>
    </w:p>
    <w:p>
      <w:pPr>
        <w:spacing w:line="360" w:lineRule="auto"/>
        <w:rPr>
          <w:rFonts w:hint="eastAsia" w:ascii="宋体" w:hAnsi="宋体" w:eastAsia="宋体" w:cs="宋体"/>
          <w:sz w:val="21"/>
          <w:szCs w:val="24"/>
          <w:lang w:val="en-US" w:eastAsia="zh-CN"/>
        </w:rPr>
      </w:pPr>
      <w:r>
        <w:rPr>
          <w:rFonts w:hint="eastAsia" w:ascii="宋体" w:hAnsi="宋体" w:cs="宋体"/>
          <w:lang w:val="en-US" w:eastAsia="zh-CN"/>
        </w:rPr>
        <w:t>10、施工现场</w:t>
      </w:r>
      <w:r>
        <w:rPr>
          <w:rFonts w:hint="eastAsia" w:ascii="宋体" w:hAnsi="宋体" w:eastAsia="宋体" w:cs="宋体"/>
          <w:lang w:val="en-US" w:eastAsia="zh-CN"/>
        </w:rPr>
        <w:t>疫情防控</w:t>
      </w:r>
      <w:r>
        <w:rPr>
          <w:rFonts w:hint="eastAsia" w:ascii="宋体" w:hAnsi="宋体" w:cs="宋体"/>
          <w:lang w:val="en-US" w:eastAsia="zh-CN"/>
        </w:rPr>
        <w:t>措施</w:t>
      </w:r>
      <w:r>
        <w:rPr>
          <w:rFonts w:hint="eastAsia" w:ascii="宋体" w:hAnsi="宋体" w:eastAsia="宋体" w:cs="宋体"/>
          <w:sz w:val="21"/>
          <w:szCs w:val="24"/>
          <w:lang w:val="en-US" w:eastAsia="zh-CN"/>
        </w:rPr>
        <w:t xml:space="preserve"> </w:t>
      </w:r>
    </w:p>
    <w:p>
      <w:pPr>
        <w:spacing w:line="360" w:lineRule="auto"/>
        <w:ind w:firstLine="420" w:firstLineChars="200"/>
        <w:rPr>
          <w:rFonts w:hint="eastAsia" w:ascii="宋体" w:hAnsi="宋体" w:eastAsia="宋体" w:cs="宋体"/>
          <w:sz w:val="21"/>
          <w:szCs w:val="24"/>
          <w:lang w:val="en-US" w:eastAsia="zh-CN"/>
        </w:rPr>
      </w:pPr>
    </w:p>
    <w:p>
      <w:pPr>
        <w:spacing w:line="360" w:lineRule="auto"/>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附表一  拟投入本工程的主要施工设备表</w:t>
      </w:r>
    </w:p>
    <w:p>
      <w:pPr>
        <w:spacing w:line="360" w:lineRule="auto"/>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附表二  拟配备本工程的试验和检测仪器设备表</w:t>
      </w:r>
    </w:p>
    <w:p>
      <w:pPr>
        <w:spacing w:line="360" w:lineRule="auto"/>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附表三  劳动力计划表</w:t>
      </w:r>
    </w:p>
    <w:p>
      <w:pPr>
        <w:spacing w:line="360" w:lineRule="auto"/>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附表四  计划开、竣工日期和施工进度网络图</w:t>
      </w:r>
    </w:p>
    <w:p>
      <w:pPr>
        <w:spacing w:line="360" w:lineRule="auto"/>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附表五  施工总平面图</w:t>
      </w:r>
    </w:p>
    <w:p>
      <w:pPr>
        <w:spacing w:line="360" w:lineRule="auto"/>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附表六  项目管理机构</w:t>
      </w:r>
    </w:p>
    <w:p>
      <w:pPr>
        <w:shd w:val="clear"/>
        <w:spacing w:beforeLines="50"/>
        <w:jc w:val="left"/>
        <w:rPr>
          <w:color w:val="auto"/>
          <w:szCs w:val="21"/>
          <w:highlight w:val="none"/>
        </w:rPr>
      </w:pPr>
    </w:p>
    <w:p>
      <w:pPr>
        <w:rPr>
          <w:rFonts w:ascii="宋体" w:hAnsi="宋体" w:eastAsia="宋体"/>
          <w:bCs/>
          <w:color w:val="auto"/>
          <w:sz w:val="36"/>
          <w:szCs w:val="36"/>
          <w:highlight w:val="none"/>
        </w:rPr>
      </w:pPr>
      <w:r>
        <w:rPr>
          <w:rFonts w:ascii="宋体" w:hAnsi="宋体" w:eastAsia="宋体"/>
          <w:bCs/>
          <w:color w:val="auto"/>
          <w:sz w:val="36"/>
          <w:szCs w:val="36"/>
          <w:highlight w:val="none"/>
        </w:rPr>
        <w:br w:type="page"/>
      </w:r>
    </w:p>
    <w:p>
      <w:pPr>
        <w:spacing w:line="440" w:lineRule="exact"/>
        <w:outlineLvl w:val="1"/>
        <w:rPr>
          <w:rFonts w:hint="eastAsia" w:ascii="宋体" w:hAnsi="宋体" w:eastAsia="宋体" w:cs="宋体"/>
          <w:sz w:val="28"/>
          <w:szCs w:val="28"/>
        </w:rPr>
      </w:pPr>
      <w:bookmarkStart w:id="119" w:name="_Toc17039"/>
      <w:bookmarkStart w:id="120" w:name="_Toc27272"/>
      <w:bookmarkStart w:id="121" w:name="_Toc19639"/>
      <w:bookmarkStart w:id="122" w:name="_Toc7798"/>
      <w:r>
        <w:rPr>
          <w:rFonts w:hint="eastAsia" w:ascii="宋体" w:hAnsi="宋体" w:eastAsia="宋体" w:cs="宋体"/>
          <w:sz w:val="28"/>
          <w:szCs w:val="28"/>
        </w:rPr>
        <w:t>附表一：拟投入本工程的主要施工设备表</w:t>
      </w:r>
      <w:bookmarkEnd w:id="119"/>
      <w:bookmarkEnd w:id="120"/>
      <w:bookmarkEnd w:id="121"/>
    </w:p>
    <w:p>
      <w:pPr>
        <w:jc w:val="center"/>
        <w:rPr>
          <w:rFonts w:hint="eastAsia" w:ascii="宋体" w:hAnsi="宋体" w:eastAsia="宋体" w:cs="宋体"/>
          <w:sz w:val="28"/>
          <w:szCs w:val="28"/>
        </w:rPr>
      </w:pPr>
      <w:r>
        <w:rPr>
          <w:rFonts w:hint="eastAsia" w:ascii="宋体" w:hAnsi="宋体" w:eastAsia="宋体" w:cs="宋体"/>
          <w:sz w:val="28"/>
          <w:szCs w:val="28"/>
        </w:rPr>
        <w:t>拟投入本工程的主要施工设备表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34"/>
        <w:gridCol w:w="716"/>
        <w:gridCol w:w="1089"/>
        <w:gridCol w:w="755"/>
        <w:gridCol w:w="755"/>
        <w:gridCol w:w="1253"/>
        <w:gridCol w:w="929"/>
        <w:gridCol w:w="929"/>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8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序号</w:t>
            </w:r>
          </w:p>
        </w:tc>
        <w:tc>
          <w:tcPr>
            <w:tcW w:w="1134"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设备名称</w:t>
            </w:r>
          </w:p>
        </w:tc>
        <w:tc>
          <w:tcPr>
            <w:tcW w:w="716"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型号</w:t>
            </w:r>
          </w:p>
          <w:p>
            <w:pPr>
              <w:spacing w:line="440" w:lineRule="exact"/>
              <w:jc w:val="center"/>
              <w:rPr>
                <w:rFonts w:hint="eastAsia" w:ascii="宋体" w:hAnsi="宋体" w:eastAsia="宋体" w:cs="宋体"/>
              </w:rPr>
            </w:pPr>
            <w:r>
              <w:rPr>
                <w:rFonts w:hint="eastAsia" w:ascii="宋体" w:hAnsi="宋体" w:eastAsia="宋体" w:cs="宋体"/>
              </w:rPr>
              <w:t>规格</w:t>
            </w:r>
          </w:p>
        </w:tc>
        <w:tc>
          <w:tcPr>
            <w:tcW w:w="1089"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数量</w:t>
            </w:r>
          </w:p>
        </w:tc>
        <w:tc>
          <w:tcPr>
            <w:tcW w:w="755"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国别</w:t>
            </w:r>
          </w:p>
          <w:p>
            <w:pPr>
              <w:spacing w:line="440" w:lineRule="exact"/>
              <w:jc w:val="center"/>
              <w:rPr>
                <w:rFonts w:hint="eastAsia" w:ascii="宋体" w:hAnsi="宋体" w:eastAsia="宋体" w:cs="宋体"/>
              </w:rPr>
            </w:pPr>
            <w:r>
              <w:rPr>
                <w:rFonts w:hint="eastAsia" w:ascii="宋体" w:hAnsi="宋体" w:eastAsia="宋体" w:cs="宋体"/>
              </w:rPr>
              <w:t>产地</w:t>
            </w:r>
          </w:p>
        </w:tc>
        <w:tc>
          <w:tcPr>
            <w:tcW w:w="755"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制造</w:t>
            </w:r>
          </w:p>
          <w:p>
            <w:pPr>
              <w:spacing w:line="440" w:lineRule="exact"/>
              <w:jc w:val="center"/>
              <w:rPr>
                <w:rFonts w:hint="eastAsia" w:ascii="宋体" w:hAnsi="宋体" w:eastAsia="宋体" w:cs="宋体"/>
              </w:rPr>
            </w:pPr>
            <w:r>
              <w:rPr>
                <w:rFonts w:hint="eastAsia" w:ascii="宋体" w:hAnsi="宋体" w:eastAsia="宋体" w:cs="宋体"/>
              </w:rPr>
              <w:t>年份</w:t>
            </w:r>
          </w:p>
        </w:tc>
        <w:tc>
          <w:tcPr>
            <w:tcW w:w="1253"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额定功率</w:t>
            </w:r>
          </w:p>
          <w:p>
            <w:pPr>
              <w:spacing w:line="440" w:lineRule="exact"/>
              <w:jc w:val="center"/>
              <w:rPr>
                <w:rFonts w:hint="eastAsia" w:ascii="宋体" w:hAnsi="宋体" w:eastAsia="宋体" w:cs="宋体"/>
              </w:rPr>
            </w:pPr>
            <w:r>
              <w:rPr>
                <w:rFonts w:hint="eastAsia" w:ascii="宋体" w:hAnsi="宋体" w:eastAsia="宋体" w:cs="宋体"/>
              </w:rPr>
              <w:t>（KW）</w:t>
            </w:r>
          </w:p>
        </w:tc>
        <w:tc>
          <w:tcPr>
            <w:tcW w:w="929"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生产</w:t>
            </w:r>
          </w:p>
          <w:p>
            <w:pPr>
              <w:spacing w:line="440" w:lineRule="exact"/>
              <w:jc w:val="center"/>
              <w:rPr>
                <w:rFonts w:hint="eastAsia" w:ascii="宋体" w:hAnsi="宋体" w:eastAsia="宋体" w:cs="宋体"/>
              </w:rPr>
            </w:pPr>
            <w:r>
              <w:rPr>
                <w:rFonts w:hint="eastAsia" w:ascii="宋体" w:hAnsi="宋体" w:eastAsia="宋体" w:cs="宋体"/>
              </w:rPr>
              <w:t>能力</w:t>
            </w:r>
          </w:p>
        </w:tc>
        <w:tc>
          <w:tcPr>
            <w:tcW w:w="929"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用于施</w:t>
            </w:r>
          </w:p>
          <w:p>
            <w:pPr>
              <w:spacing w:line="440" w:lineRule="exact"/>
              <w:jc w:val="center"/>
              <w:rPr>
                <w:rFonts w:hint="eastAsia" w:ascii="宋体" w:hAnsi="宋体" w:eastAsia="宋体" w:cs="宋体"/>
              </w:rPr>
            </w:pPr>
            <w:r>
              <w:rPr>
                <w:rFonts w:hint="eastAsia" w:ascii="宋体" w:hAnsi="宋体" w:eastAsia="宋体" w:cs="宋体"/>
              </w:rPr>
              <w:t>工部位</w:t>
            </w:r>
          </w:p>
        </w:tc>
        <w:tc>
          <w:tcPr>
            <w:tcW w:w="815"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6" w:type="dxa"/>
            <w:noWrap w:val="0"/>
            <w:vAlign w:val="center"/>
          </w:tcPr>
          <w:p>
            <w:pPr>
              <w:spacing w:line="440" w:lineRule="exact"/>
              <w:jc w:val="center"/>
              <w:rPr>
                <w:rFonts w:hint="eastAsia" w:ascii="宋体" w:hAnsi="宋体" w:eastAsia="宋体" w:cs="宋体"/>
              </w:rPr>
            </w:pPr>
          </w:p>
        </w:tc>
        <w:tc>
          <w:tcPr>
            <w:tcW w:w="1134" w:type="dxa"/>
            <w:noWrap w:val="0"/>
            <w:vAlign w:val="center"/>
          </w:tcPr>
          <w:p>
            <w:pPr>
              <w:spacing w:line="440" w:lineRule="exact"/>
              <w:jc w:val="center"/>
              <w:rPr>
                <w:rFonts w:hint="eastAsia" w:ascii="宋体" w:hAnsi="宋体" w:eastAsia="宋体" w:cs="宋体"/>
              </w:rPr>
            </w:pPr>
          </w:p>
        </w:tc>
        <w:tc>
          <w:tcPr>
            <w:tcW w:w="716" w:type="dxa"/>
            <w:noWrap w:val="0"/>
            <w:vAlign w:val="center"/>
          </w:tcPr>
          <w:p>
            <w:pPr>
              <w:spacing w:line="440" w:lineRule="exact"/>
              <w:jc w:val="center"/>
              <w:rPr>
                <w:rFonts w:hint="eastAsia" w:ascii="宋体" w:hAnsi="宋体" w:eastAsia="宋体" w:cs="宋体"/>
              </w:rPr>
            </w:pPr>
          </w:p>
        </w:tc>
        <w:tc>
          <w:tcPr>
            <w:tcW w:w="1089"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755" w:type="dxa"/>
            <w:noWrap w:val="0"/>
            <w:vAlign w:val="center"/>
          </w:tcPr>
          <w:p>
            <w:pPr>
              <w:spacing w:line="440" w:lineRule="exact"/>
              <w:jc w:val="center"/>
              <w:rPr>
                <w:rFonts w:hint="eastAsia" w:ascii="宋体" w:hAnsi="宋体" w:eastAsia="宋体" w:cs="宋体"/>
              </w:rPr>
            </w:pPr>
          </w:p>
        </w:tc>
        <w:tc>
          <w:tcPr>
            <w:tcW w:w="1253"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929" w:type="dxa"/>
            <w:noWrap w:val="0"/>
            <w:vAlign w:val="center"/>
          </w:tcPr>
          <w:p>
            <w:pPr>
              <w:spacing w:line="440" w:lineRule="exact"/>
              <w:jc w:val="center"/>
              <w:rPr>
                <w:rFonts w:hint="eastAsia" w:ascii="宋体" w:hAnsi="宋体" w:eastAsia="宋体" w:cs="宋体"/>
              </w:rPr>
            </w:pPr>
          </w:p>
        </w:tc>
        <w:tc>
          <w:tcPr>
            <w:tcW w:w="815" w:type="dxa"/>
            <w:noWrap w:val="0"/>
            <w:vAlign w:val="center"/>
          </w:tcPr>
          <w:p>
            <w:pPr>
              <w:spacing w:line="440" w:lineRule="exact"/>
              <w:jc w:val="center"/>
              <w:rPr>
                <w:rFonts w:hint="eastAsia" w:ascii="宋体" w:hAnsi="宋体" w:eastAsia="宋体" w:cs="宋体"/>
              </w:rPr>
            </w:pPr>
          </w:p>
        </w:tc>
      </w:tr>
    </w:tbl>
    <w:p>
      <w:pPr>
        <w:spacing w:line="440" w:lineRule="exact"/>
        <w:rPr>
          <w:rFonts w:hint="eastAsia" w:ascii="宋体" w:hAnsi="宋体" w:eastAsia="宋体" w:cs="宋体"/>
        </w:rPr>
      </w:pP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pStyle w:val="43"/>
        <w:rPr>
          <w:rFonts w:hint="eastAsia" w:ascii="宋体" w:hAnsi="宋体" w:eastAsia="宋体" w:cs="宋体"/>
        </w:rPr>
      </w:pPr>
    </w:p>
    <w:p>
      <w:pPr>
        <w:keepNext/>
        <w:keepLines/>
        <w:spacing w:line="440" w:lineRule="exact"/>
        <w:outlineLvl w:val="1"/>
        <w:rPr>
          <w:rFonts w:hint="eastAsia" w:ascii="宋体" w:hAnsi="宋体" w:eastAsia="宋体" w:cs="宋体"/>
          <w:sz w:val="28"/>
          <w:szCs w:val="28"/>
        </w:rPr>
      </w:pPr>
      <w:bookmarkStart w:id="123" w:name="_Toc30903"/>
      <w:bookmarkStart w:id="124" w:name="_Toc448912078"/>
      <w:bookmarkStart w:id="125" w:name="_Toc21137"/>
      <w:bookmarkStart w:id="126" w:name="_Toc19813"/>
      <w:r>
        <w:rPr>
          <w:rFonts w:hint="eastAsia" w:ascii="宋体" w:hAnsi="宋体" w:eastAsia="宋体" w:cs="宋体"/>
          <w:sz w:val="28"/>
          <w:szCs w:val="28"/>
        </w:rPr>
        <w:t>附表二：拟配备本工程的试验和检测仪器设备表</w:t>
      </w:r>
      <w:bookmarkEnd w:id="123"/>
      <w:bookmarkEnd w:id="124"/>
      <w:bookmarkEnd w:id="125"/>
      <w:bookmarkEnd w:id="126"/>
    </w:p>
    <w:p>
      <w:pPr>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rPr>
        <w:t>拟配备本工程的试验和检测仪器设备表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39"/>
        <w:gridCol w:w="719"/>
        <w:gridCol w:w="1094"/>
        <w:gridCol w:w="1000"/>
        <w:gridCol w:w="851"/>
        <w:gridCol w:w="992"/>
        <w:gridCol w:w="15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序号</w:t>
            </w:r>
          </w:p>
        </w:tc>
        <w:tc>
          <w:tcPr>
            <w:tcW w:w="1139"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仪器设备</w:t>
            </w:r>
          </w:p>
          <w:p>
            <w:pPr>
              <w:spacing w:line="440" w:lineRule="exact"/>
              <w:jc w:val="center"/>
              <w:rPr>
                <w:rFonts w:hint="eastAsia" w:ascii="宋体" w:hAnsi="宋体" w:eastAsia="宋体" w:cs="宋体"/>
              </w:rPr>
            </w:pPr>
            <w:r>
              <w:rPr>
                <w:rFonts w:hint="eastAsia" w:ascii="宋体" w:hAnsi="宋体" w:eastAsia="宋体" w:cs="宋体"/>
              </w:rPr>
              <w:t>名称</w:t>
            </w:r>
          </w:p>
        </w:tc>
        <w:tc>
          <w:tcPr>
            <w:tcW w:w="719"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型号</w:t>
            </w:r>
          </w:p>
          <w:p>
            <w:pPr>
              <w:spacing w:line="440" w:lineRule="exact"/>
              <w:jc w:val="center"/>
              <w:rPr>
                <w:rFonts w:hint="eastAsia" w:ascii="宋体" w:hAnsi="宋体" w:eastAsia="宋体" w:cs="宋体"/>
              </w:rPr>
            </w:pPr>
            <w:r>
              <w:rPr>
                <w:rFonts w:hint="eastAsia" w:ascii="宋体" w:hAnsi="宋体" w:eastAsia="宋体" w:cs="宋体"/>
              </w:rPr>
              <w:t>规格</w:t>
            </w:r>
          </w:p>
        </w:tc>
        <w:tc>
          <w:tcPr>
            <w:tcW w:w="1094"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数量</w:t>
            </w:r>
          </w:p>
        </w:tc>
        <w:tc>
          <w:tcPr>
            <w:tcW w:w="1000"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国别</w:t>
            </w:r>
          </w:p>
          <w:p>
            <w:pPr>
              <w:spacing w:line="440" w:lineRule="exact"/>
              <w:jc w:val="center"/>
              <w:rPr>
                <w:rFonts w:hint="eastAsia" w:ascii="宋体" w:hAnsi="宋体" w:eastAsia="宋体" w:cs="宋体"/>
              </w:rPr>
            </w:pPr>
            <w:r>
              <w:rPr>
                <w:rFonts w:hint="eastAsia" w:ascii="宋体" w:hAnsi="宋体" w:eastAsia="宋体" w:cs="宋体"/>
              </w:rPr>
              <w:t>产地</w:t>
            </w:r>
          </w:p>
        </w:tc>
        <w:tc>
          <w:tcPr>
            <w:tcW w:w="85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制造</w:t>
            </w:r>
          </w:p>
          <w:p>
            <w:pPr>
              <w:spacing w:line="440" w:lineRule="exact"/>
              <w:jc w:val="center"/>
              <w:rPr>
                <w:rFonts w:hint="eastAsia" w:ascii="宋体" w:hAnsi="宋体" w:eastAsia="宋体" w:cs="宋体"/>
              </w:rPr>
            </w:pPr>
            <w:r>
              <w:rPr>
                <w:rFonts w:hint="eastAsia" w:ascii="宋体" w:hAnsi="宋体" w:eastAsia="宋体" w:cs="宋体"/>
              </w:rPr>
              <w:t>年份</w:t>
            </w:r>
          </w:p>
        </w:tc>
        <w:tc>
          <w:tcPr>
            <w:tcW w:w="992"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已使用台时数</w:t>
            </w:r>
          </w:p>
        </w:tc>
        <w:tc>
          <w:tcPr>
            <w:tcW w:w="1559"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用途</w:t>
            </w:r>
          </w:p>
        </w:tc>
        <w:tc>
          <w:tcPr>
            <w:tcW w:w="851"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0" w:type="dxa"/>
            <w:noWrap w:val="0"/>
            <w:vAlign w:val="center"/>
          </w:tcPr>
          <w:p>
            <w:pPr>
              <w:spacing w:line="440" w:lineRule="exact"/>
              <w:jc w:val="center"/>
              <w:rPr>
                <w:rFonts w:hint="eastAsia" w:ascii="宋体" w:hAnsi="宋体" w:eastAsia="宋体" w:cs="宋体"/>
              </w:rPr>
            </w:pPr>
          </w:p>
        </w:tc>
        <w:tc>
          <w:tcPr>
            <w:tcW w:w="1139" w:type="dxa"/>
            <w:noWrap w:val="0"/>
            <w:vAlign w:val="center"/>
          </w:tcPr>
          <w:p>
            <w:pPr>
              <w:spacing w:line="440" w:lineRule="exact"/>
              <w:jc w:val="center"/>
              <w:rPr>
                <w:rFonts w:hint="eastAsia" w:ascii="宋体" w:hAnsi="宋体" w:eastAsia="宋体" w:cs="宋体"/>
              </w:rPr>
            </w:pPr>
          </w:p>
        </w:tc>
        <w:tc>
          <w:tcPr>
            <w:tcW w:w="719" w:type="dxa"/>
            <w:noWrap w:val="0"/>
            <w:vAlign w:val="center"/>
          </w:tcPr>
          <w:p>
            <w:pPr>
              <w:spacing w:line="440" w:lineRule="exact"/>
              <w:jc w:val="center"/>
              <w:rPr>
                <w:rFonts w:hint="eastAsia" w:ascii="宋体" w:hAnsi="宋体" w:eastAsia="宋体" w:cs="宋体"/>
              </w:rPr>
            </w:pPr>
          </w:p>
        </w:tc>
        <w:tc>
          <w:tcPr>
            <w:tcW w:w="1094" w:type="dxa"/>
            <w:noWrap w:val="0"/>
            <w:vAlign w:val="center"/>
          </w:tcPr>
          <w:p>
            <w:pPr>
              <w:spacing w:line="440" w:lineRule="exact"/>
              <w:jc w:val="center"/>
              <w:rPr>
                <w:rFonts w:hint="eastAsia" w:ascii="宋体" w:hAnsi="宋体" w:eastAsia="宋体" w:cs="宋体"/>
              </w:rPr>
            </w:pPr>
          </w:p>
        </w:tc>
        <w:tc>
          <w:tcPr>
            <w:tcW w:w="1000"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c>
          <w:tcPr>
            <w:tcW w:w="992" w:type="dxa"/>
            <w:noWrap w:val="0"/>
            <w:vAlign w:val="center"/>
          </w:tcPr>
          <w:p>
            <w:pPr>
              <w:spacing w:line="440" w:lineRule="exact"/>
              <w:jc w:val="center"/>
              <w:rPr>
                <w:rFonts w:hint="eastAsia" w:ascii="宋体" w:hAnsi="宋体" w:eastAsia="宋体" w:cs="宋体"/>
              </w:rPr>
            </w:pPr>
          </w:p>
        </w:tc>
        <w:tc>
          <w:tcPr>
            <w:tcW w:w="1559" w:type="dxa"/>
            <w:noWrap w:val="0"/>
            <w:vAlign w:val="center"/>
          </w:tcPr>
          <w:p>
            <w:pPr>
              <w:spacing w:line="440" w:lineRule="exact"/>
              <w:jc w:val="center"/>
              <w:rPr>
                <w:rFonts w:hint="eastAsia" w:ascii="宋体" w:hAnsi="宋体" w:eastAsia="宋体" w:cs="宋体"/>
              </w:rPr>
            </w:pPr>
          </w:p>
        </w:tc>
        <w:tc>
          <w:tcPr>
            <w:tcW w:w="851" w:type="dxa"/>
            <w:noWrap w:val="0"/>
            <w:vAlign w:val="center"/>
          </w:tcPr>
          <w:p>
            <w:pPr>
              <w:spacing w:line="440" w:lineRule="exact"/>
              <w:jc w:val="center"/>
              <w:rPr>
                <w:rFonts w:hint="eastAsia" w:ascii="宋体" w:hAnsi="宋体" w:eastAsia="宋体" w:cs="宋体"/>
              </w:rPr>
            </w:pPr>
          </w:p>
        </w:tc>
      </w:tr>
    </w:tbl>
    <w:p>
      <w:pPr>
        <w:spacing w:line="440" w:lineRule="exact"/>
        <w:rPr>
          <w:rFonts w:hint="eastAsia" w:ascii="宋体" w:hAnsi="宋体" w:eastAsia="宋体" w:cs="宋体"/>
        </w:rPr>
      </w:pP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keepNext/>
        <w:keepLines/>
        <w:spacing w:line="440" w:lineRule="exact"/>
        <w:outlineLvl w:val="1"/>
        <w:rPr>
          <w:rFonts w:hint="eastAsia" w:ascii="宋体" w:hAnsi="宋体" w:eastAsia="宋体" w:cs="宋体"/>
          <w:sz w:val="28"/>
          <w:szCs w:val="28"/>
        </w:rPr>
      </w:pPr>
      <w:bookmarkStart w:id="127" w:name="_Toc14699"/>
      <w:bookmarkStart w:id="128" w:name="_Toc15961"/>
      <w:bookmarkStart w:id="129" w:name="_Toc2502"/>
      <w:bookmarkStart w:id="130" w:name="_Toc448912079"/>
      <w:r>
        <w:rPr>
          <w:rFonts w:hint="eastAsia" w:ascii="宋体" w:hAnsi="宋体" w:eastAsia="宋体" w:cs="宋体"/>
          <w:sz w:val="28"/>
          <w:szCs w:val="28"/>
        </w:rPr>
        <w:t>附表三：劳动力计划表</w:t>
      </w:r>
      <w:bookmarkEnd w:id="127"/>
      <w:bookmarkEnd w:id="128"/>
      <w:bookmarkEnd w:id="129"/>
      <w:bookmarkEnd w:id="130"/>
    </w:p>
    <w:p>
      <w:pPr>
        <w:spacing w:line="440" w:lineRule="exact"/>
        <w:jc w:val="cente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劳动力计划表</w:t>
      </w:r>
    </w:p>
    <w:p>
      <w:pPr>
        <w:spacing w:line="440" w:lineRule="exact"/>
        <w:ind w:right="420"/>
        <w:jc w:val="center"/>
        <w:rPr>
          <w:rFonts w:hint="eastAsia" w:ascii="宋体" w:hAnsi="宋体" w:eastAsia="宋体" w:cs="宋体"/>
        </w:rPr>
      </w:pPr>
      <w:r>
        <w:rPr>
          <w:rFonts w:hint="eastAsia" w:ascii="宋体" w:hAnsi="宋体" w:eastAsia="宋体" w:cs="宋体"/>
        </w:rPr>
        <w:t xml:space="preserve">                                                单位：人</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26"/>
        <w:gridCol w:w="1144"/>
        <w:gridCol w:w="1144"/>
        <w:gridCol w:w="1144"/>
        <w:gridCol w:w="1144"/>
        <w:gridCol w:w="114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dxa"/>
            <w:noWrap w:val="0"/>
            <w:vAlign w:val="center"/>
          </w:tcPr>
          <w:p>
            <w:pPr>
              <w:spacing w:line="440" w:lineRule="exact"/>
              <w:jc w:val="center"/>
              <w:rPr>
                <w:rFonts w:hint="eastAsia" w:ascii="宋体" w:hAnsi="宋体" w:eastAsia="宋体" w:cs="宋体"/>
              </w:rPr>
            </w:pPr>
            <w:r>
              <w:rPr>
                <w:rFonts w:hint="eastAsia" w:ascii="宋体" w:hAnsi="宋体" w:eastAsia="宋体" w:cs="宋体"/>
              </w:rPr>
              <w:t>工种</w:t>
            </w:r>
          </w:p>
        </w:tc>
        <w:tc>
          <w:tcPr>
            <w:tcW w:w="8390" w:type="dxa"/>
            <w:gridSpan w:val="7"/>
            <w:noWrap w:val="0"/>
            <w:vAlign w:val="center"/>
          </w:tcPr>
          <w:p>
            <w:pPr>
              <w:spacing w:line="440" w:lineRule="exact"/>
              <w:jc w:val="center"/>
              <w:rPr>
                <w:rFonts w:hint="eastAsia" w:ascii="宋体" w:hAnsi="宋体" w:eastAsia="宋体" w:cs="宋体"/>
              </w:rPr>
            </w:pPr>
            <w:r>
              <w:rPr>
                <w:rFonts w:hint="eastAsia" w:ascii="宋体" w:hAnsi="宋体" w:eastAsia="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3" w:type="dxa"/>
            <w:noWrap w:val="0"/>
            <w:vAlign w:val="center"/>
          </w:tcPr>
          <w:p>
            <w:pPr>
              <w:spacing w:line="440" w:lineRule="exact"/>
              <w:jc w:val="center"/>
              <w:rPr>
                <w:rFonts w:hint="eastAsia" w:ascii="宋体" w:hAnsi="宋体" w:eastAsia="宋体" w:cs="宋体"/>
              </w:rPr>
            </w:pPr>
          </w:p>
        </w:tc>
        <w:tc>
          <w:tcPr>
            <w:tcW w:w="1526"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c>
          <w:tcPr>
            <w:tcW w:w="1144" w:type="dxa"/>
            <w:noWrap w:val="0"/>
            <w:vAlign w:val="center"/>
          </w:tcPr>
          <w:p>
            <w:pPr>
              <w:spacing w:line="440" w:lineRule="exact"/>
              <w:jc w:val="center"/>
              <w:rPr>
                <w:rFonts w:hint="eastAsia" w:ascii="宋体" w:hAnsi="宋体" w:eastAsia="宋体" w:cs="宋体"/>
              </w:rPr>
            </w:pPr>
          </w:p>
        </w:tc>
      </w:tr>
    </w:tbl>
    <w:p>
      <w:pPr>
        <w:keepNext/>
        <w:keepLines/>
        <w:spacing w:line="440" w:lineRule="exact"/>
        <w:outlineLvl w:val="1"/>
        <w:rPr>
          <w:rFonts w:hint="eastAsia" w:ascii="宋体" w:hAnsi="宋体" w:eastAsia="宋体" w:cs="宋体"/>
          <w:b/>
          <w:bCs/>
        </w:rPr>
      </w:pPr>
    </w:p>
    <w:p>
      <w:pPr>
        <w:rPr>
          <w:rFonts w:hint="eastAsia" w:ascii="宋体" w:hAnsi="宋体" w:eastAsia="宋体" w:cs="宋体"/>
        </w:rPr>
      </w:pPr>
    </w:p>
    <w:p>
      <w:pPr>
        <w:keepNext/>
        <w:keepLines/>
        <w:spacing w:line="440" w:lineRule="exact"/>
        <w:outlineLvl w:val="1"/>
        <w:rPr>
          <w:rFonts w:hint="eastAsia" w:ascii="宋体" w:hAnsi="宋体" w:eastAsia="宋体" w:cs="宋体"/>
          <w:sz w:val="28"/>
          <w:szCs w:val="28"/>
        </w:rPr>
      </w:pPr>
      <w:bookmarkStart w:id="131" w:name="_Toc448912080"/>
      <w:r>
        <w:rPr>
          <w:rFonts w:hint="eastAsia" w:ascii="宋体" w:hAnsi="宋体" w:eastAsia="宋体" w:cs="宋体"/>
          <w:sz w:val="28"/>
          <w:szCs w:val="28"/>
        </w:rPr>
        <w:br w:type="page"/>
      </w:r>
      <w:bookmarkStart w:id="132" w:name="_Toc5096"/>
      <w:bookmarkStart w:id="133" w:name="_Toc24733"/>
      <w:bookmarkStart w:id="134" w:name="_Toc15763"/>
      <w:r>
        <w:rPr>
          <w:rFonts w:hint="eastAsia" w:ascii="宋体" w:hAnsi="宋体" w:eastAsia="宋体" w:cs="宋体"/>
          <w:sz w:val="28"/>
          <w:szCs w:val="28"/>
        </w:rPr>
        <w:t>附表四：计划开、竣工日期和施工进度网络图</w:t>
      </w:r>
      <w:bookmarkEnd w:id="131"/>
      <w:bookmarkEnd w:id="132"/>
      <w:bookmarkEnd w:id="133"/>
      <w:bookmarkEnd w:id="134"/>
    </w:p>
    <w:p>
      <w:pPr>
        <w:spacing w:line="440" w:lineRule="exact"/>
        <w:rPr>
          <w:rFonts w:hint="eastAsia" w:ascii="宋体" w:hAnsi="宋体" w:eastAsia="宋体" w:cs="宋体"/>
          <w:sz w:val="24"/>
        </w:rPr>
      </w:pPr>
    </w:p>
    <w:p>
      <w:pPr>
        <w:spacing w:line="440" w:lineRule="exact"/>
        <w:ind w:firstLine="420" w:firstLineChars="200"/>
        <w:rPr>
          <w:rFonts w:hint="eastAsia" w:ascii="宋体" w:hAnsi="宋体" w:eastAsia="宋体" w:cs="宋体"/>
        </w:rPr>
      </w:pPr>
      <w:r>
        <w:rPr>
          <w:rFonts w:hint="eastAsia" w:ascii="宋体" w:hAnsi="宋体" w:eastAsia="宋体" w:cs="宋体"/>
        </w:rPr>
        <w:t>1．投标人应递交施工进度网络图或施工进度表，说明按招标文件要求的计划工期进行施工的各个关键日期。</w:t>
      </w:r>
    </w:p>
    <w:p>
      <w:pPr>
        <w:spacing w:line="440" w:lineRule="exact"/>
        <w:ind w:firstLine="420" w:firstLineChars="200"/>
        <w:rPr>
          <w:rFonts w:hint="eastAsia" w:ascii="宋体" w:hAnsi="宋体" w:eastAsia="宋体" w:cs="宋体"/>
        </w:rPr>
      </w:pPr>
      <w:r>
        <w:rPr>
          <w:rFonts w:hint="eastAsia" w:ascii="宋体" w:hAnsi="宋体" w:eastAsia="宋体" w:cs="宋体"/>
        </w:rPr>
        <w:t>2．施工进度表可采用网络图和（或）横道图表示。</w:t>
      </w:r>
    </w:p>
    <w:p>
      <w:pPr>
        <w:keepNext/>
        <w:keepLines/>
        <w:spacing w:line="440" w:lineRule="exact"/>
        <w:outlineLvl w:val="1"/>
        <w:rPr>
          <w:rFonts w:hint="eastAsia" w:ascii="宋体" w:hAnsi="宋体" w:eastAsia="宋体" w:cs="宋体"/>
          <w:sz w:val="28"/>
          <w:szCs w:val="28"/>
        </w:rPr>
      </w:pPr>
      <w:r>
        <w:rPr>
          <w:rFonts w:hint="eastAsia" w:ascii="宋体" w:hAnsi="宋体" w:eastAsia="宋体" w:cs="宋体"/>
        </w:rPr>
        <w:br w:type="page"/>
      </w:r>
      <w:bookmarkStart w:id="135" w:name="_Toc18664"/>
      <w:bookmarkStart w:id="136" w:name="_Toc11641"/>
      <w:bookmarkStart w:id="137" w:name="_Toc30193"/>
      <w:bookmarkStart w:id="138" w:name="_Toc448912081"/>
      <w:r>
        <w:rPr>
          <w:rFonts w:hint="eastAsia" w:ascii="宋体" w:hAnsi="宋体" w:eastAsia="宋体" w:cs="宋体"/>
          <w:sz w:val="28"/>
          <w:szCs w:val="28"/>
        </w:rPr>
        <w:t>附表五：施工总平面图</w:t>
      </w:r>
      <w:bookmarkEnd w:id="135"/>
      <w:bookmarkEnd w:id="136"/>
      <w:bookmarkEnd w:id="137"/>
      <w:bookmarkEnd w:id="138"/>
    </w:p>
    <w:p>
      <w:pPr>
        <w:spacing w:line="440" w:lineRule="exact"/>
        <w:ind w:firstLine="420" w:firstLineChars="200"/>
        <w:rPr>
          <w:rFonts w:hint="eastAsia" w:ascii="宋体" w:hAnsi="宋体" w:eastAsia="宋体" w:cs="宋体"/>
        </w:rPr>
      </w:pPr>
    </w:p>
    <w:p>
      <w:pPr>
        <w:spacing w:line="440" w:lineRule="exact"/>
        <w:ind w:firstLine="420" w:firstLineChars="200"/>
        <w:rPr>
          <w:rFonts w:hint="eastAsia" w:ascii="宋体" w:hAnsi="宋体" w:eastAsia="宋体" w:cs="宋体"/>
        </w:rPr>
      </w:pPr>
      <w:r>
        <w:rPr>
          <w:rFonts w:hint="eastAsia" w:ascii="宋体" w:hAnsi="宋体" w:eastAsia="宋体" w:cs="宋体"/>
        </w:rPr>
        <w:t>投标人应递交一份施工总平面图，绘出现场临时设施布置图表并附文字说明，说明临时设施、加工车间、现场办公、设备及仓储、供电、供水、卫生、生活、道路、消防等设施的情况和布置。</w:t>
      </w:r>
    </w:p>
    <w:p>
      <w:pPr>
        <w:keepNext/>
        <w:keepLines/>
        <w:spacing w:line="440" w:lineRule="exact"/>
        <w:outlineLvl w:val="1"/>
        <w:rPr>
          <w:rFonts w:hint="eastAsia" w:ascii="宋体" w:hAnsi="宋体" w:eastAsia="宋体" w:cs="宋体"/>
          <w:sz w:val="28"/>
          <w:szCs w:val="28"/>
          <w:lang w:val="en-US" w:eastAsia="zh-CN"/>
        </w:rPr>
      </w:pPr>
      <w:r>
        <w:rPr>
          <w:rFonts w:hint="eastAsia" w:ascii="宋体" w:hAnsi="宋体" w:eastAsia="宋体" w:cs="宋体"/>
        </w:rPr>
        <w:br w:type="page"/>
      </w:r>
      <w:bookmarkStart w:id="139" w:name="_Toc15163"/>
      <w:bookmarkStart w:id="140" w:name="_Toc448912082"/>
      <w:bookmarkStart w:id="141" w:name="_Toc24439"/>
      <w:bookmarkStart w:id="142" w:name="_Toc22349"/>
      <w:r>
        <w:rPr>
          <w:rFonts w:hint="eastAsia" w:ascii="宋体" w:hAnsi="宋体" w:eastAsia="宋体" w:cs="宋体"/>
          <w:sz w:val="28"/>
          <w:szCs w:val="28"/>
        </w:rPr>
        <w:t>附表六：</w:t>
      </w:r>
      <w:bookmarkEnd w:id="139"/>
      <w:bookmarkEnd w:id="140"/>
      <w:r>
        <w:rPr>
          <w:rFonts w:hint="eastAsia" w:ascii="宋体" w:hAnsi="宋体" w:eastAsia="宋体" w:cs="宋体"/>
          <w:sz w:val="28"/>
          <w:szCs w:val="28"/>
          <w:lang w:val="en-US" w:eastAsia="zh-CN"/>
        </w:rPr>
        <w:t>项目管理机构</w:t>
      </w:r>
      <w:bookmarkEnd w:id="141"/>
      <w:bookmarkEnd w:id="142"/>
    </w:p>
    <w:p>
      <w:pPr>
        <w:spacing w:line="440" w:lineRule="exact"/>
        <w:rPr>
          <w:rFonts w:hint="eastAsia" w:ascii="宋体" w:hAnsi="宋体" w:eastAsia="宋体" w:cs="宋体"/>
          <w:sz w:val="28"/>
          <w:szCs w:val="28"/>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经理</w:t>
      </w:r>
      <w:r>
        <w:rPr>
          <w:rFonts w:hint="eastAsia" w:ascii="宋体" w:hAnsi="宋体" w:eastAsia="宋体" w:cs="宋体"/>
          <w:b/>
          <w:color w:val="auto"/>
          <w:sz w:val="28"/>
          <w:szCs w:val="28"/>
          <w:highlight w:val="none"/>
        </w:rPr>
        <w:t>简况表</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634"/>
        <w:gridCol w:w="1850"/>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姓  名</w:t>
            </w:r>
          </w:p>
        </w:tc>
        <w:tc>
          <w:tcPr>
            <w:tcW w:w="2634"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性别</w:t>
            </w: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年龄</w:t>
            </w:r>
          </w:p>
        </w:tc>
        <w:tc>
          <w:tcPr>
            <w:tcW w:w="2634"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学历</w:t>
            </w: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lang w:val="en-US" w:eastAsia="zh-CN"/>
              </w:rPr>
            </w:pPr>
            <w:r>
              <w:rPr>
                <w:rFonts w:hint="eastAsia" w:ascii="宋体" w:hAnsi="宋体" w:eastAsia="宋体" w:cs="宋体"/>
                <w:color w:val="auto"/>
                <w:spacing w:val="-3"/>
                <w:kern w:val="0"/>
                <w:szCs w:val="21"/>
                <w:highlight w:val="none"/>
                <w:lang w:val="en-US" w:eastAsia="zh-CN"/>
              </w:rPr>
              <w:t>职称</w:t>
            </w:r>
          </w:p>
        </w:tc>
        <w:tc>
          <w:tcPr>
            <w:tcW w:w="2634"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default" w:ascii="宋体" w:hAnsi="宋体" w:eastAsia="宋体" w:cs="宋体"/>
                <w:color w:val="auto"/>
                <w:spacing w:val="-3"/>
                <w:kern w:val="0"/>
                <w:szCs w:val="21"/>
                <w:highlight w:val="none"/>
                <w:lang w:val="en-US" w:eastAsia="zh-CN"/>
              </w:rPr>
            </w:pPr>
            <w:r>
              <w:rPr>
                <w:rFonts w:hint="eastAsia" w:ascii="宋体" w:hAnsi="宋体" w:eastAsia="宋体" w:cs="宋体"/>
                <w:color w:val="auto"/>
                <w:spacing w:val="-3"/>
                <w:kern w:val="0"/>
                <w:szCs w:val="21"/>
                <w:highlight w:val="none"/>
                <w:lang w:val="en-US" w:eastAsia="zh-CN"/>
              </w:rPr>
              <w:t>资格</w:t>
            </w:r>
            <w:r>
              <w:rPr>
                <w:rFonts w:hint="eastAsia" w:ascii="宋体" w:hAnsi="宋体" w:cs="宋体"/>
                <w:color w:val="auto"/>
                <w:spacing w:val="-3"/>
                <w:kern w:val="0"/>
                <w:szCs w:val="21"/>
                <w:highlight w:val="none"/>
                <w:lang w:val="en-US" w:eastAsia="zh-CN"/>
              </w:rPr>
              <w:t>证号</w:t>
            </w: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毕业时间</w:t>
            </w:r>
          </w:p>
        </w:tc>
        <w:tc>
          <w:tcPr>
            <w:tcW w:w="2634"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毕业院校</w:t>
            </w: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所学专业</w:t>
            </w:r>
          </w:p>
        </w:tc>
        <w:tc>
          <w:tcPr>
            <w:tcW w:w="2634"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专业工作年限</w:t>
            </w: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104" w:type="dxa"/>
            <w:gridSpan w:val="2"/>
            <w:shd w:val="clear" w:color="auto" w:fill="auto"/>
            <w:vAlign w:val="center"/>
          </w:tcPr>
          <w:p>
            <w:pPr>
              <w:shd w:val="clea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本项目中担任的职务</w:t>
            </w:r>
          </w:p>
        </w:tc>
        <w:tc>
          <w:tcPr>
            <w:tcW w:w="4896" w:type="dxa"/>
            <w:gridSpan w:val="2"/>
            <w:shd w:val="clear" w:color="auto" w:fill="auto"/>
            <w:vAlign w:val="center"/>
          </w:tcPr>
          <w:p>
            <w:pPr>
              <w:shd w:val="clear"/>
              <w:autoSpaceDE w:val="0"/>
              <w:autoSpaceDN w:val="0"/>
              <w:adjustRightInd w:val="0"/>
              <w:snapToGrid w:val="0"/>
              <w:spacing w:line="520" w:lineRule="exact"/>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00" w:type="dxa"/>
            <w:gridSpan w:val="4"/>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类似工作业绩：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发包人</w:t>
            </w:r>
          </w:p>
        </w:tc>
        <w:tc>
          <w:tcPr>
            <w:tcW w:w="2634"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参加过的类似项目名称</w:t>
            </w: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担任职务</w:t>
            </w: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r>
              <w:rPr>
                <w:rFonts w:hint="eastAsia" w:ascii="宋体" w:hAnsi="宋体" w:eastAsia="宋体" w:cs="宋体"/>
                <w:color w:val="auto"/>
                <w:spacing w:val="-3"/>
                <w:kern w:val="0"/>
                <w:szCs w:val="21"/>
                <w:highlight w:val="none"/>
              </w:rPr>
              <w:t>发包人联系电话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70"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2634" w:type="dxa"/>
            <w:shd w:val="clear" w:color="auto" w:fill="auto"/>
            <w:vAlign w:val="center"/>
          </w:tcPr>
          <w:p>
            <w:pPr>
              <w:shd w:val="clear"/>
              <w:autoSpaceDE w:val="0"/>
              <w:autoSpaceDN w:val="0"/>
              <w:adjustRightInd w:val="0"/>
              <w:snapToGrid w:val="0"/>
              <w:rPr>
                <w:rFonts w:hint="eastAsia" w:ascii="宋体" w:hAnsi="宋体" w:eastAsia="宋体" w:cs="宋体"/>
                <w:color w:val="auto"/>
                <w:spacing w:val="-3"/>
                <w:kern w:val="0"/>
                <w:szCs w:val="21"/>
                <w:highlight w:val="none"/>
              </w:rPr>
            </w:pPr>
          </w:p>
        </w:tc>
        <w:tc>
          <w:tcPr>
            <w:tcW w:w="1850"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c>
          <w:tcPr>
            <w:tcW w:w="3046" w:type="dxa"/>
            <w:shd w:val="clear" w:color="auto" w:fill="auto"/>
            <w:vAlign w:val="center"/>
          </w:tcPr>
          <w:p>
            <w:pPr>
              <w:shd w:val="clear"/>
              <w:autoSpaceDE w:val="0"/>
              <w:autoSpaceDN w:val="0"/>
              <w:adjustRightInd w:val="0"/>
              <w:snapToGrid w:val="0"/>
              <w:jc w:val="center"/>
              <w:rPr>
                <w:rFonts w:hint="eastAsia" w:ascii="宋体" w:hAnsi="宋体" w:eastAsia="宋体" w:cs="宋体"/>
                <w:color w:val="auto"/>
                <w:spacing w:val="-3"/>
                <w:kern w:val="0"/>
                <w:szCs w:val="21"/>
                <w:highlight w:val="none"/>
              </w:rPr>
            </w:pPr>
          </w:p>
        </w:tc>
      </w:tr>
    </w:tbl>
    <w:p>
      <w:pPr>
        <w:shd w:val="clear"/>
        <w:spacing w:line="360" w:lineRule="auto"/>
        <w:rPr>
          <w:rFonts w:hint="eastAsia" w:ascii="宋体" w:hAnsi="宋体" w:eastAsia="宋体" w:cs="宋体"/>
          <w:color w:val="auto"/>
          <w:sz w:val="18"/>
          <w:szCs w:val="18"/>
          <w:highlight w:val="none"/>
        </w:rPr>
      </w:pPr>
    </w:p>
    <w:p>
      <w:pPr>
        <w:shd w:val="clea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val="en-US" w:eastAsia="zh-CN"/>
        </w:rPr>
        <w:t>后附项目经理相关证明材料，复印件加盖公章。</w:t>
      </w:r>
    </w:p>
    <w:p>
      <w:pPr>
        <w:shd w:val="clear"/>
        <w:spacing w:line="520" w:lineRule="exact"/>
        <w:rPr>
          <w:rFonts w:hint="eastAsia" w:ascii="宋体" w:hAnsi="宋体" w:eastAsia="宋体" w:cs="宋体"/>
          <w:color w:val="auto"/>
          <w:szCs w:val="21"/>
          <w:highlight w:val="none"/>
        </w:rPr>
      </w:pPr>
    </w:p>
    <w:p>
      <w:pPr>
        <w:pStyle w:val="28"/>
        <w:shd w:val="clear"/>
        <w:spacing w:before="0" w:beforeAutospacing="0" w:after="0" w:afterAutospacing="0" w:line="480" w:lineRule="auto"/>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（盖单位章）</w:t>
      </w:r>
    </w:p>
    <w:p>
      <w:pPr>
        <w:pStyle w:val="28"/>
        <w:shd w:val="clear"/>
        <w:spacing w:before="0" w:beforeAutospacing="0" w:after="0" w:afterAutospacing="0" w:line="48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法定代表人或授权代理人：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（签字或盖章）</w:t>
      </w:r>
    </w:p>
    <w:p>
      <w:pPr>
        <w:shd w:val="clear"/>
        <w:adjustRightInd w:val="0"/>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eastAsia="zh-CN"/>
        </w:rPr>
        <w:t>日</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eastAsia="zh-CN"/>
        </w:rPr>
        <w:t>期：</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日</w:t>
      </w:r>
    </w:p>
    <w:p>
      <w:pPr>
        <w:rPr>
          <w:rFonts w:hint="eastAsia" w:ascii="宋体" w:hAnsi="宋体" w:eastAsia="宋体" w:cs="宋体"/>
          <w:b/>
          <w:color w:val="auto"/>
          <w:sz w:val="28"/>
          <w:szCs w:val="28"/>
          <w:highlight w:val="none"/>
        </w:rPr>
      </w:pPr>
    </w:p>
    <w:p>
      <w:pPr>
        <w:pStyle w:val="6"/>
        <w:rPr>
          <w:rFonts w:hint="eastAsia" w:ascii="宋体" w:hAnsi="宋体" w:eastAsia="宋体" w:cs="宋体"/>
          <w:color w:val="auto"/>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hd w:val="clear"/>
        <w:spacing w:beforeLines="50" w:line="48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项目人员组成表</w:t>
      </w:r>
    </w:p>
    <w:tbl>
      <w:tblPr>
        <w:tblStyle w:val="3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05"/>
        <w:gridCol w:w="1125"/>
        <w:gridCol w:w="1695"/>
        <w:gridCol w:w="1335"/>
        <w:gridCol w:w="1380"/>
        <w:gridCol w:w="1290"/>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r>
              <w:rPr>
                <w:rFonts w:hint="eastAsia" w:ascii="宋体" w:hAnsi="宋体" w:eastAsia="宋体" w:cs="宋体"/>
                <w:color w:val="auto"/>
                <w:spacing w:val="-3"/>
                <w:kern w:val="0"/>
                <w:szCs w:val="21"/>
                <w:highlight w:val="none"/>
              </w:rPr>
              <w:t>专业</w:t>
            </w: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专业</w:t>
            </w:r>
            <w:r>
              <w:rPr>
                <w:rFonts w:hint="eastAsia" w:ascii="宋体" w:hAnsi="宋体" w:eastAsia="宋体" w:cs="宋体"/>
                <w:color w:val="auto"/>
                <w:spacing w:val="-3"/>
                <w:kern w:val="0"/>
                <w:szCs w:val="21"/>
                <w:highlight w:val="none"/>
              </w:rPr>
              <w:t>工作年限</w:t>
            </w: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职称</w:t>
            </w:r>
          </w:p>
        </w:tc>
        <w:tc>
          <w:tcPr>
            <w:tcW w:w="1380" w:type="dxa"/>
            <w:tcBorders>
              <w:left w:val="single" w:color="auto" w:sz="4" w:space="0"/>
            </w:tcBorders>
            <w:vAlign w:val="center"/>
          </w:tcPr>
          <w:p>
            <w:pPr>
              <w:shd w:val="clear"/>
              <w:adjustRightInd w:val="0"/>
              <w:snapToGrid w:val="0"/>
              <w:spacing w:line="240" w:lineRule="auto"/>
              <w:ind w:right="24"/>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资格</w:t>
            </w:r>
            <w:r>
              <w:rPr>
                <w:rFonts w:hint="eastAsia" w:ascii="宋体" w:hAnsi="宋体" w:cs="宋体"/>
                <w:bCs/>
                <w:color w:val="auto"/>
                <w:szCs w:val="21"/>
                <w:highlight w:val="none"/>
                <w:lang w:val="en-US" w:eastAsia="zh-CN"/>
              </w:rPr>
              <w:t>证号</w:t>
            </w: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拟任职务</w:t>
            </w: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w:t>
            </w:r>
          </w:p>
        </w:tc>
        <w:tc>
          <w:tcPr>
            <w:tcW w:w="130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12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69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35" w:type="dxa"/>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38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1290"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c>
          <w:tcPr>
            <w:tcW w:w="793" w:type="dxa"/>
            <w:tcBorders>
              <w:left w:val="single" w:color="auto" w:sz="4" w:space="0"/>
            </w:tcBorders>
            <w:vAlign w:val="center"/>
          </w:tcPr>
          <w:p>
            <w:pPr>
              <w:shd w:val="clear"/>
              <w:adjustRightInd w:val="0"/>
              <w:snapToGrid w:val="0"/>
              <w:spacing w:line="240" w:lineRule="auto"/>
              <w:ind w:right="24"/>
              <w:jc w:val="center"/>
              <w:rPr>
                <w:rFonts w:hint="eastAsia" w:ascii="宋体" w:hAnsi="宋体" w:eastAsia="宋体" w:cs="宋体"/>
                <w:bCs/>
                <w:color w:val="auto"/>
                <w:szCs w:val="21"/>
                <w:highlight w:val="none"/>
              </w:rPr>
            </w:pPr>
          </w:p>
        </w:tc>
      </w:tr>
    </w:tbl>
    <w:p>
      <w:pPr>
        <w:shd w:val="clear"/>
        <w:spacing w:line="48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val="en-US" w:eastAsia="zh-CN"/>
        </w:rPr>
        <w:t>后附项目人员</w:t>
      </w:r>
      <w:r>
        <w:rPr>
          <w:rFonts w:hint="eastAsia" w:ascii="宋体" w:hAnsi="宋体" w:cs="宋体"/>
          <w:color w:val="auto"/>
          <w:szCs w:val="21"/>
          <w:highlight w:val="none"/>
          <w:lang w:val="en-US" w:eastAsia="zh-CN"/>
        </w:rPr>
        <w:t>资格证（岗位证）或职称证等</w:t>
      </w:r>
      <w:r>
        <w:rPr>
          <w:rFonts w:hint="eastAsia" w:ascii="宋体" w:hAnsi="宋体" w:eastAsia="宋体" w:cs="宋体"/>
          <w:color w:val="auto"/>
          <w:szCs w:val="21"/>
          <w:highlight w:val="none"/>
          <w:lang w:val="en-US" w:eastAsia="zh-CN"/>
        </w:rPr>
        <w:t>相关证明材料复印件加盖公章。</w:t>
      </w:r>
      <w:r>
        <w:rPr>
          <w:rFonts w:hint="eastAsia" w:ascii="宋体" w:hAnsi="宋体" w:eastAsia="宋体" w:cs="宋体"/>
          <w:color w:val="auto"/>
          <w:sz w:val="21"/>
          <w:szCs w:val="21"/>
          <w:highlight w:val="none"/>
          <w:lang w:eastAsia="zh-CN"/>
        </w:rPr>
        <w:t>页面可相同格式扩展。</w:t>
      </w:r>
    </w:p>
    <w:p>
      <w:pPr>
        <w:shd w:val="clear"/>
        <w:spacing w:line="520" w:lineRule="exact"/>
        <w:rPr>
          <w:rFonts w:hint="eastAsia" w:ascii="宋体" w:hAnsi="宋体" w:eastAsia="宋体" w:cs="宋体"/>
          <w:color w:val="auto"/>
          <w:szCs w:val="21"/>
          <w:highlight w:val="none"/>
        </w:rPr>
      </w:pPr>
    </w:p>
    <w:p>
      <w:pPr>
        <w:pStyle w:val="28"/>
        <w:shd w:val="clear"/>
        <w:spacing w:before="0" w:beforeAutospacing="0" w:after="0" w:afterAutospacing="0" w:line="480" w:lineRule="auto"/>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（盖单位章）</w:t>
      </w:r>
    </w:p>
    <w:p>
      <w:pPr>
        <w:pStyle w:val="28"/>
        <w:shd w:val="clear"/>
        <w:spacing w:before="0" w:beforeAutospacing="0" w:after="0" w:afterAutospacing="0" w:line="48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法定代表人或授权代理人：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（签字或盖章）</w:t>
      </w:r>
    </w:p>
    <w:p>
      <w:pPr>
        <w:shd w:val="clear"/>
        <w:adjustRightInd w:val="0"/>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eastAsia="zh-CN"/>
        </w:rPr>
        <w:t>日</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eastAsia="zh-CN"/>
        </w:rPr>
        <w:t>期：</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日</w:t>
      </w:r>
    </w:p>
    <w:p>
      <w:pPr>
        <w:shd w:val="clear"/>
        <w:jc w:val="center"/>
        <w:outlineLvl w:val="1"/>
        <w:rPr>
          <w:rFonts w:hint="eastAsia" w:ascii="宋体" w:hAnsi="宋体" w:cs="Times New Roman"/>
          <w:b/>
          <w:color w:val="auto"/>
          <w:kern w:val="2"/>
          <w:sz w:val="36"/>
          <w:szCs w:val="36"/>
          <w:highlight w:val="none"/>
          <w:lang w:val="en-US" w:eastAsia="zh-CN" w:bidi="ar-SA"/>
        </w:rPr>
      </w:pPr>
    </w:p>
    <w:p>
      <w:pPr>
        <w:shd w:val="clear"/>
        <w:jc w:val="center"/>
        <w:outlineLvl w:val="1"/>
        <w:rPr>
          <w:rFonts w:hint="eastAsia" w:ascii="宋体" w:hAnsi="宋体" w:cs="Times New Roman"/>
          <w:b/>
          <w:color w:val="auto"/>
          <w:kern w:val="2"/>
          <w:sz w:val="36"/>
          <w:szCs w:val="36"/>
          <w:highlight w:val="none"/>
          <w:lang w:val="en-US" w:eastAsia="zh-CN" w:bidi="ar-SA"/>
        </w:rPr>
      </w:pPr>
    </w:p>
    <w:p>
      <w:pPr>
        <w:shd w:val="clear"/>
        <w:jc w:val="center"/>
        <w:outlineLvl w:val="1"/>
        <w:rPr>
          <w:b/>
          <w:color w:val="auto"/>
          <w:sz w:val="36"/>
          <w:szCs w:val="36"/>
          <w:highlight w:val="none"/>
        </w:rPr>
      </w:pPr>
      <w:bookmarkStart w:id="143" w:name="_Toc29567"/>
      <w:bookmarkStart w:id="144" w:name="_Toc307"/>
      <w:r>
        <w:rPr>
          <w:rFonts w:hint="eastAsia" w:ascii="宋体" w:hAnsi="宋体" w:cs="Times New Roman"/>
          <w:b/>
          <w:color w:val="auto"/>
          <w:kern w:val="2"/>
          <w:sz w:val="36"/>
          <w:szCs w:val="36"/>
          <w:highlight w:val="none"/>
          <w:lang w:val="en-US" w:eastAsia="zh-CN" w:bidi="ar-SA"/>
        </w:rPr>
        <w:t>四</w:t>
      </w:r>
      <w:r>
        <w:rPr>
          <w:rFonts w:hint="eastAsia" w:ascii="宋体" w:hAnsi="宋体" w:eastAsia="宋体" w:cs="Times New Roman"/>
          <w:b/>
          <w:color w:val="auto"/>
          <w:kern w:val="2"/>
          <w:sz w:val="36"/>
          <w:szCs w:val="36"/>
          <w:highlight w:val="none"/>
          <w:lang w:val="en-US" w:eastAsia="zh-CN" w:bidi="ar-SA"/>
        </w:rPr>
        <w:t>、</w:t>
      </w:r>
      <w:r>
        <w:rPr>
          <w:rFonts w:hint="eastAsia" w:ascii="宋体" w:hAnsi="宋体"/>
          <w:b/>
          <w:bCs/>
          <w:color w:val="auto"/>
          <w:sz w:val="36"/>
          <w:szCs w:val="36"/>
          <w:highlight w:val="none"/>
        </w:rPr>
        <w:t>商务条款</w:t>
      </w:r>
      <w:r>
        <w:rPr>
          <w:rFonts w:hint="eastAsia"/>
          <w:b/>
          <w:color w:val="auto"/>
          <w:sz w:val="36"/>
          <w:szCs w:val="36"/>
          <w:highlight w:val="none"/>
        </w:rPr>
        <w:t>偏离表</w:t>
      </w:r>
      <w:bookmarkEnd w:id="143"/>
      <w:bookmarkEnd w:id="144"/>
    </w:p>
    <w:p>
      <w:pPr>
        <w:pStyle w:val="6"/>
        <w:shd w:val="clear"/>
        <w:spacing w:beforeLines="50" w:afterLines="50"/>
        <w:ind w:firstLine="0"/>
        <w:rPr>
          <w:color w:val="auto"/>
          <w:highlight w:val="none"/>
        </w:rPr>
      </w:pPr>
    </w:p>
    <w:p>
      <w:pPr>
        <w:pStyle w:val="6"/>
        <w:shd w:val="clear"/>
        <w:spacing w:beforeLines="50" w:afterLines="50"/>
        <w:ind w:firstLine="630" w:firstLineChars="300"/>
        <w:rPr>
          <w:rFonts w:hint="eastAsia" w:ascii="宋体" w:hAnsi="宋体"/>
          <w:color w:val="auto"/>
          <w:highlight w:val="none"/>
        </w:rPr>
      </w:pPr>
      <w:r>
        <w:rPr>
          <w:rFonts w:hint="eastAsia" w:ascii="宋体" w:hAnsi="宋体"/>
          <w:color w:val="auto"/>
          <w:highlight w:val="none"/>
        </w:rPr>
        <w:t>项目</w:t>
      </w:r>
      <w:r>
        <w:rPr>
          <w:rFonts w:hint="eastAsia" w:ascii="宋体" w:hAnsi="宋体"/>
          <w:color w:val="auto"/>
          <w:highlight w:val="none"/>
          <w:lang w:eastAsia="zh-CN"/>
        </w:rPr>
        <w:t>名称</w:t>
      </w:r>
      <w:r>
        <w:rPr>
          <w:rFonts w:hint="eastAsia"/>
          <w:color w:val="auto"/>
          <w:highlight w:val="none"/>
        </w:rPr>
        <w:t xml:space="preserve">：                          </w:t>
      </w:r>
      <w:r>
        <w:rPr>
          <w:rFonts w:hint="eastAsia" w:ascii="宋体" w:hAnsi="宋体"/>
          <w:color w:val="auto"/>
          <w:highlight w:val="none"/>
        </w:rPr>
        <w:t xml:space="preserve">                   项目编号：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73"/>
        <w:gridCol w:w="1435"/>
        <w:gridCol w:w="2074"/>
        <w:gridCol w:w="104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序号</w:t>
            </w:r>
          </w:p>
        </w:tc>
        <w:tc>
          <w:tcPr>
            <w:tcW w:w="1473" w:type="dxa"/>
            <w:vAlign w:val="center"/>
          </w:tcPr>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文件条目号</w:t>
            </w:r>
          </w:p>
        </w:tc>
        <w:tc>
          <w:tcPr>
            <w:tcW w:w="1435" w:type="dxa"/>
            <w:vAlign w:val="center"/>
          </w:tcPr>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lang w:eastAsia="zh-CN"/>
              </w:rPr>
              <w:t>谈判</w:t>
            </w:r>
            <w:r>
              <w:rPr>
                <w:rFonts w:hint="eastAsia" w:ascii="宋体" w:hAnsi="宋体"/>
                <w:b w:val="0"/>
                <w:bCs w:val="0"/>
                <w:color w:val="auto"/>
                <w:szCs w:val="21"/>
                <w:highlight w:val="none"/>
              </w:rPr>
              <w:t>文件</w:t>
            </w:r>
          </w:p>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商务要求</w:t>
            </w:r>
          </w:p>
        </w:tc>
        <w:tc>
          <w:tcPr>
            <w:tcW w:w="2074" w:type="dxa"/>
            <w:vAlign w:val="center"/>
          </w:tcPr>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响应文件</w:t>
            </w:r>
          </w:p>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商务响应</w:t>
            </w:r>
          </w:p>
        </w:tc>
        <w:tc>
          <w:tcPr>
            <w:tcW w:w="1040" w:type="dxa"/>
            <w:vAlign w:val="center"/>
          </w:tcPr>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偏离</w:t>
            </w:r>
          </w:p>
        </w:tc>
        <w:tc>
          <w:tcPr>
            <w:tcW w:w="2020" w:type="dxa"/>
            <w:vAlign w:val="center"/>
          </w:tcPr>
          <w:p>
            <w:pPr>
              <w:shd w:val="clear"/>
              <w:adjustRightInd w:val="0"/>
              <w:snapToGrid w:val="0"/>
              <w:ind w:right="23"/>
              <w:jc w:val="center"/>
              <w:rPr>
                <w:rFonts w:ascii="宋体" w:hAnsi="宋体"/>
                <w:b w:val="0"/>
                <w:bCs w:val="0"/>
                <w:color w:val="auto"/>
                <w:szCs w:val="21"/>
                <w:highlight w:val="none"/>
              </w:rPr>
            </w:pPr>
            <w:r>
              <w:rPr>
                <w:rFonts w:hint="eastAsia" w:ascii="宋体" w:hAnsi="宋体"/>
                <w:b w:val="0"/>
                <w:bCs w:val="0"/>
                <w:color w:val="auto"/>
                <w:szCs w:val="21"/>
                <w:highlight w:val="none"/>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hd w:val="clear"/>
              <w:adjustRightInd w:val="0"/>
              <w:snapToGrid w:val="0"/>
              <w:spacing w:line="360" w:lineRule="auto"/>
              <w:ind w:right="24"/>
              <w:rPr>
                <w:rFonts w:ascii="黑体" w:hAnsi="华文中宋" w:eastAsia="黑体"/>
                <w:bCs/>
                <w:color w:val="auto"/>
                <w:sz w:val="24"/>
                <w:highlight w:val="none"/>
              </w:rPr>
            </w:pPr>
          </w:p>
        </w:tc>
        <w:tc>
          <w:tcPr>
            <w:tcW w:w="1473" w:type="dxa"/>
          </w:tcPr>
          <w:p>
            <w:pPr>
              <w:shd w:val="clear"/>
              <w:adjustRightInd w:val="0"/>
              <w:snapToGrid w:val="0"/>
              <w:spacing w:line="360" w:lineRule="auto"/>
              <w:ind w:right="24"/>
              <w:rPr>
                <w:rFonts w:ascii="黑体" w:hAnsi="华文中宋" w:eastAsia="黑体"/>
                <w:bCs/>
                <w:color w:val="auto"/>
                <w:sz w:val="24"/>
                <w:highlight w:val="none"/>
              </w:rPr>
            </w:pPr>
          </w:p>
        </w:tc>
        <w:tc>
          <w:tcPr>
            <w:tcW w:w="1435" w:type="dxa"/>
          </w:tcPr>
          <w:p>
            <w:pPr>
              <w:shd w:val="clear"/>
              <w:adjustRightInd w:val="0"/>
              <w:snapToGrid w:val="0"/>
              <w:spacing w:line="360" w:lineRule="auto"/>
              <w:ind w:right="24"/>
              <w:rPr>
                <w:rFonts w:ascii="黑体" w:hAnsi="华文中宋" w:eastAsia="黑体"/>
                <w:bCs/>
                <w:color w:val="auto"/>
                <w:sz w:val="24"/>
                <w:highlight w:val="none"/>
              </w:rPr>
            </w:pPr>
          </w:p>
        </w:tc>
        <w:tc>
          <w:tcPr>
            <w:tcW w:w="2074" w:type="dxa"/>
          </w:tcPr>
          <w:p>
            <w:pPr>
              <w:shd w:val="clear"/>
              <w:adjustRightInd w:val="0"/>
              <w:snapToGrid w:val="0"/>
              <w:spacing w:line="360" w:lineRule="auto"/>
              <w:ind w:right="24"/>
              <w:rPr>
                <w:rFonts w:ascii="黑体" w:hAnsi="华文中宋" w:eastAsia="黑体"/>
                <w:bCs/>
                <w:color w:val="auto"/>
                <w:sz w:val="24"/>
                <w:highlight w:val="none"/>
              </w:rPr>
            </w:pPr>
          </w:p>
        </w:tc>
        <w:tc>
          <w:tcPr>
            <w:tcW w:w="1040" w:type="dxa"/>
          </w:tcPr>
          <w:p>
            <w:pPr>
              <w:shd w:val="clear"/>
              <w:adjustRightInd w:val="0"/>
              <w:snapToGrid w:val="0"/>
              <w:spacing w:line="360" w:lineRule="auto"/>
              <w:ind w:right="24"/>
              <w:rPr>
                <w:rFonts w:ascii="黑体" w:hAnsi="华文中宋" w:eastAsia="黑体"/>
                <w:bCs/>
                <w:color w:val="auto"/>
                <w:sz w:val="24"/>
                <w:highlight w:val="none"/>
              </w:rPr>
            </w:pPr>
          </w:p>
        </w:tc>
        <w:tc>
          <w:tcPr>
            <w:tcW w:w="2020" w:type="dxa"/>
          </w:tcPr>
          <w:p>
            <w:pPr>
              <w:shd w:val="clear"/>
              <w:adjustRightInd w:val="0"/>
              <w:snapToGrid w:val="0"/>
              <w:spacing w:line="360" w:lineRule="auto"/>
              <w:ind w:right="24"/>
              <w:rPr>
                <w:rFonts w:ascii="黑体" w:hAnsi="华文中宋" w:eastAsia="黑体"/>
                <w:bCs/>
                <w:color w:val="auto"/>
                <w:sz w:val="24"/>
                <w:highlight w:val="none"/>
              </w:rPr>
            </w:pPr>
          </w:p>
        </w:tc>
      </w:tr>
    </w:tbl>
    <w:p>
      <w:pPr>
        <w:shd w:val="clear"/>
        <w:spacing w:beforeLines="50" w:line="400" w:lineRule="exact"/>
        <w:rPr>
          <w:rFonts w:ascii="楷体" w:hAnsi="楷体" w:eastAsia="楷体"/>
          <w:color w:val="auto"/>
          <w:szCs w:val="21"/>
          <w:highlight w:val="none"/>
        </w:rPr>
      </w:pPr>
      <w:r>
        <w:rPr>
          <w:rFonts w:hint="eastAsia" w:ascii="楷体" w:hAnsi="楷体" w:eastAsia="楷体"/>
          <w:color w:val="auto"/>
          <w:szCs w:val="21"/>
          <w:highlight w:val="none"/>
        </w:rPr>
        <w:t>说明：</w:t>
      </w:r>
    </w:p>
    <w:p>
      <w:pPr>
        <w:shd w:val="clear"/>
        <w:spacing w:line="400" w:lineRule="exact"/>
        <w:ind w:left="141" w:leftChars="67" w:firstLine="592" w:firstLineChars="282"/>
        <w:rPr>
          <w:rFonts w:ascii="楷体" w:hAnsi="楷体" w:eastAsia="楷体"/>
          <w:color w:val="auto"/>
          <w:szCs w:val="21"/>
          <w:highlight w:val="none"/>
        </w:rPr>
      </w:pPr>
      <w:r>
        <w:rPr>
          <w:rFonts w:hint="eastAsia" w:ascii="楷体" w:hAnsi="楷体" w:eastAsia="楷体"/>
          <w:color w:val="auto"/>
          <w:szCs w:val="21"/>
          <w:highlight w:val="none"/>
        </w:rPr>
        <w:t>1.本表只填写响应文件中与</w:t>
      </w:r>
      <w:r>
        <w:rPr>
          <w:rFonts w:hint="eastAsia" w:ascii="楷体" w:hAnsi="楷体" w:eastAsia="楷体"/>
          <w:color w:val="auto"/>
          <w:szCs w:val="21"/>
          <w:highlight w:val="none"/>
          <w:lang w:eastAsia="zh-CN"/>
        </w:rPr>
        <w:t>谈判</w:t>
      </w:r>
      <w:r>
        <w:rPr>
          <w:rFonts w:hint="eastAsia" w:ascii="楷体" w:hAnsi="楷体" w:eastAsia="楷体"/>
          <w:color w:val="auto"/>
          <w:szCs w:val="21"/>
          <w:highlight w:val="none"/>
        </w:rPr>
        <w:t>文件有偏离（包括正偏离和负偏离）的内容，响应文件中商务响应与</w:t>
      </w:r>
      <w:r>
        <w:rPr>
          <w:rFonts w:hint="eastAsia" w:ascii="楷体" w:hAnsi="楷体" w:eastAsia="楷体"/>
          <w:color w:val="auto"/>
          <w:szCs w:val="21"/>
          <w:highlight w:val="none"/>
          <w:lang w:eastAsia="zh-CN"/>
        </w:rPr>
        <w:t>谈判</w:t>
      </w:r>
      <w:r>
        <w:rPr>
          <w:rFonts w:hint="eastAsia" w:ascii="楷体" w:hAnsi="楷体" w:eastAsia="楷体"/>
          <w:color w:val="auto"/>
          <w:szCs w:val="21"/>
          <w:highlight w:val="none"/>
        </w:rPr>
        <w:t>文件要求完全一致的，不用在此表中列出，但必须提交空白表。</w:t>
      </w:r>
    </w:p>
    <w:p>
      <w:pPr>
        <w:shd w:val="clear"/>
        <w:spacing w:line="400" w:lineRule="exact"/>
        <w:ind w:left="141" w:leftChars="67" w:firstLine="630" w:firstLineChars="300"/>
        <w:rPr>
          <w:rFonts w:ascii="楷体" w:hAnsi="楷体" w:eastAsia="楷体"/>
          <w:color w:val="auto"/>
          <w:szCs w:val="21"/>
          <w:highlight w:val="none"/>
        </w:rPr>
      </w:pPr>
      <w:r>
        <w:rPr>
          <w:rFonts w:hint="eastAsia" w:ascii="楷体" w:hAnsi="楷体" w:eastAsia="楷体"/>
          <w:color w:val="auto"/>
          <w:szCs w:val="21"/>
          <w:highlight w:val="none"/>
        </w:rPr>
        <w:t>2.供应商必须据实填写，不得虚假响应，否则将取消其</w:t>
      </w:r>
      <w:r>
        <w:rPr>
          <w:rFonts w:hint="eastAsia" w:ascii="楷体" w:hAnsi="楷体" w:eastAsia="楷体"/>
          <w:color w:val="auto"/>
          <w:szCs w:val="21"/>
          <w:highlight w:val="none"/>
          <w:lang w:eastAsia="zh-CN"/>
        </w:rPr>
        <w:t>谈判</w:t>
      </w:r>
      <w:r>
        <w:rPr>
          <w:rFonts w:hint="eastAsia" w:ascii="楷体" w:hAnsi="楷体" w:eastAsia="楷体"/>
          <w:color w:val="auto"/>
          <w:szCs w:val="21"/>
          <w:highlight w:val="none"/>
        </w:rPr>
        <w:t>或成交资格，并按有关规定进处罚。</w:t>
      </w:r>
    </w:p>
    <w:p>
      <w:pPr>
        <w:shd w:val="clear"/>
        <w:adjustRightInd w:val="0"/>
        <w:spacing w:line="400" w:lineRule="exact"/>
        <w:ind w:firstLine="560" w:firstLineChars="200"/>
        <w:jc w:val="left"/>
        <w:rPr>
          <w:rFonts w:ascii="仿宋_GB2312" w:hAnsi="宋体" w:eastAsia="仿宋_GB2312"/>
          <w:bCs/>
          <w:color w:val="auto"/>
          <w:sz w:val="28"/>
          <w:szCs w:val="28"/>
          <w:highlight w:val="none"/>
        </w:rPr>
      </w:pPr>
    </w:p>
    <w:p>
      <w:pPr>
        <w:pStyle w:val="28"/>
        <w:shd w:val="clear"/>
        <w:spacing w:before="0" w:beforeAutospacing="0" w:after="0" w:afterAutospacing="0" w:line="480" w:lineRule="auto"/>
        <w:ind w:firstLine="2940" w:firstLineChars="1400"/>
        <w:rPr>
          <w:color w:val="auto"/>
          <w:sz w:val="21"/>
          <w:szCs w:val="21"/>
          <w:highlight w:val="none"/>
          <w:u w:val="single"/>
        </w:rPr>
      </w:pPr>
      <w:r>
        <w:rPr>
          <w:rFonts w:hint="eastAsia"/>
          <w:color w:val="auto"/>
          <w:sz w:val="21"/>
          <w:szCs w:val="21"/>
          <w:highlight w:val="none"/>
        </w:rPr>
        <w:t>供应商名称：</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bCs/>
          <w:color w:val="auto"/>
          <w:sz w:val="21"/>
          <w:szCs w:val="21"/>
          <w:highlight w:val="none"/>
        </w:rPr>
        <w:t>（盖单位章）</w:t>
      </w:r>
    </w:p>
    <w:p>
      <w:pPr>
        <w:pStyle w:val="28"/>
        <w:shd w:val="clear"/>
        <w:spacing w:before="0" w:beforeAutospacing="0" w:after="0" w:afterAutospacing="0" w:line="480" w:lineRule="auto"/>
        <w:ind w:firstLine="2940" w:firstLineChars="1400"/>
        <w:rPr>
          <w:rFonts w:hint="eastAsia"/>
          <w:color w:val="auto"/>
          <w:sz w:val="21"/>
          <w:szCs w:val="21"/>
          <w:highlight w:val="none"/>
          <w:u w:val="none"/>
        </w:rPr>
      </w:pPr>
      <w:r>
        <w:rPr>
          <w:rFonts w:hint="eastAsia"/>
          <w:color w:val="auto"/>
          <w:sz w:val="21"/>
          <w:szCs w:val="21"/>
          <w:highlight w:val="none"/>
        </w:rPr>
        <w:t>法定代表人或授权代理人：</w:t>
      </w:r>
      <w:r>
        <w:rPr>
          <w:rFonts w:hint="eastAsia"/>
          <w:color w:val="auto"/>
          <w:sz w:val="21"/>
          <w:szCs w:val="21"/>
          <w:highlight w:val="none"/>
          <w:u w:val="single"/>
        </w:rPr>
        <w:t xml:space="preserve">         </w:t>
      </w:r>
      <w:r>
        <w:rPr>
          <w:rFonts w:hint="eastAsia"/>
          <w:color w:val="auto"/>
          <w:sz w:val="21"/>
          <w:szCs w:val="21"/>
          <w:highlight w:val="none"/>
          <w:u w:val="none"/>
        </w:rPr>
        <w:t>（签字或盖章）</w:t>
      </w:r>
    </w:p>
    <w:p>
      <w:pPr>
        <w:pStyle w:val="28"/>
        <w:shd w:val="clear"/>
        <w:spacing w:before="0" w:beforeAutospacing="0" w:after="0" w:afterAutospacing="0" w:line="480" w:lineRule="auto"/>
        <w:ind w:firstLine="2940" w:firstLineChars="1400"/>
        <w:rPr>
          <w:rFonts w:hint="eastAsia" w:eastAsia="宋体"/>
          <w:color w:val="auto"/>
          <w:sz w:val="21"/>
          <w:szCs w:val="21"/>
          <w:highlight w:val="none"/>
          <w:lang w:val="en-US" w:eastAsia="zh-CN"/>
        </w:rPr>
        <w:sectPr>
          <w:headerReference r:id="rId13" w:type="default"/>
          <w:footerReference r:id="rId15" w:type="default"/>
          <w:headerReference r:id="rId14" w:type="even"/>
          <w:footerReference r:id="rId16" w:type="even"/>
          <w:pgSz w:w="11907" w:h="16840"/>
          <w:pgMar w:top="1440" w:right="1080" w:bottom="1440" w:left="1080" w:header="851" w:footer="992" w:gutter="0"/>
          <w:pgBorders>
            <w:top w:val="none" w:sz="0" w:space="0"/>
            <w:left w:val="none" w:sz="0" w:space="0"/>
            <w:bottom w:val="none" w:sz="0" w:space="0"/>
            <w:right w:val="none" w:sz="0" w:space="0"/>
          </w:pgBorders>
          <w:cols w:space="720" w:num="1"/>
          <w:titlePg/>
        </w:sectPr>
      </w:pPr>
      <w:r>
        <w:rPr>
          <w:rFonts w:hint="eastAsia"/>
          <w:color w:val="auto"/>
          <w:sz w:val="21"/>
          <w:szCs w:val="21"/>
          <w:highlight w:val="none"/>
          <w:u w:val="none"/>
          <w:lang w:eastAsia="zh-CN"/>
        </w:rPr>
        <w:t>日</w:t>
      </w:r>
      <w:r>
        <w:rPr>
          <w:rFonts w:hint="eastAsia"/>
          <w:color w:val="auto"/>
          <w:sz w:val="21"/>
          <w:szCs w:val="21"/>
          <w:highlight w:val="none"/>
          <w:u w:val="none"/>
          <w:lang w:val="en-US" w:eastAsia="zh-CN"/>
        </w:rPr>
        <w:t xml:space="preserve">      </w:t>
      </w:r>
      <w:r>
        <w:rPr>
          <w:rFonts w:hint="eastAsia"/>
          <w:color w:val="auto"/>
          <w:sz w:val="21"/>
          <w:szCs w:val="21"/>
          <w:highlight w:val="none"/>
          <w:u w:val="none"/>
          <w:lang w:eastAsia="zh-CN"/>
        </w:rPr>
        <w:t>期：</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日</w:t>
      </w:r>
    </w:p>
    <w:bookmarkEnd w:id="122"/>
    <w:p>
      <w:pPr>
        <w:shd w:val="clear"/>
        <w:adjustRightInd w:val="0"/>
        <w:snapToGrid w:val="0"/>
        <w:spacing w:line="240" w:lineRule="auto"/>
        <w:jc w:val="center"/>
        <w:outlineLvl w:val="1"/>
        <w:rPr>
          <w:rFonts w:hint="eastAsia" w:ascii="宋体" w:hAnsi="宋体"/>
          <w:b/>
          <w:bCs/>
          <w:color w:val="auto"/>
          <w:sz w:val="36"/>
          <w:szCs w:val="36"/>
          <w:highlight w:val="none"/>
        </w:rPr>
      </w:pPr>
      <w:bookmarkStart w:id="145" w:name="_Toc12601"/>
      <w:bookmarkStart w:id="146" w:name="_Toc12907"/>
      <w:bookmarkStart w:id="147" w:name="_Toc6540"/>
      <w:r>
        <w:rPr>
          <w:rFonts w:hint="eastAsia" w:ascii="宋体" w:hAnsi="宋体"/>
          <w:b/>
          <w:bCs/>
          <w:color w:val="auto"/>
          <w:sz w:val="36"/>
          <w:szCs w:val="36"/>
          <w:highlight w:val="none"/>
          <w:lang w:val="en-US" w:eastAsia="zh-CN"/>
        </w:rPr>
        <w:t>五、</w:t>
      </w:r>
      <w:r>
        <w:rPr>
          <w:rFonts w:hint="eastAsia" w:ascii="宋体" w:hAnsi="宋体"/>
          <w:b/>
          <w:bCs/>
          <w:color w:val="auto"/>
          <w:sz w:val="36"/>
          <w:szCs w:val="36"/>
          <w:highlight w:val="none"/>
        </w:rPr>
        <w:t>供应商认为需要提供的其他文件和资料</w:t>
      </w:r>
      <w:bookmarkEnd w:id="145"/>
      <w:bookmarkEnd w:id="146"/>
      <w:bookmarkEnd w:id="147"/>
    </w:p>
    <w:p>
      <w:pPr>
        <w:pStyle w:val="61"/>
        <w:shd w:val="clear"/>
        <w:spacing w:line="400" w:lineRule="exact"/>
        <w:rPr>
          <w:color w:val="auto"/>
          <w:highlight w:val="none"/>
        </w:rPr>
      </w:pPr>
    </w:p>
    <w:p>
      <w:pPr>
        <w:pStyle w:val="61"/>
        <w:shd w:val="clear"/>
        <w:spacing w:line="400" w:lineRule="exact"/>
        <w:rPr>
          <w:rFonts w:ascii="宋体" w:hAnsi="宋体"/>
          <w:color w:val="auto"/>
          <w:szCs w:val="21"/>
          <w:highlight w:val="none"/>
        </w:rPr>
      </w:pPr>
      <w:r>
        <w:rPr>
          <w:rFonts w:hint="eastAsia" w:ascii="楷体" w:hAnsi="楷体" w:eastAsia="楷体"/>
          <w:color w:val="auto"/>
          <w:highlight w:val="none"/>
        </w:rPr>
        <w:t>说明：格式自定。</w:t>
      </w: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p>
      <w:pPr>
        <w:numPr>
          <w:ilvl w:val="0"/>
          <w:numId w:val="0"/>
        </w:numPr>
        <w:ind w:leftChars="0"/>
        <w:jc w:val="center"/>
        <w:outlineLvl w:val="1"/>
        <w:rPr>
          <w:rFonts w:asciiTheme="minorEastAsia" w:hAnsiTheme="minorEastAsia" w:eastAsiaTheme="minorEastAsia"/>
          <w:b/>
          <w:color w:val="auto"/>
          <w:sz w:val="36"/>
          <w:szCs w:val="36"/>
        </w:rPr>
      </w:pPr>
      <w:bookmarkStart w:id="148" w:name="_Toc18374"/>
      <w:bookmarkStart w:id="149" w:name="_Toc20103"/>
      <w:r>
        <w:rPr>
          <w:rFonts w:hint="eastAsia" w:asciiTheme="minorEastAsia" w:hAnsiTheme="minorEastAsia" w:eastAsiaTheme="minorEastAsia"/>
          <w:b/>
          <w:color w:val="auto"/>
          <w:sz w:val="36"/>
          <w:szCs w:val="36"/>
          <w:lang w:val="en-US" w:eastAsia="zh-CN"/>
        </w:rPr>
        <w:t>六、</w:t>
      </w:r>
      <w:r>
        <w:rPr>
          <w:rFonts w:asciiTheme="minorEastAsia" w:hAnsiTheme="minorEastAsia" w:eastAsiaTheme="minorEastAsia"/>
          <w:b/>
          <w:color w:val="auto"/>
          <w:sz w:val="36"/>
          <w:szCs w:val="36"/>
        </w:rPr>
        <w:t>陕西省政府采购供应商拒绝政府采购领域商业贿赂</w:t>
      </w:r>
      <w:bookmarkEnd w:id="148"/>
      <w:bookmarkEnd w:id="149"/>
    </w:p>
    <w:p>
      <w:pPr>
        <w:numPr>
          <w:ilvl w:val="0"/>
          <w:numId w:val="0"/>
        </w:numPr>
        <w:ind w:leftChars="0"/>
        <w:jc w:val="center"/>
        <w:outlineLvl w:val="0"/>
        <w:rPr>
          <w:rFonts w:asciiTheme="minorEastAsia" w:hAnsiTheme="minorEastAsia" w:eastAsiaTheme="minorEastAsia"/>
          <w:b/>
          <w:color w:val="auto"/>
          <w:sz w:val="36"/>
          <w:szCs w:val="36"/>
        </w:rPr>
      </w:pPr>
      <w:bookmarkStart w:id="150" w:name="_Toc4466"/>
      <w:bookmarkStart w:id="151" w:name="_Toc16609"/>
      <w:bookmarkStart w:id="152" w:name="_Toc15057"/>
      <w:r>
        <w:rPr>
          <w:rFonts w:asciiTheme="minorEastAsia" w:hAnsiTheme="minorEastAsia" w:eastAsiaTheme="minorEastAsia"/>
          <w:b/>
          <w:color w:val="auto"/>
          <w:sz w:val="36"/>
          <w:szCs w:val="36"/>
        </w:rPr>
        <w:t>承诺书</w:t>
      </w:r>
      <w:bookmarkEnd w:id="150"/>
      <w:bookmarkEnd w:id="151"/>
      <w:bookmarkEnd w:id="152"/>
    </w:p>
    <w:p>
      <w:pPr>
        <w:widowControl/>
        <w:spacing w:line="408" w:lineRule="auto"/>
        <w:ind w:left="239" w:leftChars="114" w:firstLine="470" w:firstLineChars="196"/>
        <w:jc w:val="left"/>
        <w:rPr>
          <w:rFonts w:ascii="宋体" w:hAnsi="宋体" w:cs="宋体"/>
          <w:color w:val="auto"/>
          <w:kern w:val="0"/>
          <w:sz w:val="24"/>
        </w:rPr>
      </w:pP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为响应党中央、国务院关于治理政府采购领域商业贿赂行为的号召，我公司在此庄严承诺：</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1、在参与政府采购活动中遵纪守法、诚信经营、公平竞标。</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2、不向政府采购人、采购代理机构和政府采购评审专家进行任何形式的商业贿赂以谋取交易机会。</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3、不向政府采购代理机构和采购人提供虚假资质文件或采用虚假应标方式参与政府采购市场竞争并谋取成交、成交。</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4、不采取“围标、陪标”等商业欺诈手段获得政府采购定单。</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5、不采取不正当手段诋毁、排挤其他供应商。</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6、不在提供商品和服务</w:t>
      </w:r>
      <w:r>
        <w:rPr>
          <w:rFonts w:hint="eastAsia" w:ascii="宋体" w:hAnsi="宋体" w:cs="宋体"/>
          <w:color w:val="auto"/>
          <w:kern w:val="0"/>
          <w:szCs w:val="21"/>
        </w:rPr>
        <w:t>及工程</w:t>
      </w:r>
      <w:r>
        <w:rPr>
          <w:rFonts w:ascii="宋体" w:hAnsi="宋体" w:cs="宋体"/>
          <w:color w:val="auto"/>
          <w:kern w:val="0"/>
          <w:szCs w:val="21"/>
        </w:rPr>
        <w:t>时“偷梁换柱、以次充好”损害采购人的合法权益。</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7、不与采购人、采购代理机构政府采购评审专家或其它供应商恶意串通，进行质疑和投诉，维护政府采购市场秩序。</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8、尊重和接受政府采购监督管理部门的监督和政府采购代理机构招标采购要求，承担因违约行为给采购人造成的损失。</w:t>
      </w:r>
    </w:p>
    <w:p>
      <w:pPr>
        <w:widowControl/>
        <w:spacing w:line="408" w:lineRule="auto"/>
        <w:ind w:firstLine="420" w:firstLineChars="200"/>
        <w:jc w:val="left"/>
        <w:rPr>
          <w:rFonts w:ascii="宋体" w:hAnsi="宋体" w:cs="宋体"/>
          <w:color w:val="auto"/>
          <w:kern w:val="0"/>
          <w:szCs w:val="21"/>
        </w:rPr>
      </w:pPr>
      <w:r>
        <w:rPr>
          <w:rFonts w:ascii="宋体" w:hAnsi="宋体" w:cs="宋体"/>
          <w:color w:val="auto"/>
          <w:kern w:val="0"/>
          <w:szCs w:val="21"/>
        </w:rPr>
        <w:t>9、不发生其他有悖于政府采购公开、公平、公正和诚信原则的行为。</w:t>
      </w:r>
    </w:p>
    <w:p>
      <w:pPr>
        <w:pStyle w:val="14"/>
        <w:rPr>
          <w:color w:val="auto"/>
        </w:rPr>
      </w:pPr>
    </w:p>
    <w:p>
      <w:pPr>
        <w:spacing w:beforeLines="100" w:afterLines="50"/>
        <w:ind w:firstLine="3570" w:firstLineChars="1700"/>
        <w:jc w:val="left"/>
        <w:rPr>
          <w:rFonts w:ascii="宋体" w:hAnsi="宋体" w:cs="宋体"/>
          <w:color w:val="auto"/>
          <w:kern w:val="0"/>
          <w:szCs w:val="21"/>
        </w:rPr>
      </w:pPr>
      <w:r>
        <w:rPr>
          <w:rFonts w:hint="eastAsia" w:ascii="宋体" w:hAnsi="宋体"/>
          <w:color w:val="auto"/>
          <w:kern w:val="0"/>
          <w:szCs w:val="21"/>
        </w:rPr>
        <w:t>供应商（</w:t>
      </w:r>
      <w:r>
        <w:rPr>
          <w:rFonts w:hint="eastAsia" w:cs="Times New Roman" w:asciiTheme="minorEastAsia" w:hAnsiTheme="minorEastAsia" w:eastAsiaTheme="minorEastAsia"/>
          <w:bCs/>
          <w:color w:val="auto"/>
          <w:szCs w:val="21"/>
          <w:lang w:eastAsia="zh-CN"/>
        </w:rPr>
        <w:t>全称并</w:t>
      </w:r>
      <w:r>
        <w:rPr>
          <w:rFonts w:hint="eastAsia" w:cs="Times New Roman" w:asciiTheme="minorEastAsia" w:hAnsiTheme="minorEastAsia" w:eastAsiaTheme="minorEastAsia"/>
          <w:bCs/>
          <w:color w:val="auto"/>
          <w:szCs w:val="21"/>
        </w:rPr>
        <w:t>盖</w:t>
      </w:r>
      <w:r>
        <w:rPr>
          <w:rFonts w:hint="eastAsia" w:cs="Times New Roman" w:asciiTheme="minorEastAsia" w:hAnsiTheme="minorEastAsia" w:eastAsiaTheme="minorEastAsia"/>
          <w:bCs/>
          <w:color w:val="auto"/>
          <w:szCs w:val="21"/>
          <w:lang w:eastAsia="zh-CN"/>
        </w:rPr>
        <w:t>公</w:t>
      </w:r>
      <w:r>
        <w:rPr>
          <w:rFonts w:hint="eastAsia" w:cs="Times New Roman" w:asciiTheme="minorEastAsia" w:hAnsiTheme="minorEastAsia" w:eastAsiaTheme="minorEastAsia"/>
          <w:bCs/>
          <w:color w:val="auto"/>
          <w:szCs w:val="21"/>
        </w:rPr>
        <w:t>章</w:t>
      </w:r>
      <w:r>
        <w:rPr>
          <w:rFonts w:hint="eastAsia" w:ascii="宋体" w:hAnsi="宋体"/>
          <w:color w:val="auto"/>
          <w:kern w:val="0"/>
          <w:szCs w:val="21"/>
        </w:rPr>
        <w:t>）：</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p>
    <w:p>
      <w:pPr>
        <w:spacing w:beforeLines="100" w:afterLines="50"/>
        <w:ind w:firstLine="3570" w:firstLineChars="1700"/>
        <w:jc w:val="left"/>
        <w:rPr>
          <w:rFonts w:ascii="宋体"/>
          <w:color w:val="auto"/>
          <w:kern w:val="0"/>
          <w:szCs w:val="21"/>
        </w:rPr>
      </w:pPr>
      <w:r>
        <w:rPr>
          <w:rFonts w:hint="eastAsia" w:ascii="宋体" w:hAnsi="宋体" w:cs="宋体"/>
          <w:color w:val="auto"/>
          <w:kern w:val="0"/>
          <w:szCs w:val="21"/>
        </w:rPr>
        <w:t>法定代表人或被授权人（</w:t>
      </w:r>
      <w:r>
        <w:rPr>
          <w:rFonts w:ascii="宋体" w:hAnsi="宋体" w:cs="宋体"/>
          <w:color w:val="auto"/>
          <w:kern w:val="0"/>
          <w:szCs w:val="21"/>
        </w:rPr>
        <w:t>签字</w:t>
      </w:r>
      <w:r>
        <w:rPr>
          <w:rFonts w:hint="eastAsia" w:ascii="宋体" w:hAnsi="宋体" w:cs="宋体"/>
          <w:color w:val="auto"/>
          <w:kern w:val="0"/>
          <w:szCs w:val="21"/>
        </w:rPr>
        <w:t>或盖章）</w:t>
      </w:r>
      <w:r>
        <w:rPr>
          <w:rFonts w:ascii="宋体" w:hAnsi="宋体" w:cs="宋体"/>
          <w:color w:val="auto"/>
          <w:kern w:val="0"/>
          <w:szCs w:val="21"/>
        </w:rPr>
        <w:t>：</w:t>
      </w:r>
    </w:p>
    <w:p>
      <w:pPr>
        <w:ind w:left="1"/>
        <w:jc w:val="center"/>
        <w:rPr>
          <w:rFonts w:ascii="宋体" w:hAnsi="宋体"/>
          <w:color w:val="auto"/>
          <w:kern w:val="0"/>
          <w:sz w:val="24"/>
        </w:rPr>
      </w:pPr>
      <w:r>
        <w:rPr>
          <w:rFonts w:hint="eastAsia" w:ascii="宋体" w:hAnsi="宋体"/>
          <w:color w:val="auto"/>
          <w:kern w:val="0"/>
          <w:szCs w:val="21"/>
        </w:rPr>
        <w:t xml:space="preserve">                          日期：    年   月   日</w:t>
      </w:r>
    </w:p>
    <w:p>
      <w:pPr>
        <w:pStyle w:val="61"/>
        <w:shd w:val="clear"/>
        <w:spacing w:line="400" w:lineRule="exact"/>
        <w:rPr>
          <w:rFonts w:ascii="楷体" w:hAnsi="楷体" w:eastAsia="楷体"/>
          <w:color w:val="auto"/>
          <w:highlight w:val="none"/>
        </w:rPr>
      </w:pPr>
    </w:p>
    <w:p>
      <w:pPr>
        <w:pStyle w:val="61"/>
        <w:shd w:val="clear"/>
        <w:spacing w:line="400" w:lineRule="exact"/>
        <w:rPr>
          <w:rFonts w:ascii="楷体" w:hAnsi="楷体" w:eastAsia="楷体"/>
          <w:color w:val="auto"/>
          <w:highlight w:val="none"/>
        </w:rPr>
      </w:pPr>
    </w:p>
    <w:sectPr>
      <w:headerReference r:id="rId17" w:type="default"/>
      <w:footerReference r:id="rId18" w:type="default"/>
      <w:pgSz w:w="11907" w:h="16840"/>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
    <w:altName w:val="Calibri"/>
    <w:panose1 w:val="00000000000000000000"/>
    <w:charset w:val="00"/>
    <w:family w:val="auto"/>
    <w:pitch w:val="default"/>
    <w:sig w:usb0="00000000" w:usb1="00000000" w:usb2="00000000" w:usb3="00000000" w:csb0="0000009F" w:csb1="00000000"/>
  </w:font>
  <w:font w:name="长城仿宋">
    <w:altName w:val="宋体"/>
    <w:panose1 w:val="0201060900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101</w:t>
    </w:r>
    <w:r>
      <w:rPr>
        <w:kern w:val="0"/>
        <w:szCs w:val="21"/>
      </w:rPr>
      <w:fldChar w:fldCharType="end"/>
    </w:r>
    <w:r>
      <w:rPr>
        <w:rFonts w:hint="eastAsia"/>
        <w:kern w:val="0"/>
        <w:szCs w:val="21"/>
      </w:rPr>
      <w:t xml:space="preserve"> 页---------------------------------------------------</w:t>
    </w:r>
  </w:p>
  <w:p>
    <w:pPr>
      <w:pStyle w:val="22"/>
      <w:spacing w:line="240" w:lineRule="exact"/>
      <w:ind w:right="357"/>
      <w:jc w:val="center"/>
      <w:rPr>
        <w:rFonts w:hint="eastAsia"/>
        <w:b/>
        <w:kern w:val="0"/>
        <w:szCs w:val="21"/>
      </w:rPr>
    </w:pPr>
    <w:r>
      <w:rPr>
        <w:rFonts w:hint="eastAsia"/>
        <w:b/>
        <w:kern w:val="0"/>
        <w:szCs w:val="21"/>
        <w:lang w:eastAsia="zh-CN"/>
      </w:rPr>
      <w:t>陕西优正项目管理有限公司</w:t>
    </w:r>
    <w:r>
      <w:rPr>
        <w:b/>
        <w:kern w:val="0"/>
        <w:szCs w:val="21"/>
      </w:rPr>
      <w:t>Shaa</w:t>
    </w:r>
    <w:r>
      <w:rPr>
        <w:rFonts w:hint="eastAsia"/>
        <w:b/>
        <w:kern w:val="0"/>
        <w:szCs w:val="21"/>
        <w:lang w:val="en-US" w:eastAsia="zh-CN"/>
      </w:rPr>
      <w:t>n</w:t>
    </w:r>
    <w:r>
      <w:rPr>
        <w:b/>
        <w:kern w:val="0"/>
        <w:szCs w:val="21"/>
      </w:rPr>
      <w:t xml:space="preserve">xi </w:t>
    </w:r>
    <w:r>
      <w:rPr>
        <w:rFonts w:hint="eastAsia"/>
        <w:b/>
        <w:kern w:val="0"/>
        <w:szCs w:val="21"/>
      </w:rPr>
      <w:t xml:space="preserve"> </w:t>
    </w:r>
    <w:r>
      <w:rPr>
        <w:rFonts w:hint="eastAsia"/>
        <w:b/>
        <w:kern w:val="0"/>
        <w:szCs w:val="21"/>
        <w:lang w:eastAsia="zh-CN"/>
      </w:rPr>
      <w:t>YOZH  Project  Management</w:t>
    </w:r>
    <w:r>
      <w:rPr>
        <w:b/>
        <w:kern w:val="0"/>
        <w:szCs w:val="21"/>
      </w:rPr>
      <w:t xml:space="preserve">  Co., Ltd</w:t>
    </w:r>
  </w:p>
  <w:p>
    <w:pPr>
      <w:pStyle w:val="22"/>
      <w:spacing w:line="240" w:lineRule="exact"/>
      <w:ind w:right="357"/>
      <w:jc w:val="center"/>
    </w:pPr>
    <w:r>
      <w:rPr>
        <w:rFonts w:hint="eastAsia"/>
        <w:b/>
        <w:kern w:val="0"/>
        <w:szCs w:val="21"/>
      </w:rPr>
      <w:t>地址：</w:t>
    </w:r>
    <w:r>
      <w:rPr>
        <w:rFonts w:hint="eastAsia"/>
        <w:b/>
        <w:kern w:val="0"/>
        <w:szCs w:val="21"/>
        <w:lang w:eastAsia="zh-CN"/>
      </w:rPr>
      <w:t>咸阳市秦都区人民中路新华大厦1508室</w:t>
    </w:r>
    <w:r>
      <w:rPr>
        <w:rFonts w:hint="eastAsia"/>
        <w:b/>
        <w:kern w:val="0"/>
        <w:szCs w:val="21"/>
      </w:rPr>
      <w:t xml:space="preserve">  电话：</w:t>
    </w:r>
    <w:r>
      <w:rPr>
        <w:rFonts w:hint="eastAsia"/>
        <w:b/>
        <w:kern w:val="0"/>
        <w:szCs w:val="21"/>
        <w:lang w:eastAsia="zh-CN"/>
      </w:rPr>
      <w:t>029-33284736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101</w:t>
    </w:r>
    <w:r>
      <w:rPr>
        <w:kern w:val="0"/>
        <w:szCs w:val="21"/>
      </w:rPr>
      <w:fldChar w:fldCharType="end"/>
    </w:r>
    <w:r>
      <w:rPr>
        <w:rFonts w:hint="eastAsia"/>
        <w:kern w:val="0"/>
        <w:szCs w:val="21"/>
      </w:rPr>
      <w:t xml:space="preserve"> 页---------------------------------------------------</w:t>
    </w:r>
  </w:p>
  <w:p>
    <w:pPr>
      <w:pStyle w:val="22"/>
      <w:spacing w:line="240" w:lineRule="exact"/>
      <w:ind w:right="357"/>
      <w:jc w:val="center"/>
      <w:rPr>
        <w:rFonts w:hint="eastAsia"/>
        <w:b/>
        <w:kern w:val="0"/>
        <w:szCs w:val="21"/>
      </w:rPr>
    </w:pPr>
    <w:r>
      <w:rPr>
        <w:rFonts w:hint="eastAsia"/>
        <w:b/>
        <w:kern w:val="0"/>
        <w:szCs w:val="21"/>
        <w:lang w:eastAsia="zh-CN"/>
      </w:rPr>
      <w:t>陕西优正项目管理有限公司</w:t>
    </w:r>
    <w:r>
      <w:rPr>
        <w:b/>
        <w:kern w:val="0"/>
        <w:szCs w:val="21"/>
      </w:rPr>
      <w:t>Shaa</w:t>
    </w:r>
    <w:r>
      <w:rPr>
        <w:rFonts w:hint="eastAsia"/>
        <w:b/>
        <w:kern w:val="0"/>
        <w:szCs w:val="21"/>
        <w:lang w:val="en-US" w:eastAsia="zh-CN"/>
      </w:rPr>
      <w:t>n</w:t>
    </w:r>
    <w:r>
      <w:rPr>
        <w:b/>
        <w:kern w:val="0"/>
        <w:szCs w:val="21"/>
      </w:rPr>
      <w:t xml:space="preserve">xi </w:t>
    </w:r>
    <w:r>
      <w:rPr>
        <w:rFonts w:hint="eastAsia"/>
        <w:b/>
        <w:kern w:val="0"/>
        <w:szCs w:val="21"/>
      </w:rPr>
      <w:t xml:space="preserve"> </w:t>
    </w:r>
    <w:r>
      <w:rPr>
        <w:rFonts w:hint="eastAsia"/>
        <w:b/>
        <w:kern w:val="0"/>
        <w:szCs w:val="21"/>
        <w:lang w:eastAsia="zh-CN"/>
      </w:rPr>
      <w:t>YOZH  Project  Management</w:t>
    </w:r>
    <w:r>
      <w:rPr>
        <w:b/>
        <w:kern w:val="0"/>
        <w:szCs w:val="21"/>
      </w:rPr>
      <w:t xml:space="preserve">  Co., Ltd</w:t>
    </w:r>
  </w:p>
  <w:p>
    <w:pPr>
      <w:pStyle w:val="22"/>
      <w:spacing w:line="240" w:lineRule="exact"/>
      <w:ind w:right="357"/>
      <w:jc w:val="center"/>
    </w:pPr>
    <w:r>
      <w:rPr>
        <w:rFonts w:hint="eastAsia"/>
        <w:b/>
        <w:kern w:val="0"/>
        <w:szCs w:val="21"/>
      </w:rPr>
      <w:t>地址：</w:t>
    </w:r>
    <w:r>
      <w:rPr>
        <w:rFonts w:hint="eastAsia"/>
        <w:b/>
        <w:kern w:val="0"/>
        <w:szCs w:val="21"/>
        <w:lang w:eastAsia="zh-CN"/>
      </w:rPr>
      <w:t>咸阳市秦都区人民中路新华大厦1508室</w:t>
    </w:r>
    <w:r>
      <w:rPr>
        <w:rFonts w:hint="eastAsia"/>
        <w:b/>
        <w:kern w:val="0"/>
        <w:szCs w:val="21"/>
      </w:rPr>
      <w:t xml:space="preserve">  电话：</w:t>
    </w:r>
    <w:r>
      <w:rPr>
        <w:rFonts w:hint="eastAsia"/>
        <w:b/>
        <w:kern w:val="0"/>
        <w:szCs w:val="21"/>
        <w:lang w:eastAsia="zh-CN"/>
      </w:rPr>
      <w:t>029-33284736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101</w:t>
    </w:r>
    <w:r>
      <w:rPr>
        <w:kern w:val="0"/>
        <w:szCs w:val="21"/>
      </w:rPr>
      <w:fldChar w:fldCharType="end"/>
    </w:r>
    <w:r>
      <w:rPr>
        <w:rFonts w:hint="eastAsia"/>
        <w:kern w:val="0"/>
        <w:szCs w:val="21"/>
      </w:rPr>
      <w:t xml:space="preserve"> 页---------------------------------------------------</w:t>
    </w:r>
  </w:p>
  <w:p>
    <w:pPr>
      <w:pStyle w:val="22"/>
      <w:spacing w:line="240" w:lineRule="exact"/>
      <w:ind w:right="357"/>
      <w:jc w:val="center"/>
      <w:rPr>
        <w:rFonts w:hint="eastAsia"/>
        <w:b/>
        <w:kern w:val="0"/>
        <w:szCs w:val="21"/>
      </w:rPr>
    </w:pPr>
    <w:r>
      <w:rPr>
        <w:rFonts w:hint="eastAsia"/>
        <w:b/>
        <w:kern w:val="0"/>
        <w:szCs w:val="21"/>
      </w:rPr>
      <w:t>陕西优正项目管理有限公司</w:t>
    </w:r>
    <w:r>
      <w:rPr>
        <w:b/>
        <w:kern w:val="0"/>
        <w:szCs w:val="21"/>
      </w:rPr>
      <w:t>Shaa</w:t>
    </w:r>
    <w:r>
      <w:rPr>
        <w:rFonts w:hint="eastAsia"/>
        <w:b/>
        <w:kern w:val="0"/>
        <w:szCs w:val="21"/>
      </w:rPr>
      <w:t>n</w:t>
    </w:r>
    <w:r>
      <w:rPr>
        <w:b/>
        <w:kern w:val="0"/>
        <w:szCs w:val="21"/>
      </w:rPr>
      <w:t xml:space="preserve">xi </w:t>
    </w:r>
    <w:r>
      <w:rPr>
        <w:rFonts w:hint="eastAsia"/>
        <w:b/>
        <w:kern w:val="0"/>
        <w:szCs w:val="21"/>
      </w:rPr>
      <w:t xml:space="preserve"> YOZH  Project  Management</w:t>
    </w:r>
    <w:r>
      <w:rPr>
        <w:b/>
        <w:kern w:val="0"/>
        <w:szCs w:val="21"/>
      </w:rPr>
      <w:t xml:space="preserve">  Co., Ltd</w:t>
    </w:r>
  </w:p>
  <w:p>
    <w:pPr>
      <w:pStyle w:val="22"/>
      <w:spacing w:line="240" w:lineRule="exact"/>
      <w:ind w:right="357"/>
      <w:jc w:val="center"/>
    </w:pPr>
    <w:r>
      <w:rPr>
        <w:rFonts w:hint="eastAsia"/>
        <w:b/>
        <w:kern w:val="0"/>
        <w:szCs w:val="21"/>
      </w:rPr>
      <w:t>地址：咸阳市秦都区人民中路新华大厦1508室  电话：029-33284736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4</w:t>
    </w:r>
    <w:r>
      <w:fldChar w:fldCharType="end"/>
    </w:r>
  </w:p>
  <w:p>
    <w:pPr>
      <w:pStyle w:val="22"/>
      <w:pBdr>
        <w:bottom w:val="single" w:color="auto" w:sz="6" w:space="1"/>
      </w:pBdr>
      <w:ind w:right="360"/>
      <w:rPr>
        <w:kern w:val="0"/>
        <w:szCs w:val="21"/>
      </w:rPr>
    </w:pPr>
  </w:p>
  <w:p>
    <w:pPr>
      <w:pStyle w:val="22"/>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82</w:t>
    </w:r>
    <w:r>
      <w:rPr>
        <w:kern w:val="0"/>
        <w:szCs w:val="21"/>
      </w:rPr>
      <w:fldChar w:fldCharType="end"/>
    </w:r>
    <w:r>
      <w:rPr>
        <w:rFonts w:hint="eastAsia"/>
        <w:kern w:val="0"/>
        <w:szCs w:val="21"/>
      </w:rPr>
      <w:t xml:space="preserve"> 页</w:t>
    </w:r>
  </w:p>
  <w:p>
    <w:pPr>
      <w:pStyle w:val="22"/>
      <w:jc w:val="both"/>
    </w:pPr>
    <w:r>
      <w:rPr>
        <w:rFonts w:hint="eastAsia"/>
        <w:kern w:val="0"/>
        <w:szCs w:val="21"/>
      </w:rPr>
      <w:t>联系电话：029-88472386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101</w:t>
    </w:r>
    <w:r>
      <w:rPr>
        <w:kern w:val="0"/>
        <w:szCs w:val="21"/>
      </w:rPr>
      <w:fldChar w:fldCharType="end"/>
    </w:r>
    <w:r>
      <w:rPr>
        <w:rFonts w:hint="eastAsia"/>
        <w:kern w:val="0"/>
        <w:szCs w:val="21"/>
      </w:rPr>
      <w:t xml:space="preserve"> 页---------------------------------------------------</w:t>
    </w:r>
  </w:p>
  <w:p>
    <w:pPr>
      <w:pStyle w:val="22"/>
      <w:spacing w:line="240" w:lineRule="exact"/>
      <w:ind w:right="357"/>
      <w:jc w:val="center"/>
      <w:rPr>
        <w:rFonts w:hint="eastAsia"/>
        <w:b/>
        <w:kern w:val="0"/>
        <w:szCs w:val="21"/>
      </w:rPr>
    </w:pPr>
    <w:r>
      <w:rPr>
        <w:rFonts w:hint="eastAsia"/>
        <w:b/>
        <w:kern w:val="0"/>
        <w:szCs w:val="21"/>
      </w:rPr>
      <w:t>陕西优正项目管理有限公司</w:t>
    </w:r>
    <w:r>
      <w:rPr>
        <w:b/>
        <w:kern w:val="0"/>
        <w:szCs w:val="21"/>
      </w:rPr>
      <w:t>Shaa</w:t>
    </w:r>
    <w:r>
      <w:rPr>
        <w:rFonts w:hint="eastAsia"/>
        <w:b/>
        <w:kern w:val="0"/>
        <w:szCs w:val="21"/>
      </w:rPr>
      <w:t>n</w:t>
    </w:r>
    <w:r>
      <w:rPr>
        <w:b/>
        <w:kern w:val="0"/>
        <w:szCs w:val="21"/>
      </w:rPr>
      <w:t xml:space="preserve">xi </w:t>
    </w:r>
    <w:r>
      <w:rPr>
        <w:rFonts w:hint="eastAsia"/>
        <w:b/>
        <w:kern w:val="0"/>
        <w:szCs w:val="21"/>
      </w:rPr>
      <w:t xml:space="preserve"> YOZH  Project  Management</w:t>
    </w:r>
    <w:r>
      <w:rPr>
        <w:b/>
        <w:kern w:val="0"/>
        <w:szCs w:val="21"/>
      </w:rPr>
      <w:t xml:space="preserve">  Co., Ltd</w:t>
    </w:r>
  </w:p>
  <w:p>
    <w:pPr>
      <w:pStyle w:val="22"/>
      <w:spacing w:line="240" w:lineRule="exact"/>
      <w:ind w:right="357"/>
      <w:jc w:val="center"/>
    </w:pPr>
    <w:r>
      <w:rPr>
        <w:rFonts w:hint="eastAsia"/>
        <w:b/>
        <w:kern w:val="0"/>
        <w:szCs w:val="21"/>
      </w:rPr>
      <w:t>地址：咸阳市秦都区人民中路新华大厦1508室  电话：029-33284736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101</w:t>
    </w:r>
    <w:r>
      <w:rPr>
        <w:kern w:val="0"/>
        <w:szCs w:val="21"/>
      </w:rPr>
      <w:fldChar w:fldCharType="end"/>
    </w:r>
    <w:r>
      <w:rPr>
        <w:rFonts w:hint="eastAsia"/>
        <w:kern w:val="0"/>
        <w:szCs w:val="21"/>
      </w:rPr>
      <w:t xml:space="preserve"> 页---------------------------------------------------</w:t>
    </w:r>
  </w:p>
  <w:p>
    <w:pPr>
      <w:pStyle w:val="22"/>
      <w:spacing w:line="240" w:lineRule="exact"/>
      <w:ind w:right="357"/>
      <w:jc w:val="center"/>
      <w:rPr>
        <w:rFonts w:hint="eastAsia"/>
        <w:b/>
        <w:kern w:val="0"/>
        <w:szCs w:val="21"/>
      </w:rPr>
    </w:pPr>
    <w:r>
      <w:rPr>
        <w:rFonts w:hint="eastAsia"/>
        <w:b/>
        <w:kern w:val="0"/>
        <w:szCs w:val="21"/>
        <w:lang w:eastAsia="zh-CN"/>
      </w:rPr>
      <w:t>陕西优正项目管理有限公司</w:t>
    </w:r>
    <w:r>
      <w:rPr>
        <w:b/>
        <w:kern w:val="0"/>
        <w:szCs w:val="21"/>
      </w:rPr>
      <w:t>Shaa</w:t>
    </w:r>
    <w:r>
      <w:rPr>
        <w:rFonts w:hint="eastAsia"/>
        <w:b/>
        <w:kern w:val="0"/>
        <w:szCs w:val="21"/>
        <w:lang w:val="en-US" w:eastAsia="zh-CN"/>
      </w:rPr>
      <w:t>n</w:t>
    </w:r>
    <w:r>
      <w:rPr>
        <w:b/>
        <w:kern w:val="0"/>
        <w:szCs w:val="21"/>
      </w:rPr>
      <w:t xml:space="preserve">xi </w:t>
    </w:r>
    <w:r>
      <w:rPr>
        <w:rFonts w:hint="eastAsia"/>
        <w:b/>
        <w:kern w:val="0"/>
        <w:szCs w:val="21"/>
      </w:rPr>
      <w:t xml:space="preserve"> </w:t>
    </w:r>
    <w:r>
      <w:rPr>
        <w:rFonts w:hint="eastAsia"/>
        <w:b/>
        <w:kern w:val="0"/>
        <w:szCs w:val="21"/>
        <w:lang w:eastAsia="zh-CN"/>
      </w:rPr>
      <w:t>YOZH  Project  Management</w:t>
    </w:r>
    <w:r>
      <w:rPr>
        <w:b/>
        <w:kern w:val="0"/>
        <w:szCs w:val="21"/>
      </w:rPr>
      <w:t xml:space="preserve">  Co., Ltd</w:t>
    </w:r>
  </w:p>
  <w:p>
    <w:pPr>
      <w:pStyle w:val="22"/>
      <w:spacing w:line="240" w:lineRule="exact"/>
      <w:ind w:right="357"/>
      <w:jc w:val="center"/>
    </w:pPr>
    <w:r>
      <w:rPr>
        <w:rFonts w:hint="eastAsia"/>
        <w:b/>
        <w:kern w:val="0"/>
        <w:szCs w:val="21"/>
      </w:rPr>
      <w:t>地址：</w:t>
    </w:r>
    <w:r>
      <w:rPr>
        <w:rFonts w:hint="eastAsia"/>
        <w:b/>
        <w:kern w:val="0"/>
        <w:szCs w:val="21"/>
        <w:lang w:eastAsia="zh-CN"/>
      </w:rPr>
      <w:t>咸阳市秦都区人民中路新华大厦1508室</w:t>
    </w:r>
    <w:r>
      <w:rPr>
        <w:rFonts w:hint="eastAsia"/>
        <w:b/>
        <w:kern w:val="0"/>
        <w:szCs w:val="21"/>
      </w:rPr>
      <w:t xml:space="preserve">  电话：</w:t>
    </w:r>
    <w:r>
      <w:rPr>
        <w:rFonts w:hint="eastAsia"/>
        <w:b/>
        <w:kern w:val="0"/>
        <w:szCs w:val="21"/>
        <w:lang w:eastAsia="zh-CN"/>
      </w:rPr>
      <w:t>029-33284736</w:t>
    </w:r>
    <w:r>
      <w:rPr>
        <w:rFonts w:hint="eastAsia"/>
        <w:kern w:val="0"/>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4</w:t>
    </w:r>
    <w:r>
      <w:fldChar w:fldCharType="end"/>
    </w:r>
  </w:p>
  <w:p>
    <w:pPr>
      <w:pStyle w:val="22"/>
      <w:pBdr>
        <w:bottom w:val="single" w:color="auto" w:sz="6" w:space="1"/>
      </w:pBdr>
      <w:ind w:right="360"/>
      <w:rPr>
        <w:kern w:val="0"/>
        <w:szCs w:val="21"/>
      </w:rPr>
    </w:pPr>
  </w:p>
  <w:p>
    <w:pPr>
      <w:pStyle w:val="22"/>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82</w:t>
    </w:r>
    <w:r>
      <w:rPr>
        <w:kern w:val="0"/>
        <w:szCs w:val="21"/>
      </w:rPr>
      <w:fldChar w:fldCharType="end"/>
    </w:r>
    <w:r>
      <w:rPr>
        <w:rFonts w:hint="eastAsia"/>
        <w:kern w:val="0"/>
        <w:szCs w:val="21"/>
      </w:rPr>
      <w:t xml:space="preserve"> 页</w:t>
    </w:r>
  </w:p>
  <w:p>
    <w:pPr>
      <w:pStyle w:val="22"/>
      <w:jc w:val="both"/>
    </w:pPr>
    <w:r>
      <w:rPr>
        <w:rFonts w:hint="eastAsia"/>
        <w:kern w:val="0"/>
        <w:szCs w:val="21"/>
      </w:rPr>
      <w:t>联系电话：029-88472386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kern w:val="0"/>
        <w:szCs w:val="21"/>
      </w:rPr>
    </w:pPr>
    <w:r>
      <w:rPr>
        <w:rFonts w:hint="eastAsia"/>
        <w:kern w:val="0"/>
        <w:szCs w:val="21"/>
      </w:rPr>
      <w:t xml:space="preserve"> -----------------------------------------------------------第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101</w:t>
    </w:r>
    <w:r>
      <w:rPr>
        <w:kern w:val="0"/>
        <w:szCs w:val="21"/>
      </w:rPr>
      <w:fldChar w:fldCharType="end"/>
    </w:r>
    <w:r>
      <w:rPr>
        <w:rFonts w:hint="eastAsia"/>
        <w:kern w:val="0"/>
        <w:szCs w:val="21"/>
      </w:rPr>
      <w:t xml:space="preserve"> 页---------------------------------------------------</w:t>
    </w:r>
  </w:p>
  <w:p>
    <w:pPr>
      <w:pStyle w:val="22"/>
      <w:spacing w:line="240" w:lineRule="exact"/>
      <w:ind w:right="357"/>
      <w:jc w:val="center"/>
      <w:rPr>
        <w:rFonts w:hint="eastAsia"/>
        <w:b/>
        <w:kern w:val="0"/>
        <w:szCs w:val="21"/>
      </w:rPr>
    </w:pPr>
    <w:r>
      <w:rPr>
        <w:rFonts w:hint="eastAsia"/>
        <w:b/>
        <w:kern w:val="0"/>
        <w:szCs w:val="21"/>
        <w:lang w:eastAsia="zh-CN"/>
      </w:rPr>
      <w:t>陕西优正项目管理有限公司</w:t>
    </w:r>
    <w:r>
      <w:rPr>
        <w:b/>
        <w:kern w:val="0"/>
        <w:szCs w:val="21"/>
      </w:rPr>
      <w:t>Shaa</w:t>
    </w:r>
    <w:r>
      <w:rPr>
        <w:rFonts w:hint="eastAsia"/>
        <w:b/>
        <w:kern w:val="0"/>
        <w:szCs w:val="21"/>
        <w:lang w:val="en-US" w:eastAsia="zh-CN"/>
      </w:rPr>
      <w:t>n</w:t>
    </w:r>
    <w:r>
      <w:rPr>
        <w:b/>
        <w:kern w:val="0"/>
        <w:szCs w:val="21"/>
      </w:rPr>
      <w:t xml:space="preserve">xi </w:t>
    </w:r>
    <w:r>
      <w:rPr>
        <w:rFonts w:hint="eastAsia"/>
        <w:b/>
        <w:kern w:val="0"/>
        <w:szCs w:val="21"/>
      </w:rPr>
      <w:t xml:space="preserve"> </w:t>
    </w:r>
    <w:r>
      <w:rPr>
        <w:rFonts w:hint="eastAsia"/>
        <w:b/>
        <w:kern w:val="0"/>
        <w:szCs w:val="21"/>
        <w:lang w:eastAsia="zh-CN"/>
      </w:rPr>
      <w:t>YOZH  Project  Management</w:t>
    </w:r>
    <w:r>
      <w:rPr>
        <w:b/>
        <w:kern w:val="0"/>
        <w:szCs w:val="21"/>
      </w:rPr>
      <w:t xml:space="preserve">  Co., Ltd</w:t>
    </w:r>
  </w:p>
  <w:p>
    <w:pPr>
      <w:pStyle w:val="22"/>
      <w:spacing w:line="240" w:lineRule="exact"/>
      <w:ind w:right="357"/>
      <w:jc w:val="center"/>
    </w:pPr>
    <w:r>
      <w:rPr>
        <w:rFonts w:hint="eastAsia"/>
        <w:b/>
        <w:kern w:val="0"/>
        <w:szCs w:val="21"/>
      </w:rPr>
      <w:t>地址：</w:t>
    </w:r>
    <w:r>
      <w:rPr>
        <w:rFonts w:hint="eastAsia"/>
        <w:b/>
        <w:kern w:val="0"/>
        <w:szCs w:val="21"/>
        <w:lang w:eastAsia="zh-CN"/>
      </w:rPr>
      <w:t>咸阳市秦都区人民中路新华大厦1508室</w:t>
    </w:r>
    <w:r>
      <w:rPr>
        <w:rFonts w:hint="eastAsia"/>
        <w:b/>
        <w:kern w:val="0"/>
        <w:szCs w:val="21"/>
      </w:rPr>
      <w:t xml:space="preserve">  电话：</w:t>
    </w:r>
    <w:r>
      <w:rPr>
        <w:rFonts w:hint="eastAsia"/>
        <w:b/>
        <w:kern w:val="0"/>
        <w:szCs w:val="21"/>
        <w:lang w:eastAsia="zh-CN"/>
      </w:rPr>
      <w:t>029-33284736</w:t>
    </w:r>
    <w:r>
      <w:rPr>
        <w:rFonts w:hint="eastAsia"/>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pPr>
    <w:r>
      <w:rPr>
        <w:rFonts w:hint="eastAsia" w:ascii="宋体" w:hAnsi="宋体"/>
        <w:b/>
        <w:szCs w:val="21"/>
        <w:lang w:eastAsia="zh-CN"/>
      </w:rPr>
      <w:t>鲁桥镇西区农村生活污水治理建设项目</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lang w:eastAsia="zh-CN"/>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16"/>
        <w:tab w:val="right" w:pos="9206"/>
      </w:tabs>
      <w:spacing w:line="240" w:lineRule="exact"/>
      <w:ind w:right="-21" w:rightChars="-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pPr>
    <w:r>
      <w:rPr>
        <w:rFonts w:hint="eastAsia" w:ascii="宋体" w:hAnsi="宋体"/>
        <w:b/>
        <w:szCs w:val="21"/>
        <w:lang w:eastAsia="zh-CN"/>
      </w:rPr>
      <w:t>鲁桥镇西区农村生活污水治理建设项目</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lang w:eastAsia="zh-CN"/>
      </w:rPr>
      <w:t>谈判文件</w:t>
    </w:r>
    <w:r>
      <w:rPr>
        <w:rFonts w:ascii="宋体" w:hAnsi="宋体"/>
        <w:b/>
        <w:color w:val="FF0000"/>
        <w:szCs w:val="21"/>
      </w:rPr>
      <w:tab/>
    </w:r>
  </w:p>
  <w:p>
    <w:pPr>
      <w:pBdr>
        <w:bottom w:val="none" w:color="auto" w:sz="0" w:space="1"/>
      </w:pBdr>
      <w:tabs>
        <w:tab w:val="left" w:pos="416"/>
        <w:tab w:val="right" w:pos="9206"/>
      </w:tabs>
      <w:spacing w:line="240" w:lineRule="exact"/>
      <w:ind w:right="-21" w:rightChars="-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pPr>
    <w:r>
      <w:rPr>
        <w:rFonts w:hint="eastAsia" w:ascii="宋体" w:hAnsi="宋体"/>
        <w:b/>
        <w:szCs w:val="21"/>
        <w:lang w:eastAsia="zh-CN"/>
      </w:rPr>
      <w:t>鲁桥镇西区农村生活污水治理建设项目</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lang w:eastAsia="zh-CN"/>
      </w:rPr>
      <w:t>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pPr>
    <w:r>
      <w:rPr>
        <w:rFonts w:hint="eastAsia" w:ascii="宋体" w:hAnsi="宋体"/>
        <w:b/>
        <w:szCs w:val="21"/>
        <w:lang w:eastAsia="zh-CN"/>
      </w:rPr>
      <w:t>鲁桥镇西区农村生活污水治理建设项目</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lang w:eastAsia="zh-CN"/>
      </w:rPr>
      <w:t>谈判文件</w:t>
    </w:r>
    <w:r>
      <w:rPr>
        <w:rFonts w:ascii="宋体" w:hAnsi="宋体"/>
        <w:b/>
        <w:color w:val="FF0000"/>
        <w:szCs w:val="21"/>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pPr>
    <w:r>
      <w:rPr>
        <w:rFonts w:hint="eastAsia" w:ascii="宋体" w:hAnsi="宋体"/>
        <w:b/>
        <w:szCs w:val="21"/>
        <w:lang w:eastAsia="zh-CN"/>
      </w:rPr>
      <w:t>鲁桥镇西区农村生活污水治理建设项目</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lang w:eastAsia="zh-CN"/>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F71C1"/>
    <w:multiLevelType w:val="multilevel"/>
    <w:tmpl w:val="1D5F71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ZmFlMGFiZTQ5YjE3MDM3NDM4YTc0NWM1M2EwYWQifQ=="/>
  </w:docVars>
  <w:rsids>
    <w:rsidRoot w:val="00E07E8D"/>
    <w:rsid w:val="00000750"/>
    <w:rsid w:val="00001773"/>
    <w:rsid w:val="000022B9"/>
    <w:rsid w:val="00002731"/>
    <w:rsid w:val="00002972"/>
    <w:rsid w:val="00002D20"/>
    <w:rsid w:val="00002F7A"/>
    <w:rsid w:val="00003C7F"/>
    <w:rsid w:val="00004491"/>
    <w:rsid w:val="0000477A"/>
    <w:rsid w:val="00004834"/>
    <w:rsid w:val="00005385"/>
    <w:rsid w:val="0000649C"/>
    <w:rsid w:val="000065CF"/>
    <w:rsid w:val="00007D47"/>
    <w:rsid w:val="000107A6"/>
    <w:rsid w:val="00010BA0"/>
    <w:rsid w:val="00010F17"/>
    <w:rsid w:val="000112F4"/>
    <w:rsid w:val="000119D1"/>
    <w:rsid w:val="00011B72"/>
    <w:rsid w:val="0001236F"/>
    <w:rsid w:val="00013BA0"/>
    <w:rsid w:val="000151D8"/>
    <w:rsid w:val="000157C5"/>
    <w:rsid w:val="00016B35"/>
    <w:rsid w:val="00016CC4"/>
    <w:rsid w:val="00016DF8"/>
    <w:rsid w:val="000176C3"/>
    <w:rsid w:val="00017F51"/>
    <w:rsid w:val="000200BB"/>
    <w:rsid w:val="00020477"/>
    <w:rsid w:val="000218BE"/>
    <w:rsid w:val="00021AE9"/>
    <w:rsid w:val="00022627"/>
    <w:rsid w:val="0002333B"/>
    <w:rsid w:val="0002418E"/>
    <w:rsid w:val="00024B00"/>
    <w:rsid w:val="00024D77"/>
    <w:rsid w:val="00024EFD"/>
    <w:rsid w:val="000261A3"/>
    <w:rsid w:val="00026B21"/>
    <w:rsid w:val="00027108"/>
    <w:rsid w:val="0003048D"/>
    <w:rsid w:val="0003181B"/>
    <w:rsid w:val="00031C12"/>
    <w:rsid w:val="00031D3B"/>
    <w:rsid w:val="000342F8"/>
    <w:rsid w:val="000349A2"/>
    <w:rsid w:val="000357A0"/>
    <w:rsid w:val="000362E9"/>
    <w:rsid w:val="000362F6"/>
    <w:rsid w:val="0003699F"/>
    <w:rsid w:val="00036BD5"/>
    <w:rsid w:val="00037195"/>
    <w:rsid w:val="00040272"/>
    <w:rsid w:val="0004115D"/>
    <w:rsid w:val="00041F8D"/>
    <w:rsid w:val="000420AB"/>
    <w:rsid w:val="000433B9"/>
    <w:rsid w:val="000443F3"/>
    <w:rsid w:val="0004577D"/>
    <w:rsid w:val="00046582"/>
    <w:rsid w:val="000465A6"/>
    <w:rsid w:val="00046A51"/>
    <w:rsid w:val="000473FC"/>
    <w:rsid w:val="000500AF"/>
    <w:rsid w:val="000501D5"/>
    <w:rsid w:val="00051FFC"/>
    <w:rsid w:val="00052F51"/>
    <w:rsid w:val="00053172"/>
    <w:rsid w:val="00053450"/>
    <w:rsid w:val="000544AB"/>
    <w:rsid w:val="00054888"/>
    <w:rsid w:val="000551FD"/>
    <w:rsid w:val="000561CD"/>
    <w:rsid w:val="000578D3"/>
    <w:rsid w:val="00060684"/>
    <w:rsid w:val="00060B38"/>
    <w:rsid w:val="00060B4C"/>
    <w:rsid w:val="000617AB"/>
    <w:rsid w:val="00061B6E"/>
    <w:rsid w:val="0006207C"/>
    <w:rsid w:val="00063CD5"/>
    <w:rsid w:val="00064365"/>
    <w:rsid w:val="00064A90"/>
    <w:rsid w:val="00065E40"/>
    <w:rsid w:val="0006604A"/>
    <w:rsid w:val="000660B9"/>
    <w:rsid w:val="000660DF"/>
    <w:rsid w:val="000668A3"/>
    <w:rsid w:val="0006703E"/>
    <w:rsid w:val="00067B1B"/>
    <w:rsid w:val="00070C3E"/>
    <w:rsid w:val="0007142D"/>
    <w:rsid w:val="0007190E"/>
    <w:rsid w:val="00072537"/>
    <w:rsid w:val="00072590"/>
    <w:rsid w:val="000727D1"/>
    <w:rsid w:val="00072FDD"/>
    <w:rsid w:val="00072FFE"/>
    <w:rsid w:val="000731E2"/>
    <w:rsid w:val="000734D6"/>
    <w:rsid w:val="00073752"/>
    <w:rsid w:val="00075104"/>
    <w:rsid w:val="00075E0B"/>
    <w:rsid w:val="00076569"/>
    <w:rsid w:val="00076ACA"/>
    <w:rsid w:val="0007760B"/>
    <w:rsid w:val="00077933"/>
    <w:rsid w:val="000779F1"/>
    <w:rsid w:val="00077D71"/>
    <w:rsid w:val="00080440"/>
    <w:rsid w:val="00081035"/>
    <w:rsid w:val="00081E8F"/>
    <w:rsid w:val="000825C8"/>
    <w:rsid w:val="0008287C"/>
    <w:rsid w:val="000837F0"/>
    <w:rsid w:val="00083A74"/>
    <w:rsid w:val="00086728"/>
    <w:rsid w:val="000868AC"/>
    <w:rsid w:val="00086CA1"/>
    <w:rsid w:val="000871B3"/>
    <w:rsid w:val="00087F47"/>
    <w:rsid w:val="0009005B"/>
    <w:rsid w:val="00090CA3"/>
    <w:rsid w:val="00090EFE"/>
    <w:rsid w:val="00090F7A"/>
    <w:rsid w:val="0009121A"/>
    <w:rsid w:val="00091C18"/>
    <w:rsid w:val="0009201E"/>
    <w:rsid w:val="000927A6"/>
    <w:rsid w:val="00092AB2"/>
    <w:rsid w:val="00092F8F"/>
    <w:rsid w:val="00093B45"/>
    <w:rsid w:val="00093E47"/>
    <w:rsid w:val="000945C6"/>
    <w:rsid w:val="00095192"/>
    <w:rsid w:val="00095796"/>
    <w:rsid w:val="00095841"/>
    <w:rsid w:val="00095EC0"/>
    <w:rsid w:val="00096778"/>
    <w:rsid w:val="00096E4E"/>
    <w:rsid w:val="00096E8E"/>
    <w:rsid w:val="0009711C"/>
    <w:rsid w:val="00097367"/>
    <w:rsid w:val="0009782D"/>
    <w:rsid w:val="000A1612"/>
    <w:rsid w:val="000A2892"/>
    <w:rsid w:val="000A34CA"/>
    <w:rsid w:val="000A3CF2"/>
    <w:rsid w:val="000A3D69"/>
    <w:rsid w:val="000A403F"/>
    <w:rsid w:val="000A45DB"/>
    <w:rsid w:val="000A4969"/>
    <w:rsid w:val="000A6CAA"/>
    <w:rsid w:val="000A7111"/>
    <w:rsid w:val="000A766E"/>
    <w:rsid w:val="000B0B6E"/>
    <w:rsid w:val="000B0E51"/>
    <w:rsid w:val="000B12AF"/>
    <w:rsid w:val="000B220C"/>
    <w:rsid w:val="000B2517"/>
    <w:rsid w:val="000B43A7"/>
    <w:rsid w:val="000B4E99"/>
    <w:rsid w:val="000B5F7E"/>
    <w:rsid w:val="000C009E"/>
    <w:rsid w:val="000C0130"/>
    <w:rsid w:val="000C03C2"/>
    <w:rsid w:val="000C18DA"/>
    <w:rsid w:val="000C1A60"/>
    <w:rsid w:val="000C252A"/>
    <w:rsid w:val="000C2E15"/>
    <w:rsid w:val="000C31D9"/>
    <w:rsid w:val="000C45B5"/>
    <w:rsid w:val="000C5B36"/>
    <w:rsid w:val="000C5C8B"/>
    <w:rsid w:val="000C5E5F"/>
    <w:rsid w:val="000C6149"/>
    <w:rsid w:val="000C6174"/>
    <w:rsid w:val="000C6BD2"/>
    <w:rsid w:val="000C6D58"/>
    <w:rsid w:val="000D077E"/>
    <w:rsid w:val="000D09C2"/>
    <w:rsid w:val="000D0AC8"/>
    <w:rsid w:val="000D0DA0"/>
    <w:rsid w:val="000D11D7"/>
    <w:rsid w:val="000D14D4"/>
    <w:rsid w:val="000D1AAE"/>
    <w:rsid w:val="000D20AE"/>
    <w:rsid w:val="000D211D"/>
    <w:rsid w:val="000D216A"/>
    <w:rsid w:val="000D48DB"/>
    <w:rsid w:val="000D4E6D"/>
    <w:rsid w:val="000D5222"/>
    <w:rsid w:val="000D69D8"/>
    <w:rsid w:val="000D769C"/>
    <w:rsid w:val="000D7775"/>
    <w:rsid w:val="000E000E"/>
    <w:rsid w:val="000E1874"/>
    <w:rsid w:val="000E26CF"/>
    <w:rsid w:val="000E274A"/>
    <w:rsid w:val="000E3833"/>
    <w:rsid w:val="000E4086"/>
    <w:rsid w:val="000E44D5"/>
    <w:rsid w:val="000E45DD"/>
    <w:rsid w:val="000E4AE9"/>
    <w:rsid w:val="000E4FFE"/>
    <w:rsid w:val="000E62FD"/>
    <w:rsid w:val="000E639E"/>
    <w:rsid w:val="000E65DB"/>
    <w:rsid w:val="000E66A1"/>
    <w:rsid w:val="000E7856"/>
    <w:rsid w:val="000E7DDB"/>
    <w:rsid w:val="000F0874"/>
    <w:rsid w:val="000F099F"/>
    <w:rsid w:val="000F1020"/>
    <w:rsid w:val="000F13C1"/>
    <w:rsid w:val="000F1761"/>
    <w:rsid w:val="000F193D"/>
    <w:rsid w:val="000F1B02"/>
    <w:rsid w:val="000F1FD4"/>
    <w:rsid w:val="000F2C30"/>
    <w:rsid w:val="000F2FCF"/>
    <w:rsid w:val="000F31AD"/>
    <w:rsid w:val="000F39CB"/>
    <w:rsid w:val="000F3AC0"/>
    <w:rsid w:val="000F3AFE"/>
    <w:rsid w:val="000F4E52"/>
    <w:rsid w:val="000F5C99"/>
    <w:rsid w:val="000F65A1"/>
    <w:rsid w:val="000F6F99"/>
    <w:rsid w:val="000F733B"/>
    <w:rsid w:val="000F7EF6"/>
    <w:rsid w:val="00102BC2"/>
    <w:rsid w:val="001035D7"/>
    <w:rsid w:val="00104D09"/>
    <w:rsid w:val="00104DCA"/>
    <w:rsid w:val="00105550"/>
    <w:rsid w:val="00106079"/>
    <w:rsid w:val="00106174"/>
    <w:rsid w:val="00107250"/>
    <w:rsid w:val="001101E6"/>
    <w:rsid w:val="001102CC"/>
    <w:rsid w:val="00110D6A"/>
    <w:rsid w:val="00111706"/>
    <w:rsid w:val="0011178F"/>
    <w:rsid w:val="00113423"/>
    <w:rsid w:val="00113F51"/>
    <w:rsid w:val="00114975"/>
    <w:rsid w:val="00115838"/>
    <w:rsid w:val="00116166"/>
    <w:rsid w:val="00116653"/>
    <w:rsid w:val="00116CE8"/>
    <w:rsid w:val="001172EB"/>
    <w:rsid w:val="001174C6"/>
    <w:rsid w:val="0011788F"/>
    <w:rsid w:val="00120BA6"/>
    <w:rsid w:val="001215FD"/>
    <w:rsid w:val="0012286F"/>
    <w:rsid w:val="00122955"/>
    <w:rsid w:val="00123B12"/>
    <w:rsid w:val="00123F03"/>
    <w:rsid w:val="001242C0"/>
    <w:rsid w:val="00125E88"/>
    <w:rsid w:val="00126512"/>
    <w:rsid w:val="0012672F"/>
    <w:rsid w:val="00126766"/>
    <w:rsid w:val="001267D4"/>
    <w:rsid w:val="001276A2"/>
    <w:rsid w:val="001278FB"/>
    <w:rsid w:val="00131051"/>
    <w:rsid w:val="001317B6"/>
    <w:rsid w:val="001326E2"/>
    <w:rsid w:val="00134814"/>
    <w:rsid w:val="0013529E"/>
    <w:rsid w:val="00135D48"/>
    <w:rsid w:val="001361C5"/>
    <w:rsid w:val="001376FA"/>
    <w:rsid w:val="00137A6A"/>
    <w:rsid w:val="00137E4B"/>
    <w:rsid w:val="00140600"/>
    <w:rsid w:val="00140D50"/>
    <w:rsid w:val="001419B6"/>
    <w:rsid w:val="00141B50"/>
    <w:rsid w:val="00141C27"/>
    <w:rsid w:val="00142FBD"/>
    <w:rsid w:val="0014361E"/>
    <w:rsid w:val="001437ED"/>
    <w:rsid w:val="001441BB"/>
    <w:rsid w:val="0014435D"/>
    <w:rsid w:val="001449BE"/>
    <w:rsid w:val="001475B0"/>
    <w:rsid w:val="0015044A"/>
    <w:rsid w:val="00150FD4"/>
    <w:rsid w:val="00151A8A"/>
    <w:rsid w:val="001520A4"/>
    <w:rsid w:val="001520D3"/>
    <w:rsid w:val="001521FF"/>
    <w:rsid w:val="00152950"/>
    <w:rsid w:val="001542EC"/>
    <w:rsid w:val="0015590F"/>
    <w:rsid w:val="00160013"/>
    <w:rsid w:val="001615ED"/>
    <w:rsid w:val="001623A6"/>
    <w:rsid w:val="00163B7B"/>
    <w:rsid w:val="00164C1D"/>
    <w:rsid w:val="001669AF"/>
    <w:rsid w:val="001677E7"/>
    <w:rsid w:val="001700E9"/>
    <w:rsid w:val="0017046B"/>
    <w:rsid w:val="001706FD"/>
    <w:rsid w:val="001707E5"/>
    <w:rsid w:val="00171298"/>
    <w:rsid w:val="00172BC2"/>
    <w:rsid w:val="0017300B"/>
    <w:rsid w:val="001730A8"/>
    <w:rsid w:val="0017384A"/>
    <w:rsid w:val="00173956"/>
    <w:rsid w:val="00174F76"/>
    <w:rsid w:val="0017522E"/>
    <w:rsid w:val="00175C11"/>
    <w:rsid w:val="00176668"/>
    <w:rsid w:val="00176D84"/>
    <w:rsid w:val="00180C46"/>
    <w:rsid w:val="001831B0"/>
    <w:rsid w:val="00183A91"/>
    <w:rsid w:val="00183BED"/>
    <w:rsid w:val="00184D57"/>
    <w:rsid w:val="00184DB2"/>
    <w:rsid w:val="0018523A"/>
    <w:rsid w:val="00186272"/>
    <w:rsid w:val="001865D8"/>
    <w:rsid w:val="00186EF4"/>
    <w:rsid w:val="00187096"/>
    <w:rsid w:val="0018716C"/>
    <w:rsid w:val="00187F2F"/>
    <w:rsid w:val="001905BD"/>
    <w:rsid w:val="00190FA0"/>
    <w:rsid w:val="0019113C"/>
    <w:rsid w:val="001919B3"/>
    <w:rsid w:val="001926DC"/>
    <w:rsid w:val="00192D0E"/>
    <w:rsid w:val="00193458"/>
    <w:rsid w:val="001937A6"/>
    <w:rsid w:val="001941A7"/>
    <w:rsid w:val="001947A6"/>
    <w:rsid w:val="00194CDC"/>
    <w:rsid w:val="0019573C"/>
    <w:rsid w:val="00196ED4"/>
    <w:rsid w:val="0019724F"/>
    <w:rsid w:val="0019768F"/>
    <w:rsid w:val="00197CA6"/>
    <w:rsid w:val="001A0F28"/>
    <w:rsid w:val="001A25B5"/>
    <w:rsid w:val="001A2859"/>
    <w:rsid w:val="001A31E7"/>
    <w:rsid w:val="001A3B61"/>
    <w:rsid w:val="001A4351"/>
    <w:rsid w:val="001A48D6"/>
    <w:rsid w:val="001A51FF"/>
    <w:rsid w:val="001A5341"/>
    <w:rsid w:val="001A6914"/>
    <w:rsid w:val="001A7948"/>
    <w:rsid w:val="001B02AD"/>
    <w:rsid w:val="001B0F19"/>
    <w:rsid w:val="001B10A4"/>
    <w:rsid w:val="001B14E8"/>
    <w:rsid w:val="001B1A48"/>
    <w:rsid w:val="001B1BCC"/>
    <w:rsid w:val="001B1D42"/>
    <w:rsid w:val="001B4452"/>
    <w:rsid w:val="001B4995"/>
    <w:rsid w:val="001B593D"/>
    <w:rsid w:val="001B6214"/>
    <w:rsid w:val="001B62A7"/>
    <w:rsid w:val="001B6719"/>
    <w:rsid w:val="001B7C42"/>
    <w:rsid w:val="001B7DEB"/>
    <w:rsid w:val="001C01AF"/>
    <w:rsid w:val="001C057A"/>
    <w:rsid w:val="001C177D"/>
    <w:rsid w:val="001C1B0E"/>
    <w:rsid w:val="001C2C6F"/>
    <w:rsid w:val="001C3129"/>
    <w:rsid w:val="001C4011"/>
    <w:rsid w:val="001C455E"/>
    <w:rsid w:val="001C466D"/>
    <w:rsid w:val="001C5087"/>
    <w:rsid w:val="001C52AA"/>
    <w:rsid w:val="001C5333"/>
    <w:rsid w:val="001C5502"/>
    <w:rsid w:val="001C6628"/>
    <w:rsid w:val="001C7A24"/>
    <w:rsid w:val="001D0A8F"/>
    <w:rsid w:val="001D1253"/>
    <w:rsid w:val="001D1543"/>
    <w:rsid w:val="001D19F9"/>
    <w:rsid w:val="001D2684"/>
    <w:rsid w:val="001D336D"/>
    <w:rsid w:val="001D418F"/>
    <w:rsid w:val="001D4463"/>
    <w:rsid w:val="001D44A2"/>
    <w:rsid w:val="001D4A63"/>
    <w:rsid w:val="001D536F"/>
    <w:rsid w:val="001D5987"/>
    <w:rsid w:val="001D65B6"/>
    <w:rsid w:val="001D65D9"/>
    <w:rsid w:val="001D6CB4"/>
    <w:rsid w:val="001D7177"/>
    <w:rsid w:val="001D719E"/>
    <w:rsid w:val="001D73CF"/>
    <w:rsid w:val="001D7DBF"/>
    <w:rsid w:val="001E1BBA"/>
    <w:rsid w:val="001E2958"/>
    <w:rsid w:val="001E304C"/>
    <w:rsid w:val="001E3078"/>
    <w:rsid w:val="001E3C15"/>
    <w:rsid w:val="001E3F0F"/>
    <w:rsid w:val="001E44B5"/>
    <w:rsid w:val="001E4B65"/>
    <w:rsid w:val="001E6720"/>
    <w:rsid w:val="001F0232"/>
    <w:rsid w:val="001F04D4"/>
    <w:rsid w:val="001F090D"/>
    <w:rsid w:val="001F09E3"/>
    <w:rsid w:val="001F0BC7"/>
    <w:rsid w:val="001F14A0"/>
    <w:rsid w:val="001F216A"/>
    <w:rsid w:val="001F263C"/>
    <w:rsid w:val="001F2D43"/>
    <w:rsid w:val="001F3490"/>
    <w:rsid w:val="001F34FE"/>
    <w:rsid w:val="001F46BD"/>
    <w:rsid w:val="001F4EE5"/>
    <w:rsid w:val="001F58EA"/>
    <w:rsid w:val="001F5CC9"/>
    <w:rsid w:val="001F652E"/>
    <w:rsid w:val="001F6596"/>
    <w:rsid w:val="001F65A6"/>
    <w:rsid w:val="001F6830"/>
    <w:rsid w:val="001F6C15"/>
    <w:rsid w:val="001F7B87"/>
    <w:rsid w:val="001F7CCB"/>
    <w:rsid w:val="001F7D2E"/>
    <w:rsid w:val="00200B46"/>
    <w:rsid w:val="0020112E"/>
    <w:rsid w:val="00201BA6"/>
    <w:rsid w:val="0020253F"/>
    <w:rsid w:val="00203D56"/>
    <w:rsid w:val="00204469"/>
    <w:rsid w:val="0020517F"/>
    <w:rsid w:val="002059A6"/>
    <w:rsid w:val="002059E9"/>
    <w:rsid w:val="0020615E"/>
    <w:rsid w:val="00206E4E"/>
    <w:rsid w:val="00206EB2"/>
    <w:rsid w:val="002073EA"/>
    <w:rsid w:val="00210F2C"/>
    <w:rsid w:val="00210FD7"/>
    <w:rsid w:val="00211D38"/>
    <w:rsid w:val="0021293B"/>
    <w:rsid w:val="00212B2B"/>
    <w:rsid w:val="00213246"/>
    <w:rsid w:val="00213DBA"/>
    <w:rsid w:val="002148F4"/>
    <w:rsid w:val="002154A7"/>
    <w:rsid w:val="0021575B"/>
    <w:rsid w:val="002157BF"/>
    <w:rsid w:val="00217D62"/>
    <w:rsid w:val="00220101"/>
    <w:rsid w:val="002203C9"/>
    <w:rsid w:val="0022061B"/>
    <w:rsid w:val="002207BF"/>
    <w:rsid w:val="0022111A"/>
    <w:rsid w:val="00221660"/>
    <w:rsid w:val="002227AD"/>
    <w:rsid w:val="00223E86"/>
    <w:rsid w:val="0022472C"/>
    <w:rsid w:val="00225D9B"/>
    <w:rsid w:val="00226424"/>
    <w:rsid w:val="002266A1"/>
    <w:rsid w:val="00226925"/>
    <w:rsid w:val="002274C9"/>
    <w:rsid w:val="00227D9A"/>
    <w:rsid w:val="0023127E"/>
    <w:rsid w:val="002317C2"/>
    <w:rsid w:val="00233069"/>
    <w:rsid w:val="002333FD"/>
    <w:rsid w:val="002338A3"/>
    <w:rsid w:val="0023507F"/>
    <w:rsid w:val="00235B94"/>
    <w:rsid w:val="00235CD7"/>
    <w:rsid w:val="00236925"/>
    <w:rsid w:val="00237472"/>
    <w:rsid w:val="002400C2"/>
    <w:rsid w:val="002404A5"/>
    <w:rsid w:val="00240926"/>
    <w:rsid w:val="00240DCF"/>
    <w:rsid w:val="00240F8A"/>
    <w:rsid w:val="00241A74"/>
    <w:rsid w:val="00243721"/>
    <w:rsid w:val="002439C7"/>
    <w:rsid w:val="00244286"/>
    <w:rsid w:val="0024440D"/>
    <w:rsid w:val="00244590"/>
    <w:rsid w:val="00244EBF"/>
    <w:rsid w:val="0024631A"/>
    <w:rsid w:val="00246336"/>
    <w:rsid w:val="00246A70"/>
    <w:rsid w:val="00250BB4"/>
    <w:rsid w:val="00251B1D"/>
    <w:rsid w:val="00252085"/>
    <w:rsid w:val="00252E18"/>
    <w:rsid w:val="0025374C"/>
    <w:rsid w:val="00253C49"/>
    <w:rsid w:val="0025480E"/>
    <w:rsid w:val="00254C78"/>
    <w:rsid w:val="00255656"/>
    <w:rsid w:val="0025569A"/>
    <w:rsid w:val="00255B6A"/>
    <w:rsid w:val="00256A01"/>
    <w:rsid w:val="002609B6"/>
    <w:rsid w:val="00260C2C"/>
    <w:rsid w:val="002612EF"/>
    <w:rsid w:val="00261BCF"/>
    <w:rsid w:val="00262F17"/>
    <w:rsid w:val="00263316"/>
    <w:rsid w:val="00263B9C"/>
    <w:rsid w:val="002645AE"/>
    <w:rsid w:val="00264FAF"/>
    <w:rsid w:val="00265263"/>
    <w:rsid w:val="002652BE"/>
    <w:rsid w:val="002653B9"/>
    <w:rsid w:val="00265869"/>
    <w:rsid w:val="00267067"/>
    <w:rsid w:val="00267B37"/>
    <w:rsid w:val="00270095"/>
    <w:rsid w:val="002702A3"/>
    <w:rsid w:val="002702D2"/>
    <w:rsid w:val="00270756"/>
    <w:rsid w:val="00270C6F"/>
    <w:rsid w:val="00270F55"/>
    <w:rsid w:val="002731DD"/>
    <w:rsid w:val="002738FA"/>
    <w:rsid w:val="00274E96"/>
    <w:rsid w:val="00275BB1"/>
    <w:rsid w:val="0027628E"/>
    <w:rsid w:val="002801F8"/>
    <w:rsid w:val="002802C9"/>
    <w:rsid w:val="00280B19"/>
    <w:rsid w:val="00281148"/>
    <w:rsid w:val="00281944"/>
    <w:rsid w:val="00281985"/>
    <w:rsid w:val="00281DEE"/>
    <w:rsid w:val="002828E0"/>
    <w:rsid w:val="00283591"/>
    <w:rsid w:val="00284239"/>
    <w:rsid w:val="00284241"/>
    <w:rsid w:val="00284ADA"/>
    <w:rsid w:val="00284F11"/>
    <w:rsid w:val="002855FD"/>
    <w:rsid w:val="00285701"/>
    <w:rsid w:val="00287A5A"/>
    <w:rsid w:val="00287FBE"/>
    <w:rsid w:val="0029009F"/>
    <w:rsid w:val="00290E3F"/>
    <w:rsid w:val="00292458"/>
    <w:rsid w:val="00292465"/>
    <w:rsid w:val="00293581"/>
    <w:rsid w:val="00293B34"/>
    <w:rsid w:val="002945D4"/>
    <w:rsid w:val="002960C1"/>
    <w:rsid w:val="002964E9"/>
    <w:rsid w:val="002967BB"/>
    <w:rsid w:val="00296B0A"/>
    <w:rsid w:val="002A122D"/>
    <w:rsid w:val="002A1572"/>
    <w:rsid w:val="002A1D82"/>
    <w:rsid w:val="002A31EA"/>
    <w:rsid w:val="002A3C56"/>
    <w:rsid w:val="002A4996"/>
    <w:rsid w:val="002A5275"/>
    <w:rsid w:val="002A58F0"/>
    <w:rsid w:val="002A59F9"/>
    <w:rsid w:val="002A5B8C"/>
    <w:rsid w:val="002A663E"/>
    <w:rsid w:val="002A69D0"/>
    <w:rsid w:val="002A6C08"/>
    <w:rsid w:val="002A6CD4"/>
    <w:rsid w:val="002A6D8D"/>
    <w:rsid w:val="002A7F13"/>
    <w:rsid w:val="002B09C0"/>
    <w:rsid w:val="002B12B3"/>
    <w:rsid w:val="002B1570"/>
    <w:rsid w:val="002B32B4"/>
    <w:rsid w:val="002B4586"/>
    <w:rsid w:val="002B4B91"/>
    <w:rsid w:val="002B550E"/>
    <w:rsid w:val="002B6304"/>
    <w:rsid w:val="002B71E1"/>
    <w:rsid w:val="002B76AA"/>
    <w:rsid w:val="002B78CB"/>
    <w:rsid w:val="002B7BA4"/>
    <w:rsid w:val="002C052E"/>
    <w:rsid w:val="002C0885"/>
    <w:rsid w:val="002C0FA9"/>
    <w:rsid w:val="002C10AB"/>
    <w:rsid w:val="002C13CC"/>
    <w:rsid w:val="002C2151"/>
    <w:rsid w:val="002C3CEA"/>
    <w:rsid w:val="002C40AF"/>
    <w:rsid w:val="002C4726"/>
    <w:rsid w:val="002C50DF"/>
    <w:rsid w:val="002C5A41"/>
    <w:rsid w:val="002C5E8D"/>
    <w:rsid w:val="002C6C5B"/>
    <w:rsid w:val="002C6CBA"/>
    <w:rsid w:val="002C7BCD"/>
    <w:rsid w:val="002C7BEC"/>
    <w:rsid w:val="002C7F88"/>
    <w:rsid w:val="002D15A8"/>
    <w:rsid w:val="002D15D7"/>
    <w:rsid w:val="002D2922"/>
    <w:rsid w:val="002D2DC9"/>
    <w:rsid w:val="002D314D"/>
    <w:rsid w:val="002D3ACE"/>
    <w:rsid w:val="002D3CC8"/>
    <w:rsid w:val="002D3D09"/>
    <w:rsid w:val="002D4AA1"/>
    <w:rsid w:val="002D4D64"/>
    <w:rsid w:val="002D4DE3"/>
    <w:rsid w:val="002D4EE4"/>
    <w:rsid w:val="002D5000"/>
    <w:rsid w:val="002D5D67"/>
    <w:rsid w:val="002E0128"/>
    <w:rsid w:val="002E141C"/>
    <w:rsid w:val="002E23C3"/>
    <w:rsid w:val="002E2AC3"/>
    <w:rsid w:val="002E41EE"/>
    <w:rsid w:val="002E43A6"/>
    <w:rsid w:val="002E4BD8"/>
    <w:rsid w:val="002E6576"/>
    <w:rsid w:val="002E663A"/>
    <w:rsid w:val="002E74E9"/>
    <w:rsid w:val="002F19E0"/>
    <w:rsid w:val="002F1E2B"/>
    <w:rsid w:val="002F1FEC"/>
    <w:rsid w:val="002F2177"/>
    <w:rsid w:val="002F38AF"/>
    <w:rsid w:val="002F4EAA"/>
    <w:rsid w:val="002F68B7"/>
    <w:rsid w:val="002F767A"/>
    <w:rsid w:val="002F773B"/>
    <w:rsid w:val="002F7C8F"/>
    <w:rsid w:val="00300B25"/>
    <w:rsid w:val="00300C60"/>
    <w:rsid w:val="00300E08"/>
    <w:rsid w:val="00301459"/>
    <w:rsid w:val="00301C60"/>
    <w:rsid w:val="0030216B"/>
    <w:rsid w:val="003028C1"/>
    <w:rsid w:val="00302E62"/>
    <w:rsid w:val="00302EB7"/>
    <w:rsid w:val="003033B4"/>
    <w:rsid w:val="00303E14"/>
    <w:rsid w:val="00304E15"/>
    <w:rsid w:val="00305140"/>
    <w:rsid w:val="003059E3"/>
    <w:rsid w:val="003060F4"/>
    <w:rsid w:val="00306559"/>
    <w:rsid w:val="003106E6"/>
    <w:rsid w:val="00311258"/>
    <w:rsid w:val="00311E05"/>
    <w:rsid w:val="00312335"/>
    <w:rsid w:val="00312F5E"/>
    <w:rsid w:val="00313D87"/>
    <w:rsid w:val="00314463"/>
    <w:rsid w:val="00314B35"/>
    <w:rsid w:val="003153E0"/>
    <w:rsid w:val="0031584E"/>
    <w:rsid w:val="00316001"/>
    <w:rsid w:val="00316476"/>
    <w:rsid w:val="00316BFC"/>
    <w:rsid w:val="00317E54"/>
    <w:rsid w:val="0032000C"/>
    <w:rsid w:val="003207E9"/>
    <w:rsid w:val="0032082E"/>
    <w:rsid w:val="00320D7B"/>
    <w:rsid w:val="0032193A"/>
    <w:rsid w:val="00321A77"/>
    <w:rsid w:val="00321F4F"/>
    <w:rsid w:val="003224B5"/>
    <w:rsid w:val="00322583"/>
    <w:rsid w:val="0032275F"/>
    <w:rsid w:val="0032355E"/>
    <w:rsid w:val="00323B8D"/>
    <w:rsid w:val="0032421B"/>
    <w:rsid w:val="00325BC5"/>
    <w:rsid w:val="00326524"/>
    <w:rsid w:val="00327B51"/>
    <w:rsid w:val="00327E83"/>
    <w:rsid w:val="0033018B"/>
    <w:rsid w:val="00330458"/>
    <w:rsid w:val="003310B9"/>
    <w:rsid w:val="00331884"/>
    <w:rsid w:val="003322DA"/>
    <w:rsid w:val="00332D3C"/>
    <w:rsid w:val="0033375D"/>
    <w:rsid w:val="003348CA"/>
    <w:rsid w:val="00335F4C"/>
    <w:rsid w:val="00336BC9"/>
    <w:rsid w:val="00336E42"/>
    <w:rsid w:val="0034048B"/>
    <w:rsid w:val="003404D4"/>
    <w:rsid w:val="0034165E"/>
    <w:rsid w:val="003422DB"/>
    <w:rsid w:val="00342B99"/>
    <w:rsid w:val="00343129"/>
    <w:rsid w:val="00343793"/>
    <w:rsid w:val="00344832"/>
    <w:rsid w:val="0034553C"/>
    <w:rsid w:val="00345692"/>
    <w:rsid w:val="00345E21"/>
    <w:rsid w:val="003471A3"/>
    <w:rsid w:val="003503F4"/>
    <w:rsid w:val="00350537"/>
    <w:rsid w:val="0035081B"/>
    <w:rsid w:val="00350B38"/>
    <w:rsid w:val="00351283"/>
    <w:rsid w:val="0035422D"/>
    <w:rsid w:val="00354FC3"/>
    <w:rsid w:val="00355956"/>
    <w:rsid w:val="003561A4"/>
    <w:rsid w:val="00356291"/>
    <w:rsid w:val="0035649A"/>
    <w:rsid w:val="00356787"/>
    <w:rsid w:val="0035687B"/>
    <w:rsid w:val="00356B8F"/>
    <w:rsid w:val="00356F5F"/>
    <w:rsid w:val="00361D22"/>
    <w:rsid w:val="00361DFA"/>
    <w:rsid w:val="00363E11"/>
    <w:rsid w:val="00364247"/>
    <w:rsid w:val="00364A60"/>
    <w:rsid w:val="00364BB2"/>
    <w:rsid w:val="00364F98"/>
    <w:rsid w:val="0036661B"/>
    <w:rsid w:val="00366B35"/>
    <w:rsid w:val="0037044F"/>
    <w:rsid w:val="00370727"/>
    <w:rsid w:val="00370B8D"/>
    <w:rsid w:val="00370BD8"/>
    <w:rsid w:val="00371637"/>
    <w:rsid w:val="00372943"/>
    <w:rsid w:val="003730E3"/>
    <w:rsid w:val="003734F9"/>
    <w:rsid w:val="003746D6"/>
    <w:rsid w:val="00374728"/>
    <w:rsid w:val="00374A5E"/>
    <w:rsid w:val="003756E9"/>
    <w:rsid w:val="003758F9"/>
    <w:rsid w:val="00375A53"/>
    <w:rsid w:val="00376346"/>
    <w:rsid w:val="0037668A"/>
    <w:rsid w:val="00377434"/>
    <w:rsid w:val="003774C5"/>
    <w:rsid w:val="00377D8C"/>
    <w:rsid w:val="00380116"/>
    <w:rsid w:val="003801E0"/>
    <w:rsid w:val="00381776"/>
    <w:rsid w:val="00381C6B"/>
    <w:rsid w:val="003826B1"/>
    <w:rsid w:val="003828F3"/>
    <w:rsid w:val="00383B6C"/>
    <w:rsid w:val="00383BAA"/>
    <w:rsid w:val="00383C0C"/>
    <w:rsid w:val="00384038"/>
    <w:rsid w:val="0038483D"/>
    <w:rsid w:val="00384BE1"/>
    <w:rsid w:val="00385552"/>
    <w:rsid w:val="00385662"/>
    <w:rsid w:val="00386494"/>
    <w:rsid w:val="00386B30"/>
    <w:rsid w:val="00390284"/>
    <w:rsid w:val="003928E9"/>
    <w:rsid w:val="00392E52"/>
    <w:rsid w:val="00393063"/>
    <w:rsid w:val="003931D3"/>
    <w:rsid w:val="0039357D"/>
    <w:rsid w:val="003935F3"/>
    <w:rsid w:val="003939EC"/>
    <w:rsid w:val="00393F6A"/>
    <w:rsid w:val="0039488C"/>
    <w:rsid w:val="0039529B"/>
    <w:rsid w:val="0039540F"/>
    <w:rsid w:val="00396215"/>
    <w:rsid w:val="003962D6"/>
    <w:rsid w:val="00396A3E"/>
    <w:rsid w:val="00396ABD"/>
    <w:rsid w:val="00397274"/>
    <w:rsid w:val="00397681"/>
    <w:rsid w:val="00397DC1"/>
    <w:rsid w:val="003A0323"/>
    <w:rsid w:val="003A0FEB"/>
    <w:rsid w:val="003A207B"/>
    <w:rsid w:val="003A4105"/>
    <w:rsid w:val="003A42CD"/>
    <w:rsid w:val="003A4618"/>
    <w:rsid w:val="003A4A8E"/>
    <w:rsid w:val="003A4E23"/>
    <w:rsid w:val="003A5A10"/>
    <w:rsid w:val="003A77FD"/>
    <w:rsid w:val="003A7A5E"/>
    <w:rsid w:val="003B0C4B"/>
    <w:rsid w:val="003B0E47"/>
    <w:rsid w:val="003B1145"/>
    <w:rsid w:val="003B18A1"/>
    <w:rsid w:val="003B2BB8"/>
    <w:rsid w:val="003B5071"/>
    <w:rsid w:val="003B657B"/>
    <w:rsid w:val="003B6E50"/>
    <w:rsid w:val="003C1534"/>
    <w:rsid w:val="003C24BD"/>
    <w:rsid w:val="003C35EF"/>
    <w:rsid w:val="003C3870"/>
    <w:rsid w:val="003C5620"/>
    <w:rsid w:val="003C5994"/>
    <w:rsid w:val="003C5BCD"/>
    <w:rsid w:val="003C6C4C"/>
    <w:rsid w:val="003C6F34"/>
    <w:rsid w:val="003C6FCC"/>
    <w:rsid w:val="003C7534"/>
    <w:rsid w:val="003D04AE"/>
    <w:rsid w:val="003D0740"/>
    <w:rsid w:val="003D1A2A"/>
    <w:rsid w:val="003D204F"/>
    <w:rsid w:val="003D2439"/>
    <w:rsid w:val="003D244C"/>
    <w:rsid w:val="003D3692"/>
    <w:rsid w:val="003D5B5A"/>
    <w:rsid w:val="003D6695"/>
    <w:rsid w:val="003D6C1A"/>
    <w:rsid w:val="003D71F7"/>
    <w:rsid w:val="003D7255"/>
    <w:rsid w:val="003D7AE9"/>
    <w:rsid w:val="003E088B"/>
    <w:rsid w:val="003E1127"/>
    <w:rsid w:val="003E12EF"/>
    <w:rsid w:val="003E197F"/>
    <w:rsid w:val="003E1A30"/>
    <w:rsid w:val="003E2468"/>
    <w:rsid w:val="003E2C08"/>
    <w:rsid w:val="003E3662"/>
    <w:rsid w:val="003E40B5"/>
    <w:rsid w:val="003E41D4"/>
    <w:rsid w:val="003E4D9A"/>
    <w:rsid w:val="003E5CD2"/>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4FF0"/>
    <w:rsid w:val="003F583B"/>
    <w:rsid w:val="003F5B25"/>
    <w:rsid w:val="003F61C0"/>
    <w:rsid w:val="003F6893"/>
    <w:rsid w:val="003F7EEF"/>
    <w:rsid w:val="004002F8"/>
    <w:rsid w:val="0040176E"/>
    <w:rsid w:val="00402433"/>
    <w:rsid w:val="00402F62"/>
    <w:rsid w:val="00403FF7"/>
    <w:rsid w:val="004053F8"/>
    <w:rsid w:val="00405703"/>
    <w:rsid w:val="0040583E"/>
    <w:rsid w:val="0040695F"/>
    <w:rsid w:val="00406C02"/>
    <w:rsid w:val="00406DEF"/>
    <w:rsid w:val="004074B6"/>
    <w:rsid w:val="004076D5"/>
    <w:rsid w:val="00407D36"/>
    <w:rsid w:val="004123CE"/>
    <w:rsid w:val="004128AC"/>
    <w:rsid w:val="00412BF2"/>
    <w:rsid w:val="00412E73"/>
    <w:rsid w:val="00413CCA"/>
    <w:rsid w:val="004152DE"/>
    <w:rsid w:val="004171DD"/>
    <w:rsid w:val="00417F34"/>
    <w:rsid w:val="00421C89"/>
    <w:rsid w:val="0042350E"/>
    <w:rsid w:val="00424A93"/>
    <w:rsid w:val="00424D63"/>
    <w:rsid w:val="00425BD4"/>
    <w:rsid w:val="004267E6"/>
    <w:rsid w:val="00426A31"/>
    <w:rsid w:val="00430E97"/>
    <w:rsid w:val="0043135E"/>
    <w:rsid w:val="00432C83"/>
    <w:rsid w:val="00432F69"/>
    <w:rsid w:val="004339C6"/>
    <w:rsid w:val="00433E47"/>
    <w:rsid w:val="00434DF3"/>
    <w:rsid w:val="00435679"/>
    <w:rsid w:val="004360B8"/>
    <w:rsid w:val="0043673E"/>
    <w:rsid w:val="00436FAC"/>
    <w:rsid w:val="00437FF0"/>
    <w:rsid w:val="004401D2"/>
    <w:rsid w:val="0044129A"/>
    <w:rsid w:val="004415F7"/>
    <w:rsid w:val="00442A9D"/>
    <w:rsid w:val="00442AD9"/>
    <w:rsid w:val="004431AE"/>
    <w:rsid w:val="00443714"/>
    <w:rsid w:val="004438AF"/>
    <w:rsid w:val="00444376"/>
    <w:rsid w:val="00444619"/>
    <w:rsid w:val="004447BE"/>
    <w:rsid w:val="00444D0A"/>
    <w:rsid w:val="00444FC2"/>
    <w:rsid w:val="00445D24"/>
    <w:rsid w:val="004461C3"/>
    <w:rsid w:val="004466CE"/>
    <w:rsid w:val="004467D9"/>
    <w:rsid w:val="004470C3"/>
    <w:rsid w:val="004476EC"/>
    <w:rsid w:val="0045042F"/>
    <w:rsid w:val="004510E9"/>
    <w:rsid w:val="0045186C"/>
    <w:rsid w:val="00451FA0"/>
    <w:rsid w:val="00453B16"/>
    <w:rsid w:val="00454689"/>
    <w:rsid w:val="00454ACA"/>
    <w:rsid w:val="00454AE2"/>
    <w:rsid w:val="00454CBF"/>
    <w:rsid w:val="00456115"/>
    <w:rsid w:val="0045662D"/>
    <w:rsid w:val="00457669"/>
    <w:rsid w:val="00460AA0"/>
    <w:rsid w:val="00460C45"/>
    <w:rsid w:val="00460CA0"/>
    <w:rsid w:val="0046109C"/>
    <w:rsid w:val="00461934"/>
    <w:rsid w:val="00461945"/>
    <w:rsid w:val="00461FEB"/>
    <w:rsid w:val="00464308"/>
    <w:rsid w:val="00464643"/>
    <w:rsid w:val="00465044"/>
    <w:rsid w:val="00465286"/>
    <w:rsid w:val="00465776"/>
    <w:rsid w:val="00465A06"/>
    <w:rsid w:val="00465D98"/>
    <w:rsid w:val="004669A3"/>
    <w:rsid w:val="00466CEE"/>
    <w:rsid w:val="00467947"/>
    <w:rsid w:val="004679F6"/>
    <w:rsid w:val="00470B2B"/>
    <w:rsid w:val="00473494"/>
    <w:rsid w:val="00474115"/>
    <w:rsid w:val="004742D5"/>
    <w:rsid w:val="0047515B"/>
    <w:rsid w:val="004761BC"/>
    <w:rsid w:val="004762A2"/>
    <w:rsid w:val="0047659F"/>
    <w:rsid w:val="004767C6"/>
    <w:rsid w:val="00476D82"/>
    <w:rsid w:val="00476E19"/>
    <w:rsid w:val="0047769A"/>
    <w:rsid w:val="00477A5A"/>
    <w:rsid w:val="00477FCD"/>
    <w:rsid w:val="00480745"/>
    <w:rsid w:val="00481FD0"/>
    <w:rsid w:val="00482880"/>
    <w:rsid w:val="00482C88"/>
    <w:rsid w:val="004830E7"/>
    <w:rsid w:val="00483AA6"/>
    <w:rsid w:val="00484134"/>
    <w:rsid w:val="00484170"/>
    <w:rsid w:val="00485CC8"/>
    <w:rsid w:val="0048608C"/>
    <w:rsid w:val="00486603"/>
    <w:rsid w:val="00486680"/>
    <w:rsid w:val="00486BF3"/>
    <w:rsid w:val="0048777A"/>
    <w:rsid w:val="00487FE5"/>
    <w:rsid w:val="0049012D"/>
    <w:rsid w:val="004908BA"/>
    <w:rsid w:val="00491DAB"/>
    <w:rsid w:val="004922F8"/>
    <w:rsid w:val="0049298C"/>
    <w:rsid w:val="0049313A"/>
    <w:rsid w:val="00493621"/>
    <w:rsid w:val="00493811"/>
    <w:rsid w:val="004940F8"/>
    <w:rsid w:val="004950C6"/>
    <w:rsid w:val="00496E3D"/>
    <w:rsid w:val="00496F40"/>
    <w:rsid w:val="00497878"/>
    <w:rsid w:val="00497CFE"/>
    <w:rsid w:val="004A0F19"/>
    <w:rsid w:val="004A18B4"/>
    <w:rsid w:val="004A42EE"/>
    <w:rsid w:val="004A463D"/>
    <w:rsid w:val="004A4D6D"/>
    <w:rsid w:val="004A5792"/>
    <w:rsid w:val="004A5EBC"/>
    <w:rsid w:val="004A6033"/>
    <w:rsid w:val="004A6C03"/>
    <w:rsid w:val="004A6E1D"/>
    <w:rsid w:val="004A70C2"/>
    <w:rsid w:val="004A7867"/>
    <w:rsid w:val="004A79F2"/>
    <w:rsid w:val="004A7FAA"/>
    <w:rsid w:val="004B0138"/>
    <w:rsid w:val="004B0201"/>
    <w:rsid w:val="004B1BB8"/>
    <w:rsid w:val="004B4595"/>
    <w:rsid w:val="004B52CF"/>
    <w:rsid w:val="004B54FD"/>
    <w:rsid w:val="004B5ED1"/>
    <w:rsid w:val="004B65CF"/>
    <w:rsid w:val="004B6613"/>
    <w:rsid w:val="004B6FED"/>
    <w:rsid w:val="004B7561"/>
    <w:rsid w:val="004B7AFD"/>
    <w:rsid w:val="004C0E2B"/>
    <w:rsid w:val="004C1956"/>
    <w:rsid w:val="004C1CB1"/>
    <w:rsid w:val="004C1CE6"/>
    <w:rsid w:val="004C2699"/>
    <w:rsid w:val="004C2C94"/>
    <w:rsid w:val="004C3347"/>
    <w:rsid w:val="004C3404"/>
    <w:rsid w:val="004C4166"/>
    <w:rsid w:val="004C42D4"/>
    <w:rsid w:val="004C4992"/>
    <w:rsid w:val="004C512E"/>
    <w:rsid w:val="004C5B27"/>
    <w:rsid w:val="004C5FC5"/>
    <w:rsid w:val="004C6ACC"/>
    <w:rsid w:val="004C73C2"/>
    <w:rsid w:val="004C7916"/>
    <w:rsid w:val="004C79AE"/>
    <w:rsid w:val="004C7B72"/>
    <w:rsid w:val="004C7D1F"/>
    <w:rsid w:val="004C7E85"/>
    <w:rsid w:val="004D20A2"/>
    <w:rsid w:val="004D235F"/>
    <w:rsid w:val="004D23A4"/>
    <w:rsid w:val="004D24D5"/>
    <w:rsid w:val="004D4022"/>
    <w:rsid w:val="004D500E"/>
    <w:rsid w:val="004D5718"/>
    <w:rsid w:val="004D593F"/>
    <w:rsid w:val="004D6055"/>
    <w:rsid w:val="004D68DE"/>
    <w:rsid w:val="004D7200"/>
    <w:rsid w:val="004D77C4"/>
    <w:rsid w:val="004E04EB"/>
    <w:rsid w:val="004E07E3"/>
    <w:rsid w:val="004E08ED"/>
    <w:rsid w:val="004E0FC9"/>
    <w:rsid w:val="004E1B5C"/>
    <w:rsid w:val="004E2ADC"/>
    <w:rsid w:val="004E33C6"/>
    <w:rsid w:val="004E34F0"/>
    <w:rsid w:val="004E4AB3"/>
    <w:rsid w:val="004E537C"/>
    <w:rsid w:val="004E5AF9"/>
    <w:rsid w:val="004E61C5"/>
    <w:rsid w:val="004E6AFB"/>
    <w:rsid w:val="004F0823"/>
    <w:rsid w:val="004F0905"/>
    <w:rsid w:val="004F0BB6"/>
    <w:rsid w:val="004F1362"/>
    <w:rsid w:val="004F1514"/>
    <w:rsid w:val="004F2F26"/>
    <w:rsid w:val="004F3486"/>
    <w:rsid w:val="004F3576"/>
    <w:rsid w:val="004F3762"/>
    <w:rsid w:val="004F4B9A"/>
    <w:rsid w:val="004F4EC4"/>
    <w:rsid w:val="004F4F72"/>
    <w:rsid w:val="004F625E"/>
    <w:rsid w:val="004F6BC4"/>
    <w:rsid w:val="004F7720"/>
    <w:rsid w:val="00500607"/>
    <w:rsid w:val="00501225"/>
    <w:rsid w:val="00501EE0"/>
    <w:rsid w:val="005027CB"/>
    <w:rsid w:val="0050287A"/>
    <w:rsid w:val="00502B15"/>
    <w:rsid w:val="00503387"/>
    <w:rsid w:val="00503C30"/>
    <w:rsid w:val="00504DE2"/>
    <w:rsid w:val="00504DFC"/>
    <w:rsid w:val="0050544E"/>
    <w:rsid w:val="005054B8"/>
    <w:rsid w:val="00505502"/>
    <w:rsid w:val="005057E0"/>
    <w:rsid w:val="00505AC2"/>
    <w:rsid w:val="00505D90"/>
    <w:rsid w:val="00505F94"/>
    <w:rsid w:val="0050658B"/>
    <w:rsid w:val="00506B5E"/>
    <w:rsid w:val="00506FAD"/>
    <w:rsid w:val="00511CCC"/>
    <w:rsid w:val="00512001"/>
    <w:rsid w:val="0051361C"/>
    <w:rsid w:val="00513B63"/>
    <w:rsid w:val="00514198"/>
    <w:rsid w:val="0051494F"/>
    <w:rsid w:val="00514C11"/>
    <w:rsid w:val="00514CF6"/>
    <w:rsid w:val="00514D69"/>
    <w:rsid w:val="00515F17"/>
    <w:rsid w:val="005160AF"/>
    <w:rsid w:val="00520163"/>
    <w:rsid w:val="00520685"/>
    <w:rsid w:val="0052179A"/>
    <w:rsid w:val="005217DD"/>
    <w:rsid w:val="00523070"/>
    <w:rsid w:val="00523409"/>
    <w:rsid w:val="00523DF3"/>
    <w:rsid w:val="0052531E"/>
    <w:rsid w:val="005259C2"/>
    <w:rsid w:val="005259D4"/>
    <w:rsid w:val="005265A9"/>
    <w:rsid w:val="00526CED"/>
    <w:rsid w:val="00527506"/>
    <w:rsid w:val="00527917"/>
    <w:rsid w:val="00530755"/>
    <w:rsid w:val="0053082B"/>
    <w:rsid w:val="00533017"/>
    <w:rsid w:val="005334E9"/>
    <w:rsid w:val="00534357"/>
    <w:rsid w:val="00537088"/>
    <w:rsid w:val="00537D00"/>
    <w:rsid w:val="0054046A"/>
    <w:rsid w:val="00540AA6"/>
    <w:rsid w:val="00541EB7"/>
    <w:rsid w:val="005421D0"/>
    <w:rsid w:val="00542489"/>
    <w:rsid w:val="00543500"/>
    <w:rsid w:val="00544ACB"/>
    <w:rsid w:val="00544D96"/>
    <w:rsid w:val="00545664"/>
    <w:rsid w:val="00545A3F"/>
    <w:rsid w:val="005463BE"/>
    <w:rsid w:val="00546486"/>
    <w:rsid w:val="00550736"/>
    <w:rsid w:val="00550893"/>
    <w:rsid w:val="005508D0"/>
    <w:rsid w:val="00550FA1"/>
    <w:rsid w:val="0055161E"/>
    <w:rsid w:val="00551C1A"/>
    <w:rsid w:val="00551FF0"/>
    <w:rsid w:val="005523D2"/>
    <w:rsid w:val="005524D6"/>
    <w:rsid w:val="00553211"/>
    <w:rsid w:val="00553DD3"/>
    <w:rsid w:val="00554CCF"/>
    <w:rsid w:val="00554F15"/>
    <w:rsid w:val="00556780"/>
    <w:rsid w:val="00556AB5"/>
    <w:rsid w:val="0055705B"/>
    <w:rsid w:val="00557611"/>
    <w:rsid w:val="005603FD"/>
    <w:rsid w:val="005610CC"/>
    <w:rsid w:val="0056136E"/>
    <w:rsid w:val="00562397"/>
    <w:rsid w:val="00562CB9"/>
    <w:rsid w:val="00562F7C"/>
    <w:rsid w:val="00564717"/>
    <w:rsid w:val="00565912"/>
    <w:rsid w:val="00566B4C"/>
    <w:rsid w:val="00566E73"/>
    <w:rsid w:val="00570383"/>
    <w:rsid w:val="0057074D"/>
    <w:rsid w:val="005707D5"/>
    <w:rsid w:val="0057163E"/>
    <w:rsid w:val="00572C82"/>
    <w:rsid w:val="005731F8"/>
    <w:rsid w:val="005737F8"/>
    <w:rsid w:val="005759A5"/>
    <w:rsid w:val="00575AA4"/>
    <w:rsid w:val="00575F15"/>
    <w:rsid w:val="005768FD"/>
    <w:rsid w:val="00576F56"/>
    <w:rsid w:val="005813B3"/>
    <w:rsid w:val="00581D82"/>
    <w:rsid w:val="0058272C"/>
    <w:rsid w:val="00583009"/>
    <w:rsid w:val="00583D35"/>
    <w:rsid w:val="00583E0F"/>
    <w:rsid w:val="00585EAB"/>
    <w:rsid w:val="0058635D"/>
    <w:rsid w:val="0058643B"/>
    <w:rsid w:val="005866A7"/>
    <w:rsid w:val="00586C5C"/>
    <w:rsid w:val="005871FE"/>
    <w:rsid w:val="005875D4"/>
    <w:rsid w:val="00587646"/>
    <w:rsid w:val="0058768F"/>
    <w:rsid w:val="00587756"/>
    <w:rsid w:val="005907B1"/>
    <w:rsid w:val="00591217"/>
    <w:rsid w:val="0059224F"/>
    <w:rsid w:val="00592DD8"/>
    <w:rsid w:val="00593393"/>
    <w:rsid w:val="005947C5"/>
    <w:rsid w:val="00594CED"/>
    <w:rsid w:val="0059502D"/>
    <w:rsid w:val="00595B3F"/>
    <w:rsid w:val="00595E39"/>
    <w:rsid w:val="005978C9"/>
    <w:rsid w:val="005979A7"/>
    <w:rsid w:val="00597D47"/>
    <w:rsid w:val="005A099C"/>
    <w:rsid w:val="005A0B1C"/>
    <w:rsid w:val="005A21D8"/>
    <w:rsid w:val="005A2F15"/>
    <w:rsid w:val="005A2FDC"/>
    <w:rsid w:val="005A5A3D"/>
    <w:rsid w:val="005A6186"/>
    <w:rsid w:val="005A6AAA"/>
    <w:rsid w:val="005A6F64"/>
    <w:rsid w:val="005B003D"/>
    <w:rsid w:val="005B045F"/>
    <w:rsid w:val="005B05B0"/>
    <w:rsid w:val="005B28C0"/>
    <w:rsid w:val="005B316F"/>
    <w:rsid w:val="005B3C5C"/>
    <w:rsid w:val="005B4570"/>
    <w:rsid w:val="005B45A1"/>
    <w:rsid w:val="005B4B95"/>
    <w:rsid w:val="005B5A57"/>
    <w:rsid w:val="005B5DE4"/>
    <w:rsid w:val="005B5F16"/>
    <w:rsid w:val="005B62ED"/>
    <w:rsid w:val="005B761C"/>
    <w:rsid w:val="005C005E"/>
    <w:rsid w:val="005C0128"/>
    <w:rsid w:val="005C03A5"/>
    <w:rsid w:val="005C0DDA"/>
    <w:rsid w:val="005C1371"/>
    <w:rsid w:val="005C1722"/>
    <w:rsid w:val="005C2734"/>
    <w:rsid w:val="005C3D15"/>
    <w:rsid w:val="005C5884"/>
    <w:rsid w:val="005C60A3"/>
    <w:rsid w:val="005C659C"/>
    <w:rsid w:val="005C6DFC"/>
    <w:rsid w:val="005C7F33"/>
    <w:rsid w:val="005D05A0"/>
    <w:rsid w:val="005D0A28"/>
    <w:rsid w:val="005D0CBD"/>
    <w:rsid w:val="005D2202"/>
    <w:rsid w:val="005D2C9F"/>
    <w:rsid w:val="005D3740"/>
    <w:rsid w:val="005D4CFC"/>
    <w:rsid w:val="005D4E46"/>
    <w:rsid w:val="005D53A0"/>
    <w:rsid w:val="005D5D7C"/>
    <w:rsid w:val="005D5EC0"/>
    <w:rsid w:val="005D64E6"/>
    <w:rsid w:val="005D723A"/>
    <w:rsid w:val="005D74EA"/>
    <w:rsid w:val="005D761E"/>
    <w:rsid w:val="005E03F1"/>
    <w:rsid w:val="005E0A69"/>
    <w:rsid w:val="005E23EE"/>
    <w:rsid w:val="005E269D"/>
    <w:rsid w:val="005E2F5F"/>
    <w:rsid w:val="005E3EDE"/>
    <w:rsid w:val="005E52BF"/>
    <w:rsid w:val="005E6146"/>
    <w:rsid w:val="005E6F02"/>
    <w:rsid w:val="005E73C8"/>
    <w:rsid w:val="005E7720"/>
    <w:rsid w:val="005E792C"/>
    <w:rsid w:val="005E7DDB"/>
    <w:rsid w:val="005F0384"/>
    <w:rsid w:val="005F1ABF"/>
    <w:rsid w:val="005F238D"/>
    <w:rsid w:val="005F2B29"/>
    <w:rsid w:val="005F37D0"/>
    <w:rsid w:val="005F3A84"/>
    <w:rsid w:val="005F450B"/>
    <w:rsid w:val="005F4892"/>
    <w:rsid w:val="005F5DD5"/>
    <w:rsid w:val="005F6533"/>
    <w:rsid w:val="005F67A8"/>
    <w:rsid w:val="005F6BB8"/>
    <w:rsid w:val="005F7F7D"/>
    <w:rsid w:val="0060013D"/>
    <w:rsid w:val="0060064A"/>
    <w:rsid w:val="006011B0"/>
    <w:rsid w:val="00601396"/>
    <w:rsid w:val="006025CB"/>
    <w:rsid w:val="00605381"/>
    <w:rsid w:val="00605464"/>
    <w:rsid w:val="00605869"/>
    <w:rsid w:val="00605D6B"/>
    <w:rsid w:val="006061D0"/>
    <w:rsid w:val="00606ED2"/>
    <w:rsid w:val="00607353"/>
    <w:rsid w:val="006079F5"/>
    <w:rsid w:val="00607D8E"/>
    <w:rsid w:val="0061070C"/>
    <w:rsid w:val="00611740"/>
    <w:rsid w:val="00611D30"/>
    <w:rsid w:val="00612126"/>
    <w:rsid w:val="006124EC"/>
    <w:rsid w:val="006129E5"/>
    <w:rsid w:val="0061323B"/>
    <w:rsid w:val="00614F32"/>
    <w:rsid w:val="00615077"/>
    <w:rsid w:val="006150AB"/>
    <w:rsid w:val="0061568A"/>
    <w:rsid w:val="00615FE0"/>
    <w:rsid w:val="0061607E"/>
    <w:rsid w:val="00617260"/>
    <w:rsid w:val="00617415"/>
    <w:rsid w:val="00617F45"/>
    <w:rsid w:val="0062035D"/>
    <w:rsid w:val="00621387"/>
    <w:rsid w:val="00622E4A"/>
    <w:rsid w:val="006235E6"/>
    <w:rsid w:val="006243D3"/>
    <w:rsid w:val="006244E4"/>
    <w:rsid w:val="006247DC"/>
    <w:rsid w:val="00624B18"/>
    <w:rsid w:val="00624B56"/>
    <w:rsid w:val="00624B57"/>
    <w:rsid w:val="00626F6A"/>
    <w:rsid w:val="006277D4"/>
    <w:rsid w:val="006306EA"/>
    <w:rsid w:val="00630F29"/>
    <w:rsid w:val="0063153A"/>
    <w:rsid w:val="00631769"/>
    <w:rsid w:val="00631921"/>
    <w:rsid w:val="00631985"/>
    <w:rsid w:val="00632414"/>
    <w:rsid w:val="0063258C"/>
    <w:rsid w:val="00632AE3"/>
    <w:rsid w:val="006338C8"/>
    <w:rsid w:val="00633FA1"/>
    <w:rsid w:val="00635F55"/>
    <w:rsid w:val="00636488"/>
    <w:rsid w:val="00636903"/>
    <w:rsid w:val="00637D4A"/>
    <w:rsid w:val="006400D4"/>
    <w:rsid w:val="0064071E"/>
    <w:rsid w:val="0064080D"/>
    <w:rsid w:val="0064089D"/>
    <w:rsid w:val="00640BE0"/>
    <w:rsid w:val="006414E2"/>
    <w:rsid w:val="00642453"/>
    <w:rsid w:val="0064286E"/>
    <w:rsid w:val="00642AF6"/>
    <w:rsid w:val="00642E60"/>
    <w:rsid w:val="00643CD5"/>
    <w:rsid w:val="006448FD"/>
    <w:rsid w:val="00644D8A"/>
    <w:rsid w:val="006451B9"/>
    <w:rsid w:val="0064652E"/>
    <w:rsid w:val="006505F5"/>
    <w:rsid w:val="00651419"/>
    <w:rsid w:val="00651FFD"/>
    <w:rsid w:val="00652C42"/>
    <w:rsid w:val="0065332E"/>
    <w:rsid w:val="00653518"/>
    <w:rsid w:val="00653988"/>
    <w:rsid w:val="00654B37"/>
    <w:rsid w:val="00654DDD"/>
    <w:rsid w:val="00654E8A"/>
    <w:rsid w:val="006572D0"/>
    <w:rsid w:val="00657852"/>
    <w:rsid w:val="00657EE7"/>
    <w:rsid w:val="0066067B"/>
    <w:rsid w:val="0066109A"/>
    <w:rsid w:val="00661459"/>
    <w:rsid w:val="00662474"/>
    <w:rsid w:val="00662A44"/>
    <w:rsid w:val="0066317D"/>
    <w:rsid w:val="00664EE5"/>
    <w:rsid w:val="006657E1"/>
    <w:rsid w:val="006667A9"/>
    <w:rsid w:val="00667133"/>
    <w:rsid w:val="00667DB9"/>
    <w:rsid w:val="006702AC"/>
    <w:rsid w:val="00670913"/>
    <w:rsid w:val="00672AAC"/>
    <w:rsid w:val="00672ADF"/>
    <w:rsid w:val="00672BD0"/>
    <w:rsid w:val="00672FB4"/>
    <w:rsid w:val="00673537"/>
    <w:rsid w:val="006739CD"/>
    <w:rsid w:val="0067443A"/>
    <w:rsid w:val="006753D8"/>
    <w:rsid w:val="006754F4"/>
    <w:rsid w:val="00675DE1"/>
    <w:rsid w:val="00676496"/>
    <w:rsid w:val="00676904"/>
    <w:rsid w:val="00676956"/>
    <w:rsid w:val="00677F0B"/>
    <w:rsid w:val="00680449"/>
    <w:rsid w:val="00680551"/>
    <w:rsid w:val="006810C4"/>
    <w:rsid w:val="0068114C"/>
    <w:rsid w:val="006812FE"/>
    <w:rsid w:val="0068230E"/>
    <w:rsid w:val="0068258A"/>
    <w:rsid w:val="00682632"/>
    <w:rsid w:val="006851F9"/>
    <w:rsid w:val="00685309"/>
    <w:rsid w:val="0068562D"/>
    <w:rsid w:val="00685BF6"/>
    <w:rsid w:val="00685C6C"/>
    <w:rsid w:val="00686589"/>
    <w:rsid w:val="00686D2B"/>
    <w:rsid w:val="00687BE4"/>
    <w:rsid w:val="0069188C"/>
    <w:rsid w:val="00691A43"/>
    <w:rsid w:val="006930A2"/>
    <w:rsid w:val="00693567"/>
    <w:rsid w:val="006938D0"/>
    <w:rsid w:val="0069418A"/>
    <w:rsid w:val="00694CF0"/>
    <w:rsid w:val="00695964"/>
    <w:rsid w:val="00695991"/>
    <w:rsid w:val="00696A90"/>
    <w:rsid w:val="006970B2"/>
    <w:rsid w:val="00697165"/>
    <w:rsid w:val="00697CF6"/>
    <w:rsid w:val="006A07F9"/>
    <w:rsid w:val="006A0F19"/>
    <w:rsid w:val="006A1A83"/>
    <w:rsid w:val="006A1F3F"/>
    <w:rsid w:val="006A206D"/>
    <w:rsid w:val="006A2DB4"/>
    <w:rsid w:val="006A31E1"/>
    <w:rsid w:val="006A3EEA"/>
    <w:rsid w:val="006A54EF"/>
    <w:rsid w:val="006A5636"/>
    <w:rsid w:val="006A6903"/>
    <w:rsid w:val="006A7660"/>
    <w:rsid w:val="006A77DF"/>
    <w:rsid w:val="006B10C6"/>
    <w:rsid w:val="006B1364"/>
    <w:rsid w:val="006B1804"/>
    <w:rsid w:val="006B1D66"/>
    <w:rsid w:val="006B2616"/>
    <w:rsid w:val="006B2A5C"/>
    <w:rsid w:val="006B3780"/>
    <w:rsid w:val="006B4671"/>
    <w:rsid w:val="006B4B26"/>
    <w:rsid w:val="006B677C"/>
    <w:rsid w:val="006B7C54"/>
    <w:rsid w:val="006B7E04"/>
    <w:rsid w:val="006C11CA"/>
    <w:rsid w:val="006C2DBC"/>
    <w:rsid w:val="006C3433"/>
    <w:rsid w:val="006C35EF"/>
    <w:rsid w:val="006C36E2"/>
    <w:rsid w:val="006C5182"/>
    <w:rsid w:val="006C5C06"/>
    <w:rsid w:val="006C5FA6"/>
    <w:rsid w:val="006C6D7B"/>
    <w:rsid w:val="006D036B"/>
    <w:rsid w:val="006D09B3"/>
    <w:rsid w:val="006D0FEE"/>
    <w:rsid w:val="006D1B1F"/>
    <w:rsid w:val="006D208A"/>
    <w:rsid w:val="006D3005"/>
    <w:rsid w:val="006D3964"/>
    <w:rsid w:val="006D39C1"/>
    <w:rsid w:val="006D3FEB"/>
    <w:rsid w:val="006D420C"/>
    <w:rsid w:val="006D4581"/>
    <w:rsid w:val="006D6B94"/>
    <w:rsid w:val="006D7314"/>
    <w:rsid w:val="006D73F5"/>
    <w:rsid w:val="006D7E4A"/>
    <w:rsid w:val="006E0329"/>
    <w:rsid w:val="006E050D"/>
    <w:rsid w:val="006E08A9"/>
    <w:rsid w:val="006E12E5"/>
    <w:rsid w:val="006E2109"/>
    <w:rsid w:val="006E2F41"/>
    <w:rsid w:val="006E3DE4"/>
    <w:rsid w:val="006E4300"/>
    <w:rsid w:val="006E571B"/>
    <w:rsid w:val="006E583F"/>
    <w:rsid w:val="006E5A5B"/>
    <w:rsid w:val="006E5F7D"/>
    <w:rsid w:val="006E6B65"/>
    <w:rsid w:val="006E6C70"/>
    <w:rsid w:val="006E6F2E"/>
    <w:rsid w:val="006E7399"/>
    <w:rsid w:val="006E7421"/>
    <w:rsid w:val="006F04B9"/>
    <w:rsid w:val="006F054C"/>
    <w:rsid w:val="006F0E18"/>
    <w:rsid w:val="006F258C"/>
    <w:rsid w:val="006F2C4B"/>
    <w:rsid w:val="006F2E82"/>
    <w:rsid w:val="006F406F"/>
    <w:rsid w:val="006F5419"/>
    <w:rsid w:val="006F5D25"/>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66D1"/>
    <w:rsid w:val="00706A7A"/>
    <w:rsid w:val="007072E5"/>
    <w:rsid w:val="00707928"/>
    <w:rsid w:val="00707E82"/>
    <w:rsid w:val="00710044"/>
    <w:rsid w:val="00710060"/>
    <w:rsid w:val="00710FBF"/>
    <w:rsid w:val="007112EF"/>
    <w:rsid w:val="0071222F"/>
    <w:rsid w:val="007124BB"/>
    <w:rsid w:val="00712915"/>
    <w:rsid w:val="00713714"/>
    <w:rsid w:val="00713BF0"/>
    <w:rsid w:val="00713F8D"/>
    <w:rsid w:val="00714F19"/>
    <w:rsid w:val="00714F38"/>
    <w:rsid w:val="00714FB3"/>
    <w:rsid w:val="00715654"/>
    <w:rsid w:val="00716185"/>
    <w:rsid w:val="00716334"/>
    <w:rsid w:val="00716E35"/>
    <w:rsid w:val="007172A8"/>
    <w:rsid w:val="00717932"/>
    <w:rsid w:val="00717B5D"/>
    <w:rsid w:val="00720F17"/>
    <w:rsid w:val="00721D94"/>
    <w:rsid w:val="007221F4"/>
    <w:rsid w:val="007221FF"/>
    <w:rsid w:val="007225CB"/>
    <w:rsid w:val="00722C87"/>
    <w:rsid w:val="0072473C"/>
    <w:rsid w:val="00724D35"/>
    <w:rsid w:val="00726257"/>
    <w:rsid w:val="007262AF"/>
    <w:rsid w:val="007263D1"/>
    <w:rsid w:val="007265B3"/>
    <w:rsid w:val="00726CCB"/>
    <w:rsid w:val="00727202"/>
    <w:rsid w:val="00727383"/>
    <w:rsid w:val="0073029E"/>
    <w:rsid w:val="007302DC"/>
    <w:rsid w:val="00731006"/>
    <w:rsid w:val="00731149"/>
    <w:rsid w:val="007319E3"/>
    <w:rsid w:val="00731B92"/>
    <w:rsid w:val="00732EF6"/>
    <w:rsid w:val="0073323C"/>
    <w:rsid w:val="00733853"/>
    <w:rsid w:val="00734BC8"/>
    <w:rsid w:val="007358C4"/>
    <w:rsid w:val="00735919"/>
    <w:rsid w:val="00735D24"/>
    <w:rsid w:val="007364DF"/>
    <w:rsid w:val="007400E1"/>
    <w:rsid w:val="00740965"/>
    <w:rsid w:val="00741F54"/>
    <w:rsid w:val="00742645"/>
    <w:rsid w:val="007427BD"/>
    <w:rsid w:val="00742D37"/>
    <w:rsid w:val="00743296"/>
    <w:rsid w:val="00744033"/>
    <w:rsid w:val="00745C65"/>
    <w:rsid w:val="00745D04"/>
    <w:rsid w:val="007461C0"/>
    <w:rsid w:val="00746916"/>
    <w:rsid w:val="00746C8E"/>
    <w:rsid w:val="00747940"/>
    <w:rsid w:val="00747A11"/>
    <w:rsid w:val="00747BD1"/>
    <w:rsid w:val="00747BD6"/>
    <w:rsid w:val="00747E6E"/>
    <w:rsid w:val="00747F44"/>
    <w:rsid w:val="00750A2F"/>
    <w:rsid w:val="00751A43"/>
    <w:rsid w:val="00751FA8"/>
    <w:rsid w:val="007527CC"/>
    <w:rsid w:val="00752B74"/>
    <w:rsid w:val="00752CFE"/>
    <w:rsid w:val="00753164"/>
    <w:rsid w:val="00753273"/>
    <w:rsid w:val="00753AB8"/>
    <w:rsid w:val="00753E22"/>
    <w:rsid w:val="00753EED"/>
    <w:rsid w:val="00754324"/>
    <w:rsid w:val="00754AD2"/>
    <w:rsid w:val="00754C1B"/>
    <w:rsid w:val="00754C24"/>
    <w:rsid w:val="00754DE3"/>
    <w:rsid w:val="00755C3E"/>
    <w:rsid w:val="007565F0"/>
    <w:rsid w:val="00760136"/>
    <w:rsid w:val="00760165"/>
    <w:rsid w:val="007603CB"/>
    <w:rsid w:val="007625E6"/>
    <w:rsid w:val="00762772"/>
    <w:rsid w:val="00762BFF"/>
    <w:rsid w:val="00763190"/>
    <w:rsid w:val="007633D5"/>
    <w:rsid w:val="00764066"/>
    <w:rsid w:val="00764201"/>
    <w:rsid w:val="007646F5"/>
    <w:rsid w:val="00765275"/>
    <w:rsid w:val="00765277"/>
    <w:rsid w:val="007653C0"/>
    <w:rsid w:val="00765891"/>
    <w:rsid w:val="00765CFA"/>
    <w:rsid w:val="00765E94"/>
    <w:rsid w:val="00766281"/>
    <w:rsid w:val="00766570"/>
    <w:rsid w:val="007674FB"/>
    <w:rsid w:val="00770716"/>
    <w:rsid w:val="0077095E"/>
    <w:rsid w:val="007712AC"/>
    <w:rsid w:val="00771A25"/>
    <w:rsid w:val="00771D5D"/>
    <w:rsid w:val="0077242E"/>
    <w:rsid w:val="0077249A"/>
    <w:rsid w:val="00772EED"/>
    <w:rsid w:val="00773619"/>
    <w:rsid w:val="00773F25"/>
    <w:rsid w:val="007746EC"/>
    <w:rsid w:val="00774C43"/>
    <w:rsid w:val="00775216"/>
    <w:rsid w:val="007767FF"/>
    <w:rsid w:val="00776EFA"/>
    <w:rsid w:val="007777C9"/>
    <w:rsid w:val="00777B68"/>
    <w:rsid w:val="0078039D"/>
    <w:rsid w:val="00781C8A"/>
    <w:rsid w:val="00782599"/>
    <w:rsid w:val="00782A72"/>
    <w:rsid w:val="00783924"/>
    <w:rsid w:val="00783F13"/>
    <w:rsid w:val="00783FFA"/>
    <w:rsid w:val="00784E87"/>
    <w:rsid w:val="007850A5"/>
    <w:rsid w:val="0078623E"/>
    <w:rsid w:val="007876DC"/>
    <w:rsid w:val="00790EE1"/>
    <w:rsid w:val="00790F10"/>
    <w:rsid w:val="00791F73"/>
    <w:rsid w:val="007925C4"/>
    <w:rsid w:val="007938D9"/>
    <w:rsid w:val="00793B0E"/>
    <w:rsid w:val="00794F29"/>
    <w:rsid w:val="007950E9"/>
    <w:rsid w:val="00795702"/>
    <w:rsid w:val="00795A66"/>
    <w:rsid w:val="0079643D"/>
    <w:rsid w:val="00796595"/>
    <w:rsid w:val="00797BF8"/>
    <w:rsid w:val="007A08DD"/>
    <w:rsid w:val="007A15D2"/>
    <w:rsid w:val="007A1B70"/>
    <w:rsid w:val="007A32A2"/>
    <w:rsid w:val="007A42E2"/>
    <w:rsid w:val="007A45FD"/>
    <w:rsid w:val="007A511E"/>
    <w:rsid w:val="007A523F"/>
    <w:rsid w:val="007A5B53"/>
    <w:rsid w:val="007A67C1"/>
    <w:rsid w:val="007B01F0"/>
    <w:rsid w:val="007B0CCF"/>
    <w:rsid w:val="007B0FD5"/>
    <w:rsid w:val="007B3489"/>
    <w:rsid w:val="007B3D7B"/>
    <w:rsid w:val="007B4491"/>
    <w:rsid w:val="007B4C71"/>
    <w:rsid w:val="007B4DA2"/>
    <w:rsid w:val="007B4EED"/>
    <w:rsid w:val="007B52E7"/>
    <w:rsid w:val="007B5609"/>
    <w:rsid w:val="007B5F76"/>
    <w:rsid w:val="007B64AA"/>
    <w:rsid w:val="007B6BAD"/>
    <w:rsid w:val="007C3130"/>
    <w:rsid w:val="007C3344"/>
    <w:rsid w:val="007C3CA7"/>
    <w:rsid w:val="007C3EA7"/>
    <w:rsid w:val="007C4019"/>
    <w:rsid w:val="007C4868"/>
    <w:rsid w:val="007C52CB"/>
    <w:rsid w:val="007C69DB"/>
    <w:rsid w:val="007C755D"/>
    <w:rsid w:val="007D022D"/>
    <w:rsid w:val="007D0F57"/>
    <w:rsid w:val="007D12C0"/>
    <w:rsid w:val="007D177D"/>
    <w:rsid w:val="007D261E"/>
    <w:rsid w:val="007D393C"/>
    <w:rsid w:val="007D3F9C"/>
    <w:rsid w:val="007D45BB"/>
    <w:rsid w:val="007D5264"/>
    <w:rsid w:val="007D58EA"/>
    <w:rsid w:val="007D5B46"/>
    <w:rsid w:val="007D62DD"/>
    <w:rsid w:val="007D6636"/>
    <w:rsid w:val="007D66DD"/>
    <w:rsid w:val="007D7907"/>
    <w:rsid w:val="007D7ADD"/>
    <w:rsid w:val="007E072F"/>
    <w:rsid w:val="007E08BC"/>
    <w:rsid w:val="007E0D0F"/>
    <w:rsid w:val="007E0F81"/>
    <w:rsid w:val="007E10F5"/>
    <w:rsid w:val="007E1347"/>
    <w:rsid w:val="007E16A4"/>
    <w:rsid w:val="007E2598"/>
    <w:rsid w:val="007E28BC"/>
    <w:rsid w:val="007E2F56"/>
    <w:rsid w:val="007E4289"/>
    <w:rsid w:val="007E447F"/>
    <w:rsid w:val="007E4E4E"/>
    <w:rsid w:val="007E5288"/>
    <w:rsid w:val="007E5346"/>
    <w:rsid w:val="007E562F"/>
    <w:rsid w:val="007E579B"/>
    <w:rsid w:val="007E589A"/>
    <w:rsid w:val="007E672A"/>
    <w:rsid w:val="007E704E"/>
    <w:rsid w:val="007E7C51"/>
    <w:rsid w:val="007E7E71"/>
    <w:rsid w:val="007F07C5"/>
    <w:rsid w:val="007F0FB7"/>
    <w:rsid w:val="007F1872"/>
    <w:rsid w:val="007F32F2"/>
    <w:rsid w:val="007F4AD2"/>
    <w:rsid w:val="007F4B95"/>
    <w:rsid w:val="007F53A4"/>
    <w:rsid w:val="007F69AB"/>
    <w:rsid w:val="007F6A94"/>
    <w:rsid w:val="007F6EF2"/>
    <w:rsid w:val="00800145"/>
    <w:rsid w:val="00801077"/>
    <w:rsid w:val="008017D1"/>
    <w:rsid w:val="00802B13"/>
    <w:rsid w:val="00804615"/>
    <w:rsid w:val="00804BD6"/>
    <w:rsid w:val="00804C97"/>
    <w:rsid w:val="00804D3F"/>
    <w:rsid w:val="00805C68"/>
    <w:rsid w:val="008061E0"/>
    <w:rsid w:val="00806351"/>
    <w:rsid w:val="00806378"/>
    <w:rsid w:val="00806672"/>
    <w:rsid w:val="008069D1"/>
    <w:rsid w:val="00807DD1"/>
    <w:rsid w:val="00810749"/>
    <w:rsid w:val="008111B2"/>
    <w:rsid w:val="00811FC6"/>
    <w:rsid w:val="00812D6B"/>
    <w:rsid w:val="008138DC"/>
    <w:rsid w:val="00813B39"/>
    <w:rsid w:val="00814455"/>
    <w:rsid w:val="0081485E"/>
    <w:rsid w:val="00814AE4"/>
    <w:rsid w:val="00815032"/>
    <w:rsid w:val="00820351"/>
    <w:rsid w:val="008208CE"/>
    <w:rsid w:val="00820A9A"/>
    <w:rsid w:val="00820CD0"/>
    <w:rsid w:val="0082116A"/>
    <w:rsid w:val="008219BF"/>
    <w:rsid w:val="00822504"/>
    <w:rsid w:val="00822706"/>
    <w:rsid w:val="00822D47"/>
    <w:rsid w:val="00822F19"/>
    <w:rsid w:val="008241EE"/>
    <w:rsid w:val="0082500E"/>
    <w:rsid w:val="00825597"/>
    <w:rsid w:val="008256C3"/>
    <w:rsid w:val="00827A83"/>
    <w:rsid w:val="00827C7B"/>
    <w:rsid w:val="00830293"/>
    <w:rsid w:val="008313B7"/>
    <w:rsid w:val="00832ACA"/>
    <w:rsid w:val="00832EC9"/>
    <w:rsid w:val="00832F62"/>
    <w:rsid w:val="008335AE"/>
    <w:rsid w:val="0083384F"/>
    <w:rsid w:val="0083413B"/>
    <w:rsid w:val="00834950"/>
    <w:rsid w:val="00834CF9"/>
    <w:rsid w:val="00834D81"/>
    <w:rsid w:val="00834E83"/>
    <w:rsid w:val="00835BB1"/>
    <w:rsid w:val="00835BEE"/>
    <w:rsid w:val="008369AE"/>
    <w:rsid w:val="00837574"/>
    <w:rsid w:val="00837AF4"/>
    <w:rsid w:val="0084015C"/>
    <w:rsid w:val="008402B2"/>
    <w:rsid w:val="00840AD6"/>
    <w:rsid w:val="00840C76"/>
    <w:rsid w:val="00840FDD"/>
    <w:rsid w:val="0084177B"/>
    <w:rsid w:val="008418BD"/>
    <w:rsid w:val="00841D62"/>
    <w:rsid w:val="00841FF9"/>
    <w:rsid w:val="008425D4"/>
    <w:rsid w:val="00842E80"/>
    <w:rsid w:val="00842F27"/>
    <w:rsid w:val="00843075"/>
    <w:rsid w:val="00844158"/>
    <w:rsid w:val="008450A8"/>
    <w:rsid w:val="00845FA1"/>
    <w:rsid w:val="00847C9D"/>
    <w:rsid w:val="00850A88"/>
    <w:rsid w:val="00850E8A"/>
    <w:rsid w:val="0085127D"/>
    <w:rsid w:val="00851AFC"/>
    <w:rsid w:val="00851D87"/>
    <w:rsid w:val="00852A7F"/>
    <w:rsid w:val="008531DE"/>
    <w:rsid w:val="00853E5C"/>
    <w:rsid w:val="00855072"/>
    <w:rsid w:val="008572EC"/>
    <w:rsid w:val="00857B87"/>
    <w:rsid w:val="00857F62"/>
    <w:rsid w:val="008604E9"/>
    <w:rsid w:val="008605E4"/>
    <w:rsid w:val="00860809"/>
    <w:rsid w:val="00860C09"/>
    <w:rsid w:val="00860C95"/>
    <w:rsid w:val="00862042"/>
    <w:rsid w:val="008622E2"/>
    <w:rsid w:val="00863303"/>
    <w:rsid w:val="008637D6"/>
    <w:rsid w:val="008639A5"/>
    <w:rsid w:val="008641D8"/>
    <w:rsid w:val="008657B0"/>
    <w:rsid w:val="008672E9"/>
    <w:rsid w:val="008677EB"/>
    <w:rsid w:val="00867D03"/>
    <w:rsid w:val="00867E38"/>
    <w:rsid w:val="00870112"/>
    <w:rsid w:val="0087044E"/>
    <w:rsid w:val="008709E9"/>
    <w:rsid w:val="00870A48"/>
    <w:rsid w:val="00871AE1"/>
    <w:rsid w:val="00872F3E"/>
    <w:rsid w:val="00874356"/>
    <w:rsid w:val="00874D51"/>
    <w:rsid w:val="00875A4F"/>
    <w:rsid w:val="00875C9C"/>
    <w:rsid w:val="0087696C"/>
    <w:rsid w:val="00876F92"/>
    <w:rsid w:val="0087780E"/>
    <w:rsid w:val="00877AA3"/>
    <w:rsid w:val="00877E9A"/>
    <w:rsid w:val="00881C57"/>
    <w:rsid w:val="00881E98"/>
    <w:rsid w:val="00881EE9"/>
    <w:rsid w:val="00882B40"/>
    <w:rsid w:val="008836F9"/>
    <w:rsid w:val="00883F00"/>
    <w:rsid w:val="0088436D"/>
    <w:rsid w:val="00884B50"/>
    <w:rsid w:val="008874D7"/>
    <w:rsid w:val="00887904"/>
    <w:rsid w:val="00887DDC"/>
    <w:rsid w:val="00890124"/>
    <w:rsid w:val="008909E2"/>
    <w:rsid w:val="00890EAA"/>
    <w:rsid w:val="00892816"/>
    <w:rsid w:val="008928C6"/>
    <w:rsid w:val="00893E42"/>
    <w:rsid w:val="008944D0"/>
    <w:rsid w:val="00894E4E"/>
    <w:rsid w:val="00895459"/>
    <w:rsid w:val="008A055A"/>
    <w:rsid w:val="008A06AB"/>
    <w:rsid w:val="008A200B"/>
    <w:rsid w:val="008A2846"/>
    <w:rsid w:val="008A2EE9"/>
    <w:rsid w:val="008A2F71"/>
    <w:rsid w:val="008A3181"/>
    <w:rsid w:val="008A3BEC"/>
    <w:rsid w:val="008A5303"/>
    <w:rsid w:val="008A5461"/>
    <w:rsid w:val="008A56BD"/>
    <w:rsid w:val="008A6067"/>
    <w:rsid w:val="008A688B"/>
    <w:rsid w:val="008A7A19"/>
    <w:rsid w:val="008A7C3D"/>
    <w:rsid w:val="008B0720"/>
    <w:rsid w:val="008B28C2"/>
    <w:rsid w:val="008B2C04"/>
    <w:rsid w:val="008B2D66"/>
    <w:rsid w:val="008B2E3D"/>
    <w:rsid w:val="008B33BD"/>
    <w:rsid w:val="008B39F0"/>
    <w:rsid w:val="008B41E9"/>
    <w:rsid w:val="008B4A90"/>
    <w:rsid w:val="008B565B"/>
    <w:rsid w:val="008B59E2"/>
    <w:rsid w:val="008B5AEE"/>
    <w:rsid w:val="008B652D"/>
    <w:rsid w:val="008B6702"/>
    <w:rsid w:val="008B6AF4"/>
    <w:rsid w:val="008B6EF1"/>
    <w:rsid w:val="008B716C"/>
    <w:rsid w:val="008C004F"/>
    <w:rsid w:val="008C01B4"/>
    <w:rsid w:val="008C0B03"/>
    <w:rsid w:val="008C0D4C"/>
    <w:rsid w:val="008C19E0"/>
    <w:rsid w:val="008C32E1"/>
    <w:rsid w:val="008C54E6"/>
    <w:rsid w:val="008C5A98"/>
    <w:rsid w:val="008C648E"/>
    <w:rsid w:val="008C6563"/>
    <w:rsid w:val="008C75E4"/>
    <w:rsid w:val="008C781C"/>
    <w:rsid w:val="008C7883"/>
    <w:rsid w:val="008D0FD6"/>
    <w:rsid w:val="008D13A1"/>
    <w:rsid w:val="008D197B"/>
    <w:rsid w:val="008D1BBF"/>
    <w:rsid w:val="008D1C30"/>
    <w:rsid w:val="008D25FE"/>
    <w:rsid w:val="008D2C6D"/>
    <w:rsid w:val="008D2E4E"/>
    <w:rsid w:val="008D302A"/>
    <w:rsid w:val="008D327E"/>
    <w:rsid w:val="008D3BFE"/>
    <w:rsid w:val="008D3CFF"/>
    <w:rsid w:val="008D3D40"/>
    <w:rsid w:val="008D3F0F"/>
    <w:rsid w:val="008D53A3"/>
    <w:rsid w:val="008D5DE3"/>
    <w:rsid w:val="008D6935"/>
    <w:rsid w:val="008E192D"/>
    <w:rsid w:val="008E1AF9"/>
    <w:rsid w:val="008E2296"/>
    <w:rsid w:val="008E2370"/>
    <w:rsid w:val="008E2558"/>
    <w:rsid w:val="008E259E"/>
    <w:rsid w:val="008E28FA"/>
    <w:rsid w:val="008E2B7A"/>
    <w:rsid w:val="008E3009"/>
    <w:rsid w:val="008E31C3"/>
    <w:rsid w:val="008E3319"/>
    <w:rsid w:val="008E3932"/>
    <w:rsid w:val="008E3C0C"/>
    <w:rsid w:val="008E429A"/>
    <w:rsid w:val="008E44EF"/>
    <w:rsid w:val="008E4589"/>
    <w:rsid w:val="008E4699"/>
    <w:rsid w:val="008E4A27"/>
    <w:rsid w:val="008E4AFB"/>
    <w:rsid w:val="008E534E"/>
    <w:rsid w:val="008E5BBD"/>
    <w:rsid w:val="008E63B8"/>
    <w:rsid w:val="008F07C4"/>
    <w:rsid w:val="008F1534"/>
    <w:rsid w:val="008F16ED"/>
    <w:rsid w:val="008F2528"/>
    <w:rsid w:val="008F27C6"/>
    <w:rsid w:val="008F367C"/>
    <w:rsid w:val="008F3955"/>
    <w:rsid w:val="008F3CE7"/>
    <w:rsid w:val="008F3ED0"/>
    <w:rsid w:val="008F70BD"/>
    <w:rsid w:val="00900141"/>
    <w:rsid w:val="009002FE"/>
    <w:rsid w:val="009015CB"/>
    <w:rsid w:val="009015F3"/>
    <w:rsid w:val="00902094"/>
    <w:rsid w:val="009023C8"/>
    <w:rsid w:val="0090297B"/>
    <w:rsid w:val="00902B17"/>
    <w:rsid w:val="00903BF3"/>
    <w:rsid w:val="00904C64"/>
    <w:rsid w:val="00905827"/>
    <w:rsid w:val="0090592B"/>
    <w:rsid w:val="00905C24"/>
    <w:rsid w:val="00905EEA"/>
    <w:rsid w:val="009060F4"/>
    <w:rsid w:val="00906775"/>
    <w:rsid w:val="009069EC"/>
    <w:rsid w:val="00906AE7"/>
    <w:rsid w:val="00911444"/>
    <w:rsid w:val="0091147E"/>
    <w:rsid w:val="0091161A"/>
    <w:rsid w:val="00911B18"/>
    <w:rsid w:val="00912224"/>
    <w:rsid w:val="009123DB"/>
    <w:rsid w:val="009129B9"/>
    <w:rsid w:val="00913B8B"/>
    <w:rsid w:val="00914934"/>
    <w:rsid w:val="00914EC6"/>
    <w:rsid w:val="00915C64"/>
    <w:rsid w:val="00916049"/>
    <w:rsid w:val="00917329"/>
    <w:rsid w:val="009178E5"/>
    <w:rsid w:val="00917B55"/>
    <w:rsid w:val="00920F08"/>
    <w:rsid w:val="009211ED"/>
    <w:rsid w:val="0092124C"/>
    <w:rsid w:val="00921370"/>
    <w:rsid w:val="009229E6"/>
    <w:rsid w:val="00922C83"/>
    <w:rsid w:val="009230F0"/>
    <w:rsid w:val="00924AB6"/>
    <w:rsid w:val="00924F0B"/>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3E0"/>
    <w:rsid w:val="009366F4"/>
    <w:rsid w:val="009368D5"/>
    <w:rsid w:val="00936B94"/>
    <w:rsid w:val="00937C70"/>
    <w:rsid w:val="00940F0A"/>
    <w:rsid w:val="00941B21"/>
    <w:rsid w:val="00941B6D"/>
    <w:rsid w:val="00941F07"/>
    <w:rsid w:val="00942570"/>
    <w:rsid w:val="009428D9"/>
    <w:rsid w:val="00942E5F"/>
    <w:rsid w:val="0094387C"/>
    <w:rsid w:val="00943AB4"/>
    <w:rsid w:val="00943E19"/>
    <w:rsid w:val="0094454F"/>
    <w:rsid w:val="00944AFD"/>
    <w:rsid w:val="00945029"/>
    <w:rsid w:val="009465A9"/>
    <w:rsid w:val="00950655"/>
    <w:rsid w:val="00950891"/>
    <w:rsid w:val="00950948"/>
    <w:rsid w:val="00950999"/>
    <w:rsid w:val="00950AE8"/>
    <w:rsid w:val="00950D53"/>
    <w:rsid w:val="00952E76"/>
    <w:rsid w:val="009577DF"/>
    <w:rsid w:val="0096117C"/>
    <w:rsid w:val="00961636"/>
    <w:rsid w:val="0096273B"/>
    <w:rsid w:val="00963F74"/>
    <w:rsid w:val="009650C4"/>
    <w:rsid w:val="00965923"/>
    <w:rsid w:val="00966B32"/>
    <w:rsid w:val="00967429"/>
    <w:rsid w:val="00967953"/>
    <w:rsid w:val="00971179"/>
    <w:rsid w:val="009715B4"/>
    <w:rsid w:val="009716C8"/>
    <w:rsid w:val="00973331"/>
    <w:rsid w:val="0097412A"/>
    <w:rsid w:val="009750DE"/>
    <w:rsid w:val="00975A13"/>
    <w:rsid w:val="009763E1"/>
    <w:rsid w:val="009766CD"/>
    <w:rsid w:val="00976EAD"/>
    <w:rsid w:val="009773E9"/>
    <w:rsid w:val="009804D0"/>
    <w:rsid w:val="00980914"/>
    <w:rsid w:val="00980F62"/>
    <w:rsid w:val="0098132F"/>
    <w:rsid w:val="009816EF"/>
    <w:rsid w:val="00981F2C"/>
    <w:rsid w:val="00982AFC"/>
    <w:rsid w:val="00982F6F"/>
    <w:rsid w:val="00984FFE"/>
    <w:rsid w:val="0098684F"/>
    <w:rsid w:val="00986D6C"/>
    <w:rsid w:val="009871CE"/>
    <w:rsid w:val="00987804"/>
    <w:rsid w:val="00987EE9"/>
    <w:rsid w:val="00990333"/>
    <w:rsid w:val="009905A6"/>
    <w:rsid w:val="00990BBB"/>
    <w:rsid w:val="00991A10"/>
    <w:rsid w:val="00991DF2"/>
    <w:rsid w:val="00992AFB"/>
    <w:rsid w:val="00993336"/>
    <w:rsid w:val="00993887"/>
    <w:rsid w:val="00994301"/>
    <w:rsid w:val="00994C4B"/>
    <w:rsid w:val="009952FE"/>
    <w:rsid w:val="009956D0"/>
    <w:rsid w:val="00996508"/>
    <w:rsid w:val="00996A69"/>
    <w:rsid w:val="00996D38"/>
    <w:rsid w:val="009970AD"/>
    <w:rsid w:val="00997755"/>
    <w:rsid w:val="00997895"/>
    <w:rsid w:val="009A048C"/>
    <w:rsid w:val="009A0542"/>
    <w:rsid w:val="009A06A2"/>
    <w:rsid w:val="009A0EC3"/>
    <w:rsid w:val="009A0F8A"/>
    <w:rsid w:val="009A3B2D"/>
    <w:rsid w:val="009A3D81"/>
    <w:rsid w:val="009A3E31"/>
    <w:rsid w:val="009A455C"/>
    <w:rsid w:val="009A48C7"/>
    <w:rsid w:val="009A70D0"/>
    <w:rsid w:val="009A7393"/>
    <w:rsid w:val="009B04D5"/>
    <w:rsid w:val="009B05C7"/>
    <w:rsid w:val="009B068C"/>
    <w:rsid w:val="009B098E"/>
    <w:rsid w:val="009B0E3E"/>
    <w:rsid w:val="009B1106"/>
    <w:rsid w:val="009B2667"/>
    <w:rsid w:val="009B2FDB"/>
    <w:rsid w:val="009B30D3"/>
    <w:rsid w:val="009B3473"/>
    <w:rsid w:val="009B36BE"/>
    <w:rsid w:val="009B3837"/>
    <w:rsid w:val="009B3B5A"/>
    <w:rsid w:val="009B3D13"/>
    <w:rsid w:val="009B43DD"/>
    <w:rsid w:val="009B4BC4"/>
    <w:rsid w:val="009B5162"/>
    <w:rsid w:val="009B54B1"/>
    <w:rsid w:val="009B5FA4"/>
    <w:rsid w:val="009B66FC"/>
    <w:rsid w:val="009B6B21"/>
    <w:rsid w:val="009B6F36"/>
    <w:rsid w:val="009B7EF4"/>
    <w:rsid w:val="009B7F82"/>
    <w:rsid w:val="009C059E"/>
    <w:rsid w:val="009C12B2"/>
    <w:rsid w:val="009C1BCA"/>
    <w:rsid w:val="009C263F"/>
    <w:rsid w:val="009C27DC"/>
    <w:rsid w:val="009C28C1"/>
    <w:rsid w:val="009C3521"/>
    <w:rsid w:val="009C4538"/>
    <w:rsid w:val="009C550B"/>
    <w:rsid w:val="009C5CE3"/>
    <w:rsid w:val="009C6884"/>
    <w:rsid w:val="009C70D7"/>
    <w:rsid w:val="009C731E"/>
    <w:rsid w:val="009C7CD7"/>
    <w:rsid w:val="009D2A0B"/>
    <w:rsid w:val="009D3985"/>
    <w:rsid w:val="009D42A7"/>
    <w:rsid w:val="009D43F4"/>
    <w:rsid w:val="009D49A1"/>
    <w:rsid w:val="009D5510"/>
    <w:rsid w:val="009D63EA"/>
    <w:rsid w:val="009D70D4"/>
    <w:rsid w:val="009E1794"/>
    <w:rsid w:val="009E2280"/>
    <w:rsid w:val="009E273E"/>
    <w:rsid w:val="009E2847"/>
    <w:rsid w:val="009E3661"/>
    <w:rsid w:val="009E4185"/>
    <w:rsid w:val="009E42A6"/>
    <w:rsid w:val="009E5605"/>
    <w:rsid w:val="009E6AAD"/>
    <w:rsid w:val="009E6AC2"/>
    <w:rsid w:val="009E70A8"/>
    <w:rsid w:val="009E7424"/>
    <w:rsid w:val="009F002D"/>
    <w:rsid w:val="009F0E86"/>
    <w:rsid w:val="009F0F6B"/>
    <w:rsid w:val="009F18BB"/>
    <w:rsid w:val="009F3266"/>
    <w:rsid w:val="009F4D58"/>
    <w:rsid w:val="009F5626"/>
    <w:rsid w:val="009F736C"/>
    <w:rsid w:val="009F7FCD"/>
    <w:rsid w:val="00A003A8"/>
    <w:rsid w:val="00A0044B"/>
    <w:rsid w:val="00A00528"/>
    <w:rsid w:val="00A00BB9"/>
    <w:rsid w:val="00A01FCE"/>
    <w:rsid w:val="00A02006"/>
    <w:rsid w:val="00A02044"/>
    <w:rsid w:val="00A02D16"/>
    <w:rsid w:val="00A02DB0"/>
    <w:rsid w:val="00A03B8D"/>
    <w:rsid w:val="00A041FF"/>
    <w:rsid w:val="00A04A2A"/>
    <w:rsid w:val="00A04EFB"/>
    <w:rsid w:val="00A05736"/>
    <w:rsid w:val="00A06603"/>
    <w:rsid w:val="00A06A50"/>
    <w:rsid w:val="00A06A69"/>
    <w:rsid w:val="00A070B1"/>
    <w:rsid w:val="00A07212"/>
    <w:rsid w:val="00A074D0"/>
    <w:rsid w:val="00A0757F"/>
    <w:rsid w:val="00A1012D"/>
    <w:rsid w:val="00A104E5"/>
    <w:rsid w:val="00A10797"/>
    <w:rsid w:val="00A10840"/>
    <w:rsid w:val="00A110F1"/>
    <w:rsid w:val="00A118BD"/>
    <w:rsid w:val="00A11F66"/>
    <w:rsid w:val="00A12258"/>
    <w:rsid w:val="00A1315B"/>
    <w:rsid w:val="00A13527"/>
    <w:rsid w:val="00A13AE1"/>
    <w:rsid w:val="00A13BE9"/>
    <w:rsid w:val="00A14B97"/>
    <w:rsid w:val="00A14BC4"/>
    <w:rsid w:val="00A15522"/>
    <w:rsid w:val="00A15A1C"/>
    <w:rsid w:val="00A161A3"/>
    <w:rsid w:val="00A164C0"/>
    <w:rsid w:val="00A166CB"/>
    <w:rsid w:val="00A171E2"/>
    <w:rsid w:val="00A17BED"/>
    <w:rsid w:val="00A17DF9"/>
    <w:rsid w:val="00A205E2"/>
    <w:rsid w:val="00A20BB1"/>
    <w:rsid w:val="00A2181E"/>
    <w:rsid w:val="00A225FC"/>
    <w:rsid w:val="00A22C7A"/>
    <w:rsid w:val="00A23104"/>
    <w:rsid w:val="00A244CC"/>
    <w:rsid w:val="00A24AEE"/>
    <w:rsid w:val="00A24CC8"/>
    <w:rsid w:val="00A2525A"/>
    <w:rsid w:val="00A25AAF"/>
    <w:rsid w:val="00A25EF6"/>
    <w:rsid w:val="00A26603"/>
    <w:rsid w:val="00A26BB7"/>
    <w:rsid w:val="00A301FC"/>
    <w:rsid w:val="00A302B2"/>
    <w:rsid w:val="00A3325E"/>
    <w:rsid w:val="00A35027"/>
    <w:rsid w:val="00A353C8"/>
    <w:rsid w:val="00A37148"/>
    <w:rsid w:val="00A3759D"/>
    <w:rsid w:val="00A401D1"/>
    <w:rsid w:val="00A401D5"/>
    <w:rsid w:val="00A40D10"/>
    <w:rsid w:val="00A42024"/>
    <w:rsid w:val="00A42485"/>
    <w:rsid w:val="00A4335C"/>
    <w:rsid w:val="00A4363C"/>
    <w:rsid w:val="00A43959"/>
    <w:rsid w:val="00A440C1"/>
    <w:rsid w:val="00A440C8"/>
    <w:rsid w:val="00A4417E"/>
    <w:rsid w:val="00A446C9"/>
    <w:rsid w:val="00A453E6"/>
    <w:rsid w:val="00A46050"/>
    <w:rsid w:val="00A46637"/>
    <w:rsid w:val="00A46C36"/>
    <w:rsid w:val="00A47127"/>
    <w:rsid w:val="00A472B7"/>
    <w:rsid w:val="00A47A27"/>
    <w:rsid w:val="00A47A8C"/>
    <w:rsid w:val="00A505BC"/>
    <w:rsid w:val="00A50B3E"/>
    <w:rsid w:val="00A50C57"/>
    <w:rsid w:val="00A51190"/>
    <w:rsid w:val="00A51DF4"/>
    <w:rsid w:val="00A523A2"/>
    <w:rsid w:val="00A53297"/>
    <w:rsid w:val="00A537E5"/>
    <w:rsid w:val="00A5417C"/>
    <w:rsid w:val="00A54517"/>
    <w:rsid w:val="00A54D87"/>
    <w:rsid w:val="00A55112"/>
    <w:rsid w:val="00A55BF6"/>
    <w:rsid w:val="00A563D2"/>
    <w:rsid w:val="00A568D5"/>
    <w:rsid w:val="00A570DB"/>
    <w:rsid w:val="00A57594"/>
    <w:rsid w:val="00A576AB"/>
    <w:rsid w:val="00A57958"/>
    <w:rsid w:val="00A601AA"/>
    <w:rsid w:val="00A60289"/>
    <w:rsid w:val="00A60A3C"/>
    <w:rsid w:val="00A60A67"/>
    <w:rsid w:val="00A60E44"/>
    <w:rsid w:val="00A613BA"/>
    <w:rsid w:val="00A6179C"/>
    <w:rsid w:val="00A61B25"/>
    <w:rsid w:val="00A6202B"/>
    <w:rsid w:val="00A6213A"/>
    <w:rsid w:val="00A62464"/>
    <w:rsid w:val="00A6333A"/>
    <w:rsid w:val="00A63BDA"/>
    <w:rsid w:val="00A65375"/>
    <w:rsid w:val="00A6581A"/>
    <w:rsid w:val="00A66515"/>
    <w:rsid w:val="00A665C7"/>
    <w:rsid w:val="00A666A6"/>
    <w:rsid w:val="00A668FB"/>
    <w:rsid w:val="00A71D37"/>
    <w:rsid w:val="00A71F60"/>
    <w:rsid w:val="00A726F4"/>
    <w:rsid w:val="00A73B52"/>
    <w:rsid w:val="00A749B3"/>
    <w:rsid w:val="00A753D2"/>
    <w:rsid w:val="00A7689E"/>
    <w:rsid w:val="00A76BD6"/>
    <w:rsid w:val="00A77326"/>
    <w:rsid w:val="00A80ABC"/>
    <w:rsid w:val="00A8101A"/>
    <w:rsid w:val="00A8166A"/>
    <w:rsid w:val="00A820B9"/>
    <w:rsid w:val="00A82B11"/>
    <w:rsid w:val="00A82FCA"/>
    <w:rsid w:val="00A837F1"/>
    <w:rsid w:val="00A8437B"/>
    <w:rsid w:val="00A84393"/>
    <w:rsid w:val="00A84684"/>
    <w:rsid w:val="00A84BB5"/>
    <w:rsid w:val="00A85539"/>
    <w:rsid w:val="00A86306"/>
    <w:rsid w:val="00A86DF9"/>
    <w:rsid w:val="00A87350"/>
    <w:rsid w:val="00A874CC"/>
    <w:rsid w:val="00A90AF3"/>
    <w:rsid w:val="00A90D8B"/>
    <w:rsid w:val="00A90F88"/>
    <w:rsid w:val="00A91865"/>
    <w:rsid w:val="00A927AF"/>
    <w:rsid w:val="00A93ECE"/>
    <w:rsid w:val="00A93FD9"/>
    <w:rsid w:val="00A94245"/>
    <w:rsid w:val="00A944A1"/>
    <w:rsid w:val="00A94ECD"/>
    <w:rsid w:val="00A95176"/>
    <w:rsid w:val="00A9535A"/>
    <w:rsid w:val="00A9541E"/>
    <w:rsid w:val="00A9595F"/>
    <w:rsid w:val="00A96469"/>
    <w:rsid w:val="00A96491"/>
    <w:rsid w:val="00A9708D"/>
    <w:rsid w:val="00A9740F"/>
    <w:rsid w:val="00AA3387"/>
    <w:rsid w:val="00AA3B24"/>
    <w:rsid w:val="00AA4561"/>
    <w:rsid w:val="00AA4686"/>
    <w:rsid w:val="00AA50C2"/>
    <w:rsid w:val="00AA5BDB"/>
    <w:rsid w:val="00AA6508"/>
    <w:rsid w:val="00AA6A70"/>
    <w:rsid w:val="00AA7AD9"/>
    <w:rsid w:val="00AB174A"/>
    <w:rsid w:val="00AB2AF3"/>
    <w:rsid w:val="00AB391A"/>
    <w:rsid w:val="00AB3AE1"/>
    <w:rsid w:val="00AB4221"/>
    <w:rsid w:val="00AB4330"/>
    <w:rsid w:val="00AB49C0"/>
    <w:rsid w:val="00AB4C1B"/>
    <w:rsid w:val="00AB5119"/>
    <w:rsid w:val="00AB5350"/>
    <w:rsid w:val="00AB5358"/>
    <w:rsid w:val="00AB53E8"/>
    <w:rsid w:val="00AB6205"/>
    <w:rsid w:val="00AB639A"/>
    <w:rsid w:val="00AB7757"/>
    <w:rsid w:val="00AB7B5D"/>
    <w:rsid w:val="00AC10D1"/>
    <w:rsid w:val="00AC139C"/>
    <w:rsid w:val="00AC146C"/>
    <w:rsid w:val="00AC17A8"/>
    <w:rsid w:val="00AC3C99"/>
    <w:rsid w:val="00AC3F66"/>
    <w:rsid w:val="00AC4673"/>
    <w:rsid w:val="00AC48CB"/>
    <w:rsid w:val="00AC57FD"/>
    <w:rsid w:val="00AC6698"/>
    <w:rsid w:val="00AD0552"/>
    <w:rsid w:val="00AD0569"/>
    <w:rsid w:val="00AD0E04"/>
    <w:rsid w:val="00AD1931"/>
    <w:rsid w:val="00AD1D1E"/>
    <w:rsid w:val="00AD2195"/>
    <w:rsid w:val="00AD23C4"/>
    <w:rsid w:val="00AD2A71"/>
    <w:rsid w:val="00AD2AD5"/>
    <w:rsid w:val="00AD2B87"/>
    <w:rsid w:val="00AD2D77"/>
    <w:rsid w:val="00AD3838"/>
    <w:rsid w:val="00AD4375"/>
    <w:rsid w:val="00AD5577"/>
    <w:rsid w:val="00AD56CF"/>
    <w:rsid w:val="00AD57D2"/>
    <w:rsid w:val="00AD5F45"/>
    <w:rsid w:val="00AD6A09"/>
    <w:rsid w:val="00AD7028"/>
    <w:rsid w:val="00AD7396"/>
    <w:rsid w:val="00AE0DE8"/>
    <w:rsid w:val="00AE2490"/>
    <w:rsid w:val="00AE28B0"/>
    <w:rsid w:val="00AE2C17"/>
    <w:rsid w:val="00AE30B1"/>
    <w:rsid w:val="00AE3E1D"/>
    <w:rsid w:val="00AE45C0"/>
    <w:rsid w:val="00AE5019"/>
    <w:rsid w:val="00AE50BF"/>
    <w:rsid w:val="00AE58C7"/>
    <w:rsid w:val="00AE5C15"/>
    <w:rsid w:val="00AE6092"/>
    <w:rsid w:val="00AE6484"/>
    <w:rsid w:val="00AE6D97"/>
    <w:rsid w:val="00AE74AD"/>
    <w:rsid w:val="00AF00E7"/>
    <w:rsid w:val="00AF03CD"/>
    <w:rsid w:val="00AF0C44"/>
    <w:rsid w:val="00AF3838"/>
    <w:rsid w:val="00AF3A7C"/>
    <w:rsid w:val="00AF3C28"/>
    <w:rsid w:val="00AF3C3D"/>
    <w:rsid w:val="00AF421B"/>
    <w:rsid w:val="00AF451A"/>
    <w:rsid w:val="00AF454C"/>
    <w:rsid w:val="00AF5A46"/>
    <w:rsid w:val="00AF60EA"/>
    <w:rsid w:val="00AF61E4"/>
    <w:rsid w:val="00AF6D6E"/>
    <w:rsid w:val="00B00B73"/>
    <w:rsid w:val="00B00EBA"/>
    <w:rsid w:val="00B01458"/>
    <w:rsid w:val="00B01AE4"/>
    <w:rsid w:val="00B02500"/>
    <w:rsid w:val="00B02AEB"/>
    <w:rsid w:val="00B02BC5"/>
    <w:rsid w:val="00B03A46"/>
    <w:rsid w:val="00B04174"/>
    <w:rsid w:val="00B04A39"/>
    <w:rsid w:val="00B05C07"/>
    <w:rsid w:val="00B06436"/>
    <w:rsid w:val="00B06654"/>
    <w:rsid w:val="00B06BF0"/>
    <w:rsid w:val="00B06F77"/>
    <w:rsid w:val="00B0731E"/>
    <w:rsid w:val="00B07890"/>
    <w:rsid w:val="00B1218D"/>
    <w:rsid w:val="00B123AC"/>
    <w:rsid w:val="00B12677"/>
    <w:rsid w:val="00B127C7"/>
    <w:rsid w:val="00B13131"/>
    <w:rsid w:val="00B131DE"/>
    <w:rsid w:val="00B134CF"/>
    <w:rsid w:val="00B174D5"/>
    <w:rsid w:val="00B209D6"/>
    <w:rsid w:val="00B20D57"/>
    <w:rsid w:val="00B21D49"/>
    <w:rsid w:val="00B22C6D"/>
    <w:rsid w:val="00B231F9"/>
    <w:rsid w:val="00B232A6"/>
    <w:rsid w:val="00B250E2"/>
    <w:rsid w:val="00B2510E"/>
    <w:rsid w:val="00B258C9"/>
    <w:rsid w:val="00B265E3"/>
    <w:rsid w:val="00B2707F"/>
    <w:rsid w:val="00B2727B"/>
    <w:rsid w:val="00B27AC2"/>
    <w:rsid w:val="00B27C32"/>
    <w:rsid w:val="00B30468"/>
    <w:rsid w:val="00B30E45"/>
    <w:rsid w:val="00B319F7"/>
    <w:rsid w:val="00B33AF3"/>
    <w:rsid w:val="00B34578"/>
    <w:rsid w:val="00B347A9"/>
    <w:rsid w:val="00B3492B"/>
    <w:rsid w:val="00B34E62"/>
    <w:rsid w:val="00B359EB"/>
    <w:rsid w:val="00B361E3"/>
    <w:rsid w:val="00B366D0"/>
    <w:rsid w:val="00B37E1B"/>
    <w:rsid w:val="00B40783"/>
    <w:rsid w:val="00B407B3"/>
    <w:rsid w:val="00B40DEC"/>
    <w:rsid w:val="00B412E2"/>
    <w:rsid w:val="00B4130C"/>
    <w:rsid w:val="00B43151"/>
    <w:rsid w:val="00B431B8"/>
    <w:rsid w:val="00B440DD"/>
    <w:rsid w:val="00B44B89"/>
    <w:rsid w:val="00B45218"/>
    <w:rsid w:val="00B454F1"/>
    <w:rsid w:val="00B45DDA"/>
    <w:rsid w:val="00B468D1"/>
    <w:rsid w:val="00B46A04"/>
    <w:rsid w:val="00B47552"/>
    <w:rsid w:val="00B5022D"/>
    <w:rsid w:val="00B50E2A"/>
    <w:rsid w:val="00B52225"/>
    <w:rsid w:val="00B52DAA"/>
    <w:rsid w:val="00B54FBC"/>
    <w:rsid w:val="00B5521D"/>
    <w:rsid w:val="00B555EA"/>
    <w:rsid w:val="00B55E4A"/>
    <w:rsid w:val="00B56AED"/>
    <w:rsid w:val="00B56DCE"/>
    <w:rsid w:val="00B5706D"/>
    <w:rsid w:val="00B57133"/>
    <w:rsid w:val="00B57ABC"/>
    <w:rsid w:val="00B604F2"/>
    <w:rsid w:val="00B6071A"/>
    <w:rsid w:val="00B61C6B"/>
    <w:rsid w:val="00B62605"/>
    <w:rsid w:val="00B62C97"/>
    <w:rsid w:val="00B630E0"/>
    <w:rsid w:val="00B6357F"/>
    <w:rsid w:val="00B63614"/>
    <w:rsid w:val="00B63AB7"/>
    <w:rsid w:val="00B64248"/>
    <w:rsid w:val="00B642AB"/>
    <w:rsid w:val="00B648D1"/>
    <w:rsid w:val="00B64B31"/>
    <w:rsid w:val="00B6545F"/>
    <w:rsid w:val="00B66555"/>
    <w:rsid w:val="00B66651"/>
    <w:rsid w:val="00B6680B"/>
    <w:rsid w:val="00B6761E"/>
    <w:rsid w:val="00B702AB"/>
    <w:rsid w:val="00B71AF4"/>
    <w:rsid w:val="00B71C54"/>
    <w:rsid w:val="00B72566"/>
    <w:rsid w:val="00B7259B"/>
    <w:rsid w:val="00B72897"/>
    <w:rsid w:val="00B72E63"/>
    <w:rsid w:val="00B7388E"/>
    <w:rsid w:val="00B73F60"/>
    <w:rsid w:val="00B744C2"/>
    <w:rsid w:val="00B76408"/>
    <w:rsid w:val="00B77071"/>
    <w:rsid w:val="00B800B4"/>
    <w:rsid w:val="00B807EB"/>
    <w:rsid w:val="00B81124"/>
    <w:rsid w:val="00B816E0"/>
    <w:rsid w:val="00B819AD"/>
    <w:rsid w:val="00B81D52"/>
    <w:rsid w:val="00B83901"/>
    <w:rsid w:val="00B840A9"/>
    <w:rsid w:val="00B852A0"/>
    <w:rsid w:val="00B85D3C"/>
    <w:rsid w:val="00B863A6"/>
    <w:rsid w:val="00B8707C"/>
    <w:rsid w:val="00B87244"/>
    <w:rsid w:val="00B90C53"/>
    <w:rsid w:val="00B90EA7"/>
    <w:rsid w:val="00B9123E"/>
    <w:rsid w:val="00B918CF"/>
    <w:rsid w:val="00B9194F"/>
    <w:rsid w:val="00B929B8"/>
    <w:rsid w:val="00B93913"/>
    <w:rsid w:val="00B9392B"/>
    <w:rsid w:val="00B9425F"/>
    <w:rsid w:val="00B95304"/>
    <w:rsid w:val="00B9566C"/>
    <w:rsid w:val="00B95677"/>
    <w:rsid w:val="00B95A7A"/>
    <w:rsid w:val="00B95B8C"/>
    <w:rsid w:val="00B96B82"/>
    <w:rsid w:val="00B96FA5"/>
    <w:rsid w:val="00B979F3"/>
    <w:rsid w:val="00B97BDB"/>
    <w:rsid w:val="00BA16CB"/>
    <w:rsid w:val="00BA1808"/>
    <w:rsid w:val="00BA221A"/>
    <w:rsid w:val="00BA3066"/>
    <w:rsid w:val="00BA38C7"/>
    <w:rsid w:val="00BA4230"/>
    <w:rsid w:val="00BA48D8"/>
    <w:rsid w:val="00BA4BBB"/>
    <w:rsid w:val="00BA5269"/>
    <w:rsid w:val="00BA5485"/>
    <w:rsid w:val="00BA5C1E"/>
    <w:rsid w:val="00BA5FD0"/>
    <w:rsid w:val="00BA6201"/>
    <w:rsid w:val="00BA6BE8"/>
    <w:rsid w:val="00BA6F4F"/>
    <w:rsid w:val="00BB0169"/>
    <w:rsid w:val="00BB05FA"/>
    <w:rsid w:val="00BB06EC"/>
    <w:rsid w:val="00BB0DD3"/>
    <w:rsid w:val="00BB1C0E"/>
    <w:rsid w:val="00BB22F7"/>
    <w:rsid w:val="00BB3276"/>
    <w:rsid w:val="00BB33EF"/>
    <w:rsid w:val="00BB3561"/>
    <w:rsid w:val="00BB3A11"/>
    <w:rsid w:val="00BB3A8F"/>
    <w:rsid w:val="00BB3D8C"/>
    <w:rsid w:val="00BB7C6C"/>
    <w:rsid w:val="00BC21D1"/>
    <w:rsid w:val="00BC2485"/>
    <w:rsid w:val="00BC3413"/>
    <w:rsid w:val="00BC3D5F"/>
    <w:rsid w:val="00BC4FB7"/>
    <w:rsid w:val="00BC5323"/>
    <w:rsid w:val="00BC5980"/>
    <w:rsid w:val="00BC59EA"/>
    <w:rsid w:val="00BC628A"/>
    <w:rsid w:val="00BC6BF9"/>
    <w:rsid w:val="00BD0584"/>
    <w:rsid w:val="00BD106A"/>
    <w:rsid w:val="00BD15B9"/>
    <w:rsid w:val="00BD4662"/>
    <w:rsid w:val="00BD4858"/>
    <w:rsid w:val="00BD5137"/>
    <w:rsid w:val="00BD55D9"/>
    <w:rsid w:val="00BD606F"/>
    <w:rsid w:val="00BD6A71"/>
    <w:rsid w:val="00BD7186"/>
    <w:rsid w:val="00BE044C"/>
    <w:rsid w:val="00BE153B"/>
    <w:rsid w:val="00BE19D3"/>
    <w:rsid w:val="00BE2C19"/>
    <w:rsid w:val="00BE3077"/>
    <w:rsid w:val="00BE33F7"/>
    <w:rsid w:val="00BE3BFA"/>
    <w:rsid w:val="00BE43A5"/>
    <w:rsid w:val="00BE48F0"/>
    <w:rsid w:val="00BE5767"/>
    <w:rsid w:val="00BE5795"/>
    <w:rsid w:val="00BE592C"/>
    <w:rsid w:val="00BE5FC4"/>
    <w:rsid w:val="00BE633A"/>
    <w:rsid w:val="00BE74FA"/>
    <w:rsid w:val="00BE7DEB"/>
    <w:rsid w:val="00BE7FAD"/>
    <w:rsid w:val="00BF0B35"/>
    <w:rsid w:val="00BF0FC8"/>
    <w:rsid w:val="00BF145A"/>
    <w:rsid w:val="00BF188D"/>
    <w:rsid w:val="00BF2896"/>
    <w:rsid w:val="00BF301D"/>
    <w:rsid w:val="00BF3179"/>
    <w:rsid w:val="00BF334F"/>
    <w:rsid w:val="00BF34EA"/>
    <w:rsid w:val="00BF43D0"/>
    <w:rsid w:val="00BF444A"/>
    <w:rsid w:val="00BF49AF"/>
    <w:rsid w:val="00BF616F"/>
    <w:rsid w:val="00BF6CF9"/>
    <w:rsid w:val="00BF6E7E"/>
    <w:rsid w:val="00BF7D31"/>
    <w:rsid w:val="00C00111"/>
    <w:rsid w:val="00C003CC"/>
    <w:rsid w:val="00C00A16"/>
    <w:rsid w:val="00C0134F"/>
    <w:rsid w:val="00C028C8"/>
    <w:rsid w:val="00C0392C"/>
    <w:rsid w:val="00C03C74"/>
    <w:rsid w:val="00C03CD7"/>
    <w:rsid w:val="00C04460"/>
    <w:rsid w:val="00C0489F"/>
    <w:rsid w:val="00C0521B"/>
    <w:rsid w:val="00C06FEB"/>
    <w:rsid w:val="00C1044B"/>
    <w:rsid w:val="00C1050B"/>
    <w:rsid w:val="00C1150D"/>
    <w:rsid w:val="00C11ED2"/>
    <w:rsid w:val="00C11F2B"/>
    <w:rsid w:val="00C12096"/>
    <w:rsid w:val="00C125E7"/>
    <w:rsid w:val="00C1474F"/>
    <w:rsid w:val="00C148E3"/>
    <w:rsid w:val="00C150EC"/>
    <w:rsid w:val="00C15122"/>
    <w:rsid w:val="00C15308"/>
    <w:rsid w:val="00C157B5"/>
    <w:rsid w:val="00C158A1"/>
    <w:rsid w:val="00C159D6"/>
    <w:rsid w:val="00C15DB2"/>
    <w:rsid w:val="00C17130"/>
    <w:rsid w:val="00C175C5"/>
    <w:rsid w:val="00C17886"/>
    <w:rsid w:val="00C17D83"/>
    <w:rsid w:val="00C2050D"/>
    <w:rsid w:val="00C20567"/>
    <w:rsid w:val="00C20578"/>
    <w:rsid w:val="00C209EB"/>
    <w:rsid w:val="00C2150B"/>
    <w:rsid w:val="00C22A28"/>
    <w:rsid w:val="00C22AE1"/>
    <w:rsid w:val="00C23D63"/>
    <w:rsid w:val="00C23DE7"/>
    <w:rsid w:val="00C25346"/>
    <w:rsid w:val="00C25F35"/>
    <w:rsid w:val="00C2622F"/>
    <w:rsid w:val="00C26D69"/>
    <w:rsid w:val="00C271A7"/>
    <w:rsid w:val="00C272FA"/>
    <w:rsid w:val="00C27807"/>
    <w:rsid w:val="00C30B99"/>
    <w:rsid w:val="00C31A85"/>
    <w:rsid w:val="00C3267F"/>
    <w:rsid w:val="00C326B2"/>
    <w:rsid w:val="00C32AE5"/>
    <w:rsid w:val="00C33286"/>
    <w:rsid w:val="00C34252"/>
    <w:rsid w:val="00C34616"/>
    <w:rsid w:val="00C34689"/>
    <w:rsid w:val="00C3510A"/>
    <w:rsid w:val="00C36068"/>
    <w:rsid w:val="00C36E8F"/>
    <w:rsid w:val="00C376E9"/>
    <w:rsid w:val="00C377BB"/>
    <w:rsid w:val="00C3784A"/>
    <w:rsid w:val="00C37A45"/>
    <w:rsid w:val="00C37E05"/>
    <w:rsid w:val="00C4022A"/>
    <w:rsid w:val="00C413B6"/>
    <w:rsid w:val="00C41416"/>
    <w:rsid w:val="00C4155A"/>
    <w:rsid w:val="00C4169B"/>
    <w:rsid w:val="00C41911"/>
    <w:rsid w:val="00C41DE9"/>
    <w:rsid w:val="00C42418"/>
    <w:rsid w:val="00C43854"/>
    <w:rsid w:val="00C43A18"/>
    <w:rsid w:val="00C43E04"/>
    <w:rsid w:val="00C44409"/>
    <w:rsid w:val="00C447BB"/>
    <w:rsid w:val="00C4492F"/>
    <w:rsid w:val="00C44E15"/>
    <w:rsid w:val="00C458C4"/>
    <w:rsid w:val="00C463AE"/>
    <w:rsid w:val="00C46747"/>
    <w:rsid w:val="00C46C86"/>
    <w:rsid w:val="00C4719F"/>
    <w:rsid w:val="00C47DB3"/>
    <w:rsid w:val="00C5054E"/>
    <w:rsid w:val="00C50562"/>
    <w:rsid w:val="00C50A20"/>
    <w:rsid w:val="00C50A52"/>
    <w:rsid w:val="00C516F3"/>
    <w:rsid w:val="00C51BFC"/>
    <w:rsid w:val="00C5268A"/>
    <w:rsid w:val="00C52A6A"/>
    <w:rsid w:val="00C52C32"/>
    <w:rsid w:val="00C546C9"/>
    <w:rsid w:val="00C54EB8"/>
    <w:rsid w:val="00C54F31"/>
    <w:rsid w:val="00C607A2"/>
    <w:rsid w:val="00C6209A"/>
    <w:rsid w:val="00C621E3"/>
    <w:rsid w:val="00C63BB4"/>
    <w:rsid w:val="00C65071"/>
    <w:rsid w:val="00C6613C"/>
    <w:rsid w:val="00C6618D"/>
    <w:rsid w:val="00C662FE"/>
    <w:rsid w:val="00C66B5D"/>
    <w:rsid w:val="00C66C6C"/>
    <w:rsid w:val="00C67FDF"/>
    <w:rsid w:val="00C70AB6"/>
    <w:rsid w:val="00C70D06"/>
    <w:rsid w:val="00C71F8D"/>
    <w:rsid w:val="00C732C2"/>
    <w:rsid w:val="00C73CB9"/>
    <w:rsid w:val="00C7407D"/>
    <w:rsid w:val="00C74D73"/>
    <w:rsid w:val="00C75219"/>
    <w:rsid w:val="00C75552"/>
    <w:rsid w:val="00C757C9"/>
    <w:rsid w:val="00C75901"/>
    <w:rsid w:val="00C75B23"/>
    <w:rsid w:val="00C75F37"/>
    <w:rsid w:val="00C76256"/>
    <w:rsid w:val="00C76FF7"/>
    <w:rsid w:val="00C77195"/>
    <w:rsid w:val="00C7745B"/>
    <w:rsid w:val="00C77A17"/>
    <w:rsid w:val="00C77B02"/>
    <w:rsid w:val="00C77ED9"/>
    <w:rsid w:val="00C8109F"/>
    <w:rsid w:val="00C81AAA"/>
    <w:rsid w:val="00C81B82"/>
    <w:rsid w:val="00C828B9"/>
    <w:rsid w:val="00C84375"/>
    <w:rsid w:val="00C84FA4"/>
    <w:rsid w:val="00C862D3"/>
    <w:rsid w:val="00C86756"/>
    <w:rsid w:val="00C86E69"/>
    <w:rsid w:val="00C87813"/>
    <w:rsid w:val="00C90284"/>
    <w:rsid w:val="00C90346"/>
    <w:rsid w:val="00C918B1"/>
    <w:rsid w:val="00C92D35"/>
    <w:rsid w:val="00C931B9"/>
    <w:rsid w:val="00C94116"/>
    <w:rsid w:val="00C959A7"/>
    <w:rsid w:val="00C962E1"/>
    <w:rsid w:val="00C96662"/>
    <w:rsid w:val="00CA01DD"/>
    <w:rsid w:val="00CA0C18"/>
    <w:rsid w:val="00CA1EB7"/>
    <w:rsid w:val="00CA271F"/>
    <w:rsid w:val="00CA30BE"/>
    <w:rsid w:val="00CA37B6"/>
    <w:rsid w:val="00CA3867"/>
    <w:rsid w:val="00CA3D16"/>
    <w:rsid w:val="00CA3F3A"/>
    <w:rsid w:val="00CA4153"/>
    <w:rsid w:val="00CA43FC"/>
    <w:rsid w:val="00CA4ECC"/>
    <w:rsid w:val="00CA59CD"/>
    <w:rsid w:val="00CA609B"/>
    <w:rsid w:val="00CA7F3F"/>
    <w:rsid w:val="00CB04E6"/>
    <w:rsid w:val="00CB197D"/>
    <w:rsid w:val="00CB23D1"/>
    <w:rsid w:val="00CB2760"/>
    <w:rsid w:val="00CB2AE8"/>
    <w:rsid w:val="00CB2E7C"/>
    <w:rsid w:val="00CB2F71"/>
    <w:rsid w:val="00CB30E4"/>
    <w:rsid w:val="00CB3D4D"/>
    <w:rsid w:val="00CB407A"/>
    <w:rsid w:val="00CB49B3"/>
    <w:rsid w:val="00CB4AFA"/>
    <w:rsid w:val="00CB5612"/>
    <w:rsid w:val="00CB6C5D"/>
    <w:rsid w:val="00CB7148"/>
    <w:rsid w:val="00CB7E1F"/>
    <w:rsid w:val="00CC0916"/>
    <w:rsid w:val="00CC0BE3"/>
    <w:rsid w:val="00CC146D"/>
    <w:rsid w:val="00CC16BC"/>
    <w:rsid w:val="00CC2256"/>
    <w:rsid w:val="00CC245F"/>
    <w:rsid w:val="00CC246F"/>
    <w:rsid w:val="00CC32BB"/>
    <w:rsid w:val="00CC3C62"/>
    <w:rsid w:val="00CC51B5"/>
    <w:rsid w:val="00CC5C5F"/>
    <w:rsid w:val="00CC66A6"/>
    <w:rsid w:val="00CC6D21"/>
    <w:rsid w:val="00CC6D3D"/>
    <w:rsid w:val="00CC7593"/>
    <w:rsid w:val="00CD04BC"/>
    <w:rsid w:val="00CD0626"/>
    <w:rsid w:val="00CD0BE8"/>
    <w:rsid w:val="00CD2855"/>
    <w:rsid w:val="00CD2B95"/>
    <w:rsid w:val="00CD375E"/>
    <w:rsid w:val="00CD3D2B"/>
    <w:rsid w:val="00CD43B2"/>
    <w:rsid w:val="00CD4A3E"/>
    <w:rsid w:val="00CD5B58"/>
    <w:rsid w:val="00CD6102"/>
    <w:rsid w:val="00CD669D"/>
    <w:rsid w:val="00CE04B7"/>
    <w:rsid w:val="00CE08AF"/>
    <w:rsid w:val="00CE0F83"/>
    <w:rsid w:val="00CE138E"/>
    <w:rsid w:val="00CE1FAF"/>
    <w:rsid w:val="00CE23F0"/>
    <w:rsid w:val="00CE2BA1"/>
    <w:rsid w:val="00CE3EBA"/>
    <w:rsid w:val="00CE40A2"/>
    <w:rsid w:val="00CE4C46"/>
    <w:rsid w:val="00CE4FBD"/>
    <w:rsid w:val="00CE5545"/>
    <w:rsid w:val="00CE6449"/>
    <w:rsid w:val="00CE7260"/>
    <w:rsid w:val="00CE7C1C"/>
    <w:rsid w:val="00CE7E6E"/>
    <w:rsid w:val="00CF00E1"/>
    <w:rsid w:val="00CF1066"/>
    <w:rsid w:val="00CF12BA"/>
    <w:rsid w:val="00CF174B"/>
    <w:rsid w:val="00CF1896"/>
    <w:rsid w:val="00CF37F0"/>
    <w:rsid w:val="00CF5136"/>
    <w:rsid w:val="00CF54A6"/>
    <w:rsid w:val="00CF5528"/>
    <w:rsid w:val="00CF7449"/>
    <w:rsid w:val="00CF798C"/>
    <w:rsid w:val="00D00296"/>
    <w:rsid w:val="00D008BF"/>
    <w:rsid w:val="00D0195A"/>
    <w:rsid w:val="00D02C7C"/>
    <w:rsid w:val="00D04011"/>
    <w:rsid w:val="00D04D06"/>
    <w:rsid w:val="00D05C72"/>
    <w:rsid w:val="00D05CD7"/>
    <w:rsid w:val="00D0689D"/>
    <w:rsid w:val="00D06EDB"/>
    <w:rsid w:val="00D06F8C"/>
    <w:rsid w:val="00D07144"/>
    <w:rsid w:val="00D0796F"/>
    <w:rsid w:val="00D0799C"/>
    <w:rsid w:val="00D111B3"/>
    <w:rsid w:val="00D12131"/>
    <w:rsid w:val="00D125F0"/>
    <w:rsid w:val="00D126DB"/>
    <w:rsid w:val="00D130B9"/>
    <w:rsid w:val="00D13A27"/>
    <w:rsid w:val="00D13D3A"/>
    <w:rsid w:val="00D14615"/>
    <w:rsid w:val="00D1488A"/>
    <w:rsid w:val="00D151EA"/>
    <w:rsid w:val="00D1539B"/>
    <w:rsid w:val="00D164D8"/>
    <w:rsid w:val="00D1658D"/>
    <w:rsid w:val="00D172D1"/>
    <w:rsid w:val="00D17BEE"/>
    <w:rsid w:val="00D17D86"/>
    <w:rsid w:val="00D2034E"/>
    <w:rsid w:val="00D20820"/>
    <w:rsid w:val="00D209E6"/>
    <w:rsid w:val="00D20FF1"/>
    <w:rsid w:val="00D2193D"/>
    <w:rsid w:val="00D21F6B"/>
    <w:rsid w:val="00D22DEB"/>
    <w:rsid w:val="00D24F63"/>
    <w:rsid w:val="00D30755"/>
    <w:rsid w:val="00D30E43"/>
    <w:rsid w:val="00D31EC4"/>
    <w:rsid w:val="00D32B30"/>
    <w:rsid w:val="00D32D57"/>
    <w:rsid w:val="00D335F5"/>
    <w:rsid w:val="00D33B10"/>
    <w:rsid w:val="00D33BD9"/>
    <w:rsid w:val="00D345F9"/>
    <w:rsid w:val="00D34D6F"/>
    <w:rsid w:val="00D34D87"/>
    <w:rsid w:val="00D34F00"/>
    <w:rsid w:val="00D35870"/>
    <w:rsid w:val="00D35942"/>
    <w:rsid w:val="00D35A1A"/>
    <w:rsid w:val="00D363F5"/>
    <w:rsid w:val="00D36C2F"/>
    <w:rsid w:val="00D3736A"/>
    <w:rsid w:val="00D3743F"/>
    <w:rsid w:val="00D37778"/>
    <w:rsid w:val="00D406EA"/>
    <w:rsid w:val="00D4154F"/>
    <w:rsid w:val="00D41F7A"/>
    <w:rsid w:val="00D4300D"/>
    <w:rsid w:val="00D441EF"/>
    <w:rsid w:val="00D473DC"/>
    <w:rsid w:val="00D4762B"/>
    <w:rsid w:val="00D51FBA"/>
    <w:rsid w:val="00D526E3"/>
    <w:rsid w:val="00D52DE4"/>
    <w:rsid w:val="00D534A7"/>
    <w:rsid w:val="00D542B7"/>
    <w:rsid w:val="00D54B76"/>
    <w:rsid w:val="00D54F45"/>
    <w:rsid w:val="00D553DC"/>
    <w:rsid w:val="00D554C8"/>
    <w:rsid w:val="00D56861"/>
    <w:rsid w:val="00D5761C"/>
    <w:rsid w:val="00D57CB8"/>
    <w:rsid w:val="00D57F7C"/>
    <w:rsid w:val="00D60819"/>
    <w:rsid w:val="00D60973"/>
    <w:rsid w:val="00D61B47"/>
    <w:rsid w:val="00D61CB1"/>
    <w:rsid w:val="00D61D71"/>
    <w:rsid w:val="00D61FB2"/>
    <w:rsid w:val="00D627AA"/>
    <w:rsid w:val="00D62FF7"/>
    <w:rsid w:val="00D631FD"/>
    <w:rsid w:val="00D63667"/>
    <w:rsid w:val="00D636E5"/>
    <w:rsid w:val="00D63834"/>
    <w:rsid w:val="00D638D2"/>
    <w:rsid w:val="00D64B55"/>
    <w:rsid w:val="00D64C69"/>
    <w:rsid w:val="00D658BB"/>
    <w:rsid w:val="00D65F79"/>
    <w:rsid w:val="00D66154"/>
    <w:rsid w:val="00D66CA4"/>
    <w:rsid w:val="00D66F85"/>
    <w:rsid w:val="00D66F8D"/>
    <w:rsid w:val="00D674BA"/>
    <w:rsid w:val="00D70E4D"/>
    <w:rsid w:val="00D715A4"/>
    <w:rsid w:val="00D717F6"/>
    <w:rsid w:val="00D71CC0"/>
    <w:rsid w:val="00D71F0E"/>
    <w:rsid w:val="00D7302F"/>
    <w:rsid w:val="00D75798"/>
    <w:rsid w:val="00D766F6"/>
    <w:rsid w:val="00D7703C"/>
    <w:rsid w:val="00D7758E"/>
    <w:rsid w:val="00D80719"/>
    <w:rsid w:val="00D808DB"/>
    <w:rsid w:val="00D80C2B"/>
    <w:rsid w:val="00D81ABA"/>
    <w:rsid w:val="00D81B45"/>
    <w:rsid w:val="00D81DCA"/>
    <w:rsid w:val="00D82034"/>
    <w:rsid w:val="00D8250B"/>
    <w:rsid w:val="00D82F4C"/>
    <w:rsid w:val="00D82FC0"/>
    <w:rsid w:val="00D83002"/>
    <w:rsid w:val="00D845C9"/>
    <w:rsid w:val="00D84BF3"/>
    <w:rsid w:val="00D84F9F"/>
    <w:rsid w:val="00D8519D"/>
    <w:rsid w:val="00D855B9"/>
    <w:rsid w:val="00D857D8"/>
    <w:rsid w:val="00D8621A"/>
    <w:rsid w:val="00D86896"/>
    <w:rsid w:val="00D86D7C"/>
    <w:rsid w:val="00D873AB"/>
    <w:rsid w:val="00D876A4"/>
    <w:rsid w:val="00D87A83"/>
    <w:rsid w:val="00D902FC"/>
    <w:rsid w:val="00D9041A"/>
    <w:rsid w:val="00D9120F"/>
    <w:rsid w:val="00D914AE"/>
    <w:rsid w:val="00D92330"/>
    <w:rsid w:val="00D93AFB"/>
    <w:rsid w:val="00D93CCF"/>
    <w:rsid w:val="00D93F23"/>
    <w:rsid w:val="00D93F5C"/>
    <w:rsid w:val="00D94C35"/>
    <w:rsid w:val="00D955E3"/>
    <w:rsid w:val="00D959D7"/>
    <w:rsid w:val="00D95A4C"/>
    <w:rsid w:val="00D96946"/>
    <w:rsid w:val="00D97103"/>
    <w:rsid w:val="00D97979"/>
    <w:rsid w:val="00D97BFC"/>
    <w:rsid w:val="00D97F14"/>
    <w:rsid w:val="00DA0BD0"/>
    <w:rsid w:val="00DA0CAE"/>
    <w:rsid w:val="00DA104D"/>
    <w:rsid w:val="00DA2557"/>
    <w:rsid w:val="00DA297F"/>
    <w:rsid w:val="00DA3532"/>
    <w:rsid w:val="00DA39EE"/>
    <w:rsid w:val="00DA4641"/>
    <w:rsid w:val="00DA47F4"/>
    <w:rsid w:val="00DA4B3A"/>
    <w:rsid w:val="00DA50AB"/>
    <w:rsid w:val="00DA5206"/>
    <w:rsid w:val="00DA521A"/>
    <w:rsid w:val="00DA605D"/>
    <w:rsid w:val="00DA7826"/>
    <w:rsid w:val="00DB06D1"/>
    <w:rsid w:val="00DB0EB5"/>
    <w:rsid w:val="00DB1480"/>
    <w:rsid w:val="00DB155F"/>
    <w:rsid w:val="00DB1708"/>
    <w:rsid w:val="00DB2016"/>
    <w:rsid w:val="00DB24D1"/>
    <w:rsid w:val="00DB2E19"/>
    <w:rsid w:val="00DB2F15"/>
    <w:rsid w:val="00DB328C"/>
    <w:rsid w:val="00DB3823"/>
    <w:rsid w:val="00DB3AD2"/>
    <w:rsid w:val="00DB3C70"/>
    <w:rsid w:val="00DB3CBA"/>
    <w:rsid w:val="00DB3E4B"/>
    <w:rsid w:val="00DB4596"/>
    <w:rsid w:val="00DB56F7"/>
    <w:rsid w:val="00DB5AE6"/>
    <w:rsid w:val="00DB6050"/>
    <w:rsid w:val="00DB7C79"/>
    <w:rsid w:val="00DB7E8F"/>
    <w:rsid w:val="00DC02ED"/>
    <w:rsid w:val="00DC0981"/>
    <w:rsid w:val="00DC1C8F"/>
    <w:rsid w:val="00DC28AF"/>
    <w:rsid w:val="00DC3999"/>
    <w:rsid w:val="00DC3EEE"/>
    <w:rsid w:val="00DC5C2C"/>
    <w:rsid w:val="00DC6423"/>
    <w:rsid w:val="00DC7ACE"/>
    <w:rsid w:val="00DD06F8"/>
    <w:rsid w:val="00DD1031"/>
    <w:rsid w:val="00DD1063"/>
    <w:rsid w:val="00DD1926"/>
    <w:rsid w:val="00DD28FD"/>
    <w:rsid w:val="00DD2B74"/>
    <w:rsid w:val="00DD2C61"/>
    <w:rsid w:val="00DD336C"/>
    <w:rsid w:val="00DD497A"/>
    <w:rsid w:val="00DD4F1C"/>
    <w:rsid w:val="00DD4F63"/>
    <w:rsid w:val="00DD54EF"/>
    <w:rsid w:val="00DD56C8"/>
    <w:rsid w:val="00DD6BC7"/>
    <w:rsid w:val="00DD6E1C"/>
    <w:rsid w:val="00DD7897"/>
    <w:rsid w:val="00DD7CF5"/>
    <w:rsid w:val="00DD7D21"/>
    <w:rsid w:val="00DE1466"/>
    <w:rsid w:val="00DE23F1"/>
    <w:rsid w:val="00DE25EC"/>
    <w:rsid w:val="00DE2F20"/>
    <w:rsid w:val="00DE393D"/>
    <w:rsid w:val="00DE4A2C"/>
    <w:rsid w:val="00DE5FCB"/>
    <w:rsid w:val="00DE63FE"/>
    <w:rsid w:val="00DE6A41"/>
    <w:rsid w:val="00DE6CB3"/>
    <w:rsid w:val="00DE7548"/>
    <w:rsid w:val="00DF0135"/>
    <w:rsid w:val="00DF067A"/>
    <w:rsid w:val="00DF0DEC"/>
    <w:rsid w:val="00DF0E8D"/>
    <w:rsid w:val="00DF13B1"/>
    <w:rsid w:val="00DF31BE"/>
    <w:rsid w:val="00DF32FC"/>
    <w:rsid w:val="00DF3A9A"/>
    <w:rsid w:val="00DF3F0C"/>
    <w:rsid w:val="00DF4096"/>
    <w:rsid w:val="00DF42FE"/>
    <w:rsid w:val="00DF46E5"/>
    <w:rsid w:val="00DF4D3E"/>
    <w:rsid w:val="00DF4EC3"/>
    <w:rsid w:val="00DF523B"/>
    <w:rsid w:val="00DF6766"/>
    <w:rsid w:val="00DF6A8B"/>
    <w:rsid w:val="00DF7883"/>
    <w:rsid w:val="00DF7E41"/>
    <w:rsid w:val="00E00989"/>
    <w:rsid w:val="00E00C95"/>
    <w:rsid w:val="00E00CCD"/>
    <w:rsid w:val="00E00FE9"/>
    <w:rsid w:val="00E01A1E"/>
    <w:rsid w:val="00E03059"/>
    <w:rsid w:val="00E0362A"/>
    <w:rsid w:val="00E048FC"/>
    <w:rsid w:val="00E04AF3"/>
    <w:rsid w:val="00E052EB"/>
    <w:rsid w:val="00E05A01"/>
    <w:rsid w:val="00E060EF"/>
    <w:rsid w:val="00E066BA"/>
    <w:rsid w:val="00E0679B"/>
    <w:rsid w:val="00E07E8D"/>
    <w:rsid w:val="00E1106F"/>
    <w:rsid w:val="00E114DF"/>
    <w:rsid w:val="00E12A9A"/>
    <w:rsid w:val="00E1478F"/>
    <w:rsid w:val="00E15405"/>
    <w:rsid w:val="00E157F9"/>
    <w:rsid w:val="00E15A19"/>
    <w:rsid w:val="00E16BD2"/>
    <w:rsid w:val="00E214B9"/>
    <w:rsid w:val="00E21501"/>
    <w:rsid w:val="00E22B16"/>
    <w:rsid w:val="00E231DF"/>
    <w:rsid w:val="00E23AE1"/>
    <w:rsid w:val="00E24730"/>
    <w:rsid w:val="00E24A71"/>
    <w:rsid w:val="00E25670"/>
    <w:rsid w:val="00E25A02"/>
    <w:rsid w:val="00E265DA"/>
    <w:rsid w:val="00E267D9"/>
    <w:rsid w:val="00E26E72"/>
    <w:rsid w:val="00E26FA7"/>
    <w:rsid w:val="00E271FF"/>
    <w:rsid w:val="00E27FA9"/>
    <w:rsid w:val="00E30B83"/>
    <w:rsid w:val="00E30D1E"/>
    <w:rsid w:val="00E31193"/>
    <w:rsid w:val="00E320B6"/>
    <w:rsid w:val="00E32728"/>
    <w:rsid w:val="00E32998"/>
    <w:rsid w:val="00E3394F"/>
    <w:rsid w:val="00E33C63"/>
    <w:rsid w:val="00E33D6D"/>
    <w:rsid w:val="00E354E7"/>
    <w:rsid w:val="00E35613"/>
    <w:rsid w:val="00E35711"/>
    <w:rsid w:val="00E35963"/>
    <w:rsid w:val="00E35A51"/>
    <w:rsid w:val="00E35EE5"/>
    <w:rsid w:val="00E36BFB"/>
    <w:rsid w:val="00E36CE6"/>
    <w:rsid w:val="00E37335"/>
    <w:rsid w:val="00E4052D"/>
    <w:rsid w:val="00E4184A"/>
    <w:rsid w:val="00E425C4"/>
    <w:rsid w:val="00E433CC"/>
    <w:rsid w:val="00E43A35"/>
    <w:rsid w:val="00E444F9"/>
    <w:rsid w:val="00E4570B"/>
    <w:rsid w:val="00E457F9"/>
    <w:rsid w:val="00E460B3"/>
    <w:rsid w:val="00E4749B"/>
    <w:rsid w:val="00E506B6"/>
    <w:rsid w:val="00E50BB9"/>
    <w:rsid w:val="00E51997"/>
    <w:rsid w:val="00E51A5B"/>
    <w:rsid w:val="00E51AB8"/>
    <w:rsid w:val="00E52673"/>
    <w:rsid w:val="00E526B9"/>
    <w:rsid w:val="00E5435D"/>
    <w:rsid w:val="00E5452D"/>
    <w:rsid w:val="00E54B86"/>
    <w:rsid w:val="00E55B86"/>
    <w:rsid w:val="00E56175"/>
    <w:rsid w:val="00E5703D"/>
    <w:rsid w:val="00E57E6C"/>
    <w:rsid w:val="00E603C0"/>
    <w:rsid w:val="00E60E08"/>
    <w:rsid w:val="00E60EE0"/>
    <w:rsid w:val="00E60F0D"/>
    <w:rsid w:val="00E618E0"/>
    <w:rsid w:val="00E620CD"/>
    <w:rsid w:val="00E63198"/>
    <w:rsid w:val="00E63891"/>
    <w:rsid w:val="00E63D1B"/>
    <w:rsid w:val="00E64119"/>
    <w:rsid w:val="00E64B88"/>
    <w:rsid w:val="00E65654"/>
    <w:rsid w:val="00E66016"/>
    <w:rsid w:val="00E66A24"/>
    <w:rsid w:val="00E6705C"/>
    <w:rsid w:val="00E67672"/>
    <w:rsid w:val="00E67A78"/>
    <w:rsid w:val="00E705B1"/>
    <w:rsid w:val="00E70C4C"/>
    <w:rsid w:val="00E71510"/>
    <w:rsid w:val="00E71569"/>
    <w:rsid w:val="00E71934"/>
    <w:rsid w:val="00E726CA"/>
    <w:rsid w:val="00E72C97"/>
    <w:rsid w:val="00E73532"/>
    <w:rsid w:val="00E73709"/>
    <w:rsid w:val="00E751DB"/>
    <w:rsid w:val="00E75719"/>
    <w:rsid w:val="00E774FB"/>
    <w:rsid w:val="00E7788A"/>
    <w:rsid w:val="00E80424"/>
    <w:rsid w:val="00E81296"/>
    <w:rsid w:val="00E81EDC"/>
    <w:rsid w:val="00E82DF1"/>
    <w:rsid w:val="00E83157"/>
    <w:rsid w:val="00E85389"/>
    <w:rsid w:val="00E854DD"/>
    <w:rsid w:val="00E85582"/>
    <w:rsid w:val="00E85BD1"/>
    <w:rsid w:val="00E8604F"/>
    <w:rsid w:val="00E86AC8"/>
    <w:rsid w:val="00E86F23"/>
    <w:rsid w:val="00E87095"/>
    <w:rsid w:val="00E87826"/>
    <w:rsid w:val="00E916B8"/>
    <w:rsid w:val="00E916D4"/>
    <w:rsid w:val="00E91983"/>
    <w:rsid w:val="00E94742"/>
    <w:rsid w:val="00E947AD"/>
    <w:rsid w:val="00E9481C"/>
    <w:rsid w:val="00E949C6"/>
    <w:rsid w:val="00E94C3E"/>
    <w:rsid w:val="00E954E4"/>
    <w:rsid w:val="00E957CB"/>
    <w:rsid w:val="00E96FF9"/>
    <w:rsid w:val="00E97EDE"/>
    <w:rsid w:val="00EA01C2"/>
    <w:rsid w:val="00EA081D"/>
    <w:rsid w:val="00EA0C14"/>
    <w:rsid w:val="00EA2FEF"/>
    <w:rsid w:val="00EA3142"/>
    <w:rsid w:val="00EA32FB"/>
    <w:rsid w:val="00EA3DD5"/>
    <w:rsid w:val="00EA463B"/>
    <w:rsid w:val="00EA4AFF"/>
    <w:rsid w:val="00EA60D8"/>
    <w:rsid w:val="00EA669D"/>
    <w:rsid w:val="00EA6BC9"/>
    <w:rsid w:val="00EA76BF"/>
    <w:rsid w:val="00EA7727"/>
    <w:rsid w:val="00EA7A40"/>
    <w:rsid w:val="00EB1304"/>
    <w:rsid w:val="00EB1D5B"/>
    <w:rsid w:val="00EB1F21"/>
    <w:rsid w:val="00EB2071"/>
    <w:rsid w:val="00EB2696"/>
    <w:rsid w:val="00EB33EA"/>
    <w:rsid w:val="00EB397F"/>
    <w:rsid w:val="00EB45FA"/>
    <w:rsid w:val="00EB4AAA"/>
    <w:rsid w:val="00EB4D93"/>
    <w:rsid w:val="00EB4E08"/>
    <w:rsid w:val="00EB5862"/>
    <w:rsid w:val="00EB60CC"/>
    <w:rsid w:val="00EB663E"/>
    <w:rsid w:val="00EC00BA"/>
    <w:rsid w:val="00EC0968"/>
    <w:rsid w:val="00EC1160"/>
    <w:rsid w:val="00EC16B6"/>
    <w:rsid w:val="00EC1FA6"/>
    <w:rsid w:val="00EC2220"/>
    <w:rsid w:val="00EC23A0"/>
    <w:rsid w:val="00EC2578"/>
    <w:rsid w:val="00EC29B9"/>
    <w:rsid w:val="00EC2AEB"/>
    <w:rsid w:val="00EC4029"/>
    <w:rsid w:val="00EC46B3"/>
    <w:rsid w:val="00EC4845"/>
    <w:rsid w:val="00EC485E"/>
    <w:rsid w:val="00EC4CAF"/>
    <w:rsid w:val="00EC4FB8"/>
    <w:rsid w:val="00EC77A9"/>
    <w:rsid w:val="00EC7B23"/>
    <w:rsid w:val="00ED03EF"/>
    <w:rsid w:val="00ED1A2D"/>
    <w:rsid w:val="00ED1D37"/>
    <w:rsid w:val="00ED38A1"/>
    <w:rsid w:val="00ED3929"/>
    <w:rsid w:val="00ED5544"/>
    <w:rsid w:val="00ED657B"/>
    <w:rsid w:val="00ED6642"/>
    <w:rsid w:val="00ED6E30"/>
    <w:rsid w:val="00ED70B7"/>
    <w:rsid w:val="00ED7282"/>
    <w:rsid w:val="00ED72C6"/>
    <w:rsid w:val="00ED794E"/>
    <w:rsid w:val="00EE001B"/>
    <w:rsid w:val="00EE00D4"/>
    <w:rsid w:val="00EE1B92"/>
    <w:rsid w:val="00EE2968"/>
    <w:rsid w:val="00EE39DD"/>
    <w:rsid w:val="00EE552F"/>
    <w:rsid w:val="00EE5EEB"/>
    <w:rsid w:val="00EE5F32"/>
    <w:rsid w:val="00EE6144"/>
    <w:rsid w:val="00EE6170"/>
    <w:rsid w:val="00EE7624"/>
    <w:rsid w:val="00EF01F6"/>
    <w:rsid w:val="00EF03A0"/>
    <w:rsid w:val="00EF0BD0"/>
    <w:rsid w:val="00EF0BE0"/>
    <w:rsid w:val="00EF1079"/>
    <w:rsid w:val="00EF1880"/>
    <w:rsid w:val="00EF1AF1"/>
    <w:rsid w:val="00EF2E1F"/>
    <w:rsid w:val="00EF3376"/>
    <w:rsid w:val="00EF5134"/>
    <w:rsid w:val="00EF579B"/>
    <w:rsid w:val="00EF5804"/>
    <w:rsid w:val="00EF58C2"/>
    <w:rsid w:val="00EF6BEA"/>
    <w:rsid w:val="00EF7B59"/>
    <w:rsid w:val="00F004D1"/>
    <w:rsid w:val="00F00525"/>
    <w:rsid w:val="00F0104A"/>
    <w:rsid w:val="00F01065"/>
    <w:rsid w:val="00F01492"/>
    <w:rsid w:val="00F01BE9"/>
    <w:rsid w:val="00F02F4F"/>
    <w:rsid w:val="00F0413B"/>
    <w:rsid w:val="00F04154"/>
    <w:rsid w:val="00F042AB"/>
    <w:rsid w:val="00F04D59"/>
    <w:rsid w:val="00F05912"/>
    <w:rsid w:val="00F05D1D"/>
    <w:rsid w:val="00F06353"/>
    <w:rsid w:val="00F109D6"/>
    <w:rsid w:val="00F109E9"/>
    <w:rsid w:val="00F11022"/>
    <w:rsid w:val="00F110E9"/>
    <w:rsid w:val="00F11130"/>
    <w:rsid w:val="00F132E6"/>
    <w:rsid w:val="00F133BD"/>
    <w:rsid w:val="00F13890"/>
    <w:rsid w:val="00F14060"/>
    <w:rsid w:val="00F14338"/>
    <w:rsid w:val="00F14E13"/>
    <w:rsid w:val="00F17871"/>
    <w:rsid w:val="00F17EF8"/>
    <w:rsid w:val="00F218CF"/>
    <w:rsid w:val="00F22041"/>
    <w:rsid w:val="00F22102"/>
    <w:rsid w:val="00F22401"/>
    <w:rsid w:val="00F22454"/>
    <w:rsid w:val="00F22F80"/>
    <w:rsid w:val="00F2372A"/>
    <w:rsid w:val="00F23E2E"/>
    <w:rsid w:val="00F26293"/>
    <w:rsid w:val="00F26318"/>
    <w:rsid w:val="00F26570"/>
    <w:rsid w:val="00F273DA"/>
    <w:rsid w:val="00F274D7"/>
    <w:rsid w:val="00F27796"/>
    <w:rsid w:val="00F301CB"/>
    <w:rsid w:val="00F31901"/>
    <w:rsid w:val="00F31AFF"/>
    <w:rsid w:val="00F31DB6"/>
    <w:rsid w:val="00F321B0"/>
    <w:rsid w:val="00F32372"/>
    <w:rsid w:val="00F325B4"/>
    <w:rsid w:val="00F32B38"/>
    <w:rsid w:val="00F33CED"/>
    <w:rsid w:val="00F35386"/>
    <w:rsid w:val="00F354EC"/>
    <w:rsid w:val="00F4175F"/>
    <w:rsid w:val="00F41A91"/>
    <w:rsid w:val="00F41AA9"/>
    <w:rsid w:val="00F421AC"/>
    <w:rsid w:val="00F43710"/>
    <w:rsid w:val="00F44195"/>
    <w:rsid w:val="00F472CF"/>
    <w:rsid w:val="00F47AF8"/>
    <w:rsid w:val="00F50EDB"/>
    <w:rsid w:val="00F512D6"/>
    <w:rsid w:val="00F51CAA"/>
    <w:rsid w:val="00F520EA"/>
    <w:rsid w:val="00F52A3D"/>
    <w:rsid w:val="00F53330"/>
    <w:rsid w:val="00F534D2"/>
    <w:rsid w:val="00F53687"/>
    <w:rsid w:val="00F53DAA"/>
    <w:rsid w:val="00F53DCD"/>
    <w:rsid w:val="00F5486C"/>
    <w:rsid w:val="00F54E62"/>
    <w:rsid w:val="00F55694"/>
    <w:rsid w:val="00F56F50"/>
    <w:rsid w:val="00F6042E"/>
    <w:rsid w:val="00F60C57"/>
    <w:rsid w:val="00F61742"/>
    <w:rsid w:val="00F63324"/>
    <w:rsid w:val="00F657AE"/>
    <w:rsid w:val="00F65B68"/>
    <w:rsid w:val="00F660B3"/>
    <w:rsid w:val="00F66E7B"/>
    <w:rsid w:val="00F6795E"/>
    <w:rsid w:val="00F67CB0"/>
    <w:rsid w:val="00F7045A"/>
    <w:rsid w:val="00F711B4"/>
    <w:rsid w:val="00F711B5"/>
    <w:rsid w:val="00F714EC"/>
    <w:rsid w:val="00F71AE9"/>
    <w:rsid w:val="00F72D08"/>
    <w:rsid w:val="00F7424E"/>
    <w:rsid w:val="00F74363"/>
    <w:rsid w:val="00F748A6"/>
    <w:rsid w:val="00F748EB"/>
    <w:rsid w:val="00F74FC2"/>
    <w:rsid w:val="00F74FD8"/>
    <w:rsid w:val="00F75837"/>
    <w:rsid w:val="00F76669"/>
    <w:rsid w:val="00F77A49"/>
    <w:rsid w:val="00F77C73"/>
    <w:rsid w:val="00F77E6A"/>
    <w:rsid w:val="00F80507"/>
    <w:rsid w:val="00F80EF1"/>
    <w:rsid w:val="00F81031"/>
    <w:rsid w:val="00F81437"/>
    <w:rsid w:val="00F815A6"/>
    <w:rsid w:val="00F82628"/>
    <w:rsid w:val="00F8299B"/>
    <w:rsid w:val="00F83FC5"/>
    <w:rsid w:val="00F85055"/>
    <w:rsid w:val="00F8736C"/>
    <w:rsid w:val="00F87A9A"/>
    <w:rsid w:val="00F87AB7"/>
    <w:rsid w:val="00F90288"/>
    <w:rsid w:val="00F919A1"/>
    <w:rsid w:val="00F935A6"/>
    <w:rsid w:val="00F94243"/>
    <w:rsid w:val="00F94903"/>
    <w:rsid w:val="00F96536"/>
    <w:rsid w:val="00F9752A"/>
    <w:rsid w:val="00FA0467"/>
    <w:rsid w:val="00FA054E"/>
    <w:rsid w:val="00FA0AEB"/>
    <w:rsid w:val="00FA2093"/>
    <w:rsid w:val="00FA27B9"/>
    <w:rsid w:val="00FA28B0"/>
    <w:rsid w:val="00FA2B69"/>
    <w:rsid w:val="00FA311D"/>
    <w:rsid w:val="00FA45D6"/>
    <w:rsid w:val="00FA4B2B"/>
    <w:rsid w:val="00FA5AED"/>
    <w:rsid w:val="00FA612F"/>
    <w:rsid w:val="00FA67CD"/>
    <w:rsid w:val="00FA689D"/>
    <w:rsid w:val="00FA72BC"/>
    <w:rsid w:val="00FB1B76"/>
    <w:rsid w:val="00FB1C45"/>
    <w:rsid w:val="00FB1DB5"/>
    <w:rsid w:val="00FB1EF0"/>
    <w:rsid w:val="00FB2FD5"/>
    <w:rsid w:val="00FB3098"/>
    <w:rsid w:val="00FB39A5"/>
    <w:rsid w:val="00FB3B23"/>
    <w:rsid w:val="00FB49A6"/>
    <w:rsid w:val="00FB49DF"/>
    <w:rsid w:val="00FB5FF8"/>
    <w:rsid w:val="00FB695F"/>
    <w:rsid w:val="00FB6D77"/>
    <w:rsid w:val="00FB7308"/>
    <w:rsid w:val="00FB775E"/>
    <w:rsid w:val="00FB7F1E"/>
    <w:rsid w:val="00FC0B5C"/>
    <w:rsid w:val="00FC0D11"/>
    <w:rsid w:val="00FC16C6"/>
    <w:rsid w:val="00FC28EA"/>
    <w:rsid w:val="00FC298B"/>
    <w:rsid w:val="00FC2CB4"/>
    <w:rsid w:val="00FC329C"/>
    <w:rsid w:val="00FC44F3"/>
    <w:rsid w:val="00FC4AA0"/>
    <w:rsid w:val="00FC5A4F"/>
    <w:rsid w:val="00FC5E55"/>
    <w:rsid w:val="00FC6BAD"/>
    <w:rsid w:val="00FC6E85"/>
    <w:rsid w:val="00FC720E"/>
    <w:rsid w:val="00FC74FF"/>
    <w:rsid w:val="00FD004B"/>
    <w:rsid w:val="00FD037C"/>
    <w:rsid w:val="00FD0908"/>
    <w:rsid w:val="00FD0C36"/>
    <w:rsid w:val="00FD1454"/>
    <w:rsid w:val="00FD19F5"/>
    <w:rsid w:val="00FD237A"/>
    <w:rsid w:val="00FD2580"/>
    <w:rsid w:val="00FD460D"/>
    <w:rsid w:val="00FD5557"/>
    <w:rsid w:val="00FD5F94"/>
    <w:rsid w:val="00FD6174"/>
    <w:rsid w:val="00FD6B90"/>
    <w:rsid w:val="00FD6E14"/>
    <w:rsid w:val="00FD6E17"/>
    <w:rsid w:val="00FD7035"/>
    <w:rsid w:val="00FD7CC4"/>
    <w:rsid w:val="00FE1201"/>
    <w:rsid w:val="00FE24EC"/>
    <w:rsid w:val="00FE29A4"/>
    <w:rsid w:val="00FE3EBA"/>
    <w:rsid w:val="00FE4559"/>
    <w:rsid w:val="00FE4A89"/>
    <w:rsid w:val="00FE5F38"/>
    <w:rsid w:val="00FE6100"/>
    <w:rsid w:val="00FF053C"/>
    <w:rsid w:val="00FF0549"/>
    <w:rsid w:val="00FF0815"/>
    <w:rsid w:val="00FF0A8F"/>
    <w:rsid w:val="00FF0E06"/>
    <w:rsid w:val="00FF0F33"/>
    <w:rsid w:val="00FF12AB"/>
    <w:rsid w:val="00FF1B4C"/>
    <w:rsid w:val="00FF4202"/>
    <w:rsid w:val="00FF425F"/>
    <w:rsid w:val="00FF5792"/>
    <w:rsid w:val="00FF7FC6"/>
    <w:rsid w:val="014E5987"/>
    <w:rsid w:val="01612428"/>
    <w:rsid w:val="01C44759"/>
    <w:rsid w:val="022308B3"/>
    <w:rsid w:val="023C7990"/>
    <w:rsid w:val="02405801"/>
    <w:rsid w:val="02A033DD"/>
    <w:rsid w:val="02E624DD"/>
    <w:rsid w:val="02EA7FD8"/>
    <w:rsid w:val="031E7BD6"/>
    <w:rsid w:val="03385CF8"/>
    <w:rsid w:val="034C267E"/>
    <w:rsid w:val="03D90444"/>
    <w:rsid w:val="04131904"/>
    <w:rsid w:val="041E29A5"/>
    <w:rsid w:val="046A734B"/>
    <w:rsid w:val="04E21AFB"/>
    <w:rsid w:val="04F464B1"/>
    <w:rsid w:val="04FA1810"/>
    <w:rsid w:val="05042D92"/>
    <w:rsid w:val="05882122"/>
    <w:rsid w:val="05A6453A"/>
    <w:rsid w:val="05C3117F"/>
    <w:rsid w:val="0607573C"/>
    <w:rsid w:val="062F7F91"/>
    <w:rsid w:val="066A5116"/>
    <w:rsid w:val="06883FAA"/>
    <w:rsid w:val="06A16104"/>
    <w:rsid w:val="06BF6D7C"/>
    <w:rsid w:val="074A1A13"/>
    <w:rsid w:val="07932A02"/>
    <w:rsid w:val="07A00AEE"/>
    <w:rsid w:val="07B56195"/>
    <w:rsid w:val="07B74F40"/>
    <w:rsid w:val="07C24F25"/>
    <w:rsid w:val="084B7836"/>
    <w:rsid w:val="08736E0D"/>
    <w:rsid w:val="089C5043"/>
    <w:rsid w:val="08E104C7"/>
    <w:rsid w:val="09497E1A"/>
    <w:rsid w:val="09654B36"/>
    <w:rsid w:val="096907CA"/>
    <w:rsid w:val="098F151B"/>
    <w:rsid w:val="09A60DC8"/>
    <w:rsid w:val="09AA1B94"/>
    <w:rsid w:val="09D566E4"/>
    <w:rsid w:val="0A3A25AE"/>
    <w:rsid w:val="0A433061"/>
    <w:rsid w:val="0A973977"/>
    <w:rsid w:val="0B2D087E"/>
    <w:rsid w:val="0B4B1801"/>
    <w:rsid w:val="0B666A61"/>
    <w:rsid w:val="0B787ABC"/>
    <w:rsid w:val="0C2D1DF5"/>
    <w:rsid w:val="0C4D398E"/>
    <w:rsid w:val="0C7B7AE2"/>
    <w:rsid w:val="0CC51073"/>
    <w:rsid w:val="0CEE6149"/>
    <w:rsid w:val="0CF52C41"/>
    <w:rsid w:val="0D422D56"/>
    <w:rsid w:val="0D79231E"/>
    <w:rsid w:val="0DAC25A9"/>
    <w:rsid w:val="0E3B31DF"/>
    <w:rsid w:val="0E41770C"/>
    <w:rsid w:val="0EA04DF1"/>
    <w:rsid w:val="0EA2212D"/>
    <w:rsid w:val="0EB21DE9"/>
    <w:rsid w:val="0F1F1DB4"/>
    <w:rsid w:val="0F4314AB"/>
    <w:rsid w:val="0F7C47F8"/>
    <w:rsid w:val="0F8F360A"/>
    <w:rsid w:val="0FF40D35"/>
    <w:rsid w:val="10E326D9"/>
    <w:rsid w:val="113438D4"/>
    <w:rsid w:val="113F2CDA"/>
    <w:rsid w:val="114A2A84"/>
    <w:rsid w:val="117948FB"/>
    <w:rsid w:val="11DC544F"/>
    <w:rsid w:val="12C81DAF"/>
    <w:rsid w:val="131A7C34"/>
    <w:rsid w:val="132C4DC0"/>
    <w:rsid w:val="135E0B12"/>
    <w:rsid w:val="138054AA"/>
    <w:rsid w:val="139168F9"/>
    <w:rsid w:val="13A84105"/>
    <w:rsid w:val="14822AC0"/>
    <w:rsid w:val="14A43516"/>
    <w:rsid w:val="14C14DF0"/>
    <w:rsid w:val="151A36F5"/>
    <w:rsid w:val="152A02FC"/>
    <w:rsid w:val="153C31F9"/>
    <w:rsid w:val="15A908FD"/>
    <w:rsid w:val="15E054B4"/>
    <w:rsid w:val="16037686"/>
    <w:rsid w:val="162B11C5"/>
    <w:rsid w:val="1630751C"/>
    <w:rsid w:val="164E7FAF"/>
    <w:rsid w:val="1711570D"/>
    <w:rsid w:val="1768701E"/>
    <w:rsid w:val="17CA10A8"/>
    <w:rsid w:val="18320DF1"/>
    <w:rsid w:val="18491C08"/>
    <w:rsid w:val="184C05B3"/>
    <w:rsid w:val="187D1D3F"/>
    <w:rsid w:val="19316A50"/>
    <w:rsid w:val="193D1C25"/>
    <w:rsid w:val="19AB6591"/>
    <w:rsid w:val="1A1C36DF"/>
    <w:rsid w:val="1A9A2283"/>
    <w:rsid w:val="1AD61526"/>
    <w:rsid w:val="1AFC4DEA"/>
    <w:rsid w:val="1B087B35"/>
    <w:rsid w:val="1B2F01E1"/>
    <w:rsid w:val="1B3F337A"/>
    <w:rsid w:val="1B6A2DB4"/>
    <w:rsid w:val="1B722C0B"/>
    <w:rsid w:val="1BBC6A82"/>
    <w:rsid w:val="1C0B1977"/>
    <w:rsid w:val="1C1D316C"/>
    <w:rsid w:val="1C212560"/>
    <w:rsid w:val="1C4167FE"/>
    <w:rsid w:val="1C450B6F"/>
    <w:rsid w:val="1C655526"/>
    <w:rsid w:val="1C8F719B"/>
    <w:rsid w:val="1C9C6B87"/>
    <w:rsid w:val="1CD34B4B"/>
    <w:rsid w:val="1D08290E"/>
    <w:rsid w:val="1D131619"/>
    <w:rsid w:val="1DB656E7"/>
    <w:rsid w:val="1E0C04D4"/>
    <w:rsid w:val="1E4E3AB1"/>
    <w:rsid w:val="1E9B6D1C"/>
    <w:rsid w:val="1ECC4B2D"/>
    <w:rsid w:val="1EF74148"/>
    <w:rsid w:val="1F681D3C"/>
    <w:rsid w:val="2014250D"/>
    <w:rsid w:val="206B5AEB"/>
    <w:rsid w:val="207672EF"/>
    <w:rsid w:val="207E43F5"/>
    <w:rsid w:val="20B71248"/>
    <w:rsid w:val="20DD497B"/>
    <w:rsid w:val="20EB224A"/>
    <w:rsid w:val="2207140A"/>
    <w:rsid w:val="221510B6"/>
    <w:rsid w:val="222B119F"/>
    <w:rsid w:val="22515DAB"/>
    <w:rsid w:val="227276DB"/>
    <w:rsid w:val="23784BD7"/>
    <w:rsid w:val="2398495C"/>
    <w:rsid w:val="23EB217F"/>
    <w:rsid w:val="24245E59"/>
    <w:rsid w:val="244C0080"/>
    <w:rsid w:val="244F309C"/>
    <w:rsid w:val="24557904"/>
    <w:rsid w:val="249F5DFF"/>
    <w:rsid w:val="24B01A1B"/>
    <w:rsid w:val="24DE55BE"/>
    <w:rsid w:val="24EE3384"/>
    <w:rsid w:val="24F2721E"/>
    <w:rsid w:val="25C0353F"/>
    <w:rsid w:val="25CE21BC"/>
    <w:rsid w:val="26263C63"/>
    <w:rsid w:val="263007F8"/>
    <w:rsid w:val="268A56DA"/>
    <w:rsid w:val="268E1D8D"/>
    <w:rsid w:val="26CD3B79"/>
    <w:rsid w:val="26D63083"/>
    <w:rsid w:val="277D1EFE"/>
    <w:rsid w:val="28100407"/>
    <w:rsid w:val="281D5F75"/>
    <w:rsid w:val="283C2863"/>
    <w:rsid w:val="285854EB"/>
    <w:rsid w:val="28962F2B"/>
    <w:rsid w:val="28C95CEB"/>
    <w:rsid w:val="290E256A"/>
    <w:rsid w:val="29576CDD"/>
    <w:rsid w:val="29C8074C"/>
    <w:rsid w:val="29DC213F"/>
    <w:rsid w:val="29E77A08"/>
    <w:rsid w:val="29FD638B"/>
    <w:rsid w:val="2A2415D2"/>
    <w:rsid w:val="2A481D04"/>
    <w:rsid w:val="2AF97D5F"/>
    <w:rsid w:val="2B44217A"/>
    <w:rsid w:val="2B7D7B5A"/>
    <w:rsid w:val="2B8625C1"/>
    <w:rsid w:val="2BD8028B"/>
    <w:rsid w:val="2C6205F5"/>
    <w:rsid w:val="2C8275D4"/>
    <w:rsid w:val="2CB903D6"/>
    <w:rsid w:val="2CBD620E"/>
    <w:rsid w:val="2CC542E3"/>
    <w:rsid w:val="2CD7455A"/>
    <w:rsid w:val="2CFB659B"/>
    <w:rsid w:val="2D2B2496"/>
    <w:rsid w:val="2D4A7C2F"/>
    <w:rsid w:val="2DC65C56"/>
    <w:rsid w:val="2DDB69E3"/>
    <w:rsid w:val="2E2F1599"/>
    <w:rsid w:val="2E855F9D"/>
    <w:rsid w:val="2F5325E1"/>
    <w:rsid w:val="2F7970F6"/>
    <w:rsid w:val="2F8A5FD9"/>
    <w:rsid w:val="2FDD62F3"/>
    <w:rsid w:val="2FF10732"/>
    <w:rsid w:val="2FF52F04"/>
    <w:rsid w:val="301D5BB1"/>
    <w:rsid w:val="308800EC"/>
    <w:rsid w:val="30A73D85"/>
    <w:rsid w:val="30E67831"/>
    <w:rsid w:val="314B6EC3"/>
    <w:rsid w:val="315026E8"/>
    <w:rsid w:val="31645E6A"/>
    <w:rsid w:val="317A046C"/>
    <w:rsid w:val="31A21C32"/>
    <w:rsid w:val="31A81B00"/>
    <w:rsid w:val="31F5213C"/>
    <w:rsid w:val="31F6678D"/>
    <w:rsid w:val="3217441C"/>
    <w:rsid w:val="321B422A"/>
    <w:rsid w:val="322F5D21"/>
    <w:rsid w:val="3256704E"/>
    <w:rsid w:val="32655D76"/>
    <w:rsid w:val="32774284"/>
    <w:rsid w:val="32F95B4A"/>
    <w:rsid w:val="331672D4"/>
    <w:rsid w:val="331D37C4"/>
    <w:rsid w:val="33625DC1"/>
    <w:rsid w:val="338C02A6"/>
    <w:rsid w:val="33D737BD"/>
    <w:rsid w:val="33F26791"/>
    <w:rsid w:val="341E0396"/>
    <w:rsid w:val="341F0CA5"/>
    <w:rsid w:val="343E6674"/>
    <w:rsid w:val="34695F93"/>
    <w:rsid w:val="34A8568F"/>
    <w:rsid w:val="35026356"/>
    <w:rsid w:val="351817A8"/>
    <w:rsid w:val="356A09C0"/>
    <w:rsid w:val="35A045F4"/>
    <w:rsid w:val="35B8673F"/>
    <w:rsid w:val="35DA01D1"/>
    <w:rsid w:val="360F4FBD"/>
    <w:rsid w:val="36310A6C"/>
    <w:rsid w:val="36474140"/>
    <w:rsid w:val="36502BB9"/>
    <w:rsid w:val="36631F1B"/>
    <w:rsid w:val="36682B61"/>
    <w:rsid w:val="36926D09"/>
    <w:rsid w:val="37310CAB"/>
    <w:rsid w:val="37CF28FA"/>
    <w:rsid w:val="37E5312F"/>
    <w:rsid w:val="386366DD"/>
    <w:rsid w:val="388C7306"/>
    <w:rsid w:val="389F7705"/>
    <w:rsid w:val="38A95992"/>
    <w:rsid w:val="38D7249F"/>
    <w:rsid w:val="38FA5A94"/>
    <w:rsid w:val="39621CD3"/>
    <w:rsid w:val="398A0385"/>
    <w:rsid w:val="39A226E6"/>
    <w:rsid w:val="39A50E17"/>
    <w:rsid w:val="39C80763"/>
    <w:rsid w:val="3A5E7CCF"/>
    <w:rsid w:val="3AAD27FE"/>
    <w:rsid w:val="3B070984"/>
    <w:rsid w:val="3B0F0E51"/>
    <w:rsid w:val="3BAB02CC"/>
    <w:rsid w:val="3C720E5A"/>
    <w:rsid w:val="3CE44C8B"/>
    <w:rsid w:val="3D033860"/>
    <w:rsid w:val="3D051F23"/>
    <w:rsid w:val="3D16693B"/>
    <w:rsid w:val="3D170114"/>
    <w:rsid w:val="3D935448"/>
    <w:rsid w:val="3DAC7FB7"/>
    <w:rsid w:val="3DB077C7"/>
    <w:rsid w:val="3DB82EC7"/>
    <w:rsid w:val="3DC5425E"/>
    <w:rsid w:val="3DC90591"/>
    <w:rsid w:val="3E5067CB"/>
    <w:rsid w:val="3F6473F0"/>
    <w:rsid w:val="3F672618"/>
    <w:rsid w:val="3F783040"/>
    <w:rsid w:val="3F8A0269"/>
    <w:rsid w:val="40057DB3"/>
    <w:rsid w:val="401119BA"/>
    <w:rsid w:val="40BF224E"/>
    <w:rsid w:val="40C20882"/>
    <w:rsid w:val="40D81EC7"/>
    <w:rsid w:val="411504D9"/>
    <w:rsid w:val="412060B3"/>
    <w:rsid w:val="415E1484"/>
    <w:rsid w:val="4169370D"/>
    <w:rsid w:val="41801B86"/>
    <w:rsid w:val="418071F1"/>
    <w:rsid w:val="419D439C"/>
    <w:rsid w:val="41F84884"/>
    <w:rsid w:val="41F979A4"/>
    <w:rsid w:val="42256E54"/>
    <w:rsid w:val="427D651B"/>
    <w:rsid w:val="43006FB7"/>
    <w:rsid w:val="432C52FF"/>
    <w:rsid w:val="43BF63E1"/>
    <w:rsid w:val="445F7E00"/>
    <w:rsid w:val="45763AA5"/>
    <w:rsid w:val="45B43FF3"/>
    <w:rsid w:val="4646143B"/>
    <w:rsid w:val="46532611"/>
    <w:rsid w:val="4693055E"/>
    <w:rsid w:val="46E16D40"/>
    <w:rsid w:val="47226353"/>
    <w:rsid w:val="47940185"/>
    <w:rsid w:val="47AB0DD2"/>
    <w:rsid w:val="47B06B51"/>
    <w:rsid w:val="48100338"/>
    <w:rsid w:val="48870585"/>
    <w:rsid w:val="48A658B9"/>
    <w:rsid w:val="48AD78CA"/>
    <w:rsid w:val="48D10797"/>
    <w:rsid w:val="497415AE"/>
    <w:rsid w:val="497B67D4"/>
    <w:rsid w:val="498D7FD0"/>
    <w:rsid w:val="4A072690"/>
    <w:rsid w:val="4A1540B6"/>
    <w:rsid w:val="4A1D5D99"/>
    <w:rsid w:val="4A37717F"/>
    <w:rsid w:val="4A52001F"/>
    <w:rsid w:val="4A58168F"/>
    <w:rsid w:val="4ACE1952"/>
    <w:rsid w:val="4AEE6BEC"/>
    <w:rsid w:val="4AF94715"/>
    <w:rsid w:val="4B8942A1"/>
    <w:rsid w:val="4C5E7618"/>
    <w:rsid w:val="4C6A2FD6"/>
    <w:rsid w:val="4C77613B"/>
    <w:rsid w:val="4CC12695"/>
    <w:rsid w:val="4CE15954"/>
    <w:rsid w:val="4CE511D4"/>
    <w:rsid w:val="4D320C6C"/>
    <w:rsid w:val="4D377A94"/>
    <w:rsid w:val="4D4A7A52"/>
    <w:rsid w:val="4D573BA0"/>
    <w:rsid w:val="4D6C6E1A"/>
    <w:rsid w:val="4DB7319F"/>
    <w:rsid w:val="4DE81820"/>
    <w:rsid w:val="4DF3059C"/>
    <w:rsid w:val="4E394753"/>
    <w:rsid w:val="4EAD22E2"/>
    <w:rsid w:val="4EC9444B"/>
    <w:rsid w:val="4ED96B17"/>
    <w:rsid w:val="4F0E3FA1"/>
    <w:rsid w:val="4F334865"/>
    <w:rsid w:val="4F822698"/>
    <w:rsid w:val="4FC47E89"/>
    <w:rsid w:val="5026794E"/>
    <w:rsid w:val="504514CC"/>
    <w:rsid w:val="5134005F"/>
    <w:rsid w:val="51386CA9"/>
    <w:rsid w:val="51482821"/>
    <w:rsid w:val="518C66F3"/>
    <w:rsid w:val="52310016"/>
    <w:rsid w:val="5297783E"/>
    <w:rsid w:val="52D77380"/>
    <w:rsid w:val="53481875"/>
    <w:rsid w:val="53980443"/>
    <w:rsid w:val="53D3457D"/>
    <w:rsid w:val="54B818C1"/>
    <w:rsid w:val="54D2170C"/>
    <w:rsid w:val="54D46D55"/>
    <w:rsid w:val="551E343B"/>
    <w:rsid w:val="55913B08"/>
    <w:rsid w:val="559C3AF6"/>
    <w:rsid w:val="559F285A"/>
    <w:rsid w:val="563451A6"/>
    <w:rsid w:val="565203AE"/>
    <w:rsid w:val="57014562"/>
    <w:rsid w:val="57A1478D"/>
    <w:rsid w:val="58A02FE6"/>
    <w:rsid w:val="58D7388B"/>
    <w:rsid w:val="593A5B4B"/>
    <w:rsid w:val="59D614D4"/>
    <w:rsid w:val="59F82A19"/>
    <w:rsid w:val="5A0A37F2"/>
    <w:rsid w:val="5A5E2593"/>
    <w:rsid w:val="5A713D28"/>
    <w:rsid w:val="5A756B16"/>
    <w:rsid w:val="5AE96F8D"/>
    <w:rsid w:val="5AFD19EF"/>
    <w:rsid w:val="5B2205E5"/>
    <w:rsid w:val="5B343E38"/>
    <w:rsid w:val="5B6631FB"/>
    <w:rsid w:val="5BB1677D"/>
    <w:rsid w:val="5CD43EAD"/>
    <w:rsid w:val="5D067A9A"/>
    <w:rsid w:val="5D7B185D"/>
    <w:rsid w:val="5E4F0B08"/>
    <w:rsid w:val="5E547D73"/>
    <w:rsid w:val="5E643DBE"/>
    <w:rsid w:val="5EC24600"/>
    <w:rsid w:val="5EE248CD"/>
    <w:rsid w:val="5F4C11F6"/>
    <w:rsid w:val="60C74A21"/>
    <w:rsid w:val="610E795F"/>
    <w:rsid w:val="61186D2E"/>
    <w:rsid w:val="6131461B"/>
    <w:rsid w:val="61632868"/>
    <w:rsid w:val="61D73263"/>
    <w:rsid w:val="62014148"/>
    <w:rsid w:val="62452266"/>
    <w:rsid w:val="62534EC1"/>
    <w:rsid w:val="629E0E70"/>
    <w:rsid w:val="62AC72BC"/>
    <w:rsid w:val="62EA2B3E"/>
    <w:rsid w:val="638131B3"/>
    <w:rsid w:val="638958AB"/>
    <w:rsid w:val="64CE0E72"/>
    <w:rsid w:val="65500803"/>
    <w:rsid w:val="65D64311"/>
    <w:rsid w:val="65F578B2"/>
    <w:rsid w:val="661B1637"/>
    <w:rsid w:val="665B2DD2"/>
    <w:rsid w:val="66AF141C"/>
    <w:rsid w:val="66B40486"/>
    <w:rsid w:val="66B77630"/>
    <w:rsid w:val="677D4C69"/>
    <w:rsid w:val="67DE084C"/>
    <w:rsid w:val="68147EFE"/>
    <w:rsid w:val="683604AC"/>
    <w:rsid w:val="68474479"/>
    <w:rsid w:val="68592FC2"/>
    <w:rsid w:val="68B37420"/>
    <w:rsid w:val="68C403AF"/>
    <w:rsid w:val="68CA6B0B"/>
    <w:rsid w:val="691D589D"/>
    <w:rsid w:val="696A4778"/>
    <w:rsid w:val="6A0132A0"/>
    <w:rsid w:val="6A343B4A"/>
    <w:rsid w:val="6A34557A"/>
    <w:rsid w:val="6A5255CC"/>
    <w:rsid w:val="6A7B70A2"/>
    <w:rsid w:val="6A845731"/>
    <w:rsid w:val="6AC2798D"/>
    <w:rsid w:val="6AC52D37"/>
    <w:rsid w:val="6B075C80"/>
    <w:rsid w:val="6B47684D"/>
    <w:rsid w:val="6B637E29"/>
    <w:rsid w:val="6B6C3F2F"/>
    <w:rsid w:val="6BAE2979"/>
    <w:rsid w:val="6BCA484B"/>
    <w:rsid w:val="6BCE446B"/>
    <w:rsid w:val="6BEF21FC"/>
    <w:rsid w:val="6BFF44A6"/>
    <w:rsid w:val="6CB31C4B"/>
    <w:rsid w:val="6D5D632B"/>
    <w:rsid w:val="6D860134"/>
    <w:rsid w:val="6DED558C"/>
    <w:rsid w:val="6DF37AB2"/>
    <w:rsid w:val="6E0B0DAC"/>
    <w:rsid w:val="6E6261DA"/>
    <w:rsid w:val="6E8C48B6"/>
    <w:rsid w:val="6E99547E"/>
    <w:rsid w:val="6EA9595D"/>
    <w:rsid w:val="6EB9127F"/>
    <w:rsid w:val="6ED30759"/>
    <w:rsid w:val="6F3B1A04"/>
    <w:rsid w:val="6F3B64CA"/>
    <w:rsid w:val="6F5642A6"/>
    <w:rsid w:val="6F863D5C"/>
    <w:rsid w:val="6F9F429D"/>
    <w:rsid w:val="700E2358"/>
    <w:rsid w:val="707B2195"/>
    <w:rsid w:val="70B969AA"/>
    <w:rsid w:val="70D473EF"/>
    <w:rsid w:val="70E20B52"/>
    <w:rsid w:val="70E21340"/>
    <w:rsid w:val="71244FF8"/>
    <w:rsid w:val="71334509"/>
    <w:rsid w:val="71384785"/>
    <w:rsid w:val="71A73602"/>
    <w:rsid w:val="72180189"/>
    <w:rsid w:val="725D3437"/>
    <w:rsid w:val="72E72DBF"/>
    <w:rsid w:val="73045661"/>
    <w:rsid w:val="73103EFE"/>
    <w:rsid w:val="736A25F9"/>
    <w:rsid w:val="737162B4"/>
    <w:rsid w:val="73CE6F52"/>
    <w:rsid w:val="74242EB5"/>
    <w:rsid w:val="742848FC"/>
    <w:rsid w:val="743A6CAB"/>
    <w:rsid w:val="746A3BEA"/>
    <w:rsid w:val="74A07EDD"/>
    <w:rsid w:val="74AF28B0"/>
    <w:rsid w:val="74E04BCB"/>
    <w:rsid w:val="75375714"/>
    <w:rsid w:val="75D91072"/>
    <w:rsid w:val="761B6FA6"/>
    <w:rsid w:val="76694D07"/>
    <w:rsid w:val="768A5A66"/>
    <w:rsid w:val="777500A8"/>
    <w:rsid w:val="77A55881"/>
    <w:rsid w:val="77BC26C8"/>
    <w:rsid w:val="78151718"/>
    <w:rsid w:val="78217ED1"/>
    <w:rsid w:val="786A355D"/>
    <w:rsid w:val="78A17874"/>
    <w:rsid w:val="78C5081C"/>
    <w:rsid w:val="78CB2924"/>
    <w:rsid w:val="79017226"/>
    <w:rsid w:val="797D5C14"/>
    <w:rsid w:val="79C10A6C"/>
    <w:rsid w:val="7A646E85"/>
    <w:rsid w:val="7B167203"/>
    <w:rsid w:val="7B252618"/>
    <w:rsid w:val="7BBE3046"/>
    <w:rsid w:val="7BE17B03"/>
    <w:rsid w:val="7C2133CA"/>
    <w:rsid w:val="7D2C13AC"/>
    <w:rsid w:val="7D343BA3"/>
    <w:rsid w:val="7D4111AB"/>
    <w:rsid w:val="7DCB37F2"/>
    <w:rsid w:val="7DF548DB"/>
    <w:rsid w:val="7DF64A6F"/>
    <w:rsid w:val="7E546779"/>
    <w:rsid w:val="7E822F45"/>
    <w:rsid w:val="7EBC419D"/>
    <w:rsid w:val="7EDC4A7F"/>
    <w:rsid w:val="7FD27863"/>
    <w:rsid w:val="7FDA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6" w:lineRule="auto"/>
      <w:outlineLvl w:val="0"/>
    </w:pPr>
    <w:rPr>
      <w:b/>
      <w:kern w:val="44"/>
      <w:sz w:val="32"/>
      <w:szCs w:val="20"/>
    </w:rPr>
  </w:style>
  <w:style w:type="paragraph" w:styleId="4">
    <w:name w:val="heading 2"/>
    <w:basedOn w:val="1"/>
    <w:next w:val="1"/>
    <w:link w:val="47"/>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6"/>
    <w:link w:val="45"/>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qFormat/>
    <w:uiPriority w:val="0"/>
    <w:pPr>
      <w:keepNext/>
      <w:keepLines/>
      <w:spacing w:before="280" w:after="290" w:line="372" w:lineRule="auto"/>
      <w:outlineLvl w:val="4"/>
    </w:pPr>
    <w:rPr>
      <w:b/>
      <w:sz w:val="28"/>
    </w:rPr>
  </w:style>
  <w:style w:type="paragraph" w:styleId="9">
    <w:name w:val="heading 6"/>
    <w:basedOn w:val="1"/>
    <w:next w:val="6"/>
    <w:qFormat/>
    <w:uiPriority w:val="0"/>
    <w:pPr>
      <w:keepNext/>
      <w:keepLines/>
      <w:spacing w:before="240" w:after="64" w:line="316" w:lineRule="auto"/>
      <w:outlineLvl w:val="5"/>
    </w:pPr>
    <w:rPr>
      <w:rFonts w:ascii="Arial" w:hAnsi="Arial" w:eastAsia="黑体"/>
      <w:b/>
      <w:sz w:val="24"/>
    </w:rPr>
  </w:style>
  <w:style w:type="paragraph" w:styleId="10">
    <w:name w:val="heading 7"/>
    <w:basedOn w:val="1"/>
    <w:next w:val="6"/>
    <w:qFormat/>
    <w:uiPriority w:val="0"/>
    <w:pPr>
      <w:keepNext/>
      <w:keepLines/>
      <w:spacing w:before="240" w:after="64" w:line="316" w:lineRule="auto"/>
      <w:outlineLvl w:val="6"/>
    </w:pPr>
    <w:rPr>
      <w:b/>
      <w:sz w:val="24"/>
    </w:rPr>
  </w:style>
  <w:style w:type="paragraph" w:styleId="11">
    <w:name w:val="heading 8"/>
    <w:basedOn w:val="1"/>
    <w:next w:val="6"/>
    <w:qFormat/>
    <w:uiPriority w:val="0"/>
    <w:pPr>
      <w:keepNext/>
      <w:keepLines/>
      <w:spacing w:before="240" w:after="64" w:line="316" w:lineRule="auto"/>
      <w:outlineLvl w:val="7"/>
    </w:pPr>
    <w:rPr>
      <w:rFonts w:ascii="Arial" w:hAnsi="Arial" w:eastAsia="黑体"/>
      <w:sz w:val="24"/>
    </w:rPr>
  </w:style>
  <w:style w:type="paragraph" w:styleId="12">
    <w:name w:val="heading 9"/>
    <w:basedOn w:val="1"/>
    <w:next w:val="6"/>
    <w:qFormat/>
    <w:uiPriority w:val="0"/>
    <w:pPr>
      <w:keepNext/>
      <w:keepLines/>
      <w:spacing w:before="240" w:after="64" w:line="316"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6">
    <w:name w:val="Normal Indent"/>
    <w:basedOn w:val="1"/>
    <w:next w:val="1"/>
    <w:link w:val="52"/>
    <w:qFormat/>
    <w:uiPriority w:val="0"/>
    <w:pPr>
      <w:ind w:firstLine="420"/>
    </w:pPr>
    <w:rPr>
      <w:szCs w:val="20"/>
    </w:rPr>
  </w:style>
  <w:style w:type="paragraph" w:styleId="13">
    <w:name w:val="annotation text"/>
    <w:basedOn w:val="1"/>
    <w:link w:val="75"/>
    <w:qFormat/>
    <w:uiPriority w:val="0"/>
    <w:pPr>
      <w:jc w:val="left"/>
    </w:pPr>
  </w:style>
  <w:style w:type="paragraph" w:styleId="14">
    <w:name w:val="Body Text"/>
    <w:basedOn w:val="1"/>
    <w:next w:val="1"/>
    <w:link w:val="57"/>
    <w:qFormat/>
    <w:uiPriority w:val="0"/>
    <w:pPr>
      <w:spacing w:after="120"/>
    </w:pPr>
  </w:style>
  <w:style w:type="paragraph" w:styleId="15">
    <w:name w:val="Body Text Indent"/>
    <w:basedOn w:val="1"/>
    <w:link w:val="46"/>
    <w:qFormat/>
    <w:uiPriority w:val="0"/>
    <w:pPr>
      <w:ind w:firstLine="630"/>
    </w:pPr>
    <w:rPr>
      <w:sz w:val="32"/>
      <w:szCs w:val="20"/>
    </w:rPr>
  </w:style>
  <w:style w:type="paragraph" w:styleId="16">
    <w:name w:val="Block Text"/>
    <w:basedOn w:val="1"/>
    <w:qFormat/>
    <w:uiPriority w:val="0"/>
    <w:pPr>
      <w:ind w:left="-188" w:leftChars="-188" w:right="-368" w:rightChars="-368" w:firstLine="560" w:firstLineChars="200"/>
    </w:pPr>
    <w:rPr>
      <w:rFonts w:ascii="Calibri" w:hAnsi="Calibri"/>
      <w:sz w:val="28"/>
    </w:rPr>
  </w:style>
  <w:style w:type="paragraph" w:styleId="17">
    <w:name w:val="toc 3"/>
    <w:basedOn w:val="1"/>
    <w:next w:val="1"/>
    <w:qFormat/>
    <w:uiPriority w:val="39"/>
    <w:pPr>
      <w:ind w:left="840" w:leftChars="400"/>
    </w:pPr>
  </w:style>
  <w:style w:type="paragraph" w:styleId="18">
    <w:name w:val="Plain Text"/>
    <w:basedOn w:val="1"/>
    <w:link w:val="44"/>
    <w:qFormat/>
    <w:uiPriority w:val="0"/>
    <w:rPr>
      <w:rFonts w:ascii="宋体" w:hAnsi="Courier New" w:cs="Courier New"/>
      <w:szCs w:val="21"/>
    </w:rPr>
  </w:style>
  <w:style w:type="paragraph" w:styleId="19">
    <w:name w:val="Date"/>
    <w:basedOn w:val="1"/>
    <w:next w:val="1"/>
    <w:qFormat/>
    <w:uiPriority w:val="0"/>
    <w:pPr>
      <w:ind w:left="100" w:leftChars="2500"/>
    </w:pPr>
  </w:style>
  <w:style w:type="paragraph" w:styleId="20">
    <w:name w:val="Body Text Indent 2"/>
    <w:basedOn w:val="1"/>
    <w:link w:val="49"/>
    <w:qFormat/>
    <w:uiPriority w:val="0"/>
    <w:pPr>
      <w:ind w:firstLine="630"/>
    </w:pPr>
    <w:rPr>
      <w:sz w:val="32"/>
      <w:szCs w:val="20"/>
    </w:rPr>
  </w:style>
  <w:style w:type="paragraph" w:styleId="21">
    <w:name w:val="Balloon Text"/>
    <w:basedOn w:val="1"/>
    <w:link w:val="74"/>
    <w:qFormat/>
    <w:uiPriority w:val="0"/>
    <w:rPr>
      <w:sz w:val="18"/>
      <w:szCs w:val="18"/>
    </w:rPr>
  </w:style>
  <w:style w:type="paragraph" w:styleId="22">
    <w:name w:val="footer"/>
    <w:basedOn w:val="1"/>
    <w:link w:val="53"/>
    <w:qFormat/>
    <w:uiPriority w:val="0"/>
    <w:pPr>
      <w:tabs>
        <w:tab w:val="center" w:pos="4153"/>
        <w:tab w:val="right" w:pos="8306"/>
      </w:tabs>
      <w:snapToGrid w:val="0"/>
      <w:jc w:val="left"/>
    </w:pPr>
    <w:rPr>
      <w:sz w:val="18"/>
      <w:szCs w:val="20"/>
    </w:rPr>
  </w:style>
  <w:style w:type="paragraph" w:styleId="23">
    <w:name w:val="header"/>
    <w:basedOn w:val="1"/>
    <w:link w:val="48"/>
    <w:qFormat/>
    <w:uiPriority w:val="0"/>
    <w:pPr>
      <w:pBdr>
        <w:bottom w:val="single" w:color="auto" w:sz="6" w:space="1"/>
      </w:pBdr>
      <w:tabs>
        <w:tab w:val="center" w:pos="4153"/>
        <w:tab w:val="right" w:pos="8306"/>
      </w:tabs>
      <w:snapToGrid w:val="0"/>
      <w:jc w:val="center"/>
    </w:pPr>
    <w:rPr>
      <w:sz w:val="18"/>
      <w:szCs w:val="20"/>
    </w:rPr>
  </w:style>
  <w:style w:type="paragraph" w:styleId="24">
    <w:name w:val="toc 4"/>
    <w:basedOn w:val="1"/>
    <w:next w:val="1"/>
    <w:qFormat/>
    <w:uiPriority w:val="0"/>
    <w:pPr>
      <w:ind w:left="630"/>
      <w:jc w:val="left"/>
    </w:pPr>
    <w:rPr>
      <w:sz w:val="18"/>
      <w:szCs w:val="18"/>
    </w:rPr>
  </w:style>
  <w:style w:type="paragraph" w:styleId="25">
    <w:name w:val="Body Text Indent 3"/>
    <w:basedOn w:val="1"/>
    <w:link w:val="56"/>
    <w:qFormat/>
    <w:uiPriority w:val="0"/>
    <w:pPr>
      <w:adjustRightInd w:val="0"/>
      <w:snapToGrid w:val="0"/>
      <w:spacing w:line="360" w:lineRule="auto"/>
      <w:ind w:firstLine="600" w:firstLineChars="200"/>
    </w:pPr>
    <w:rPr>
      <w:rFonts w:ascii="黑体" w:eastAsia="黑体"/>
      <w:sz w:val="30"/>
      <w:szCs w:val="28"/>
    </w:rPr>
  </w:style>
  <w:style w:type="paragraph" w:styleId="26">
    <w:name w:val="toc 2"/>
    <w:basedOn w:val="1"/>
    <w:next w:val="1"/>
    <w:qFormat/>
    <w:uiPriority w:val="39"/>
    <w:pPr>
      <w:ind w:left="420" w:leftChars="2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8">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9">
    <w:name w:val="annotation subject"/>
    <w:basedOn w:val="13"/>
    <w:next w:val="13"/>
    <w:link w:val="76"/>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qFormat/>
    <w:uiPriority w:val="0"/>
    <w:rPr>
      <w:color w:val="333333"/>
      <w:u w:val="none"/>
    </w:rPr>
  </w:style>
  <w:style w:type="character" w:styleId="36">
    <w:name w:val="Emphasis"/>
    <w:basedOn w:val="32"/>
    <w:qFormat/>
    <w:uiPriority w:val="0"/>
  </w:style>
  <w:style w:type="character" w:styleId="37">
    <w:name w:val="HTML Definition"/>
    <w:basedOn w:val="32"/>
    <w:qFormat/>
    <w:uiPriority w:val="0"/>
    <w:rPr>
      <w:i/>
      <w:iCs/>
    </w:rPr>
  </w:style>
  <w:style w:type="character" w:styleId="38">
    <w:name w:val="Hyperlink"/>
    <w:basedOn w:val="32"/>
    <w:qFormat/>
    <w:uiPriority w:val="99"/>
    <w:rPr>
      <w:color w:val="136EC2"/>
      <w:u w:val="single"/>
    </w:rPr>
  </w:style>
  <w:style w:type="character" w:styleId="39">
    <w:name w:val="HTML Code"/>
    <w:basedOn w:val="32"/>
    <w:qFormat/>
    <w:uiPriority w:val="0"/>
    <w:rPr>
      <w:rFonts w:hint="default" w:ascii="Consolas" w:hAnsi="Consolas" w:eastAsia="Consolas" w:cs="Consolas"/>
      <w:color w:val="C7254E"/>
      <w:sz w:val="21"/>
      <w:szCs w:val="21"/>
      <w:shd w:val="clear" w:fill="F9F2F4"/>
    </w:rPr>
  </w:style>
  <w:style w:type="character" w:styleId="40">
    <w:name w:val="annotation reference"/>
    <w:basedOn w:val="32"/>
    <w:qFormat/>
    <w:uiPriority w:val="0"/>
    <w:rPr>
      <w:sz w:val="21"/>
      <w:szCs w:val="21"/>
    </w:rPr>
  </w:style>
  <w:style w:type="character" w:styleId="41">
    <w:name w:val="HTML Keyboard"/>
    <w:qFormat/>
    <w:uiPriority w:val="0"/>
    <w:rPr>
      <w:rFonts w:hint="default" w:ascii="Consolas" w:hAnsi="Consolas" w:eastAsia="Consolas" w:cs="Consolas"/>
      <w:color w:val="FFFFFF"/>
      <w:sz w:val="21"/>
      <w:szCs w:val="21"/>
      <w:shd w:val="clear" w:color="auto" w:fill="333333"/>
    </w:rPr>
  </w:style>
  <w:style w:type="character" w:styleId="42">
    <w:name w:val="HTML Sample"/>
    <w:basedOn w:val="32"/>
    <w:qFormat/>
    <w:uiPriority w:val="0"/>
    <w:rPr>
      <w:rFonts w:hint="default" w:ascii="Consolas" w:hAnsi="Consolas" w:eastAsia="Consolas" w:cs="Consolas"/>
      <w:sz w:val="21"/>
      <w:szCs w:val="21"/>
    </w:rPr>
  </w:style>
  <w:style w:type="paragraph" w:customStyle="1" w:styleId="4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4">
    <w:name w:val="纯文本 Char"/>
    <w:link w:val="18"/>
    <w:qFormat/>
    <w:locked/>
    <w:uiPriority w:val="0"/>
    <w:rPr>
      <w:rFonts w:ascii="宋体" w:hAnsi="Courier New" w:eastAsia="宋体" w:cs="Courier New"/>
      <w:kern w:val="2"/>
      <w:sz w:val="21"/>
      <w:szCs w:val="21"/>
      <w:lang w:val="en-US" w:eastAsia="zh-CN" w:bidi="ar-SA"/>
    </w:rPr>
  </w:style>
  <w:style w:type="character" w:customStyle="1" w:styleId="45">
    <w:name w:val="标题 3 Char"/>
    <w:link w:val="5"/>
    <w:qFormat/>
    <w:uiPriority w:val="0"/>
    <w:rPr>
      <w:b/>
      <w:kern w:val="2"/>
      <w:sz w:val="32"/>
    </w:rPr>
  </w:style>
  <w:style w:type="character" w:customStyle="1" w:styleId="46">
    <w:name w:val="正文文本缩进 Char"/>
    <w:link w:val="15"/>
    <w:qFormat/>
    <w:uiPriority w:val="0"/>
    <w:rPr>
      <w:kern w:val="2"/>
      <w:sz w:val="32"/>
    </w:rPr>
  </w:style>
  <w:style w:type="character" w:customStyle="1" w:styleId="47">
    <w:name w:val="标题 2 Char"/>
    <w:link w:val="4"/>
    <w:qFormat/>
    <w:uiPriority w:val="0"/>
    <w:rPr>
      <w:rFonts w:ascii="Arial" w:hAnsi="Arial" w:eastAsia="黑体"/>
      <w:b/>
      <w:kern w:val="2"/>
      <w:sz w:val="28"/>
    </w:rPr>
  </w:style>
  <w:style w:type="character" w:customStyle="1" w:styleId="48">
    <w:name w:val="页眉 Char"/>
    <w:link w:val="23"/>
    <w:qFormat/>
    <w:uiPriority w:val="0"/>
    <w:rPr>
      <w:rFonts w:eastAsia="宋体"/>
      <w:kern w:val="2"/>
      <w:sz w:val="18"/>
      <w:lang w:val="en-US" w:eastAsia="zh-CN" w:bidi="ar-SA"/>
    </w:rPr>
  </w:style>
  <w:style w:type="character" w:customStyle="1" w:styleId="49">
    <w:name w:val="正文文本缩进 2 Char"/>
    <w:link w:val="20"/>
    <w:qFormat/>
    <w:uiPriority w:val="0"/>
    <w:rPr>
      <w:kern w:val="2"/>
      <w:sz w:val="32"/>
    </w:rPr>
  </w:style>
  <w:style w:type="character" w:customStyle="1" w:styleId="50">
    <w:name w:val="普通文字1 Char"/>
    <w:qFormat/>
    <w:uiPriority w:val="0"/>
    <w:rPr>
      <w:rFonts w:ascii="宋体" w:hAnsi="Courier New" w:eastAsia="宋体"/>
      <w:kern w:val="2"/>
      <w:sz w:val="21"/>
      <w:lang w:val="en-US" w:eastAsia="zh-CN" w:bidi="ar-SA"/>
    </w:rPr>
  </w:style>
  <w:style w:type="character" w:customStyle="1" w:styleId="51">
    <w:name w:val="bds_nopic2"/>
    <w:qFormat/>
    <w:uiPriority w:val="0"/>
    <w:rPr>
      <w:rFonts w:ascii="Times New Roman" w:hAnsi="Times New Roman" w:eastAsia="宋体"/>
    </w:rPr>
  </w:style>
  <w:style w:type="character" w:customStyle="1" w:styleId="52">
    <w:name w:val="正文缩进 Char"/>
    <w:link w:val="6"/>
    <w:qFormat/>
    <w:uiPriority w:val="0"/>
    <w:rPr>
      <w:rFonts w:eastAsia="宋体"/>
      <w:kern w:val="2"/>
      <w:sz w:val="21"/>
      <w:lang w:val="en-US" w:eastAsia="zh-CN" w:bidi="ar-SA"/>
    </w:rPr>
  </w:style>
  <w:style w:type="character" w:customStyle="1" w:styleId="53">
    <w:name w:val="页脚 Char"/>
    <w:link w:val="22"/>
    <w:qFormat/>
    <w:uiPriority w:val="0"/>
    <w:rPr>
      <w:rFonts w:eastAsia="宋体"/>
      <w:kern w:val="2"/>
      <w:sz w:val="18"/>
      <w:lang w:val="en-US" w:eastAsia="zh-CN" w:bidi="ar-SA"/>
    </w:rPr>
  </w:style>
  <w:style w:type="character" w:customStyle="1" w:styleId="54">
    <w:name w:val="p0 Char"/>
    <w:link w:val="55"/>
    <w:qFormat/>
    <w:uiPriority w:val="0"/>
    <w:rPr>
      <w:rFonts w:eastAsia="宋体"/>
      <w:sz w:val="21"/>
      <w:szCs w:val="21"/>
      <w:lang w:val="en-US" w:eastAsia="zh-CN" w:bidi="ar-SA"/>
    </w:rPr>
  </w:style>
  <w:style w:type="paragraph" w:customStyle="1" w:styleId="55">
    <w:name w:val="p0"/>
    <w:basedOn w:val="1"/>
    <w:link w:val="54"/>
    <w:qFormat/>
    <w:uiPriority w:val="0"/>
    <w:pPr>
      <w:widowControl/>
    </w:pPr>
    <w:rPr>
      <w:kern w:val="0"/>
      <w:szCs w:val="21"/>
    </w:rPr>
  </w:style>
  <w:style w:type="character" w:customStyle="1" w:styleId="56">
    <w:name w:val="正文文本缩进 3 Char"/>
    <w:link w:val="25"/>
    <w:qFormat/>
    <w:uiPriority w:val="0"/>
    <w:rPr>
      <w:rFonts w:ascii="黑体" w:eastAsia="黑体"/>
      <w:kern w:val="2"/>
      <w:sz w:val="30"/>
      <w:szCs w:val="28"/>
    </w:rPr>
  </w:style>
  <w:style w:type="character" w:customStyle="1" w:styleId="57">
    <w:name w:val="正文文本 Char"/>
    <w:link w:val="14"/>
    <w:qFormat/>
    <w:uiPriority w:val="0"/>
    <w:rPr>
      <w:kern w:val="2"/>
      <w:sz w:val="21"/>
      <w:szCs w:val="24"/>
    </w:rPr>
  </w:style>
  <w:style w:type="paragraph" w:customStyle="1" w:styleId="58">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9">
    <w:name w:val="正文首行缩进两字符"/>
    <w:basedOn w:val="1"/>
    <w:qFormat/>
    <w:uiPriority w:val="0"/>
    <w:pPr>
      <w:spacing w:line="360" w:lineRule="auto"/>
      <w:ind w:firstLine="200" w:firstLineChars="200"/>
    </w:pPr>
  </w:style>
  <w:style w:type="paragraph" w:customStyle="1" w:styleId="60">
    <w:name w:val="表格"/>
    <w:basedOn w:val="1"/>
    <w:qFormat/>
    <w:uiPriority w:val="0"/>
    <w:pPr>
      <w:spacing w:line="400" w:lineRule="exact"/>
    </w:pPr>
    <w:rPr>
      <w:sz w:val="24"/>
    </w:rPr>
  </w:style>
  <w:style w:type="paragraph" w:customStyle="1" w:styleId="61">
    <w:name w:val="Char1"/>
    <w:basedOn w:val="1"/>
    <w:qFormat/>
    <w:uiPriority w:val="0"/>
    <w:rPr>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样式 首行缩进:  2 字符"/>
    <w:basedOn w:val="1"/>
    <w:qFormat/>
    <w:uiPriority w:val="0"/>
    <w:pPr>
      <w:spacing w:line="400" w:lineRule="exact"/>
      <w:ind w:firstLine="200" w:firstLineChars="200"/>
    </w:pPr>
    <w:rPr>
      <w:rFonts w:cs="宋体"/>
      <w:sz w:val="24"/>
    </w:rPr>
  </w:style>
  <w:style w:type="paragraph" w:customStyle="1" w:styleId="64">
    <w:name w:val="默认段落字体 Para Char Char Char Char Char Char Char"/>
    <w:basedOn w:val="1"/>
    <w:qFormat/>
    <w:uiPriority w:val="0"/>
    <w:rPr>
      <w:rFonts w:ascii="Tahoma" w:hAnsi="Tahoma"/>
      <w:sz w:val="24"/>
      <w:szCs w:val="20"/>
    </w:rPr>
  </w:style>
  <w:style w:type="paragraph" w:styleId="65">
    <w:name w:val="List Paragraph"/>
    <w:basedOn w:val="1"/>
    <w:qFormat/>
    <w:uiPriority w:val="0"/>
    <w:pPr>
      <w:ind w:firstLine="420" w:firstLineChars="200"/>
    </w:pPr>
    <w:rPr>
      <w:sz w:val="18"/>
      <w:szCs w:val="18"/>
    </w:rPr>
  </w:style>
  <w:style w:type="paragraph" w:customStyle="1" w:styleId="66">
    <w:name w:val="Char Char Char Char"/>
    <w:basedOn w:val="1"/>
    <w:qFormat/>
    <w:uiPriority w:val="0"/>
    <w:rPr>
      <w:rFonts w:ascii="Tahoma" w:hAnsi="Tahoma"/>
      <w:sz w:val="24"/>
      <w:szCs w:val="20"/>
    </w:rPr>
  </w:style>
  <w:style w:type="paragraph" w:customStyle="1" w:styleId="67">
    <w:name w:val="样式1"/>
    <w:basedOn w:val="1"/>
    <w:qFormat/>
    <w:uiPriority w:val="0"/>
    <w:pPr>
      <w:tabs>
        <w:tab w:val="left" w:pos="360"/>
        <w:tab w:val="left" w:pos="709"/>
      </w:tabs>
      <w:adjustRightInd w:val="0"/>
      <w:ind w:left="360" w:hanging="360"/>
      <w:textAlignment w:val="baseline"/>
    </w:pPr>
    <w:rPr>
      <w:rFonts w:ascii="宋体" w:hAnsi="宋体"/>
      <w:kern w:val="0"/>
      <w:szCs w:val="21"/>
    </w:rPr>
  </w:style>
  <w:style w:type="paragraph" w:customStyle="1" w:styleId="68">
    <w:name w:val="图标题"/>
    <w:basedOn w:val="1"/>
    <w:qFormat/>
    <w:uiPriority w:val="0"/>
    <w:pPr>
      <w:adjustRightInd w:val="0"/>
      <w:spacing w:line="360" w:lineRule="atLeast"/>
      <w:jc w:val="left"/>
      <w:textAlignment w:val="baseline"/>
    </w:pPr>
    <w:rPr>
      <w:kern w:val="0"/>
      <w:sz w:val="24"/>
      <w:szCs w:val="20"/>
    </w:rPr>
  </w:style>
  <w:style w:type="paragraph" w:customStyle="1" w:styleId="69">
    <w:name w:val="title11"/>
    <w:basedOn w:val="1"/>
    <w:qFormat/>
    <w:uiPriority w:val="0"/>
    <w:pPr>
      <w:spacing w:before="150" w:line="450" w:lineRule="atLeast"/>
      <w:jc w:val="left"/>
    </w:pPr>
    <w:rPr>
      <w:b/>
      <w:kern w:val="0"/>
      <w:sz w:val="24"/>
    </w:rPr>
  </w:style>
  <w:style w:type="paragraph" w:customStyle="1" w:styleId="70">
    <w:name w:val="列出段落1"/>
    <w:basedOn w:val="1"/>
    <w:qFormat/>
    <w:uiPriority w:val="0"/>
    <w:pPr>
      <w:spacing w:line="324" w:lineRule="auto"/>
      <w:ind w:firstLine="420" w:firstLineChars="200"/>
    </w:pPr>
    <w:rPr>
      <w:szCs w:val="20"/>
    </w:rPr>
  </w:style>
  <w:style w:type="paragraph" w:customStyle="1" w:styleId="71">
    <w:name w:val="TOC Heading"/>
    <w:basedOn w:val="3"/>
    <w:next w:val="1"/>
    <w:semiHidden/>
    <w:unhideWhenUsed/>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72">
    <w:name w:val="标题 1 Char"/>
    <w:link w:val="3"/>
    <w:qFormat/>
    <w:uiPriority w:val="0"/>
    <w:rPr>
      <w:b/>
      <w:kern w:val="44"/>
      <w:sz w:val="32"/>
    </w:rPr>
  </w:style>
  <w:style w:type="paragraph" w:customStyle="1" w:styleId="73">
    <w:name w:val="title1"/>
    <w:basedOn w:val="1"/>
    <w:qFormat/>
    <w:uiPriority w:val="0"/>
    <w:pPr>
      <w:widowControl/>
      <w:spacing w:before="100" w:beforeAutospacing="1" w:after="100" w:afterAutospacing="1"/>
      <w:jc w:val="left"/>
    </w:pPr>
    <w:rPr>
      <w:rFonts w:ascii="宋体" w:hAnsi="宋体" w:cs="宋体"/>
      <w:kern w:val="0"/>
      <w:sz w:val="24"/>
    </w:rPr>
  </w:style>
  <w:style w:type="character" w:customStyle="1" w:styleId="74">
    <w:name w:val="批注框文本 Char"/>
    <w:basedOn w:val="32"/>
    <w:link w:val="21"/>
    <w:qFormat/>
    <w:uiPriority w:val="0"/>
    <w:rPr>
      <w:kern w:val="2"/>
      <w:sz w:val="18"/>
      <w:szCs w:val="18"/>
    </w:rPr>
  </w:style>
  <w:style w:type="character" w:customStyle="1" w:styleId="75">
    <w:name w:val="批注文字 Char"/>
    <w:basedOn w:val="32"/>
    <w:link w:val="13"/>
    <w:qFormat/>
    <w:uiPriority w:val="0"/>
    <w:rPr>
      <w:kern w:val="2"/>
      <w:sz w:val="21"/>
      <w:szCs w:val="24"/>
    </w:rPr>
  </w:style>
  <w:style w:type="character" w:customStyle="1" w:styleId="76">
    <w:name w:val="批注主题 Char"/>
    <w:basedOn w:val="75"/>
    <w:link w:val="29"/>
    <w:qFormat/>
    <w:uiPriority w:val="0"/>
    <w:rPr>
      <w:b/>
      <w:bCs/>
    </w:rPr>
  </w:style>
  <w:style w:type="character" w:customStyle="1" w:styleId="77">
    <w:name w:val="CharAttribute8"/>
    <w:qFormat/>
    <w:uiPriority w:val="0"/>
    <w:rPr>
      <w:rFonts w:ascii="??¨¬?" w:hAnsi="??¨¬?" w:eastAsia="??¨¬?"/>
      <w:sz w:val="24"/>
    </w:rPr>
  </w:style>
  <w:style w:type="paragraph" w:customStyle="1" w:styleId="78">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MessageHeader"/>
    <w:basedOn w:val="1"/>
    <w:next w:val="80"/>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80">
    <w:name w:val="BodyText"/>
    <w:basedOn w:val="1"/>
    <w:next w:val="1"/>
    <w:qFormat/>
    <w:uiPriority w:val="0"/>
    <w:pPr>
      <w:spacing w:after="120"/>
      <w:jc w:val="both"/>
      <w:textAlignment w:val="baseline"/>
    </w:pPr>
    <w:rPr>
      <w:rFonts w:ascii="Times New Roman"/>
      <w:kern w:val="2"/>
      <w:sz w:val="21"/>
      <w:lang w:val="en-US" w:eastAsia="zh-CN" w:bidi="ar-SA"/>
    </w:rPr>
  </w:style>
  <w:style w:type="character" w:customStyle="1" w:styleId="81">
    <w:name w:val="font11"/>
    <w:qFormat/>
    <w:uiPriority w:val="0"/>
    <w:rPr>
      <w:rFonts w:ascii="宋体" w:eastAsia="宋体" w:cs="宋体"/>
      <w:color w:val="000000"/>
      <w:sz w:val="22"/>
      <w:szCs w:val="22"/>
      <w:u w:val="none"/>
      <w:lang w:bidi="ar-SA"/>
    </w:rPr>
  </w:style>
  <w:style w:type="character" w:customStyle="1" w:styleId="82">
    <w:name w:val="tmpztreemove_arrow"/>
    <w:basedOn w:val="32"/>
    <w:qFormat/>
    <w:uiPriority w:val="0"/>
    <w:rPr>
      <w:shd w:val="clear" w:fill="FFFFFF"/>
    </w:rPr>
  </w:style>
  <w:style w:type="character" w:customStyle="1" w:styleId="83">
    <w:name w:val="button"/>
    <w:basedOn w:val="32"/>
    <w:qFormat/>
    <w:uiPriority w:val="0"/>
  </w:style>
  <w:style w:type="character" w:customStyle="1" w:styleId="84">
    <w:name w:val="hour_pm"/>
    <w:basedOn w:val="32"/>
    <w:qFormat/>
    <w:uiPriority w:val="0"/>
  </w:style>
  <w:style w:type="character" w:customStyle="1" w:styleId="85">
    <w:name w:val="old"/>
    <w:basedOn w:val="32"/>
    <w:qFormat/>
    <w:uiPriority w:val="0"/>
    <w:rPr>
      <w:color w:val="999999"/>
    </w:rPr>
  </w:style>
  <w:style w:type="character" w:customStyle="1" w:styleId="86">
    <w:name w:val="hover3"/>
    <w:basedOn w:val="32"/>
    <w:qFormat/>
    <w:uiPriority w:val="0"/>
    <w:rPr>
      <w:shd w:val="clear" w:fill="EEEEEE"/>
    </w:rPr>
  </w:style>
  <w:style w:type="character" w:customStyle="1" w:styleId="87">
    <w:name w:val="glyphicon4"/>
    <w:basedOn w:val="32"/>
    <w:qFormat/>
    <w:uiPriority w:val="0"/>
  </w:style>
  <w:style w:type="character" w:customStyle="1" w:styleId="88">
    <w:name w:val="hour_am"/>
    <w:basedOn w:val="32"/>
    <w:qFormat/>
    <w:uiPriority w:val="0"/>
  </w:style>
  <w:style w:type="character" w:customStyle="1" w:styleId="89">
    <w:name w:val="indent"/>
    <w:basedOn w:val="32"/>
    <w:qFormat/>
    <w:uiPriority w:val="0"/>
  </w:style>
  <w:style w:type="paragraph" w:customStyle="1" w:styleId="90">
    <w:name w:val="??¨???¨????ì?¨¨??¨?o??????ì?¨¨?"/>
    <w:basedOn w:val="1"/>
    <w:qFormat/>
    <w:uiPriority w:val="0"/>
    <w:pPr>
      <w:autoSpaceDE w:val="0"/>
      <w:autoSpaceDN w:val="0"/>
      <w:adjustRightInd w:val="0"/>
      <w:jc w:val="left"/>
    </w:pPr>
    <w:rPr>
      <w:rFonts w:ascii="Times New Roman"/>
    </w:rPr>
  </w:style>
  <w:style w:type="paragraph" w:customStyle="1" w:styleId="9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管理资源吧</Company>
  <Pages>93</Pages>
  <Words>44369</Words>
  <Characters>47447</Characters>
  <Lines>364</Lines>
  <Paragraphs>102</Paragraphs>
  <TotalTime>10</TotalTime>
  <ScaleCrop>false</ScaleCrop>
  <LinksUpToDate>false</LinksUpToDate>
  <CharactersWithSpaces>51057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2020-01-20T07:58:00Z</dcterms:created>
  <dc:creator>GZB</dc:creator>
  <cp:lastModifiedBy>Adminstor</cp:lastModifiedBy>
  <cp:lastPrinted>2022-04-08T10:10:00Z</cp:lastPrinted>
  <dcterms:modified xsi:type="dcterms:W3CDTF">2022-12-28T01:40:40Z</dcterms:modified>
  <dc:title>招标编号：xxx政采招[20xxx] xxx号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EED7C8A3DA594FFCB79567097262B19D</vt:lpwstr>
  </property>
</Properties>
</file>