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 w:lineRule="atLeast"/>
        <w:rPr>
          <w:rFonts w:ascii="宋体" w:hAnsi="宋体" w:cs="宋体"/>
          <w:b/>
          <w:bCs/>
          <w:color w:val="auto"/>
          <w:sz w:val="28"/>
          <w:szCs w:val="28"/>
        </w:rPr>
      </w:pPr>
    </w:p>
    <w:p>
      <w:pPr>
        <w:spacing w:line="100" w:lineRule="atLeast"/>
        <w:rPr>
          <w:rFonts w:ascii="宋体" w:hAnsi="宋体" w:cs="宋体"/>
          <w:b/>
          <w:bCs/>
          <w:color w:val="auto"/>
          <w:sz w:val="28"/>
          <w:szCs w:val="28"/>
        </w:rPr>
      </w:pPr>
    </w:p>
    <w:p>
      <w:pPr>
        <w:spacing w:line="100" w:lineRule="atLeast"/>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rPr>
        <w:t>项目编号：SSJY-CG（</w:t>
      </w:r>
      <w:r>
        <w:rPr>
          <w:rFonts w:hint="eastAsia" w:ascii="宋体" w:hAnsi="宋体" w:cs="宋体"/>
          <w:b/>
          <w:bCs/>
          <w:color w:val="auto"/>
          <w:sz w:val="28"/>
          <w:szCs w:val="28"/>
          <w:lang w:val="en-US" w:eastAsia="zh-CN"/>
        </w:rPr>
        <w:t>G</w:t>
      </w:r>
      <w:r>
        <w:rPr>
          <w:rFonts w:hint="eastAsia" w:ascii="宋体" w:hAnsi="宋体" w:cs="宋体"/>
          <w:b/>
          <w:bCs/>
          <w:color w:val="auto"/>
          <w:sz w:val="28"/>
          <w:szCs w:val="28"/>
        </w:rPr>
        <w:t>）-20220</w:t>
      </w:r>
      <w:r>
        <w:rPr>
          <w:rFonts w:hint="eastAsia" w:ascii="宋体" w:hAnsi="宋体" w:cs="宋体"/>
          <w:b/>
          <w:bCs/>
          <w:color w:val="auto"/>
          <w:sz w:val="28"/>
          <w:szCs w:val="28"/>
          <w:lang w:val="en-US" w:eastAsia="zh-CN"/>
        </w:rPr>
        <w:t>13</w:t>
      </w:r>
    </w:p>
    <w:p>
      <w:pPr>
        <w:spacing w:line="100" w:lineRule="atLeast"/>
        <w:rPr>
          <w:rFonts w:ascii="宋体" w:hAnsi="宋体" w:cs="宋体"/>
          <w:b/>
          <w:color w:val="auto"/>
          <w:sz w:val="28"/>
          <w:szCs w:val="28"/>
        </w:rPr>
      </w:pPr>
    </w:p>
    <w:p>
      <w:pPr>
        <w:pStyle w:val="7"/>
        <w:jc w:val="both"/>
        <w:rPr>
          <w:color w:val="auto"/>
        </w:rPr>
      </w:pPr>
    </w:p>
    <w:p>
      <w:pPr>
        <w:spacing w:line="100" w:lineRule="atLeast"/>
        <w:jc w:val="center"/>
        <w:rPr>
          <w:rFonts w:hint="eastAsia" w:ascii="宋体" w:hAnsi="宋体" w:eastAsia="宋体" w:cs="宋体"/>
          <w:b/>
          <w:bCs/>
          <w:color w:val="auto"/>
          <w:szCs w:val="21"/>
          <w:lang w:eastAsia="zh-CN"/>
        </w:rPr>
      </w:pPr>
      <w:r>
        <w:rPr>
          <w:rFonts w:hint="eastAsia" w:ascii="宋体" w:hAnsi="宋体" w:cs="宋体"/>
          <w:b/>
          <w:bCs/>
          <w:color w:val="auto"/>
          <w:sz w:val="52"/>
          <w:szCs w:val="52"/>
          <w:lang w:eastAsia="zh-CN"/>
        </w:rPr>
        <w:t>2022年省级水利发展资金水土保持项目泾阳县清河水保生态小流域治理工程</w:t>
      </w:r>
    </w:p>
    <w:p>
      <w:pPr>
        <w:pStyle w:val="2"/>
        <w:rPr>
          <w:rFonts w:ascii="宋体" w:hAnsi="宋体" w:cs="宋体"/>
          <w:b/>
          <w:bCs/>
          <w:color w:val="auto"/>
          <w:sz w:val="22"/>
          <w:szCs w:val="22"/>
        </w:rPr>
      </w:pPr>
    </w:p>
    <w:p>
      <w:pPr>
        <w:rPr>
          <w:color w:val="auto"/>
        </w:rPr>
      </w:pPr>
    </w:p>
    <w:p>
      <w:pPr>
        <w:rPr>
          <w:color w:val="auto"/>
        </w:rPr>
      </w:pPr>
    </w:p>
    <w:p>
      <w:pPr>
        <w:pStyle w:val="7"/>
        <w:jc w:val="both"/>
        <w:rPr>
          <w:color w:val="auto"/>
        </w:rPr>
      </w:pPr>
    </w:p>
    <w:p>
      <w:pPr>
        <w:spacing w:line="100" w:lineRule="atLeast"/>
        <w:jc w:val="center"/>
        <w:rPr>
          <w:rFonts w:ascii="宋体" w:hAnsi="宋体" w:cs="宋体"/>
          <w:b/>
          <w:bCs/>
          <w:color w:val="auto"/>
          <w:sz w:val="72"/>
          <w:szCs w:val="72"/>
        </w:rPr>
      </w:pPr>
      <w:r>
        <w:rPr>
          <w:rFonts w:hint="eastAsia" w:ascii="宋体" w:hAnsi="宋体" w:cs="宋体"/>
          <w:b/>
          <w:bCs/>
          <w:color w:val="auto"/>
          <w:sz w:val="72"/>
          <w:szCs w:val="72"/>
        </w:rPr>
        <w:t>竞争性磋商文件</w:t>
      </w:r>
    </w:p>
    <w:p>
      <w:pPr>
        <w:tabs>
          <w:tab w:val="left" w:pos="5670"/>
        </w:tabs>
        <w:autoSpaceDE w:val="0"/>
        <w:autoSpaceDN w:val="0"/>
        <w:adjustRightInd w:val="0"/>
        <w:snapToGrid w:val="0"/>
        <w:spacing w:line="360" w:lineRule="auto"/>
        <w:jc w:val="center"/>
        <w:rPr>
          <w:rFonts w:ascii="宋体" w:hAnsi="宋体" w:cs="宋体"/>
          <w:color w:val="auto"/>
          <w:sz w:val="28"/>
          <w:szCs w:val="28"/>
        </w:rPr>
      </w:pPr>
      <w:r>
        <w:rPr>
          <w:rFonts w:hint="eastAsia" w:ascii="宋体" w:hAnsi="宋体" w:cs="宋体"/>
          <w:b/>
          <w:bCs/>
          <w:color w:val="auto"/>
          <w:sz w:val="72"/>
          <w:szCs w:val="72"/>
        </w:rPr>
        <w:drawing>
          <wp:inline distT="0" distB="0" distL="114300" distR="114300">
            <wp:extent cx="3768090" cy="3100070"/>
            <wp:effectExtent l="0" t="0" r="3810" b="5080"/>
            <wp:docPr id="6" name="图片 6" descr="af3f1f6857ba2f38e11dc7bafb9c8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f3f1f6857ba2f38e11dc7bafb9c8ea"/>
                    <pic:cNvPicPr>
                      <a:picLocks noChangeAspect="1"/>
                    </pic:cNvPicPr>
                  </pic:nvPicPr>
                  <pic:blipFill>
                    <a:blip r:embed="rId21"/>
                    <a:srcRect r="927" b="18492"/>
                    <a:stretch>
                      <a:fillRect/>
                    </a:stretch>
                  </pic:blipFill>
                  <pic:spPr>
                    <a:xfrm>
                      <a:off x="0" y="0"/>
                      <a:ext cx="3768090" cy="3100070"/>
                    </a:xfrm>
                    <a:prstGeom prst="rect">
                      <a:avLst/>
                    </a:prstGeom>
                  </pic:spPr>
                </pic:pic>
              </a:graphicData>
            </a:graphic>
          </wp:inline>
        </w:drawing>
      </w:r>
    </w:p>
    <w:p>
      <w:pPr>
        <w:rPr>
          <w:rFonts w:hint="eastAsia" w:ascii="宋体" w:hAnsi="宋体" w:cs="宋体"/>
          <w:b/>
          <w:bCs/>
          <w:color w:val="auto"/>
          <w:sz w:val="28"/>
          <w:szCs w:val="28"/>
        </w:rPr>
      </w:pPr>
      <w:r>
        <w:rPr>
          <w:rFonts w:hint="eastAsia" w:ascii="宋体" w:hAnsi="宋体" w:cs="宋体"/>
          <w:b/>
          <w:bCs/>
          <w:color w:val="auto"/>
          <w:sz w:val="28"/>
          <w:szCs w:val="28"/>
        </w:rPr>
        <w:t xml:space="preserve">       </w:t>
      </w:r>
    </w:p>
    <w:p>
      <w:pPr>
        <w:pStyle w:val="2"/>
        <w:rPr>
          <w:rFonts w:hint="eastAsia" w:ascii="宋体" w:hAnsi="宋体" w:cs="宋体"/>
          <w:b/>
          <w:bCs/>
          <w:color w:val="auto"/>
          <w:sz w:val="28"/>
          <w:szCs w:val="28"/>
        </w:rPr>
      </w:pPr>
    </w:p>
    <w:p>
      <w:pPr>
        <w:rPr>
          <w:color w:val="auto"/>
        </w:rPr>
      </w:pPr>
    </w:p>
    <w:p>
      <w:pPr>
        <w:spacing w:line="360" w:lineRule="auto"/>
        <w:ind w:firstLine="1084" w:firstLineChars="300"/>
        <w:rPr>
          <w:rFonts w:hint="eastAsia" w:ascii="宋体" w:hAnsi="宋体" w:eastAsia="宋体" w:cs="宋体"/>
          <w:color w:val="auto"/>
          <w:sz w:val="36"/>
          <w:szCs w:val="36"/>
          <w:lang w:eastAsia="zh-CN"/>
        </w:rPr>
      </w:pPr>
      <w:r>
        <w:rPr>
          <w:rFonts w:hint="eastAsia" w:ascii="宋体" w:hAnsi="宋体" w:cs="宋体"/>
          <w:b/>
          <w:color w:val="auto"/>
          <w:sz w:val="36"/>
          <w:szCs w:val="36"/>
        </w:rPr>
        <w:t>采</w:t>
      </w:r>
      <w:r>
        <w:rPr>
          <w:rFonts w:hint="eastAsia" w:ascii="宋体" w:hAnsi="宋体" w:cs="宋体"/>
          <w:b/>
          <w:color w:val="auto"/>
          <w:sz w:val="36"/>
          <w:szCs w:val="36"/>
          <w:lang w:val="en-US" w:eastAsia="zh-CN"/>
        </w:rPr>
        <w:t xml:space="preserve">  </w:t>
      </w:r>
      <w:r>
        <w:rPr>
          <w:rFonts w:hint="eastAsia" w:ascii="宋体" w:hAnsi="宋体" w:cs="宋体"/>
          <w:b/>
          <w:color w:val="auto"/>
          <w:sz w:val="36"/>
          <w:szCs w:val="36"/>
        </w:rPr>
        <w:t>购</w:t>
      </w:r>
      <w:r>
        <w:rPr>
          <w:rFonts w:hint="eastAsia" w:ascii="宋体" w:hAnsi="宋体" w:cs="宋体"/>
          <w:b/>
          <w:color w:val="auto"/>
          <w:sz w:val="36"/>
          <w:szCs w:val="36"/>
          <w:lang w:val="en-US" w:eastAsia="zh-CN"/>
        </w:rPr>
        <w:t xml:space="preserve"> </w:t>
      </w:r>
      <w:r>
        <w:rPr>
          <w:rFonts w:hint="eastAsia" w:ascii="宋体" w:hAnsi="宋体" w:cs="宋体"/>
          <w:b/>
          <w:color w:val="auto"/>
          <w:sz w:val="36"/>
          <w:szCs w:val="36"/>
        </w:rPr>
        <w:t xml:space="preserve"> 人：</w:t>
      </w:r>
      <w:r>
        <w:rPr>
          <w:rFonts w:hint="eastAsia" w:ascii="宋体" w:hAnsi="宋体" w:cs="宋体"/>
          <w:b/>
          <w:color w:val="auto"/>
          <w:sz w:val="36"/>
          <w:szCs w:val="36"/>
          <w:lang w:eastAsia="zh-CN"/>
        </w:rPr>
        <w:t>泾阳县水土保持工作站</w:t>
      </w:r>
    </w:p>
    <w:p>
      <w:pPr>
        <w:spacing w:line="360" w:lineRule="auto"/>
        <w:ind w:firstLine="1084" w:firstLineChars="300"/>
        <w:rPr>
          <w:rFonts w:ascii="宋体" w:hAnsi="宋体" w:cs="宋体"/>
          <w:b/>
          <w:color w:val="auto"/>
          <w:sz w:val="36"/>
          <w:szCs w:val="36"/>
        </w:rPr>
      </w:pPr>
      <w:r>
        <w:rPr>
          <w:rFonts w:hint="eastAsia" w:ascii="宋体" w:hAnsi="宋体" w:cs="宋体"/>
          <w:b/>
          <w:color w:val="auto"/>
          <w:sz w:val="36"/>
          <w:szCs w:val="36"/>
        </w:rPr>
        <w:t>采购代理机构：陕西盛仕骄阳项目管理有限公司</w:t>
      </w:r>
    </w:p>
    <w:p>
      <w:pPr>
        <w:autoSpaceDE w:val="0"/>
        <w:autoSpaceDN w:val="0"/>
        <w:adjustRightInd w:val="0"/>
        <w:snapToGrid w:val="0"/>
        <w:spacing w:line="360" w:lineRule="auto"/>
        <w:jc w:val="center"/>
        <w:rPr>
          <w:rFonts w:ascii="宋体" w:hAnsi="宋体" w:cs="宋体"/>
          <w:b/>
          <w:bCs/>
          <w:color w:val="auto"/>
          <w:sz w:val="36"/>
          <w:szCs w:val="36"/>
          <w:lang w:val="zh-CN"/>
        </w:rPr>
      </w:pPr>
      <w:r>
        <w:rPr>
          <w:rFonts w:hint="eastAsia" w:ascii="宋体" w:hAnsi="宋体" w:cs="宋体"/>
          <w:b/>
          <w:color w:val="auto"/>
          <w:sz w:val="36"/>
          <w:szCs w:val="36"/>
        </w:rPr>
        <w:t>二〇二二年</w:t>
      </w:r>
      <w:r>
        <w:rPr>
          <w:rFonts w:hint="eastAsia" w:ascii="宋体" w:hAnsi="宋体" w:cs="宋体"/>
          <w:b/>
          <w:color w:val="auto"/>
          <w:sz w:val="36"/>
          <w:szCs w:val="36"/>
          <w:lang w:val="en-US" w:eastAsia="zh-CN"/>
        </w:rPr>
        <w:t>七</w:t>
      </w:r>
      <w:r>
        <w:rPr>
          <w:rFonts w:hint="eastAsia" w:ascii="宋体" w:hAnsi="宋体" w:cs="宋体"/>
          <w:b/>
          <w:color w:val="auto"/>
          <w:sz w:val="36"/>
          <w:szCs w:val="36"/>
        </w:rPr>
        <w:t>月</w:t>
      </w:r>
    </w:p>
    <w:p>
      <w:pPr>
        <w:autoSpaceDE w:val="0"/>
        <w:autoSpaceDN w:val="0"/>
        <w:adjustRightInd w:val="0"/>
        <w:snapToGrid w:val="0"/>
        <w:spacing w:line="360" w:lineRule="auto"/>
        <w:jc w:val="center"/>
        <w:rPr>
          <w:rFonts w:ascii="宋体" w:hAnsi="宋体" w:cs="宋体"/>
          <w:b/>
          <w:bCs/>
          <w:color w:val="auto"/>
          <w:sz w:val="28"/>
          <w:szCs w:val="28"/>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NumType w:start="0"/>
          <w:cols w:space="425" w:num="1"/>
          <w:titlePg/>
          <w:docGrid w:linePitch="312" w:charSpace="0"/>
        </w:sectPr>
      </w:pPr>
    </w:p>
    <w:p>
      <w:pPr>
        <w:autoSpaceDE w:val="0"/>
        <w:autoSpaceDN w:val="0"/>
        <w:adjustRightInd w:val="0"/>
        <w:snapToGrid w:val="0"/>
        <w:spacing w:line="360" w:lineRule="auto"/>
        <w:jc w:val="center"/>
        <w:rPr>
          <w:rFonts w:ascii="宋体" w:hAnsi="宋体" w:cs="宋体"/>
          <w:b/>
          <w:bCs/>
          <w:color w:val="auto"/>
          <w:sz w:val="32"/>
          <w:szCs w:val="32"/>
          <w:lang w:val="zh-CN"/>
        </w:rPr>
      </w:pPr>
      <w:r>
        <w:rPr>
          <w:rFonts w:hint="eastAsia" w:ascii="宋体" w:hAnsi="宋体" w:cs="宋体"/>
          <w:b/>
          <w:bCs/>
          <w:color w:val="auto"/>
          <w:sz w:val="32"/>
          <w:szCs w:val="32"/>
          <w:lang w:val="zh-CN"/>
        </w:rPr>
        <w:t>目  录</w:t>
      </w:r>
    </w:p>
    <w:p>
      <w:pPr>
        <w:autoSpaceDE w:val="0"/>
        <w:autoSpaceDN w:val="0"/>
        <w:adjustRightInd w:val="0"/>
        <w:snapToGrid w:val="0"/>
        <w:spacing w:line="360" w:lineRule="auto"/>
        <w:jc w:val="center"/>
        <w:rPr>
          <w:rFonts w:ascii="宋体" w:hAnsi="宋体" w:cs="宋体"/>
          <w:b/>
          <w:bCs/>
          <w:color w:val="auto"/>
          <w:sz w:val="28"/>
          <w:szCs w:val="28"/>
          <w:lang w:val="zh-CN"/>
        </w:rPr>
      </w:pPr>
    </w:p>
    <w:p>
      <w:pPr>
        <w:pStyle w:val="26"/>
        <w:tabs>
          <w:tab w:val="right" w:leader="dot" w:pos="9070"/>
          <w:tab w:val="clear" w:pos="9060"/>
        </w:tabs>
        <w:rPr>
          <w:rFonts w:hint="eastAsia" w:ascii="宋体" w:hAnsi="宋体" w:eastAsia="宋体" w:cs="宋体"/>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TOC \o "1-1" \h \z \u </w:instrText>
      </w:r>
      <w:r>
        <w:rPr>
          <w:rFonts w:hint="eastAsia" w:ascii="宋体" w:hAnsi="宋体" w:eastAsia="宋体" w:cs="宋体"/>
          <w:b/>
          <w:bCs/>
          <w:color w:val="auto"/>
          <w:sz w:val="28"/>
          <w:szCs w:val="28"/>
        </w:rPr>
        <w:fldChar w:fldCharType="separate"/>
      </w:r>
      <w:r>
        <w:rPr>
          <w:rFonts w:hint="eastAsia" w:ascii="宋体" w:hAnsi="宋体" w:eastAsia="宋体" w:cs="宋体"/>
          <w:bCs/>
          <w:color w:val="auto"/>
          <w:sz w:val="28"/>
          <w:szCs w:val="28"/>
        </w:rPr>
        <w:fldChar w:fldCharType="begin"/>
      </w:r>
      <w:r>
        <w:rPr>
          <w:rFonts w:hint="eastAsia" w:ascii="宋体" w:hAnsi="宋体" w:eastAsia="宋体" w:cs="宋体"/>
          <w:bCs/>
          <w:color w:val="auto"/>
          <w:sz w:val="28"/>
          <w:szCs w:val="28"/>
        </w:rPr>
        <w:instrText xml:space="preserve"> HYPERLINK \l _Toc27265 </w:instrText>
      </w:r>
      <w:r>
        <w:rPr>
          <w:rFonts w:hint="eastAsia" w:ascii="宋体" w:hAnsi="宋体" w:eastAsia="宋体" w:cs="宋体"/>
          <w:bCs/>
          <w:color w:val="auto"/>
          <w:sz w:val="28"/>
          <w:szCs w:val="28"/>
        </w:rPr>
        <w:fldChar w:fldCharType="separate"/>
      </w:r>
      <w:r>
        <w:rPr>
          <w:rFonts w:hint="eastAsia" w:ascii="宋体" w:hAnsi="宋体" w:eastAsia="宋体" w:cs="宋体"/>
          <w:bCs/>
          <w:color w:val="auto"/>
          <w:sz w:val="28"/>
          <w:szCs w:val="28"/>
          <w:lang w:val="zh-CN"/>
        </w:rPr>
        <w:t>第一章  竞争性磋商公告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_Toc27265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bCs/>
          <w:color w:val="auto"/>
          <w:sz w:val="28"/>
          <w:szCs w:val="28"/>
        </w:rPr>
        <w:fldChar w:fldCharType="end"/>
      </w:r>
    </w:p>
    <w:p>
      <w:pPr>
        <w:pStyle w:val="26"/>
        <w:tabs>
          <w:tab w:val="right" w:leader="dot" w:pos="9070"/>
          <w:tab w:val="clear" w:pos="9060"/>
        </w:tabs>
        <w:rPr>
          <w:rFonts w:hint="eastAsia" w:ascii="宋体" w:hAnsi="宋体" w:eastAsia="宋体" w:cs="宋体"/>
          <w:color w:val="auto"/>
          <w:sz w:val="28"/>
          <w:szCs w:val="28"/>
        </w:rPr>
      </w:pPr>
      <w:r>
        <w:rPr>
          <w:rFonts w:hint="eastAsia" w:ascii="宋体" w:hAnsi="宋体" w:eastAsia="宋体" w:cs="宋体"/>
          <w:bCs/>
          <w:color w:val="auto"/>
          <w:sz w:val="28"/>
          <w:szCs w:val="28"/>
        </w:rPr>
        <w:fldChar w:fldCharType="begin"/>
      </w:r>
      <w:r>
        <w:rPr>
          <w:rFonts w:hint="eastAsia" w:ascii="宋体" w:hAnsi="宋体" w:eastAsia="宋体" w:cs="宋体"/>
          <w:bCs/>
          <w:color w:val="auto"/>
          <w:sz w:val="28"/>
          <w:szCs w:val="28"/>
        </w:rPr>
        <w:instrText xml:space="preserve"> HYPERLINK \l _Toc4078 </w:instrText>
      </w:r>
      <w:r>
        <w:rPr>
          <w:rFonts w:hint="eastAsia" w:ascii="宋体" w:hAnsi="宋体" w:eastAsia="宋体" w:cs="宋体"/>
          <w:bCs/>
          <w:color w:val="auto"/>
          <w:sz w:val="28"/>
          <w:szCs w:val="28"/>
        </w:rPr>
        <w:fldChar w:fldCharType="separate"/>
      </w:r>
      <w:r>
        <w:rPr>
          <w:rFonts w:hint="eastAsia" w:ascii="宋体" w:hAnsi="宋体" w:eastAsia="宋体" w:cs="宋体"/>
          <w:color w:val="auto"/>
          <w:sz w:val="28"/>
          <w:szCs w:val="28"/>
        </w:rPr>
        <w:t>第二章 竞争性磋商须知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_Toc4078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w:t>
      </w:r>
      <w:r>
        <w:rPr>
          <w:rFonts w:hint="eastAsia" w:ascii="宋体" w:hAnsi="宋体" w:eastAsia="宋体" w:cs="宋体"/>
          <w:color w:val="auto"/>
          <w:sz w:val="28"/>
          <w:szCs w:val="28"/>
        </w:rPr>
        <w:fldChar w:fldCharType="end"/>
      </w:r>
      <w:r>
        <w:rPr>
          <w:rFonts w:hint="eastAsia" w:ascii="宋体" w:hAnsi="宋体" w:eastAsia="宋体" w:cs="宋体"/>
          <w:bCs/>
          <w:color w:val="auto"/>
          <w:sz w:val="28"/>
          <w:szCs w:val="28"/>
        </w:rPr>
        <w:fldChar w:fldCharType="end"/>
      </w:r>
    </w:p>
    <w:p>
      <w:pPr>
        <w:pStyle w:val="26"/>
        <w:tabs>
          <w:tab w:val="right" w:leader="dot" w:pos="9070"/>
          <w:tab w:val="clear" w:pos="9060"/>
        </w:tabs>
        <w:rPr>
          <w:rFonts w:hint="eastAsia" w:ascii="宋体" w:hAnsi="宋体" w:eastAsia="宋体" w:cs="宋体"/>
          <w:color w:val="auto"/>
          <w:sz w:val="28"/>
          <w:szCs w:val="28"/>
        </w:rPr>
      </w:pPr>
      <w:r>
        <w:rPr>
          <w:rFonts w:hint="eastAsia" w:ascii="宋体" w:hAnsi="宋体" w:eastAsia="宋体" w:cs="宋体"/>
          <w:bCs/>
          <w:color w:val="auto"/>
          <w:sz w:val="28"/>
          <w:szCs w:val="28"/>
        </w:rPr>
        <w:fldChar w:fldCharType="begin"/>
      </w:r>
      <w:r>
        <w:rPr>
          <w:rFonts w:hint="eastAsia" w:ascii="宋体" w:hAnsi="宋体" w:eastAsia="宋体" w:cs="宋体"/>
          <w:bCs/>
          <w:color w:val="auto"/>
          <w:sz w:val="28"/>
          <w:szCs w:val="28"/>
        </w:rPr>
        <w:instrText xml:space="preserve"> HYPERLINK \l _Toc505 </w:instrText>
      </w:r>
      <w:r>
        <w:rPr>
          <w:rFonts w:hint="eastAsia" w:ascii="宋体" w:hAnsi="宋体" w:eastAsia="宋体" w:cs="宋体"/>
          <w:bCs/>
          <w:color w:val="auto"/>
          <w:sz w:val="28"/>
          <w:szCs w:val="28"/>
        </w:rPr>
        <w:fldChar w:fldCharType="separate"/>
      </w:r>
      <w:r>
        <w:rPr>
          <w:rFonts w:hint="eastAsia" w:ascii="宋体" w:hAnsi="宋体" w:eastAsia="宋体" w:cs="宋体"/>
          <w:color w:val="auto"/>
          <w:sz w:val="28"/>
          <w:szCs w:val="28"/>
        </w:rPr>
        <w:t xml:space="preserve">第三章 </w:t>
      </w:r>
      <w:r>
        <w:rPr>
          <w:rFonts w:hint="eastAsia" w:ascii="宋体" w:hAnsi="宋体" w:eastAsia="宋体" w:cs="宋体"/>
          <w:color w:val="auto"/>
          <w:sz w:val="28"/>
          <w:szCs w:val="28"/>
          <w:lang w:val="zh-CN"/>
        </w:rPr>
        <w:t>供应商须知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_Toc505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9</w:t>
      </w:r>
      <w:r>
        <w:rPr>
          <w:rFonts w:hint="eastAsia" w:ascii="宋体" w:hAnsi="宋体" w:eastAsia="宋体" w:cs="宋体"/>
          <w:color w:val="auto"/>
          <w:sz w:val="28"/>
          <w:szCs w:val="28"/>
        </w:rPr>
        <w:fldChar w:fldCharType="end"/>
      </w:r>
      <w:r>
        <w:rPr>
          <w:rFonts w:hint="eastAsia" w:ascii="宋体" w:hAnsi="宋体" w:eastAsia="宋体" w:cs="宋体"/>
          <w:bCs/>
          <w:color w:val="auto"/>
          <w:sz w:val="28"/>
          <w:szCs w:val="28"/>
        </w:rPr>
        <w:fldChar w:fldCharType="end"/>
      </w:r>
    </w:p>
    <w:p>
      <w:pPr>
        <w:pStyle w:val="26"/>
        <w:tabs>
          <w:tab w:val="right" w:leader="dot" w:pos="9070"/>
          <w:tab w:val="clear" w:pos="9060"/>
        </w:tabs>
        <w:rPr>
          <w:rFonts w:hint="eastAsia" w:ascii="宋体" w:hAnsi="宋体" w:eastAsia="宋体" w:cs="宋体"/>
          <w:color w:val="auto"/>
          <w:sz w:val="28"/>
          <w:szCs w:val="28"/>
        </w:rPr>
      </w:pPr>
      <w:r>
        <w:rPr>
          <w:rFonts w:hint="eastAsia" w:ascii="宋体" w:hAnsi="宋体" w:eastAsia="宋体" w:cs="宋体"/>
          <w:bCs/>
          <w:color w:val="auto"/>
          <w:sz w:val="28"/>
          <w:szCs w:val="28"/>
        </w:rPr>
        <w:fldChar w:fldCharType="begin"/>
      </w:r>
      <w:r>
        <w:rPr>
          <w:rFonts w:hint="eastAsia" w:ascii="宋体" w:hAnsi="宋体" w:eastAsia="宋体" w:cs="宋体"/>
          <w:bCs/>
          <w:color w:val="auto"/>
          <w:sz w:val="28"/>
          <w:szCs w:val="28"/>
        </w:rPr>
        <w:instrText xml:space="preserve"> HYPERLINK \l _Toc10965 </w:instrText>
      </w:r>
      <w:r>
        <w:rPr>
          <w:rFonts w:hint="eastAsia" w:ascii="宋体" w:hAnsi="宋体" w:eastAsia="宋体" w:cs="宋体"/>
          <w:bCs/>
          <w:color w:val="auto"/>
          <w:sz w:val="28"/>
          <w:szCs w:val="28"/>
        </w:rPr>
        <w:fldChar w:fldCharType="separate"/>
      </w:r>
      <w:r>
        <w:rPr>
          <w:rFonts w:hint="eastAsia" w:ascii="宋体" w:hAnsi="宋体" w:eastAsia="宋体" w:cs="宋体"/>
          <w:color w:val="auto"/>
          <w:sz w:val="28"/>
          <w:szCs w:val="28"/>
        </w:rPr>
        <w:t>第四章 评审办法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_Toc10965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29</w:t>
      </w:r>
      <w:r>
        <w:rPr>
          <w:rFonts w:hint="eastAsia" w:ascii="宋体" w:hAnsi="宋体" w:eastAsia="宋体" w:cs="宋体"/>
          <w:color w:val="auto"/>
          <w:sz w:val="28"/>
          <w:szCs w:val="28"/>
        </w:rPr>
        <w:fldChar w:fldCharType="end"/>
      </w:r>
      <w:r>
        <w:rPr>
          <w:rFonts w:hint="eastAsia" w:ascii="宋体" w:hAnsi="宋体" w:eastAsia="宋体" w:cs="宋体"/>
          <w:bCs/>
          <w:color w:val="auto"/>
          <w:sz w:val="28"/>
          <w:szCs w:val="28"/>
        </w:rPr>
        <w:fldChar w:fldCharType="end"/>
      </w:r>
    </w:p>
    <w:p>
      <w:pPr>
        <w:pStyle w:val="26"/>
        <w:tabs>
          <w:tab w:val="right" w:leader="dot" w:pos="9070"/>
          <w:tab w:val="clear" w:pos="9060"/>
        </w:tabs>
        <w:rPr>
          <w:rFonts w:hint="eastAsia" w:ascii="宋体" w:hAnsi="宋体" w:eastAsia="宋体" w:cs="宋体"/>
          <w:color w:val="auto"/>
          <w:sz w:val="28"/>
          <w:szCs w:val="28"/>
        </w:rPr>
      </w:pPr>
      <w:r>
        <w:rPr>
          <w:rFonts w:hint="eastAsia" w:ascii="宋体" w:hAnsi="宋体" w:eastAsia="宋体" w:cs="宋体"/>
          <w:bCs/>
          <w:color w:val="auto"/>
          <w:sz w:val="28"/>
          <w:szCs w:val="28"/>
        </w:rPr>
        <w:fldChar w:fldCharType="begin"/>
      </w:r>
      <w:r>
        <w:rPr>
          <w:rFonts w:hint="eastAsia" w:ascii="宋体" w:hAnsi="宋体" w:eastAsia="宋体" w:cs="宋体"/>
          <w:bCs/>
          <w:color w:val="auto"/>
          <w:sz w:val="28"/>
          <w:szCs w:val="28"/>
        </w:rPr>
        <w:instrText xml:space="preserve"> HYPERLINK \l _Toc375 </w:instrText>
      </w:r>
      <w:r>
        <w:rPr>
          <w:rFonts w:hint="eastAsia" w:ascii="宋体" w:hAnsi="宋体" w:eastAsia="宋体" w:cs="宋体"/>
          <w:bCs/>
          <w:color w:val="auto"/>
          <w:sz w:val="28"/>
          <w:szCs w:val="28"/>
        </w:rPr>
        <w:fldChar w:fldCharType="separate"/>
      </w:r>
      <w:r>
        <w:rPr>
          <w:rFonts w:hint="eastAsia" w:ascii="宋体" w:hAnsi="宋体" w:eastAsia="宋体" w:cs="宋体"/>
          <w:color w:val="auto"/>
          <w:sz w:val="28"/>
          <w:szCs w:val="28"/>
          <w:lang w:val="zh-CN"/>
        </w:rPr>
        <w:t>第</w:t>
      </w:r>
      <w:r>
        <w:rPr>
          <w:rFonts w:hint="eastAsia" w:ascii="宋体" w:hAnsi="宋体" w:eastAsia="宋体" w:cs="宋体"/>
          <w:color w:val="auto"/>
          <w:sz w:val="28"/>
          <w:szCs w:val="28"/>
        </w:rPr>
        <w:t>五</w:t>
      </w:r>
      <w:r>
        <w:rPr>
          <w:rFonts w:hint="eastAsia" w:ascii="宋体" w:hAnsi="宋体" w:eastAsia="宋体" w:cs="宋体"/>
          <w:color w:val="auto"/>
          <w:sz w:val="28"/>
          <w:szCs w:val="28"/>
          <w:lang w:val="zh-CN"/>
        </w:rPr>
        <w:t>章</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工程量清单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_Toc375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38</w:t>
      </w:r>
      <w:r>
        <w:rPr>
          <w:rFonts w:hint="eastAsia" w:ascii="宋体" w:hAnsi="宋体" w:eastAsia="宋体" w:cs="宋体"/>
          <w:color w:val="auto"/>
          <w:sz w:val="28"/>
          <w:szCs w:val="28"/>
        </w:rPr>
        <w:fldChar w:fldCharType="end"/>
      </w:r>
      <w:r>
        <w:rPr>
          <w:rFonts w:hint="eastAsia" w:ascii="宋体" w:hAnsi="宋体" w:eastAsia="宋体" w:cs="宋体"/>
          <w:bCs/>
          <w:color w:val="auto"/>
          <w:sz w:val="28"/>
          <w:szCs w:val="28"/>
        </w:rPr>
        <w:fldChar w:fldCharType="end"/>
      </w:r>
    </w:p>
    <w:p>
      <w:pPr>
        <w:pStyle w:val="26"/>
        <w:tabs>
          <w:tab w:val="right" w:leader="dot" w:pos="9070"/>
          <w:tab w:val="clear" w:pos="9060"/>
        </w:tabs>
        <w:rPr>
          <w:rFonts w:hint="eastAsia" w:ascii="宋体" w:hAnsi="宋体" w:eastAsia="宋体" w:cs="宋体"/>
          <w:color w:val="auto"/>
          <w:sz w:val="28"/>
          <w:szCs w:val="28"/>
        </w:rPr>
      </w:pPr>
      <w:r>
        <w:rPr>
          <w:rFonts w:hint="eastAsia" w:ascii="宋体" w:hAnsi="宋体" w:eastAsia="宋体" w:cs="宋体"/>
          <w:bCs/>
          <w:color w:val="auto"/>
          <w:sz w:val="28"/>
          <w:szCs w:val="28"/>
        </w:rPr>
        <w:fldChar w:fldCharType="begin"/>
      </w:r>
      <w:r>
        <w:rPr>
          <w:rFonts w:hint="eastAsia" w:ascii="宋体" w:hAnsi="宋体" w:eastAsia="宋体" w:cs="宋体"/>
          <w:bCs/>
          <w:color w:val="auto"/>
          <w:sz w:val="28"/>
          <w:szCs w:val="28"/>
        </w:rPr>
        <w:instrText xml:space="preserve"> HYPERLINK \l _Toc24414 </w:instrText>
      </w:r>
      <w:r>
        <w:rPr>
          <w:rFonts w:hint="eastAsia" w:ascii="宋体" w:hAnsi="宋体" w:eastAsia="宋体" w:cs="宋体"/>
          <w:bCs/>
          <w:color w:val="auto"/>
          <w:sz w:val="28"/>
          <w:szCs w:val="28"/>
        </w:rPr>
        <w:fldChar w:fldCharType="separate"/>
      </w:r>
      <w:r>
        <w:rPr>
          <w:rFonts w:hint="eastAsia" w:ascii="宋体" w:hAnsi="宋体" w:eastAsia="宋体" w:cs="宋体"/>
          <w:color w:val="auto"/>
          <w:sz w:val="28"/>
          <w:szCs w:val="28"/>
          <w:lang w:val="zh-CN"/>
        </w:rPr>
        <w:t>第</w:t>
      </w:r>
      <w:r>
        <w:rPr>
          <w:rFonts w:hint="eastAsia" w:ascii="宋体" w:hAnsi="宋体" w:eastAsia="宋体" w:cs="宋体"/>
          <w:color w:val="auto"/>
          <w:sz w:val="28"/>
          <w:szCs w:val="28"/>
        </w:rPr>
        <w:t>六</w:t>
      </w:r>
      <w:r>
        <w:rPr>
          <w:rFonts w:hint="eastAsia" w:ascii="宋体" w:hAnsi="宋体" w:eastAsia="宋体" w:cs="宋体"/>
          <w:color w:val="auto"/>
          <w:sz w:val="28"/>
          <w:szCs w:val="28"/>
          <w:lang w:val="zh-CN"/>
        </w:rPr>
        <w:t xml:space="preserve">章 </w:t>
      </w:r>
      <w:r>
        <w:rPr>
          <w:rFonts w:hint="eastAsia" w:ascii="宋体" w:hAnsi="宋体" w:eastAsia="宋体" w:cs="宋体"/>
          <w:color w:val="auto"/>
          <w:sz w:val="28"/>
          <w:szCs w:val="28"/>
          <w:lang w:val="zh-CN" w:eastAsia="zh-CN"/>
        </w:rPr>
        <w:t xml:space="preserve"> </w:t>
      </w:r>
      <w:r>
        <w:rPr>
          <w:rFonts w:hint="eastAsia" w:ascii="宋体" w:hAnsi="宋体" w:eastAsia="宋体" w:cs="宋体"/>
          <w:color w:val="auto"/>
          <w:sz w:val="28"/>
          <w:szCs w:val="28"/>
          <w:lang w:val="zh-CN"/>
        </w:rPr>
        <w:t>技术</w:t>
      </w:r>
      <w:r>
        <w:rPr>
          <w:rFonts w:hint="eastAsia" w:ascii="宋体" w:hAnsi="宋体" w:eastAsia="宋体" w:cs="宋体"/>
          <w:color w:val="auto"/>
          <w:sz w:val="28"/>
          <w:szCs w:val="28"/>
          <w:lang w:val="zh-CN" w:eastAsia="zh-CN"/>
        </w:rPr>
        <w:t>标准及</w:t>
      </w:r>
      <w:r>
        <w:rPr>
          <w:rFonts w:hint="eastAsia" w:ascii="宋体" w:hAnsi="宋体" w:eastAsia="宋体" w:cs="宋体"/>
          <w:color w:val="auto"/>
          <w:sz w:val="28"/>
          <w:szCs w:val="28"/>
          <w:lang w:val="zh-CN"/>
        </w:rPr>
        <w:t>要求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_Toc24414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43</w:t>
      </w:r>
      <w:r>
        <w:rPr>
          <w:rFonts w:hint="eastAsia" w:ascii="宋体" w:hAnsi="宋体" w:eastAsia="宋体" w:cs="宋体"/>
          <w:color w:val="auto"/>
          <w:sz w:val="28"/>
          <w:szCs w:val="28"/>
        </w:rPr>
        <w:fldChar w:fldCharType="end"/>
      </w:r>
      <w:r>
        <w:rPr>
          <w:rFonts w:hint="eastAsia" w:ascii="宋体" w:hAnsi="宋体" w:eastAsia="宋体" w:cs="宋体"/>
          <w:bCs/>
          <w:color w:val="auto"/>
          <w:sz w:val="28"/>
          <w:szCs w:val="28"/>
        </w:rPr>
        <w:fldChar w:fldCharType="end"/>
      </w:r>
    </w:p>
    <w:p>
      <w:pPr>
        <w:pStyle w:val="26"/>
        <w:tabs>
          <w:tab w:val="right" w:leader="dot" w:pos="9070"/>
          <w:tab w:val="clear" w:pos="9060"/>
        </w:tabs>
        <w:rPr>
          <w:rFonts w:hint="eastAsia" w:ascii="宋体" w:hAnsi="宋体" w:eastAsia="宋体" w:cs="宋体"/>
          <w:color w:val="auto"/>
          <w:sz w:val="28"/>
          <w:szCs w:val="28"/>
        </w:rPr>
      </w:pPr>
      <w:r>
        <w:rPr>
          <w:rFonts w:hint="eastAsia" w:ascii="宋体" w:hAnsi="宋体" w:eastAsia="宋体" w:cs="宋体"/>
          <w:bCs/>
          <w:color w:val="auto"/>
          <w:sz w:val="28"/>
          <w:szCs w:val="28"/>
        </w:rPr>
        <w:fldChar w:fldCharType="begin"/>
      </w:r>
      <w:r>
        <w:rPr>
          <w:rFonts w:hint="eastAsia" w:ascii="宋体" w:hAnsi="宋体" w:eastAsia="宋体" w:cs="宋体"/>
          <w:bCs/>
          <w:color w:val="auto"/>
          <w:sz w:val="28"/>
          <w:szCs w:val="28"/>
        </w:rPr>
        <w:instrText xml:space="preserve"> HYPERLINK \l _Toc29108 </w:instrText>
      </w:r>
      <w:r>
        <w:rPr>
          <w:rFonts w:hint="eastAsia" w:ascii="宋体" w:hAnsi="宋体" w:eastAsia="宋体" w:cs="宋体"/>
          <w:bCs/>
          <w:color w:val="auto"/>
          <w:sz w:val="28"/>
          <w:szCs w:val="28"/>
        </w:rPr>
        <w:fldChar w:fldCharType="separate"/>
      </w:r>
      <w:r>
        <w:rPr>
          <w:rFonts w:hint="eastAsia" w:ascii="宋体" w:hAnsi="宋体" w:eastAsia="宋体" w:cs="宋体"/>
          <w:bCs/>
          <w:color w:val="auto"/>
          <w:sz w:val="28"/>
          <w:szCs w:val="28"/>
          <w:lang w:val="zh-CN"/>
        </w:rPr>
        <w:t>第</w:t>
      </w:r>
      <w:r>
        <w:rPr>
          <w:rFonts w:hint="eastAsia" w:ascii="宋体" w:hAnsi="宋体" w:eastAsia="宋体" w:cs="宋体"/>
          <w:bCs/>
          <w:color w:val="auto"/>
          <w:sz w:val="28"/>
          <w:szCs w:val="28"/>
        </w:rPr>
        <w:t>八</w:t>
      </w:r>
      <w:r>
        <w:rPr>
          <w:rFonts w:hint="eastAsia" w:ascii="宋体" w:hAnsi="宋体" w:eastAsia="宋体" w:cs="宋体"/>
          <w:bCs/>
          <w:color w:val="auto"/>
          <w:sz w:val="28"/>
          <w:szCs w:val="28"/>
          <w:lang w:val="zh-CN"/>
        </w:rPr>
        <w:t>章  响应文件格式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_Toc29108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44</w:t>
      </w:r>
      <w:r>
        <w:rPr>
          <w:rFonts w:hint="eastAsia" w:ascii="宋体" w:hAnsi="宋体" w:eastAsia="宋体" w:cs="宋体"/>
          <w:color w:val="auto"/>
          <w:sz w:val="28"/>
          <w:szCs w:val="28"/>
        </w:rPr>
        <w:fldChar w:fldCharType="end"/>
      </w:r>
      <w:r>
        <w:rPr>
          <w:rFonts w:hint="eastAsia" w:ascii="宋体" w:hAnsi="宋体" w:eastAsia="宋体" w:cs="宋体"/>
          <w:bCs/>
          <w:color w:val="auto"/>
          <w:sz w:val="28"/>
          <w:szCs w:val="28"/>
        </w:rPr>
        <w:fldChar w:fldCharType="end"/>
      </w:r>
    </w:p>
    <w:p>
      <w:pPr>
        <w:autoSpaceDE w:val="0"/>
        <w:autoSpaceDN w:val="0"/>
        <w:adjustRightInd w:val="0"/>
        <w:snapToGrid w:val="0"/>
        <w:spacing w:line="360" w:lineRule="auto"/>
        <w:rPr>
          <w:rFonts w:ascii="宋体" w:hAnsi="宋体" w:cs="宋体"/>
          <w:b/>
          <w:bCs/>
          <w:color w:val="auto"/>
          <w:sz w:val="28"/>
          <w:szCs w:val="28"/>
        </w:rPr>
      </w:pPr>
      <w:r>
        <w:rPr>
          <w:rFonts w:hint="eastAsia" w:ascii="宋体" w:hAnsi="宋体" w:eastAsia="宋体" w:cs="宋体"/>
          <w:bCs/>
          <w:color w:val="auto"/>
          <w:sz w:val="28"/>
          <w:szCs w:val="28"/>
        </w:rPr>
        <w:fldChar w:fldCharType="end"/>
      </w:r>
    </w:p>
    <w:p>
      <w:pPr>
        <w:autoSpaceDE w:val="0"/>
        <w:autoSpaceDN w:val="0"/>
        <w:adjustRightInd w:val="0"/>
        <w:snapToGrid w:val="0"/>
        <w:spacing w:line="360" w:lineRule="auto"/>
        <w:rPr>
          <w:rFonts w:ascii="宋体" w:hAnsi="宋体" w:cs="宋体"/>
          <w:bCs/>
          <w:color w:val="auto"/>
          <w:sz w:val="28"/>
          <w:szCs w:val="28"/>
        </w:rPr>
      </w:pPr>
    </w:p>
    <w:p>
      <w:pPr>
        <w:autoSpaceDE w:val="0"/>
        <w:autoSpaceDN w:val="0"/>
        <w:adjustRightInd w:val="0"/>
        <w:spacing w:line="360" w:lineRule="auto"/>
        <w:rPr>
          <w:rFonts w:ascii="宋体" w:hAnsi="宋体" w:cs="宋体"/>
          <w:b/>
          <w:bCs/>
          <w:color w:val="auto"/>
          <w:sz w:val="28"/>
          <w:szCs w:val="28"/>
        </w:rPr>
      </w:pPr>
    </w:p>
    <w:p>
      <w:pPr>
        <w:autoSpaceDE w:val="0"/>
        <w:autoSpaceDN w:val="0"/>
        <w:adjustRightInd w:val="0"/>
        <w:jc w:val="left"/>
        <w:rPr>
          <w:rFonts w:ascii="宋体" w:hAnsi="宋体" w:cs="宋体"/>
          <w:b/>
          <w:bCs/>
          <w:color w:val="auto"/>
          <w:sz w:val="28"/>
          <w:szCs w:val="28"/>
          <w:lang w:val="zh-CN"/>
        </w:rPr>
      </w:pPr>
    </w:p>
    <w:p>
      <w:pPr>
        <w:autoSpaceDE w:val="0"/>
        <w:autoSpaceDN w:val="0"/>
        <w:adjustRightInd w:val="0"/>
        <w:jc w:val="left"/>
        <w:rPr>
          <w:rFonts w:ascii="宋体" w:hAnsi="宋体" w:cs="宋体"/>
          <w:b/>
          <w:bCs/>
          <w:color w:val="auto"/>
          <w:sz w:val="28"/>
          <w:szCs w:val="28"/>
          <w:lang w:val="zh-CN"/>
        </w:rPr>
      </w:pPr>
    </w:p>
    <w:p>
      <w:pPr>
        <w:autoSpaceDE w:val="0"/>
        <w:autoSpaceDN w:val="0"/>
        <w:adjustRightInd w:val="0"/>
        <w:jc w:val="left"/>
        <w:rPr>
          <w:rFonts w:ascii="宋体" w:hAnsi="宋体" w:cs="宋体"/>
          <w:b/>
          <w:bCs/>
          <w:color w:val="auto"/>
          <w:sz w:val="28"/>
          <w:szCs w:val="28"/>
          <w:lang w:val="zh-CN"/>
        </w:rPr>
      </w:pPr>
    </w:p>
    <w:p>
      <w:pPr>
        <w:autoSpaceDE w:val="0"/>
        <w:autoSpaceDN w:val="0"/>
        <w:adjustRightInd w:val="0"/>
        <w:jc w:val="left"/>
        <w:rPr>
          <w:rFonts w:ascii="宋体" w:hAnsi="宋体" w:cs="宋体"/>
          <w:b/>
          <w:bCs/>
          <w:color w:val="auto"/>
          <w:sz w:val="28"/>
          <w:szCs w:val="28"/>
          <w:lang w:val="zh-CN"/>
        </w:rPr>
      </w:pPr>
    </w:p>
    <w:p>
      <w:pPr>
        <w:autoSpaceDE w:val="0"/>
        <w:autoSpaceDN w:val="0"/>
        <w:adjustRightInd w:val="0"/>
        <w:jc w:val="left"/>
        <w:rPr>
          <w:rFonts w:ascii="宋体" w:hAnsi="宋体" w:cs="宋体"/>
          <w:b/>
          <w:bCs/>
          <w:color w:val="auto"/>
          <w:sz w:val="28"/>
          <w:szCs w:val="28"/>
          <w:lang w:val="zh-CN"/>
        </w:rPr>
      </w:pPr>
    </w:p>
    <w:p>
      <w:pPr>
        <w:autoSpaceDE w:val="0"/>
        <w:autoSpaceDN w:val="0"/>
        <w:adjustRightInd w:val="0"/>
        <w:jc w:val="left"/>
        <w:rPr>
          <w:rFonts w:ascii="宋体" w:hAnsi="宋体" w:cs="宋体"/>
          <w:b/>
          <w:bCs/>
          <w:color w:val="auto"/>
          <w:sz w:val="28"/>
          <w:szCs w:val="28"/>
          <w:lang w:val="zh-CN"/>
        </w:rPr>
      </w:pPr>
    </w:p>
    <w:p>
      <w:pPr>
        <w:autoSpaceDE w:val="0"/>
        <w:autoSpaceDN w:val="0"/>
        <w:adjustRightInd w:val="0"/>
        <w:snapToGrid w:val="0"/>
        <w:spacing w:line="360" w:lineRule="auto"/>
        <w:rPr>
          <w:rFonts w:ascii="宋体" w:hAnsi="宋体" w:cs="宋体"/>
          <w:b/>
          <w:bCs/>
          <w:color w:val="auto"/>
          <w:sz w:val="28"/>
          <w:szCs w:val="28"/>
          <w:lang w:val="zh-CN"/>
        </w:rPr>
        <w:sectPr>
          <w:headerReference r:id="rId9" w:type="first"/>
          <w:footerReference r:id="rId10" w:type="first"/>
          <w:pgSz w:w="11906" w:h="16838"/>
          <w:pgMar w:top="1418" w:right="1418" w:bottom="1418" w:left="1418" w:header="851" w:footer="992" w:gutter="0"/>
          <w:pgNumType w:start="1"/>
          <w:cols w:space="425" w:num="1"/>
          <w:titlePg/>
          <w:docGrid w:linePitch="312" w:charSpace="0"/>
        </w:sectPr>
      </w:pPr>
    </w:p>
    <w:p>
      <w:pPr>
        <w:pStyle w:val="3"/>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color w:val="auto"/>
          <w:lang w:val="zh-CN"/>
        </w:rPr>
      </w:pPr>
      <w:bookmarkStart w:id="0" w:name="_Toc27265"/>
      <w:r>
        <w:rPr>
          <w:rFonts w:hint="eastAsia" w:ascii="宋体" w:hAnsi="宋体" w:eastAsia="宋体" w:cs="宋体"/>
          <w:b/>
          <w:bCs/>
          <w:color w:val="auto"/>
          <w:szCs w:val="28"/>
          <w:lang w:val="zh-CN"/>
        </w:rPr>
        <w:t>第一章  竞争性磋商公告</w:t>
      </w:r>
      <w:bookmarkEnd w:id="0"/>
    </w:p>
    <w:tbl>
      <w:tblPr>
        <w:tblStyle w:val="36"/>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9600" w:type="dxa"/>
          </w:tcPr>
          <w:p>
            <w:pPr>
              <w:pStyle w:val="9"/>
              <w:keepNext w:val="0"/>
              <w:keepLines w:val="0"/>
              <w:pageBreakBefore w:val="0"/>
              <w:kinsoku/>
              <w:wordWrap/>
              <w:overflowPunct/>
              <w:topLinePunct w:val="0"/>
              <w:autoSpaceDE/>
              <w:autoSpaceDN/>
              <w:bidi w:val="0"/>
              <w:adjustRightInd/>
              <w:snapToGrid/>
              <w:spacing w:before="0" w:after="0" w:line="420" w:lineRule="exact"/>
              <w:textAlignment w:val="auto"/>
              <w:rPr>
                <w:rFonts w:ascii="宋体" w:hAnsi="宋体" w:eastAsia="宋体"/>
                <w:color w:val="auto"/>
                <w:kern w:val="2"/>
              </w:rPr>
            </w:pPr>
            <w:r>
              <w:rPr>
                <w:rFonts w:hint="eastAsia" w:ascii="宋体" w:hAnsi="宋体" w:eastAsia="宋体"/>
                <w:color w:val="auto"/>
                <w:kern w:val="2"/>
              </w:rPr>
              <w:t xml:space="preserve">项目概况 </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b/>
                <w:bCs/>
                <w:color w:val="auto"/>
                <w:kern w:val="2"/>
              </w:rPr>
            </w:pPr>
            <w:r>
              <w:rPr>
                <w:rFonts w:hint="eastAsia" w:cs="Times New Roman"/>
                <w:color w:val="auto"/>
                <w:kern w:val="2"/>
                <w:lang w:eastAsia="zh-CN"/>
              </w:rPr>
              <w:t>2022年省级水利发展资金水土保持项目泾阳县清河水保生态小流域治理工程采购项目</w:t>
            </w:r>
            <w:r>
              <w:rPr>
                <w:rFonts w:hint="eastAsia" w:cs="Times New Roman"/>
                <w:color w:val="auto"/>
                <w:kern w:val="2"/>
              </w:rPr>
              <w:t>的潜在供应商应在西安市未央区凤城八路与渭滨路十字西北角水晶新天地10楼11004室获取采购文件，并于2022年0</w:t>
            </w:r>
            <w:r>
              <w:rPr>
                <w:rFonts w:hint="eastAsia" w:cs="Times New Roman"/>
                <w:color w:val="auto"/>
                <w:kern w:val="2"/>
                <w:lang w:val="en-US" w:eastAsia="zh-CN"/>
              </w:rPr>
              <w:t>7</w:t>
            </w:r>
            <w:r>
              <w:rPr>
                <w:rFonts w:hint="eastAsia" w:cs="Times New Roman"/>
                <w:color w:val="auto"/>
                <w:kern w:val="2"/>
              </w:rPr>
              <w:t>月</w:t>
            </w:r>
            <w:r>
              <w:rPr>
                <w:rFonts w:hint="eastAsia" w:cs="Times New Roman"/>
                <w:color w:val="auto"/>
                <w:kern w:val="2"/>
                <w:lang w:val="en-US" w:eastAsia="zh-CN"/>
              </w:rPr>
              <w:t>12</w:t>
            </w:r>
            <w:r>
              <w:rPr>
                <w:rFonts w:hint="eastAsia" w:cs="Times New Roman"/>
                <w:color w:val="auto"/>
                <w:kern w:val="2"/>
              </w:rPr>
              <w:t xml:space="preserve">日14时30分（北京时间）前提交响应文件。 </w:t>
            </w:r>
          </w:p>
        </w:tc>
      </w:tr>
    </w:tbl>
    <w:p>
      <w:pPr>
        <w:pStyle w:val="7"/>
        <w:keepNext w:val="0"/>
        <w:keepLines w:val="0"/>
        <w:pageBreakBefore w:val="0"/>
        <w:widowControl/>
        <w:kinsoku/>
        <w:wordWrap/>
        <w:overflowPunct/>
        <w:topLinePunct w:val="0"/>
        <w:autoSpaceDE/>
        <w:autoSpaceDN/>
        <w:bidi w:val="0"/>
        <w:adjustRightInd/>
        <w:snapToGrid/>
        <w:spacing w:line="420" w:lineRule="exact"/>
        <w:jc w:val="both"/>
        <w:textAlignment w:val="auto"/>
        <w:rPr>
          <w:rFonts w:ascii="宋体" w:hAnsi="宋体" w:eastAsia="宋体"/>
          <w:b/>
          <w:bCs/>
          <w:color w:val="auto"/>
          <w:sz w:val="24"/>
          <w:szCs w:val="24"/>
        </w:rPr>
      </w:pPr>
      <w:r>
        <w:rPr>
          <w:rFonts w:hint="eastAsia" w:ascii="宋体" w:hAnsi="宋体" w:eastAsia="宋体"/>
          <w:b/>
          <w:bCs/>
          <w:color w:val="auto"/>
          <w:sz w:val="24"/>
          <w:szCs w:val="24"/>
        </w:rPr>
        <w:t>一、项目基本情况</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default" w:eastAsia="宋体" w:cs="Times New Roman"/>
          <w:color w:val="auto"/>
          <w:kern w:val="2"/>
          <w:lang w:val="en-US" w:eastAsia="zh-CN"/>
        </w:rPr>
      </w:pPr>
      <w:r>
        <w:rPr>
          <w:rFonts w:hint="eastAsia" w:cs="Times New Roman"/>
          <w:color w:val="auto"/>
          <w:kern w:val="2"/>
        </w:rPr>
        <w:t>项目编号：SSJY-CG（G）-20220</w:t>
      </w:r>
      <w:r>
        <w:rPr>
          <w:rFonts w:hint="eastAsia" w:cs="Times New Roman"/>
          <w:color w:val="auto"/>
          <w:kern w:val="2"/>
          <w:lang w:val="en-US" w:eastAsia="zh-CN"/>
        </w:rPr>
        <w:t>13</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eastAsia="宋体" w:cs="Times New Roman"/>
          <w:color w:val="auto"/>
          <w:kern w:val="2"/>
          <w:lang w:eastAsia="zh-CN"/>
        </w:rPr>
      </w:pPr>
      <w:r>
        <w:rPr>
          <w:rFonts w:hint="eastAsia" w:cs="Times New Roman"/>
          <w:color w:val="auto"/>
          <w:kern w:val="2"/>
        </w:rPr>
        <w:t>项目名称：</w:t>
      </w:r>
      <w:r>
        <w:rPr>
          <w:rFonts w:hint="eastAsia" w:cs="Times New Roman"/>
          <w:color w:val="auto"/>
          <w:kern w:val="2"/>
          <w:lang w:eastAsia="zh-CN"/>
        </w:rPr>
        <w:t>2022年省级水利发展资金水土保持项目泾阳县清河水保生态小流域治理工程</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rPr>
        <w:t>采购方式：竞争性磋商</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rPr>
        <w:t>预算金额：1,398,500.00元</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rPr>
        <w:t>采购需求：</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960" w:firstLineChars="400"/>
        <w:jc w:val="both"/>
        <w:textAlignment w:val="auto"/>
        <w:rPr>
          <w:rFonts w:cs="Times New Roman"/>
          <w:color w:val="auto"/>
          <w:kern w:val="2"/>
        </w:rPr>
      </w:pPr>
      <w:r>
        <w:rPr>
          <w:rFonts w:hint="eastAsia" w:cs="Times New Roman"/>
          <w:color w:val="auto"/>
          <w:kern w:val="2"/>
        </w:rPr>
        <w:t>合同包1(</w:t>
      </w:r>
      <w:r>
        <w:rPr>
          <w:rFonts w:hint="eastAsia" w:cs="Times New Roman"/>
          <w:color w:val="auto"/>
          <w:kern w:val="2"/>
          <w:lang w:eastAsia="zh-CN"/>
        </w:rPr>
        <w:t>2022年省级水利发展资金水土保持项目泾阳县清河水保生态小流域治理工程</w:t>
      </w:r>
      <w:r>
        <w:rPr>
          <w:rFonts w:hint="eastAsia" w:cs="Times New Roman"/>
          <w:color w:val="auto"/>
          <w:kern w:val="2"/>
        </w:rPr>
        <w:t>):</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960" w:firstLineChars="400"/>
        <w:jc w:val="both"/>
        <w:textAlignment w:val="auto"/>
        <w:rPr>
          <w:rFonts w:cs="Times New Roman"/>
          <w:color w:val="auto"/>
          <w:kern w:val="2"/>
        </w:rPr>
      </w:pPr>
      <w:r>
        <w:rPr>
          <w:rFonts w:hint="eastAsia" w:cs="Times New Roman"/>
          <w:color w:val="auto"/>
          <w:kern w:val="2"/>
        </w:rPr>
        <w:t>合同包预算金额：1,398,500.00元</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960" w:firstLineChars="400"/>
        <w:jc w:val="both"/>
        <w:textAlignment w:val="auto"/>
        <w:rPr>
          <w:rFonts w:cs="Times New Roman"/>
          <w:color w:val="auto"/>
          <w:kern w:val="2"/>
        </w:rPr>
      </w:pPr>
      <w:r>
        <w:rPr>
          <w:rFonts w:hint="eastAsia" w:cs="Times New Roman"/>
          <w:color w:val="auto"/>
          <w:kern w:val="2"/>
        </w:rPr>
        <w:t>合同包最高限价：</w:t>
      </w:r>
      <w:r>
        <w:rPr>
          <w:rFonts w:hint="eastAsia" w:ascii="宋体" w:hAnsi="宋体"/>
          <w:color w:val="auto"/>
          <w:sz w:val="24"/>
          <w:szCs w:val="24"/>
        </w:rPr>
        <w:t>1,398,500.00</w:t>
      </w:r>
      <w:r>
        <w:rPr>
          <w:rFonts w:hint="eastAsia" w:cs="Times New Roman"/>
          <w:color w:val="auto"/>
          <w:kern w:val="2"/>
        </w:rPr>
        <w:t xml:space="preserve">元 </w:t>
      </w:r>
    </w:p>
    <w:tbl>
      <w:tblPr>
        <w:tblStyle w:val="35"/>
        <w:tblW w:w="5242" w:type="pct"/>
        <w:tblCellSpacing w:w="0"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39"/>
        <w:gridCol w:w="1104"/>
        <w:gridCol w:w="2443"/>
        <w:gridCol w:w="1147"/>
        <w:gridCol w:w="1794"/>
        <w:gridCol w:w="1294"/>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6" w:hRule="atLeast"/>
          <w:tblHeader/>
          <w:tblCellSpacing w:w="0" w:type="dxa"/>
        </w:trPr>
        <w:tc>
          <w:tcPr>
            <w:tcW w:w="739" w:type="dxa"/>
            <w:tcBorders>
              <w:tl2br w:val="nil"/>
              <w:tr2bl w:val="nil"/>
            </w:tcBorders>
            <w:shd w:val="clear" w:color="auto" w:fill="auto"/>
            <w:tcMar>
              <w:top w:w="75" w:type="dxa"/>
              <w:left w:w="120" w:type="dxa"/>
              <w:bottom w:w="75" w:type="dxa"/>
              <w:right w:w="120" w:type="dxa"/>
            </w:tcMar>
            <w:vAlign w:val="center"/>
          </w:tcPr>
          <w:p>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b/>
                <w:bCs/>
                <w:color w:val="auto"/>
                <w:sz w:val="24"/>
                <w:szCs w:val="24"/>
              </w:rPr>
            </w:pPr>
            <w:r>
              <w:rPr>
                <w:rFonts w:hint="eastAsia" w:ascii="宋体" w:hAnsi="宋体"/>
                <w:b/>
                <w:bCs/>
                <w:color w:val="auto"/>
                <w:sz w:val="24"/>
                <w:szCs w:val="24"/>
              </w:rPr>
              <w:t>品目号</w:t>
            </w:r>
          </w:p>
        </w:tc>
        <w:tc>
          <w:tcPr>
            <w:tcW w:w="1104" w:type="dxa"/>
            <w:tcBorders>
              <w:tl2br w:val="nil"/>
              <w:tr2bl w:val="nil"/>
            </w:tcBorders>
            <w:shd w:val="clear" w:color="auto" w:fill="auto"/>
            <w:tcMar>
              <w:top w:w="75" w:type="dxa"/>
              <w:left w:w="120" w:type="dxa"/>
              <w:bottom w:w="75" w:type="dxa"/>
              <w:right w:w="120" w:type="dxa"/>
            </w:tcMar>
            <w:vAlign w:val="center"/>
          </w:tcPr>
          <w:p>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b/>
                <w:bCs/>
                <w:color w:val="auto"/>
                <w:sz w:val="24"/>
                <w:szCs w:val="24"/>
              </w:rPr>
            </w:pPr>
            <w:r>
              <w:rPr>
                <w:rFonts w:hint="eastAsia" w:ascii="宋体" w:hAnsi="宋体"/>
                <w:b/>
                <w:bCs/>
                <w:color w:val="auto"/>
                <w:sz w:val="24"/>
                <w:szCs w:val="24"/>
              </w:rPr>
              <w:t>品目名称</w:t>
            </w:r>
          </w:p>
        </w:tc>
        <w:tc>
          <w:tcPr>
            <w:tcW w:w="2443" w:type="dxa"/>
            <w:tcBorders>
              <w:tl2br w:val="nil"/>
              <w:tr2bl w:val="nil"/>
            </w:tcBorders>
            <w:shd w:val="clear" w:color="auto" w:fill="auto"/>
            <w:tcMar>
              <w:top w:w="75" w:type="dxa"/>
              <w:left w:w="120" w:type="dxa"/>
              <w:bottom w:w="75" w:type="dxa"/>
              <w:right w:w="120" w:type="dxa"/>
            </w:tcMar>
            <w:vAlign w:val="center"/>
          </w:tcPr>
          <w:p>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b/>
                <w:bCs/>
                <w:color w:val="auto"/>
                <w:sz w:val="24"/>
                <w:szCs w:val="24"/>
              </w:rPr>
            </w:pPr>
            <w:r>
              <w:rPr>
                <w:rFonts w:hint="eastAsia" w:ascii="宋体" w:hAnsi="宋体"/>
                <w:b/>
                <w:bCs/>
                <w:color w:val="auto"/>
                <w:sz w:val="24"/>
                <w:szCs w:val="24"/>
              </w:rPr>
              <w:t>采购标的</w:t>
            </w:r>
          </w:p>
        </w:tc>
        <w:tc>
          <w:tcPr>
            <w:tcW w:w="1147" w:type="dxa"/>
            <w:tcBorders>
              <w:tl2br w:val="nil"/>
              <w:tr2bl w:val="nil"/>
            </w:tcBorders>
            <w:shd w:val="clear" w:color="auto" w:fill="auto"/>
            <w:tcMar>
              <w:top w:w="75" w:type="dxa"/>
              <w:left w:w="120" w:type="dxa"/>
              <w:bottom w:w="75" w:type="dxa"/>
              <w:right w:w="120" w:type="dxa"/>
            </w:tcMar>
            <w:vAlign w:val="center"/>
          </w:tcPr>
          <w:p>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b/>
                <w:bCs/>
                <w:color w:val="auto"/>
                <w:sz w:val="24"/>
                <w:szCs w:val="24"/>
              </w:rPr>
            </w:pPr>
            <w:r>
              <w:rPr>
                <w:rFonts w:hint="eastAsia" w:ascii="宋体" w:hAnsi="宋体"/>
                <w:b/>
                <w:bCs/>
                <w:color w:val="auto"/>
                <w:sz w:val="24"/>
                <w:szCs w:val="24"/>
              </w:rPr>
              <w:t>数量</w:t>
            </w:r>
          </w:p>
          <w:p>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b/>
                <w:bCs/>
                <w:color w:val="auto"/>
                <w:sz w:val="24"/>
                <w:szCs w:val="24"/>
              </w:rPr>
            </w:pPr>
            <w:r>
              <w:rPr>
                <w:rFonts w:hint="eastAsia" w:ascii="宋体" w:hAnsi="宋体"/>
                <w:b/>
                <w:bCs/>
                <w:color w:val="auto"/>
                <w:sz w:val="24"/>
                <w:szCs w:val="24"/>
              </w:rPr>
              <w:t>（单位）</w:t>
            </w:r>
          </w:p>
        </w:tc>
        <w:tc>
          <w:tcPr>
            <w:tcW w:w="1794" w:type="dxa"/>
            <w:tcBorders>
              <w:tl2br w:val="nil"/>
              <w:tr2bl w:val="nil"/>
            </w:tcBorders>
            <w:shd w:val="clear" w:color="auto" w:fill="auto"/>
            <w:tcMar>
              <w:top w:w="75" w:type="dxa"/>
              <w:left w:w="120" w:type="dxa"/>
              <w:bottom w:w="75" w:type="dxa"/>
              <w:right w:w="120" w:type="dxa"/>
            </w:tcMar>
            <w:vAlign w:val="center"/>
          </w:tcPr>
          <w:p>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b/>
                <w:bCs/>
                <w:color w:val="auto"/>
                <w:sz w:val="24"/>
                <w:szCs w:val="24"/>
              </w:rPr>
            </w:pPr>
            <w:r>
              <w:rPr>
                <w:rFonts w:hint="eastAsia" w:ascii="宋体" w:hAnsi="宋体"/>
                <w:b/>
                <w:bCs/>
                <w:color w:val="auto"/>
                <w:sz w:val="24"/>
                <w:szCs w:val="24"/>
              </w:rPr>
              <w:t>技术规格、参数及要求</w:t>
            </w:r>
          </w:p>
        </w:tc>
        <w:tc>
          <w:tcPr>
            <w:tcW w:w="1294" w:type="dxa"/>
            <w:tcBorders>
              <w:tl2br w:val="nil"/>
              <w:tr2bl w:val="nil"/>
            </w:tcBorders>
            <w:shd w:val="clear" w:color="auto" w:fill="auto"/>
            <w:tcMar>
              <w:top w:w="75" w:type="dxa"/>
              <w:left w:w="120" w:type="dxa"/>
              <w:bottom w:w="75" w:type="dxa"/>
              <w:right w:w="120" w:type="dxa"/>
            </w:tcMar>
            <w:vAlign w:val="center"/>
          </w:tcPr>
          <w:p>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b/>
                <w:bCs/>
                <w:color w:val="auto"/>
                <w:sz w:val="24"/>
                <w:szCs w:val="24"/>
              </w:rPr>
            </w:pPr>
            <w:r>
              <w:rPr>
                <w:rFonts w:hint="eastAsia" w:ascii="宋体" w:hAnsi="宋体"/>
                <w:b/>
                <w:bCs/>
                <w:color w:val="auto"/>
                <w:sz w:val="24"/>
                <w:szCs w:val="24"/>
              </w:rPr>
              <w:t>品目预算(元)</w:t>
            </w:r>
          </w:p>
        </w:tc>
        <w:tc>
          <w:tcPr>
            <w:tcW w:w="1261" w:type="dxa"/>
            <w:tcBorders>
              <w:tl2br w:val="nil"/>
              <w:tr2bl w:val="nil"/>
            </w:tcBorders>
            <w:shd w:val="clear" w:color="auto" w:fill="auto"/>
            <w:tcMar>
              <w:top w:w="75" w:type="dxa"/>
              <w:left w:w="120" w:type="dxa"/>
              <w:bottom w:w="75" w:type="dxa"/>
              <w:right w:w="120" w:type="dxa"/>
            </w:tcMar>
            <w:vAlign w:val="center"/>
          </w:tcPr>
          <w:p>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b/>
                <w:bCs/>
                <w:color w:val="auto"/>
                <w:sz w:val="24"/>
                <w:szCs w:val="24"/>
              </w:rPr>
            </w:pPr>
            <w:r>
              <w:rPr>
                <w:rFonts w:hint="eastAsia" w:ascii="宋体" w:hAnsi="宋体"/>
                <w:b/>
                <w:bCs/>
                <w:color w:val="auto"/>
                <w:sz w:val="24"/>
                <w:szCs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0" w:type="dxa"/>
        </w:trPr>
        <w:tc>
          <w:tcPr>
            <w:tcW w:w="739" w:type="dxa"/>
            <w:tcBorders>
              <w:tl2br w:val="nil"/>
              <w:tr2bl w:val="nil"/>
            </w:tcBorders>
            <w:shd w:val="clear" w:color="auto" w:fill="auto"/>
            <w:tcMar>
              <w:top w:w="75" w:type="dxa"/>
              <w:left w:w="120" w:type="dxa"/>
              <w:bottom w:w="75" w:type="dxa"/>
              <w:right w:w="120" w:type="dxa"/>
            </w:tcMar>
            <w:vAlign w:val="center"/>
          </w:tcPr>
          <w:p>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auto"/>
                <w:sz w:val="24"/>
                <w:szCs w:val="24"/>
              </w:rPr>
            </w:pPr>
            <w:r>
              <w:rPr>
                <w:rFonts w:hint="eastAsia" w:ascii="宋体" w:hAnsi="宋体"/>
                <w:color w:val="auto"/>
                <w:sz w:val="24"/>
                <w:szCs w:val="24"/>
              </w:rPr>
              <w:t>1-1</w:t>
            </w:r>
          </w:p>
        </w:tc>
        <w:tc>
          <w:tcPr>
            <w:tcW w:w="1104" w:type="dxa"/>
            <w:tcBorders>
              <w:tl2br w:val="nil"/>
              <w:tr2bl w:val="nil"/>
            </w:tcBorders>
            <w:shd w:val="clear" w:color="auto" w:fill="auto"/>
            <w:tcMar>
              <w:top w:w="75" w:type="dxa"/>
              <w:left w:w="120" w:type="dxa"/>
              <w:bottom w:w="75" w:type="dxa"/>
              <w:right w:w="120" w:type="dxa"/>
            </w:tcMar>
            <w:vAlign w:val="center"/>
          </w:tcPr>
          <w:p>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auto"/>
                <w:sz w:val="24"/>
                <w:szCs w:val="24"/>
              </w:rPr>
            </w:pPr>
            <w:r>
              <w:rPr>
                <w:rFonts w:ascii="宋体" w:hAnsi="宋体"/>
                <w:color w:val="auto"/>
                <w:sz w:val="24"/>
                <w:szCs w:val="24"/>
              </w:rPr>
              <w:t>其他建筑物施工</w:t>
            </w:r>
          </w:p>
        </w:tc>
        <w:tc>
          <w:tcPr>
            <w:tcW w:w="2443" w:type="dxa"/>
            <w:tcBorders>
              <w:tl2br w:val="nil"/>
              <w:tr2bl w:val="nil"/>
            </w:tcBorders>
            <w:shd w:val="clear" w:color="auto" w:fill="auto"/>
            <w:tcMar>
              <w:top w:w="75" w:type="dxa"/>
              <w:left w:w="120" w:type="dxa"/>
              <w:bottom w:w="75" w:type="dxa"/>
              <w:right w:w="120" w:type="dxa"/>
            </w:tcMar>
            <w:vAlign w:val="center"/>
          </w:tcPr>
          <w:p>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auto"/>
                <w:sz w:val="24"/>
                <w:szCs w:val="24"/>
              </w:rPr>
            </w:pPr>
            <w:r>
              <w:rPr>
                <w:rFonts w:hint="eastAsia" w:ascii="宋体" w:hAnsi="宋体"/>
                <w:color w:val="auto"/>
                <w:sz w:val="24"/>
                <w:szCs w:val="24"/>
                <w:lang w:eastAsia="zh-CN"/>
              </w:rPr>
              <w:t>2022年省级水利发展资金水土保持项目泾阳县清河水保生态小流域治理工程</w:t>
            </w:r>
          </w:p>
        </w:tc>
        <w:tc>
          <w:tcPr>
            <w:tcW w:w="1147" w:type="dxa"/>
            <w:tcBorders>
              <w:tl2br w:val="nil"/>
              <w:tr2bl w:val="nil"/>
            </w:tcBorders>
            <w:shd w:val="clear" w:color="auto" w:fill="auto"/>
            <w:tcMar>
              <w:top w:w="75" w:type="dxa"/>
              <w:left w:w="120" w:type="dxa"/>
              <w:bottom w:w="75" w:type="dxa"/>
              <w:right w:w="120" w:type="dxa"/>
            </w:tcMar>
            <w:vAlign w:val="center"/>
          </w:tcPr>
          <w:p>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auto"/>
                <w:sz w:val="24"/>
                <w:szCs w:val="24"/>
              </w:rPr>
            </w:pPr>
            <w:r>
              <w:rPr>
                <w:rFonts w:hint="eastAsia" w:ascii="宋体" w:hAnsi="宋体"/>
                <w:color w:val="auto"/>
                <w:sz w:val="24"/>
                <w:szCs w:val="24"/>
              </w:rPr>
              <w:t>1(项)</w:t>
            </w:r>
          </w:p>
        </w:tc>
        <w:tc>
          <w:tcPr>
            <w:tcW w:w="1794" w:type="dxa"/>
            <w:tcBorders>
              <w:tl2br w:val="nil"/>
              <w:tr2bl w:val="nil"/>
            </w:tcBorders>
            <w:shd w:val="clear" w:color="auto" w:fill="auto"/>
            <w:tcMar>
              <w:top w:w="75" w:type="dxa"/>
              <w:left w:w="120" w:type="dxa"/>
              <w:bottom w:w="75" w:type="dxa"/>
              <w:right w:w="120" w:type="dxa"/>
            </w:tcMar>
            <w:vAlign w:val="center"/>
          </w:tcPr>
          <w:p>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auto"/>
                <w:sz w:val="24"/>
                <w:szCs w:val="24"/>
              </w:rPr>
            </w:pPr>
            <w:r>
              <w:rPr>
                <w:rFonts w:hint="eastAsia" w:ascii="宋体" w:hAnsi="宋体"/>
                <w:color w:val="auto"/>
                <w:sz w:val="24"/>
                <w:szCs w:val="24"/>
              </w:rPr>
              <w:t>详见采购文件</w:t>
            </w:r>
          </w:p>
        </w:tc>
        <w:tc>
          <w:tcPr>
            <w:tcW w:w="1294" w:type="dxa"/>
            <w:tcBorders>
              <w:tl2br w:val="nil"/>
              <w:tr2bl w:val="nil"/>
            </w:tcBorders>
            <w:shd w:val="clear" w:color="auto" w:fill="auto"/>
            <w:tcMar>
              <w:top w:w="75" w:type="dxa"/>
              <w:left w:w="120" w:type="dxa"/>
              <w:bottom w:w="75" w:type="dxa"/>
              <w:right w:w="120" w:type="dxa"/>
            </w:tcMar>
            <w:vAlign w:val="center"/>
          </w:tcPr>
          <w:p>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auto"/>
                <w:sz w:val="24"/>
                <w:szCs w:val="24"/>
              </w:rPr>
            </w:pPr>
            <w:r>
              <w:rPr>
                <w:rFonts w:hint="eastAsia" w:ascii="宋体" w:hAnsi="宋体"/>
                <w:color w:val="auto"/>
                <w:sz w:val="24"/>
                <w:szCs w:val="24"/>
              </w:rPr>
              <w:t>1,398,500.00</w:t>
            </w:r>
          </w:p>
        </w:tc>
        <w:tc>
          <w:tcPr>
            <w:tcW w:w="1261" w:type="dxa"/>
            <w:tcBorders>
              <w:tl2br w:val="nil"/>
              <w:tr2bl w:val="nil"/>
            </w:tcBorders>
            <w:shd w:val="clear" w:color="auto" w:fill="auto"/>
            <w:tcMar>
              <w:top w:w="75" w:type="dxa"/>
              <w:left w:w="120" w:type="dxa"/>
              <w:bottom w:w="75" w:type="dxa"/>
              <w:right w:w="120" w:type="dxa"/>
            </w:tcMar>
            <w:vAlign w:val="center"/>
          </w:tcPr>
          <w:p>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auto"/>
                <w:sz w:val="24"/>
                <w:szCs w:val="24"/>
              </w:rPr>
            </w:pPr>
            <w:r>
              <w:rPr>
                <w:rFonts w:hint="eastAsia" w:ascii="宋体" w:hAnsi="宋体"/>
                <w:color w:val="auto"/>
                <w:sz w:val="24"/>
                <w:szCs w:val="24"/>
              </w:rPr>
              <w:t>1,398,500.00</w:t>
            </w:r>
          </w:p>
        </w:tc>
      </w:tr>
    </w:tbl>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cs="Times New Roman"/>
          <w:color w:val="auto"/>
          <w:kern w:val="2"/>
        </w:rPr>
      </w:pPr>
      <w:r>
        <w:rPr>
          <w:rFonts w:hint="eastAsia" w:cs="Times New Roman"/>
          <w:color w:val="auto"/>
          <w:kern w:val="2"/>
        </w:rPr>
        <w:t xml:space="preserve">本合同包不接受联合体投标 </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default" w:eastAsia="宋体" w:cs="Times New Roman"/>
          <w:color w:val="auto"/>
          <w:kern w:val="2"/>
          <w:highlight w:val="none"/>
          <w:lang w:val="en-US" w:eastAsia="zh-CN"/>
        </w:rPr>
      </w:pPr>
      <w:r>
        <w:rPr>
          <w:rFonts w:hint="eastAsia" w:cs="Times New Roman"/>
          <w:color w:val="auto"/>
          <w:kern w:val="2"/>
          <w:highlight w:val="none"/>
        </w:rPr>
        <w:t>合同履行期限：</w:t>
      </w:r>
      <w:r>
        <w:rPr>
          <w:rFonts w:hint="eastAsia" w:cs="Times New Roman"/>
          <w:color w:val="auto"/>
          <w:kern w:val="2"/>
          <w:highlight w:val="none"/>
          <w:lang w:val="en-US" w:eastAsia="zh-CN"/>
        </w:rPr>
        <w:t>10个月</w:t>
      </w:r>
    </w:p>
    <w:p>
      <w:pPr>
        <w:pStyle w:val="7"/>
        <w:keepNext w:val="0"/>
        <w:keepLines w:val="0"/>
        <w:pageBreakBefore w:val="0"/>
        <w:widowControl/>
        <w:kinsoku/>
        <w:wordWrap/>
        <w:overflowPunct/>
        <w:topLinePunct w:val="0"/>
        <w:autoSpaceDE/>
        <w:autoSpaceDN/>
        <w:bidi w:val="0"/>
        <w:adjustRightInd/>
        <w:snapToGrid/>
        <w:spacing w:line="420" w:lineRule="exact"/>
        <w:jc w:val="both"/>
        <w:textAlignment w:val="auto"/>
        <w:rPr>
          <w:rFonts w:ascii="宋体" w:hAnsi="宋体" w:eastAsia="宋体"/>
          <w:b/>
          <w:bCs/>
          <w:color w:val="auto"/>
          <w:sz w:val="24"/>
          <w:szCs w:val="24"/>
        </w:rPr>
      </w:pPr>
      <w:r>
        <w:rPr>
          <w:rFonts w:hint="eastAsia" w:ascii="宋体" w:hAnsi="宋体" w:eastAsia="宋体"/>
          <w:b/>
          <w:bCs/>
          <w:color w:val="auto"/>
          <w:sz w:val="24"/>
          <w:szCs w:val="24"/>
        </w:rPr>
        <w:t>二、申请人的资格要求：</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rPr>
        <w:t>1.满足《中华人民共和国政府釆购法》第二十二条规定;</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rPr>
        <w:t xml:space="preserve">2.落实政府采购政策需满足的资格要求： </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rPr>
        <w:t>合同包1(</w:t>
      </w:r>
      <w:r>
        <w:rPr>
          <w:rFonts w:hint="eastAsia" w:cs="Times New Roman"/>
          <w:color w:val="auto"/>
          <w:kern w:val="2"/>
          <w:lang w:eastAsia="zh-CN"/>
        </w:rPr>
        <w:t>2022年省级水利发展资金水土保持项目泾阳县清河水保生态小流域治理工程采购项目</w:t>
      </w:r>
      <w:r>
        <w:rPr>
          <w:rFonts w:hint="eastAsia" w:cs="Times New Roman"/>
          <w:color w:val="auto"/>
          <w:kern w:val="2"/>
        </w:rPr>
        <w:t>)落实政府采购政策需满足的资格要求如下:</w:t>
      </w:r>
    </w:p>
    <w:p>
      <w:pPr>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color w:val="auto"/>
          <w:sz w:val="24"/>
          <w:szCs w:val="24"/>
        </w:rPr>
      </w:pPr>
      <w:r>
        <w:rPr>
          <w:rFonts w:hint="eastAsia" w:ascii="宋体" w:hAnsi="宋体"/>
          <w:color w:val="auto"/>
          <w:sz w:val="24"/>
          <w:szCs w:val="24"/>
        </w:rPr>
        <w:t>依据《中华人民共和国政府采购法》和《中华人民共和国政府采购法实施条例》的有关规定，落实政府采购政策，详见磋商文件。</w:t>
      </w:r>
    </w:p>
    <w:p>
      <w:pPr>
        <w:keepLines w:val="0"/>
        <w:pageBreakBefore w:val="0"/>
        <w:numPr>
          <w:ilvl w:val="0"/>
          <w:numId w:val="1"/>
        </w:numPr>
        <w:kinsoku/>
        <w:wordWrap/>
        <w:overflowPunct/>
        <w:topLinePunct w:val="0"/>
        <w:autoSpaceDE/>
        <w:autoSpaceDN/>
        <w:bidi w:val="0"/>
        <w:adjustRightInd/>
        <w:snapToGrid/>
        <w:spacing w:line="420" w:lineRule="exact"/>
        <w:ind w:firstLine="480" w:firstLineChars="200"/>
        <w:textAlignment w:val="auto"/>
        <w:rPr>
          <w:rFonts w:ascii="宋体" w:hAnsi="宋体"/>
          <w:color w:val="auto"/>
          <w:sz w:val="24"/>
          <w:szCs w:val="24"/>
        </w:rPr>
      </w:pPr>
      <w:r>
        <w:rPr>
          <w:rFonts w:hint="eastAsia" w:ascii="宋体" w:hAnsi="宋体"/>
          <w:color w:val="auto"/>
          <w:sz w:val="24"/>
          <w:szCs w:val="24"/>
        </w:rPr>
        <w:t>《政府采购促进中小企业发展管理办法》（财库〔2020〕46号）；</w:t>
      </w:r>
    </w:p>
    <w:p>
      <w:pPr>
        <w:keepLines w:val="0"/>
        <w:pageBreakBefore w:val="0"/>
        <w:numPr>
          <w:ilvl w:val="0"/>
          <w:numId w:val="1"/>
        </w:numPr>
        <w:kinsoku/>
        <w:wordWrap/>
        <w:overflowPunct/>
        <w:topLinePunct w:val="0"/>
        <w:autoSpaceDE/>
        <w:autoSpaceDN/>
        <w:bidi w:val="0"/>
        <w:adjustRightInd/>
        <w:snapToGrid/>
        <w:spacing w:line="420" w:lineRule="exact"/>
        <w:ind w:firstLine="480" w:firstLineChars="200"/>
        <w:textAlignment w:val="auto"/>
        <w:rPr>
          <w:rFonts w:ascii="宋体" w:hAnsi="宋体"/>
          <w:color w:val="auto"/>
          <w:sz w:val="24"/>
          <w:szCs w:val="24"/>
        </w:rPr>
      </w:pPr>
      <w:r>
        <w:rPr>
          <w:rFonts w:hint="eastAsia" w:ascii="宋体" w:hAnsi="宋体"/>
          <w:color w:val="auto"/>
          <w:sz w:val="24"/>
          <w:szCs w:val="24"/>
        </w:rPr>
        <w:t>《财政部司法部关于政府采购支持监狱企业发展有关问题的通知》（财库〔2014〕68号）；</w:t>
      </w:r>
    </w:p>
    <w:p>
      <w:pPr>
        <w:keepLines w:val="0"/>
        <w:pageBreakBefore w:val="0"/>
        <w:numPr>
          <w:ilvl w:val="0"/>
          <w:numId w:val="1"/>
        </w:numPr>
        <w:kinsoku/>
        <w:wordWrap/>
        <w:overflowPunct/>
        <w:topLinePunct w:val="0"/>
        <w:autoSpaceDE/>
        <w:autoSpaceDN/>
        <w:bidi w:val="0"/>
        <w:adjustRightInd/>
        <w:snapToGrid/>
        <w:spacing w:line="420" w:lineRule="exact"/>
        <w:ind w:firstLine="480" w:firstLineChars="200"/>
        <w:textAlignment w:val="auto"/>
        <w:rPr>
          <w:rFonts w:ascii="宋体" w:hAnsi="宋体"/>
          <w:color w:val="auto"/>
          <w:sz w:val="24"/>
          <w:szCs w:val="24"/>
        </w:rPr>
      </w:pPr>
      <w:r>
        <w:rPr>
          <w:rFonts w:hint="eastAsia" w:ascii="宋体" w:hAnsi="宋体"/>
          <w:color w:val="auto"/>
          <w:sz w:val="24"/>
          <w:szCs w:val="24"/>
        </w:rPr>
        <w:t>《国务院办公厅关于建立政府强制采购节能产品制度的通知》（国办发〔2007〕51号）；</w:t>
      </w:r>
    </w:p>
    <w:p>
      <w:pPr>
        <w:keepLines w:val="0"/>
        <w:pageBreakBefore w:val="0"/>
        <w:numPr>
          <w:ilvl w:val="0"/>
          <w:numId w:val="1"/>
        </w:numPr>
        <w:kinsoku/>
        <w:wordWrap/>
        <w:overflowPunct/>
        <w:topLinePunct w:val="0"/>
        <w:autoSpaceDE/>
        <w:autoSpaceDN/>
        <w:bidi w:val="0"/>
        <w:adjustRightInd/>
        <w:snapToGrid/>
        <w:spacing w:line="420" w:lineRule="exact"/>
        <w:ind w:firstLine="480" w:firstLineChars="200"/>
        <w:textAlignment w:val="auto"/>
        <w:rPr>
          <w:rFonts w:ascii="宋体" w:hAnsi="宋体"/>
          <w:color w:val="auto"/>
          <w:sz w:val="24"/>
          <w:szCs w:val="24"/>
        </w:rPr>
      </w:pPr>
      <w:r>
        <w:rPr>
          <w:rFonts w:hint="eastAsia" w:ascii="宋体" w:hAnsi="宋体"/>
          <w:color w:val="auto"/>
          <w:sz w:val="24"/>
          <w:szCs w:val="24"/>
        </w:rPr>
        <w:t>《环境标志产品政府采购实施的意见》（财库〔2006〕90号）；</w:t>
      </w:r>
    </w:p>
    <w:p>
      <w:pPr>
        <w:keepLines w:val="0"/>
        <w:pageBreakBefore w:val="0"/>
        <w:numPr>
          <w:ilvl w:val="0"/>
          <w:numId w:val="1"/>
        </w:numPr>
        <w:kinsoku/>
        <w:wordWrap/>
        <w:overflowPunct/>
        <w:topLinePunct w:val="0"/>
        <w:autoSpaceDE/>
        <w:autoSpaceDN/>
        <w:bidi w:val="0"/>
        <w:adjustRightInd/>
        <w:snapToGrid/>
        <w:spacing w:line="420" w:lineRule="exact"/>
        <w:ind w:firstLine="480" w:firstLineChars="200"/>
        <w:textAlignment w:val="auto"/>
        <w:rPr>
          <w:rFonts w:ascii="宋体" w:hAnsi="宋体"/>
          <w:color w:val="auto"/>
          <w:sz w:val="24"/>
          <w:szCs w:val="24"/>
        </w:rPr>
      </w:pPr>
      <w:r>
        <w:rPr>
          <w:rFonts w:hint="eastAsia" w:ascii="宋体" w:hAnsi="宋体"/>
          <w:color w:val="auto"/>
          <w:sz w:val="24"/>
          <w:szCs w:val="24"/>
        </w:rPr>
        <w:t>《关于促进残疾人就业政府采购政策的通知》财库〔2017〕141号；</w:t>
      </w:r>
    </w:p>
    <w:p>
      <w:pPr>
        <w:keepLines w:val="0"/>
        <w:pageBreakBefore w:val="0"/>
        <w:numPr>
          <w:ilvl w:val="0"/>
          <w:numId w:val="1"/>
        </w:numPr>
        <w:kinsoku/>
        <w:wordWrap/>
        <w:overflowPunct/>
        <w:topLinePunct w:val="0"/>
        <w:autoSpaceDE/>
        <w:autoSpaceDN/>
        <w:bidi w:val="0"/>
        <w:adjustRightInd/>
        <w:snapToGrid/>
        <w:spacing w:line="420" w:lineRule="exact"/>
        <w:ind w:firstLine="480" w:firstLineChars="200"/>
        <w:textAlignment w:val="auto"/>
        <w:rPr>
          <w:rFonts w:ascii="宋体" w:hAnsi="宋体"/>
          <w:color w:val="auto"/>
          <w:sz w:val="24"/>
          <w:szCs w:val="24"/>
        </w:rPr>
      </w:pPr>
      <w:r>
        <w:rPr>
          <w:rFonts w:hint="eastAsia" w:ascii="宋体" w:hAnsi="宋体"/>
          <w:color w:val="auto"/>
          <w:sz w:val="24"/>
          <w:szCs w:val="24"/>
        </w:rPr>
        <w:t xml:space="preserve"> 财政部国家发展改革委关于印发〈节能产品政府采购实施意见〉的通知》（财库〔2004〕185号）；</w:t>
      </w:r>
    </w:p>
    <w:p>
      <w:pPr>
        <w:keepLines w:val="0"/>
        <w:pageBreakBefore w:val="0"/>
        <w:numPr>
          <w:ilvl w:val="0"/>
          <w:numId w:val="1"/>
        </w:numPr>
        <w:kinsoku/>
        <w:wordWrap/>
        <w:overflowPunct/>
        <w:topLinePunct w:val="0"/>
        <w:autoSpaceDE/>
        <w:autoSpaceDN/>
        <w:bidi w:val="0"/>
        <w:adjustRightInd/>
        <w:snapToGrid/>
        <w:spacing w:line="420" w:lineRule="exact"/>
        <w:ind w:firstLine="480" w:firstLineChars="200"/>
        <w:textAlignment w:val="auto"/>
        <w:rPr>
          <w:rFonts w:ascii="宋体" w:hAnsi="宋体"/>
          <w:color w:val="auto"/>
          <w:sz w:val="24"/>
          <w:szCs w:val="24"/>
        </w:rPr>
      </w:pPr>
      <w:r>
        <w:rPr>
          <w:rFonts w:hint="eastAsia" w:ascii="宋体" w:hAnsi="宋体"/>
          <w:color w:val="auto"/>
          <w:sz w:val="24"/>
          <w:szCs w:val="24"/>
        </w:rPr>
        <w:t>《财政部发展改革委生态环境部市场监管总局关于调整优化节能产品、环境标志产品政府采购执行机制的通知》（财库〔2019〕9号）；</w:t>
      </w:r>
    </w:p>
    <w:p>
      <w:pPr>
        <w:keepLines w:val="0"/>
        <w:pageBreakBefore w:val="0"/>
        <w:numPr>
          <w:ilvl w:val="0"/>
          <w:numId w:val="1"/>
        </w:numPr>
        <w:kinsoku/>
        <w:wordWrap/>
        <w:overflowPunct/>
        <w:topLinePunct w:val="0"/>
        <w:autoSpaceDE/>
        <w:autoSpaceDN/>
        <w:bidi w:val="0"/>
        <w:adjustRightInd/>
        <w:snapToGrid/>
        <w:spacing w:line="420" w:lineRule="exact"/>
        <w:ind w:firstLine="480" w:firstLineChars="200"/>
        <w:textAlignment w:val="auto"/>
        <w:rPr>
          <w:rFonts w:ascii="宋体" w:hAnsi="宋体"/>
          <w:color w:val="auto"/>
          <w:sz w:val="24"/>
          <w:szCs w:val="24"/>
        </w:rPr>
      </w:pPr>
      <w:r>
        <w:rPr>
          <w:rFonts w:hint="eastAsia" w:ascii="宋体" w:hAnsi="宋体"/>
          <w:color w:val="auto"/>
          <w:sz w:val="24"/>
          <w:szCs w:val="24"/>
        </w:rPr>
        <w:t>《关于印发环境标志产品政府采购品目清单的通知》（财库〔2019〕18号）；</w:t>
      </w:r>
    </w:p>
    <w:p>
      <w:pPr>
        <w:keepLines w:val="0"/>
        <w:pageBreakBefore w:val="0"/>
        <w:numPr>
          <w:ilvl w:val="0"/>
          <w:numId w:val="1"/>
        </w:numPr>
        <w:kinsoku/>
        <w:wordWrap/>
        <w:overflowPunct/>
        <w:topLinePunct w:val="0"/>
        <w:autoSpaceDE/>
        <w:autoSpaceDN/>
        <w:bidi w:val="0"/>
        <w:adjustRightInd/>
        <w:snapToGrid/>
        <w:spacing w:line="420" w:lineRule="exact"/>
        <w:ind w:firstLine="480" w:firstLineChars="200"/>
        <w:textAlignment w:val="auto"/>
        <w:rPr>
          <w:rFonts w:ascii="宋体" w:hAnsi="宋体"/>
          <w:color w:val="auto"/>
          <w:sz w:val="24"/>
          <w:szCs w:val="24"/>
        </w:rPr>
      </w:pPr>
      <w:r>
        <w:rPr>
          <w:rFonts w:hint="eastAsia" w:ascii="宋体" w:hAnsi="宋体"/>
          <w:color w:val="auto"/>
          <w:sz w:val="24"/>
          <w:szCs w:val="24"/>
        </w:rPr>
        <w:t>《关于印发节能产品政府采购品目清单的通知》（财库〔2019〕19号）；</w:t>
      </w:r>
    </w:p>
    <w:p>
      <w:pPr>
        <w:keepLines w:val="0"/>
        <w:pageBreakBefore w:val="0"/>
        <w:numPr>
          <w:ilvl w:val="0"/>
          <w:numId w:val="1"/>
        </w:numPr>
        <w:kinsoku/>
        <w:wordWrap/>
        <w:overflowPunct/>
        <w:topLinePunct w:val="0"/>
        <w:autoSpaceDE/>
        <w:autoSpaceDN/>
        <w:bidi w:val="0"/>
        <w:adjustRightInd/>
        <w:snapToGrid/>
        <w:spacing w:line="420" w:lineRule="exact"/>
        <w:ind w:firstLine="480" w:firstLineChars="200"/>
        <w:textAlignment w:val="auto"/>
        <w:rPr>
          <w:rFonts w:ascii="宋体" w:hAnsi="宋体"/>
          <w:color w:val="auto"/>
          <w:sz w:val="24"/>
          <w:szCs w:val="24"/>
        </w:rPr>
      </w:pPr>
      <w:r>
        <w:rPr>
          <w:rFonts w:hint="eastAsia" w:ascii="宋体" w:hAnsi="宋体"/>
          <w:color w:val="auto"/>
          <w:sz w:val="24"/>
          <w:szCs w:val="24"/>
        </w:rPr>
        <w:t>《关于运用政府采购政策支持乡村产业振兴的通知》财库〔2021〕19号；</w:t>
      </w:r>
    </w:p>
    <w:p>
      <w:pPr>
        <w:keepLines w:val="0"/>
        <w:pageBreakBefore w:val="0"/>
        <w:numPr>
          <w:ilvl w:val="0"/>
          <w:numId w:val="1"/>
        </w:numPr>
        <w:kinsoku/>
        <w:wordWrap/>
        <w:overflowPunct/>
        <w:topLinePunct w:val="0"/>
        <w:autoSpaceDE/>
        <w:autoSpaceDN/>
        <w:bidi w:val="0"/>
        <w:adjustRightInd/>
        <w:snapToGrid/>
        <w:spacing w:line="420" w:lineRule="exact"/>
        <w:ind w:firstLine="480" w:firstLineChars="200"/>
        <w:textAlignment w:val="auto"/>
        <w:rPr>
          <w:rFonts w:ascii="宋体" w:hAnsi="宋体"/>
          <w:color w:val="auto"/>
          <w:sz w:val="24"/>
          <w:szCs w:val="24"/>
        </w:rPr>
      </w:pPr>
      <w:r>
        <w:rPr>
          <w:rFonts w:hint="eastAsia" w:ascii="宋体" w:hAnsi="宋体"/>
          <w:color w:val="auto"/>
          <w:sz w:val="24"/>
          <w:szCs w:val="24"/>
        </w:rPr>
        <w:t>《陕西省中小企业政府采购信用融资办法》（陕财办采〔2018〕23号）；</w:t>
      </w:r>
    </w:p>
    <w:p>
      <w:pPr>
        <w:keepLines w:val="0"/>
        <w:pageBreakBefore w:val="0"/>
        <w:numPr>
          <w:ilvl w:val="0"/>
          <w:numId w:val="1"/>
        </w:numPr>
        <w:kinsoku/>
        <w:wordWrap/>
        <w:overflowPunct/>
        <w:topLinePunct w:val="0"/>
        <w:autoSpaceDE/>
        <w:autoSpaceDN/>
        <w:bidi w:val="0"/>
        <w:adjustRightInd/>
        <w:snapToGrid/>
        <w:spacing w:line="420" w:lineRule="exact"/>
        <w:ind w:firstLine="480" w:firstLineChars="200"/>
        <w:textAlignment w:val="auto"/>
        <w:rPr>
          <w:rFonts w:ascii="宋体" w:hAnsi="宋体"/>
          <w:color w:val="auto"/>
          <w:sz w:val="24"/>
          <w:szCs w:val="24"/>
        </w:rPr>
      </w:pPr>
      <w:r>
        <w:rPr>
          <w:rFonts w:hint="eastAsia" w:ascii="宋体" w:hAnsi="宋体"/>
          <w:color w:val="auto"/>
          <w:sz w:val="24"/>
          <w:szCs w:val="24"/>
        </w:rPr>
        <w:t>《陕西省财政厅关于加快推进我省中小企业政府采购信用融资工作的通知》（陕财办采〔2020〕15号）；</w:t>
      </w:r>
    </w:p>
    <w:p>
      <w:pPr>
        <w:keepLines w:val="0"/>
        <w:pageBreakBefore w:val="0"/>
        <w:numPr>
          <w:ilvl w:val="0"/>
          <w:numId w:val="1"/>
        </w:numPr>
        <w:kinsoku/>
        <w:wordWrap/>
        <w:overflowPunct/>
        <w:topLinePunct w:val="0"/>
        <w:autoSpaceDE/>
        <w:autoSpaceDN/>
        <w:bidi w:val="0"/>
        <w:adjustRightInd/>
        <w:snapToGrid/>
        <w:spacing w:line="420" w:lineRule="exact"/>
        <w:ind w:firstLine="480" w:firstLineChars="200"/>
        <w:textAlignment w:val="auto"/>
        <w:rPr>
          <w:rFonts w:ascii="宋体" w:hAnsi="宋体"/>
          <w:color w:val="auto"/>
          <w:sz w:val="24"/>
          <w:szCs w:val="24"/>
        </w:rPr>
      </w:pPr>
      <w:r>
        <w:rPr>
          <w:rFonts w:hint="eastAsia" w:ascii="宋体" w:hAnsi="宋体"/>
          <w:color w:val="auto"/>
          <w:sz w:val="24"/>
          <w:szCs w:val="24"/>
        </w:rPr>
        <w:t>《财政部关于在政府采购活动中查询及使用信用记录有关问题的通知》（财库〔2016〕125 号）；</w:t>
      </w:r>
    </w:p>
    <w:p>
      <w:pPr>
        <w:keepLines w:val="0"/>
        <w:pageBreakBefore w:val="0"/>
        <w:numPr>
          <w:ilvl w:val="0"/>
          <w:numId w:val="1"/>
        </w:numPr>
        <w:kinsoku/>
        <w:wordWrap/>
        <w:overflowPunct/>
        <w:topLinePunct w:val="0"/>
        <w:autoSpaceDE/>
        <w:autoSpaceDN/>
        <w:bidi w:val="0"/>
        <w:adjustRightInd/>
        <w:snapToGrid/>
        <w:spacing w:line="420" w:lineRule="exact"/>
        <w:ind w:firstLine="480" w:firstLineChars="200"/>
        <w:textAlignment w:val="auto"/>
        <w:rPr>
          <w:rFonts w:ascii="宋体" w:hAnsi="宋体"/>
          <w:color w:val="auto"/>
          <w:sz w:val="24"/>
          <w:szCs w:val="24"/>
        </w:rPr>
      </w:pPr>
      <w:r>
        <w:rPr>
          <w:rFonts w:hint="eastAsia" w:ascii="宋体" w:hAnsi="宋体"/>
          <w:color w:val="auto"/>
          <w:sz w:val="24"/>
          <w:szCs w:val="24"/>
        </w:rPr>
        <w:t>其他落实的政府采购政策。若享受以上政策优惠的企业，需提供相应声明函或品目清单范围内产品的有效认证证书。</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rPr>
        <w:t>3.本项目的特定资格要求：</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rPr>
        <w:t>合同包1(</w:t>
      </w:r>
      <w:r>
        <w:rPr>
          <w:rFonts w:hint="eastAsia" w:cs="Times New Roman"/>
          <w:color w:val="auto"/>
          <w:kern w:val="2"/>
          <w:lang w:eastAsia="zh-CN"/>
        </w:rPr>
        <w:t>2022年省级水利发展资金水土保持项目泾阳县清河水保生态小流域治理工程采购项目</w:t>
      </w:r>
      <w:r>
        <w:rPr>
          <w:rFonts w:hint="eastAsia" w:cs="Times New Roman"/>
          <w:color w:val="auto"/>
          <w:kern w:val="2"/>
        </w:rPr>
        <w:t>)特定资格要求如下:</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rPr>
        <w:t>（1）具有独立承担民事责任能力的法人、其他组织或自然人，并出具合法有效的营业执照或事业单位法人证书等国家规定的相关证明，自然人参与的提供其身份证明；</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rPr>
        <w:t>（2）供应商应授权合法的人员参加磋商全过程，其中法定代表人直接参加磋商的，须出具法定代表人身份证明及法人身份证原件及复印件，法定代表人授权代表参加磋商的，须出具法定代表人授权书及授权代表身份证原件及复印件；</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cs="Times New Roman"/>
          <w:color w:val="auto"/>
          <w:kern w:val="2"/>
        </w:rPr>
      </w:pPr>
      <w:r>
        <w:rPr>
          <w:rFonts w:hint="eastAsia" w:cs="Times New Roman"/>
          <w:color w:val="auto"/>
          <w:kern w:val="2"/>
        </w:rPr>
        <w:t>（3）供应商</w:t>
      </w:r>
      <w:r>
        <w:rPr>
          <w:rFonts w:hint="eastAsia" w:cs="Times New Roman"/>
          <w:color w:val="auto"/>
          <w:kern w:val="2"/>
          <w:lang w:val="en-US" w:eastAsia="zh-CN"/>
        </w:rPr>
        <w:t>须</w:t>
      </w:r>
      <w:r>
        <w:rPr>
          <w:rFonts w:hint="eastAsia" w:cs="Times New Roman"/>
          <w:color w:val="auto"/>
          <w:kern w:val="2"/>
          <w:lang w:eastAsia="zh-CN"/>
        </w:rPr>
        <w:t>具备建设行政主管部门颁发的水利水电工程施工总承包</w:t>
      </w:r>
      <w:r>
        <w:rPr>
          <w:rFonts w:hint="eastAsia" w:cs="Times New Roman"/>
          <w:color w:val="auto"/>
          <w:kern w:val="2"/>
          <w:lang w:val="en-US" w:eastAsia="zh-CN"/>
        </w:rPr>
        <w:t>叁级（含叁级）以上资质</w:t>
      </w:r>
      <w:r>
        <w:rPr>
          <w:rFonts w:hint="eastAsia" w:cs="Times New Roman"/>
          <w:color w:val="auto"/>
          <w:kern w:val="2"/>
          <w:lang w:eastAsia="zh-CN"/>
        </w:rPr>
        <w:t>，同时具有合格有效的安全生产许可证</w:t>
      </w:r>
      <w:r>
        <w:rPr>
          <w:rFonts w:hint="eastAsia" w:cs="Times New Roman"/>
          <w:color w:val="auto"/>
          <w:kern w:val="2"/>
        </w:rPr>
        <w:t>；</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lang w:eastAsia="zh-CN"/>
        </w:rPr>
      </w:pPr>
      <w:r>
        <w:rPr>
          <w:rFonts w:hint="eastAsia" w:ascii="宋体" w:hAnsi="宋体" w:eastAsia="宋体" w:cs="Times New Roman"/>
          <w:color w:val="auto"/>
          <w:kern w:val="2"/>
          <w:lang w:eastAsia="zh-CN"/>
        </w:rPr>
        <w:t>（</w:t>
      </w:r>
      <w:r>
        <w:rPr>
          <w:rFonts w:hint="eastAsia" w:ascii="宋体" w:hAnsi="宋体" w:eastAsia="宋体" w:cs="Times New Roman"/>
          <w:color w:val="auto"/>
          <w:kern w:val="2"/>
          <w:lang w:val="en-US" w:eastAsia="zh-CN"/>
        </w:rPr>
        <w:t>4</w:t>
      </w:r>
      <w:r>
        <w:rPr>
          <w:rFonts w:hint="eastAsia" w:ascii="宋体" w:hAnsi="宋体" w:eastAsia="宋体" w:cs="Times New Roman"/>
          <w:color w:val="auto"/>
          <w:kern w:val="2"/>
          <w:lang w:eastAsia="zh-CN"/>
        </w:rPr>
        <w:t>）拟派项目经理须具有水利水电工程专业</w:t>
      </w:r>
      <w:r>
        <w:rPr>
          <w:rFonts w:hint="eastAsia" w:ascii="宋体" w:hAnsi="宋体" w:eastAsia="宋体" w:cs="Times New Roman"/>
          <w:color w:val="auto"/>
          <w:kern w:val="2"/>
          <w:lang w:val="en-US" w:eastAsia="zh-CN"/>
        </w:rPr>
        <w:t>贰级（含贰级）以上</w:t>
      </w:r>
      <w:r>
        <w:rPr>
          <w:rFonts w:hint="eastAsia" w:ascii="宋体" w:hAnsi="宋体" w:eastAsia="宋体" w:cs="Times New Roman"/>
          <w:color w:val="auto"/>
          <w:kern w:val="2"/>
          <w:lang w:eastAsia="zh-CN"/>
        </w:rPr>
        <w:t>注册建造师证书和有效的安全生产考核证书（B证）</w:t>
      </w:r>
      <w:r>
        <w:rPr>
          <w:rFonts w:hint="eastAsia" w:ascii="宋体" w:hAnsi="宋体" w:eastAsia="宋体" w:cs="Times New Roman"/>
          <w:color w:val="auto"/>
          <w:kern w:val="2"/>
          <w:lang w:val="en-US" w:eastAsia="zh-CN"/>
        </w:rPr>
        <w:t>，且未担任其他在建工程项目的项目经理（需提供企业书面承诺等证明材料）；</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rPr>
        <w:t>（</w:t>
      </w:r>
      <w:r>
        <w:rPr>
          <w:rFonts w:hint="eastAsia" w:cs="Times New Roman"/>
          <w:color w:val="auto"/>
          <w:kern w:val="2"/>
          <w:lang w:val="en-US" w:eastAsia="zh-CN"/>
        </w:rPr>
        <w:t>5</w:t>
      </w:r>
      <w:r>
        <w:rPr>
          <w:rFonts w:hint="eastAsia" w:cs="Times New Roman"/>
          <w:color w:val="auto"/>
          <w:kern w:val="2"/>
        </w:rPr>
        <w:t>）供应商不得为列入信用中国(www.creditchina.gov.cn)记录失信被执行人或重大税收违法案件当事人名单或中国政府采购网(www.ccgp.gov.cn)的政府采购严重违法失信行为记录名单；</w:t>
      </w:r>
    </w:p>
    <w:p>
      <w:pPr>
        <w:pStyle w:val="30"/>
        <w:spacing w:before="0" w:beforeAutospacing="0" w:after="0" w:afterAutospacing="0" w:line="360" w:lineRule="auto"/>
        <w:ind w:firstLine="480" w:firstLineChars="200"/>
        <w:rPr>
          <w:rFonts w:cs="Times New Roman"/>
          <w:color w:val="auto"/>
          <w:kern w:val="2"/>
        </w:rPr>
      </w:pPr>
      <w:r>
        <w:rPr>
          <w:rFonts w:hint="eastAsia" w:cs="Times New Roman"/>
          <w:color w:val="auto"/>
          <w:kern w:val="2"/>
        </w:rPr>
        <w:t>（</w:t>
      </w:r>
      <w:r>
        <w:rPr>
          <w:rFonts w:hint="eastAsia" w:cs="Times New Roman"/>
          <w:color w:val="auto"/>
          <w:kern w:val="2"/>
          <w:lang w:val="en-US" w:eastAsia="zh-CN"/>
        </w:rPr>
        <w:t>6</w:t>
      </w:r>
      <w:r>
        <w:rPr>
          <w:rFonts w:hint="eastAsia" w:cs="Times New Roman"/>
          <w:color w:val="auto"/>
          <w:kern w:val="2"/>
        </w:rPr>
        <w:t>）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p>
      <w:pPr>
        <w:pStyle w:val="30"/>
        <w:spacing w:before="0" w:beforeAutospacing="0" w:after="0" w:afterAutospacing="0" w:line="360" w:lineRule="auto"/>
        <w:ind w:firstLine="480" w:firstLineChars="200"/>
        <w:rPr>
          <w:rFonts w:cs="Times New Roman"/>
          <w:color w:val="auto"/>
          <w:kern w:val="2"/>
        </w:rPr>
      </w:pPr>
      <w:r>
        <w:rPr>
          <w:rFonts w:hint="eastAsia" w:cs="Times New Roman"/>
          <w:color w:val="auto"/>
          <w:kern w:val="2"/>
        </w:rPr>
        <w:t>（</w:t>
      </w:r>
      <w:r>
        <w:rPr>
          <w:rFonts w:hint="eastAsia" w:cs="Times New Roman"/>
          <w:color w:val="auto"/>
          <w:kern w:val="2"/>
          <w:lang w:val="en-US" w:eastAsia="zh-CN"/>
        </w:rPr>
        <w:t>7</w:t>
      </w:r>
      <w:r>
        <w:rPr>
          <w:rFonts w:hint="eastAsia" w:cs="Times New Roman"/>
          <w:color w:val="auto"/>
          <w:kern w:val="2"/>
        </w:rPr>
        <w:t>）与招标人存在利害关系可能影响招标公正性的单位，不得参加投标、单位负责人为同一人或存在控股、管理关系的不同单位，不得参加同一标段投标，否则，相关投标均无效；本次招标不接受联合体投标。</w:t>
      </w:r>
    </w:p>
    <w:p>
      <w:pPr>
        <w:pStyle w:val="7"/>
        <w:keepNext w:val="0"/>
        <w:keepLines w:val="0"/>
        <w:pageBreakBefore w:val="0"/>
        <w:widowControl/>
        <w:kinsoku/>
        <w:wordWrap/>
        <w:overflowPunct/>
        <w:topLinePunct w:val="0"/>
        <w:autoSpaceDE/>
        <w:autoSpaceDN/>
        <w:bidi w:val="0"/>
        <w:adjustRightInd/>
        <w:snapToGrid/>
        <w:spacing w:line="420" w:lineRule="exact"/>
        <w:jc w:val="both"/>
        <w:textAlignment w:val="auto"/>
        <w:rPr>
          <w:rFonts w:ascii="宋体" w:hAnsi="宋体" w:eastAsia="宋体"/>
          <w:b/>
          <w:bCs/>
          <w:color w:val="auto"/>
          <w:sz w:val="24"/>
          <w:szCs w:val="24"/>
        </w:rPr>
      </w:pPr>
      <w:r>
        <w:rPr>
          <w:rFonts w:hint="eastAsia" w:ascii="宋体" w:hAnsi="宋体" w:eastAsia="宋体"/>
          <w:b/>
          <w:bCs/>
          <w:color w:val="auto"/>
          <w:sz w:val="24"/>
          <w:szCs w:val="24"/>
        </w:rPr>
        <w:t>三、获取采购文件</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rPr>
        <w:t>时间：2022年07月01日至2022年07月08日，每天上午09:00:00至12:00:00，下午14:00:00至17:00:00（北京时间,法定节假日除外）</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rPr>
        <w:t>地点：西安市未央区凤城八路与渭滨路十字西北角水晶新天地10楼11004室</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rPr>
        <w:t>方式：现场获取</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rPr>
        <w:t>售价：免费获取</w:t>
      </w:r>
    </w:p>
    <w:p>
      <w:pPr>
        <w:pStyle w:val="7"/>
        <w:keepNext w:val="0"/>
        <w:keepLines w:val="0"/>
        <w:pageBreakBefore w:val="0"/>
        <w:widowControl/>
        <w:kinsoku/>
        <w:wordWrap/>
        <w:overflowPunct/>
        <w:topLinePunct w:val="0"/>
        <w:autoSpaceDE/>
        <w:autoSpaceDN/>
        <w:bidi w:val="0"/>
        <w:adjustRightInd/>
        <w:snapToGrid/>
        <w:spacing w:line="420" w:lineRule="exact"/>
        <w:jc w:val="both"/>
        <w:textAlignment w:val="auto"/>
        <w:rPr>
          <w:rFonts w:ascii="宋体" w:hAnsi="宋体" w:eastAsia="宋体"/>
          <w:b/>
          <w:bCs/>
          <w:color w:val="auto"/>
          <w:sz w:val="24"/>
          <w:szCs w:val="24"/>
        </w:rPr>
      </w:pPr>
      <w:r>
        <w:rPr>
          <w:rFonts w:hint="eastAsia" w:ascii="宋体" w:hAnsi="宋体" w:eastAsia="宋体"/>
          <w:b/>
          <w:bCs/>
          <w:color w:val="auto"/>
          <w:sz w:val="24"/>
          <w:szCs w:val="24"/>
        </w:rPr>
        <w:t>四、响应文件提交</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rPr>
        <w:t>截止时间：2022年0</w:t>
      </w:r>
      <w:r>
        <w:rPr>
          <w:rFonts w:hint="eastAsia" w:cs="Times New Roman"/>
          <w:color w:val="auto"/>
          <w:kern w:val="2"/>
          <w:lang w:val="en-US" w:eastAsia="zh-CN"/>
        </w:rPr>
        <w:t>7</w:t>
      </w:r>
      <w:r>
        <w:rPr>
          <w:rFonts w:hint="eastAsia" w:cs="Times New Roman"/>
          <w:color w:val="auto"/>
          <w:kern w:val="2"/>
        </w:rPr>
        <w:t>月</w:t>
      </w:r>
      <w:r>
        <w:rPr>
          <w:rFonts w:hint="eastAsia" w:cs="Times New Roman"/>
          <w:color w:val="auto"/>
          <w:kern w:val="2"/>
          <w:lang w:val="en-US" w:eastAsia="zh-CN"/>
        </w:rPr>
        <w:t>12</w:t>
      </w:r>
      <w:r>
        <w:rPr>
          <w:rFonts w:hint="eastAsia" w:cs="Times New Roman"/>
          <w:color w:val="auto"/>
          <w:kern w:val="2"/>
        </w:rPr>
        <w:t>日14时30分00秒 （北京时间）</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rPr>
        <w:t>地点：西安市未央区凤城八路与渭滨路十字西北角水晶新天地10楼11004室</w:t>
      </w:r>
    </w:p>
    <w:p>
      <w:pPr>
        <w:pStyle w:val="7"/>
        <w:keepNext w:val="0"/>
        <w:keepLines w:val="0"/>
        <w:pageBreakBefore w:val="0"/>
        <w:widowControl/>
        <w:kinsoku/>
        <w:wordWrap/>
        <w:overflowPunct/>
        <w:topLinePunct w:val="0"/>
        <w:autoSpaceDE/>
        <w:autoSpaceDN/>
        <w:bidi w:val="0"/>
        <w:adjustRightInd/>
        <w:snapToGrid/>
        <w:spacing w:line="420" w:lineRule="exact"/>
        <w:jc w:val="both"/>
        <w:textAlignment w:val="auto"/>
        <w:rPr>
          <w:rFonts w:ascii="宋体" w:hAnsi="宋体" w:eastAsia="宋体"/>
          <w:b/>
          <w:bCs/>
          <w:color w:val="auto"/>
          <w:sz w:val="24"/>
          <w:szCs w:val="24"/>
        </w:rPr>
      </w:pPr>
      <w:r>
        <w:rPr>
          <w:rFonts w:hint="eastAsia" w:ascii="宋体" w:hAnsi="宋体" w:eastAsia="宋体"/>
          <w:b/>
          <w:bCs/>
          <w:color w:val="auto"/>
          <w:sz w:val="24"/>
          <w:szCs w:val="24"/>
        </w:rPr>
        <w:t>五、开启</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rPr>
        <w:t>时间：2022年0</w:t>
      </w:r>
      <w:r>
        <w:rPr>
          <w:rFonts w:hint="eastAsia" w:cs="Times New Roman"/>
          <w:color w:val="auto"/>
          <w:kern w:val="2"/>
          <w:lang w:val="en-US" w:eastAsia="zh-CN"/>
        </w:rPr>
        <w:t>7</w:t>
      </w:r>
      <w:r>
        <w:rPr>
          <w:rFonts w:hint="eastAsia" w:cs="Times New Roman"/>
          <w:color w:val="auto"/>
          <w:kern w:val="2"/>
        </w:rPr>
        <w:t>月</w:t>
      </w:r>
      <w:r>
        <w:rPr>
          <w:rFonts w:hint="eastAsia" w:cs="Times New Roman"/>
          <w:color w:val="auto"/>
          <w:kern w:val="2"/>
          <w:lang w:val="en-US" w:eastAsia="zh-CN"/>
        </w:rPr>
        <w:t>12</w:t>
      </w:r>
      <w:r>
        <w:rPr>
          <w:rFonts w:hint="eastAsia" w:cs="Times New Roman"/>
          <w:color w:val="auto"/>
          <w:kern w:val="2"/>
        </w:rPr>
        <w:t>日14时30分00秒 （北京时间）</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rPr>
        <w:t>地点：西安市未央区凤城八路与渭滨路十字西北角水晶新天地10楼11004室</w:t>
      </w:r>
    </w:p>
    <w:p>
      <w:pPr>
        <w:pStyle w:val="7"/>
        <w:keepNext w:val="0"/>
        <w:keepLines w:val="0"/>
        <w:pageBreakBefore w:val="0"/>
        <w:widowControl/>
        <w:kinsoku/>
        <w:wordWrap/>
        <w:overflowPunct/>
        <w:topLinePunct w:val="0"/>
        <w:autoSpaceDE/>
        <w:autoSpaceDN/>
        <w:bidi w:val="0"/>
        <w:adjustRightInd/>
        <w:snapToGrid/>
        <w:spacing w:line="420" w:lineRule="exact"/>
        <w:jc w:val="both"/>
        <w:textAlignment w:val="auto"/>
        <w:rPr>
          <w:rFonts w:ascii="宋体" w:hAnsi="宋体" w:eastAsia="宋体"/>
          <w:b/>
          <w:bCs/>
          <w:color w:val="auto"/>
          <w:sz w:val="24"/>
          <w:szCs w:val="24"/>
        </w:rPr>
      </w:pPr>
      <w:r>
        <w:rPr>
          <w:rFonts w:hint="eastAsia" w:ascii="宋体" w:hAnsi="宋体" w:eastAsia="宋体"/>
          <w:b/>
          <w:bCs/>
          <w:color w:val="auto"/>
          <w:sz w:val="24"/>
          <w:szCs w:val="24"/>
        </w:rPr>
        <w:t>六、公告期限</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rPr>
        <w:t>自本公告发布之日起3个工作日。</w:t>
      </w:r>
    </w:p>
    <w:p>
      <w:pPr>
        <w:pStyle w:val="7"/>
        <w:keepNext w:val="0"/>
        <w:keepLines w:val="0"/>
        <w:pageBreakBefore w:val="0"/>
        <w:widowControl/>
        <w:kinsoku/>
        <w:wordWrap/>
        <w:overflowPunct/>
        <w:topLinePunct w:val="0"/>
        <w:autoSpaceDE/>
        <w:autoSpaceDN/>
        <w:bidi w:val="0"/>
        <w:adjustRightInd/>
        <w:snapToGrid/>
        <w:spacing w:line="420" w:lineRule="exact"/>
        <w:jc w:val="both"/>
        <w:textAlignment w:val="auto"/>
        <w:rPr>
          <w:rFonts w:ascii="宋体" w:hAnsi="宋体" w:eastAsia="宋体"/>
          <w:b/>
          <w:bCs/>
          <w:color w:val="auto"/>
          <w:sz w:val="24"/>
          <w:szCs w:val="24"/>
        </w:rPr>
      </w:pPr>
      <w:r>
        <w:rPr>
          <w:rFonts w:hint="eastAsia" w:ascii="宋体" w:hAnsi="宋体" w:eastAsia="宋体"/>
          <w:b/>
          <w:bCs/>
          <w:color w:val="auto"/>
          <w:sz w:val="24"/>
          <w:szCs w:val="24"/>
        </w:rPr>
        <w:t>七、其他补充事宜</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rPr>
        <w:t>1、供应商请于2022年07月01日至2022年07月08日，每天上午9:00-12:00，下午14:00-17:00（法定节假日除外），持单位介绍信和购买人身份证原件或复印件加盖单位公章至西安市未央区凤城八路与渭滨路十字西北角水晶新天地10楼11004室报名获取竞争性磋商文件。</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cs="Times New Roman"/>
          <w:color w:val="auto"/>
          <w:kern w:val="2"/>
        </w:rPr>
      </w:pPr>
      <w:r>
        <w:rPr>
          <w:rFonts w:hint="eastAsia" w:cs="Times New Roman"/>
          <w:color w:val="auto"/>
          <w:kern w:val="2"/>
        </w:rPr>
        <w:t>2、供应商按照陕西省财政厅关于政府采购供应商注册登记有关事项的通知中的要求，通过陕西省政府采购网（http://www.ccgp-shaanxi.gov.cn/）注册登记加入陕西省政府采购供应商库。</w:t>
      </w:r>
    </w:p>
    <w:p>
      <w:pPr>
        <w:pStyle w:val="7"/>
        <w:keepNext w:val="0"/>
        <w:keepLines w:val="0"/>
        <w:pageBreakBefore w:val="0"/>
        <w:widowControl/>
        <w:kinsoku/>
        <w:wordWrap/>
        <w:overflowPunct/>
        <w:topLinePunct w:val="0"/>
        <w:autoSpaceDE/>
        <w:autoSpaceDN/>
        <w:bidi w:val="0"/>
        <w:adjustRightInd/>
        <w:snapToGrid/>
        <w:spacing w:line="420" w:lineRule="exact"/>
        <w:jc w:val="both"/>
        <w:textAlignment w:val="auto"/>
        <w:rPr>
          <w:rFonts w:ascii="宋体" w:hAnsi="宋体" w:eastAsia="宋体"/>
          <w:b/>
          <w:bCs/>
          <w:color w:val="auto"/>
          <w:sz w:val="24"/>
          <w:szCs w:val="24"/>
        </w:rPr>
      </w:pPr>
      <w:r>
        <w:rPr>
          <w:rFonts w:hint="eastAsia" w:ascii="宋体" w:hAnsi="宋体" w:eastAsia="宋体"/>
          <w:b/>
          <w:bCs/>
          <w:color w:val="auto"/>
          <w:sz w:val="24"/>
          <w:szCs w:val="24"/>
        </w:rPr>
        <w:t>八、凡对本次采购提出询问，请按以下方式联系。</w:t>
      </w:r>
    </w:p>
    <w:p>
      <w:pPr>
        <w:pStyle w:val="9"/>
        <w:keepNext w:val="0"/>
        <w:keepLines w:val="0"/>
        <w:pageBreakBefore w:val="0"/>
        <w:kinsoku/>
        <w:wordWrap/>
        <w:overflowPunct/>
        <w:topLinePunct w:val="0"/>
        <w:autoSpaceDE/>
        <w:autoSpaceDN/>
        <w:bidi w:val="0"/>
        <w:adjustRightInd/>
        <w:snapToGrid/>
        <w:spacing w:before="0" w:after="0" w:line="420" w:lineRule="exact"/>
        <w:ind w:firstLine="482" w:firstLineChars="200"/>
        <w:textAlignment w:val="auto"/>
        <w:rPr>
          <w:rFonts w:ascii="宋体" w:hAnsi="宋体" w:eastAsia="宋体"/>
          <w:color w:val="auto"/>
          <w:kern w:val="2"/>
        </w:rPr>
      </w:pPr>
      <w:r>
        <w:rPr>
          <w:rFonts w:hint="eastAsia" w:ascii="宋体" w:hAnsi="宋体" w:eastAsia="宋体"/>
          <w:color w:val="auto"/>
          <w:kern w:val="2"/>
        </w:rPr>
        <w:t>1.釆购人信息</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eastAsia="宋体" w:cs="Times New Roman"/>
          <w:color w:val="auto"/>
          <w:kern w:val="2"/>
          <w:lang w:eastAsia="zh-CN"/>
        </w:rPr>
      </w:pPr>
      <w:r>
        <w:rPr>
          <w:rFonts w:hint="eastAsia" w:cs="Times New Roman"/>
          <w:color w:val="auto"/>
          <w:kern w:val="2"/>
        </w:rPr>
        <w:t>名称：</w:t>
      </w:r>
      <w:r>
        <w:rPr>
          <w:rFonts w:hint="eastAsia" w:cs="Times New Roman"/>
          <w:color w:val="auto"/>
          <w:kern w:val="2"/>
          <w:lang w:eastAsia="zh-CN"/>
        </w:rPr>
        <w:t>泾阳县水土保持工作站</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default" w:eastAsia="宋体" w:cs="Times New Roman"/>
          <w:color w:val="auto"/>
          <w:kern w:val="2"/>
          <w:lang w:val="en-US" w:eastAsia="zh-CN"/>
        </w:rPr>
      </w:pPr>
      <w:r>
        <w:rPr>
          <w:rFonts w:hint="eastAsia" w:cs="Times New Roman"/>
          <w:color w:val="auto"/>
          <w:kern w:val="2"/>
        </w:rPr>
        <w:t>地址：</w:t>
      </w:r>
      <w:r>
        <w:rPr>
          <w:rFonts w:hint="eastAsia" w:cs="Times New Roman"/>
          <w:color w:val="auto"/>
          <w:kern w:val="2"/>
          <w:lang w:val="en-US" w:eastAsia="zh-CN"/>
        </w:rPr>
        <w:t>泾阳县姚家巷1号</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rPr>
        <w:t>联系方式：</w:t>
      </w:r>
      <w:r>
        <w:rPr>
          <w:rFonts w:hint="eastAsia" w:cs="Times New Roman"/>
          <w:color w:val="auto"/>
          <w:kern w:val="2"/>
          <w:lang w:val="en-US" w:eastAsia="zh-CN"/>
        </w:rPr>
        <w:t>18966563111</w:t>
      </w:r>
    </w:p>
    <w:p>
      <w:pPr>
        <w:pStyle w:val="9"/>
        <w:keepNext w:val="0"/>
        <w:keepLines w:val="0"/>
        <w:pageBreakBefore w:val="0"/>
        <w:kinsoku/>
        <w:wordWrap/>
        <w:overflowPunct/>
        <w:topLinePunct w:val="0"/>
        <w:autoSpaceDE/>
        <w:autoSpaceDN/>
        <w:bidi w:val="0"/>
        <w:adjustRightInd/>
        <w:snapToGrid/>
        <w:spacing w:before="0" w:after="0" w:line="420" w:lineRule="exact"/>
        <w:ind w:firstLine="482" w:firstLineChars="200"/>
        <w:textAlignment w:val="auto"/>
        <w:rPr>
          <w:rFonts w:ascii="宋体" w:hAnsi="宋体" w:eastAsia="宋体"/>
          <w:color w:val="auto"/>
          <w:kern w:val="2"/>
        </w:rPr>
      </w:pPr>
      <w:r>
        <w:rPr>
          <w:rFonts w:hint="eastAsia" w:ascii="宋体" w:hAnsi="宋体" w:eastAsia="宋体"/>
          <w:color w:val="auto"/>
          <w:kern w:val="2"/>
        </w:rPr>
        <w:t>2.釆购代理机构信息</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bookmarkStart w:id="1" w:name="_Hlk102659764"/>
      <w:r>
        <w:rPr>
          <w:rFonts w:hint="eastAsia" w:cs="Times New Roman"/>
          <w:color w:val="auto"/>
          <w:kern w:val="2"/>
        </w:rPr>
        <w:t>名称：陕西盛仕骄阳项目管理有限公司</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rPr>
        <w:t>地址：西安市未央区凤城八路与渭滨路十字西北角水晶新天地10楼11004室</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rPr>
        <w:t>联系方式：029-8987</w:t>
      </w:r>
      <w:r>
        <w:rPr>
          <w:rFonts w:cs="Times New Roman"/>
          <w:color w:val="auto"/>
          <w:kern w:val="2"/>
        </w:rPr>
        <w:t>1668</w:t>
      </w:r>
    </w:p>
    <w:bookmarkEnd w:id="1"/>
    <w:p>
      <w:pPr>
        <w:pStyle w:val="9"/>
        <w:keepNext w:val="0"/>
        <w:keepLines w:val="0"/>
        <w:pageBreakBefore w:val="0"/>
        <w:kinsoku/>
        <w:wordWrap/>
        <w:overflowPunct/>
        <w:topLinePunct w:val="0"/>
        <w:autoSpaceDE/>
        <w:autoSpaceDN/>
        <w:bidi w:val="0"/>
        <w:adjustRightInd/>
        <w:snapToGrid/>
        <w:spacing w:before="0" w:after="0" w:line="420" w:lineRule="exact"/>
        <w:ind w:firstLine="482" w:firstLineChars="200"/>
        <w:textAlignment w:val="auto"/>
        <w:rPr>
          <w:rFonts w:ascii="宋体" w:hAnsi="宋体" w:eastAsia="宋体"/>
          <w:color w:val="auto"/>
          <w:kern w:val="2"/>
        </w:rPr>
      </w:pPr>
      <w:bookmarkStart w:id="2" w:name="_Hlk102659814"/>
      <w:r>
        <w:rPr>
          <w:rFonts w:hint="eastAsia" w:ascii="宋体" w:hAnsi="宋体" w:eastAsia="宋体"/>
          <w:color w:val="auto"/>
          <w:kern w:val="2"/>
        </w:rPr>
        <w:t xml:space="preserve">3.项目联系方式 </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rPr>
        <w:t>项目联系人：张工</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rPr>
        <w:t>电话：</w:t>
      </w:r>
      <w:r>
        <w:rPr>
          <w:rFonts w:hint="eastAsia"/>
          <w:color w:val="auto"/>
        </w:rPr>
        <w:t>029-8987</w:t>
      </w:r>
      <w:r>
        <w:rPr>
          <w:color w:val="auto"/>
        </w:rPr>
        <w:t>1668</w:t>
      </w:r>
    </w:p>
    <w:bookmarkEnd w:id="2"/>
    <w:p>
      <w:pPr>
        <w:pStyle w:val="30"/>
        <w:keepLines w:val="0"/>
        <w:pageBreakBefore w:val="0"/>
        <w:kinsoku/>
        <w:wordWrap/>
        <w:overflowPunct/>
        <w:topLinePunct w:val="0"/>
        <w:autoSpaceDE/>
        <w:autoSpaceDN/>
        <w:bidi w:val="0"/>
        <w:adjustRightInd/>
        <w:snapToGrid/>
        <w:spacing w:before="0" w:beforeAutospacing="0" w:after="0" w:afterAutospacing="0" w:line="420" w:lineRule="exact"/>
        <w:jc w:val="right"/>
        <w:textAlignment w:val="auto"/>
        <w:rPr>
          <w:rFonts w:cs="Times New Roman"/>
          <w:color w:val="auto"/>
          <w:kern w:val="2"/>
        </w:rPr>
      </w:pPr>
      <w:r>
        <w:rPr>
          <w:rFonts w:hint="eastAsia" w:cs="Times New Roman"/>
          <w:color w:val="auto"/>
          <w:kern w:val="2"/>
        </w:rPr>
        <w:t>陕西盛仕骄阳项目管理有限公司</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jc w:val="center"/>
        <w:textAlignment w:val="auto"/>
        <w:rPr>
          <w:rFonts w:cs="Times New Roman"/>
          <w:color w:val="auto"/>
          <w:kern w:val="2"/>
        </w:rPr>
      </w:pPr>
      <w:r>
        <w:rPr>
          <w:rFonts w:hint="eastAsia" w:cs="Times New Roman"/>
          <w:color w:val="auto"/>
          <w:kern w:val="2"/>
        </w:rPr>
        <w:t xml:space="preserve">                                          2022年0</w:t>
      </w:r>
      <w:r>
        <w:rPr>
          <w:rFonts w:hint="eastAsia" w:cs="Times New Roman"/>
          <w:color w:val="auto"/>
          <w:kern w:val="2"/>
          <w:lang w:val="en-US" w:eastAsia="zh-CN"/>
        </w:rPr>
        <w:t>7</w:t>
      </w:r>
      <w:r>
        <w:rPr>
          <w:rFonts w:hint="eastAsia" w:cs="Times New Roman"/>
          <w:color w:val="auto"/>
          <w:kern w:val="2"/>
        </w:rPr>
        <w:t>月</w:t>
      </w:r>
      <w:r>
        <w:rPr>
          <w:rFonts w:hint="eastAsia" w:cs="Times New Roman"/>
          <w:color w:val="auto"/>
          <w:kern w:val="2"/>
          <w:lang w:val="en-US" w:eastAsia="zh-CN"/>
        </w:rPr>
        <w:t>01</w:t>
      </w:r>
      <w:r>
        <w:rPr>
          <w:rFonts w:hint="eastAsia" w:cs="Times New Roman"/>
          <w:color w:val="auto"/>
          <w:kern w:val="2"/>
        </w:rPr>
        <w:t>日</w:t>
      </w:r>
    </w:p>
    <w:p>
      <w:pPr>
        <w:spacing w:line="520" w:lineRule="exact"/>
        <w:rPr>
          <w:rFonts w:ascii="宋体" w:hAnsi="宋体" w:cs="宋体"/>
          <w:color w:val="auto"/>
          <w:sz w:val="24"/>
          <w:szCs w:val="24"/>
        </w:rPr>
      </w:pPr>
      <w:r>
        <w:rPr>
          <w:rFonts w:hint="eastAsia" w:ascii="宋体" w:hAnsi="宋体" w:cs="宋体"/>
          <w:color w:val="auto"/>
          <w:szCs w:val="21"/>
        </w:rPr>
        <w:br w:type="page"/>
      </w:r>
    </w:p>
    <w:p>
      <w:pPr>
        <w:pStyle w:val="3"/>
        <w:keepLines w:val="0"/>
        <w:pageBreakBefore w:val="0"/>
        <w:kinsoku/>
        <w:wordWrap/>
        <w:overflowPunct/>
        <w:topLinePunct w:val="0"/>
        <w:bidi w:val="0"/>
        <w:snapToGrid/>
        <w:spacing w:line="420" w:lineRule="exact"/>
        <w:textAlignment w:val="auto"/>
        <w:rPr>
          <w:rFonts w:ascii="宋体" w:hAnsi="宋体" w:eastAsia="宋体" w:cs="宋体"/>
          <w:color w:val="auto"/>
        </w:rPr>
      </w:pPr>
      <w:bookmarkStart w:id="3" w:name="_Toc4078"/>
      <w:r>
        <w:rPr>
          <w:rFonts w:hint="eastAsia" w:ascii="宋体" w:hAnsi="宋体" w:eastAsia="宋体" w:cs="宋体"/>
          <w:b/>
          <w:color w:val="auto"/>
          <w:szCs w:val="28"/>
        </w:rPr>
        <w:t>第二章 竞争性磋商须知</w:t>
      </w:r>
      <w:bookmarkEnd w:id="3"/>
    </w:p>
    <w:tbl>
      <w:tblPr>
        <w:tblStyle w:val="35"/>
        <w:tblW w:w="98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42"/>
        <w:gridCol w:w="75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blHeader/>
          <w:jc w:val="center"/>
        </w:trPr>
        <w:tc>
          <w:tcPr>
            <w:tcW w:w="723" w:type="dxa"/>
            <w:vAlign w:val="center"/>
          </w:tcPr>
          <w:p>
            <w:pPr>
              <w:pStyle w:val="118"/>
              <w:keepLines w:val="0"/>
              <w:pageBreakBefore w:val="0"/>
              <w:kinsoku/>
              <w:wordWrap/>
              <w:overflowPunct/>
              <w:topLinePunct w:val="0"/>
              <w:bidi w:val="0"/>
              <w:snapToGrid/>
              <w:spacing w:line="420" w:lineRule="exact"/>
              <w:ind w:left="9"/>
              <w:jc w:val="center"/>
              <w:textAlignment w:val="auto"/>
              <w:rPr>
                <w:color w:val="auto"/>
                <w:lang w:val="zh-CN"/>
              </w:rPr>
            </w:pPr>
            <w:r>
              <w:rPr>
                <w:rFonts w:hint="eastAsia"/>
                <w:color w:val="auto"/>
                <w:lang w:val="zh-CN"/>
              </w:rPr>
              <w:t>序号</w:t>
            </w:r>
          </w:p>
        </w:tc>
        <w:tc>
          <w:tcPr>
            <w:tcW w:w="1642" w:type="dxa"/>
            <w:vAlign w:val="center"/>
          </w:tcPr>
          <w:p>
            <w:pPr>
              <w:pStyle w:val="118"/>
              <w:keepLines w:val="0"/>
              <w:pageBreakBefore w:val="0"/>
              <w:kinsoku/>
              <w:wordWrap/>
              <w:overflowPunct/>
              <w:topLinePunct w:val="0"/>
              <w:bidi w:val="0"/>
              <w:snapToGrid/>
              <w:spacing w:line="420" w:lineRule="exact"/>
              <w:ind w:left="-114"/>
              <w:jc w:val="center"/>
              <w:textAlignment w:val="auto"/>
              <w:rPr>
                <w:color w:val="auto"/>
                <w:lang w:val="zh-CN"/>
              </w:rPr>
            </w:pPr>
            <w:r>
              <w:rPr>
                <w:rFonts w:hint="eastAsia"/>
                <w:color w:val="auto"/>
                <w:lang w:val="zh-CN"/>
              </w:rPr>
              <w:t xml:space="preserve">条款名称 </w:t>
            </w:r>
          </w:p>
        </w:tc>
        <w:tc>
          <w:tcPr>
            <w:tcW w:w="7508" w:type="dxa"/>
            <w:vAlign w:val="center"/>
          </w:tcPr>
          <w:p>
            <w:pPr>
              <w:pStyle w:val="118"/>
              <w:keepLines w:val="0"/>
              <w:pageBreakBefore w:val="0"/>
              <w:kinsoku/>
              <w:wordWrap/>
              <w:overflowPunct/>
              <w:topLinePunct w:val="0"/>
              <w:bidi w:val="0"/>
              <w:snapToGrid/>
              <w:spacing w:line="420" w:lineRule="exact"/>
              <w:jc w:val="center"/>
              <w:textAlignment w:val="auto"/>
              <w:rPr>
                <w:color w:val="auto"/>
                <w:lang w:val="zh-CN"/>
              </w:rPr>
            </w:pPr>
            <w:r>
              <w:rPr>
                <w:rFonts w:hint="eastAsia"/>
                <w:color w:val="auto"/>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3" w:type="dxa"/>
            <w:vAlign w:val="center"/>
          </w:tcPr>
          <w:p>
            <w:pPr>
              <w:pStyle w:val="118"/>
              <w:keepLines w:val="0"/>
              <w:pageBreakBefore w:val="0"/>
              <w:kinsoku/>
              <w:wordWrap/>
              <w:overflowPunct/>
              <w:topLinePunct w:val="0"/>
              <w:bidi w:val="0"/>
              <w:snapToGrid/>
              <w:spacing w:line="420" w:lineRule="exact"/>
              <w:jc w:val="center"/>
              <w:textAlignment w:val="auto"/>
              <w:rPr>
                <w:color w:val="auto"/>
                <w:lang w:val="zh-CN"/>
              </w:rPr>
            </w:pPr>
            <w:r>
              <w:rPr>
                <w:rFonts w:hint="eastAsia"/>
                <w:color w:val="auto"/>
                <w:lang w:val="zh-CN"/>
              </w:rPr>
              <w:t>1</w:t>
            </w:r>
          </w:p>
        </w:tc>
        <w:tc>
          <w:tcPr>
            <w:tcW w:w="1642" w:type="dxa"/>
            <w:vAlign w:val="center"/>
          </w:tcPr>
          <w:p>
            <w:pPr>
              <w:pStyle w:val="118"/>
              <w:keepLines w:val="0"/>
              <w:pageBreakBefore w:val="0"/>
              <w:kinsoku/>
              <w:wordWrap/>
              <w:overflowPunct/>
              <w:topLinePunct w:val="0"/>
              <w:bidi w:val="0"/>
              <w:snapToGrid/>
              <w:spacing w:line="420" w:lineRule="exact"/>
              <w:jc w:val="center"/>
              <w:textAlignment w:val="auto"/>
              <w:rPr>
                <w:color w:val="auto"/>
                <w:lang w:val="zh-CN"/>
              </w:rPr>
            </w:pPr>
            <w:r>
              <w:rPr>
                <w:rFonts w:hint="eastAsia"/>
                <w:color w:val="auto"/>
                <w:lang w:val="zh-CN"/>
              </w:rPr>
              <w:t>采购人</w:t>
            </w:r>
          </w:p>
        </w:tc>
        <w:tc>
          <w:tcPr>
            <w:tcW w:w="7508" w:type="dxa"/>
            <w:vAlign w:val="center"/>
          </w:tcPr>
          <w:p>
            <w:pPr>
              <w:keepLines w:val="0"/>
              <w:pageBreakBefore w:val="0"/>
              <w:kinsoku/>
              <w:wordWrap/>
              <w:overflowPunct/>
              <w:topLinePunct w:val="0"/>
              <w:bidi w:val="0"/>
              <w:snapToGrid/>
              <w:spacing w:line="420" w:lineRule="exact"/>
              <w:textAlignment w:val="auto"/>
              <w:rPr>
                <w:rFonts w:hint="eastAsia" w:ascii="宋体" w:hAnsi="宋体"/>
                <w:color w:val="auto"/>
                <w:sz w:val="24"/>
                <w:szCs w:val="24"/>
                <w:lang w:eastAsia="zh-CN"/>
              </w:rPr>
            </w:pPr>
            <w:r>
              <w:rPr>
                <w:rFonts w:hint="eastAsia" w:ascii="宋体" w:hAnsi="宋体"/>
                <w:color w:val="auto"/>
                <w:sz w:val="24"/>
                <w:szCs w:val="24"/>
                <w:lang w:eastAsia="zh-CN"/>
              </w:rPr>
              <w:t>名    称：泾阳县水土保持工作站</w:t>
            </w:r>
          </w:p>
          <w:p>
            <w:pPr>
              <w:keepLines w:val="0"/>
              <w:pageBreakBefore w:val="0"/>
              <w:kinsoku/>
              <w:wordWrap/>
              <w:overflowPunct/>
              <w:topLinePunct w:val="0"/>
              <w:bidi w:val="0"/>
              <w:snapToGrid/>
              <w:spacing w:line="420" w:lineRule="exact"/>
              <w:textAlignment w:val="auto"/>
              <w:rPr>
                <w:rFonts w:hint="eastAsia" w:ascii="宋体" w:hAnsi="宋体"/>
                <w:color w:val="auto"/>
                <w:sz w:val="24"/>
                <w:szCs w:val="24"/>
                <w:lang w:eastAsia="zh-CN"/>
              </w:rPr>
            </w:pPr>
            <w:r>
              <w:rPr>
                <w:rFonts w:hint="eastAsia" w:ascii="宋体" w:hAnsi="宋体"/>
                <w:color w:val="auto"/>
                <w:sz w:val="24"/>
                <w:szCs w:val="24"/>
                <w:lang w:eastAsia="zh-CN"/>
              </w:rPr>
              <w:t>地    址：</w:t>
            </w:r>
            <w:r>
              <w:rPr>
                <w:rFonts w:hint="eastAsia" w:ascii="宋体" w:hAnsi="宋体"/>
                <w:color w:val="auto"/>
                <w:sz w:val="24"/>
                <w:szCs w:val="24"/>
                <w:lang w:val="en-US" w:eastAsia="zh-CN"/>
              </w:rPr>
              <w:t>泾阳县姚家巷1号</w:t>
            </w:r>
          </w:p>
          <w:p>
            <w:pPr>
              <w:keepLines w:val="0"/>
              <w:pageBreakBefore w:val="0"/>
              <w:kinsoku/>
              <w:wordWrap/>
              <w:overflowPunct/>
              <w:topLinePunct w:val="0"/>
              <w:bidi w:val="0"/>
              <w:snapToGrid/>
              <w:spacing w:line="420" w:lineRule="exact"/>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联 系 人：牛高</w:t>
            </w:r>
          </w:p>
          <w:p>
            <w:pPr>
              <w:keepLines w:val="0"/>
              <w:pageBreakBefore w:val="0"/>
              <w:kinsoku/>
              <w:wordWrap/>
              <w:overflowPunct/>
              <w:topLinePunct w:val="0"/>
              <w:bidi w:val="0"/>
              <w:snapToGrid/>
              <w:spacing w:line="420" w:lineRule="exact"/>
              <w:textAlignment w:val="auto"/>
              <w:rPr>
                <w:rFonts w:ascii="宋体" w:hAnsi="宋体" w:cs="宋体"/>
                <w:color w:val="auto"/>
                <w:sz w:val="24"/>
                <w:szCs w:val="24"/>
              </w:rPr>
            </w:pPr>
            <w:r>
              <w:rPr>
                <w:rFonts w:hint="eastAsia" w:ascii="宋体" w:hAnsi="宋体" w:cs="宋体"/>
                <w:color w:val="auto"/>
                <w:sz w:val="24"/>
                <w:szCs w:val="24"/>
              </w:rPr>
              <w:t>联系方式：</w:t>
            </w:r>
            <w:r>
              <w:rPr>
                <w:rFonts w:hint="eastAsia" w:ascii="宋体" w:hAnsi="宋体" w:cs="宋体"/>
                <w:color w:val="auto"/>
                <w:sz w:val="24"/>
                <w:szCs w:val="24"/>
                <w:lang w:val="en-US" w:eastAsia="zh-CN"/>
              </w:rPr>
              <w:t>18966563111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3" w:type="dxa"/>
            <w:vAlign w:val="center"/>
          </w:tcPr>
          <w:p>
            <w:pPr>
              <w:pStyle w:val="118"/>
              <w:keepLines w:val="0"/>
              <w:pageBreakBefore w:val="0"/>
              <w:kinsoku/>
              <w:wordWrap/>
              <w:overflowPunct/>
              <w:topLinePunct w:val="0"/>
              <w:bidi w:val="0"/>
              <w:snapToGrid/>
              <w:spacing w:line="420" w:lineRule="exact"/>
              <w:jc w:val="center"/>
              <w:textAlignment w:val="auto"/>
              <w:rPr>
                <w:color w:val="auto"/>
                <w:lang w:val="zh-CN"/>
              </w:rPr>
            </w:pPr>
            <w:r>
              <w:rPr>
                <w:rFonts w:hint="eastAsia"/>
                <w:color w:val="auto"/>
                <w:lang w:val="zh-CN"/>
              </w:rPr>
              <w:t>2</w:t>
            </w:r>
          </w:p>
        </w:tc>
        <w:tc>
          <w:tcPr>
            <w:tcW w:w="1642" w:type="dxa"/>
            <w:vAlign w:val="center"/>
          </w:tcPr>
          <w:p>
            <w:pPr>
              <w:pStyle w:val="118"/>
              <w:keepLines w:val="0"/>
              <w:pageBreakBefore w:val="0"/>
              <w:kinsoku/>
              <w:wordWrap/>
              <w:overflowPunct/>
              <w:topLinePunct w:val="0"/>
              <w:bidi w:val="0"/>
              <w:snapToGrid/>
              <w:spacing w:line="420" w:lineRule="exact"/>
              <w:ind w:left="38"/>
              <w:jc w:val="center"/>
              <w:textAlignment w:val="auto"/>
              <w:rPr>
                <w:color w:val="auto"/>
                <w:lang w:val="zh-CN"/>
              </w:rPr>
            </w:pPr>
            <w:r>
              <w:rPr>
                <w:rFonts w:hint="eastAsia"/>
                <w:color w:val="auto"/>
                <w:lang w:val="zh-CN"/>
              </w:rPr>
              <w:t>采购代理机构</w:t>
            </w:r>
          </w:p>
        </w:tc>
        <w:tc>
          <w:tcPr>
            <w:tcW w:w="7508" w:type="dxa"/>
            <w:vAlign w:val="center"/>
          </w:tcPr>
          <w:p>
            <w:pPr>
              <w:keepLines w:val="0"/>
              <w:pageBreakBefore w:val="0"/>
              <w:kinsoku/>
              <w:wordWrap/>
              <w:overflowPunct/>
              <w:topLinePunct w:val="0"/>
              <w:bidi w:val="0"/>
              <w:snapToGrid/>
              <w:spacing w:line="420" w:lineRule="exact"/>
              <w:textAlignment w:val="auto"/>
              <w:rPr>
                <w:rFonts w:ascii="宋体" w:hAnsi="宋体" w:cs="宋体"/>
                <w:color w:val="auto"/>
                <w:sz w:val="24"/>
                <w:szCs w:val="24"/>
              </w:rPr>
            </w:pPr>
            <w:r>
              <w:rPr>
                <w:rFonts w:hint="eastAsia" w:ascii="宋体" w:hAnsi="宋体" w:cs="宋体"/>
                <w:color w:val="auto"/>
                <w:sz w:val="24"/>
                <w:szCs w:val="24"/>
              </w:rPr>
              <w:t>名  称: 陕西盛仕骄阳项目管理有限公司</w:t>
            </w:r>
          </w:p>
          <w:p>
            <w:pPr>
              <w:keepLines w:val="0"/>
              <w:pageBreakBefore w:val="0"/>
              <w:kinsoku/>
              <w:wordWrap/>
              <w:overflowPunct/>
              <w:topLinePunct w:val="0"/>
              <w:bidi w:val="0"/>
              <w:snapToGrid/>
              <w:spacing w:line="420" w:lineRule="exact"/>
              <w:textAlignment w:val="auto"/>
              <w:rPr>
                <w:rFonts w:ascii="宋体" w:hAnsi="宋体" w:cs="宋体"/>
                <w:color w:val="auto"/>
                <w:sz w:val="24"/>
                <w:szCs w:val="24"/>
              </w:rPr>
            </w:pPr>
            <w:r>
              <w:rPr>
                <w:rFonts w:hint="eastAsia" w:ascii="宋体" w:hAnsi="宋体" w:cs="宋体"/>
                <w:color w:val="auto"/>
                <w:sz w:val="24"/>
                <w:szCs w:val="24"/>
              </w:rPr>
              <w:t>地  址: 西安市未央区凤城八路与渭滨路十字西北角水晶新天地10楼11004室</w:t>
            </w:r>
          </w:p>
          <w:p>
            <w:pPr>
              <w:keepLines w:val="0"/>
              <w:pageBreakBefore w:val="0"/>
              <w:kinsoku/>
              <w:wordWrap/>
              <w:overflowPunct/>
              <w:topLinePunct w:val="0"/>
              <w:bidi w:val="0"/>
              <w:snapToGrid/>
              <w:spacing w:line="420" w:lineRule="exact"/>
              <w:textAlignment w:val="auto"/>
              <w:rPr>
                <w:rFonts w:ascii="宋体" w:hAnsi="宋体" w:cs="宋体"/>
                <w:color w:val="auto"/>
                <w:sz w:val="24"/>
                <w:szCs w:val="24"/>
              </w:rPr>
            </w:pPr>
            <w:r>
              <w:rPr>
                <w:rFonts w:hint="eastAsia" w:ascii="宋体" w:hAnsi="宋体" w:cs="宋体"/>
                <w:color w:val="auto"/>
                <w:sz w:val="24"/>
                <w:szCs w:val="24"/>
              </w:rPr>
              <w:t>联系人: 张工</w:t>
            </w:r>
          </w:p>
          <w:p>
            <w:pPr>
              <w:keepLines w:val="0"/>
              <w:pageBreakBefore w:val="0"/>
              <w:kinsoku/>
              <w:wordWrap/>
              <w:overflowPunct/>
              <w:topLinePunct w:val="0"/>
              <w:bidi w:val="0"/>
              <w:snapToGrid/>
              <w:spacing w:line="420" w:lineRule="exact"/>
              <w:textAlignment w:val="auto"/>
              <w:rPr>
                <w:rFonts w:ascii="宋体" w:hAnsi="宋体" w:cs="宋体"/>
                <w:color w:val="auto"/>
                <w:sz w:val="24"/>
                <w:szCs w:val="24"/>
              </w:rPr>
            </w:pPr>
            <w:r>
              <w:rPr>
                <w:rFonts w:hint="eastAsia" w:ascii="宋体" w:hAnsi="宋体" w:cs="宋体"/>
                <w:color w:val="auto"/>
                <w:sz w:val="24"/>
                <w:szCs w:val="24"/>
              </w:rPr>
              <w:t>电  话: 029-89871668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3" w:type="dxa"/>
            <w:vAlign w:val="center"/>
          </w:tcPr>
          <w:p>
            <w:pPr>
              <w:pStyle w:val="118"/>
              <w:keepLines w:val="0"/>
              <w:pageBreakBefore w:val="0"/>
              <w:kinsoku/>
              <w:wordWrap/>
              <w:overflowPunct/>
              <w:topLinePunct w:val="0"/>
              <w:bidi w:val="0"/>
              <w:snapToGrid/>
              <w:spacing w:line="420" w:lineRule="exact"/>
              <w:jc w:val="center"/>
              <w:textAlignment w:val="auto"/>
              <w:rPr>
                <w:color w:val="auto"/>
                <w:kern w:val="2"/>
              </w:rPr>
            </w:pPr>
            <w:r>
              <w:rPr>
                <w:rFonts w:hint="eastAsia"/>
                <w:color w:val="auto"/>
                <w:kern w:val="2"/>
              </w:rPr>
              <w:t>3</w:t>
            </w:r>
          </w:p>
        </w:tc>
        <w:tc>
          <w:tcPr>
            <w:tcW w:w="1642" w:type="dxa"/>
            <w:vAlign w:val="center"/>
          </w:tcPr>
          <w:p>
            <w:pPr>
              <w:pStyle w:val="118"/>
              <w:keepLines w:val="0"/>
              <w:pageBreakBefore w:val="0"/>
              <w:kinsoku/>
              <w:wordWrap/>
              <w:overflowPunct/>
              <w:topLinePunct w:val="0"/>
              <w:bidi w:val="0"/>
              <w:snapToGrid/>
              <w:spacing w:line="420" w:lineRule="exact"/>
              <w:ind w:left="38"/>
              <w:jc w:val="center"/>
              <w:textAlignment w:val="auto"/>
              <w:rPr>
                <w:color w:val="auto"/>
                <w:kern w:val="2"/>
              </w:rPr>
            </w:pPr>
            <w:r>
              <w:rPr>
                <w:rFonts w:hint="eastAsia"/>
                <w:color w:val="auto"/>
                <w:kern w:val="2"/>
              </w:rPr>
              <w:t>项目名称</w:t>
            </w:r>
          </w:p>
        </w:tc>
        <w:tc>
          <w:tcPr>
            <w:tcW w:w="7508" w:type="dxa"/>
            <w:vAlign w:val="center"/>
          </w:tcPr>
          <w:p>
            <w:pPr>
              <w:keepLines w:val="0"/>
              <w:pageBreakBefore w:val="0"/>
              <w:kinsoku/>
              <w:wordWrap/>
              <w:overflowPunct/>
              <w:topLinePunct w:val="0"/>
              <w:bidi w:val="0"/>
              <w:snapToGrid/>
              <w:spacing w:line="420" w:lineRule="exact"/>
              <w:textAlignment w:val="auto"/>
              <w:rPr>
                <w:rFonts w:hint="eastAsia" w:ascii="宋体" w:hAnsi="宋体" w:eastAsia="宋体" w:cs="宋体"/>
                <w:color w:val="auto"/>
                <w:sz w:val="24"/>
                <w:szCs w:val="24"/>
                <w:lang w:eastAsia="zh-CN"/>
              </w:rPr>
            </w:pPr>
            <w:r>
              <w:rPr>
                <w:rFonts w:hint="eastAsia" w:ascii="宋体" w:hAnsi="宋体"/>
                <w:color w:val="auto"/>
                <w:sz w:val="24"/>
                <w:szCs w:val="24"/>
                <w:lang w:eastAsia="zh-CN"/>
              </w:rPr>
              <w:t>2022年省级水利发展资金水土保持项目泾阳县清河水保生态小流域治理工程采购项目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3" w:type="dxa"/>
            <w:vAlign w:val="center"/>
          </w:tcPr>
          <w:p>
            <w:pPr>
              <w:pStyle w:val="118"/>
              <w:keepLines w:val="0"/>
              <w:pageBreakBefore w:val="0"/>
              <w:kinsoku/>
              <w:wordWrap/>
              <w:overflowPunct/>
              <w:topLinePunct w:val="0"/>
              <w:bidi w:val="0"/>
              <w:snapToGrid/>
              <w:spacing w:line="420" w:lineRule="exact"/>
              <w:jc w:val="center"/>
              <w:textAlignment w:val="auto"/>
              <w:rPr>
                <w:color w:val="auto"/>
                <w:lang w:val="zh-CN"/>
              </w:rPr>
            </w:pPr>
            <w:r>
              <w:rPr>
                <w:rFonts w:hint="eastAsia"/>
                <w:color w:val="auto"/>
                <w:lang w:val="zh-CN"/>
              </w:rPr>
              <w:t>4</w:t>
            </w:r>
          </w:p>
        </w:tc>
        <w:tc>
          <w:tcPr>
            <w:tcW w:w="1642" w:type="dxa"/>
            <w:vAlign w:val="center"/>
          </w:tcPr>
          <w:p>
            <w:pPr>
              <w:pStyle w:val="118"/>
              <w:keepLines w:val="0"/>
              <w:pageBreakBefore w:val="0"/>
              <w:kinsoku/>
              <w:wordWrap/>
              <w:overflowPunct/>
              <w:topLinePunct w:val="0"/>
              <w:bidi w:val="0"/>
              <w:snapToGrid/>
              <w:spacing w:line="420" w:lineRule="exact"/>
              <w:ind w:left="38"/>
              <w:jc w:val="center"/>
              <w:textAlignment w:val="auto"/>
              <w:rPr>
                <w:color w:val="auto"/>
                <w:lang w:val="zh-CN"/>
              </w:rPr>
            </w:pPr>
            <w:r>
              <w:rPr>
                <w:rFonts w:hint="eastAsia"/>
                <w:color w:val="auto"/>
                <w:lang w:val="zh-CN"/>
              </w:rPr>
              <w:t>项目编号</w:t>
            </w:r>
          </w:p>
        </w:tc>
        <w:tc>
          <w:tcPr>
            <w:tcW w:w="7508" w:type="dxa"/>
            <w:vAlign w:val="center"/>
          </w:tcPr>
          <w:p>
            <w:pPr>
              <w:keepLines w:val="0"/>
              <w:pageBreakBefore w:val="0"/>
              <w:kinsoku/>
              <w:wordWrap/>
              <w:overflowPunct/>
              <w:topLinePunct w:val="0"/>
              <w:bidi w:val="0"/>
              <w:snapToGrid/>
              <w:spacing w:line="420" w:lineRule="exac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rPr>
              <w:t>SSJY-CG（</w:t>
            </w:r>
            <w:r>
              <w:rPr>
                <w:rFonts w:hint="eastAsia" w:ascii="宋体" w:hAnsi="宋体" w:cs="宋体"/>
                <w:color w:val="auto"/>
                <w:sz w:val="24"/>
                <w:szCs w:val="24"/>
                <w:lang w:val="en-US" w:eastAsia="zh-CN"/>
              </w:rPr>
              <w:t>G</w:t>
            </w:r>
            <w:r>
              <w:rPr>
                <w:rFonts w:hint="eastAsia" w:ascii="宋体" w:hAnsi="宋体" w:cs="宋体"/>
                <w:color w:val="auto"/>
                <w:sz w:val="24"/>
                <w:szCs w:val="24"/>
              </w:rPr>
              <w:t>）-20220</w:t>
            </w:r>
            <w:r>
              <w:rPr>
                <w:rFonts w:hint="eastAsia" w:ascii="宋体" w:hAnsi="宋体" w:cs="宋体"/>
                <w:color w:val="auto"/>
                <w:sz w:val="24"/>
                <w:szCs w:val="24"/>
                <w:lang w:val="en-US" w:eastAsia="zh-CN"/>
              </w:rPr>
              <w:t>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3" w:type="dxa"/>
            <w:vAlign w:val="center"/>
          </w:tcPr>
          <w:p>
            <w:pPr>
              <w:pStyle w:val="118"/>
              <w:keepLines w:val="0"/>
              <w:pageBreakBefore w:val="0"/>
              <w:kinsoku/>
              <w:wordWrap/>
              <w:overflowPunct/>
              <w:topLinePunct w:val="0"/>
              <w:bidi w:val="0"/>
              <w:snapToGrid/>
              <w:spacing w:line="420" w:lineRule="exact"/>
              <w:jc w:val="center"/>
              <w:textAlignment w:val="auto"/>
              <w:rPr>
                <w:color w:val="auto"/>
                <w:lang w:val="zh-CN"/>
              </w:rPr>
            </w:pPr>
            <w:r>
              <w:rPr>
                <w:rFonts w:hint="eastAsia"/>
                <w:color w:val="auto"/>
              </w:rPr>
              <w:t>5</w:t>
            </w:r>
          </w:p>
        </w:tc>
        <w:tc>
          <w:tcPr>
            <w:tcW w:w="1642" w:type="dxa"/>
            <w:vAlign w:val="center"/>
          </w:tcPr>
          <w:p>
            <w:pPr>
              <w:pStyle w:val="118"/>
              <w:keepLines w:val="0"/>
              <w:pageBreakBefore w:val="0"/>
              <w:kinsoku/>
              <w:wordWrap/>
              <w:overflowPunct/>
              <w:topLinePunct w:val="0"/>
              <w:bidi w:val="0"/>
              <w:snapToGrid/>
              <w:spacing w:line="420" w:lineRule="exact"/>
              <w:ind w:left="38"/>
              <w:jc w:val="center"/>
              <w:textAlignment w:val="auto"/>
              <w:rPr>
                <w:color w:val="auto"/>
                <w:kern w:val="2"/>
              </w:rPr>
            </w:pPr>
            <w:r>
              <w:rPr>
                <w:rFonts w:hint="eastAsia"/>
                <w:color w:val="auto"/>
                <w:kern w:val="2"/>
              </w:rPr>
              <w:t>采购内容</w:t>
            </w:r>
          </w:p>
        </w:tc>
        <w:tc>
          <w:tcPr>
            <w:tcW w:w="7508" w:type="dxa"/>
            <w:vAlign w:val="center"/>
          </w:tcPr>
          <w:p>
            <w:pPr>
              <w:pStyle w:val="118"/>
              <w:keepLines w:val="0"/>
              <w:pageBreakBefore w:val="0"/>
              <w:kinsoku/>
              <w:wordWrap/>
              <w:overflowPunct/>
              <w:topLinePunct w:val="0"/>
              <w:bidi w:val="0"/>
              <w:snapToGrid/>
              <w:spacing w:line="420" w:lineRule="exact"/>
              <w:textAlignment w:val="auto"/>
              <w:rPr>
                <w:color w:val="auto"/>
              </w:rPr>
            </w:pPr>
            <w:r>
              <w:rPr>
                <w:rFonts w:hint="eastAsia"/>
                <w:color w:val="auto"/>
                <w:lang w:eastAsia="zh-CN"/>
              </w:rPr>
              <w:t>清河水保生态小流域治理工程</w:t>
            </w:r>
            <w:r>
              <w:rPr>
                <w:rFonts w:hint="eastAsia"/>
                <w:color w:val="auto"/>
              </w:rPr>
              <w:t>。内容详见采购文件。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3" w:type="dxa"/>
            <w:vAlign w:val="center"/>
          </w:tcPr>
          <w:p>
            <w:pPr>
              <w:pStyle w:val="118"/>
              <w:keepLines w:val="0"/>
              <w:pageBreakBefore w:val="0"/>
              <w:kinsoku/>
              <w:wordWrap/>
              <w:overflowPunct/>
              <w:topLinePunct w:val="0"/>
              <w:bidi w:val="0"/>
              <w:snapToGrid/>
              <w:spacing w:line="420" w:lineRule="exact"/>
              <w:jc w:val="center"/>
              <w:textAlignment w:val="auto"/>
              <w:rPr>
                <w:color w:val="auto"/>
              </w:rPr>
            </w:pPr>
            <w:r>
              <w:rPr>
                <w:rFonts w:hint="eastAsia"/>
                <w:color w:val="auto"/>
              </w:rPr>
              <w:t>6</w:t>
            </w:r>
          </w:p>
        </w:tc>
        <w:tc>
          <w:tcPr>
            <w:tcW w:w="1642" w:type="dxa"/>
            <w:vAlign w:val="center"/>
          </w:tcPr>
          <w:p>
            <w:pPr>
              <w:pStyle w:val="118"/>
              <w:keepLines w:val="0"/>
              <w:pageBreakBefore w:val="0"/>
              <w:kinsoku/>
              <w:wordWrap/>
              <w:overflowPunct/>
              <w:topLinePunct w:val="0"/>
              <w:bidi w:val="0"/>
              <w:snapToGrid/>
              <w:spacing w:line="420" w:lineRule="exact"/>
              <w:ind w:left="96"/>
              <w:jc w:val="center"/>
              <w:textAlignment w:val="auto"/>
              <w:rPr>
                <w:color w:val="auto"/>
              </w:rPr>
            </w:pPr>
            <w:r>
              <w:rPr>
                <w:rFonts w:hint="eastAsia"/>
                <w:color w:val="auto"/>
              </w:rPr>
              <w:t>采购预算</w:t>
            </w:r>
          </w:p>
        </w:tc>
        <w:tc>
          <w:tcPr>
            <w:tcW w:w="7508" w:type="dxa"/>
            <w:vAlign w:val="center"/>
          </w:tcPr>
          <w:p>
            <w:pPr>
              <w:pStyle w:val="118"/>
              <w:keepLines w:val="0"/>
              <w:pageBreakBefore w:val="0"/>
              <w:kinsoku/>
              <w:wordWrap/>
              <w:overflowPunct/>
              <w:topLinePunct w:val="0"/>
              <w:bidi w:val="0"/>
              <w:snapToGrid/>
              <w:spacing w:line="420" w:lineRule="exact"/>
              <w:jc w:val="both"/>
              <w:textAlignment w:val="auto"/>
              <w:rPr>
                <w:color w:val="auto"/>
              </w:rPr>
            </w:pPr>
            <w:r>
              <w:rPr>
                <w:rFonts w:hint="eastAsia" w:ascii="宋体" w:hAnsi="宋体"/>
                <w:color w:val="auto"/>
                <w:sz w:val="24"/>
                <w:szCs w:val="24"/>
              </w:rPr>
              <w:t>1,398,500.00</w:t>
            </w:r>
            <w:r>
              <w:rPr>
                <w:rFonts w:hint="eastAsia"/>
                <w:color w:val="auto"/>
              </w:rPr>
              <w:t>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3" w:type="dxa"/>
            <w:vAlign w:val="center"/>
          </w:tcPr>
          <w:p>
            <w:pPr>
              <w:pStyle w:val="118"/>
              <w:keepLines w:val="0"/>
              <w:pageBreakBefore w:val="0"/>
              <w:kinsoku/>
              <w:wordWrap/>
              <w:overflowPunct/>
              <w:topLinePunct w:val="0"/>
              <w:bidi w:val="0"/>
              <w:snapToGrid/>
              <w:spacing w:line="420" w:lineRule="exact"/>
              <w:jc w:val="center"/>
              <w:textAlignment w:val="auto"/>
              <w:rPr>
                <w:color w:val="auto"/>
              </w:rPr>
            </w:pPr>
            <w:r>
              <w:rPr>
                <w:rFonts w:hint="eastAsia"/>
                <w:color w:val="auto"/>
              </w:rPr>
              <w:t>7</w:t>
            </w:r>
          </w:p>
        </w:tc>
        <w:tc>
          <w:tcPr>
            <w:tcW w:w="1642" w:type="dxa"/>
            <w:vAlign w:val="center"/>
          </w:tcPr>
          <w:p>
            <w:pPr>
              <w:pStyle w:val="118"/>
              <w:keepLines w:val="0"/>
              <w:pageBreakBefore w:val="0"/>
              <w:kinsoku/>
              <w:wordWrap/>
              <w:overflowPunct/>
              <w:topLinePunct w:val="0"/>
              <w:bidi w:val="0"/>
              <w:snapToGrid/>
              <w:spacing w:line="420" w:lineRule="exact"/>
              <w:ind w:left="96"/>
              <w:jc w:val="center"/>
              <w:textAlignment w:val="auto"/>
              <w:rPr>
                <w:color w:val="auto"/>
              </w:rPr>
            </w:pPr>
            <w:r>
              <w:rPr>
                <w:rFonts w:hint="eastAsia"/>
                <w:color w:val="auto"/>
              </w:rPr>
              <w:t>最高限价</w:t>
            </w:r>
          </w:p>
        </w:tc>
        <w:tc>
          <w:tcPr>
            <w:tcW w:w="7508" w:type="dxa"/>
            <w:vAlign w:val="center"/>
          </w:tcPr>
          <w:p>
            <w:pPr>
              <w:pStyle w:val="118"/>
              <w:keepLines w:val="0"/>
              <w:pageBreakBefore w:val="0"/>
              <w:kinsoku/>
              <w:wordWrap/>
              <w:overflowPunct/>
              <w:topLinePunct w:val="0"/>
              <w:bidi w:val="0"/>
              <w:snapToGrid/>
              <w:spacing w:line="420" w:lineRule="exact"/>
              <w:jc w:val="both"/>
              <w:textAlignment w:val="auto"/>
              <w:rPr>
                <w:color w:val="auto"/>
              </w:rPr>
            </w:pPr>
            <w:r>
              <w:rPr>
                <w:rFonts w:hint="eastAsia" w:ascii="宋体" w:hAnsi="宋体"/>
                <w:color w:val="auto"/>
                <w:sz w:val="24"/>
                <w:szCs w:val="24"/>
              </w:rPr>
              <w:t>1,398,500.00</w:t>
            </w:r>
            <w:r>
              <w:rPr>
                <w:rFonts w:hint="eastAsia"/>
                <w:color w:val="auto"/>
              </w:rPr>
              <w:t>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7" w:hRule="atLeast"/>
          <w:jc w:val="center"/>
        </w:trPr>
        <w:tc>
          <w:tcPr>
            <w:tcW w:w="723" w:type="dxa"/>
            <w:vAlign w:val="center"/>
          </w:tcPr>
          <w:p>
            <w:pPr>
              <w:pStyle w:val="118"/>
              <w:keepLines w:val="0"/>
              <w:pageBreakBefore w:val="0"/>
              <w:kinsoku/>
              <w:wordWrap/>
              <w:overflowPunct/>
              <w:topLinePunct w:val="0"/>
              <w:bidi w:val="0"/>
              <w:snapToGrid/>
              <w:spacing w:line="420" w:lineRule="exact"/>
              <w:jc w:val="center"/>
              <w:textAlignment w:val="auto"/>
              <w:rPr>
                <w:color w:val="auto"/>
              </w:rPr>
            </w:pPr>
            <w:r>
              <w:rPr>
                <w:rFonts w:hint="eastAsia"/>
                <w:color w:val="auto"/>
              </w:rPr>
              <w:t>8</w:t>
            </w:r>
          </w:p>
        </w:tc>
        <w:tc>
          <w:tcPr>
            <w:tcW w:w="1642" w:type="dxa"/>
            <w:vAlign w:val="center"/>
          </w:tcPr>
          <w:p>
            <w:pPr>
              <w:pStyle w:val="118"/>
              <w:keepLines w:val="0"/>
              <w:pageBreakBefore w:val="0"/>
              <w:kinsoku/>
              <w:wordWrap/>
              <w:overflowPunct/>
              <w:topLinePunct w:val="0"/>
              <w:bidi w:val="0"/>
              <w:snapToGrid/>
              <w:spacing w:line="420" w:lineRule="exact"/>
              <w:ind w:left="96"/>
              <w:jc w:val="center"/>
              <w:textAlignment w:val="auto"/>
              <w:rPr>
                <w:rFonts w:hint="eastAsia" w:eastAsia="宋体"/>
                <w:color w:val="auto"/>
                <w:lang w:eastAsia="zh-CN"/>
              </w:rPr>
            </w:pPr>
            <w:r>
              <w:rPr>
                <w:rFonts w:hint="eastAsia"/>
                <w:color w:val="auto"/>
                <w:lang w:eastAsia="zh-CN"/>
              </w:rPr>
              <w:t>工期</w:t>
            </w:r>
          </w:p>
        </w:tc>
        <w:tc>
          <w:tcPr>
            <w:tcW w:w="7508" w:type="dxa"/>
            <w:vAlign w:val="center"/>
          </w:tcPr>
          <w:p>
            <w:pPr>
              <w:pStyle w:val="118"/>
              <w:keepLines w:val="0"/>
              <w:pageBreakBefore w:val="0"/>
              <w:kinsoku/>
              <w:wordWrap/>
              <w:overflowPunct/>
              <w:topLinePunct w:val="0"/>
              <w:bidi w:val="0"/>
              <w:snapToGrid/>
              <w:spacing w:line="420" w:lineRule="exact"/>
              <w:jc w:val="both"/>
              <w:textAlignment w:val="auto"/>
              <w:rPr>
                <w:color w:val="auto"/>
              </w:rPr>
            </w:pPr>
            <w:r>
              <w:rPr>
                <w:rFonts w:hint="eastAsia"/>
                <w:color w:val="auto"/>
              </w:rPr>
              <w:t>自合同签订之日起</w:t>
            </w:r>
            <w:r>
              <w:rPr>
                <w:rFonts w:hint="eastAsia"/>
                <w:color w:val="auto"/>
                <w:lang w:val="en-US" w:eastAsia="zh-CN"/>
              </w:rPr>
              <w:t>10个月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3" w:type="dxa"/>
            <w:vAlign w:val="center"/>
          </w:tcPr>
          <w:p>
            <w:pPr>
              <w:pStyle w:val="118"/>
              <w:keepLines w:val="0"/>
              <w:pageBreakBefore w:val="0"/>
              <w:kinsoku/>
              <w:wordWrap/>
              <w:overflowPunct/>
              <w:topLinePunct w:val="0"/>
              <w:bidi w:val="0"/>
              <w:snapToGrid/>
              <w:spacing w:line="420" w:lineRule="exact"/>
              <w:jc w:val="center"/>
              <w:textAlignment w:val="auto"/>
              <w:rPr>
                <w:color w:val="auto"/>
              </w:rPr>
            </w:pPr>
            <w:r>
              <w:rPr>
                <w:rFonts w:hint="eastAsia"/>
                <w:color w:val="auto"/>
              </w:rPr>
              <w:t>9</w:t>
            </w:r>
          </w:p>
        </w:tc>
        <w:tc>
          <w:tcPr>
            <w:tcW w:w="1642" w:type="dxa"/>
            <w:vAlign w:val="center"/>
          </w:tcPr>
          <w:p>
            <w:pPr>
              <w:pStyle w:val="118"/>
              <w:keepLines w:val="0"/>
              <w:pageBreakBefore w:val="0"/>
              <w:kinsoku/>
              <w:wordWrap/>
              <w:overflowPunct/>
              <w:topLinePunct w:val="0"/>
              <w:bidi w:val="0"/>
              <w:snapToGrid/>
              <w:spacing w:line="420" w:lineRule="exact"/>
              <w:ind w:left="96"/>
              <w:jc w:val="center"/>
              <w:textAlignment w:val="auto"/>
              <w:rPr>
                <w:color w:val="auto"/>
                <w:lang w:val="zh-CN"/>
              </w:rPr>
            </w:pPr>
            <w:r>
              <w:rPr>
                <w:rFonts w:hint="eastAsia"/>
                <w:color w:val="auto"/>
                <w:lang w:val="zh-CN"/>
              </w:rPr>
              <w:t>质量要求、验收标准</w:t>
            </w:r>
          </w:p>
        </w:tc>
        <w:tc>
          <w:tcPr>
            <w:tcW w:w="7508" w:type="dxa"/>
            <w:vAlign w:val="center"/>
          </w:tcPr>
          <w:p>
            <w:pPr>
              <w:keepLines w:val="0"/>
              <w:pageBreakBefore w:val="0"/>
              <w:kinsoku/>
              <w:wordWrap/>
              <w:overflowPunct/>
              <w:topLinePunct w:val="0"/>
              <w:bidi w:val="0"/>
              <w:snapToGrid/>
              <w:spacing w:line="420" w:lineRule="exact"/>
              <w:textAlignment w:val="auto"/>
              <w:rPr>
                <w:rFonts w:ascii="宋体" w:hAnsi="宋体" w:cs="宋体"/>
                <w:color w:val="auto"/>
                <w:sz w:val="24"/>
                <w:szCs w:val="24"/>
              </w:rPr>
            </w:pPr>
            <w:r>
              <w:rPr>
                <w:rFonts w:hint="eastAsia" w:ascii="宋体" w:hAnsi="宋体" w:cs="宋体"/>
                <w:color w:val="auto"/>
                <w:sz w:val="24"/>
                <w:szCs w:val="24"/>
              </w:rPr>
              <w:t>质量要求：达到国家现行技术标准。</w:t>
            </w:r>
          </w:p>
          <w:p>
            <w:pPr>
              <w:keepLines w:val="0"/>
              <w:pageBreakBefore w:val="0"/>
              <w:kinsoku/>
              <w:wordWrap/>
              <w:overflowPunct/>
              <w:topLinePunct w:val="0"/>
              <w:bidi w:val="0"/>
              <w:snapToGrid/>
              <w:spacing w:line="420" w:lineRule="exact"/>
              <w:textAlignment w:val="auto"/>
              <w:rPr>
                <w:rFonts w:ascii="宋体" w:hAnsi="宋体" w:cs="宋体"/>
                <w:color w:val="auto"/>
                <w:sz w:val="24"/>
                <w:szCs w:val="24"/>
              </w:rPr>
            </w:pPr>
            <w:r>
              <w:rPr>
                <w:rFonts w:hint="eastAsia" w:ascii="宋体" w:hAnsi="宋体" w:cs="宋体"/>
                <w:color w:val="auto"/>
                <w:sz w:val="24"/>
                <w:szCs w:val="24"/>
              </w:rPr>
              <w:t>验收标准：国家标准、行业标准、企业标准。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3" w:type="dxa"/>
            <w:vAlign w:val="center"/>
          </w:tcPr>
          <w:p>
            <w:pPr>
              <w:pStyle w:val="118"/>
              <w:keepLines w:val="0"/>
              <w:pageBreakBefore w:val="0"/>
              <w:kinsoku/>
              <w:wordWrap/>
              <w:overflowPunct/>
              <w:topLinePunct w:val="0"/>
              <w:bidi w:val="0"/>
              <w:snapToGrid/>
              <w:spacing w:line="420" w:lineRule="exact"/>
              <w:jc w:val="center"/>
              <w:textAlignment w:val="auto"/>
              <w:rPr>
                <w:color w:val="auto"/>
              </w:rPr>
            </w:pPr>
            <w:r>
              <w:rPr>
                <w:rFonts w:hint="eastAsia"/>
                <w:color w:val="auto"/>
              </w:rPr>
              <w:t>10</w:t>
            </w:r>
          </w:p>
        </w:tc>
        <w:tc>
          <w:tcPr>
            <w:tcW w:w="1642" w:type="dxa"/>
            <w:vAlign w:val="center"/>
          </w:tcPr>
          <w:p>
            <w:pPr>
              <w:keepLines w:val="0"/>
              <w:pageBreakBefore w:val="0"/>
              <w:kinsoku/>
              <w:wordWrap/>
              <w:overflowPunct/>
              <w:topLinePunct w:val="0"/>
              <w:bidi w:val="0"/>
              <w:snapToGrid/>
              <w:spacing w:line="420" w:lineRule="exact"/>
              <w:jc w:val="center"/>
              <w:textAlignment w:val="auto"/>
              <w:rPr>
                <w:rFonts w:ascii="宋体" w:hAnsi="宋体" w:cs="宋体"/>
                <w:color w:val="auto"/>
                <w:sz w:val="24"/>
                <w:szCs w:val="24"/>
                <w:lang w:val="zh-CN"/>
              </w:rPr>
            </w:pPr>
            <w:r>
              <w:rPr>
                <w:rFonts w:hint="eastAsia" w:ascii="宋体" w:hAnsi="宋体" w:cs="宋体"/>
                <w:color w:val="auto"/>
                <w:sz w:val="24"/>
                <w:szCs w:val="24"/>
              </w:rPr>
              <w:t>磋商文件发售</w:t>
            </w:r>
          </w:p>
        </w:tc>
        <w:tc>
          <w:tcPr>
            <w:tcW w:w="7508" w:type="dxa"/>
            <w:vAlign w:val="center"/>
          </w:tcPr>
          <w:p>
            <w:pPr>
              <w:pStyle w:val="125"/>
              <w:keepLines w:val="0"/>
              <w:pageBreakBefore w:val="0"/>
              <w:kinsoku/>
              <w:wordWrap/>
              <w:overflowPunct/>
              <w:topLinePunct w:val="0"/>
              <w:bidi w:val="0"/>
              <w:snapToGrid/>
              <w:spacing w:line="420" w:lineRule="exact"/>
              <w:jc w:val="both"/>
              <w:textAlignment w:val="auto"/>
              <w:rPr>
                <w:rFonts w:ascii="宋体" w:hAnsi="宋体" w:cs="宋体"/>
                <w:color w:val="auto"/>
                <w:szCs w:val="24"/>
              </w:rPr>
            </w:pPr>
            <w:r>
              <w:rPr>
                <w:rFonts w:hint="eastAsia" w:ascii="宋体" w:hAnsi="宋体" w:cs="宋体"/>
                <w:color w:val="auto"/>
                <w:spacing w:val="-6"/>
                <w:szCs w:val="24"/>
              </w:rPr>
              <w:t>发售时间：2022年07月01日至2022年07月08日（上午9：00-12:00，下午14:00-17:00）。</w:t>
            </w:r>
          </w:p>
          <w:p>
            <w:pPr>
              <w:keepLines w:val="0"/>
              <w:pageBreakBefore w:val="0"/>
              <w:kinsoku/>
              <w:wordWrap/>
              <w:overflowPunct/>
              <w:topLinePunct w:val="0"/>
              <w:bidi w:val="0"/>
              <w:snapToGrid/>
              <w:spacing w:line="420" w:lineRule="exact"/>
              <w:textAlignment w:val="auto"/>
              <w:rPr>
                <w:rFonts w:ascii="宋体" w:hAnsi="宋体" w:cs="宋体"/>
                <w:color w:val="auto"/>
                <w:sz w:val="24"/>
                <w:szCs w:val="24"/>
              </w:rPr>
            </w:pPr>
            <w:r>
              <w:rPr>
                <w:rFonts w:hint="eastAsia" w:ascii="宋体" w:hAnsi="宋体" w:cs="宋体"/>
                <w:color w:val="auto"/>
                <w:sz w:val="24"/>
                <w:szCs w:val="24"/>
              </w:rPr>
              <w:t>发售地点：西安市未央区凤城八路与渭滨路十字西北角水晶新天地10楼11004室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3" w:type="dxa"/>
            <w:vAlign w:val="center"/>
          </w:tcPr>
          <w:p>
            <w:pPr>
              <w:pStyle w:val="118"/>
              <w:keepLines w:val="0"/>
              <w:pageBreakBefore w:val="0"/>
              <w:kinsoku/>
              <w:wordWrap/>
              <w:overflowPunct/>
              <w:topLinePunct w:val="0"/>
              <w:bidi w:val="0"/>
              <w:snapToGrid/>
              <w:spacing w:line="420" w:lineRule="exact"/>
              <w:jc w:val="center"/>
              <w:textAlignment w:val="auto"/>
              <w:rPr>
                <w:color w:val="auto"/>
              </w:rPr>
            </w:pPr>
            <w:r>
              <w:rPr>
                <w:rFonts w:hint="eastAsia"/>
                <w:color w:val="auto"/>
              </w:rPr>
              <w:t>11</w:t>
            </w:r>
          </w:p>
        </w:tc>
        <w:tc>
          <w:tcPr>
            <w:tcW w:w="1642" w:type="dxa"/>
            <w:vAlign w:val="center"/>
          </w:tcPr>
          <w:p>
            <w:pPr>
              <w:pStyle w:val="118"/>
              <w:keepLines w:val="0"/>
              <w:pageBreakBefore w:val="0"/>
              <w:kinsoku/>
              <w:wordWrap/>
              <w:overflowPunct/>
              <w:topLinePunct w:val="0"/>
              <w:bidi w:val="0"/>
              <w:snapToGrid/>
              <w:spacing w:line="420" w:lineRule="exact"/>
              <w:textAlignment w:val="auto"/>
              <w:rPr>
                <w:color w:val="auto"/>
                <w:lang w:val="zh-CN"/>
              </w:rPr>
            </w:pPr>
            <w:r>
              <w:rPr>
                <w:rFonts w:hint="eastAsia"/>
                <w:color w:val="auto"/>
                <w:lang w:val="zh-CN"/>
              </w:rPr>
              <w:t>联合体磋商</w:t>
            </w:r>
          </w:p>
        </w:tc>
        <w:tc>
          <w:tcPr>
            <w:tcW w:w="7508" w:type="dxa"/>
            <w:vAlign w:val="center"/>
          </w:tcPr>
          <w:p>
            <w:pPr>
              <w:keepLines w:val="0"/>
              <w:pageBreakBefore w:val="0"/>
              <w:kinsoku/>
              <w:wordWrap/>
              <w:overflowPunct/>
              <w:topLinePunct w:val="0"/>
              <w:bidi w:val="0"/>
              <w:snapToGrid/>
              <w:spacing w:line="420" w:lineRule="exact"/>
              <w:textAlignment w:val="auto"/>
              <w:rPr>
                <w:rFonts w:ascii="宋体" w:hAnsi="宋体" w:cs="宋体"/>
                <w:color w:val="auto"/>
                <w:sz w:val="24"/>
                <w:szCs w:val="24"/>
              </w:rPr>
            </w:pPr>
            <w:r>
              <w:rPr>
                <w:rFonts w:hint="eastAsia" w:ascii="宋体" w:hAnsi="宋体" w:cs="宋体"/>
                <w:color w:val="auto"/>
                <w:sz w:val="24"/>
                <w:szCs w:val="24"/>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3" w:type="dxa"/>
            <w:vAlign w:val="center"/>
          </w:tcPr>
          <w:p>
            <w:pPr>
              <w:pStyle w:val="118"/>
              <w:keepLines w:val="0"/>
              <w:pageBreakBefore w:val="0"/>
              <w:kinsoku/>
              <w:wordWrap/>
              <w:overflowPunct/>
              <w:topLinePunct w:val="0"/>
              <w:bidi w:val="0"/>
              <w:snapToGrid/>
              <w:spacing w:line="420" w:lineRule="exact"/>
              <w:jc w:val="center"/>
              <w:textAlignment w:val="auto"/>
              <w:rPr>
                <w:color w:val="auto"/>
              </w:rPr>
            </w:pPr>
            <w:r>
              <w:rPr>
                <w:rFonts w:hint="eastAsia"/>
                <w:color w:val="auto"/>
              </w:rPr>
              <w:t>12</w:t>
            </w:r>
          </w:p>
        </w:tc>
        <w:tc>
          <w:tcPr>
            <w:tcW w:w="1642" w:type="dxa"/>
            <w:vAlign w:val="center"/>
          </w:tcPr>
          <w:p>
            <w:pPr>
              <w:pStyle w:val="118"/>
              <w:keepLines w:val="0"/>
              <w:pageBreakBefore w:val="0"/>
              <w:kinsoku/>
              <w:wordWrap/>
              <w:overflowPunct/>
              <w:topLinePunct w:val="0"/>
              <w:bidi w:val="0"/>
              <w:snapToGrid/>
              <w:spacing w:line="420" w:lineRule="exact"/>
              <w:textAlignment w:val="auto"/>
              <w:rPr>
                <w:color w:val="auto"/>
                <w:lang w:val="zh-CN"/>
              </w:rPr>
            </w:pPr>
            <w:r>
              <w:rPr>
                <w:rFonts w:hint="eastAsia"/>
                <w:color w:val="auto"/>
                <w:lang w:val="zh-CN"/>
              </w:rPr>
              <w:t>考察现场、标前答疑会</w:t>
            </w:r>
          </w:p>
        </w:tc>
        <w:tc>
          <w:tcPr>
            <w:tcW w:w="7508" w:type="dxa"/>
            <w:vAlign w:val="center"/>
          </w:tcPr>
          <w:p>
            <w:pPr>
              <w:keepLines w:val="0"/>
              <w:pageBreakBefore w:val="0"/>
              <w:kinsoku/>
              <w:wordWrap/>
              <w:overflowPunct/>
              <w:topLinePunct w:val="0"/>
              <w:bidi w:val="0"/>
              <w:snapToGrid/>
              <w:spacing w:line="420" w:lineRule="exact"/>
              <w:textAlignment w:val="auto"/>
              <w:rPr>
                <w:rFonts w:ascii="宋体" w:hAnsi="宋体" w:cs="宋体"/>
                <w:color w:val="auto"/>
                <w:sz w:val="24"/>
                <w:szCs w:val="24"/>
              </w:rPr>
            </w:pPr>
            <w:r>
              <w:rPr>
                <w:rFonts w:hint="eastAsia" w:ascii="宋体" w:hAnsi="宋体" w:cs="宋体"/>
                <w:color w:val="auto"/>
                <w:sz w:val="24"/>
                <w:szCs w:val="24"/>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3" w:type="dxa"/>
            <w:vAlign w:val="center"/>
          </w:tcPr>
          <w:p>
            <w:pPr>
              <w:pStyle w:val="118"/>
              <w:keepLines w:val="0"/>
              <w:pageBreakBefore w:val="0"/>
              <w:kinsoku/>
              <w:wordWrap/>
              <w:overflowPunct/>
              <w:topLinePunct w:val="0"/>
              <w:bidi w:val="0"/>
              <w:snapToGrid/>
              <w:spacing w:line="420" w:lineRule="exact"/>
              <w:jc w:val="center"/>
              <w:textAlignment w:val="auto"/>
              <w:rPr>
                <w:color w:val="auto"/>
              </w:rPr>
            </w:pPr>
            <w:r>
              <w:rPr>
                <w:rFonts w:hint="eastAsia"/>
                <w:color w:val="auto"/>
              </w:rPr>
              <w:t>13</w:t>
            </w:r>
          </w:p>
        </w:tc>
        <w:tc>
          <w:tcPr>
            <w:tcW w:w="1642" w:type="dxa"/>
            <w:vAlign w:val="center"/>
          </w:tcPr>
          <w:p>
            <w:pPr>
              <w:pStyle w:val="118"/>
              <w:keepLines w:val="0"/>
              <w:pageBreakBefore w:val="0"/>
              <w:kinsoku/>
              <w:wordWrap/>
              <w:overflowPunct/>
              <w:topLinePunct w:val="0"/>
              <w:bidi w:val="0"/>
              <w:snapToGrid/>
              <w:spacing w:line="420" w:lineRule="exact"/>
              <w:ind w:left="52"/>
              <w:jc w:val="center"/>
              <w:textAlignment w:val="auto"/>
              <w:rPr>
                <w:color w:val="auto"/>
                <w:lang w:val="zh-CN"/>
              </w:rPr>
            </w:pPr>
            <w:r>
              <w:rPr>
                <w:rFonts w:hint="eastAsia"/>
                <w:color w:val="auto"/>
                <w:lang w:val="zh-CN"/>
              </w:rPr>
              <w:t>构成竞争性磋商采购文件的其他文件</w:t>
            </w:r>
          </w:p>
        </w:tc>
        <w:tc>
          <w:tcPr>
            <w:tcW w:w="7508" w:type="dxa"/>
            <w:vAlign w:val="center"/>
          </w:tcPr>
          <w:p>
            <w:pPr>
              <w:keepLines w:val="0"/>
              <w:pageBreakBefore w:val="0"/>
              <w:kinsoku/>
              <w:wordWrap/>
              <w:overflowPunct/>
              <w:topLinePunct w:val="0"/>
              <w:bidi w:val="0"/>
              <w:snapToGrid/>
              <w:spacing w:line="420" w:lineRule="exact"/>
              <w:textAlignment w:val="auto"/>
              <w:rPr>
                <w:rFonts w:ascii="宋体" w:hAnsi="宋体" w:cs="宋体"/>
                <w:color w:val="auto"/>
                <w:sz w:val="24"/>
                <w:szCs w:val="24"/>
              </w:rPr>
            </w:pPr>
            <w:r>
              <w:rPr>
                <w:rFonts w:hint="eastAsia" w:ascii="宋体" w:hAnsi="宋体" w:cs="宋体"/>
                <w:color w:val="auto"/>
                <w:sz w:val="24"/>
                <w:szCs w:val="24"/>
              </w:rPr>
              <w:t>竞争性磋商采购文件的澄清、修改书及有关补充通知为竞争性磋商采购文件的有效组成部分。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3" w:type="dxa"/>
            <w:vAlign w:val="center"/>
          </w:tcPr>
          <w:p>
            <w:pPr>
              <w:pStyle w:val="118"/>
              <w:keepLines w:val="0"/>
              <w:pageBreakBefore w:val="0"/>
              <w:kinsoku/>
              <w:wordWrap/>
              <w:overflowPunct/>
              <w:topLinePunct w:val="0"/>
              <w:bidi w:val="0"/>
              <w:snapToGrid/>
              <w:spacing w:line="420" w:lineRule="exact"/>
              <w:jc w:val="center"/>
              <w:textAlignment w:val="auto"/>
              <w:rPr>
                <w:color w:val="auto"/>
              </w:rPr>
            </w:pPr>
            <w:r>
              <w:rPr>
                <w:rFonts w:hint="eastAsia"/>
                <w:color w:val="auto"/>
              </w:rPr>
              <w:t>14</w:t>
            </w:r>
          </w:p>
        </w:tc>
        <w:tc>
          <w:tcPr>
            <w:tcW w:w="1642" w:type="dxa"/>
            <w:vAlign w:val="center"/>
          </w:tcPr>
          <w:p>
            <w:pPr>
              <w:pStyle w:val="125"/>
              <w:keepLines w:val="0"/>
              <w:pageBreakBefore w:val="0"/>
              <w:kinsoku/>
              <w:wordWrap/>
              <w:overflowPunct/>
              <w:topLinePunct w:val="0"/>
              <w:bidi w:val="0"/>
              <w:snapToGrid/>
              <w:spacing w:line="420" w:lineRule="exact"/>
              <w:jc w:val="center"/>
              <w:textAlignment w:val="auto"/>
              <w:rPr>
                <w:rFonts w:ascii="宋体" w:hAnsi="宋体" w:cs="宋体"/>
                <w:color w:val="auto"/>
                <w:kern w:val="2"/>
                <w:szCs w:val="24"/>
              </w:rPr>
            </w:pPr>
            <w:r>
              <w:rPr>
                <w:rFonts w:hint="eastAsia" w:ascii="宋体" w:hAnsi="宋体" w:cs="宋体"/>
                <w:color w:val="auto"/>
                <w:szCs w:val="24"/>
              </w:rPr>
              <w:t>磋商文件递交截止时间和地点</w:t>
            </w:r>
          </w:p>
        </w:tc>
        <w:tc>
          <w:tcPr>
            <w:tcW w:w="7508" w:type="dxa"/>
            <w:vAlign w:val="center"/>
          </w:tcPr>
          <w:p>
            <w:pPr>
              <w:keepLines w:val="0"/>
              <w:pageBreakBefore w:val="0"/>
              <w:kinsoku/>
              <w:wordWrap/>
              <w:overflowPunct/>
              <w:topLinePunct w:val="0"/>
              <w:bidi w:val="0"/>
              <w:snapToGrid/>
              <w:spacing w:line="420" w:lineRule="exact"/>
              <w:textAlignment w:val="auto"/>
              <w:rPr>
                <w:rFonts w:ascii="宋体" w:hAnsi="宋体" w:cs="宋体"/>
                <w:color w:val="auto"/>
                <w:sz w:val="24"/>
                <w:szCs w:val="24"/>
              </w:rPr>
            </w:pPr>
            <w:r>
              <w:rPr>
                <w:rFonts w:hint="eastAsia" w:ascii="宋体" w:hAnsi="宋体" w:cs="宋体"/>
                <w:color w:val="auto"/>
                <w:sz w:val="24"/>
                <w:szCs w:val="24"/>
              </w:rPr>
              <w:t>1.磋商文件截止时间：2022年0</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12</w:t>
            </w:r>
            <w:r>
              <w:rPr>
                <w:rFonts w:hint="eastAsia" w:ascii="宋体" w:hAnsi="宋体" w:cs="宋体"/>
                <w:color w:val="auto"/>
                <w:sz w:val="24"/>
                <w:szCs w:val="24"/>
              </w:rPr>
              <w:t>日14:30（北京时间）</w:t>
            </w:r>
          </w:p>
          <w:p>
            <w:pPr>
              <w:keepLines w:val="0"/>
              <w:pageBreakBefore w:val="0"/>
              <w:kinsoku/>
              <w:wordWrap/>
              <w:overflowPunct/>
              <w:topLinePunct w:val="0"/>
              <w:bidi w:val="0"/>
              <w:snapToGrid/>
              <w:spacing w:line="420" w:lineRule="exact"/>
              <w:textAlignment w:val="auto"/>
              <w:rPr>
                <w:rFonts w:ascii="宋体" w:hAnsi="宋体" w:cs="宋体"/>
                <w:color w:val="auto"/>
                <w:sz w:val="24"/>
                <w:szCs w:val="24"/>
              </w:rPr>
            </w:pPr>
            <w:r>
              <w:rPr>
                <w:rFonts w:hint="eastAsia" w:ascii="宋体" w:hAnsi="宋体" w:cs="宋体"/>
                <w:color w:val="auto"/>
                <w:sz w:val="24"/>
                <w:szCs w:val="24"/>
              </w:rPr>
              <w:t>2.磋商时间：2022年0</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12</w:t>
            </w:r>
            <w:r>
              <w:rPr>
                <w:rFonts w:hint="eastAsia" w:ascii="宋体" w:hAnsi="宋体" w:cs="宋体"/>
                <w:color w:val="auto"/>
                <w:sz w:val="24"/>
                <w:szCs w:val="24"/>
              </w:rPr>
              <w:t>日14:30（北京时间）</w:t>
            </w:r>
          </w:p>
          <w:p>
            <w:pPr>
              <w:keepLines w:val="0"/>
              <w:pageBreakBefore w:val="0"/>
              <w:kinsoku/>
              <w:wordWrap/>
              <w:overflowPunct/>
              <w:topLinePunct w:val="0"/>
              <w:bidi w:val="0"/>
              <w:snapToGrid/>
              <w:spacing w:line="420" w:lineRule="exact"/>
              <w:textAlignment w:val="auto"/>
              <w:rPr>
                <w:rFonts w:ascii="宋体" w:hAnsi="宋体" w:cs="宋体"/>
                <w:color w:val="auto"/>
                <w:sz w:val="24"/>
                <w:szCs w:val="24"/>
              </w:rPr>
            </w:pPr>
            <w:r>
              <w:rPr>
                <w:rFonts w:hint="eastAsia" w:ascii="宋体" w:hAnsi="宋体" w:cs="宋体"/>
                <w:color w:val="auto"/>
                <w:sz w:val="24"/>
                <w:szCs w:val="24"/>
              </w:rPr>
              <w:t>3.磋商地点：西安市未央区凤城八路与渭滨路十字西北角水晶新天地10楼11004室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3" w:type="dxa"/>
            <w:vAlign w:val="center"/>
          </w:tcPr>
          <w:p>
            <w:pPr>
              <w:pStyle w:val="118"/>
              <w:keepLines w:val="0"/>
              <w:pageBreakBefore w:val="0"/>
              <w:kinsoku/>
              <w:wordWrap/>
              <w:overflowPunct/>
              <w:topLinePunct w:val="0"/>
              <w:bidi w:val="0"/>
              <w:snapToGrid/>
              <w:spacing w:line="420" w:lineRule="exact"/>
              <w:jc w:val="center"/>
              <w:textAlignment w:val="auto"/>
              <w:rPr>
                <w:color w:val="auto"/>
              </w:rPr>
            </w:pPr>
            <w:r>
              <w:rPr>
                <w:rFonts w:hint="eastAsia"/>
                <w:color w:val="auto"/>
              </w:rPr>
              <w:t>15</w:t>
            </w:r>
          </w:p>
        </w:tc>
        <w:tc>
          <w:tcPr>
            <w:tcW w:w="1642" w:type="dxa"/>
            <w:vAlign w:val="center"/>
          </w:tcPr>
          <w:p>
            <w:pPr>
              <w:pStyle w:val="118"/>
              <w:keepLines w:val="0"/>
              <w:pageBreakBefore w:val="0"/>
              <w:kinsoku/>
              <w:wordWrap/>
              <w:overflowPunct/>
              <w:topLinePunct w:val="0"/>
              <w:bidi w:val="0"/>
              <w:snapToGrid/>
              <w:spacing w:line="420" w:lineRule="exact"/>
              <w:ind w:left="33"/>
              <w:jc w:val="center"/>
              <w:textAlignment w:val="auto"/>
              <w:rPr>
                <w:color w:val="auto"/>
                <w:lang w:val="zh-CN"/>
              </w:rPr>
            </w:pPr>
            <w:r>
              <w:rPr>
                <w:rFonts w:hint="eastAsia"/>
                <w:color w:val="auto"/>
                <w:lang w:val="zh-CN"/>
              </w:rPr>
              <w:t>磋商有效期</w:t>
            </w:r>
          </w:p>
        </w:tc>
        <w:tc>
          <w:tcPr>
            <w:tcW w:w="7508" w:type="dxa"/>
            <w:vAlign w:val="center"/>
          </w:tcPr>
          <w:p>
            <w:pPr>
              <w:keepLines w:val="0"/>
              <w:pageBreakBefore w:val="0"/>
              <w:kinsoku/>
              <w:wordWrap/>
              <w:overflowPunct/>
              <w:topLinePunct w:val="0"/>
              <w:bidi w:val="0"/>
              <w:snapToGrid/>
              <w:spacing w:line="420" w:lineRule="exact"/>
              <w:textAlignment w:val="auto"/>
              <w:rPr>
                <w:rFonts w:ascii="宋体" w:hAnsi="宋体" w:cs="宋体"/>
                <w:color w:val="auto"/>
                <w:sz w:val="24"/>
                <w:szCs w:val="24"/>
              </w:rPr>
            </w:pPr>
            <w:r>
              <w:rPr>
                <w:rFonts w:hint="eastAsia" w:ascii="宋体" w:hAnsi="宋体" w:cs="宋体"/>
                <w:color w:val="auto"/>
                <w:sz w:val="24"/>
                <w:szCs w:val="24"/>
              </w:rPr>
              <w:t>从磋商截止日起90日历天。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3" w:type="dxa"/>
            <w:vAlign w:val="center"/>
          </w:tcPr>
          <w:p>
            <w:pPr>
              <w:pStyle w:val="118"/>
              <w:keepLines w:val="0"/>
              <w:pageBreakBefore w:val="0"/>
              <w:kinsoku/>
              <w:wordWrap/>
              <w:overflowPunct/>
              <w:topLinePunct w:val="0"/>
              <w:bidi w:val="0"/>
              <w:snapToGrid/>
              <w:spacing w:line="420" w:lineRule="exact"/>
              <w:jc w:val="center"/>
              <w:textAlignment w:val="auto"/>
              <w:rPr>
                <w:color w:val="auto"/>
                <w:kern w:val="2"/>
              </w:rPr>
            </w:pPr>
            <w:r>
              <w:rPr>
                <w:rFonts w:hint="eastAsia"/>
                <w:color w:val="auto"/>
                <w:kern w:val="2"/>
              </w:rPr>
              <w:t>16</w:t>
            </w:r>
          </w:p>
        </w:tc>
        <w:tc>
          <w:tcPr>
            <w:tcW w:w="1642" w:type="dxa"/>
            <w:vAlign w:val="center"/>
          </w:tcPr>
          <w:p>
            <w:pPr>
              <w:pStyle w:val="118"/>
              <w:keepLines w:val="0"/>
              <w:pageBreakBefore w:val="0"/>
              <w:kinsoku/>
              <w:wordWrap/>
              <w:overflowPunct/>
              <w:topLinePunct w:val="0"/>
              <w:bidi w:val="0"/>
              <w:snapToGrid/>
              <w:spacing w:line="420" w:lineRule="exact"/>
              <w:jc w:val="center"/>
              <w:textAlignment w:val="auto"/>
              <w:rPr>
                <w:color w:val="auto"/>
                <w:lang w:val="zh-CN"/>
              </w:rPr>
            </w:pPr>
            <w:r>
              <w:rPr>
                <w:rFonts w:hint="eastAsia"/>
                <w:color w:val="auto"/>
                <w:lang w:val="zh-CN"/>
              </w:rPr>
              <w:t>签字盖章</w:t>
            </w:r>
          </w:p>
        </w:tc>
        <w:tc>
          <w:tcPr>
            <w:tcW w:w="7508" w:type="dxa"/>
            <w:vAlign w:val="center"/>
          </w:tcPr>
          <w:p>
            <w:pPr>
              <w:keepLines w:val="0"/>
              <w:pageBreakBefore w:val="0"/>
              <w:kinsoku/>
              <w:wordWrap/>
              <w:overflowPunct/>
              <w:topLinePunct w:val="0"/>
              <w:bidi w:val="0"/>
              <w:snapToGrid/>
              <w:spacing w:line="420" w:lineRule="exact"/>
              <w:textAlignment w:val="auto"/>
              <w:rPr>
                <w:rFonts w:ascii="宋体" w:hAnsi="宋体" w:cs="宋体"/>
                <w:color w:val="auto"/>
                <w:sz w:val="24"/>
                <w:szCs w:val="24"/>
              </w:rPr>
            </w:pPr>
            <w:r>
              <w:rPr>
                <w:rFonts w:hint="eastAsia" w:ascii="宋体" w:hAnsi="宋体" w:cs="宋体"/>
                <w:color w:val="auto"/>
                <w:sz w:val="24"/>
                <w:szCs w:val="24"/>
              </w:rPr>
              <w:t>磋商供应商必须按照竞争性磋商采购文件的规定和要求签字、盖章。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3" w:type="dxa"/>
            <w:vAlign w:val="center"/>
          </w:tcPr>
          <w:p>
            <w:pPr>
              <w:pStyle w:val="118"/>
              <w:keepLines w:val="0"/>
              <w:pageBreakBefore w:val="0"/>
              <w:kinsoku/>
              <w:wordWrap/>
              <w:overflowPunct/>
              <w:topLinePunct w:val="0"/>
              <w:bidi w:val="0"/>
              <w:snapToGrid/>
              <w:spacing w:line="420" w:lineRule="exact"/>
              <w:jc w:val="center"/>
              <w:textAlignment w:val="auto"/>
              <w:rPr>
                <w:color w:val="auto"/>
              </w:rPr>
            </w:pPr>
            <w:r>
              <w:rPr>
                <w:rFonts w:hint="eastAsia"/>
                <w:color w:val="auto"/>
              </w:rPr>
              <w:t>17</w:t>
            </w:r>
          </w:p>
        </w:tc>
        <w:tc>
          <w:tcPr>
            <w:tcW w:w="1642" w:type="dxa"/>
            <w:vAlign w:val="center"/>
          </w:tcPr>
          <w:p>
            <w:pPr>
              <w:pStyle w:val="118"/>
              <w:keepLines w:val="0"/>
              <w:pageBreakBefore w:val="0"/>
              <w:kinsoku/>
              <w:wordWrap/>
              <w:overflowPunct/>
              <w:topLinePunct w:val="0"/>
              <w:bidi w:val="0"/>
              <w:snapToGrid/>
              <w:spacing w:line="420" w:lineRule="exact"/>
              <w:jc w:val="center"/>
              <w:textAlignment w:val="auto"/>
              <w:rPr>
                <w:color w:val="auto"/>
                <w:lang w:val="zh-CN"/>
              </w:rPr>
            </w:pPr>
            <w:r>
              <w:rPr>
                <w:rFonts w:hint="eastAsia"/>
                <w:color w:val="auto"/>
                <w:lang w:val="zh-CN"/>
              </w:rPr>
              <w:t>磋商响应文件的装订、数量</w:t>
            </w:r>
          </w:p>
        </w:tc>
        <w:tc>
          <w:tcPr>
            <w:tcW w:w="7508" w:type="dxa"/>
            <w:vAlign w:val="center"/>
          </w:tcPr>
          <w:p>
            <w:pPr>
              <w:keepLines w:val="0"/>
              <w:pageBreakBefore w:val="0"/>
              <w:kinsoku/>
              <w:wordWrap/>
              <w:overflowPunct/>
              <w:topLinePunct w:val="0"/>
              <w:bidi w:val="0"/>
              <w:snapToGrid/>
              <w:spacing w:line="420" w:lineRule="exact"/>
              <w:jc w:val="left"/>
              <w:textAlignment w:val="auto"/>
              <w:rPr>
                <w:rFonts w:ascii="宋体" w:hAnsi="宋体" w:cs="宋体"/>
                <w:color w:val="auto"/>
                <w:sz w:val="24"/>
                <w:szCs w:val="24"/>
              </w:rPr>
            </w:pPr>
            <w:r>
              <w:rPr>
                <w:rFonts w:hint="eastAsia" w:ascii="宋体" w:hAnsi="宋体" w:cs="宋体"/>
                <w:color w:val="auto"/>
                <w:sz w:val="24"/>
                <w:szCs w:val="24"/>
              </w:rPr>
              <w:t>磋商响应文件一律采用书籍（胶装）方式装订。</w:t>
            </w:r>
            <w:r>
              <w:rPr>
                <w:rFonts w:hint="eastAsia" w:ascii="宋体" w:hAnsi="宋体" w:cs="宋体"/>
                <w:b/>
                <w:bCs/>
                <w:color w:val="auto"/>
                <w:sz w:val="24"/>
                <w:szCs w:val="24"/>
              </w:rPr>
              <w:t>磋商响应文件正本壹份、副本贰份，电子版（U盘）贰份。</w:t>
            </w:r>
            <w:r>
              <w:rPr>
                <w:rFonts w:hint="eastAsia" w:ascii="宋体" w:hAnsi="宋体" w:cs="宋体"/>
                <w:color w:val="auto"/>
                <w:sz w:val="24"/>
                <w:szCs w:val="24"/>
              </w:rPr>
              <w:t>供应商应将响应文件的正本、所有副本和电子版文件，用单独的封袋分别密封（封袋不得有破损），在封袋上标明“正本”、“副本”或“电子版”字样，封袋封口处应加贴封条密封，并在封线处加盖公章（骑缝章）。</w:t>
            </w:r>
          </w:p>
          <w:p>
            <w:pPr>
              <w:keepLines w:val="0"/>
              <w:pageBreakBefore w:val="0"/>
              <w:kinsoku/>
              <w:wordWrap/>
              <w:overflowPunct/>
              <w:topLinePunct w:val="0"/>
              <w:bidi w:val="0"/>
              <w:snapToGrid/>
              <w:spacing w:line="420" w:lineRule="exact"/>
              <w:textAlignment w:val="auto"/>
              <w:rPr>
                <w:rFonts w:ascii="宋体" w:hAnsi="宋体" w:cs="宋体"/>
                <w:color w:val="auto"/>
                <w:sz w:val="24"/>
                <w:szCs w:val="24"/>
              </w:rPr>
            </w:pPr>
            <w:r>
              <w:rPr>
                <w:rFonts w:hint="eastAsia" w:ascii="宋体" w:hAnsi="宋体" w:cs="宋体"/>
                <w:b/>
                <w:color w:val="auto"/>
                <w:sz w:val="24"/>
                <w:szCs w:val="24"/>
              </w:rPr>
              <w:t>对未按磋商文件要求方式装订和递交的磋商响应文件，将作为无效文件处理。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3" w:type="dxa"/>
            <w:vAlign w:val="center"/>
          </w:tcPr>
          <w:p>
            <w:pPr>
              <w:pStyle w:val="118"/>
              <w:keepLines w:val="0"/>
              <w:pageBreakBefore w:val="0"/>
              <w:kinsoku/>
              <w:wordWrap/>
              <w:overflowPunct/>
              <w:topLinePunct w:val="0"/>
              <w:bidi w:val="0"/>
              <w:snapToGrid/>
              <w:spacing w:line="420" w:lineRule="exact"/>
              <w:jc w:val="center"/>
              <w:textAlignment w:val="auto"/>
              <w:rPr>
                <w:color w:val="auto"/>
              </w:rPr>
            </w:pPr>
            <w:r>
              <w:rPr>
                <w:rFonts w:hint="eastAsia"/>
                <w:color w:val="auto"/>
              </w:rPr>
              <w:t>18</w:t>
            </w:r>
          </w:p>
        </w:tc>
        <w:tc>
          <w:tcPr>
            <w:tcW w:w="1642" w:type="dxa"/>
            <w:vAlign w:val="center"/>
          </w:tcPr>
          <w:p>
            <w:pPr>
              <w:keepLines w:val="0"/>
              <w:pageBreakBefore w:val="0"/>
              <w:kinsoku/>
              <w:wordWrap/>
              <w:overflowPunct/>
              <w:topLinePunct w:val="0"/>
              <w:bidi w:val="0"/>
              <w:snapToGrid/>
              <w:spacing w:line="420" w:lineRule="exact"/>
              <w:jc w:val="center"/>
              <w:textAlignment w:val="auto"/>
              <w:rPr>
                <w:rFonts w:ascii="宋体" w:hAnsi="宋体" w:cs="宋体"/>
                <w:color w:val="auto"/>
                <w:sz w:val="24"/>
                <w:szCs w:val="24"/>
                <w:lang w:val="zh-CN"/>
              </w:rPr>
            </w:pPr>
            <w:r>
              <w:rPr>
                <w:rFonts w:hint="eastAsia" w:ascii="宋体" w:hAnsi="宋体" w:cs="宋体"/>
                <w:color w:val="auto"/>
                <w:sz w:val="24"/>
                <w:szCs w:val="24"/>
              </w:rPr>
              <w:t>封套上写明</w:t>
            </w:r>
          </w:p>
        </w:tc>
        <w:tc>
          <w:tcPr>
            <w:tcW w:w="7508" w:type="dxa"/>
            <w:vAlign w:val="center"/>
          </w:tcPr>
          <w:p>
            <w:pPr>
              <w:pStyle w:val="125"/>
              <w:keepLines w:val="0"/>
              <w:pageBreakBefore w:val="0"/>
              <w:kinsoku/>
              <w:wordWrap/>
              <w:overflowPunct/>
              <w:topLinePunct w:val="0"/>
              <w:bidi w:val="0"/>
              <w:snapToGrid/>
              <w:spacing w:line="420" w:lineRule="exact"/>
              <w:jc w:val="both"/>
              <w:textAlignment w:val="auto"/>
              <w:rPr>
                <w:rFonts w:ascii="宋体" w:hAnsi="宋体" w:cs="宋体"/>
                <w:color w:val="auto"/>
                <w:szCs w:val="24"/>
              </w:rPr>
            </w:pPr>
            <w:r>
              <w:rPr>
                <w:rFonts w:hint="eastAsia" w:ascii="宋体" w:hAnsi="宋体" w:cs="宋体"/>
                <w:color w:val="auto"/>
                <w:szCs w:val="24"/>
              </w:rPr>
              <w:t>项目名称：</w:t>
            </w:r>
          </w:p>
          <w:p>
            <w:pPr>
              <w:pStyle w:val="125"/>
              <w:keepLines w:val="0"/>
              <w:pageBreakBefore w:val="0"/>
              <w:kinsoku/>
              <w:wordWrap/>
              <w:overflowPunct/>
              <w:topLinePunct w:val="0"/>
              <w:bidi w:val="0"/>
              <w:snapToGrid/>
              <w:spacing w:line="420" w:lineRule="exact"/>
              <w:jc w:val="both"/>
              <w:textAlignment w:val="auto"/>
              <w:rPr>
                <w:rFonts w:ascii="宋体" w:hAnsi="宋体" w:cs="宋体"/>
                <w:color w:val="auto"/>
                <w:szCs w:val="24"/>
              </w:rPr>
            </w:pPr>
            <w:r>
              <w:rPr>
                <w:rFonts w:hint="eastAsia" w:ascii="宋体" w:hAnsi="宋体" w:cs="宋体"/>
                <w:color w:val="auto"/>
                <w:szCs w:val="24"/>
              </w:rPr>
              <w:t>项目编号：</w:t>
            </w:r>
          </w:p>
          <w:p>
            <w:pPr>
              <w:pStyle w:val="125"/>
              <w:keepLines w:val="0"/>
              <w:pageBreakBefore w:val="0"/>
              <w:kinsoku/>
              <w:wordWrap/>
              <w:overflowPunct/>
              <w:topLinePunct w:val="0"/>
              <w:bidi w:val="0"/>
              <w:snapToGrid/>
              <w:spacing w:line="420" w:lineRule="exact"/>
              <w:jc w:val="both"/>
              <w:textAlignment w:val="auto"/>
              <w:rPr>
                <w:rFonts w:ascii="宋体" w:hAnsi="宋体" w:cs="宋体"/>
                <w:color w:val="auto"/>
                <w:szCs w:val="24"/>
              </w:rPr>
            </w:pPr>
            <w:r>
              <w:rPr>
                <w:rFonts w:hint="eastAsia" w:ascii="宋体" w:hAnsi="宋体" w:cs="宋体"/>
                <w:color w:val="auto"/>
                <w:szCs w:val="24"/>
              </w:rPr>
              <w:t>供应商名称：</w:t>
            </w:r>
          </w:p>
          <w:p>
            <w:pPr>
              <w:pStyle w:val="125"/>
              <w:keepLines w:val="0"/>
              <w:pageBreakBefore w:val="0"/>
              <w:kinsoku/>
              <w:wordWrap/>
              <w:overflowPunct/>
              <w:topLinePunct w:val="0"/>
              <w:bidi w:val="0"/>
              <w:snapToGrid/>
              <w:spacing w:line="420" w:lineRule="exact"/>
              <w:jc w:val="both"/>
              <w:textAlignment w:val="auto"/>
              <w:rPr>
                <w:rFonts w:ascii="宋体" w:hAnsi="宋体" w:cs="宋体"/>
                <w:color w:val="auto"/>
                <w:szCs w:val="24"/>
              </w:rPr>
            </w:pPr>
            <w:r>
              <w:rPr>
                <w:rFonts w:hint="eastAsia" w:ascii="宋体" w:hAnsi="宋体" w:cs="宋体"/>
                <w:color w:val="auto"/>
                <w:szCs w:val="24"/>
              </w:rPr>
              <w:t>磋商响应文件在2022年</w:t>
            </w:r>
            <w:r>
              <w:rPr>
                <w:rFonts w:hint="eastAsia" w:ascii="宋体" w:hAnsi="宋体" w:cs="宋体"/>
                <w:color w:val="auto"/>
                <w:szCs w:val="24"/>
                <w:u w:val="single"/>
              </w:rPr>
              <w:t xml:space="preserve">  </w:t>
            </w:r>
            <w:r>
              <w:rPr>
                <w:rFonts w:hint="eastAsia" w:ascii="宋体" w:hAnsi="宋体" w:cs="宋体"/>
                <w:color w:val="auto"/>
                <w:szCs w:val="24"/>
              </w:rPr>
              <w:t>月</w:t>
            </w:r>
            <w:r>
              <w:rPr>
                <w:rFonts w:hint="eastAsia" w:ascii="宋体" w:hAnsi="宋体" w:cs="宋体"/>
                <w:color w:val="auto"/>
                <w:szCs w:val="24"/>
                <w:u w:val="single"/>
              </w:rPr>
              <w:t xml:space="preserve">  </w:t>
            </w:r>
            <w:r>
              <w:rPr>
                <w:rFonts w:hint="eastAsia" w:ascii="宋体" w:hAnsi="宋体" w:cs="宋体"/>
                <w:color w:val="auto"/>
                <w:szCs w:val="24"/>
              </w:rPr>
              <w:t>日</w:t>
            </w:r>
            <w:r>
              <w:rPr>
                <w:rFonts w:hint="eastAsia" w:ascii="宋体" w:hAnsi="宋体" w:cs="宋体"/>
                <w:color w:val="auto"/>
                <w:szCs w:val="24"/>
                <w:u w:val="single"/>
              </w:rPr>
              <w:t xml:space="preserve">  </w:t>
            </w:r>
            <w:r>
              <w:rPr>
                <w:rFonts w:hint="eastAsia" w:ascii="宋体" w:hAnsi="宋体" w:cs="宋体"/>
                <w:color w:val="auto"/>
                <w:szCs w:val="24"/>
              </w:rPr>
              <w:t>时</w:t>
            </w:r>
            <w:r>
              <w:rPr>
                <w:rFonts w:hint="eastAsia" w:ascii="宋体" w:hAnsi="宋体" w:cs="宋体"/>
                <w:color w:val="auto"/>
                <w:szCs w:val="24"/>
                <w:u w:val="single"/>
              </w:rPr>
              <w:t xml:space="preserve">  </w:t>
            </w:r>
            <w:r>
              <w:rPr>
                <w:rFonts w:hint="eastAsia" w:ascii="宋体" w:hAnsi="宋体" w:cs="宋体"/>
                <w:color w:val="auto"/>
                <w:szCs w:val="24"/>
              </w:rPr>
              <w:t>分前“不得开启”字样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3" w:type="dxa"/>
            <w:vAlign w:val="center"/>
          </w:tcPr>
          <w:p>
            <w:pPr>
              <w:pStyle w:val="118"/>
              <w:keepLines w:val="0"/>
              <w:pageBreakBefore w:val="0"/>
              <w:kinsoku/>
              <w:wordWrap/>
              <w:overflowPunct/>
              <w:topLinePunct w:val="0"/>
              <w:bidi w:val="0"/>
              <w:snapToGrid/>
              <w:spacing w:line="420" w:lineRule="exact"/>
              <w:jc w:val="center"/>
              <w:textAlignment w:val="auto"/>
              <w:rPr>
                <w:color w:val="auto"/>
              </w:rPr>
            </w:pPr>
            <w:r>
              <w:rPr>
                <w:rFonts w:hint="eastAsia"/>
                <w:color w:val="auto"/>
              </w:rPr>
              <w:t>19</w:t>
            </w:r>
          </w:p>
        </w:tc>
        <w:tc>
          <w:tcPr>
            <w:tcW w:w="1642" w:type="dxa"/>
            <w:vAlign w:val="center"/>
          </w:tcPr>
          <w:p>
            <w:pPr>
              <w:keepLines w:val="0"/>
              <w:pageBreakBefore w:val="0"/>
              <w:kinsoku/>
              <w:wordWrap/>
              <w:overflowPunct/>
              <w:topLinePunct w:val="0"/>
              <w:bidi w:val="0"/>
              <w:snapToGrid/>
              <w:spacing w:line="420" w:lineRule="exact"/>
              <w:jc w:val="center"/>
              <w:textAlignment w:val="auto"/>
              <w:rPr>
                <w:rFonts w:ascii="宋体" w:hAnsi="宋体" w:cs="宋体"/>
                <w:color w:val="auto"/>
                <w:sz w:val="24"/>
                <w:szCs w:val="24"/>
              </w:rPr>
            </w:pPr>
            <w:r>
              <w:rPr>
                <w:rFonts w:hint="eastAsia" w:ascii="宋体" w:hAnsi="宋体" w:cs="宋体"/>
                <w:color w:val="auto"/>
                <w:sz w:val="24"/>
                <w:szCs w:val="24"/>
              </w:rPr>
              <w:t>供应商资格要求</w:t>
            </w:r>
          </w:p>
        </w:tc>
        <w:tc>
          <w:tcPr>
            <w:tcW w:w="7508" w:type="dxa"/>
            <w:vAlign w:val="center"/>
          </w:tcPr>
          <w:p>
            <w:pPr>
              <w:pStyle w:val="30"/>
              <w:keepLines w:val="0"/>
              <w:pageBreakBefore w:val="0"/>
              <w:kinsoku/>
              <w:wordWrap/>
              <w:overflowPunct/>
              <w:topLinePunct w:val="0"/>
              <w:bidi w:val="0"/>
              <w:snapToGrid/>
              <w:spacing w:before="0" w:beforeAutospacing="0" w:after="0" w:afterAutospacing="0" w:line="420" w:lineRule="exact"/>
              <w:textAlignment w:val="auto"/>
              <w:rPr>
                <w:rFonts w:cs="Times New Roman"/>
                <w:color w:val="auto"/>
                <w:kern w:val="2"/>
              </w:rPr>
            </w:pPr>
            <w:r>
              <w:rPr>
                <w:rFonts w:hint="eastAsia" w:cs="Times New Roman"/>
                <w:color w:val="auto"/>
                <w:kern w:val="2"/>
              </w:rPr>
              <w:t>1、满足《中华人民共和国政府采购法》第二十二条规定</w:t>
            </w:r>
          </w:p>
          <w:p>
            <w:pPr>
              <w:pStyle w:val="30"/>
              <w:keepLines w:val="0"/>
              <w:pageBreakBefore w:val="0"/>
              <w:kinsoku/>
              <w:wordWrap/>
              <w:overflowPunct/>
              <w:topLinePunct w:val="0"/>
              <w:bidi w:val="0"/>
              <w:snapToGrid/>
              <w:spacing w:before="0" w:beforeAutospacing="0" w:after="0" w:afterAutospacing="0" w:line="420" w:lineRule="exact"/>
              <w:textAlignment w:val="auto"/>
              <w:rPr>
                <w:rFonts w:cs="Times New Roman"/>
                <w:color w:val="auto"/>
                <w:kern w:val="2"/>
              </w:rPr>
            </w:pPr>
            <w:r>
              <w:rPr>
                <w:rFonts w:hint="eastAsia" w:cs="Times New Roman"/>
                <w:color w:val="auto"/>
                <w:kern w:val="2"/>
              </w:rPr>
              <w:t>（1）供应商为合法注册的法人或其他组织或自然人，提供营业执照（或事业法人证）,自然人提供身份证明；</w:t>
            </w:r>
          </w:p>
          <w:p>
            <w:pPr>
              <w:pStyle w:val="30"/>
              <w:keepLines w:val="0"/>
              <w:pageBreakBefore w:val="0"/>
              <w:kinsoku/>
              <w:wordWrap/>
              <w:overflowPunct/>
              <w:topLinePunct w:val="0"/>
              <w:bidi w:val="0"/>
              <w:snapToGrid/>
              <w:spacing w:before="0" w:beforeAutospacing="0" w:after="0" w:afterAutospacing="0" w:line="420" w:lineRule="exact"/>
              <w:textAlignment w:val="auto"/>
              <w:rPr>
                <w:rFonts w:cs="Times New Roman"/>
                <w:color w:val="auto"/>
                <w:kern w:val="2"/>
              </w:rPr>
            </w:pPr>
            <w:r>
              <w:rPr>
                <w:rFonts w:hint="eastAsia" w:cs="Times New Roman"/>
                <w:color w:val="auto"/>
                <w:kern w:val="2"/>
              </w:rPr>
              <w:t>（2）财务状况报告：提供具有财务审计资质单位出具的2020年或2021年任意一年年度财务报告（成立时间至开标时间不足一年的可提供成立后任意时段的资产负债表）或开标前六个月内其基本账户银行出具的资信证明（附开户许可证）或政府采购信用担保机构出具的投标担保函；</w:t>
            </w:r>
          </w:p>
          <w:p>
            <w:pPr>
              <w:pStyle w:val="30"/>
              <w:keepLines w:val="0"/>
              <w:pageBreakBefore w:val="0"/>
              <w:kinsoku/>
              <w:wordWrap/>
              <w:overflowPunct/>
              <w:topLinePunct w:val="0"/>
              <w:bidi w:val="0"/>
              <w:snapToGrid/>
              <w:spacing w:before="0" w:beforeAutospacing="0" w:after="0" w:afterAutospacing="0" w:line="420" w:lineRule="exact"/>
              <w:textAlignment w:val="auto"/>
              <w:rPr>
                <w:rFonts w:cs="Times New Roman"/>
                <w:color w:val="auto"/>
                <w:kern w:val="2"/>
              </w:rPr>
            </w:pPr>
            <w:r>
              <w:rPr>
                <w:rFonts w:hint="eastAsia" w:cs="Times New Roman"/>
                <w:color w:val="auto"/>
                <w:kern w:val="2"/>
              </w:rPr>
              <w:t xml:space="preserve">（3）税收缴纳证明：提供开标前六个月内任意一个月已缴纳完税凭证或税务机关开具的完税证明（任意税种）；依法免税的应提供相关文件证明； </w:t>
            </w:r>
          </w:p>
          <w:p>
            <w:pPr>
              <w:pStyle w:val="30"/>
              <w:keepLines w:val="0"/>
              <w:pageBreakBefore w:val="0"/>
              <w:kinsoku/>
              <w:wordWrap/>
              <w:overflowPunct/>
              <w:topLinePunct w:val="0"/>
              <w:bidi w:val="0"/>
              <w:snapToGrid/>
              <w:spacing w:before="0" w:beforeAutospacing="0" w:after="0" w:afterAutospacing="0" w:line="420" w:lineRule="exact"/>
              <w:textAlignment w:val="auto"/>
              <w:rPr>
                <w:rFonts w:cs="Times New Roman"/>
                <w:color w:val="auto"/>
                <w:kern w:val="2"/>
              </w:rPr>
            </w:pPr>
            <w:r>
              <w:rPr>
                <w:rFonts w:hint="eastAsia" w:cs="Times New Roman"/>
                <w:color w:val="auto"/>
                <w:kern w:val="2"/>
              </w:rPr>
              <w:t>（4）社会保障资金缴纳证明：提供开标前六个月内任意一个月已缴纳的社会保障资金缴存单据或社保机构开具的社会保险参保缴费情况证明（依法不需要缴纳社会保障资金的投标人应提供相关证明）</w:t>
            </w:r>
          </w:p>
          <w:p>
            <w:pPr>
              <w:pStyle w:val="30"/>
              <w:keepLines w:val="0"/>
              <w:pageBreakBefore w:val="0"/>
              <w:kinsoku/>
              <w:wordWrap/>
              <w:overflowPunct/>
              <w:topLinePunct w:val="0"/>
              <w:bidi w:val="0"/>
              <w:snapToGrid/>
              <w:spacing w:before="0" w:beforeAutospacing="0" w:after="0" w:afterAutospacing="0" w:line="420" w:lineRule="exact"/>
              <w:textAlignment w:val="auto"/>
              <w:rPr>
                <w:rFonts w:cs="Times New Roman"/>
                <w:color w:val="auto"/>
                <w:kern w:val="2"/>
              </w:rPr>
            </w:pPr>
            <w:r>
              <w:rPr>
                <w:rFonts w:hint="eastAsia" w:cs="Times New Roman"/>
                <w:color w:val="auto"/>
                <w:kern w:val="2"/>
              </w:rPr>
              <w:t>（5）具备履行合同所必需的设备和专业技术能力的证明材料(由供应商根据项目需求提供说明材料或者承诺)；（格式自拟）</w:t>
            </w:r>
          </w:p>
          <w:p>
            <w:pPr>
              <w:pStyle w:val="30"/>
              <w:keepLines w:val="0"/>
              <w:pageBreakBefore w:val="0"/>
              <w:kinsoku/>
              <w:wordWrap/>
              <w:overflowPunct/>
              <w:topLinePunct w:val="0"/>
              <w:bidi w:val="0"/>
              <w:snapToGrid/>
              <w:spacing w:before="0" w:beforeAutospacing="0" w:after="0" w:afterAutospacing="0" w:line="420" w:lineRule="exact"/>
              <w:textAlignment w:val="auto"/>
              <w:rPr>
                <w:rFonts w:cs="Times New Roman"/>
                <w:color w:val="auto"/>
                <w:kern w:val="2"/>
              </w:rPr>
            </w:pPr>
            <w:r>
              <w:rPr>
                <w:rFonts w:hint="eastAsia" w:cs="Times New Roman"/>
                <w:color w:val="auto"/>
                <w:kern w:val="2"/>
              </w:rPr>
              <w:t>（6）提供参加政府采购活动前三年内在经营活动中没有重大违法记录的书面声明；（格式自拟）</w:t>
            </w:r>
          </w:p>
          <w:p>
            <w:pPr>
              <w:pStyle w:val="30"/>
              <w:keepLines w:val="0"/>
              <w:pageBreakBefore w:val="0"/>
              <w:kinsoku/>
              <w:wordWrap/>
              <w:overflowPunct/>
              <w:topLinePunct w:val="0"/>
              <w:bidi w:val="0"/>
              <w:snapToGrid/>
              <w:spacing w:before="0" w:beforeAutospacing="0" w:after="0" w:afterAutospacing="0" w:line="420" w:lineRule="exact"/>
              <w:textAlignment w:val="auto"/>
              <w:rPr>
                <w:rFonts w:cs="Times New Roman"/>
                <w:color w:val="auto"/>
                <w:kern w:val="2"/>
              </w:rPr>
            </w:pPr>
            <w:r>
              <w:rPr>
                <w:rFonts w:hint="eastAsia" w:cs="Times New Roman"/>
                <w:color w:val="auto"/>
                <w:kern w:val="2"/>
              </w:rPr>
              <w:t>2、本项目的特定资格要求：</w:t>
            </w:r>
          </w:p>
          <w:p>
            <w:pPr>
              <w:pStyle w:val="30"/>
              <w:keepLines w:val="0"/>
              <w:pageBreakBefore w:val="0"/>
              <w:kinsoku/>
              <w:wordWrap/>
              <w:overflowPunct/>
              <w:topLinePunct w:val="0"/>
              <w:bidi w:val="0"/>
              <w:snapToGrid/>
              <w:spacing w:before="0" w:beforeAutospacing="0" w:after="0" w:afterAutospacing="0" w:line="420" w:lineRule="exact"/>
              <w:textAlignment w:val="auto"/>
              <w:rPr>
                <w:rFonts w:hint="eastAsia" w:cs="Times New Roman"/>
                <w:color w:val="auto"/>
                <w:kern w:val="2"/>
              </w:rPr>
            </w:pPr>
            <w:r>
              <w:rPr>
                <w:rFonts w:hint="eastAsia" w:cs="Times New Roman"/>
                <w:color w:val="auto"/>
                <w:kern w:val="2"/>
              </w:rPr>
              <w:t>（</w:t>
            </w:r>
            <w:r>
              <w:rPr>
                <w:rFonts w:hint="eastAsia" w:cs="Times New Roman"/>
                <w:color w:val="auto"/>
                <w:kern w:val="2"/>
                <w:lang w:val="en-US" w:eastAsia="zh-CN"/>
              </w:rPr>
              <w:t>1</w:t>
            </w:r>
            <w:r>
              <w:rPr>
                <w:rFonts w:hint="eastAsia" w:cs="Times New Roman"/>
                <w:color w:val="auto"/>
                <w:kern w:val="2"/>
              </w:rPr>
              <w:t>）供应商应授权合法的人员参加磋商全过程，其中法定代表人直接参加磋商的，须出具法定代表人身份证明及法人身份证原件及复印件，法定代表人授权代表参加磋商的，须出具法定代表人授权书及授权代表身份证原件及复印件；</w:t>
            </w:r>
          </w:p>
          <w:p>
            <w:pPr>
              <w:pStyle w:val="30"/>
              <w:keepLines w:val="0"/>
              <w:pageBreakBefore w:val="0"/>
              <w:kinsoku/>
              <w:wordWrap/>
              <w:overflowPunct/>
              <w:topLinePunct w:val="0"/>
              <w:bidi w:val="0"/>
              <w:snapToGrid/>
              <w:spacing w:before="0" w:beforeAutospacing="0" w:after="0" w:afterAutospacing="0" w:line="420" w:lineRule="exact"/>
              <w:textAlignment w:val="auto"/>
              <w:rPr>
                <w:rFonts w:hint="eastAsia" w:cs="Times New Roman"/>
                <w:color w:val="auto"/>
                <w:kern w:val="2"/>
              </w:rPr>
            </w:pPr>
            <w:r>
              <w:rPr>
                <w:rFonts w:hint="eastAsia" w:cs="Times New Roman"/>
                <w:color w:val="auto"/>
                <w:kern w:val="2"/>
              </w:rPr>
              <w:t>（</w:t>
            </w:r>
            <w:r>
              <w:rPr>
                <w:rFonts w:hint="eastAsia" w:cs="Times New Roman"/>
                <w:color w:val="auto"/>
                <w:kern w:val="2"/>
                <w:lang w:val="en-US" w:eastAsia="zh-CN"/>
              </w:rPr>
              <w:t>2</w:t>
            </w:r>
            <w:r>
              <w:rPr>
                <w:rFonts w:hint="eastAsia" w:cs="Times New Roman"/>
                <w:color w:val="auto"/>
                <w:kern w:val="2"/>
              </w:rPr>
              <w:t>）供应商</w:t>
            </w:r>
            <w:r>
              <w:rPr>
                <w:rFonts w:hint="eastAsia" w:cs="Times New Roman"/>
                <w:color w:val="auto"/>
                <w:kern w:val="2"/>
                <w:lang w:val="en-US" w:eastAsia="zh-CN"/>
              </w:rPr>
              <w:t>须</w:t>
            </w:r>
            <w:r>
              <w:rPr>
                <w:rFonts w:hint="eastAsia" w:cs="Times New Roman"/>
                <w:color w:val="auto"/>
                <w:kern w:val="2"/>
                <w:lang w:eastAsia="zh-CN"/>
              </w:rPr>
              <w:t>具备建设行政主管部门颁发的水利水电工程施工总承包</w:t>
            </w:r>
            <w:r>
              <w:rPr>
                <w:rFonts w:hint="eastAsia" w:cs="Times New Roman"/>
                <w:color w:val="auto"/>
                <w:kern w:val="2"/>
                <w:lang w:val="en-US" w:eastAsia="zh-CN"/>
              </w:rPr>
              <w:t>叁级（含叁级）以上资质</w:t>
            </w:r>
            <w:r>
              <w:rPr>
                <w:rFonts w:hint="eastAsia" w:cs="Times New Roman"/>
                <w:color w:val="auto"/>
                <w:kern w:val="2"/>
                <w:lang w:eastAsia="zh-CN"/>
              </w:rPr>
              <w:t>，同时具有合格有效的安全生产许可证</w:t>
            </w:r>
            <w:r>
              <w:rPr>
                <w:rFonts w:hint="eastAsia" w:cs="Times New Roman"/>
                <w:color w:val="auto"/>
                <w:kern w:val="2"/>
              </w:rPr>
              <w:t>；</w:t>
            </w:r>
          </w:p>
          <w:p>
            <w:pPr>
              <w:pStyle w:val="30"/>
              <w:keepLines w:val="0"/>
              <w:pageBreakBefore w:val="0"/>
              <w:kinsoku/>
              <w:wordWrap/>
              <w:overflowPunct/>
              <w:topLinePunct w:val="0"/>
              <w:bidi w:val="0"/>
              <w:snapToGrid/>
              <w:spacing w:before="0" w:beforeAutospacing="0" w:after="0" w:afterAutospacing="0" w:line="420" w:lineRule="exact"/>
              <w:textAlignment w:val="auto"/>
              <w:rPr>
                <w:rFonts w:hint="eastAsia" w:cs="Times New Roman"/>
                <w:color w:val="auto"/>
                <w:kern w:val="2"/>
                <w:lang w:eastAsia="zh-CN"/>
              </w:rPr>
            </w:pPr>
            <w:r>
              <w:rPr>
                <w:rFonts w:hint="eastAsia" w:cs="Times New Roman"/>
                <w:color w:val="auto"/>
                <w:kern w:val="2"/>
                <w:lang w:eastAsia="zh-CN"/>
              </w:rPr>
              <w:t>（</w:t>
            </w:r>
            <w:r>
              <w:rPr>
                <w:rFonts w:hint="eastAsia" w:cs="Times New Roman"/>
                <w:color w:val="auto"/>
                <w:kern w:val="2"/>
                <w:lang w:val="en-US" w:eastAsia="zh-CN"/>
              </w:rPr>
              <w:t>3</w:t>
            </w:r>
            <w:r>
              <w:rPr>
                <w:rFonts w:hint="eastAsia" w:cs="Times New Roman"/>
                <w:color w:val="auto"/>
                <w:kern w:val="2"/>
                <w:lang w:eastAsia="zh-CN"/>
              </w:rPr>
              <w:t>）拟派项目经理须具有水利水电工程专业</w:t>
            </w:r>
            <w:r>
              <w:rPr>
                <w:rFonts w:hint="eastAsia" w:cs="Times New Roman"/>
                <w:color w:val="auto"/>
                <w:kern w:val="2"/>
                <w:lang w:val="en-US" w:eastAsia="zh-CN"/>
              </w:rPr>
              <w:t>贰级（含贰级）以上</w:t>
            </w:r>
            <w:r>
              <w:rPr>
                <w:rFonts w:hint="eastAsia" w:cs="Times New Roman"/>
                <w:color w:val="auto"/>
                <w:kern w:val="2"/>
                <w:lang w:eastAsia="zh-CN"/>
              </w:rPr>
              <w:t>注册建造师证书和有效的安全生产考核证书（B证）</w:t>
            </w:r>
            <w:r>
              <w:rPr>
                <w:rFonts w:hint="eastAsia" w:cs="Times New Roman"/>
                <w:color w:val="auto"/>
                <w:kern w:val="2"/>
                <w:lang w:val="en-US" w:eastAsia="zh-CN"/>
              </w:rPr>
              <w:t>，且未担任其他在建工程项目的项目经理（需提供企业书面承诺等证明材料）；</w:t>
            </w:r>
          </w:p>
          <w:p>
            <w:pPr>
              <w:pStyle w:val="30"/>
              <w:keepLines w:val="0"/>
              <w:pageBreakBefore w:val="0"/>
              <w:kinsoku/>
              <w:wordWrap/>
              <w:overflowPunct/>
              <w:topLinePunct w:val="0"/>
              <w:bidi w:val="0"/>
              <w:snapToGrid/>
              <w:spacing w:before="0" w:beforeAutospacing="0" w:after="0" w:afterAutospacing="0" w:line="420" w:lineRule="exact"/>
              <w:textAlignment w:val="auto"/>
              <w:rPr>
                <w:rFonts w:hint="eastAsia" w:cs="Times New Roman"/>
                <w:color w:val="auto"/>
                <w:kern w:val="2"/>
              </w:rPr>
            </w:pPr>
            <w:r>
              <w:rPr>
                <w:rFonts w:hint="eastAsia" w:cs="Times New Roman"/>
                <w:color w:val="auto"/>
                <w:kern w:val="2"/>
              </w:rPr>
              <w:t>（</w:t>
            </w:r>
            <w:r>
              <w:rPr>
                <w:rFonts w:hint="eastAsia" w:cs="Times New Roman"/>
                <w:color w:val="auto"/>
                <w:kern w:val="2"/>
                <w:lang w:val="en-US" w:eastAsia="zh-CN"/>
              </w:rPr>
              <w:t>4</w:t>
            </w:r>
            <w:r>
              <w:rPr>
                <w:rFonts w:hint="eastAsia" w:cs="Times New Roman"/>
                <w:color w:val="auto"/>
                <w:kern w:val="2"/>
              </w:rPr>
              <w:t>）供应商不得为列入信用中国(www.creditchina.gov.cn)记录失信被执行人或重大税收违法案件当事人名单或中国政府采购网(www.ccgp.gov.cn)的政府采购严重违法失信行为记录名单；</w:t>
            </w:r>
          </w:p>
          <w:p>
            <w:pPr>
              <w:pStyle w:val="30"/>
              <w:keepLines w:val="0"/>
              <w:pageBreakBefore w:val="0"/>
              <w:kinsoku/>
              <w:wordWrap/>
              <w:overflowPunct/>
              <w:topLinePunct w:val="0"/>
              <w:bidi w:val="0"/>
              <w:snapToGrid/>
              <w:spacing w:before="0" w:beforeAutospacing="0" w:after="0" w:afterAutospacing="0" w:line="420" w:lineRule="exact"/>
              <w:textAlignment w:val="auto"/>
              <w:rPr>
                <w:rFonts w:hint="eastAsia" w:cs="Times New Roman"/>
                <w:color w:val="auto"/>
                <w:kern w:val="2"/>
              </w:rPr>
            </w:pPr>
            <w:r>
              <w:rPr>
                <w:rFonts w:hint="eastAsia" w:cs="Times New Roman"/>
                <w:color w:val="auto"/>
                <w:kern w:val="2"/>
              </w:rPr>
              <w:t>（</w:t>
            </w:r>
            <w:r>
              <w:rPr>
                <w:rFonts w:hint="eastAsia" w:cs="Times New Roman"/>
                <w:color w:val="auto"/>
                <w:kern w:val="2"/>
                <w:lang w:val="en-US" w:eastAsia="zh-CN"/>
              </w:rPr>
              <w:t>5</w:t>
            </w:r>
            <w:r>
              <w:rPr>
                <w:rFonts w:hint="eastAsia" w:cs="Times New Roman"/>
                <w:color w:val="auto"/>
                <w:kern w:val="2"/>
              </w:rPr>
              <w:t>）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p>
            <w:pPr>
              <w:pStyle w:val="30"/>
              <w:keepLines w:val="0"/>
              <w:pageBreakBefore w:val="0"/>
              <w:kinsoku/>
              <w:wordWrap/>
              <w:overflowPunct/>
              <w:topLinePunct w:val="0"/>
              <w:bidi w:val="0"/>
              <w:snapToGrid/>
              <w:spacing w:before="0" w:beforeAutospacing="0" w:after="0" w:afterAutospacing="0" w:line="420" w:lineRule="exact"/>
              <w:textAlignment w:val="auto"/>
              <w:rPr>
                <w:rFonts w:hint="eastAsia" w:cs="Times New Roman"/>
                <w:color w:val="auto"/>
                <w:kern w:val="2"/>
              </w:rPr>
            </w:pPr>
            <w:r>
              <w:rPr>
                <w:rFonts w:hint="eastAsia" w:cs="Times New Roman"/>
                <w:color w:val="auto"/>
                <w:kern w:val="2"/>
              </w:rPr>
              <w:t>（</w:t>
            </w:r>
            <w:r>
              <w:rPr>
                <w:rFonts w:hint="eastAsia" w:cs="Times New Roman"/>
                <w:color w:val="auto"/>
                <w:kern w:val="2"/>
                <w:lang w:val="en-US" w:eastAsia="zh-CN"/>
              </w:rPr>
              <w:t>6</w:t>
            </w:r>
            <w:r>
              <w:rPr>
                <w:rFonts w:hint="eastAsia" w:cs="Times New Roman"/>
                <w:color w:val="auto"/>
                <w:kern w:val="2"/>
              </w:rPr>
              <w:t>）与招标人存在利害关系可能影响招标公正性的单位，不得参加投标、单位负责人为同一人或存在控股、管理关系的不同单位，不得参加同一标段投标，否则，相关投标均无效；本次招标不接受联合体投标。</w:t>
            </w:r>
          </w:p>
          <w:p>
            <w:pPr>
              <w:keepLines w:val="0"/>
              <w:pageBreakBefore w:val="0"/>
              <w:kinsoku/>
              <w:wordWrap/>
              <w:overflowPunct/>
              <w:topLinePunct w:val="0"/>
              <w:bidi w:val="0"/>
              <w:snapToGrid/>
              <w:spacing w:line="420" w:lineRule="exact"/>
              <w:textAlignment w:val="auto"/>
              <w:rPr>
                <w:rFonts w:ascii="宋体" w:hAnsi="宋体" w:cs="宋体"/>
                <w:b/>
                <w:bCs/>
                <w:color w:val="auto"/>
                <w:sz w:val="24"/>
                <w:szCs w:val="24"/>
                <w:lang w:bidi="ar"/>
              </w:rPr>
            </w:pPr>
            <w:r>
              <w:rPr>
                <w:rFonts w:hint="eastAsia" w:ascii="宋体" w:hAnsi="宋体" w:cs="宋体"/>
                <w:b/>
                <w:bCs/>
                <w:color w:val="auto"/>
                <w:sz w:val="24"/>
                <w:szCs w:val="24"/>
                <w:lang w:bidi="ar"/>
              </w:rPr>
              <w:t>注：</w:t>
            </w:r>
            <w:r>
              <w:rPr>
                <w:rFonts w:hint="eastAsia" w:ascii="宋体" w:hAnsi="宋体" w:cs="宋体"/>
                <w:b/>
                <w:bCs/>
                <w:color w:val="auto"/>
                <w:sz w:val="24"/>
                <w:szCs w:val="24"/>
              </w:rPr>
              <w:t>以上为必备资质，缺一项或某项达不到要求，按无效文件处理。资格审查时以磋商响应文件中所附证明材料为准，原件备查。</w:t>
            </w:r>
            <w:r>
              <w:rPr>
                <w:rFonts w:hint="eastAsia" w:ascii="宋体" w:hAnsi="宋体" w:cs="宋体"/>
                <w:b/>
                <w:bCs/>
                <w:color w:val="auto"/>
                <w:sz w:val="24"/>
                <w:szCs w:val="24"/>
                <w:lang w:bidi="ar"/>
              </w:rPr>
              <w:t>磋商响应文件正本中的法定代表人身份证明或法定代表人授权书为原件，</w:t>
            </w:r>
            <w:r>
              <w:rPr>
                <w:rFonts w:hint="eastAsia" w:ascii="宋体" w:hAnsi="宋体" w:cs="宋体"/>
                <w:b/>
                <w:bCs/>
                <w:color w:val="auto"/>
                <w:sz w:val="24"/>
                <w:szCs w:val="24"/>
              </w:rPr>
              <w:t>其他所有资质证明文件的复印件必须加盖单位公章附在磋商响应文件中。</w:t>
            </w:r>
          </w:p>
          <w:p>
            <w:pPr>
              <w:keepLines w:val="0"/>
              <w:pageBreakBefore w:val="0"/>
              <w:kinsoku/>
              <w:wordWrap/>
              <w:overflowPunct/>
              <w:topLinePunct w:val="0"/>
              <w:bidi w:val="0"/>
              <w:snapToGrid/>
              <w:spacing w:line="420" w:lineRule="exact"/>
              <w:textAlignment w:val="auto"/>
              <w:rPr>
                <w:rFonts w:ascii="宋体" w:hAnsi="宋体" w:cs="宋体"/>
                <w:color w:val="auto"/>
                <w:sz w:val="24"/>
                <w:szCs w:val="24"/>
              </w:rPr>
            </w:pPr>
            <w:r>
              <w:rPr>
                <w:rFonts w:hint="eastAsia" w:ascii="宋体" w:hAnsi="宋体" w:cs="宋体"/>
                <w:b/>
                <w:bCs/>
                <w:color w:val="auto"/>
                <w:sz w:val="24"/>
                <w:szCs w:val="24"/>
                <w:lang w:bidi="ar"/>
              </w:rPr>
              <w:t>未注明要求原件的资格证明文件，在磋商后的任何时间，磋商小组都有权随时要求审查原件，如果不能按规定时间提供，按无效磋商处理。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3" w:type="dxa"/>
            <w:vAlign w:val="center"/>
          </w:tcPr>
          <w:p>
            <w:pPr>
              <w:pStyle w:val="118"/>
              <w:keepLines w:val="0"/>
              <w:pageBreakBefore w:val="0"/>
              <w:kinsoku/>
              <w:wordWrap/>
              <w:overflowPunct/>
              <w:topLinePunct w:val="0"/>
              <w:bidi w:val="0"/>
              <w:snapToGrid/>
              <w:spacing w:line="420" w:lineRule="exact"/>
              <w:jc w:val="center"/>
              <w:textAlignment w:val="auto"/>
              <w:rPr>
                <w:color w:val="auto"/>
              </w:rPr>
            </w:pPr>
            <w:r>
              <w:rPr>
                <w:rFonts w:hint="eastAsia"/>
                <w:color w:val="auto"/>
              </w:rPr>
              <w:t>20</w:t>
            </w:r>
          </w:p>
        </w:tc>
        <w:tc>
          <w:tcPr>
            <w:tcW w:w="1642" w:type="dxa"/>
            <w:vAlign w:val="center"/>
          </w:tcPr>
          <w:p>
            <w:pPr>
              <w:keepLines w:val="0"/>
              <w:pageBreakBefore w:val="0"/>
              <w:kinsoku/>
              <w:wordWrap/>
              <w:overflowPunct/>
              <w:topLinePunct w:val="0"/>
              <w:bidi w:val="0"/>
              <w:snapToGrid/>
              <w:spacing w:line="420" w:lineRule="exact"/>
              <w:jc w:val="center"/>
              <w:textAlignment w:val="auto"/>
              <w:rPr>
                <w:rFonts w:ascii="宋体" w:hAnsi="宋体" w:cs="宋体"/>
                <w:color w:val="auto"/>
                <w:sz w:val="24"/>
                <w:szCs w:val="24"/>
              </w:rPr>
            </w:pPr>
            <w:r>
              <w:rPr>
                <w:rFonts w:hint="eastAsia" w:ascii="宋体" w:hAnsi="宋体" w:cs="宋体"/>
                <w:color w:val="auto"/>
                <w:sz w:val="24"/>
                <w:szCs w:val="24"/>
              </w:rPr>
              <w:t>履约保证金</w:t>
            </w:r>
          </w:p>
        </w:tc>
        <w:tc>
          <w:tcPr>
            <w:tcW w:w="7508" w:type="dxa"/>
            <w:vAlign w:val="center"/>
          </w:tcPr>
          <w:p>
            <w:pPr>
              <w:keepLines w:val="0"/>
              <w:pageBreakBefore w:val="0"/>
              <w:kinsoku/>
              <w:wordWrap/>
              <w:overflowPunct/>
              <w:topLinePunct w:val="0"/>
              <w:bidi w:val="0"/>
              <w:snapToGrid/>
              <w:spacing w:line="420" w:lineRule="exact"/>
              <w:jc w:val="left"/>
              <w:textAlignment w:val="auto"/>
              <w:rPr>
                <w:rFonts w:ascii="宋体" w:hAnsi="宋体" w:cs="宋体"/>
                <w:color w:val="auto"/>
                <w:sz w:val="24"/>
                <w:szCs w:val="24"/>
              </w:rPr>
            </w:pPr>
            <w:r>
              <w:rPr>
                <w:rFonts w:hint="eastAsia" w:ascii="宋体" w:hAnsi="宋体" w:cs="宋体"/>
                <w:color w:val="auto"/>
                <w:sz w:val="24"/>
                <w:szCs w:val="24"/>
              </w:rPr>
              <w:t>本项目无履约保证金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3" w:type="dxa"/>
            <w:vAlign w:val="center"/>
          </w:tcPr>
          <w:p>
            <w:pPr>
              <w:pStyle w:val="118"/>
              <w:keepLines w:val="0"/>
              <w:pageBreakBefore w:val="0"/>
              <w:kinsoku/>
              <w:wordWrap/>
              <w:overflowPunct/>
              <w:topLinePunct w:val="0"/>
              <w:bidi w:val="0"/>
              <w:snapToGrid/>
              <w:spacing w:line="420" w:lineRule="exact"/>
              <w:jc w:val="center"/>
              <w:textAlignment w:val="auto"/>
              <w:rPr>
                <w:color w:val="auto"/>
              </w:rPr>
            </w:pPr>
            <w:r>
              <w:rPr>
                <w:rFonts w:hint="eastAsia"/>
                <w:color w:val="auto"/>
              </w:rPr>
              <w:t>21</w:t>
            </w:r>
          </w:p>
        </w:tc>
        <w:tc>
          <w:tcPr>
            <w:tcW w:w="1642" w:type="dxa"/>
            <w:vAlign w:val="center"/>
          </w:tcPr>
          <w:p>
            <w:pPr>
              <w:keepLines w:val="0"/>
              <w:pageBreakBefore w:val="0"/>
              <w:kinsoku/>
              <w:wordWrap/>
              <w:overflowPunct/>
              <w:topLinePunct w:val="0"/>
              <w:bidi w:val="0"/>
              <w:snapToGrid/>
              <w:spacing w:line="420" w:lineRule="exact"/>
              <w:jc w:val="center"/>
              <w:textAlignment w:val="auto"/>
              <w:rPr>
                <w:rFonts w:ascii="宋体" w:hAnsi="宋体" w:cs="宋体"/>
                <w:color w:val="auto"/>
                <w:sz w:val="24"/>
                <w:szCs w:val="24"/>
                <w:lang w:val="zh-CN"/>
              </w:rPr>
            </w:pPr>
            <w:r>
              <w:rPr>
                <w:rFonts w:hint="eastAsia" w:ascii="宋体" w:hAnsi="宋体" w:cs="宋体"/>
                <w:color w:val="auto"/>
                <w:sz w:val="24"/>
                <w:szCs w:val="24"/>
              </w:rPr>
              <w:t>招标代理服务费</w:t>
            </w:r>
          </w:p>
        </w:tc>
        <w:tc>
          <w:tcPr>
            <w:tcW w:w="7508" w:type="dxa"/>
            <w:vAlign w:val="center"/>
          </w:tcPr>
          <w:p>
            <w:pPr>
              <w:keepLines w:val="0"/>
              <w:pageBreakBefore w:val="0"/>
              <w:numPr>
                <w:ilvl w:val="0"/>
                <w:numId w:val="2"/>
              </w:numPr>
              <w:kinsoku/>
              <w:wordWrap/>
              <w:overflowPunct/>
              <w:topLinePunct w:val="0"/>
              <w:bidi w:val="0"/>
              <w:snapToGrid/>
              <w:spacing w:line="420" w:lineRule="exact"/>
              <w:jc w:val="left"/>
              <w:textAlignment w:val="auto"/>
              <w:rPr>
                <w:rFonts w:ascii="宋体" w:hAnsi="宋体" w:cs="宋体"/>
                <w:color w:val="auto"/>
                <w:sz w:val="24"/>
                <w:szCs w:val="24"/>
              </w:rPr>
            </w:pPr>
            <w:r>
              <w:rPr>
                <w:rFonts w:hint="eastAsia" w:ascii="宋体" w:hAnsi="宋体" w:cs="宋体"/>
                <w:color w:val="auto"/>
                <w:sz w:val="24"/>
                <w:szCs w:val="24"/>
              </w:rPr>
              <w:t>成交服务费按约定由成交供应商支付，领取成交通知书前，由成交单位向采购代理机构缴纳成交服务费，一次性付清。</w:t>
            </w:r>
          </w:p>
          <w:p>
            <w:pPr>
              <w:keepLines w:val="0"/>
              <w:pageBreakBefore w:val="0"/>
              <w:numPr>
                <w:ilvl w:val="0"/>
                <w:numId w:val="2"/>
              </w:numPr>
              <w:kinsoku/>
              <w:wordWrap/>
              <w:overflowPunct/>
              <w:topLinePunct w:val="0"/>
              <w:bidi w:val="0"/>
              <w:snapToGrid/>
              <w:spacing w:line="420" w:lineRule="exact"/>
              <w:jc w:val="left"/>
              <w:textAlignment w:val="auto"/>
              <w:rPr>
                <w:rFonts w:ascii="宋体" w:hAnsi="宋体" w:cs="宋体"/>
                <w:color w:val="auto"/>
                <w:sz w:val="24"/>
                <w:szCs w:val="24"/>
              </w:rPr>
            </w:pPr>
            <w:bookmarkStart w:id="4" w:name="_Hlk102659621"/>
            <w:r>
              <w:rPr>
                <w:rFonts w:hint="eastAsia" w:ascii="宋体" w:hAnsi="宋体" w:cs="宋体"/>
                <w:color w:val="auto"/>
                <w:sz w:val="24"/>
                <w:szCs w:val="24"/>
              </w:rPr>
              <w:t>成交服务费依据国家计委计价格[2002]1980号《招标代理服务收费管理暂行办法》和国家发展改革委员会办公厅颁发的《关于招标代理服务收费有关问题的通知》（发改办价格[2003]857号）规定标准收取，招标代理服务收费按差额定率累进法计算。</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3" w:type="dxa"/>
            <w:vAlign w:val="center"/>
          </w:tcPr>
          <w:p>
            <w:pPr>
              <w:pStyle w:val="118"/>
              <w:keepLines w:val="0"/>
              <w:pageBreakBefore w:val="0"/>
              <w:kinsoku/>
              <w:wordWrap/>
              <w:overflowPunct/>
              <w:topLinePunct w:val="0"/>
              <w:bidi w:val="0"/>
              <w:snapToGrid/>
              <w:spacing w:line="420" w:lineRule="exact"/>
              <w:jc w:val="center"/>
              <w:textAlignment w:val="auto"/>
              <w:rPr>
                <w:color w:val="auto"/>
              </w:rPr>
            </w:pPr>
            <w:r>
              <w:rPr>
                <w:rFonts w:hint="eastAsia"/>
                <w:color w:val="auto"/>
              </w:rPr>
              <w:t>22</w:t>
            </w:r>
          </w:p>
        </w:tc>
        <w:tc>
          <w:tcPr>
            <w:tcW w:w="1642" w:type="dxa"/>
            <w:vAlign w:val="center"/>
          </w:tcPr>
          <w:p>
            <w:pPr>
              <w:pStyle w:val="118"/>
              <w:keepLines w:val="0"/>
              <w:pageBreakBefore w:val="0"/>
              <w:kinsoku/>
              <w:wordWrap/>
              <w:overflowPunct/>
              <w:topLinePunct w:val="0"/>
              <w:bidi w:val="0"/>
              <w:snapToGrid/>
              <w:spacing w:line="420" w:lineRule="exact"/>
              <w:jc w:val="center"/>
              <w:textAlignment w:val="auto"/>
              <w:rPr>
                <w:color w:val="auto"/>
              </w:rPr>
            </w:pPr>
            <w:r>
              <w:rPr>
                <w:rFonts w:hint="eastAsia"/>
                <w:color w:val="auto"/>
              </w:rPr>
              <w:t>知识产权</w:t>
            </w:r>
          </w:p>
        </w:tc>
        <w:tc>
          <w:tcPr>
            <w:tcW w:w="7508" w:type="dxa"/>
            <w:vAlign w:val="center"/>
          </w:tcPr>
          <w:p>
            <w:pPr>
              <w:pStyle w:val="118"/>
              <w:keepLines w:val="0"/>
              <w:pageBreakBefore w:val="0"/>
              <w:kinsoku/>
              <w:wordWrap/>
              <w:overflowPunct/>
              <w:topLinePunct w:val="0"/>
              <w:bidi w:val="0"/>
              <w:snapToGrid/>
              <w:spacing w:line="420" w:lineRule="exact"/>
              <w:jc w:val="both"/>
              <w:textAlignment w:val="auto"/>
              <w:rPr>
                <w:color w:val="auto"/>
              </w:rPr>
            </w:pPr>
            <w:r>
              <w:rPr>
                <w:rFonts w:hint="eastAsia"/>
                <w:color w:val="auto"/>
              </w:rPr>
              <w:t>供应商应对所供服务具有或已取得合法知识产权，供应商应保证所供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3" w:type="dxa"/>
            <w:vAlign w:val="center"/>
          </w:tcPr>
          <w:p>
            <w:pPr>
              <w:pStyle w:val="118"/>
              <w:keepLines w:val="0"/>
              <w:pageBreakBefore w:val="0"/>
              <w:kinsoku/>
              <w:wordWrap/>
              <w:overflowPunct/>
              <w:topLinePunct w:val="0"/>
              <w:bidi w:val="0"/>
              <w:snapToGrid/>
              <w:spacing w:line="420" w:lineRule="exact"/>
              <w:jc w:val="center"/>
              <w:textAlignment w:val="auto"/>
              <w:rPr>
                <w:color w:val="auto"/>
              </w:rPr>
            </w:pPr>
            <w:r>
              <w:rPr>
                <w:rFonts w:hint="eastAsia"/>
                <w:color w:val="auto"/>
              </w:rPr>
              <w:t>23</w:t>
            </w:r>
          </w:p>
        </w:tc>
        <w:tc>
          <w:tcPr>
            <w:tcW w:w="1642" w:type="dxa"/>
            <w:vAlign w:val="center"/>
          </w:tcPr>
          <w:p>
            <w:pPr>
              <w:keepLines w:val="0"/>
              <w:pageBreakBefore w:val="0"/>
              <w:kinsoku/>
              <w:wordWrap/>
              <w:overflowPunct/>
              <w:topLinePunct w:val="0"/>
              <w:bidi w:val="0"/>
              <w:snapToGrid/>
              <w:spacing w:line="42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评审方法</w:t>
            </w:r>
          </w:p>
        </w:tc>
        <w:tc>
          <w:tcPr>
            <w:tcW w:w="7508" w:type="dxa"/>
            <w:vAlign w:val="center"/>
          </w:tcPr>
          <w:p>
            <w:pPr>
              <w:keepLines w:val="0"/>
              <w:pageBreakBefore w:val="0"/>
              <w:kinsoku/>
              <w:wordWrap/>
              <w:overflowPunct/>
              <w:topLinePunct w:val="0"/>
              <w:bidi w:val="0"/>
              <w:snapToGrid/>
              <w:spacing w:line="420" w:lineRule="exact"/>
              <w:textAlignment w:val="auto"/>
              <w:rPr>
                <w:rFonts w:ascii="宋体" w:hAnsi="宋体" w:cs="宋体"/>
                <w:color w:val="auto"/>
                <w:kern w:val="0"/>
                <w:sz w:val="24"/>
                <w:szCs w:val="24"/>
              </w:rPr>
            </w:pPr>
            <w:r>
              <w:rPr>
                <w:rFonts w:hint="eastAsia" w:ascii="宋体" w:hAnsi="宋体" w:cs="宋体"/>
                <w:color w:val="auto"/>
                <w:kern w:val="0"/>
                <w:sz w:val="24"/>
                <w:szCs w:val="24"/>
              </w:rPr>
              <w:t>综合评分法（详见第四章）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3" w:type="dxa"/>
            <w:vAlign w:val="center"/>
          </w:tcPr>
          <w:p>
            <w:pPr>
              <w:pStyle w:val="118"/>
              <w:keepLines w:val="0"/>
              <w:pageBreakBefore w:val="0"/>
              <w:kinsoku/>
              <w:wordWrap/>
              <w:overflowPunct/>
              <w:topLinePunct w:val="0"/>
              <w:bidi w:val="0"/>
              <w:snapToGrid/>
              <w:spacing w:line="420" w:lineRule="exact"/>
              <w:jc w:val="center"/>
              <w:textAlignment w:val="auto"/>
              <w:rPr>
                <w:color w:val="auto"/>
              </w:rPr>
            </w:pPr>
            <w:r>
              <w:rPr>
                <w:rFonts w:hint="eastAsia"/>
                <w:color w:val="auto"/>
              </w:rPr>
              <w:t>24</w:t>
            </w:r>
          </w:p>
        </w:tc>
        <w:tc>
          <w:tcPr>
            <w:tcW w:w="1642" w:type="dxa"/>
            <w:vAlign w:val="center"/>
          </w:tcPr>
          <w:p>
            <w:pPr>
              <w:keepLines w:val="0"/>
              <w:pageBreakBefore w:val="0"/>
              <w:kinsoku/>
              <w:wordWrap/>
              <w:overflowPunct/>
              <w:topLinePunct w:val="0"/>
              <w:bidi w:val="0"/>
              <w:snapToGrid/>
              <w:spacing w:line="420" w:lineRule="exact"/>
              <w:ind w:left="42" w:leftChars="20"/>
              <w:jc w:val="center"/>
              <w:textAlignment w:val="auto"/>
              <w:rPr>
                <w:rFonts w:ascii="宋体" w:hAnsi="宋体"/>
                <w:color w:val="auto"/>
                <w:sz w:val="24"/>
              </w:rPr>
            </w:pPr>
            <w:r>
              <w:rPr>
                <w:rFonts w:hint="eastAsia" w:ascii="宋体" w:hAnsi="宋体" w:cs="宋体"/>
                <w:color w:val="auto"/>
                <w:sz w:val="24"/>
                <w:szCs w:val="24"/>
              </w:rPr>
              <w:t>履约验收</w:t>
            </w:r>
          </w:p>
        </w:tc>
        <w:tc>
          <w:tcPr>
            <w:tcW w:w="7508" w:type="dxa"/>
            <w:vAlign w:val="center"/>
          </w:tcPr>
          <w:p>
            <w:pPr>
              <w:keepLines w:val="0"/>
              <w:pageBreakBefore w:val="0"/>
              <w:kinsoku/>
              <w:wordWrap/>
              <w:overflowPunct/>
              <w:topLinePunct w:val="0"/>
              <w:bidi w:val="0"/>
              <w:snapToGrid/>
              <w:spacing w:line="420" w:lineRule="exact"/>
              <w:ind w:left="42" w:leftChars="20"/>
              <w:textAlignment w:val="auto"/>
              <w:rPr>
                <w:rFonts w:ascii="宋体" w:hAnsi="宋体" w:cs="宋体"/>
                <w:color w:val="auto"/>
                <w:sz w:val="24"/>
                <w:szCs w:val="24"/>
              </w:rPr>
            </w:pPr>
            <w:r>
              <w:rPr>
                <w:rFonts w:hint="eastAsia" w:ascii="宋体" w:hAnsi="宋体" w:cs="宋体"/>
                <w:color w:val="auto"/>
                <w:sz w:val="24"/>
                <w:szCs w:val="24"/>
              </w:rPr>
              <w:t>是否委托采购代理机构组织履约验收：</w:t>
            </w:r>
          </w:p>
          <w:p>
            <w:pPr>
              <w:keepLines w:val="0"/>
              <w:pageBreakBefore w:val="0"/>
              <w:kinsoku/>
              <w:wordWrap/>
              <w:overflowPunct/>
              <w:topLinePunct w:val="0"/>
              <w:bidi w:val="0"/>
              <w:snapToGrid/>
              <w:spacing w:line="420" w:lineRule="exact"/>
              <w:ind w:left="42" w:leftChars="20"/>
              <w:textAlignment w:val="auto"/>
              <w:rPr>
                <w:rFonts w:ascii="宋体" w:hAnsi="宋体" w:cs="宋体"/>
                <w:color w:val="auto"/>
                <w:sz w:val="24"/>
                <w:szCs w:val="24"/>
              </w:rPr>
            </w:pPr>
            <w:r>
              <w:rPr>
                <w:rFonts w:hint="eastAsia" w:ascii="宋体" w:hAnsi="宋体" w:cs="宋体"/>
                <w:color w:val="auto"/>
                <w:sz w:val="24"/>
                <w:szCs w:val="24"/>
              </w:rPr>
              <w:t>□是，验收费用由采购人/成交供应商支付，费用标准按成交金额的5‰计算，不足5000元的，按5000元收取。</w:t>
            </w:r>
          </w:p>
          <w:p>
            <w:pPr>
              <w:keepLines w:val="0"/>
              <w:pageBreakBefore w:val="0"/>
              <w:kinsoku/>
              <w:wordWrap/>
              <w:overflowPunct/>
              <w:topLinePunct w:val="0"/>
              <w:bidi w:val="0"/>
              <w:snapToGrid/>
              <w:spacing w:line="420" w:lineRule="exact"/>
              <w:ind w:left="42" w:leftChars="20"/>
              <w:textAlignment w:val="auto"/>
              <w:rPr>
                <w:rFonts w:ascii="宋体" w:hAnsi="宋体" w:cs="宋体"/>
                <w:color w:val="auto"/>
                <w:sz w:val="24"/>
                <w:szCs w:val="24"/>
              </w:rPr>
            </w:pPr>
            <w:r>
              <w:rPr>
                <w:rFonts w:hint="eastAsia" w:ascii="宋体" w:hAnsi="宋体" w:cs="宋体"/>
                <w:color w:val="auto"/>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3" w:type="dxa"/>
            <w:vAlign w:val="center"/>
          </w:tcPr>
          <w:p>
            <w:pPr>
              <w:pStyle w:val="118"/>
              <w:keepLines w:val="0"/>
              <w:pageBreakBefore w:val="0"/>
              <w:kinsoku/>
              <w:wordWrap/>
              <w:overflowPunct/>
              <w:topLinePunct w:val="0"/>
              <w:bidi w:val="0"/>
              <w:snapToGrid/>
              <w:spacing w:line="420" w:lineRule="exact"/>
              <w:jc w:val="center"/>
              <w:textAlignment w:val="auto"/>
              <w:rPr>
                <w:color w:val="auto"/>
              </w:rPr>
            </w:pPr>
            <w:r>
              <w:rPr>
                <w:rFonts w:hint="eastAsia"/>
                <w:color w:val="auto"/>
              </w:rPr>
              <w:t>25</w:t>
            </w:r>
          </w:p>
        </w:tc>
        <w:tc>
          <w:tcPr>
            <w:tcW w:w="1642" w:type="dxa"/>
            <w:vAlign w:val="center"/>
          </w:tcPr>
          <w:p>
            <w:pPr>
              <w:keepLines w:val="0"/>
              <w:pageBreakBefore w:val="0"/>
              <w:kinsoku/>
              <w:wordWrap/>
              <w:overflowPunct/>
              <w:topLinePunct w:val="0"/>
              <w:bidi w:val="0"/>
              <w:snapToGrid/>
              <w:spacing w:line="420" w:lineRule="exact"/>
              <w:jc w:val="center"/>
              <w:textAlignment w:val="auto"/>
              <w:rPr>
                <w:rFonts w:ascii="宋体" w:hAnsi="宋体" w:cs="宋体"/>
                <w:color w:val="auto"/>
                <w:sz w:val="24"/>
                <w:szCs w:val="24"/>
              </w:rPr>
            </w:pPr>
            <w:r>
              <w:rPr>
                <w:rFonts w:hint="eastAsia" w:ascii="宋体" w:hAnsi="宋体" w:cs="宋体"/>
                <w:color w:val="auto"/>
                <w:sz w:val="24"/>
                <w:szCs w:val="24"/>
              </w:rPr>
              <w:t>信用担保及信用融资</w:t>
            </w:r>
          </w:p>
        </w:tc>
        <w:tc>
          <w:tcPr>
            <w:tcW w:w="7508" w:type="dxa"/>
            <w:vAlign w:val="center"/>
          </w:tcPr>
          <w:p>
            <w:pPr>
              <w:keepLines w:val="0"/>
              <w:pageBreakBefore w:val="0"/>
              <w:kinsoku/>
              <w:wordWrap/>
              <w:overflowPunct/>
              <w:topLinePunct w:val="0"/>
              <w:bidi w:val="0"/>
              <w:snapToGrid/>
              <w:spacing w:line="420" w:lineRule="exact"/>
              <w:jc w:val="left"/>
              <w:textAlignment w:val="auto"/>
              <w:rPr>
                <w:rFonts w:ascii="宋体" w:hAnsi="宋体" w:cs="宋体"/>
                <w:color w:val="auto"/>
                <w:sz w:val="24"/>
                <w:szCs w:val="24"/>
              </w:rPr>
            </w:pPr>
            <w:r>
              <w:rPr>
                <w:rFonts w:hint="eastAsia" w:ascii="宋体" w:hAnsi="宋体" w:cs="宋体"/>
                <w:color w:val="auto"/>
                <w:sz w:val="24"/>
                <w:szCs w:val="24"/>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vAlign w:val="center"/>
          </w:tcPr>
          <w:p>
            <w:pPr>
              <w:pStyle w:val="118"/>
              <w:keepLines w:val="0"/>
              <w:pageBreakBefore w:val="0"/>
              <w:kinsoku/>
              <w:wordWrap/>
              <w:overflowPunct/>
              <w:topLinePunct w:val="0"/>
              <w:bidi w:val="0"/>
              <w:snapToGrid/>
              <w:spacing w:line="420" w:lineRule="exact"/>
              <w:jc w:val="center"/>
              <w:textAlignment w:val="auto"/>
              <w:rPr>
                <w:color w:val="auto"/>
              </w:rPr>
            </w:pPr>
            <w:r>
              <w:rPr>
                <w:rFonts w:hint="eastAsia"/>
                <w:color w:val="auto"/>
              </w:rPr>
              <w:t>26</w:t>
            </w:r>
          </w:p>
        </w:tc>
        <w:tc>
          <w:tcPr>
            <w:tcW w:w="1642" w:type="dxa"/>
            <w:vAlign w:val="center"/>
          </w:tcPr>
          <w:p>
            <w:pPr>
              <w:pStyle w:val="118"/>
              <w:keepLines w:val="0"/>
              <w:pageBreakBefore w:val="0"/>
              <w:kinsoku/>
              <w:wordWrap/>
              <w:overflowPunct/>
              <w:topLinePunct w:val="0"/>
              <w:bidi w:val="0"/>
              <w:snapToGrid/>
              <w:spacing w:line="420" w:lineRule="exact"/>
              <w:jc w:val="center"/>
              <w:textAlignment w:val="auto"/>
              <w:rPr>
                <w:color w:val="auto"/>
                <w:kern w:val="2"/>
              </w:rPr>
            </w:pPr>
            <w:r>
              <w:rPr>
                <w:rFonts w:hint="eastAsia"/>
                <w:color w:val="auto"/>
              </w:rPr>
              <w:t>疫情防控措施</w:t>
            </w:r>
          </w:p>
        </w:tc>
        <w:tc>
          <w:tcPr>
            <w:tcW w:w="7508" w:type="dxa"/>
            <w:vAlign w:val="center"/>
          </w:tcPr>
          <w:p>
            <w:pPr>
              <w:pStyle w:val="118"/>
              <w:keepLines w:val="0"/>
              <w:pageBreakBefore w:val="0"/>
              <w:numPr>
                <w:ilvl w:val="0"/>
                <w:numId w:val="3"/>
              </w:numPr>
              <w:kinsoku/>
              <w:wordWrap/>
              <w:overflowPunct/>
              <w:topLinePunct w:val="0"/>
              <w:bidi w:val="0"/>
              <w:snapToGrid/>
              <w:spacing w:line="420" w:lineRule="exact"/>
              <w:jc w:val="both"/>
              <w:textAlignment w:val="auto"/>
              <w:rPr>
                <w:color w:val="auto"/>
                <w:kern w:val="2"/>
              </w:rPr>
            </w:pPr>
            <w:r>
              <w:rPr>
                <w:rFonts w:hint="eastAsia"/>
                <w:color w:val="auto"/>
                <w:kern w:val="2"/>
              </w:rPr>
              <w:t>供应商只需拟派1人参与本项目磋商会议；</w:t>
            </w:r>
            <w:r>
              <w:rPr>
                <w:rFonts w:hint="eastAsia"/>
                <w:color w:val="auto"/>
                <w:kern w:val="2"/>
              </w:rPr>
              <w:br w:type="textWrapping"/>
            </w:r>
            <w:r>
              <w:rPr>
                <w:rFonts w:hint="eastAsia"/>
                <w:color w:val="auto"/>
                <w:kern w:val="2"/>
              </w:rPr>
              <w:t>2、供应商拟派人员的注册</w:t>
            </w:r>
            <w:r>
              <w:rPr>
                <w:rFonts w:hint="eastAsia"/>
                <w:color w:val="auto"/>
                <w:kern w:val="2"/>
                <w:lang w:val="en-US" w:eastAsia="zh-CN"/>
              </w:rPr>
              <w:t>陕西</w:t>
            </w:r>
            <w:r>
              <w:rPr>
                <w:rFonts w:hint="eastAsia"/>
                <w:color w:val="auto"/>
                <w:kern w:val="2"/>
              </w:rPr>
              <w:t>“一码通”且为绿码；</w:t>
            </w:r>
            <w:r>
              <w:rPr>
                <w:rFonts w:hint="eastAsia"/>
                <w:color w:val="auto"/>
                <w:kern w:val="2"/>
              </w:rPr>
              <w:br w:type="textWrapping"/>
            </w:r>
            <w:r>
              <w:rPr>
                <w:rFonts w:hint="eastAsia"/>
                <w:color w:val="auto"/>
                <w:kern w:val="2"/>
                <w:lang w:val="en-US" w:eastAsia="zh-CN"/>
              </w:rPr>
              <w:t>3</w:t>
            </w:r>
            <w:r>
              <w:rPr>
                <w:rFonts w:hint="eastAsia"/>
                <w:color w:val="auto"/>
                <w:kern w:val="2"/>
              </w:rPr>
              <w:t>、参与磋商会议的人员均需携带口罩等防护措施。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3" w:type="dxa"/>
            <w:vAlign w:val="center"/>
          </w:tcPr>
          <w:p>
            <w:pPr>
              <w:pStyle w:val="118"/>
              <w:keepLines w:val="0"/>
              <w:pageBreakBefore w:val="0"/>
              <w:kinsoku/>
              <w:wordWrap/>
              <w:overflowPunct/>
              <w:topLinePunct w:val="0"/>
              <w:bidi w:val="0"/>
              <w:snapToGrid/>
              <w:spacing w:line="420" w:lineRule="exact"/>
              <w:jc w:val="center"/>
              <w:textAlignment w:val="auto"/>
              <w:rPr>
                <w:color w:val="auto"/>
              </w:rPr>
            </w:pPr>
            <w:r>
              <w:rPr>
                <w:rFonts w:hint="eastAsia"/>
                <w:color w:val="auto"/>
              </w:rPr>
              <w:t>27</w:t>
            </w:r>
          </w:p>
        </w:tc>
        <w:tc>
          <w:tcPr>
            <w:tcW w:w="1642" w:type="dxa"/>
            <w:vAlign w:val="center"/>
          </w:tcPr>
          <w:p>
            <w:pPr>
              <w:pStyle w:val="118"/>
              <w:keepLines w:val="0"/>
              <w:pageBreakBefore w:val="0"/>
              <w:kinsoku/>
              <w:wordWrap/>
              <w:overflowPunct/>
              <w:topLinePunct w:val="0"/>
              <w:bidi w:val="0"/>
              <w:snapToGrid/>
              <w:spacing w:line="420" w:lineRule="exact"/>
              <w:jc w:val="center"/>
              <w:textAlignment w:val="auto"/>
              <w:rPr>
                <w:color w:val="auto"/>
              </w:rPr>
            </w:pPr>
            <w:r>
              <w:rPr>
                <w:rFonts w:hint="eastAsia"/>
                <w:color w:val="auto"/>
              </w:rPr>
              <w:t>其他</w:t>
            </w:r>
          </w:p>
        </w:tc>
        <w:tc>
          <w:tcPr>
            <w:tcW w:w="7508" w:type="dxa"/>
            <w:vAlign w:val="center"/>
          </w:tcPr>
          <w:p>
            <w:pPr>
              <w:pStyle w:val="118"/>
              <w:keepLines w:val="0"/>
              <w:pageBreakBefore w:val="0"/>
              <w:kinsoku/>
              <w:wordWrap/>
              <w:overflowPunct/>
              <w:topLinePunct w:val="0"/>
              <w:bidi w:val="0"/>
              <w:snapToGrid/>
              <w:spacing w:line="420" w:lineRule="exact"/>
              <w:jc w:val="both"/>
              <w:textAlignment w:val="auto"/>
              <w:rPr>
                <w:color w:val="auto"/>
                <w:kern w:val="2"/>
              </w:rPr>
            </w:pPr>
            <w:r>
              <w:rPr>
                <w:rFonts w:hint="eastAsia"/>
                <w:color w:val="auto"/>
                <w:kern w:val="2"/>
              </w:rPr>
              <w:t>1、本项目专门面向中小企业采购。</w:t>
            </w:r>
          </w:p>
          <w:p>
            <w:pPr>
              <w:pStyle w:val="118"/>
              <w:keepLines w:val="0"/>
              <w:pageBreakBefore w:val="0"/>
              <w:numPr>
                <w:ilvl w:val="0"/>
                <w:numId w:val="3"/>
              </w:numPr>
              <w:kinsoku/>
              <w:wordWrap/>
              <w:overflowPunct/>
              <w:topLinePunct w:val="0"/>
              <w:bidi w:val="0"/>
              <w:snapToGrid/>
              <w:spacing w:line="420" w:lineRule="exact"/>
              <w:jc w:val="both"/>
              <w:textAlignment w:val="auto"/>
              <w:rPr>
                <w:color w:val="auto"/>
                <w:kern w:val="2"/>
              </w:rPr>
            </w:pPr>
            <w:r>
              <w:rPr>
                <w:rFonts w:hint="eastAsia"/>
                <w:color w:val="auto"/>
                <w:kern w:val="2"/>
              </w:rPr>
              <w:t>本项目属性为</w:t>
            </w:r>
            <w:r>
              <w:rPr>
                <w:rFonts w:hint="eastAsia"/>
                <w:color w:val="auto"/>
                <w:kern w:val="2"/>
                <w:lang w:val="en-US" w:eastAsia="zh-CN"/>
              </w:rPr>
              <w:t>工程</w:t>
            </w:r>
            <w:r>
              <w:rPr>
                <w:rFonts w:hint="eastAsia"/>
                <w:color w:val="auto"/>
                <w:kern w:val="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3" w:type="dxa"/>
            <w:vAlign w:val="center"/>
          </w:tcPr>
          <w:p>
            <w:pPr>
              <w:pStyle w:val="118"/>
              <w:keepLines w:val="0"/>
              <w:pageBreakBefore w:val="0"/>
              <w:kinsoku/>
              <w:wordWrap/>
              <w:overflowPunct/>
              <w:topLinePunct w:val="0"/>
              <w:bidi w:val="0"/>
              <w:snapToGrid/>
              <w:spacing w:line="420" w:lineRule="exact"/>
              <w:jc w:val="center"/>
              <w:textAlignment w:val="auto"/>
              <w:rPr>
                <w:color w:val="auto"/>
              </w:rPr>
            </w:pPr>
            <w:r>
              <w:rPr>
                <w:rFonts w:hint="eastAsia"/>
                <w:color w:val="auto"/>
              </w:rPr>
              <w:t>28</w:t>
            </w:r>
          </w:p>
        </w:tc>
        <w:tc>
          <w:tcPr>
            <w:tcW w:w="1642" w:type="dxa"/>
            <w:vAlign w:val="center"/>
          </w:tcPr>
          <w:p>
            <w:pPr>
              <w:pStyle w:val="118"/>
              <w:keepLines w:val="0"/>
              <w:pageBreakBefore w:val="0"/>
              <w:kinsoku/>
              <w:wordWrap/>
              <w:overflowPunct/>
              <w:topLinePunct w:val="0"/>
              <w:bidi w:val="0"/>
              <w:snapToGrid/>
              <w:spacing w:line="420" w:lineRule="exact"/>
              <w:jc w:val="both"/>
              <w:textAlignment w:val="auto"/>
              <w:rPr>
                <w:color w:val="auto"/>
              </w:rPr>
            </w:pPr>
            <w:r>
              <w:rPr>
                <w:rFonts w:hint="eastAsia"/>
                <w:color w:val="auto"/>
              </w:rPr>
              <w:t>响应文件和证明资料签字、盖章要求</w:t>
            </w:r>
          </w:p>
        </w:tc>
        <w:tc>
          <w:tcPr>
            <w:tcW w:w="7508" w:type="dxa"/>
            <w:vAlign w:val="center"/>
          </w:tcPr>
          <w:p>
            <w:pPr>
              <w:pStyle w:val="118"/>
              <w:keepNext w:val="0"/>
              <w:keepLines w:val="0"/>
              <w:pageBreakBefore w:val="0"/>
              <w:kinsoku/>
              <w:wordWrap/>
              <w:overflowPunct/>
              <w:topLinePunct w:val="0"/>
              <w:bidi w:val="0"/>
              <w:snapToGrid/>
              <w:spacing w:line="420" w:lineRule="exact"/>
              <w:jc w:val="both"/>
              <w:textAlignment w:val="auto"/>
              <w:rPr>
                <w:rFonts w:hint="eastAsia" w:ascii="宋体" w:hAnsi="宋体"/>
                <w:color w:val="auto"/>
                <w:sz w:val="24"/>
                <w:highlight w:val="none"/>
                <w:lang w:val="en-US" w:eastAsia="zh-CN"/>
              </w:rPr>
            </w:pPr>
            <w:r>
              <w:rPr>
                <w:rFonts w:hint="eastAsia"/>
                <w:color w:val="auto"/>
                <w:sz w:val="24"/>
                <w:highlight w:val="none"/>
                <w:lang w:val="en-US" w:eastAsia="zh-CN"/>
              </w:rPr>
              <w:t>1、</w:t>
            </w:r>
            <w:r>
              <w:rPr>
                <w:rFonts w:hint="eastAsia" w:ascii="宋体" w:hAnsi="宋体"/>
                <w:color w:val="auto"/>
                <w:sz w:val="24"/>
                <w:highlight w:val="none"/>
                <w:lang w:val="en-US" w:eastAsia="zh-CN"/>
              </w:rPr>
              <w:t>按第八章</w:t>
            </w:r>
            <w:r>
              <w:rPr>
                <w:rFonts w:hint="eastAsia"/>
                <w:color w:val="auto"/>
                <w:sz w:val="24"/>
                <w:highlight w:val="none"/>
                <w:lang w:val="en-US" w:eastAsia="zh-CN"/>
              </w:rPr>
              <w:t>响应</w:t>
            </w:r>
            <w:r>
              <w:rPr>
                <w:rFonts w:hint="eastAsia" w:ascii="宋体" w:hAnsi="宋体"/>
                <w:color w:val="auto"/>
                <w:sz w:val="24"/>
                <w:highlight w:val="none"/>
                <w:lang w:val="en-US" w:eastAsia="zh-CN"/>
              </w:rPr>
              <w:t>文件格式中要求签字和盖章；</w:t>
            </w:r>
          </w:p>
          <w:p>
            <w:pPr>
              <w:pStyle w:val="118"/>
              <w:keepNext w:val="0"/>
              <w:keepLines w:val="0"/>
              <w:pageBreakBefore w:val="0"/>
              <w:kinsoku/>
              <w:wordWrap/>
              <w:overflowPunct/>
              <w:topLinePunct w:val="0"/>
              <w:bidi w:val="0"/>
              <w:snapToGrid/>
              <w:spacing w:line="420" w:lineRule="exact"/>
              <w:jc w:val="both"/>
              <w:textAlignment w:val="auto"/>
              <w:rPr>
                <w:rFonts w:hint="eastAsia" w:ascii="宋体" w:hAnsi="宋体"/>
                <w:color w:val="auto"/>
                <w:sz w:val="24"/>
                <w:highlight w:val="none"/>
                <w:lang w:val="en-US" w:eastAsia="zh-CN"/>
              </w:rPr>
            </w:pPr>
            <w:r>
              <w:rPr>
                <w:rFonts w:hint="eastAsia"/>
                <w:color w:val="auto"/>
                <w:sz w:val="24"/>
                <w:highlight w:val="none"/>
                <w:lang w:val="en-US" w:eastAsia="zh-CN"/>
              </w:rPr>
              <w:t>2、</w:t>
            </w:r>
            <w:r>
              <w:rPr>
                <w:rFonts w:hint="eastAsia" w:ascii="宋体" w:hAnsi="宋体"/>
                <w:color w:val="auto"/>
                <w:sz w:val="24"/>
                <w:highlight w:val="none"/>
                <w:lang w:val="en-US" w:eastAsia="zh-CN"/>
              </w:rPr>
              <w:t>证明资料复印件、扫描件加盖投标人公章；</w:t>
            </w:r>
          </w:p>
          <w:p>
            <w:pPr>
              <w:pStyle w:val="118"/>
              <w:keepNext w:val="0"/>
              <w:keepLines w:val="0"/>
              <w:pageBreakBefore w:val="0"/>
              <w:kinsoku/>
              <w:wordWrap/>
              <w:overflowPunct/>
              <w:topLinePunct w:val="0"/>
              <w:bidi w:val="0"/>
              <w:snapToGrid/>
              <w:spacing w:line="420" w:lineRule="exact"/>
              <w:jc w:val="both"/>
              <w:textAlignment w:val="auto"/>
              <w:rPr>
                <w:rFonts w:hint="eastAsia" w:ascii="宋体" w:hAnsi="宋体"/>
                <w:color w:val="auto"/>
                <w:sz w:val="24"/>
                <w:highlight w:val="none"/>
                <w:lang w:val="en-US" w:eastAsia="zh-CN"/>
              </w:rPr>
            </w:pPr>
            <w:r>
              <w:rPr>
                <w:rFonts w:hint="eastAsia"/>
                <w:color w:val="auto"/>
                <w:sz w:val="24"/>
                <w:highlight w:val="none"/>
                <w:lang w:val="en-US" w:eastAsia="zh-CN"/>
              </w:rPr>
              <w:t>3、</w:t>
            </w:r>
            <w:r>
              <w:rPr>
                <w:rFonts w:hint="eastAsia" w:ascii="宋体" w:hAnsi="宋体"/>
                <w:color w:val="auto"/>
                <w:sz w:val="24"/>
                <w:highlight w:val="none"/>
                <w:lang w:val="en-US" w:eastAsia="zh-CN"/>
              </w:rPr>
              <w:t>相关网站查询证明截图加盖投标人公章。</w:t>
            </w:r>
          </w:p>
          <w:p>
            <w:pPr>
              <w:pStyle w:val="118"/>
              <w:keepLines w:val="0"/>
              <w:pageBreakBefore w:val="0"/>
              <w:kinsoku/>
              <w:wordWrap/>
              <w:overflowPunct/>
              <w:topLinePunct w:val="0"/>
              <w:bidi w:val="0"/>
              <w:snapToGrid/>
              <w:spacing w:line="420" w:lineRule="exact"/>
              <w:jc w:val="both"/>
              <w:textAlignment w:val="auto"/>
              <w:rPr>
                <w:rFonts w:hint="eastAsia"/>
                <w:color w:val="auto"/>
              </w:rPr>
            </w:pPr>
            <w:r>
              <w:rPr>
                <w:rFonts w:hint="eastAsia"/>
                <w:b/>
                <w:bCs/>
                <w:color w:val="auto"/>
                <w:sz w:val="24"/>
                <w:highlight w:val="none"/>
                <w:lang w:val="en-US" w:eastAsia="zh-CN"/>
              </w:rPr>
              <w:t>4、</w:t>
            </w:r>
            <w:r>
              <w:rPr>
                <w:rFonts w:hint="eastAsia" w:ascii="宋体" w:hAnsi="宋体"/>
                <w:b/>
                <w:bCs/>
                <w:color w:val="auto"/>
                <w:sz w:val="24"/>
                <w:highlight w:val="none"/>
                <w:lang w:val="en-US" w:eastAsia="zh-CN"/>
              </w:rPr>
              <w:t>投标报价的计价成果文件封面必须由造价人员签字并加盖执业专用章。</w:t>
            </w:r>
          </w:p>
        </w:tc>
      </w:tr>
    </w:tbl>
    <w:p>
      <w:pPr>
        <w:autoSpaceDE w:val="0"/>
        <w:autoSpaceDN w:val="0"/>
        <w:adjustRightInd w:val="0"/>
        <w:spacing w:line="360" w:lineRule="auto"/>
        <w:jc w:val="center"/>
        <w:rPr>
          <w:rFonts w:ascii="宋体" w:hAnsi="宋体" w:cs="宋体"/>
          <w:color w:val="auto"/>
          <w:sz w:val="28"/>
          <w:szCs w:val="28"/>
        </w:rPr>
        <w:sectPr>
          <w:footerReference r:id="rId12" w:type="first"/>
          <w:footerReference r:id="rId11" w:type="default"/>
          <w:pgSz w:w="11906" w:h="16838"/>
          <w:pgMar w:top="1418" w:right="1418" w:bottom="1418" w:left="1418" w:header="851" w:footer="992" w:gutter="0"/>
          <w:pgNumType w:fmt="decimal" w:start="1"/>
          <w:cols w:space="425" w:num="1"/>
          <w:titlePg/>
          <w:docGrid w:linePitch="312" w:charSpace="0"/>
        </w:sectPr>
      </w:pPr>
    </w:p>
    <w:p>
      <w:pPr>
        <w:pStyle w:val="3"/>
        <w:keepLines w:val="0"/>
        <w:pageBreakBefore w:val="0"/>
        <w:widowControl w:val="0"/>
        <w:kinsoku/>
        <w:wordWrap/>
        <w:overflowPunct/>
        <w:topLinePunct w:val="0"/>
        <w:bidi w:val="0"/>
        <w:spacing w:line="420" w:lineRule="exact"/>
        <w:textAlignment w:val="auto"/>
        <w:rPr>
          <w:rFonts w:ascii="宋体" w:hAnsi="宋体" w:eastAsia="宋体" w:cs="宋体"/>
          <w:b/>
          <w:color w:val="auto"/>
          <w:szCs w:val="28"/>
          <w:lang w:val="zh-CN"/>
        </w:rPr>
      </w:pPr>
      <w:bookmarkStart w:id="5" w:name="_Toc505"/>
      <w:r>
        <w:rPr>
          <w:rFonts w:hint="eastAsia" w:ascii="宋体" w:hAnsi="宋体" w:eastAsia="宋体" w:cs="宋体"/>
          <w:b/>
          <w:color w:val="auto"/>
          <w:szCs w:val="28"/>
        </w:rPr>
        <w:t xml:space="preserve">第三章 </w:t>
      </w:r>
      <w:r>
        <w:rPr>
          <w:rFonts w:hint="eastAsia" w:ascii="宋体" w:hAnsi="宋体" w:eastAsia="宋体" w:cs="宋体"/>
          <w:b/>
          <w:color w:val="auto"/>
          <w:szCs w:val="28"/>
          <w:lang w:val="zh-CN"/>
        </w:rPr>
        <w:t>供应商须知</w:t>
      </w:r>
      <w:bookmarkEnd w:id="5"/>
    </w:p>
    <w:p>
      <w:pPr>
        <w:keepLines w:val="0"/>
        <w:pageBreakBefore w:val="0"/>
        <w:widowControl w:val="0"/>
        <w:kinsoku/>
        <w:wordWrap/>
        <w:overflowPunct/>
        <w:topLinePunct w:val="0"/>
        <w:autoSpaceDE w:val="0"/>
        <w:autoSpaceDN w:val="0"/>
        <w:bidi w:val="0"/>
        <w:adjustRightInd w:val="0"/>
        <w:spacing w:line="420" w:lineRule="exact"/>
        <w:ind w:firstLine="573"/>
        <w:jc w:val="center"/>
        <w:textAlignment w:val="auto"/>
        <w:rPr>
          <w:rFonts w:ascii="宋体" w:hAnsi="宋体" w:cs="宋体"/>
          <w:b/>
          <w:color w:val="auto"/>
          <w:sz w:val="28"/>
          <w:szCs w:val="28"/>
          <w:lang w:val="zh-CN"/>
        </w:rPr>
      </w:pPr>
      <w:r>
        <w:rPr>
          <w:rFonts w:hint="eastAsia" w:ascii="宋体" w:hAnsi="宋体" w:cs="宋体"/>
          <w:b/>
          <w:color w:val="auto"/>
          <w:sz w:val="28"/>
          <w:szCs w:val="28"/>
        </w:rPr>
        <w:t>A</w:t>
      </w:r>
      <w:r>
        <w:rPr>
          <w:rFonts w:hint="eastAsia" w:ascii="宋体" w:hAnsi="宋体" w:cs="宋体"/>
          <w:b/>
          <w:color w:val="auto"/>
          <w:sz w:val="28"/>
          <w:szCs w:val="28"/>
          <w:lang w:val="zh-CN"/>
        </w:rPr>
        <w:t>、总则</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b/>
          <w:color w:val="auto"/>
          <w:sz w:val="24"/>
          <w:szCs w:val="24"/>
        </w:rPr>
      </w:pPr>
      <w:r>
        <w:rPr>
          <w:rFonts w:hint="eastAsia" w:ascii="宋体" w:hAnsi="宋体" w:cs="宋体"/>
          <w:b/>
          <w:color w:val="auto"/>
          <w:sz w:val="24"/>
          <w:szCs w:val="24"/>
        </w:rPr>
        <w:t>1、资金来源</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bCs/>
          <w:color w:val="auto"/>
          <w:sz w:val="24"/>
          <w:szCs w:val="24"/>
        </w:rPr>
      </w:pPr>
      <w:r>
        <w:rPr>
          <w:rFonts w:hint="eastAsia" w:ascii="宋体" w:hAnsi="宋体" w:cs="宋体"/>
          <w:bCs/>
          <w:color w:val="auto"/>
          <w:sz w:val="24"/>
          <w:szCs w:val="24"/>
        </w:rPr>
        <w:t>1.1本次竞争性磋商所签合同使用财政资金支付，资金已落实到位。</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b/>
          <w:color w:val="auto"/>
          <w:sz w:val="24"/>
          <w:szCs w:val="24"/>
          <w:lang w:val="zh-CN"/>
        </w:rPr>
      </w:pPr>
      <w:r>
        <w:rPr>
          <w:rFonts w:hint="eastAsia" w:ascii="宋体" w:hAnsi="宋体" w:cs="宋体"/>
          <w:b/>
          <w:color w:val="auto"/>
          <w:sz w:val="24"/>
          <w:szCs w:val="24"/>
        </w:rPr>
        <w:t>2</w:t>
      </w:r>
      <w:r>
        <w:rPr>
          <w:rFonts w:hint="eastAsia" w:ascii="宋体" w:hAnsi="宋体" w:cs="宋体"/>
          <w:b/>
          <w:color w:val="auto"/>
          <w:sz w:val="24"/>
          <w:szCs w:val="24"/>
          <w:lang w:val="zh-CN"/>
        </w:rPr>
        <w:t>、</w:t>
      </w:r>
      <w:r>
        <w:rPr>
          <w:rFonts w:hint="eastAsia" w:ascii="宋体" w:hAnsi="宋体" w:cs="宋体"/>
          <w:b/>
          <w:color w:val="auto"/>
          <w:sz w:val="24"/>
          <w:szCs w:val="24"/>
        </w:rPr>
        <w:t>名词解释</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rPr>
        <w:t>2.</w:t>
      </w:r>
      <w:r>
        <w:rPr>
          <w:rFonts w:hint="eastAsia" w:ascii="宋体" w:hAnsi="宋体" w:cs="宋体"/>
          <w:color w:val="auto"/>
          <w:sz w:val="24"/>
          <w:szCs w:val="24"/>
          <w:lang w:val="zh-CN"/>
        </w:rPr>
        <w:t>1、采 购 人：</w:t>
      </w:r>
      <w:r>
        <w:rPr>
          <w:rFonts w:hint="eastAsia" w:ascii="宋体" w:hAnsi="宋体"/>
          <w:color w:val="auto"/>
          <w:sz w:val="24"/>
          <w:szCs w:val="24"/>
          <w:lang w:eastAsia="zh-CN"/>
        </w:rPr>
        <w:t>泾阳县水土保持工作站</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zh-CN"/>
        </w:rPr>
        <w:t>2、监督机构：</w:t>
      </w:r>
      <w:r>
        <w:rPr>
          <w:rFonts w:hint="eastAsia" w:ascii="宋体" w:hAnsi="宋体" w:cs="宋体"/>
          <w:color w:val="auto"/>
          <w:sz w:val="24"/>
          <w:szCs w:val="24"/>
          <w:lang w:val="zh-CN" w:eastAsia="zh-CN"/>
        </w:rPr>
        <w:t>泾阳县</w:t>
      </w:r>
      <w:r>
        <w:rPr>
          <w:rFonts w:hint="eastAsia" w:ascii="宋体" w:hAnsi="宋体" w:cs="宋体"/>
          <w:color w:val="auto"/>
          <w:sz w:val="24"/>
          <w:szCs w:val="24"/>
          <w:lang w:val="zh-CN"/>
        </w:rPr>
        <w:t>财政局</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2.3</w:t>
      </w:r>
      <w:r>
        <w:rPr>
          <w:rFonts w:hint="eastAsia" w:ascii="宋体" w:hAnsi="宋体" w:cs="宋体"/>
          <w:color w:val="auto"/>
          <w:sz w:val="24"/>
          <w:szCs w:val="24"/>
          <w:lang w:val="zh-CN"/>
        </w:rPr>
        <w:t>、采购代理机构：</w:t>
      </w:r>
      <w:r>
        <w:rPr>
          <w:rFonts w:hint="eastAsia" w:ascii="宋体" w:hAnsi="宋体" w:cs="宋体"/>
          <w:color w:val="auto"/>
          <w:sz w:val="24"/>
          <w:szCs w:val="24"/>
        </w:rPr>
        <w:t>陕西盛仕骄阳项目管理有限公司</w:t>
      </w:r>
      <w:r>
        <w:rPr>
          <w:rFonts w:hint="eastAsia" w:ascii="宋体" w:hAnsi="宋体" w:cs="宋体"/>
          <w:color w:val="auto"/>
          <w:sz w:val="24"/>
          <w:szCs w:val="24"/>
          <w:lang w:val="zh-CN"/>
        </w:rPr>
        <w:t xml:space="preserve"> </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2.4</w:t>
      </w:r>
      <w:r>
        <w:rPr>
          <w:rFonts w:hint="eastAsia" w:ascii="宋体" w:hAnsi="宋体" w:cs="宋体"/>
          <w:color w:val="auto"/>
          <w:sz w:val="24"/>
          <w:szCs w:val="24"/>
          <w:lang w:val="zh-CN"/>
        </w:rPr>
        <w:t>、供应商：响应磋商并且符合竞争性磋商采购文件规定资格条件和参加磋商竞争的法人或其他组织或自然人。</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rPr>
      </w:pPr>
      <w:r>
        <w:rPr>
          <w:rFonts w:hint="eastAsia" w:ascii="宋体" w:hAnsi="宋体" w:cs="宋体"/>
          <w:color w:val="auto"/>
          <w:sz w:val="24"/>
          <w:szCs w:val="24"/>
        </w:rPr>
        <w:t>2.5、竞争性磋商文件：由采购人或采购代理机构发出的文本、文件，包括全部章节和附件及答疑会议纪要。</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rPr>
      </w:pPr>
      <w:r>
        <w:rPr>
          <w:rFonts w:hint="eastAsia" w:ascii="宋体" w:hAnsi="宋体" w:cs="宋体"/>
          <w:color w:val="auto"/>
          <w:sz w:val="24"/>
          <w:szCs w:val="24"/>
        </w:rPr>
        <w:t>2.6、磋商响应文件：磋商供应商根据本竞争性磋商文件向采购人提交的全部文件。</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rPr>
      </w:pPr>
      <w:r>
        <w:rPr>
          <w:rFonts w:hint="eastAsia" w:ascii="宋体" w:hAnsi="宋体" w:cs="宋体"/>
          <w:color w:val="auto"/>
          <w:sz w:val="24"/>
          <w:szCs w:val="24"/>
        </w:rPr>
        <w:t>2.7、书面形式：任何手写、打印或印刷的各种函件，包括电传、电报、电子邮件等。</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b/>
          <w:bCs/>
          <w:color w:val="auto"/>
          <w:sz w:val="24"/>
          <w:szCs w:val="24"/>
          <w:lang w:val="zh-CN"/>
        </w:rPr>
      </w:pPr>
      <w:r>
        <w:rPr>
          <w:rFonts w:hint="eastAsia" w:ascii="宋体" w:hAnsi="宋体" w:cs="宋体"/>
          <w:b/>
          <w:bCs/>
          <w:color w:val="auto"/>
          <w:sz w:val="24"/>
          <w:szCs w:val="24"/>
        </w:rPr>
        <w:t>3、</w:t>
      </w:r>
      <w:r>
        <w:rPr>
          <w:rFonts w:hint="eastAsia" w:ascii="宋体" w:hAnsi="宋体" w:cs="宋体"/>
          <w:b/>
          <w:bCs/>
          <w:color w:val="auto"/>
          <w:sz w:val="24"/>
          <w:szCs w:val="24"/>
          <w:lang w:val="zh-CN"/>
        </w:rPr>
        <w:t>磋商费用</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lang w:val="zh-CN"/>
        </w:rPr>
        <w:t>无论磋商结果如何，磋商供应商自行承担与参加磋商活动有关的全部费用。</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b/>
          <w:bCs/>
          <w:color w:val="auto"/>
          <w:sz w:val="24"/>
          <w:szCs w:val="24"/>
          <w:lang w:val="zh-CN"/>
        </w:rPr>
      </w:pPr>
      <w:r>
        <w:rPr>
          <w:rFonts w:hint="eastAsia" w:ascii="宋体" w:hAnsi="宋体" w:cs="宋体"/>
          <w:b/>
          <w:bCs/>
          <w:color w:val="auto"/>
          <w:sz w:val="24"/>
          <w:szCs w:val="24"/>
        </w:rPr>
        <w:t>4、</w:t>
      </w:r>
      <w:r>
        <w:rPr>
          <w:rFonts w:hint="eastAsia" w:ascii="宋体" w:hAnsi="宋体" w:cs="宋体"/>
          <w:b/>
          <w:bCs/>
          <w:color w:val="auto"/>
          <w:sz w:val="24"/>
          <w:szCs w:val="24"/>
          <w:lang w:val="zh-CN"/>
        </w:rPr>
        <w:t>合格的供应商</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4</w:t>
      </w:r>
      <w:r>
        <w:rPr>
          <w:rFonts w:hint="eastAsia" w:ascii="宋体" w:hAnsi="宋体" w:cs="宋体"/>
          <w:color w:val="auto"/>
          <w:sz w:val="24"/>
          <w:szCs w:val="24"/>
          <w:lang w:val="zh-CN"/>
        </w:rPr>
        <w:t>.1、《中华人民共和国政府采购法》第二十二条第一款规定的供应商基本资格条件:</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zh-CN"/>
        </w:rPr>
        <w:t>1）具有独立承担民事责任的能力；</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zh-CN"/>
        </w:rPr>
        <w:t>2）具有良好的商业信誉和健全的财务会计制度；</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zh-CN"/>
        </w:rPr>
        <w:t>3）具有履行合同所必需的设备和专业技术能力；</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zh-CN"/>
        </w:rPr>
        <w:t>4）有依法缴纳税收和社会保障资金的良好记录；</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zh-CN"/>
        </w:rPr>
        <w:t>5）参加政府采购活动前三年内，在经营活动中没有重大违法记录；</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zh-CN"/>
        </w:rPr>
        <w:t>6）法律、行政法规规定的其他条件。</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4</w:t>
      </w:r>
      <w:r>
        <w:rPr>
          <w:rFonts w:hint="eastAsia" w:ascii="宋体" w:hAnsi="宋体" w:cs="宋体"/>
          <w:color w:val="auto"/>
          <w:sz w:val="24"/>
          <w:szCs w:val="24"/>
          <w:lang w:val="zh-CN"/>
        </w:rPr>
        <w:t>.2、根据本次采购项目的要求，规定的供应商特殊条件（见供应商须知前附表）。</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4</w:t>
      </w:r>
      <w:r>
        <w:rPr>
          <w:rFonts w:hint="eastAsia" w:ascii="宋体" w:hAnsi="宋体" w:cs="宋体"/>
          <w:color w:val="auto"/>
          <w:sz w:val="24"/>
          <w:szCs w:val="24"/>
          <w:lang w:val="zh-CN"/>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否则均为无效磋商。</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4</w:t>
      </w:r>
      <w:r>
        <w:rPr>
          <w:rFonts w:hint="eastAsia" w:ascii="宋体" w:hAnsi="宋体" w:cs="宋体"/>
          <w:color w:val="auto"/>
          <w:sz w:val="24"/>
          <w:szCs w:val="24"/>
          <w:lang w:val="zh-CN"/>
        </w:rPr>
        <w:t>.4、供应商不得直接或间接地与采购人或采购代理机构有任何关联，亦不得是采购人或采购代理机构的附属机构。如果供应商在磋商中隐瞒了上述关系，一经证实，则该磋商无效。</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4</w:t>
      </w:r>
      <w:r>
        <w:rPr>
          <w:rFonts w:hint="eastAsia" w:ascii="宋体" w:hAnsi="宋体" w:cs="宋体"/>
          <w:color w:val="auto"/>
          <w:sz w:val="24"/>
          <w:szCs w:val="24"/>
          <w:lang w:val="zh-CN"/>
        </w:rPr>
        <w:t>.5、供应商必须在</w:t>
      </w:r>
      <w:r>
        <w:rPr>
          <w:rFonts w:hint="eastAsia" w:ascii="宋体" w:hAnsi="宋体" w:cs="宋体"/>
          <w:color w:val="auto"/>
          <w:sz w:val="24"/>
          <w:szCs w:val="24"/>
        </w:rPr>
        <w:t>陕西盛仕骄阳项目管理有限公司报名并领取</w:t>
      </w:r>
      <w:r>
        <w:rPr>
          <w:rFonts w:hint="eastAsia" w:ascii="宋体" w:hAnsi="宋体" w:cs="宋体"/>
          <w:color w:val="auto"/>
          <w:sz w:val="24"/>
          <w:szCs w:val="24"/>
          <w:lang w:val="zh-CN"/>
        </w:rPr>
        <w:t>竞争性磋商文件，方可参加磋商。</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4</w:t>
      </w:r>
      <w:r>
        <w:rPr>
          <w:rFonts w:hint="eastAsia" w:ascii="宋体" w:hAnsi="宋体" w:cs="宋体"/>
          <w:color w:val="auto"/>
          <w:sz w:val="24"/>
          <w:szCs w:val="24"/>
          <w:lang w:val="zh-CN"/>
        </w:rPr>
        <w:t>.6、联合体磋商：不接受联合体磋商。</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b/>
          <w:bCs/>
          <w:color w:val="auto"/>
          <w:sz w:val="24"/>
          <w:szCs w:val="24"/>
        </w:rPr>
      </w:pPr>
      <w:r>
        <w:rPr>
          <w:rFonts w:hint="eastAsia" w:ascii="宋体" w:hAnsi="宋体" w:cs="宋体"/>
          <w:b/>
          <w:bCs/>
          <w:color w:val="auto"/>
          <w:sz w:val="24"/>
          <w:szCs w:val="24"/>
        </w:rPr>
        <w:t>5、合格的货物（产品）和服务</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5.1、</w:t>
      </w:r>
      <w:r>
        <w:rPr>
          <w:rFonts w:hint="eastAsia" w:ascii="宋体" w:hAnsi="宋体" w:cs="宋体"/>
          <w:color w:val="auto"/>
          <w:sz w:val="24"/>
          <w:szCs w:val="24"/>
          <w:lang w:val="zh-CN"/>
        </w:rPr>
        <w:t>供应商提供的所有货物和服务，必须是合法生产、合法来源，符合国家有关标准要求，并满足竞争性磋商文件规定的规格、参数、质量、价格、有效期、售后服务及供应商须承担的运输、安装、技术支持、培训和竞争性磋商文件规定的其它伴随服务等要求。</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5.2、</w:t>
      </w:r>
      <w:r>
        <w:rPr>
          <w:rFonts w:hint="eastAsia" w:ascii="宋体" w:hAnsi="宋体" w:cs="宋体"/>
          <w:color w:val="auto"/>
          <w:sz w:val="24"/>
          <w:szCs w:val="24"/>
          <w:lang w:val="zh-CN"/>
        </w:rPr>
        <w:t>采购人有权拒绝接受任何不合格的产品和服务，由此产生的费用及相关后果均由供应商自行承担。</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b/>
          <w:bCs/>
          <w:color w:val="auto"/>
          <w:sz w:val="24"/>
          <w:szCs w:val="24"/>
        </w:rPr>
      </w:pPr>
      <w:r>
        <w:rPr>
          <w:rFonts w:hint="eastAsia" w:ascii="宋体" w:hAnsi="宋体" w:cs="宋体"/>
          <w:b/>
          <w:bCs/>
          <w:color w:val="auto"/>
          <w:sz w:val="24"/>
          <w:szCs w:val="24"/>
        </w:rPr>
        <w:t>6、竞争性磋商响应文件内容的真实性</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rPr>
      </w:pPr>
      <w:r>
        <w:rPr>
          <w:rFonts w:hint="eastAsia" w:ascii="宋体" w:hAnsi="宋体" w:cs="宋体"/>
          <w:color w:val="auto"/>
          <w:sz w:val="24"/>
          <w:szCs w:val="24"/>
        </w:rPr>
        <w:t>6.1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pPr>
        <w:keepLines w:val="0"/>
        <w:pageBreakBefore w:val="0"/>
        <w:widowControl w:val="0"/>
        <w:kinsoku/>
        <w:wordWrap/>
        <w:overflowPunct/>
        <w:topLinePunct w:val="0"/>
        <w:autoSpaceDE w:val="0"/>
        <w:autoSpaceDN w:val="0"/>
        <w:bidi w:val="0"/>
        <w:adjustRightInd w:val="0"/>
        <w:spacing w:line="420" w:lineRule="exact"/>
        <w:ind w:firstLine="573"/>
        <w:jc w:val="center"/>
        <w:textAlignment w:val="auto"/>
        <w:rPr>
          <w:rFonts w:ascii="宋体" w:hAnsi="宋体" w:cs="宋体"/>
          <w:b/>
          <w:color w:val="auto"/>
          <w:sz w:val="28"/>
          <w:szCs w:val="28"/>
          <w:lang w:val="zh-CN"/>
        </w:rPr>
      </w:pPr>
      <w:r>
        <w:rPr>
          <w:rFonts w:hint="eastAsia" w:ascii="宋体" w:hAnsi="宋体" w:cs="宋体"/>
          <w:b/>
          <w:color w:val="auto"/>
          <w:sz w:val="28"/>
          <w:szCs w:val="28"/>
        </w:rPr>
        <w:t>B</w:t>
      </w:r>
      <w:r>
        <w:rPr>
          <w:rFonts w:hint="eastAsia" w:ascii="宋体" w:hAnsi="宋体" w:cs="宋体"/>
          <w:b/>
          <w:color w:val="auto"/>
          <w:sz w:val="28"/>
          <w:szCs w:val="28"/>
          <w:lang w:val="zh-CN"/>
        </w:rPr>
        <w:t>、竞争性磋商文件</w:t>
      </w:r>
    </w:p>
    <w:p>
      <w:pPr>
        <w:pStyle w:val="24"/>
        <w:keepLines w:val="0"/>
        <w:pageBreakBefore w:val="0"/>
        <w:widowControl w:val="0"/>
        <w:kinsoku/>
        <w:wordWrap/>
        <w:overflowPunct/>
        <w:topLinePunct w:val="0"/>
        <w:bidi w:val="0"/>
        <w:spacing w:line="420" w:lineRule="exact"/>
        <w:textAlignment w:val="auto"/>
        <w:rPr>
          <w:rFonts w:ascii="宋体" w:hAnsi="宋体" w:cs="宋体"/>
          <w:color w:val="auto"/>
          <w:lang w:val="zh-CN"/>
        </w:rPr>
      </w:pPr>
    </w:p>
    <w:p>
      <w:pPr>
        <w:keepLines w:val="0"/>
        <w:pageBreakBefore w:val="0"/>
        <w:widowControl w:val="0"/>
        <w:kinsoku/>
        <w:wordWrap/>
        <w:overflowPunct/>
        <w:topLinePunct w:val="0"/>
        <w:bidi w:val="0"/>
        <w:snapToGrid w:val="0"/>
        <w:spacing w:line="420" w:lineRule="exact"/>
        <w:ind w:firstLine="482" w:firstLineChars="200"/>
        <w:textAlignment w:val="auto"/>
        <w:rPr>
          <w:rFonts w:ascii="宋体" w:hAnsi="宋体" w:cs="宋体"/>
          <w:b/>
          <w:bCs/>
          <w:color w:val="auto"/>
          <w:sz w:val="24"/>
          <w:szCs w:val="24"/>
        </w:rPr>
      </w:pPr>
      <w:r>
        <w:rPr>
          <w:rFonts w:hint="eastAsia" w:ascii="宋体" w:hAnsi="宋体" w:cs="宋体"/>
          <w:b/>
          <w:bCs/>
          <w:color w:val="auto"/>
          <w:sz w:val="24"/>
          <w:szCs w:val="24"/>
        </w:rPr>
        <w:t>7、磋商文件的构成</w:t>
      </w:r>
    </w:p>
    <w:p>
      <w:pPr>
        <w:keepLines w:val="0"/>
        <w:pageBreakBefore w:val="0"/>
        <w:widowControl w:val="0"/>
        <w:kinsoku/>
        <w:wordWrap/>
        <w:overflowPunct/>
        <w:topLinePunct w:val="0"/>
        <w:bidi w:val="0"/>
        <w:snapToGrid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7.1、磋商文件组成：磋商采购文件是根据本项目的特点和需求编制，包括以下内容：</w:t>
      </w:r>
    </w:p>
    <w:p>
      <w:pPr>
        <w:keepLines w:val="0"/>
        <w:pageBreakBefore w:val="0"/>
        <w:widowControl w:val="0"/>
        <w:kinsoku/>
        <w:wordWrap/>
        <w:overflowPunct/>
        <w:topLinePunct w:val="0"/>
        <w:bidi w:val="0"/>
        <w:snapToGrid w:val="0"/>
        <w:spacing w:line="42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第一章 竞争性磋商公告</w:t>
      </w:r>
    </w:p>
    <w:p>
      <w:pPr>
        <w:keepLines w:val="0"/>
        <w:pageBreakBefore w:val="0"/>
        <w:widowControl w:val="0"/>
        <w:kinsoku/>
        <w:wordWrap/>
        <w:overflowPunct/>
        <w:topLinePunct w:val="0"/>
        <w:bidi w:val="0"/>
        <w:snapToGrid w:val="0"/>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第二章 竞争性磋商须知</w:t>
      </w:r>
    </w:p>
    <w:p>
      <w:pPr>
        <w:keepLines w:val="0"/>
        <w:pageBreakBefore w:val="0"/>
        <w:widowControl w:val="0"/>
        <w:kinsoku/>
        <w:wordWrap/>
        <w:overflowPunct/>
        <w:topLinePunct w:val="0"/>
        <w:bidi w:val="0"/>
        <w:snapToGrid w:val="0"/>
        <w:spacing w:line="42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 xml:space="preserve">第三章 </w:t>
      </w:r>
      <w:r>
        <w:rPr>
          <w:rFonts w:hint="eastAsia" w:ascii="宋体" w:hAnsi="宋体" w:eastAsia="宋体" w:cs="宋体"/>
          <w:color w:val="auto"/>
          <w:sz w:val="24"/>
          <w:szCs w:val="24"/>
          <w:lang w:val="zh-CN" w:eastAsia="zh-CN"/>
        </w:rPr>
        <w:t>供应商须知</w:t>
      </w:r>
    </w:p>
    <w:p>
      <w:pPr>
        <w:keepLines w:val="0"/>
        <w:pageBreakBefore w:val="0"/>
        <w:widowControl w:val="0"/>
        <w:kinsoku/>
        <w:wordWrap/>
        <w:overflowPunct/>
        <w:topLinePunct w:val="0"/>
        <w:bidi w:val="0"/>
        <w:snapToGrid w:val="0"/>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第四章 评审办法</w:t>
      </w:r>
    </w:p>
    <w:p>
      <w:pPr>
        <w:keepLines w:val="0"/>
        <w:pageBreakBefore w:val="0"/>
        <w:widowControl w:val="0"/>
        <w:kinsoku/>
        <w:wordWrap/>
        <w:overflowPunct/>
        <w:topLinePunct w:val="0"/>
        <w:bidi w:val="0"/>
        <w:snapToGrid w:val="0"/>
        <w:spacing w:line="42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第</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val="zh-CN" w:eastAsia="zh-CN"/>
        </w:rPr>
        <w:t>章</w:t>
      </w:r>
      <w:r>
        <w:rPr>
          <w:rFonts w:hint="eastAsia" w:ascii="宋体" w:hAnsi="宋体" w:eastAsia="宋体" w:cs="宋体"/>
          <w:color w:val="auto"/>
          <w:sz w:val="24"/>
          <w:szCs w:val="24"/>
          <w:lang w:val="en-US" w:eastAsia="zh-CN"/>
        </w:rPr>
        <w:t xml:space="preserve"> 工程量清单</w:t>
      </w:r>
    </w:p>
    <w:p>
      <w:pPr>
        <w:keepLines w:val="0"/>
        <w:pageBreakBefore w:val="0"/>
        <w:widowControl w:val="0"/>
        <w:kinsoku/>
        <w:wordWrap/>
        <w:overflowPunct/>
        <w:topLinePunct w:val="0"/>
        <w:bidi w:val="0"/>
        <w:snapToGrid w:val="0"/>
        <w:spacing w:line="42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第</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val="zh-CN" w:eastAsia="zh-CN"/>
        </w:rPr>
        <w:t>章 技术标准及要求</w:t>
      </w:r>
    </w:p>
    <w:p>
      <w:pPr>
        <w:keepLines w:val="0"/>
        <w:pageBreakBefore w:val="0"/>
        <w:widowControl w:val="0"/>
        <w:kinsoku/>
        <w:wordWrap/>
        <w:overflowPunct/>
        <w:topLinePunct w:val="0"/>
        <w:bidi w:val="0"/>
        <w:snapToGrid w:val="0"/>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第</w:t>
      </w: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lang w:val="zh-CN" w:eastAsia="zh-CN"/>
        </w:rPr>
        <w:t>章 合同协议书</w:t>
      </w:r>
    </w:p>
    <w:p>
      <w:pPr>
        <w:keepLines w:val="0"/>
        <w:pageBreakBefore w:val="0"/>
        <w:widowControl w:val="0"/>
        <w:kinsoku/>
        <w:wordWrap/>
        <w:overflowPunct/>
        <w:topLinePunct w:val="0"/>
        <w:bidi w:val="0"/>
        <w:snapToGrid w:val="0"/>
        <w:spacing w:line="42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第</w:t>
      </w: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lang w:val="zh-CN" w:eastAsia="zh-CN"/>
        </w:rPr>
        <w:t>章 响应文件格式</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rPr>
        <w:t>7.</w:t>
      </w:r>
      <w:r>
        <w:rPr>
          <w:rFonts w:hint="eastAsia" w:ascii="宋体" w:hAnsi="宋体" w:cs="宋体"/>
          <w:color w:val="auto"/>
          <w:sz w:val="24"/>
          <w:szCs w:val="24"/>
          <w:lang w:val="zh-CN"/>
        </w:rPr>
        <w:t>2、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pPr>
        <w:keepLines w:val="0"/>
        <w:pageBreakBefore w:val="0"/>
        <w:widowControl w:val="0"/>
        <w:kinsoku/>
        <w:wordWrap/>
        <w:overflowPunct/>
        <w:topLinePunct w:val="0"/>
        <w:autoSpaceDE w:val="0"/>
        <w:autoSpaceDN w:val="0"/>
        <w:bidi w:val="0"/>
        <w:adjustRightInd w:val="0"/>
        <w:spacing w:line="420" w:lineRule="exact"/>
        <w:ind w:firstLine="482" w:firstLineChars="200"/>
        <w:textAlignment w:val="auto"/>
        <w:rPr>
          <w:rFonts w:ascii="宋体" w:hAnsi="宋体" w:cs="宋体"/>
          <w:b/>
          <w:bCs/>
          <w:color w:val="auto"/>
          <w:sz w:val="24"/>
          <w:szCs w:val="24"/>
          <w:lang w:val="zh-CN"/>
        </w:rPr>
      </w:pPr>
      <w:r>
        <w:rPr>
          <w:rFonts w:hint="eastAsia" w:ascii="宋体" w:hAnsi="宋体" w:cs="宋体"/>
          <w:b/>
          <w:bCs/>
          <w:color w:val="auto"/>
          <w:sz w:val="24"/>
          <w:szCs w:val="24"/>
        </w:rPr>
        <w:t>8</w:t>
      </w:r>
      <w:r>
        <w:rPr>
          <w:rFonts w:hint="eastAsia" w:ascii="宋体" w:hAnsi="宋体" w:cs="宋体"/>
          <w:b/>
          <w:bCs/>
          <w:color w:val="auto"/>
          <w:sz w:val="24"/>
          <w:szCs w:val="24"/>
          <w:lang w:val="zh-CN"/>
        </w:rPr>
        <w:t>、磋商文件的澄清或修改</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bCs/>
          <w:color w:val="auto"/>
          <w:sz w:val="24"/>
          <w:szCs w:val="24"/>
          <w:lang w:val="zh-CN"/>
        </w:rPr>
      </w:pPr>
      <w:r>
        <w:rPr>
          <w:rFonts w:hint="eastAsia" w:ascii="宋体" w:hAnsi="宋体" w:cs="宋体"/>
          <w:bCs/>
          <w:color w:val="auto"/>
          <w:sz w:val="24"/>
          <w:szCs w:val="24"/>
        </w:rPr>
        <w:t>8</w:t>
      </w:r>
      <w:r>
        <w:rPr>
          <w:rFonts w:hint="eastAsia" w:ascii="宋体" w:hAnsi="宋体" w:cs="宋体"/>
          <w:bCs/>
          <w:color w:val="auto"/>
          <w:sz w:val="24"/>
          <w:szCs w:val="24"/>
          <w:lang w:val="zh-CN"/>
        </w:rPr>
        <w:t>.1、在磋商响应文件截止时间3日前，采购代理机构可以视采购具体情况，延长竞争性磋商响应文件递交截止时间和磋商时间并在财政部门指定的媒体上发布变更公告，同时将变更时间书面通知所有获取竞争性磋商文件的供应商。</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bCs/>
          <w:color w:val="auto"/>
          <w:sz w:val="24"/>
          <w:szCs w:val="24"/>
          <w:lang w:val="zh-CN"/>
        </w:rPr>
      </w:pPr>
      <w:r>
        <w:rPr>
          <w:rFonts w:hint="eastAsia" w:ascii="宋体" w:hAnsi="宋体" w:cs="宋体"/>
          <w:bCs/>
          <w:color w:val="auto"/>
          <w:sz w:val="24"/>
          <w:szCs w:val="24"/>
        </w:rPr>
        <w:t>8</w:t>
      </w:r>
      <w:r>
        <w:rPr>
          <w:rFonts w:hint="eastAsia" w:ascii="宋体" w:hAnsi="宋体" w:cs="宋体"/>
          <w:bCs/>
          <w:color w:val="auto"/>
          <w:sz w:val="24"/>
          <w:szCs w:val="24"/>
          <w:lang w:val="zh-CN"/>
        </w:rPr>
        <w:t>.2、提交响应文件截止之间前，采购人或采购代理机构有权对已发出的磋商文件进行必要的澄清或修改，澄清或修改的内容作为磋商文件的组成部分。澄清或修改的内容可能影响响应文件编制的，采购代理机构应在提交响应文件截止时间至少5日前，以书面形式通知所有获得磋商文件的供应商；不足5日的，采购代理机构应当顺延提交响应文件截止时间。</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bCs/>
          <w:color w:val="auto"/>
          <w:sz w:val="24"/>
          <w:szCs w:val="24"/>
          <w:lang w:val="zh-CN"/>
        </w:rPr>
      </w:pPr>
      <w:r>
        <w:rPr>
          <w:rFonts w:hint="eastAsia" w:ascii="宋体" w:hAnsi="宋体" w:cs="宋体"/>
          <w:bCs/>
          <w:color w:val="auto"/>
          <w:sz w:val="24"/>
          <w:szCs w:val="24"/>
        </w:rPr>
        <w:t>8</w:t>
      </w:r>
      <w:r>
        <w:rPr>
          <w:rFonts w:hint="eastAsia" w:ascii="宋体" w:hAnsi="宋体" w:cs="宋体"/>
          <w:bCs/>
          <w:color w:val="auto"/>
          <w:sz w:val="24"/>
          <w:szCs w:val="24"/>
          <w:lang w:val="zh-CN"/>
        </w:rPr>
        <w:t>.</w:t>
      </w:r>
      <w:r>
        <w:rPr>
          <w:rFonts w:hint="eastAsia" w:ascii="宋体" w:hAnsi="宋体" w:cs="宋体"/>
          <w:bCs/>
          <w:color w:val="auto"/>
          <w:sz w:val="24"/>
          <w:szCs w:val="24"/>
        </w:rPr>
        <w:t>3</w:t>
      </w:r>
      <w:r>
        <w:rPr>
          <w:rFonts w:hint="eastAsia" w:ascii="宋体" w:hAnsi="宋体" w:cs="宋体"/>
          <w:bCs/>
          <w:color w:val="auto"/>
          <w:sz w:val="24"/>
          <w:szCs w:val="24"/>
          <w:lang w:val="zh-CN"/>
        </w:rPr>
        <w:t>、任何要求对磋商文件进行澄清的磋商供应商，均应在响应文件递交截止时间3天前，以书面形式通知采购代理机构,由代理机构汇总后统一进行答复，并以书面形式通知所有参与竞争性磋商的供应商。磋商供应商收到后澄清或修改文件后24小时内，以书面形式确认收到该文件。</w:t>
      </w:r>
    </w:p>
    <w:p>
      <w:pPr>
        <w:keepLines w:val="0"/>
        <w:pageBreakBefore w:val="0"/>
        <w:widowControl w:val="0"/>
        <w:kinsoku/>
        <w:wordWrap/>
        <w:overflowPunct/>
        <w:topLinePunct w:val="0"/>
        <w:bidi w:val="0"/>
        <w:spacing w:line="420" w:lineRule="exact"/>
        <w:ind w:left="-105" w:leftChars="-50" w:firstLine="480" w:firstLineChars="200"/>
        <w:textAlignment w:val="auto"/>
        <w:rPr>
          <w:rFonts w:ascii="宋体" w:hAnsi="宋体" w:cs="宋体"/>
          <w:color w:val="auto"/>
          <w:sz w:val="24"/>
          <w:szCs w:val="24"/>
        </w:rPr>
      </w:pPr>
      <w:r>
        <w:rPr>
          <w:rFonts w:hint="eastAsia" w:ascii="宋体" w:hAnsi="宋体" w:cs="宋体"/>
          <w:color w:val="auto"/>
          <w:sz w:val="24"/>
          <w:szCs w:val="24"/>
        </w:rPr>
        <w:t>8.4、竞争性磋商文件的澄清或修改内容均以书面形式明确的内容为准。当竞争性磋商文件的澄清、修改、补充等在同一内容的表述上不一致时，以最后发出的书面文件为准。所有补充文件将作为竞争性磋商文件的组成部分，对所有供应商具有约束力。</w:t>
      </w:r>
    </w:p>
    <w:p>
      <w:pPr>
        <w:keepLines w:val="0"/>
        <w:pageBreakBefore w:val="0"/>
        <w:widowControl w:val="0"/>
        <w:kinsoku/>
        <w:wordWrap/>
        <w:overflowPunct/>
        <w:topLinePunct w:val="0"/>
        <w:bidi w:val="0"/>
        <w:spacing w:line="420" w:lineRule="exact"/>
        <w:ind w:left="-105" w:leftChars="-50" w:firstLine="480" w:firstLineChars="200"/>
        <w:textAlignment w:val="auto"/>
        <w:rPr>
          <w:rFonts w:ascii="宋体" w:hAnsi="宋体" w:cs="宋体"/>
          <w:bCs/>
          <w:color w:val="auto"/>
          <w:sz w:val="24"/>
          <w:szCs w:val="24"/>
        </w:rPr>
      </w:pPr>
      <w:r>
        <w:rPr>
          <w:rFonts w:hint="eastAsia" w:ascii="宋体" w:hAnsi="宋体" w:cs="宋体"/>
          <w:color w:val="auto"/>
          <w:sz w:val="24"/>
          <w:szCs w:val="24"/>
        </w:rPr>
        <w:t>8.5、供应商若对磋商文件有任何疑问，可以以书面形式向采购代理机构提出询问。否则，视为同意磋商文件的一切条款和要求并承担由此引起的一切法律责任。凡因供应商对磋商文件阅读不深、理解不透、误解、疏漏、或因市场行情了解不清造成的后果和风险均由供应商自负。</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bCs/>
          <w:color w:val="auto"/>
          <w:sz w:val="24"/>
          <w:szCs w:val="24"/>
          <w:lang w:val="zh-CN"/>
        </w:rPr>
      </w:pPr>
      <w:r>
        <w:rPr>
          <w:rFonts w:hint="eastAsia" w:ascii="宋体" w:hAnsi="宋体" w:cs="宋体"/>
          <w:bCs/>
          <w:color w:val="auto"/>
          <w:sz w:val="24"/>
          <w:szCs w:val="24"/>
        </w:rPr>
        <w:t>8</w:t>
      </w:r>
      <w:r>
        <w:rPr>
          <w:rFonts w:hint="eastAsia" w:ascii="宋体" w:hAnsi="宋体" w:cs="宋体"/>
          <w:bCs/>
          <w:color w:val="auto"/>
          <w:sz w:val="24"/>
          <w:szCs w:val="24"/>
          <w:lang w:val="zh-CN"/>
        </w:rPr>
        <w:t>.</w:t>
      </w:r>
      <w:r>
        <w:rPr>
          <w:rFonts w:hint="eastAsia" w:ascii="宋体" w:hAnsi="宋体" w:cs="宋体"/>
          <w:bCs/>
          <w:color w:val="auto"/>
          <w:sz w:val="24"/>
          <w:szCs w:val="24"/>
        </w:rPr>
        <w:t>6</w:t>
      </w:r>
      <w:r>
        <w:rPr>
          <w:rFonts w:hint="eastAsia" w:ascii="宋体" w:hAnsi="宋体" w:cs="宋体"/>
          <w:bCs/>
          <w:color w:val="auto"/>
          <w:sz w:val="24"/>
          <w:szCs w:val="24"/>
          <w:lang w:val="zh-CN"/>
        </w:rPr>
        <w:t>、竞争性磋商文件的解释权归采购代理机构所有。如发现竞争性磋商文件内容中与现行的法律法规不相符合的情况，以现行的法律法规为准；竞争性磋商文件中某个或多个条款依我国法律、法规被认定为非法、无效或不可执行的,该无效条款的无效、失效和不可执行,不影响亦不损害其他条款的有效性、生效性和可执行性。</w:t>
      </w:r>
    </w:p>
    <w:p>
      <w:pPr>
        <w:keepLines w:val="0"/>
        <w:pageBreakBefore w:val="0"/>
        <w:widowControl w:val="0"/>
        <w:kinsoku/>
        <w:wordWrap/>
        <w:overflowPunct/>
        <w:topLinePunct w:val="0"/>
        <w:autoSpaceDE w:val="0"/>
        <w:autoSpaceDN w:val="0"/>
        <w:bidi w:val="0"/>
        <w:adjustRightInd w:val="0"/>
        <w:spacing w:line="420" w:lineRule="exact"/>
        <w:ind w:firstLine="482" w:firstLineChars="200"/>
        <w:textAlignment w:val="auto"/>
        <w:rPr>
          <w:rFonts w:ascii="宋体" w:hAnsi="宋体" w:cs="宋体"/>
          <w:b/>
          <w:color w:val="auto"/>
          <w:sz w:val="24"/>
          <w:szCs w:val="24"/>
          <w:lang w:val="zh-CN"/>
        </w:rPr>
      </w:pPr>
      <w:r>
        <w:rPr>
          <w:rFonts w:hint="eastAsia" w:ascii="宋体" w:hAnsi="宋体" w:cs="宋体"/>
          <w:b/>
          <w:color w:val="auto"/>
          <w:sz w:val="24"/>
          <w:szCs w:val="24"/>
        </w:rPr>
        <w:t>9、</w:t>
      </w:r>
      <w:r>
        <w:rPr>
          <w:rFonts w:hint="eastAsia" w:ascii="宋体" w:hAnsi="宋体" w:cs="宋体"/>
          <w:b/>
          <w:color w:val="auto"/>
          <w:sz w:val="24"/>
          <w:szCs w:val="24"/>
          <w:lang w:val="zh-CN"/>
        </w:rPr>
        <w:t>备选磋商方案</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lang w:val="zh-CN"/>
        </w:rPr>
      </w:pPr>
      <w:r>
        <w:rPr>
          <w:rFonts w:hint="eastAsia" w:ascii="宋体" w:hAnsi="宋体" w:cs="宋体"/>
          <w:bCs/>
          <w:color w:val="auto"/>
          <w:sz w:val="24"/>
          <w:szCs w:val="24"/>
          <w:lang w:val="zh-CN"/>
        </w:rPr>
        <w:t>本项目不得提供备选方案。</w:t>
      </w:r>
    </w:p>
    <w:p>
      <w:pPr>
        <w:keepLines w:val="0"/>
        <w:pageBreakBefore w:val="0"/>
        <w:widowControl w:val="0"/>
        <w:numPr>
          <w:ilvl w:val="0"/>
          <w:numId w:val="4"/>
        </w:numPr>
        <w:kinsoku/>
        <w:wordWrap/>
        <w:overflowPunct/>
        <w:topLinePunct w:val="0"/>
        <w:autoSpaceDE w:val="0"/>
        <w:autoSpaceDN w:val="0"/>
        <w:bidi w:val="0"/>
        <w:adjustRightInd w:val="0"/>
        <w:spacing w:line="420" w:lineRule="exact"/>
        <w:ind w:firstLine="573"/>
        <w:jc w:val="center"/>
        <w:textAlignment w:val="auto"/>
        <w:rPr>
          <w:rFonts w:ascii="宋体" w:hAnsi="宋体" w:cs="宋体"/>
          <w:b/>
          <w:color w:val="auto"/>
          <w:sz w:val="28"/>
          <w:szCs w:val="28"/>
          <w:lang w:val="zh-CN"/>
        </w:rPr>
      </w:pPr>
      <w:r>
        <w:rPr>
          <w:rFonts w:hint="eastAsia" w:ascii="宋体" w:hAnsi="宋体" w:cs="宋体"/>
          <w:b/>
          <w:color w:val="auto"/>
          <w:sz w:val="28"/>
          <w:szCs w:val="28"/>
          <w:lang w:val="zh-CN"/>
        </w:rPr>
        <w:t>竞争性磋商</w:t>
      </w:r>
      <w:r>
        <w:rPr>
          <w:rFonts w:hint="eastAsia" w:ascii="宋体" w:hAnsi="宋体" w:cs="宋体"/>
          <w:b/>
          <w:color w:val="auto"/>
          <w:sz w:val="28"/>
          <w:szCs w:val="28"/>
        </w:rPr>
        <w:t>响应</w:t>
      </w:r>
      <w:r>
        <w:rPr>
          <w:rFonts w:hint="eastAsia" w:ascii="宋体" w:hAnsi="宋体" w:cs="宋体"/>
          <w:b/>
          <w:color w:val="auto"/>
          <w:sz w:val="28"/>
          <w:szCs w:val="28"/>
          <w:lang w:val="zh-CN"/>
        </w:rPr>
        <w:t>文件</w:t>
      </w:r>
    </w:p>
    <w:p>
      <w:pPr>
        <w:keepLines w:val="0"/>
        <w:pageBreakBefore w:val="0"/>
        <w:widowControl w:val="0"/>
        <w:kinsoku/>
        <w:wordWrap/>
        <w:overflowPunct/>
        <w:topLinePunct w:val="0"/>
        <w:autoSpaceDE w:val="0"/>
        <w:autoSpaceDN w:val="0"/>
        <w:bidi w:val="0"/>
        <w:adjustRightInd w:val="0"/>
        <w:spacing w:line="420" w:lineRule="exact"/>
        <w:ind w:firstLine="570"/>
        <w:textAlignment w:val="auto"/>
        <w:rPr>
          <w:rFonts w:ascii="宋体" w:hAnsi="宋体" w:cs="宋体"/>
          <w:b/>
          <w:color w:val="auto"/>
          <w:sz w:val="24"/>
          <w:szCs w:val="24"/>
        </w:rPr>
      </w:pPr>
      <w:r>
        <w:rPr>
          <w:rFonts w:hint="eastAsia" w:ascii="宋体" w:hAnsi="宋体" w:cs="宋体"/>
          <w:b/>
          <w:color w:val="auto"/>
          <w:sz w:val="24"/>
          <w:szCs w:val="24"/>
        </w:rPr>
        <w:t>10、</w:t>
      </w:r>
      <w:r>
        <w:rPr>
          <w:rFonts w:hint="eastAsia" w:ascii="宋体" w:hAnsi="宋体" w:cs="宋体"/>
          <w:b/>
          <w:color w:val="auto"/>
          <w:sz w:val="24"/>
          <w:szCs w:val="24"/>
          <w:lang w:val="zh-CN"/>
        </w:rPr>
        <w:t>磋商</w:t>
      </w:r>
      <w:r>
        <w:rPr>
          <w:rFonts w:hint="eastAsia" w:ascii="宋体" w:hAnsi="宋体" w:cs="宋体"/>
          <w:b/>
          <w:color w:val="auto"/>
          <w:sz w:val="24"/>
          <w:szCs w:val="24"/>
        </w:rPr>
        <w:t>响应文件编制的原则</w:t>
      </w:r>
    </w:p>
    <w:p>
      <w:pPr>
        <w:keepLines w:val="0"/>
        <w:pageBreakBefore w:val="0"/>
        <w:widowControl w:val="0"/>
        <w:kinsoku/>
        <w:wordWrap/>
        <w:overflowPunct/>
        <w:topLinePunct w:val="0"/>
        <w:autoSpaceDE w:val="0"/>
        <w:autoSpaceDN w:val="0"/>
        <w:bidi w:val="0"/>
        <w:adjustRightInd w:val="0"/>
        <w:spacing w:line="420" w:lineRule="exact"/>
        <w:ind w:firstLine="570"/>
        <w:textAlignment w:val="auto"/>
        <w:rPr>
          <w:rFonts w:ascii="宋体" w:hAnsi="宋体" w:cs="宋体"/>
          <w:bCs/>
          <w:color w:val="auto"/>
          <w:sz w:val="24"/>
          <w:szCs w:val="24"/>
          <w:lang w:val="zh-CN"/>
        </w:rPr>
      </w:pPr>
      <w:r>
        <w:rPr>
          <w:rFonts w:hint="eastAsia" w:ascii="宋体" w:hAnsi="宋体" w:cs="宋体"/>
          <w:bCs/>
          <w:color w:val="auto"/>
          <w:sz w:val="24"/>
          <w:szCs w:val="24"/>
        </w:rPr>
        <w:t>10.1、供应商应在认真阅读磋商文件所有内容的基础上，按照磋商文件的要求编制完整的响应文件。</w:t>
      </w:r>
      <w:r>
        <w:rPr>
          <w:rFonts w:hint="eastAsia" w:ascii="宋体" w:hAnsi="宋体" w:cs="宋体"/>
          <w:bCs/>
          <w:color w:val="auto"/>
          <w:sz w:val="24"/>
          <w:szCs w:val="24"/>
          <w:lang w:val="zh-CN"/>
        </w:rPr>
        <w:t>磋商响应文件参考给定格式编制，对磋商文件要求做出实质性响应。磋商供应商可根据情况自行扩展，但不得随意删减格式要求内容。</w:t>
      </w:r>
    </w:p>
    <w:p>
      <w:pPr>
        <w:keepLines w:val="0"/>
        <w:pageBreakBefore w:val="0"/>
        <w:widowControl w:val="0"/>
        <w:kinsoku/>
        <w:wordWrap/>
        <w:overflowPunct/>
        <w:topLinePunct w:val="0"/>
        <w:autoSpaceDE w:val="0"/>
        <w:autoSpaceDN w:val="0"/>
        <w:bidi w:val="0"/>
        <w:adjustRightInd w:val="0"/>
        <w:spacing w:line="420" w:lineRule="exact"/>
        <w:ind w:firstLine="570"/>
        <w:textAlignment w:val="auto"/>
        <w:rPr>
          <w:rFonts w:ascii="宋体" w:hAnsi="宋体" w:cs="宋体"/>
          <w:bCs/>
          <w:color w:val="auto"/>
          <w:sz w:val="24"/>
          <w:szCs w:val="24"/>
        </w:rPr>
      </w:pPr>
      <w:r>
        <w:rPr>
          <w:rFonts w:hint="eastAsia" w:ascii="宋体" w:hAnsi="宋体" w:cs="宋体"/>
          <w:bCs/>
          <w:color w:val="auto"/>
          <w:sz w:val="24"/>
          <w:szCs w:val="24"/>
        </w:rPr>
        <w:t>10.2、供应商必须保证响应文件所提供的全部资料真实可靠，并接受对其中任何资料进一步审查的要求。</w:t>
      </w:r>
    </w:p>
    <w:p>
      <w:pPr>
        <w:keepLines w:val="0"/>
        <w:pageBreakBefore w:val="0"/>
        <w:widowControl w:val="0"/>
        <w:kinsoku/>
        <w:wordWrap/>
        <w:overflowPunct/>
        <w:topLinePunct w:val="0"/>
        <w:autoSpaceDE w:val="0"/>
        <w:autoSpaceDN w:val="0"/>
        <w:bidi w:val="0"/>
        <w:adjustRightInd w:val="0"/>
        <w:spacing w:line="420" w:lineRule="exact"/>
        <w:ind w:firstLine="570"/>
        <w:textAlignment w:val="auto"/>
        <w:rPr>
          <w:rFonts w:ascii="宋体" w:hAnsi="宋体" w:cs="宋体"/>
          <w:bCs/>
          <w:color w:val="auto"/>
          <w:sz w:val="24"/>
          <w:szCs w:val="24"/>
        </w:rPr>
      </w:pPr>
      <w:r>
        <w:rPr>
          <w:rFonts w:hint="eastAsia" w:ascii="宋体" w:hAnsi="宋体" w:cs="宋体"/>
          <w:bCs/>
          <w:color w:val="auto"/>
          <w:sz w:val="24"/>
          <w:szCs w:val="24"/>
        </w:rPr>
        <w:t>10.3、响应文件须对磋商文件中的内容做出实质性和完整的响应，否则其投标将被拒绝。</w:t>
      </w:r>
    </w:p>
    <w:p>
      <w:pPr>
        <w:keepLines w:val="0"/>
        <w:pageBreakBefore w:val="0"/>
        <w:widowControl w:val="0"/>
        <w:kinsoku/>
        <w:wordWrap/>
        <w:overflowPunct/>
        <w:topLinePunct w:val="0"/>
        <w:autoSpaceDE w:val="0"/>
        <w:autoSpaceDN w:val="0"/>
        <w:bidi w:val="0"/>
        <w:adjustRightInd w:val="0"/>
        <w:spacing w:line="420" w:lineRule="exact"/>
        <w:ind w:firstLine="570"/>
        <w:textAlignment w:val="auto"/>
        <w:rPr>
          <w:rFonts w:ascii="宋体" w:hAnsi="宋体" w:cs="宋体"/>
          <w:b/>
          <w:color w:val="auto"/>
          <w:sz w:val="24"/>
          <w:szCs w:val="24"/>
          <w:lang w:val="zh-CN"/>
        </w:rPr>
      </w:pPr>
      <w:r>
        <w:rPr>
          <w:rFonts w:hint="eastAsia" w:ascii="宋体" w:hAnsi="宋体" w:cs="宋体"/>
          <w:b/>
          <w:color w:val="auto"/>
          <w:sz w:val="24"/>
          <w:szCs w:val="24"/>
        </w:rPr>
        <w:t>11、</w:t>
      </w:r>
      <w:r>
        <w:rPr>
          <w:rFonts w:hint="eastAsia" w:ascii="宋体" w:hAnsi="宋体" w:cs="宋体"/>
          <w:b/>
          <w:color w:val="auto"/>
          <w:sz w:val="24"/>
          <w:szCs w:val="24"/>
          <w:lang w:val="zh-CN"/>
        </w:rPr>
        <w:t>磋商响应文件计量单位</w:t>
      </w:r>
    </w:p>
    <w:p>
      <w:pPr>
        <w:keepLines w:val="0"/>
        <w:pageBreakBefore w:val="0"/>
        <w:widowControl w:val="0"/>
        <w:kinsoku/>
        <w:wordWrap/>
        <w:overflowPunct/>
        <w:topLinePunct w:val="0"/>
        <w:autoSpaceDE w:val="0"/>
        <w:autoSpaceDN w:val="0"/>
        <w:bidi w:val="0"/>
        <w:adjustRightInd w:val="0"/>
        <w:spacing w:line="420" w:lineRule="exact"/>
        <w:ind w:firstLine="570"/>
        <w:textAlignment w:val="auto"/>
        <w:rPr>
          <w:rFonts w:ascii="宋体" w:hAnsi="宋体" w:cs="宋体"/>
          <w:bCs/>
          <w:color w:val="auto"/>
          <w:sz w:val="24"/>
          <w:szCs w:val="24"/>
          <w:lang w:val="zh-CN"/>
        </w:rPr>
      </w:pPr>
      <w:r>
        <w:rPr>
          <w:rFonts w:hint="eastAsia" w:ascii="宋体" w:hAnsi="宋体" w:cs="宋体"/>
          <w:bCs/>
          <w:color w:val="auto"/>
          <w:sz w:val="24"/>
          <w:szCs w:val="24"/>
          <w:lang w:val="zh-CN"/>
        </w:rPr>
        <w:t>磋商响应文件中所使用的计量单位，除有特殊要求外，均采用国家法定计量单位。</w:t>
      </w:r>
    </w:p>
    <w:p>
      <w:pPr>
        <w:keepLines w:val="0"/>
        <w:pageBreakBefore w:val="0"/>
        <w:widowControl w:val="0"/>
        <w:kinsoku/>
        <w:wordWrap/>
        <w:overflowPunct/>
        <w:topLinePunct w:val="0"/>
        <w:autoSpaceDE w:val="0"/>
        <w:autoSpaceDN w:val="0"/>
        <w:bidi w:val="0"/>
        <w:adjustRightInd w:val="0"/>
        <w:spacing w:line="420" w:lineRule="exact"/>
        <w:ind w:firstLine="570"/>
        <w:textAlignment w:val="auto"/>
        <w:rPr>
          <w:rFonts w:ascii="宋体" w:hAnsi="宋体" w:cs="宋体"/>
          <w:b/>
          <w:color w:val="auto"/>
          <w:sz w:val="24"/>
          <w:szCs w:val="24"/>
          <w:lang w:val="zh-CN"/>
        </w:rPr>
      </w:pPr>
      <w:r>
        <w:rPr>
          <w:rFonts w:hint="eastAsia" w:ascii="宋体" w:hAnsi="宋体" w:cs="宋体"/>
          <w:b/>
          <w:color w:val="auto"/>
          <w:sz w:val="24"/>
          <w:szCs w:val="24"/>
        </w:rPr>
        <w:t>12、</w:t>
      </w:r>
      <w:r>
        <w:rPr>
          <w:rFonts w:hint="eastAsia" w:ascii="宋体" w:hAnsi="宋体" w:cs="宋体"/>
          <w:b/>
          <w:color w:val="auto"/>
          <w:sz w:val="24"/>
          <w:szCs w:val="24"/>
          <w:lang w:val="zh-CN"/>
        </w:rPr>
        <w:t>磋商响应文件的组成</w:t>
      </w:r>
    </w:p>
    <w:p>
      <w:pPr>
        <w:keepLines w:val="0"/>
        <w:pageBreakBefore w:val="0"/>
        <w:widowControl w:val="0"/>
        <w:kinsoku/>
        <w:wordWrap/>
        <w:overflowPunct/>
        <w:topLinePunct w:val="0"/>
        <w:autoSpaceDE w:val="0"/>
        <w:autoSpaceDN w:val="0"/>
        <w:bidi w:val="0"/>
        <w:adjustRightInd w:val="0"/>
        <w:spacing w:line="420" w:lineRule="exact"/>
        <w:ind w:firstLine="570"/>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rPr>
        <w:t>12.1、</w:t>
      </w:r>
      <w:r>
        <w:rPr>
          <w:rFonts w:hint="eastAsia" w:ascii="宋体" w:hAnsi="宋体" w:eastAsia="宋体" w:cs="宋体"/>
          <w:bCs/>
          <w:color w:val="auto"/>
          <w:sz w:val="24"/>
          <w:szCs w:val="24"/>
          <w:lang w:val="zh-CN"/>
        </w:rPr>
        <w:t>磋商响应文件的组成包含</w:t>
      </w:r>
      <w:r>
        <w:rPr>
          <w:rFonts w:hint="eastAsia" w:ascii="宋体" w:hAnsi="宋体" w:eastAsia="宋体" w:cs="宋体"/>
          <w:bCs/>
          <w:color w:val="auto"/>
          <w:sz w:val="24"/>
          <w:szCs w:val="24"/>
          <w:lang w:val="zh-CN" w:eastAsia="zh-CN"/>
        </w:rPr>
        <w:t>磋商响应函及响应函附录、第一次磋商报价表、已标价工程量清单、技术方案、供应商近三年类似项目业绩一览表</w:t>
      </w:r>
      <w:r>
        <w:rPr>
          <w:rFonts w:hint="eastAsia" w:ascii="宋体" w:hAnsi="宋体" w:cs="宋体"/>
          <w:bCs/>
          <w:color w:val="auto"/>
          <w:sz w:val="24"/>
          <w:szCs w:val="24"/>
          <w:lang w:val="zh-CN" w:eastAsia="zh-CN"/>
        </w:rPr>
        <w:t>、</w:t>
      </w:r>
      <w:r>
        <w:rPr>
          <w:rFonts w:hint="eastAsia" w:ascii="宋体" w:hAnsi="宋体" w:eastAsia="宋体" w:cs="宋体"/>
          <w:bCs/>
          <w:color w:val="auto"/>
          <w:sz w:val="24"/>
          <w:szCs w:val="24"/>
          <w:lang w:val="zh-CN"/>
        </w:rPr>
        <w:t>供应商承诺书、供应商资质证明文件、其他资料等内容。</w:t>
      </w:r>
    </w:p>
    <w:p>
      <w:pPr>
        <w:keepLines w:val="0"/>
        <w:pageBreakBefore w:val="0"/>
        <w:widowControl w:val="0"/>
        <w:kinsoku/>
        <w:wordWrap/>
        <w:overflowPunct/>
        <w:topLinePunct w:val="0"/>
        <w:autoSpaceDE w:val="0"/>
        <w:autoSpaceDN w:val="0"/>
        <w:bidi w:val="0"/>
        <w:adjustRightInd w:val="0"/>
        <w:spacing w:line="420" w:lineRule="exact"/>
        <w:ind w:firstLine="570"/>
        <w:textAlignment w:val="auto"/>
        <w:rPr>
          <w:rFonts w:ascii="宋体" w:hAnsi="宋体" w:cs="宋体"/>
          <w:bCs/>
          <w:color w:val="auto"/>
          <w:sz w:val="24"/>
          <w:szCs w:val="24"/>
          <w:lang w:val="zh-CN"/>
        </w:rPr>
      </w:pPr>
      <w:r>
        <w:rPr>
          <w:rFonts w:hint="eastAsia" w:ascii="宋体" w:hAnsi="宋体" w:cs="宋体"/>
          <w:bCs/>
          <w:color w:val="auto"/>
          <w:sz w:val="24"/>
          <w:szCs w:val="24"/>
        </w:rPr>
        <w:t>12</w:t>
      </w:r>
      <w:r>
        <w:rPr>
          <w:rFonts w:hint="eastAsia" w:ascii="宋体" w:hAnsi="宋体" w:cs="宋体"/>
          <w:bCs/>
          <w:color w:val="auto"/>
          <w:sz w:val="24"/>
          <w:szCs w:val="24"/>
          <w:lang w:val="zh-CN"/>
        </w:rPr>
        <w:t>.2、磋商响应文件中磋商报价表内容与分项报价表内容不一致的，以磋商报价表为准。</w:t>
      </w:r>
    </w:p>
    <w:p>
      <w:pPr>
        <w:keepLines w:val="0"/>
        <w:pageBreakBefore w:val="0"/>
        <w:widowControl w:val="0"/>
        <w:kinsoku/>
        <w:wordWrap/>
        <w:overflowPunct/>
        <w:topLinePunct w:val="0"/>
        <w:autoSpaceDE w:val="0"/>
        <w:autoSpaceDN w:val="0"/>
        <w:bidi w:val="0"/>
        <w:adjustRightInd w:val="0"/>
        <w:spacing w:line="420" w:lineRule="exact"/>
        <w:ind w:firstLine="570"/>
        <w:textAlignment w:val="auto"/>
        <w:rPr>
          <w:rFonts w:ascii="宋体" w:hAnsi="宋体" w:cs="宋体"/>
          <w:bCs/>
          <w:color w:val="auto"/>
          <w:sz w:val="24"/>
          <w:szCs w:val="24"/>
          <w:lang w:val="zh-CN"/>
        </w:rPr>
      </w:pPr>
      <w:r>
        <w:rPr>
          <w:rFonts w:hint="eastAsia" w:ascii="宋体" w:hAnsi="宋体" w:cs="宋体"/>
          <w:bCs/>
          <w:color w:val="auto"/>
          <w:sz w:val="24"/>
          <w:szCs w:val="24"/>
        </w:rPr>
        <w:t>12.3、</w:t>
      </w:r>
      <w:r>
        <w:rPr>
          <w:rFonts w:hint="eastAsia" w:ascii="宋体" w:hAnsi="宋体" w:cs="宋体"/>
          <w:bCs/>
          <w:color w:val="auto"/>
          <w:sz w:val="24"/>
          <w:szCs w:val="24"/>
          <w:lang w:val="zh-CN"/>
        </w:rPr>
        <w:t>本次磋商的最小单元为“包号”，供应商可根据自身的资质情况和经营范围对本次项目进行磋商，不得将其子目再行分解或只对本次项目中的品目进行不完全磋商，任何不完全的响应将会被拒绝。</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b/>
          <w:color w:val="auto"/>
          <w:sz w:val="24"/>
          <w:szCs w:val="24"/>
        </w:rPr>
      </w:pPr>
      <w:r>
        <w:rPr>
          <w:rFonts w:hint="eastAsia" w:ascii="宋体" w:hAnsi="宋体" w:cs="宋体"/>
          <w:b/>
          <w:color w:val="auto"/>
          <w:sz w:val="24"/>
          <w:szCs w:val="24"/>
        </w:rPr>
        <w:t xml:space="preserve">13、竞争性磋商响应文件格式 </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bCs/>
          <w:color w:val="auto"/>
          <w:sz w:val="24"/>
          <w:szCs w:val="24"/>
        </w:rPr>
      </w:pPr>
      <w:r>
        <w:rPr>
          <w:rFonts w:hint="eastAsia" w:ascii="宋体" w:hAnsi="宋体" w:cs="宋体"/>
          <w:bCs/>
          <w:color w:val="auto"/>
          <w:sz w:val="24"/>
          <w:szCs w:val="24"/>
        </w:rPr>
        <w:t>13.1、供应商应按照竞争性磋商文件中第八章“竞争性磋商响应文件格式及构成”所提供的格式和要求制作竞争性磋商响应文件，明确表达磋商意愿，详细说明磋商方案、承诺及价格。</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b/>
          <w:color w:val="auto"/>
          <w:sz w:val="24"/>
          <w:szCs w:val="24"/>
        </w:rPr>
      </w:pPr>
      <w:r>
        <w:rPr>
          <w:rFonts w:hint="eastAsia" w:ascii="宋体" w:hAnsi="宋体" w:cs="宋体"/>
          <w:bCs/>
          <w:color w:val="auto"/>
          <w:sz w:val="24"/>
          <w:szCs w:val="24"/>
        </w:rPr>
        <w:t>13.2、按竞争性磋商文件第五章采购内容及要求和第八章提供的格式和要求编写其竞争性磋商响应文件，供应商不得缺少或留空任何竞争性磋商文件要求填写的表格或提交的资料。</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b/>
          <w:color w:val="auto"/>
          <w:sz w:val="24"/>
          <w:szCs w:val="24"/>
          <w:lang w:val="zh-CN"/>
        </w:rPr>
      </w:pPr>
      <w:r>
        <w:rPr>
          <w:rFonts w:hint="eastAsia" w:ascii="宋体" w:hAnsi="宋体" w:cs="宋体"/>
          <w:b/>
          <w:color w:val="auto"/>
          <w:sz w:val="24"/>
          <w:szCs w:val="24"/>
        </w:rPr>
        <w:t>14、</w:t>
      </w:r>
      <w:r>
        <w:rPr>
          <w:rFonts w:hint="eastAsia" w:ascii="宋体" w:hAnsi="宋体" w:cs="宋体"/>
          <w:b/>
          <w:color w:val="auto"/>
          <w:sz w:val="24"/>
          <w:szCs w:val="24"/>
          <w:lang w:val="zh-CN"/>
        </w:rPr>
        <w:t>磋商报价：</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14.1</w:t>
      </w:r>
      <w:r>
        <w:rPr>
          <w:rFonts w:hint="eastAsia" w:ascii="宋体" w:hAnsi="宋体" w:cs="宋体"/>
          <w:color w:val="auto"/>
          <w:sz w:val="24"/>
          <w:szCs w:val="24"/>
          <w:lang w:val="zh-CN"/>
        </w:rPr>
        <w:t>、</w:t>
      </w:r>
      <w:r>
        <w:rPr>
          <w:rFonts w:hint="eastAsia" w:ascii="宋体" w:hAnsi="宋体" w:cs="宋体"/>
          <w:color w:val="auto"/>
          <w:sz w:val="24"/>
          <w:szCs w:val="24"/>
          <w:lang w:val="zh-CN" w:eastAsia="zh-CN"/>
        </w:rPr>
        <w:t>磋商报价</w:t>
      </w:r>
      <w:r>
        <w:rPr>
          <w:rFonts w:hint="eastAsia" w:ascii="宋体" w:hAnsi="宋体" w:cs="宋体"/>
          <w:color w:val="auto"/>
          <w:sz w:val="24"/>
          <w:szCs w:val="24"/>
          <w:lang w:val="zh-CN"/>
        </w:rPr>
        <w:t>应按照工程量清单、补充通知、答疑纪要、合同条款、施工现场实际情况、拟定的施工方案或施工组织设计的相关内容及要求，并在满足</w:t>
      </w:r>
      <w:r>
        <w:rPr>
          <w:rFonts w:hint="eastAsia" w:ascii="宋体" w:hAnsi="宋体" w:cs="宋体"/>
          <w:color w:val="auto"/>
          <w:sz w:val="24"/>
          <w:szCs w:val="24"/>
          <w:lang w:val="zh-CN" w:eastAsia="zh-CN"/>
        </w:rPr>
        <w:t>竞争性磋商文件</w:t>
      </w:r>
      <w:r>
        <w:rPr>
          <w:rFonts w:hint="eastAsia" w:ascii="宋体" w:hAnsi="宋体" w:cs="宋体"/>
          <w:color w:val="auto"/>
          <w:sz w:val="24"/>
          <w:szCs w:val="24"/>
          <w:lang w:val="zh-CN"/>
        </w:rPr>
        <w:t>要求的前提下，结合企业自身技术力量、设备装备水平、企业管理水平、市场价格行情自主报价。组价时应充分考虑相关费用在施工期间的政策调整、市场变动幅度、自然灾害、停电、停水、停工、窝工、施工现场条件及施工过程中发生的不可预见的风险因素。</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14.</w:t>
      </w:r>
      <w:r>
        <w:rPr>
          <w:rFonts w:hint="eastAsia" w:ascii="宋体" w:hAnsi="宋体" w:cs="宋体"/>
          <w:color w:val="auto"/>
          <w:sz w:val="24"/>
          <w:szCs w:val="24"/>
          <w:lang w:val="zh-CN"/>
        </w:rPr>
        <w:t>2、</w:t>
      </w:r>
      <w:r>
        <w:rPr>
          <w:rFonts w:hint="eastAsia" w:ascii="宋体" w:hAnsi="宋体" w:cs="宋体"/>
          <w:color w:val="auto"/>
          <w:sz w:val="24"/>
          <w:szCs w:val="24"/>
          <w:lang w:val="zh-CN" w:eastAsia="zh-CN"/>
        </w:rPr>
        <w:t>供应商</w:t>
      </w:r>
      <w:r>
        <w:rPr>
          <w:rFonts w:hint="eastAsia" w:ascii="宋体" w:hAnsi="宋体" w:cs="宋体"/>
          <w:color w:val="auto"/>
          <w:sz w:val="24"/>
          <w:szCs w:val="24"/>
          <w:lang w:val="zh-CN"/>
        </w:rPr>
        <w:t>应先到工地踏勘以充分了解项目位置、现状、道路、储存空间、装卸限制及任何其他足以影响</w:t>
      </w:r>
      <w:r>
        <w:rPr>
          <w:rFonts w:hint="eastAsia" w:ascii="宋体" w:hAnsi="宋体" w:cs="宋体"/>
          <w:color w:val="auto"/>
          <w:sz w:val="24"/>
          <w:szCs w:val="24"/>
          <w:lang w:val="zh-CN" w:eastAsia="zh-CN"/>
        </w:rPr>
        <w:t>磋商</w:t>
      </w:r>
      <w:r>
        <w:rPr>
          <w:rFonts w:hint="eastAsia" w:ascii="宋体" w:hAnsi="宋体" w:cs="宋体"/>
          <w:color w:val="auto"/>
          <w:sz w:val="24"/>
          <w:szCs w:val="24"/>
          <w:lang w:val="zh-CN"/>
        </w:rPr>
        <w:t>价的情况，任何因</w:t>
      </w:r>
      <w:r>
        <w:rPr>
          <w:rFonts w:hint="eastAsia" w:ascii="宋体" w:hAnsi="宋体" w:cs="宋体"/>
          <w:color w:val="auto"/>
          <w:sz w:val="24"/>
          <w:szCs w:val="24"/>
          <w:lang w:val="zh-CN" w:eastAsia="zh-CN"/>
        </w:rPr>
        <w:t>供应商</w:t>
      </w:r>
      <w:r>
        <w:rPr>
          <w:rFonts w:hint="eastAsia" w:ascii="宋体" w:hAnsi="宋体" w:cs="宋体"/>
          <w:color w:val="auto"/>
          <w:sz w:val="24"/>
          <w:szCs w:val="24"/>
          <w:lang w:val="zh-CN"/>
        </w:rPr>
        <w:t>忽视或误解工地情况而导致的其提出的任何索赔或工期延长申请将不被批准。凡因</w:t>
      </w:r>
      <w:r>
        <w:rPr>
          <w:rFonts w:hint="eastAsia" w:ascii="宋体" w:hAnsi="宋体" w:cs="宋体"/>
          <w:color w:val="auto"/>
          <w:sz w:val="24"/>
          <w:szCs w:val="24"/>
          <w:lang w:val="zh-CN" w:eastAsia="zh-CN"/>
        </w:rPr>
        <w:t>供应商</w:t>
      </w:r>
      <w:r>
        <w:rPr>
          <w:rFonts w:hint="eastAsia" w:ascii="宋体" w:hAnsi="宋体" w:cs="宋体"/>
          <w:color w:val="auto"/>
          <w:sz w:val="24"/>
          <w:szCs w:val="24"/>
          <w:lang w:val="zh-CN"/>
        </w:rPr>
        <w:t>对</w:t>
      </w:r>
      <w:r>
        <w:rPr>
          <w:rFonts w:hint="eastAsia" w:ascii="宋体" w:hAnsi="宋体" w:cs="宋体"/>
          <w:color w:val="auto"/>
          <w:sz w:val="24"/>
          <w:szCs w:val="24"/>
          <w:lang w:val="zh-CN" w:eastAsia="zh-CN"/>
        </w:rPr>
        <w:t>竞争性磋商文件</w:t>
      </w:r>
      <w:r>
        <w:rPr>
          <w:rFonts w:hint="eastAsia" w:ascii="宋体" w:hAnsi="宋体" w:cs="宋体"/>
          <w:color w:val="auto"/>
          <w:sz w:val="24"/>
          <w:szCs w:val="24"/>
          <w:lang w:val="zh-CN"/>
        </w:rPr>
        <w:t>阅读疏忽或误解，或因对施工现场、施工环境、市场行情等了解不清而造成的后果和风险，均由</w:t>
      </w:r>
      <w:r>
        <w:rPr>
          <w:rFonts w:hint="eastAsia" w:ascii="宋体" w:hAnsi="宋体" w:cs="宋体"/>
          <w:color w:val="auto"/>
          <w:sz w:val="24"/>
          <w:szCs w:val="24"/>
          <w:lang w:val="zh-CN" w:eastAsia="zh-CN"/>
        </w:rPr>
        <w:t>供应商</w:t>
      </w:r>
      <w:r>
        <w:rPr>
          <w:rFonts w:hint="eastAsia" w:ascii="宋体" w:hAnsi="宋体" w:cs="宋体"/>
          <w:color w:val="auto"/>
          <w:sz w:val="24"/>
          <w:szCs w:val="24"/>
          <w:lang w:val="zh-CN"/>
        </w:rPr>
        <w:t>负责。</w:t>
      </w:r>
    </w:p>
    <w:p>
      <w:pPr>
        <w:pStyle w:val="7"/>
        <w:keepLines w:val="0"/>
        <w:pageBreakBefore w:val="0"/>
        <w:widowControl w:val="0"/>
        <w:kinsoku/>
        <w:wordWrap/>
        <w:overflowPunct/>
        <w:topLinePunct w:val="0"/>
        <w:bidi w:val="0"/>
        <w:spacing w:line="420" w:lineRule="exact"/>
        <w:jc w:val="left"/>
        <w:textAlignment w:val="auto"/>
        <w:rPr>
          <w:rFonts w:ascii="宋体" w:hAnsi="宋体" w:eastAsia="宋体" w:cs="宋体"/>
          <w:color w:val="auto"/>
          <w:sz w:val="24"/>
          <w:szCs w:val="24"/>
          <w:lang w:val="zh-CN"/>
        </w:rPr>
      </w:pPr>
      <w:r>
        <w:rPr>
          <w:rFonts w:hint="eastAsia" w:ascii="宋体" w:hAnsi="宋体" w:eastAsia="宋体" w:cs="宋体"/>
          <w:color w:val="auto"/>
          <w:sz w:val="24"/>
          <w:szCs w:val="24"/>
        </w:rPr>
        <w:t xml:space="preserve">     14.3</w:t>
      </w:r>
      <w:r>
        <w:rPr>
          <w:rFonts w:hint="eastAsia" w:ascii="宋体" w:hAnsi="宋体" w:eastAsia="宋体" w:cs="宋体"/>
          <w:color w:val="auto"/>
          <w:sz w:val="24"/>
          <w:szCs w:val="24"/>
          <w:lang w:val="zh-CN"/>
        </w:rPr>
        <w:t>、凡因供应商对磋商采购文件阅读不深、</w:t>
      </w:r>
      <w:r>
        <w:rPr>
          <w:rFonts w:hint="eastAsia" w:ascii="宋体" w:hAnsi="宋体" w:eastAsia="宋体" w:cs="宋体"/>
          <w:color w:val="auto"/>
          <w:sz w:val="24"/>
          <w:szCs w:val="24"/>
        </w:rPr>
        <w:t>理解不透、</w:t>
      </w:r>
      <w:r>
        <w:rPr>
          <w:rFonts w:hint="eastAsia" w:ascii="宋体" w:hAnsi="宋体" w:eastAsia="宋体" w:cs="宋体"/>
          <w:color w:val="auto"/>
          <w:sz w:val="24"/>
          <w:szCs w:val="24"/>
          <w:lang w:val="zh-CN"/>
        </w:rPr>
        <w:t>误解、疏漏、</w:t>
      </w:r>
      <w:r>
        <w:rPr>
          <w:rFonts w:hint="eastAsia" w:ascii="宋体" w:hAnsi="宋体" w:eastAsia="宋体" w:cs="宋体"/>
          <w:color w:val="auto"/>
          <w:sz w:val="24"/>
          <w:szCs w:val="24"/>
        </w:rPr>
        <w:t>或因市场行情了解不清造成的后果和风险均由供应商自负。</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14.4</w:t>
      </w:r>
      <w:r>
        <w:rPr>
          <w:rFonts w:hint="eastAsia" w:ascii="宋体" w:hAnsi="宋体" w:cs="宋体"/>
          <w:color w:val="auto"/>
          <w:sz w:val="24"/>
          <w:szCs w:val="24"/>
          <w:lang w:val="zh-CN"/>
        </w:rPr>
        <w:t>、磋商报价不因市场因素、政府政策调整、费率调整和税收变化等而作任何调整，磋商单位应充分考虑到各种风险因素。</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14.5、</w:t>
      </w:r>
      <w:r>
        <w:rPr>
          <w:rFonts w:hint="eastAsia" w:ascii="宋体" w:hAnsi="宋体" w:cs="宋体"/>
          <w:color w:val="auto"/>
          <w:sz w:val="24"/>
          <w:szCs w:val="24"/>
          <w:lang w:val="zh-CN"/>
        </w:rPr>
        <w:t>最低报价不是确定成交供应商的唯一条件。</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rPr>
      </w:pPr>
      <w:r>
        <w:rPr>
          <w:rFonts w:hint="eastAsia" w:ascii="宋体" w:hAnsi="宋体" w:cs="宋体"/>
          <w:color w:val="auto"/>
          <w:sz w:val="24"/>
          <w:szCs w:val="24"/>
        </w:rPr>
        <w:t>14.6</w:t>
      </w:r>
      <w:r>
        <w:rPr>
          <w:rFonts w:hint="eastAsia" w:ascii="宋体" w:hAnsi="宋体" w:cs="宋体"/>
          <w:color w:val="auto"/>
          <w:sz w:val="24"/>
          <w:szCs w:val="24"/>
          <w:lang w:val="zh-CN"/>
        </w:rPr>
        <w:t>、</w:t>
      </w:r>
      <w:r>
        <w:rPr>
          <w:rFonts w:hint="eastAsia" w:ascii="宋体" w:hAnsi="宋体" w:cs="宋体"/>
          <w:color w:val="auto"/>
          <w:sz w:val="24"/>
          <w:szCs w:val="24"/>
        </w:rPr>
        <w:t>磋商报价货币：人民币，单位:元。</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b/>
          <w:color w:val="auto"/>
          <w:sz w:val="24"/>
          <w:szCs w:val="24"/>
          <w:lang w:val="zh-CN"/>
        </w:rPr>
      </w:pPr>
      <w:r>
        <w:rPr>
          <w:rFonts w:hint="eastAsia" w:ascii="宋体" w:hAnsi="宋体" w:cs="宋体"/>
          <w:color w:val="auto"/>
          <w:sz w:val="24"/>
          <w:szCs w:val="24"/>
        </w:rPr>
        <w:t>14.7</w:t>
      </w:r>
      <w:r>
        <w:rPr>
          <w:rFonts w:hint="eastAsia" w:ascii="宋体" w:hAnsi="宋体" w:cs="宋体"/>
          <w:color w:val="auto"/>
          <w:sz w:val="24"/>
          <w:szCs w:val="24"/>
          <w:lang w:val="zh-CN"/>
        </w:rPr>
        <w:t>、</w:t>
      </w:r>
      <w:r>
        <w:rPr>
          <w:rFonts w:hint="eastAsia" w:ascii="宋体" w:hAnsi="宋体" w:cs="宋体"/>
          <w:b/>
          <w:color w:val="auto"/>
          <w:kern w:val="0"/>
          <w:sz w:val="24"/>
          <w:szCs w:val="24"/>
        </w:rPr>
        <w:t>本次磋商采取二次报价，即：磋商响应文件中的磋商总报价为第一次报价；在磋商供应商初审合格后，第一次报价为有效报价。</w:t>
      </w:r>
      <w:r>
        <w:rPr>
          <w:rFonts w:hint="eastAsia" w:ascii="宋体" w:hAnsi="宋体" w:cs="宋体"/>
          <w:b/>
          <w:color w:val="auto"/>
          <w:sz w:val="24"/>
          <w:szCs w:val="24"/>
        </w:rPr>
        <w:t>通过初审的各供应商与磋商小组</w:t>
      </w:r>
      <w:r>
        <w:rPr>
          <w:rFonts w:hint="eastAsia" w:ascii="宋体" w:hAnsi="宋体" w:cs="宋体"/>
          <w:b/>
          <w:color w:val="auto"/>
          <w:sz w:val="24"/>
          <w:szCs w:val="24"/>
          <w:lang w:val="en-US" w:eastAsia="zh-CN"/>
        </w:rPr>
        <w:t>分别进行</w:t>
      </w:r>
      <w:r>
        <w:rPr>
          <w:rFonts w:hint="eastAsia" w:ascii="宋体" w:hAnsi="宋体" w:cs="宋体"/>
          <w:b/>
          <w:color w:val="auto"/>
          <w:sz w:val="24"/>
          <w:szCs w:val="24"/>
        </w:rPr>
        <w:t>磋商后，在规定时间内，提交第二次报价，</w:t>
      </w:r>
      <w:r>
        <w:rPr>
          <w:rFonts w:hint="eastAsia" w:ascii="宋体" w:hAnsi="宋体" w:cs="宋体"/>
          <w:b/>
          <w:color w:val="auto"/>
          <w:kern w:val="0"/>
          <w:sz w:val="24"/>
          <w:szCs w:val="24"/>
        </w:rPr>
        <w:t>第二次报价即为最终报价</w:t>
      </w:r>
      <w:r>
        <w:rPr>
          <w:rFonts w:hint="eastAsia" w:ascii="宋体" w:hAnsi="宋体" w:cs="宋体"/>
          <w:b/>
          <w:color w:val="auto"/>
          <w:kern w:val="0"/>
          <w:sz w:val="24"/>
          <w:szCs w:val="24"/>
          <w:lang w:eastAsia="zh-CN"/>
        </w:rPr>
        <w:t>，</w:t>
      </w:r>
      <w:r>
        <w:rPr>
          <w:rFonts w:hint="eastAsia" w:ascii="宋体" w:hAnsi="宋体" w:cs="宋体"/>
          <w:b/>
          <w:color w:val="auto"/>
          <w:kern w:val="0"/>
          <w:sz w:val="24"/>
          <w:szCs w:val="24"/>
          <w:lang w:val="en-US" w:eastAsia="zh-CN"/>
        </w:rPr>
        <w:t>最终综合单价同比例下浮</w:t>
      </w:r>
      <w:r>
        <w:rPr>
          <w:rFonts w:hint="eastAsia" w:ascii="宋体" w:hAnsi="宋体" w:cs="宋体"/>
          <w:b/>
          <w:color w:val="auto"/>
          <w:kern w:val="0"/>
          <w:sz w:val="24"/>
          <w:szCs w:val="24"/>
        </w:rPr>
        <w:t>。</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14.8</w:t>
      </w:r>
      <w:r>
        <w:rPr>
          <w:rFonts w:hint="eastAsia" w:ascii="宋体" w:hAnsi="宋体" w:cs="宋体"/>
          <w:color w:val="auto"/>
          <w:sz w:val="24"/>
          <w:szCs w:val="24"/>
          <w:lang w:val="zh-CN"/>
        </w:rPr>
        <w:t>、磋商后所确定的成交价格，在合同执行过程中，不得以任何理由变更。</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14.9、</w:t>
      </w:r>
      <w:r>
        <w:rPr>
          <w:rFonts w:hint="eastAsia" w:ascii="宋体" w:hAnsi="宋体" w:cs="宋体"/>
          <w:color w:val="auto"/>
          <w:sz w:val="24"/>
          <w:szCs w:val="24"/>
          <w:lang w:val="zh-CN"/>
        </w:rPr>
        <w:t>供应商不得以低于成本的报价参加磋商。若磋商小组认为某个供应商的报价明显低于其他通过符合性审查的供应商的报价，有可能影响产品质量或者不能诚信履约的，应当要求其在磋商现场合理的时间内提供书面说明，必要时提交相关证明材料；供应商不能证明其报价合理性的，磋商小组应将其作为无效投标处理。</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b/>
          <w:color w:val="auto"/>
          <w:sz w:val="24"/>
          <w:szCs w:val="24"/>
          <w:lang w:val="zh-CN"/>
        </w:rPr>
      </w:pPr>
      <w:r>
        <w:rPr>
          <w:rFonts w:hint="eastAsia" w:ascii="宋体" w:hAnsi="宋体" w:cs="宋体"/>
          <w:color w:val="auto"/>
          <w:sz w:val="24"/>
          <w:szCs w:val="24"/>
        </w:rPr>
        <w:t>14.10</w:t>
      </w:r>
      <w:r>
        <w:rPr>
          <w:rFonts w:hint="eastAsia" w:ascii="宋体" w:hAnsi="宋体" w:cs="宋体"/>
          <w:color w:val="auto"/>
          <w:sz w:val="24"/>
          <w:szCs w:val="24"/>
          <w:lang w:val="zh-CN"/>
        </w:rPr>
        <w:t>、第一次报价超出采购预算的供应商不进入下一步磋商程序。</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14.11</w:t>
      </w:r>
      <w:r>
        <w:rPr>
          <w:rFonts w:hint="eastAsia" w:ascii="宋体" w:hAnsi="宋体" w:cs="宋体"/>
          <w:color w:val="auto"/>
          <w:sz w:val="24"/>
          <w:szCs w:val="24"/>
          <w:lang w:val="zh-CN"/>
        </w:rPr>
        <w:t>、本项目不公开任何一次报价。</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b/>
          <w:bCs/>
          <w:color w:val="auto"/>
          <w:sz w:val="24"/>
          <w:szCs w:val="24"/>
          <w:lang w:val="zh-CN"/>
        </w:rPr>
      </w:pPr>
      <w:r>
        <w:rPr>
          <w:rFonts w:hint="eastAsia" w:ascii="宋体" w:hAnsi="宋体" w:cs="宋体"/>
          <w:b/>
          <w:bCs/>
          <w:color w:val="auto"/>
          <w:sz w:val="24"/>
          <w:szCs w:val="24"/>
          <w:lang w:val="zh-CN"/>
        </w:rPr>
        <w:t>1</w:t>
      </w:r>
      <w:r>
        <w:rPr>
          <w:rFonts w:hint="eastAsia" w:ascii="宋体" w:hAnsi="宋体" w:cs="宋体"/>
          <w:b/>
          <w:bCs/>
          <w:color w:val="auto"/>
          <w:sz w:val="24"/>
          <w:szCs w:val="24"/>
        </w:rPr>
        <w:t>5</w:t>
      </w:r>
      <w:r>
        <w:rPr>
          <w:rFonts w:hint="eastAsia" w:ascii="宋体" w:hAnsi="宋体" w:cs="宋体"/>
          <w:b/>
          <w:bCs/>
          <w:color w:val="auto"/>
          <w:sz w:val="24"/>
          <w:szCs w:val="24"/>
          <w:lang w:val="zh-CN"/>
        </w:rPr>
        <w:t>、证明供应商合格的资格证明文件</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lang w:val="zh-CN"/>
        </w:rPr>
        <w:t>1</w:t>
      </w:r>
      <w:r>
        <w:rPr>
          <w:rFonts w:hint="eastAsia" w:ascii="宋体" w:hAnsi="宋体" w:cs="宋体"/>
          <w:color w:val="auto"/>
          <w:sz w:val="24"/>
          <w:szCs w:val="24"/>
        </w:rPr>
        <w:t>5</w:t>
      </w:r>
      <w:r>
        <w:rPr>
          <w:rFonts w:hint="eastAsia" w:ascii="宋体" w:hAnsi="宋体" w:cs="宋体"/>
          <w:color w:val="auto"/>
          <w:sz w:val="24"/>
          <w:szCs w:val="24"/>
          <w:lang w:val="zh-CN"/>
        </w:rPr>
        <w:t>.1、供应商应按照竞争性磋商文件供应商须知前附表的要求，在竞争性磋商响应文件中提交合格的资格证明文件。如果资格证明文件不全或不合格的，其磋商响应文件将被作无效文件处理。</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b/>
          <w:bCs/>
          <w:color w:val="auto"/>
          <w:sz w:val="24"/>
          <w:szCs w:val="24"/>
          <w:lang w:val="zh-CN"/>
        </w:rPr>
      </w:pPr>
      <w:r>
        <w:rPr>
          <w:rFonts w:hint="eastAsia" w:ascii="宋体" w:hAnsi="宋体" w:cs="宋体"/>
          <w:b/>
          <w:bCs/>
          <w:color w:val="auto"/>
          <w:sz w:val="24"/>
          <w:szCs w:val="24"/>
          <w:lang w:val="zh-CN"/>
        </w:rPr>
        <w:t>1</w:t>
      </w:r>
      <w:r>
        <w:rPr>
          <w:rFonts w:hint="eastAsia" w:ascii="宋体" w:hAnsi="宋体" w:cs="宋体"/>
          <w:b/>
          <w:bCs/>
          <w:color w:val="auto"/>
          <w:sz w:val="24"/>
          <w:szCs w:val="24"/>
        </w:rPr>
        <w:t>6、</w:t>
      </w:r>
      <w:r>
        <w:rPr>
          <w:rFonts w:hint="eastAsia" w:ascii="宋体" w:hAnsi="宋体" w:cs="宋体"/>
          <w:b/>
          <w:bCs/>
          <w:color w:val="auto"/>
          <w:sz w:val="24"/>
          <w:szCs w:val="24"/>
          <w:lang w:val="zh-CN"/>
        </w:rPr>
        <w:t>证明货物（产品）符合竞争性磋商文件规定的文件</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lang w:val="zh-CN"/>
        </w:rPr>
        <w:t>1</w:t>
      </w:r>
      <w:r>
        <w:rPr>
          <w:rFonts w:hint="eastAsia" w:ascii="宋体" w:hAnsi="宋体" w:cs="宋体"/>
          <w:color w:val="auto"/>
          <w:sz w:val="24"/>
          <w:szCs w:val="24"/>
        </w:rPr>
        <w:t>6</w:t>
      </w:r>
      <w:r>
        <w:rPr>
          <w:rFonts w:hint="eastAsia" w:ascii="宋体" w:hAnsi="宋体" w:cs="宋体"/>
          <w:color w:val="auto"/>
          <w:sz w:val="24"/>
          <w:szCs w:val="24"/>
          <w:lang w:val="zh-CN"/>
        </w:rPr>
        <w:t>.1、供应商应在竞争性磋商响应文件中提交服务满足竞争性磋商文件要求并符合国家法律法规、行业管理部门要求的其他强制性标准的证明文件。缺少证明文件或证明文件不合格的磋商响应文件，与竞争性磋商文件要求有重大偏离的磋商响应文件，不符合国家法律法规、行业管理部门要求的其他强制性标准的磋商响应文件将按无效磋商处理。</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lang w:val="zh-CN"/>
        </w:rPr>
        <w:t>1) 服务主要技术指标和性能的详细说明；</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lang w:val="zh-CN"/>
        </w:rPr>
        <w:t>2）逐条对</w:t>
      </w:r>
      <w:r>
        <w:rPr>
          <w:rFonts w:hint="eastAsia" w:ascii="宋体" w:hAnsi="宋体" w:cs="宋体"/>
          <w:color w:val="auto"/>
          <w:sz w:val="24"/>
          <w:szCs w:val="24"/>
        </w:rPr>
        <w:t>竞争性磋商</w:t>
      </w:r>
      <w:r>
        <w:rPr>
          <w:rFonts w:hint="eastAsia" w:ascii="宋体" w:hAnsi="宋体" w:cs="宋体"/>
          <w:color w:val="auto"/>
          <w:sz w:val="24"/>
          <w:szCs w:val="24"/>
          <w:lang w:val="zh-CN"/>
        </w:rPr>
        <w:t>文件提出的技术要求和商务要求进行应答，说明所提供的服务对</w:t>
      </w:r>
      <w:r>
        <w:rPr>
          <w:rFonts w:hint="eastAsia" w:ascii="宋体" w:hAnsi="宋体" w:cs="宋体"/>
          <w:color w:val="auto"/>
          <w:sz w:val="24"/>
          <w:szCs w:val="24"/>
        </w:rPr>
        <w:t>竞争性磋商文件</w:t>
      </w:r>
      <w:r>
        <w:rPr>
          <w:rFonts w:hint="eastAsia" w:ascii="宋体" w:hAnsi="宋体" w:cs="宋体"/>
          <w:color w:val="auto"/>
          <w:sz w:val="24"/>
          <w:szCs w:val="24"/>
          <w:lang w:val="zh-CN"/>
        </w:rPr>
        <w:t>的技术和商务要求是否做出了实质性响应并提供支持文件；</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lang w:val="zh-CN"/>
        </w:rPr>
        <w:t>3) 服务内容、服务实施方案等的详细说明。</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lang w:val="zh-CN"/>
        </w:rPr>
        <w:t>1</w:t>
      </w:r>
      <w:r>
        <w:rPr>
          <w:rFonts w:hint="eastAsia" w:ascii="宋体" w:hAnsi="宋体" w:cs="宋体"/>
          <w:color w:val="auto"/>
          <w:sz w:val="24"/>
          <w:szCs w:val="24"/>
        </w:rPr>
        <w:t>7、</w:t>
      </w:r>
      <w:r>
        <w:rPr>
          <w:rFonts w:hint="eastAsia" w:ascii="宋体" w:hAnsi="宋体" w:cs="宋体"/>
          <w:color w:val="auto"/>
          <w:sz w:val="24"/>
          <w:szCs w:val="24"/>
          <w:lang w:val="zh-CN"/>
        </w:rPr>
        <w:t>保证金</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lang w:val="zh-CN"/>
        </w:rPr>
        <w:t>1</w:t>
      </w:r>
      <w:r>
        <w:rPr>
          <w:rFonts w:hint="eastAsia" w:ascii="宋体" w:hAnsi="宋体" w:cs="宋体"/>
          <w:color w:val="auto"/>
          <w:sz w:val="24"/>
          <w:szCs w:val="24"/>
        </w:rPr>
        <w:t>7</w:t>
      </w:r>
      <w:r>
        <w:rPr>
          <w:rFonts w:hint="eastAsia" w:ascii="宋体" w:hAnsi="宋体" w:cs="宋体"/>
          <w:color w:val="auto"/>
          <w:sz w:val="24"/>
          <w:szCs w:val="24"/>
          <w:lang w:val="zh-CN"/>
        </w:rPr>
        <w:t>.1、磋商保证金：本项目</w:t>
      </w:r>
      <w:r>
        <w:rPr>
          <w:rFonts w:hint="eastAsia" w:ascii="宋体" w:hAnsi="宋体" w:cs="宋体"/>
          <w:color w:val="auto"/>
          <w:sz w:val="24"/>
          <w:szCs w:val="24"/>
        </w:rPr>
        <w:t>无</w:t>
      </w:r>
      <w:r>
        <w:rPr>
          <w:rFonts w:hint="eastAsia" w:ascii="宋体" w:hAnsi="宋体" w:cs="宋体"/>
          <w:color w:val="auto"/>
          <w:sz w:val="24"/>
          <w:szCs w:val="24"/>
          <w:lang w:val="zh-CN"/>
        </w:rPr>
        <w:t>磋商保证金；</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lang w:val="zh-CN"/>
        </w:rPr>
        <w:t>1</w:t>
      </w:r>
      <w:r>
        <w:rPr>
          <w:rFonts w:hint="eastAsia" w:ascii="宋体" w:hAnsi="宋体" w:cs="宋体"/>
          <w:color w:val="auto"/>
          <w:sz w:val="24"/>
          <w:szCs w:val="24"/>
        </w:rPr>
        <w:t>7</w:t>
      </w:r>
      <w:r>
        <w:rPr>
          <w:rFonts w:hint="eastAsia" w:ascii="宋体" w:hAnsi="宋体" w:cs="宋体"/>
          <w:color w:val="auto"/>
          <w:sz w:val="24"/>
          <w:szCs w:val="24"/>
          <w:lang w:val="zh-CN"/>
        </w:rPr>
        <w:t>.2、履约保证金：本项目</w:t>
      </w:r>
      <w:r>
        <w:rPr>
          <w:rFonts w:hint="eastAsia" w:ascii="宋体" w:hAnsi="宋体" w:cs="宋体"/>
          <w:color w:val="auto"/>
          <w:sz w:val="24"/>
          <w:szCs w:val="24"/>
        </w:rPr>
        <w:t>无</w:t>
      </w:r>
      <w:r>
        <w:rPr>
          <w:rFonts w:hint="eastAsia" w:ascii="宋体" w:hAnsi="宋体" w:cs="宋体"/>
          <w:color w:val="auto"/>
          <w:sz w:val="24"/>
          <w:szCs w:val="24"/>
          <w:lang w:val="zh-CN"/>
        </w:rPr>
        <w:t>履约保证金；</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b/>
          <w:color w:val="auto"/>
          <w:sz w:val="24"/>
          <w:szCs w:val="24"/>
        </w:rPr>
      </w:pPr>
      <w:r>
        <w:rPr>
          <w:rFonts w:hint="eastAsia" w:ascii="宋体" w:hAnsi="宋体" w:cs="宋体"/>
          <w:b/>
          <w:color w:val="auto"/>
          <w:sz w:val="24"/>
          <w:szCs w:val="24"/>
        </w:rPr>
        <w:t>18</w:t>
      </w:r>
      <w:r>
        <w:rPr>
          <w:rFonts w:hint="eastAsia" w:ascii="宋体" w:hAnsi="宋体" w:cs="宋体"/>
          <w:b/>
          <w:color w:val="auto"/>
          <w:sz w:val="24"/>
          <w:szCs w:val="24"/>
          <w:lang w:val="zh-CN"/>
        </w:rPr>
        <w:t>、</w:t>
      </w:r>
      <w:r>
        <w:rPr>
          <w:rFonts w:hint="eastAsia" w:ascii="宋体" w:hAnsi="宋体" w:cs="宋体"/>
          <w:b/>
          <w:color w:val="auto"/>
          <w:sz w:val="24"/>
          <w:szCs w:val="24"/>
        </w:rPr>
        <w:t>磋商有效期</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18.1、</w:t>
      </w:r>
      <w:r>
        <w:rPr>
          <w:rFonts w:hint="eastAsia" w:ascii="宋体" w:hAnsi="宋体" w:cs="宋体"/>
          <w:color w:val="auto"/>
          <w:sz w:val="24"/>
          <w:szCs w:val="24"/>
          <w:lang w:val="zh-CN"/>
        </w:rPr>
        <w:t>磋商有效期见磋商供应商须知前附表。磋商有效期短于此规定期限的磋商，将按无效磋商处理。</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b/>
          <w:color w:val="auto"/>
          <w:sz w:val="24"/>
          <w:szCs w:val="24"/>
          <w:lang w:val="zh-CN"/>
        </w:rPr>
      </w:pPr>
      <w:r>
        <w:rPr>
          <w:rFonts w:hint="eastAsia" w:ascii="宋体" w:hAnsi="宋体" w:cs="宋体"/>
          <w:color w:val="auto"/>
          <w:sz w:val="24"/>
          <w:szCs w:val="24"/>
        </w:rPr>
        <w:t>18.2、在特殊情况下，在原磋商有效期期满之前，采购代理机构可向供应商提出延长磋商有效期的要求。这种要求与答复均应以书面的形式。供应商可以拒绝采购代理机构的这种要求。同意延长的供应商既不能要求也不允许修改其竞争性磋商响应文件。</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b/>
          <w:color w:val="auto"/>
          <w:sz w:val="24"/>
          <w:szCs w:val="24"/>
        </w:rPr>
        <w:t>18.3、</w:t>
      </w:r>
      <w:r>
        <w:rPr>
          <w:rFonts w:hint="eastAsia" w:ascii="宋体" w:hAnsi="宋体" w:cs="宋体"/>
          <w:b/>
          <w:color w:val="auto"/>
          <w:sz w:val="24"/>
          <w:szCs w:val="24"/>
          <w:lang w:val="zh-CN"/>
        </w:rPr>
        <w:t>磋商响应文件有效期为自磋商截止日起90日历天，成交供应商的磋商响应文件有效期自动延长至合同执行完毕。</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b/>
          <w:color w:val="auto"/>
          <w:sz w:val="24"/>
          <w:szCs w:val="24"/>
        </w:rPr>
      </w:pPr>
      <w:r>
        <w:rPr>
          <w:rFonts w:hint="eastAsia" w:ascii="宋体" w:hAnsi="宋体" w:cs="宋体"/>
          <w:b/>
          <w:color w:val="auto"/>
          <w:sz w:val="24"/>
          <w:szCs w:val="24"/>
        </w:rPr>
        <w:t>19</w:t>
      </w:r>
      <w:r>
        <w:rPr>
          <w:rFonts w:hint="eastAsia" w:ascii="宋体" w:hAnsi="宋体" w:cs="宋体"/>
          <w:b/>
          <w:color w:val="auto"/>
          <w:sz w:val="24"/>
          <w:szCs w:val="24"/>
          <w:lang w:val="zh-CN"/>
        </w:rPr>
        <w:t>、磋商响应文件的式样和签署</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19.</w:t>
      </w:r>
      <w:r>
        <w:rPr>
          <w:rFonts w:hint="eastAsia" w:ascii="宋体" w:hAnsi="宋体" w:cs="宋体"/>
          <w:color w:val="auto"/>
          <w:sz w:val="24"/>
          <w:szCs w:val="24"/>
          <w:lang w:val="zh-CN"/>
        </w:rPr>
        <w:t>1、磋商供应商应填写全称，同时加盖磋商供应商单位印章。</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19.2、磋商响应文件中需签字的地方按竞争性磋商文件要求签字，需盖章的地方按竞争性磋商文件要求盖章。</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19.3</w:t>
      </w:r>
      <w:r>
        <w:rPr>
          <w:rFonts w:hint="eastAsia" w:ascii="宋体" w:hAnsi="宋体" w:cs="宋体"/>
          <w:color w:val="auto"/>
          <w:sz w:val="24"/>
          <w:szCs w:val="24"/>
          <w:lang w:val="zh-CN"/>
        </w:rPr>
        <w:t>、</w:t>
      </w:r>
      <w:r>
        <w:rPr>
          <w:rFonts w:hint="eastAsia" w:ascii="宋体" w:hAnsi="宋体" w:cs="宋体"/>
          <w:b/>
          <w:color w:val="auto"/>
          <w:kern w:val="1"/>
          <w:sz w:val="24"/>
          <w:szCs w:val="24"/>
        </w:rPr>
        <w:t>磋商响应文件（正本1份、副本2份、电子文件U盘2份）</w:t>
      </w:r>
      <w:r>
        <w:rPr>
          <w:rFonts w:hint="eastAsia" w:ascii="宋体" w:hAnsi="宋体" w:cs="宋体"/>
          <w:color w:val="auto"/>
          <w:kern w:val="1"/>
          <w:sz w:val="24"/>
          <w:szCs w:val="24"/>
        </w:rPr>
        <w:t>，正、副本须用A4幅面纸张打印或用不褪色的蓝（黑）墨水填写，并清楚标明“正本”“副本”字样，并各自装订成册。副本可以为正本的复印件，但签字盖章处需加盖单位红色印章。如果正本与副本不符，以正本为准。</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19.</w:t>
      </w:r>
      <w:r>
        <w:rPr>
          <w:rFonts w:hint="eastAsia" w:ascii="宋体" w:hAnsi="宋体" w:cs="宋体"/>
          <w:color w:val="auto"/>
          <w:sz w:val="24"/>
          <w:szCs w:val="24"/>
          <w:lang w:val="zh-CN"/>
        </w:rPr>
        <w:t>4、</w:t>
      </w:r>
      <w:r>
        <w:rPr>
          <w:rFonts w:hint="eastAsia" w:ascii="宋体" w:hAnsi="宋体" w:cs="宋体"/>
          <w:b/>
          <w:bCs/>
          <w:color w:val="auto"/>
          <w:sz w:val="24"/>
          <w:szCs w:val="24"/>
          <w:lang w:val="zh-CN"/>
        </w:rPr>
        <w:t>电子文件制作要求，电子文件与纸质正本磋商响应文件的内容应保持一致，具有同等法律效力，包含PDF格式和WORD格式，采用PDF格式的，有盖章和签字的文字页、证件等扫描文件一起编辑到PDF格式文件中，尤其是有盖章和签字的页不能遗漏，采用U盘刻录。</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19.5、</w:t>
      </w:r>
      <w:r>
        <w:rPr>
          <w:rFonts w:hint="eastAsia" w:ascii="宋体" w:hAnsi="宋体" w:cs="宋体"/>
          <w:color w:val="auto"/>
          <w:sz w:val="24"/>
          <w:szCs w:val="24"/>
          <w:lang w:val="zh-CN"/>
        </w:rPr>
        <w:t>磋商响应文件除各供应商对错处做必要修改外，不得行间插字、涂改和增删，如有修改错漏处，必须由供应商法定代表人（或其委托代理人）签字或盖章。</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19.6、</w:t>
      </w:r>
      <w:r>
        <w:rPr>
          <w:rFonts w:hint="eastAsia" w:ascii="宋体" w:hAnsi="宋体" w:cs="宋体"/>
          <w:color w:val="auto"/>
          <w:sz w:val="24"/>
          <w:szCs w:val="24"/>
          <w:lang w:val="zh-CN"/>
        </w:rPr>
        <w:t>因字迹潦草或表达不清所引起的后果由磋商供应商负责。</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b/>
          <w:color w:val="auto"/>
          <w:sz w:val="24"/>
          <w:szCs w:val="24"/>
        </w:rPr>
      </w:pPr>
      <w:r>
        <w:rPr>
          <w:rFonts w:hint="eastAsia" w:ascii="宋体" w:hAnsi="宋体" w:cs="宋体"/>
          <w:b/>
          <w:color w:val="auto"/>
          <w:sz w:val="24"/>
          <w:szCs w:val="24"/>
        </w:rPr>
        <w:t>20、踏勘和磋商预备会</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bCs/>
          <w:color w:val="auto"/>
          <w:sz w:val="24"/>
          <w:szCs w:val="24"/>
        </w:rPr>
      </w:pPr>
      <w:r>
        <w:rPr>
          <w:rFonts w:hint="eastAsia" w:ascii="宋体" w:hAnsi="宋体" w:cs="宋体"/>
          <w:bCs/>
          <w:color w:val="auto"/>
          <w:sz w:val="24"/>
          <w:szCs w:val="24"/>
        </w:rPr>
        <w:t>20.1、本项目不组织统一踏勘。</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bCs/>
          <w:color w:val="auto"/>
          <w:sz w:val="24"/>
          <w:szCs w:val="24"/>
        </w:rPr>
      </w:pPr>
      <w:r>
        <w:rPr>
          <w:rFonts w:hint="eastAsia" w:ascii="宋体" w:hAnsi="宋体" w:cs="宋体"/>
          <w:bCs/>
          <w:color w:val="auto"/>
          <w:sz w:val="24"/>
          <w:szCs w:val="24"/>
        </w:rPr>
        <w:t>20.2、本项目不召开磋商预备会，磋商供应商如有疑问，请以书面形式在规定时间内提交至代理机构。</w:t>
      </w:r>
    </w:p>
    <w:p>
      <w:pPr>
        <w:pStyle w:val="4"/>
        <w:keepLines w:val="0"/>
        <w:pageBreakBefore w:val="0"/>
        <w:widowControl w:val="0"/>
        <w:tabs>
          <w:tab w:val="left" w:pos="576"/>
        </w:tabs>
        <w:kinsoku/>
        <w:wordWrap/>
        <w:overflowPunct/>
        <w:topLinePunct w:val="0"/>
        <w:bidi w:val="0"/>
        <w:spacing w:line="420" w:lineRule="exact"/>
        <w:jc w:val="center"/>
        <w:textAlignment w:val="auto"/>
        <w:rPr>
          <w:rFonts w:ascii="宋体" w:hAnsi="宋体" w:eastAsia="宋体" w:cs="宋体"/>
          <w:b/>
          <w:color w:val="auto"/>
          <w:szCs w:val="28"/>
          <w:lang w:val="zh-CN"/>
        </w:rPr>
      </w:pPr>
      <w:bookmarkStart w:id="6" w:name="_Toc392236633"/>
      <w:bookmarkStart w:id="7" w:name="_Toc233435938"/>
      <w:bookmarkStart w:id="8" w:name="_Toc5363"/>
      <w:bookmarkStart w:id="9" w:name="_Toc13486"/>
      <w:bookmarkStart w:id="10" w:name="_Toc23618"/>
      <w:bookmarkStart w:id="11" w:name="_Toc10117"/>
      <w:bookmarkStart w:id="12" w:name="_Toc7524491"/>
      <w:bookmarkStart w:id="13" w:name="_Toc17826"/>
      <w:bookmarkStart w:id="14" w:name="_Toc386965846"/>
      <w:bookmarkStart w:id="15" w:name="_Toc29488"/>
      <w:bookmarkStart w:id="16" w:name="_Toc22633"/>
      <w:r>
        <w:rPr>
          <w:rFonts w:hint="eastAsia" w:ascii="宋体" w:hAnsi="宋体" w:eastAsia="宋体" w:cs="宋体"/>
          <w:b/>
          <w:color w:val="auto"/>
          <w:szCs w:val="28"/>
          <w:lang w:val="zh-CN"/>
        </w:rPr>
        <w:t>D、响应文件的递交</w:t>
      </w:r>
      <w:bookmarkEnd w:id="6"/>
      <w:bookmarkEnd w:id="7"/>
      <w:bookmarkEnd w:id="8"/>
      <w:bookmarkEnd w:id="9"/>
      <w:bookmarkEnd w:id="10"/>
      <w:bookmarkEnd w:id="11"/>
      <w:bookmarkEnd w:id="12"/>
      <w:bookmarkEnd w:id="13"/>
      <w:bookmarkEnd w:id="14"/>
      <w:bookmarkEnd w:id="15"/>
      <w:bookmarkEnd w:id="16"/>
    </w:p>
    <w:p>
      <w:pPr>
        <w:pStyle w:val="24"/>
        <w:keepLines w:val="0"/>
        <w:pageBreakBefore w:val="0"/>
        <w:widowControl w:val="0"/>
        <w:kinsoku/>
        <w:wordWrap/>
        <w:overflowPunct/>
        <w:topLinePunct w:val="0"/>
        <w:bidi w:val="0"/>
        <w:spacing w:line="420" w:lineRule="exact"/>
        <w:textAlignment w:val="auto"/>
        <w:rPr>
          <w:rFonts w:ascii="宋体" w:hAnsi="宋体" w:cs="宋体"/>
          <w:color w:val="auto"/>
        </w:rPr>
      </w:pP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bCs/>
          <w:color w:val="auto"/>
          <w:sz w:val="24"/>
          <w:szCs w:val="24"/>
          <w:lang w:val="zh-CN"/>
        </w:rPr>
      </w:pPr>
      <w:r>
        <w:rPr>
          <w:rFonts w:hint="eastAsia" w:ascii="宋体" w:hAnsi="宋体" w:cs="宋体"/>
          <w:b/>
          <w:color w:val="auto"/>
          <w:sz w:val="24"/>
          <w:szCs w:val="24"/>
        </w:rPr>
        <w:t>21</w:t>
      </w:r>
      <w:r>
        <w:rPr>
          <w:rFonts w:hint="eastAsia" w:ascii="宋体" w:hAnsi="宋体" w:cs="宋体"/>
          <w:b/>
          <w:color w:val="auto"/>
          <w:sz w:val="24"/>
          <w:szCs w:val="24"/>
          <w:lang w:val="zh-CN"/>
        </w:rPr>
        <w:t>、磋商响应文件的密封、标记及递交</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bCs/>
          <w:color w:val="auto"/>
          <w:sz w:val="24"/>
          <w:szCs w:val="24"/>
          <w:lang w:val="zh-CN"/>
        </w:rPr>
      </w:pPr>
      <w:r>
        <w:rPr>
          <w:rFonts w:hint="eastAsia" w:ascii="宋体" w:hAnsi="宋体" w:cs="宋体"/>
          <w:bCs/>
          <w:color w:val="auto"/>
          <w:sz w:val="24"/>
          <w:szCs w:val="24"/>
        </w:rPr>
        <w:t>21</w:t>
      </w:r>
      <w:r>
        <w:rPr>
          <w:rFonts w:hint="eastAsia" w:ascii="宋体" w:hAnsi="宋体" w:cs="宋体"/>
          <w:bCs/>
          <w:color w:val="auto"/>
          <w:sz w:val="24"/>
          <w:szCs w:val="24"/>
          <w:lang w:val="zh-CN"/>
        </w:rPr>
        <w:t>.1 磋商响应文件应密封在密封袋内。正本单独密封在一个密封袋内，所有副本密封在一个密封袋内，</w:t>
      </w:r>
      <w:r>
        <w:rPr>
          <w:rFonts w:hint="eastAsia" w:ascii="宋体" w:hAnsi="宋体" w:cs="宋体"/>
          <w:bCs/>
          <w:color w:val="auto"/>
          <w:sz w:val="24"/>
          <w:szCs w:val="24"/>
        </w:rPr>
        <w:t>电子版文件</w:t>
      </w:r>
      <w:r>
        <w:rPr>
          <w:rFonts w:hint="eastAsia" w:ascii="宋体" w:hAnsi="宋体" w:cs="宋体"/>
          <w:bCs/>
          <w:color w:val="auto"/>
          <w:sz w:val="24"/>
          <w:szCs w:val="24"/>
          <w:lang w:val="zh-CN"/>
        </w:rPr>
        <w:t>单独密封在一个密封袋内</w:t>
      </w:r>
      <w:r>
        <w:rPr>
          <w:rFonts w:hint="eastAsia" w:ascii="宋体" w:hAnsi="宋体" w:cs="宋体"/>
          <w:bCs/>
          <w:color w:val="auto"/>
          <w:sz w:val="24"/>
          <w:szCs w:val="24"/>
        </w:rPr>
        <w:t>。</w:t>
      </w:r>
      <w:r>
        <w:rPr>
          <w:rFonts w:hint="eastAsia" w:ascii="宋体" w:hAnsi="宋体" w:cs="宋体"/>
          <w:bCs/>
          <w:color w:val="auto"/>
          <w:sz w:val="24"/>
          <w:szCs w:val="24"/>
          <w:lang w:val="zh-CN"/>
        </w:rPr>
        <w:t>封袋封口处应加贴封条密封，并在封线处加盖公章（骑缝章）。</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bCs/>
          <w:color w:val="auto"/>
          <w:sz w:val="24"/>
          <w:szCs w:val="24"/>
          <w:lang w:val="zh-CN"/>
        </w:rPr>
      </w:pPr>
      <w:r>
        <w:rPr>
          <w:rFonts w:hint="eastAsia" w:ascii="宋体" w:hAnsi="宋体" w:cs="宋体"/>
          <w:bCs/>
          <w:color w:val="auto"/>
          <w:sz w:val="24"/>
          <w:szCs w:val="24"/>
        </w:rPr>
        <w:t>21</w:t>
      </w:r>
      <w:r>
        <w:rPr>
          <w:rFonts w:hint="eastAsia" w:ascii="宋体" w:hAnsi="宋体" w:cs="宋体"/>
          <w:bCs/>
          <w:color w:val="auto"/>
          <w:sz w:val="24"/>
          <w:szCs w:val="24"/>
          <w:lang w:val="zh-CN"/>
        </w:rPr>
        <w:t>.2 封皮上写明：</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zh-CN"/>
        </w:rPr>
        <w:t>项目名称：</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zh-CN"/>
        </w:rPr>
        <w:t>项目编号：</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zh-CN"/>
        </w:rPr>
        <w:t>供应商名称：</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zh-CN"/>
        </w:rPr>
        <w:t>磋商响应文件在202</w:t>
      </w:r>
      <w:r>
        <w:rPr>
          <w:rFonts w:hint="eastAsia" w:ascii="宋体" w:hAnsi="宋体" w:cs="宋体"/>
          <w:color w:val="auto"/>
          <w:sz w:val="24"/>
          <w:szCs w:val="24"/>
        </w:rPr>
        <w:t>2</w:t>
      </w:r>
      <w:r>
        <w:rPr>
          <w:rFonts w:hint="eastAsia" w:ascii="宋体" w:hAnsi="宋体" w:cs="宋体"/>
          <w:color w:val="auto"/>
          <w:sz w:val="24"/>
          <w:szCs w:val="24"/>
          <w:lang w:val="zh-CN"/>
        </w:rPr>
        <w:t>年  月  日  时  分前“不得开启”字样</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rPr>
        <w:t>21.3</w:t>
      </w:r>
      <w:r>
        <w:rPr>
          <w:rFonts w:hint="eastAsia" w:ascii="宋体" w:hAnsi="宋体" w:cs="宋体"/>
          <w:color w:val="auto"/>
          <w:sz w:val="24"/>
          <w:szCs w:val="24"/>
          <w:lang w:val="zh-CN"/>
        </w:rPr>
        <w:t>、响应文件必须密封递交。对封装材料及样式不作特别规定，但供应商应当保证其封装的可靠性，不致因搬运、堆放等原因散开。所有密封袋/箱和响应文件封面须标明项目名称、采购项目编号、供应商名称及“正本”、“副本”</w:t>
      </w:r>
      <w:r>
        <w:rPr>
          <w:rFonts w:hint="eastAsia" w:ascii="宋体" w:hAnsi="宋体" w:cs="宋体"/>
          <w:color w:val="auto"/>
          <w:sz w:val="24"/>
          <w:szCs w:val="24"/>
        </w:rPr>
        <w:t>或“电子文件”等</w:t>
      </w:r>
      <w:r>
        <w:rPr>
          <w:rFonts w:hint="eastAsia" w:ascii="宋体" w:hAnsi="宋体" w:cs="宋体"/>
          <w:color w:val="auto"/>
          <w:sz w:val="24"/>
          <w:szCs w:val="24"/>
          <w:lang w:val="zh-CN"/>
        </w:rPr>
        <w:t>字样。</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rPr>
        <w:t>21.4、</w:t>
      </w:r>
      <w:r>
        <w:rPr>
          <w:rFonts w:hint="eastAsia" w:ascii="宋体" w:hAnsi="宋体" w:cs="宋体"/>
          <w:color w:val="auto"/>
          <w:sz w:val="24"/>
          <w:szCs w:val="24"/>
          <w:lang w:val="zh-CN"/>
        </w:rPr>
        <w:t>响应文件未按要求密封和加写标记，采购代理机构应当拒收；采购代理机构对误投或过早启封的响应文件概不负责。</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21.5、供应商应按照竞争性磋商公告中规定的时间、地点，在规定的竞争性磋商响应文件递交截止时间前将全部竞争性磋商响应文件和磋商资料递交至采购代理机构接收人处。</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21.6、采购代理机构在竞争性磋商文件规定的竞争性磋商响应文件递交截止时间前，只负责竞争性磋商响应文件的接收、清点、造册登记工作，并请递交人签字确认，对其有效性不负任何责任。</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21.7、无论供应商成交与否，其竞争性磋商响应文件恕不退还。</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b/>
          <w:bCs/>
          <w:color w:val="auto"/>
          <w:sz w:val="24"/>
          <w:szCs w:val="24"/>
        </w:rPr>
      </w:pPr>
      <w:r>
        <w:rPr>
          <w:rFonts w:hint="eastAsia" w:ascii="宋体" w:hAnsi="宋体" w:cs="宋体"/>
          <w:b/>
          <w:bCs/>
          <w:color w:val="auto"/>
          <w:sz w:val="24"/>
          <w:szCs w:val="24"/>
        </w:rPr>
        <w:t>22、磋商截止时间</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22.1、所有响应文件都必须按“采购公告”中规定的统一递交响应文件时间送达“采购公告”中规定的递交地址。</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22.2、出现因磋商文件的修改推迟投标截止日期时，则按修改通知规定的时间递交。</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22.3、在响应文件递交截止时间之后递交的任何响应文件及资料将被拒绝接收。</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22.4、拒绝接受以电报、电话、传真、电子邮件形式的投标。</w:t>
      </w:r>
    </w:p>
    <w:p>
      <w:pPr>
        <w:keepLines w:val="0"/>
        <w:pageBreakBefore w:val="0"/>
        <w:widowControl w:val="0"/>
        <w:kinsoku/>
        <w:wordWrap/>
        <w:overflowPunct/>
        <w:topLinePunct w:val="0"/>
        <w:autoSpaceDE w:val="0"/>
        <w:autoSpaceDN w:val="0"/>
        <w:bidi w:val="0"/>
        <w:adjustRightInd w:val="0"/>
        <w:spacing w:line="420" w:lineRule="exact"/>
        <w:ind w:firstLine="482" w:firstLineChars="200"/>
        <w:textAlignment w:val="auto"/>
        <w:rPr>
          <w:rFonts w:ascii="宋体" w:hAnsi="宋体" w:cs="宋体"/>
          <w:b/>
          <w:bCs/>
          <w:color w:val="auto"/>
          <w:sz w:val="24"/>
          <w:szCs w:val="24"/>
          <w:lang w:val="zh-CN"/>
        </w:rPr>
      </w:pPr>
      <w:r>
        <w:rPr>
          <w:rFonts w:hint="eastAsia" w:ascii="宋体" w:hAnsi="宋体" w:cs="宋体"/>
          <w:b/>
          <w:bCs/>
          <w:color w:val="auto"/>
          <w:sz w:val="24"/>
          <w:szCs w:val="24"/>
        </w:rPr>
        <w:t>23</w:t>
      </w:r>
      <w:r>
        <w:rPr>
          <w:rFonts w:hint="eastAsia" w:ascii="宋体" w:hAnsi="宋体" w:cs="宋体"/>
          <w:b/>
          <w:bCs/>
          <w:color w:val="auto"/>
          <w:sz w:val="24"/>
          <w:szCs w:val="24"/>
          <w:lang w:val="zh-CN"/>
        </w:rPr>
        <w:t>、</w:t>
      </w:r>
      <w:r>
        <w:rPr>
          <w:rFonts w:hint="eastAsia" w:ascii="宋体" w:hAnsi="宋体" w:cs="宋体"/>
          <w:b/>
          <w:color w:val="auto"/>
          <w:kern w:val="1"/>
          <w:sz w:val="24"/>
          <w:szCs w:val="24"/>
        </w:rPr>
        <w:t>磋商响应文件的修改与撤回</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rPr>
        <w:t>23.1</w:t>
      </w:r>
      <w:r>
        <w:rPr>
          <w:rFonts w:hint="eastAsia" w:ascii="宋体" w:hAnsi="宋体" w:cs="宋体"/>
          <w:color w:val="auto"/>
          <w:sz w:val="24"/>
          <w:szCs w:val="24"/>
          <w:lang w:val="zh-CN"/>
        </w:rPr>
        <w:t>、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zh-CN"/>
        </w:rPr>
        <w:t>2</w:t>
      </w:r>
      <w:r>
        <w:rPr>
          <w:rFonts w:hint="eastAsia" w:ascii="宋体" w:hAnsi="宋体" w:cs="宋体"/>
          <w:color w:val="auto"/>
          <w:sz w:val="24"/>
          <w:szCs w:val="24"/>
        </w:rPr>
        <w:t>3</w:t>
      </w:r>
      <w:r>
        <w:rPr>
          <w:rFonts w:hint="eastAsia" w:ascii="宋体" w:hAnsi="宋体" w:cs="宋体"/>
          <w:color w:val="auto"/>
          <w:sz w:val="24"/>
          <w:szCs w:val="24"/>
          <w:lang w:val="zh-CN"/>
        </w:rPr>
        <w:t>.2、供应商的修改或撤回或变动价格的通知应按本须知第</w:t>
      </w:r>
      <w:r>
        <w:rPr>
          <w:rFonts w:hint="eastAsia" w:ascii="宋体" w:hAnsi="宋体" w:cs="宋体"/>
          <w:color w:val="auto"/>
          <w:sz w:val="24"/>
          <w:szCs w:val="24"/>
        </w:rPr>
        <w:t>21</w:t>
      </w:r>
      <w:r>
        <w:rPr>
          <w:rFonts w:hint="eastAsia" w:ascii="宋体" w:hAnsi="宋体" w:cs="宋体"/>
          <w:color w:val="auto"/>
          <w:sz w:val="24"/>
          <w:szCs w:val="24"/>
          <w:lang w:val="zh-CN"/>
        </w:rPr>
        <w:t>条的规定编制、密封、标记和递交。</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b/>
          <w:color w:val="auto"/>
          <w:sz w:val="24"/>
          <w:szCs w:val="24"/>
          <w:lang w:val="zh-CN"/>
        </w:rPr>
      </w:pPr>
      <w:r>
        <w:rPr>
          <w:rFonts w:hint="eastAsia" w:ascii="宋体" w:hAnsi="宋体" w:cs="宋体"/>
          <w:color w:val="auto"/>
          <w:sz w:val="24"/>
          <w:szCs w:val="24"/>
        </w:rPr>
        <w:t>23.3</w:t>
      </w:r>
      <w:r>
        <w:rPr>
          <w:rFonts w:hint="eastAsia" w:ascii="宋体" w:hAnsi="宋体" w:cs="宋体"/>
          <w:color w:val="auto"/>
          <w:sz w:val="24"/>
          <w:szCs w:val="24"/>
          <w:lang w:val="zh-CN"/>
        </w:rPr>
        <w:t>、在磋商截止时间之后，供应商不得对其磋商响应文件做任何修改或撤回。</w:t>
      </w:r>
    </w:p>
    <w:p>
      <w:pPr>
        <w:pStyle w:val="4"/>
        <w:keepLines w:val="0"/>
        <w:pageBreakBefore w:val="0"/>
        <w:widowControl w:val="0"/>
        <w:tabs>
          <w:tab w:val="left" w:pos="576"/>
        </w:tabs>
        <w:kinsoku/>
        <w:wordWrap/>
        <w:overflowPunct/>
        <w:topLinePunct w:val="0"/>
        <w:bidi w:val="0"/>
        <w:spacing w:line="420" w:lineRule="exact"/>
        <w:jc w:val="center"/>
        <w:textAlignment w:val="auto"/>
        <w:rPr>
          <w:rFonts w:ascii="宋体" w:hAnsi="宋体" w:eastAsia="宋体" w:cs="宋体"/>
          <w:b/>
          <w:color w:val="auto"/>
          <w:szCs w:val="28"/>
          <w:lang w:val="zh-CN"/>
        </w:rPr>
      </w:pPr>
      <w:r>
        <w:rPr>
          <w:rFonts w:hint="eastAsia" w:ascii="宋体" w:hAnsi="宋体" w:eastAsia="宋体" w:cs="宋体"/>
          <w:b/>
          <w:color w:val="auto"/>
          <w:szCs w:val="28"/>
          <w:lang w:val="zh-CN"/>
        </w:rPr>
        <w:t>E、磋商及评审</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b/>
          <w:bCs/>
          <w:color w:val="auto"/>
          <w:sz w:val="24"/>
          <w:szCs w:val="24"/>
        </w:rPr>
      </w:pPr>
      <w:r>
        <w:rPr>
          <w:rFonts w:hint="eastAsia" w:ascii="宋体" w:hAnsi="宋体" w:cs="宋体"/>
          <w:b/>
          <w:bCs/>
          <w:color w:val="auto"/>
          <w:sz w:val="24"/>
          <w:szCs w:val="24"/>
        </w:rPr>
        <w:t>24、磋商大会</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rPr>
      </w:pPr>
      <w:r>
        <w:rPr>
          <w:rFonts w:hint="eastAsia" w:ascii="宋体" w:hAnsi="宋体" w:cs="宋体"/>
          <w:color w:val="auto"/>
          <w:sz w:val="24"/>
          <w:szCs w:val="24"/>
        </w:rPr>
        <w:t>24.1、采购代理机构按竞争性磋商文件规定的时间、地点组织磋商。</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rPr>
      </w:pPr>
      <w:r>
        <w:rPr>
          <w:rFonts w:hint="eastAsia" w:ascii="宋体" w:hAnsi="宋体" w:cs="宋体"/>
          <w:color w:val="auto"/>
          <w:sz w:val="24"/>
          <w:szCs w:val="24"/>
        </w:rPr>
        <w:t>24.2、磋商大会由采购代理机构主持，采购人代表、磋商供应商等相关人员参加。</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rPr>
      </w:pPr>
      <w:r>
        <w:rPr>
          <w:rFonts w:hint="eastAsia" w:ascii="宋体" w:hAnsi="宋体" w:cs="宋体"/>
          <w:color w:val="auto"/>
          <w:sz w:val="24"/>
          <w:szCs w:val="24"/>
        </w:rPr>
        <w:t>24.3、磋商供应商应派法定代表人或者授权代表出席开标会，参加开标的代表应签名报到，以证明其出席。磋商供应商的法定代表人或授权代表未出席开标会的，视为其认同磋商结果。</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rPr>
      </w:pPr>
      <w:r>
        <w:rPr>
          <w:rFonts w:hint="eastAsia" w:ascii="宋体" w:hAnsi="宋体" w:cs="宋体"/>
          <w:color w:val="auto"/>
          <w:sz w:val="24"/>
          <w:szCs w:val="24"/>
        </w:rPr>
        <w:t>24.4、磋商大会程序：</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rPr>
      </w:pPr>
      <w:r>
        <w:rPr>
          <w:rFonts w:hint="eastAsia" w:ascii="宋体" w:hAnsi="宋体" w:cs="宋体"/>
          <w:color w:val="auto"/>
          <w:sz w:val="24"/>
          <w:szCs w:val="24"/>
        </w:rPr>
        <w:t>24.4.1宣布磋商大会现场纪律。</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rPr>
      </w:pPr>
      <w:r>
        <w:rPr>
          <w:rFonts w:hint="eastAsia" w:ascii="宋体" w:hAnsi="宋体" w:cs="宋体"/>
          <w:color w:val="auto"/>
          <w:sz w:val="24"/>
          <w:szCs w:val="24"/>
        </w:rPr>
        <w:t>24.4.2公布递交磋商响应文件的磋商供应商名称。</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rPr>
      </w:pPr>
      <w:r>
        <w:rPr>
          <w:rFonts w:hint="eastAsia" w:ascii="宋体" w:hAnsi="宋体" w:cs="宋体"/>
          <w:color w:val="auto"/>
          <w:sz w:val="24"/>
          <w:szCs w:val="24"/>
        </w:rPr>
        <w:t>24.4.3查验磋商响应文件的密封情况。</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rPr>
      </w:pPr>
      <w:r>
        <w:rPr>
          <w:rFonts w:hint="eastAsia" w:ascii="宋体" w:hAnsi="宋体" w:cs="宋体"/>
          <w:color w:val="auto"/>
          <w:sz w:val="24"/>
          <w:szCs w:val="24"/>
        </w:rPr>
        <w:t>24.5、采购代理机构对开标过程做好记录，并存档备案。</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rPr>
      </w:pPr>
      <w:r>
        <w:rPr>
          <w:rFonts w:hint="eastAsia" w:ascii="宋体" w:hAnsi="宋体" w:cs="宋体"/>
          <w:b/>
          <w:bCs/>
          <w:color w:val="auto"/>
          <w:sz w:val="24"/>
          <w:szCs w:val="24"/>
        </w:rPr>
        <w:t>25、评审程序</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rPr>
      </w:pPr>
      <w:r>
        <w:rPr>
          <w:rFonts w:hint="eastAsia" w:ascii="宋体" w:hAnsi="宋体" w:cs="宋体"/>
          <w:color w:val="auto"/>
          <w:sz w:val="24"/>
          <w:szCs w:val="24"/>
        </w:rPr>
        <w:t>按照竞争性磋商响应文件初审、澄清有关问题、分别磋商、二次报价、比较与评审、推荐成交候选人名单的工作程序进行评审。在上一步评审中被认定为无效磋商者，不进入下一步的评审</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b/>
          <w:bCs/>
          <w:color w:val="auto"/>
          <w:sz w:val="24"/>
          <w:szCs w:val="24"/>
        </w:rPr>
      </w:pPr>
      <w:r>
        <w:rPr>
          <w:rFonts w:hint="eastAsia" w:ascii="宋体" w:hAnsi="宋体" w:cs="宋体"/>
          <w:b/>
          <w:bCs/>
          <w:color w:val="auto"/>
          <w:sz w:val="24"/>
          <w:szCs w:val="24"/>
        </w:rPr>
        <w:t>26、评审组织及评审原则</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rPr>
      </w:pPr>
      <w:r>
        <w:rPr>
          <w:rFonts w:hint="eastAsia" w:ascii="宋体" w:hAnsi="宋体" w:cs="宋体"/>
          <w:color w:val="auto"/>
          <w:sz w:val="24"/>
          <w:szCs w:val="24"/>
        </w:rPr>
        <w:t>26.1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rPr>
      </w:pPr>
      <w:r>
        <w:rPr>
          <w:rFonts w:hint="eastAsia" w:ascii="宋体" w:hAnsi="宋体" w:cs="宋体"/>
          <w:color w:val="auto"/>
          <w:sz w:val="24"/>
          <w:szCs w:val="24"/>
        </w:rPr>
        <w:t>26.2、竞争性磋商文件和竞争性磋商响应文件是评审的依据。在评审中，不得改变竞争性磋商文件中规定的评审标准、方法和成交条件。</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rPr>
      </w:pPr>
      <w:r>
        <w:rPr>
          <w:rFonts w:hint="eastAsia" w:ascii="宋体" w:hAnsi="宋体" w:cs="宋体"/>
          <w:color w:val="auto"/>
          <w:sz w:val="24"/>
          <w:szCs w:val="24"/>
        </w:rPr>
        <w:t>26.3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rPr>
      </w:pPr>
      <w:r>
        <w:rPr>
          <w:rFonts w:hint="eastAsia" w:ascii="宋体" w:hAnsi="宋体" w:cs="宋体"/>
          <w:color w:val="auto"/>
          <w:sz w:val="24"/>
          <w:szCs w:val="24"/>
        </w:rPr>
        <w:t>26.4、如果供应商在澄清规定期限内，未能答复或拒绝答复磋商小组提出的澄清要求，将由磋商小组根据其竞争性磋商响应文件按最大风险进行评审。</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rPr>
      </w:pPr>
      <w:r>
        <w:rPr>
          <w:rFonts w:hint="eastAsia" w:ascii="宋体" w:hAnsi="宋体" w:cs="宋体"/>
          <w:color w:val="auto"/>
          <w:sz w:val="24"/>
          <w:szCs w:val="24"/>
        </w:rPr>
        <w:t>26.5、磋商过程中的实质性变动：</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rPr>
      </w:pPr>
      <w:r>
        <w:rPr>
          <w:rFonts w:hint="eastAsia" w:ascii="宋体" w:hAnsi="宋体" w:cs="宋体"/>
          <w:color w:val="auto"/>
          <w:sz w:val="24"/>
          <w:szCs w:val="24"/>
        </w:rPr>
        <w:t>26.5.1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rPr>
      </w:pPr>
      <w:r>
        <w:rPr>
          <w:rFonts w:hint="eastAsia" w:ascii="宋体" w:hAnsi="宋体" w:cs="宋体"/>
          <w:color w:val="auto"/>
          <w:sz w:val="24"/>
          <w:szCs w:val="24"/>
        </w:rPr>
        <w:t>26.5.2、对竞争性磋商文件做出的实质性变动是磋商文件的有效组成部分，磋商小组应当及时以书面形式通知所有参加磋商的供应商。</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rPr>
      </w:pPr>
      <w:r>
        <w:rPr>
          <w:rFonts w:hint="eastAsia" w:ascii="宋体" w:hAnsi="宋体" w:cs="宋体"/>
          <w:color w:val="auto"/>
          <w:sz w:val="24"/>
          <w:szCs w:val="24"/>
        </w:rPr>
        <w:t>26.6、竞争性磋商响应文件的资格性审查</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rPr>
      </w:pPr>
      <w:r>
        <w:rPr>
          <w:rFonts w:hint="eastAsia" w:ascii="宋体" w:hAnsi="宋体" w:cs="宋体"/>
          <w:color w:val="auto"/>
          <w:sz w:val="24"/>
          <w:szCs w:val="24"/>
        </w:rPr>
        <w:t>26.6.1开标结束后，采购人或采购代理机构依据法律法规和磋商文件的规定，对响应文件中的供应商资格证明文件进行审查，以确定供应商是否具备磋商资格。</w:t>
      </w:r>
    </w:p>
    <w:p>
      <w:pPr>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出现下列情形的，响应文件将被视为无效：</w:t>
      </w:r>
    </w:p>
    <w:p>
      <w:pPr>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(1)不具备磋商文件中规定的资格要求的；</w:t>
      </w:r>
    </w:p>
    <w:p>
      <w:pPr>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(2)未按磋商文件要求提供资格证明文件，或未按磋商文件要求加盖公章的；</w:t>
      </w:r>
    </w:p>
    <w:p>
      <w:pPr>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(3)监标人认为供应商的资格证明文件存在疑点，需提供更清晰有效的证明文件，供应商不能在规定时限内提供符合磋商文件要求的证明文件的。</w:t>
      </w:r>
    </w:p>
    <w:p>
      <w:pPr>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资格审查结束后，监标人应当对审查结果进行签字确认，并告知有关供应商未通过审查的原因。</w:t>
      </w:r>
    </w:p>
    <w:p>
      <w:pPr>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通过资格审查的供应商不足 3 家的，不得进行符合性审查，应予以废标。</w:t>
      </w:r>
    </w:p>
    <w:p>
      <w:pPr>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26.7、关于信用记录的查询和使用</w:t>
      </w:r>
    </w:p>
    <w:p>
      <w:pPr>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26.7.1、供应商不得为列入信用中国(www.creditchina.gov.cn)记录失信被执行人或重大税收违法案件当事人名单或中国政府采购网(www.ccgp.gov.cn)的政府采购严重违法失信行为记录名单。</w:t>
      </w:r>
    </w:p>
    <w:p>
      <w:pPr>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26.7.2、供应商在参加政府采购活动前 3 年内因违法经营被禁止在一定期限内参加政府采购活动，期限届满的，可以参加政府采购活动的，但供应商应提供相关证明材料。</w:t>
      </w:r>
    </w:p>
    <w:p>
      <w:pPr>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26.7.3、供应商信用记录及企业基本信息查询的时间段为“磋商公告发布之日（含当日）至提交响应文件截止之日（含当日）”。信用记录查询的结果，以纸质截图并附在响应文件中的形式留存。</w:t>
      </w:r>
    </w:p>
    <w:p>
      <w:pPr>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26.7.4、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Lines w:val="0"/>
        <w:pageBreakBefore w:val="0"/>
        <w:widowControl w:val="0"/>
        <w:kinsoku/>
        <w:wordWrap/>
        <w:overflowPunct/>
        <w:topLinePunct w:val="0"/>
        <w:bidi w:val="0"/>
        <w:spacing w:line="420" w:lineRule="exact"/>
        <w:ind w:firstLine="482" w:firstLineChars="200"/>
        <w:textAlignment w:val="auto"/>
        <w:rPr>
          <w:rFonts w:ascii="宋体" w:hAnsi="宋体" w:cs="宋体"/>
          <w:b/>
          <w:bCs/>
          <w:color w:val="auto"/>
          <w:sz w:val="24"/>
          <w:szCs w:val="24"/>
        </w:rPr>
      </w:pPr>
      <w:r>
        <w:rPr>
          <w:rFonts w:hint="eastAsia" w:ascii="宋体" w:hAnsi="宋体" w:cs="宋体"/>
          <w:b/>
          <w:bCs/>
          <w:color w:val="auto"/>
          <w:sz w:val="24"/>
          <w:szCs w:val="24"/>
        </w:rPr>
        <w:t>注：若供应商在失信行为记录名单中，则其响应文件无效。采购代理机构将打印查询记录作为证据留存。</w:t>
      </w:r>
    </w:p>
    <w:p>
      <w:pPr>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26.8、竞争性磋商响应文件的符合性审查</w:t>
      </w:r>
    </w:p>
    <w:p>
      <w:pPr>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磋商小组依据磋商文件的规定，对响应文件的有效性、完整性和对磋商文件的响应程度进行审查，以确定是否对磋商文件的全部实质性要求做出响应。</w:t>
      </w:r>
    </w:p>
    <w:p>
      <w:pPr>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磋商小组要审查每份响应文件是否实质上响应了磋商文件的要求。实质上没有响应磋商文件要求的响应文件作无效响应处理，磋商小组应告知有关供应商未通过审查的原因。供应商不得通过修正或撤销不符之处而使其成为实质上响应。</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b/>
          <w:bCs/>
          <w:color w:val="auto"/>
          <w:sz w:val="24"/>
          <w:szCs w:val="24"/>
          <w:lang w:val="zh-CN"/>
        </w:rPr>
      </w:pPr>
      <w:r>
        <w:rPr>
          <w:rFonts w:hint="eastAsia" w:ascii="宋体" w:hAnsi="宋体" w:cs="宋体"/>
          <w:b/>
          <w:bCs/>
          <w:color w:val="auto"/>
          <w:sz w:val="24"/>
          <w:szCs w:val="24"/>
          <w:lang w:val="zh-CN"/>
        </w:rPr>
        <w:t>2</w:t>
      </w:r>
      <w:r>
        <w:rPr>
          <w:rFonts w:hint="eastAsia" w:ascii="宋体" w:hAnsi="宋体" w:cs="宋体"/>
          <w:b/>
          <w:bCs/>
          <w:color w:val="auto"/>
          <w:sz w:val="24"/>
          <w:szCs w:val="24"/>
        </w:rPr>
        <w:t>6.9</w:t>
      </w:r>
      <w:r>
        <w:rPr>
          <w:rFonts w:hint="eastAsia" w:ascii="宋体" w:hAnsi="宋体" w:cs="宋体"/>
          <w:b/>
          <w:bCs/>
          <w:color w:val="auto"/>
          <w:sz w:val="24"/>
          <w:szCs w:val="24"/>
          <w:lang w:val="zh-CN"/>
        </w:rPr>
        <w:t>、</w:t>
      </w:r>
      <w:r>
        <w:rPr>
          <w:rFonts w:hint="eastAsia" w:ascii="宋体" w:hAnsi="宋体" w:cs="宋体"/>
          <w:b/>
          <w:bCs/>
          <w:color w:val="auto"/>
          <w:sz w:val="24"/>
          <w:szCs w:val="24"/>
        </w:rPr>
        <w:t>评审中，</w:t>
      </w:r>
      <w:r>
        <w:rPr>
          <w:rFonts w:hint="eastAsia" w:ascii="宋体" w:hAnsi="宋体" w:cs="宋体"/>
          <w:b/>
          <w:bCs/>
          <w:color w:val="auto"/>
          <w:sz w:val="24"/>
          <w:szCs w:val="24"/>
          <w:lang w:val="zh-CN"/>
        </w:rPr>
        <w:t>磋商采购响应文件出现下列情况，修正原则为：</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rPr>
      </w:pPr>
      <w:r>
        <w:rPr>
          <w:rFonts w:hint="eastAsia" w:ascii="宋体" w:hAnsi="宋体" w:cs="宋体"/>
          <w:color w:val="auto"/>
          <w:sz w:val="24"/>
          <w:szCs w:val="24"/>
          <w:lang w:val="zh-CN"/>
        </w:rPr>
        <w:t>2</w:t>
      </w:r>
      <w:r>
        <w:rPr>
          <w:rFonts w:hint="eastAsia" w:ascii="宋体" w:hAnsi="宋体" w:cs="宋体"/>
          <w:color w:val="auto"/>
          <w:sz w:val="24"/>
          <w:szCs w:val="24"/>
        </w:rPr>
        <w:t>6.9.1、磋商响应函内容与磋商报价表内容不一致的，以磋商响应函为准；</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lang w:val="zh-CN"/>
        </w:rPr>
        <w:t>2</w:t>
      </w:r>
      <w:r>
        <w:rPr>
          <w:rFonts w:hint="eastAsia" w:ascii="宋体" w:hAnsi="宋体" w:cs="宋体"/>
          <w:color w:val="auto"/>
          <w:sz w:val="24"/>
          <w:szCs w:val="24"/>
        </w:rPr>
        <w:t>6.9.2、</w:t>
      </w:r>
      <w:r>
        <w:rPr>
          <w:rFonts w:hint="eastAsia" w:ascii="宋体" w:hAnsi="宋体" w:cs="宋体"/>
          <w:color w:val="auto"/>
          <w:sz w:val="24"/>
          <w:szCs w:val="24"/>
          <w:lang w:val="zh-CN"/>
        </w:rPr>
        <w:t>报价的大写金额和小写金额不一致的，以大写金额为准；</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lang w:val="zh-CN"/>
        </w:rPr>
        <w:t>2</w:t>
      </w:r>
      <w:r>
        <w:rPr>
          <w:rFonts w:hint="eastAsia" w:ascii="宋体" w:hAnsi="宋体" w:cs="宋体"/>
          <w:color w:val="auto"/>
          <w:sz w:val="24"/>
          <w:szCs w:val="24"/>
        </w:rPr>
        <w:t>6.9.3、</w:t>
      </w:r>
      <w:r>
        <w:rPr>
          <w:rFonts w:hint="eastAsia" w:ascii="宋体" w:hAnsi="宋体" w:cs="宋体"/>
          <w:color w:val="auto"/>
          <w:sz w:val="24"/>
          <w:szCs w:val="24"/>
          <w:lang w:val="zh-CN"/>
        </w:rPr>
        <w:t>总价金额与按单价汇总金额不一致的，以单价汇总金额为准；</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lang w:val="zh-CN"/>
        </w:rPr>
        <w:t>2</w:t>
      </w:r>
      <w:r>
        <w:rPr>
          <w:rFonts w:hint="eastAsia" w:ascii="宋体" w:hAnsi="宋体" w:cs="宋体"/>
          <w:color w:val="auto"/>
          <w:sz w:val="24"/>
          <w:szCs w:val="24"/>
        </w:rPr>
        <w:t>6.9.4、</w:t>
      </w:r>
      <w:r>
        <w:rPr>
          <w:rFonts w:hint="eastAsia" w:ascii="宋体" w:hAnsi="宋体" w:cs="宋体"/>
          <w:color w:val="auto"/>
          <w:sz w:val="24"/>
          <w:szCs w:val="24"/>
          <w:lang w:val="zh-CN"/>
        </w:rPr>
        <w:t>单价金额小数点有明显错位的，以总价为准，并修改单价；</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lang w:val="zh-CN"/>
        </w:rPr>
        <w:t>2</w:t>
      </w:r>
      <w:r>
        <w:rPr>
          <w:rFonts w:hint="eastAsia" w:ascii="宋体" w:hAnsi="宋体" w:cs="宋体"/>
          <w:color w:val="auto"/>
          <w:sz w:val="24"/>
          <w:szCs w:val="24"/>
        </w:rPr>
        <w:t>6.9.5、</w:t>
      </w:r>
      <w:r>
        <w:rPr>
          <w:rFonts w:hint="eastAsia" w:ascii="宋体" w:hAnsi="宋体" w:cs="宋体"/>
          <w:color w:val="auto"/>
          <w:sz w:val="24"/>
          <w:szCs w:val="24"/>
          <w:lang w:val="zh-CN"/>
        </w:rPr>
        <w:t>磋商响应文件正本与副本不一致的，以正本为准；</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lang w:val="zh-CN"/>
        </w:rPr>
        <w:t>2</w:t>
      </w:r>
      <w:r>
        <w:rPr>
          <w:rFonts w:hint="eastAsia" w:ascii="宋体" w:hAnsi="宋体" w:cs="宋体"/>
          <w:color w:val="auto"/>
          <w:sz w:val="24"/>
          <w:szCs w:val="24"/>
        </w:rPr>
        <w:t>6.9.6、</w:t>
      </w:r>
      <w:r>
        <w:rPr>
          <w:rFonts w:hint="eastAsia" w:ascii="宋体" w:hAnsi="宋体" w:cs="宋体"/>
          <w:color w:val="auto"/>
          <w:sz w:val="24"/>
          <w:szCs w:val="24"/>
          <w:lang w:val="zh-CN"/>
        </w:rPr>
        <w:t>多处内容交叉不符时，以磋商小组评审结果为准；</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lang w:val="zh-CN"/>
        </w:rPr>
        <w:t>2</w:t>
      </w:r>
      <w:r>
        <w:rPr>
          <w:rFonts w:hint="eastAsia" w:ascii="宋体" w:hAnsi="宋体" w:cs="宋体"/>
          <w:color w:val="auto"/>
          <w:sz w:val="24"/>
          <w:szCs w:val="24"/>
        </w:rPr>
        <w:t>6.9.7、</w:t>
      </w:r>
      <w:r>
        <w:rPr>
          <w:rFonts w:hint="eastAsia" w:ascii="宋体" w:hAnsi="宋体" w:cs="宋体"/>
          <w:color w:val="auto"/>
          <w:sz w:val="24"/>
          <w:szCs w:val="24"/>
          <w:lang w:val="zh-CN"/>
        </w:rPr>
        <w:t>文字与图表不符时，以文字为准；</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lang w:val="zh-CN"/>
        </w:rPr>
        <w:t>磋商供应商不同意以上修正，则其投标将被拒绝。磋商供应商同意后，按上述规定修正后的报价对磋商供应商起约束作用。</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26.10、在详细评审之前，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rPr>
      </w:pPr>
      <w:r>
        <w:rPr>
          <w:rFonts w:hint="eastAsia" w:ascii="宋体" w:hAnsi="宋体" w:cs="宋体"/>
          <w:color w:val="auto"/>
          <w:sz w:val="24"/>
          <w:szCs w:val="24"/>
          <w:lang w:val="zh-CN"/>
        </w:rPr>
        <w:t>2</w:t>
      </w:r>
      <w:r>
        <w:rPr>
          <w:rFonts w:hint="eastAsia" w:ascii="宋体" w:hAnsi="宋体" w:cs="宋体"/>
          <w:color w:val="auto"/>
          <w:sz w:val="24"/>
          <w:szCs w:val="24"/>
        </w:rPr>
        <w:t>6.11、</w:t>
      </w:r>
      <w:r>
        <w:rPr>
          <w:rFonts w:hint="eastAsia" w:ascii="宋体" w:hAnsi="宋体" w:cs="宋体"/>
          <w:color w:val="auto"/>
          <w:sz w:val="24"/>
          <w:szCs w:val="24"/>
          <w:lang w:val="zh-CN"/>
        </w:rPr>
        <w:t xml:space="preserve">凡审查、澄清、评价和比较投标的有关资料及被授标意见等内容，磋商小组成员均不得向磋商供应商及与评标无关的其他人透露。 </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b/>
          <w:bCs/>
          <w:color w:val="auto"/>
          <w:sz w:val="24"/>
          <w:szCs w:val="24"/>
          <w:lang w:val="zh-CN"/>
        </w:rPr>
      </w:pPr>
      <w:r>
        <w:rPr>
          <w:rFonts w:hint="eastAsia" w:ascii="宋体" w:hAnsi="宋体" w:cs="宋体"/>
          <w:b/>
          <w:bCs/>
          <w:color w:val="auto"/>
          <w:sz w:val="24"/>
          <w:szCs w:val="24"/>
        </w:rPr>
        <w:t>27、竞争性磋商</w:t>
      </w:r>
      <w:r>
        <w:rPr>
          <w:rFonts w:hint="eastAsia" w:ascii="宋体" w:hAnsi="宋体" w:cs="宋体"/>
          <w:b/>
          <w:bCs/>
          <w:color w:val="auto"/>
          <w:sz w:val="24"/>
          <w:szCs w:val="24"/>
          <w:lang w:val="zh-CN"/>
        </w:rPr>
        <w:t>响应文件的详细审查</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27</w:t>
      </w:r>
      <w:r>
        <w:rPr>
          <w:rFonts w:hint="eastAsia" w:ascii="宋体" w:hAnsi="宋体" w:cs="宋体"/>
          <w:color w:val="auto"/>
          <w:sz w:val="24"/>
          <w:szCs w:val="24"/>
          <w:lang w:val="zh-CN"/>
        </w:rPr>
        <w:t>.1、经磋商确定最终采购需求和提交最后报价的供应商后，磋商小组采用综合评分法对提交最后报价的供应商的响应文件和最后报价进行综合评分。</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27</w:t>
      </w:r>
      <w:r>
        <w:rPr>
          <w:rFonts w:hint="eastAsia" w:ascii="宋体" w:hAnsi="宋体" w:cs="宋体"/>
          <w:color w:val="auto"/>
          <w:sz w:val="24"/>
          <w:szCs w:val="24"/>
          <w:lang w:val="zh-CN"/>
        </w:rPr>
        <w:t>.2、综合评分法是指响应文件满足磋商文件全部实质性要求且按评审因素的量化指标评审得分最高的供应商为成交候选供应商的评审方法。磋商文件中没有规定的评审标准不得作为评审依据。</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27</w:t>
      </w:r>
      <w:r>
        <w:rPr>
          <w:rFonts w:hint="eastAsia" w:ascii="宋体" w:hAnsi="宋体" w:cs="宋体"/>
          <w:color w:val="auto"/>
          <w:sz w:val="24"/>
          <w:szCs w:val="24"/>
          <w:lang w:val="zh-CN"/>
        </w:rPr>
        <w:t>.3、磋商小组各成员应独立对每个有效响应文件进行评价、打分，然后汇总每个供应商每项评分因素的得分，并根据综合评分情况，按照评审得分由高到低顺序推荐成交候选供应商，并编写评审报告。评审得分相同的，按照最后报价由低到高的顺序推荐。评审得分且最后报价相同的，按照技术方案得分由高到低顺序推荐。</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27</w:t>
      </w:r>
      <w:r>
        <w:rPr>
          <w:rFonts w:hint="eastAsia" w:ascii="宋体" w:hAnsi="宋体" w:cs="宋体"/>
          <w:color w:val="auto"/>
          <w:sz w:val="24"/>
          <w:szCs w:val="24"/>
          <w:lang w:val="zh-CN"/>
        </w:rPr>
        <w:t>.4、评审报告应当由磋商小组全体人员签字认可。对评审报告有异议的磋商小组成员，应当在报告上签署不同意见并说明理由，由磋商小组书面记录相关情况。磋商小组成员拒绝在报告上签字又不书面说明其不同意见和理由的，视为同意评审报告。</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b/>
          <w:bCs/>
          <w:color w:val="auto"/>
          <w:sz w:val="24"/>
          <w:szCs w:val="24"/>
          <w:lang w:val="zh-CN"/>
        </w:rPr>
      </w:pPr>
      <w:r>
        <w:rPr>
          <w:rFonts w:hint="eastAsia" w:ascii="宋体" w:hAnsi="宋体" w:cs="宋体"/>
          <w:b/>
          <w:bCs/>
          <w:color w:val="auto"/>
          <w:sz w:val="24"/>
          <w:szCs w:val="24"/>
        </w:rPr>
        <w:t>28、</w:t>
      </w:r>
      <w:r>
        <w:rPr>
          <w:rFonts w:hint="eastAsia" w:ascii="宋体" w:hAnsi="宋体" w:cs="宋体"/>
          <w:b/>
          <w:bCs/>
          <w:color w:val="auto"/>
          <w:sz w:val="24"/>
          <w:szCs w:val="24"/>
          <w:lang w:val="zh-CN"/>
        </w:rPr>
        <w:t>评审过程的保密</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lang w:val="zh-CN"/>
        </w:rPr>
        <w:t>磋商小组成员和与评审活动有关的工作人员不得泄露有关竞争性磋商响应文件的评审和比较、成交候选人的推荐以及与评审有关的其他情况。</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b/>
          <w:bCs/>
          <w:color w:val="auto"/>
          <w:sz w:val="24"/>
          <w:szCs w:val="24"/>
          <w:lang w:val="zh-CN"/>
        </w:rPr>
      </w:pPr>
      <w:r>
        <w:rPr>
          <w:rFonts w:hint="eastAsia" w:ascii="宋体" w:hAnsi="宋体" w:cs="宋体"/>
          <w:b/>
          <w:bCs/>
          <w:color w:val="auto"/>
          <w:sz w:val="24"/>
          <w:szCs w:val="24"/>
        </w:rPr>
        <w:t>29、</w:t>
      </w:r>
      <w:r>
        <w:rPr>
          <w:rFonts w:hint="eastAsia" w:ascii="宋体" w:hAnsi="宋体" w:cs="宋体"/>
          <w:b/>
          <w:bCs/>
          <w:color w:val="auto"/>
          <w:sz w:val="24"/>
          <w:szCs w:val="24"/>
          <w:lang w:val="zh-CN"/>
        </w:rPr>
        <w:t>评审方法</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29</w:t>
      </w:r>
      <w:r>
        <w:rPr>
          <w:rFonts w:hint="eastAsia" w:ascii="宋体" w:hAnsi="宋体" w:cs="宋体"/>
          <w:color w:val="auto"/>
          <w:sz w:val="24"/>
          <w:szCs w:val="24"/>
          <w:lang w:val="zh-CN"/>
        </w:rPr>
        <w:t>.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存1-3名成交候选人。</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b/>
          <w:bCs/>
          <w:color w:val="auto"/>
          <w:sz w:val="24"/>
          <w:szCs w:val="24"/>
          <w:lang w:val="zh-CN"/>
        </w:rPr>
      </w:pPr>
      <w:r>
        <w:rPr>
          <w:rFonts w:hint="eastAsia" w:ascii="宋体" w:hAnsi="宋体" w:cs="宋体"/>
          <w:b/>
          <w:bCs/>
          <w:color w:val="auto"/>
          <w:sz w:val="24"/>
          <w:szCs w:val="24"/>
        </w:rPr>
        <w:t>30</w:t>
      </w:r>
      <w:r>
        <w:rPr>
          <w:rFonts w:hint="eastAsia" w:ascii="宋体" w:hAnsi="宋体" w:cs="宋体"/>
          <w:b/>
          <w:bCs/>
          <w:color w:val="auto"/>
          <w:sz w:val="24"/>
          <w:szCs w:val="24"/>
          <w:lang w:val="zh-CN"/>
        </w:rPr>
        <w:t>、磋商小组组成及职责</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30.</w:t>
      </w:r>
      <w:r>
        <w:rPr>
          <w:rFonts w:hint="eastAsia" w:ascii="宋体" w:hAnsi="宋体" w:cs="宋体"/>
          <w:color w:val="auto"/>
          <w:sz w:val="24"/>
          <w:szCs w:val="24"/>
          <w:lang w:val="zh-CN"/>
        </w:rPr>
        <w:t>1、为确保评标工作公开、公平、公正，依法成立磋商小组。磋商小组由采购人及和评审专家共3人以上单数组成，其中评审专家人数不得不少于磋商小组成员总数的三分之二，评审专家在陕西省政府采购专家库中随机抽取产生。</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30.</w:t>
      </w:r>
      <w:r>
        <w:rPr>
          <w:rFonts w:hint="eastAsia" w:ascii="宋体" w:hAnsi="宋体" w:cs="宋体"/>
          <w:color w:val="auto"/>
          <w:sz w:val="24"/>
          <w:szCs w:val="24"/>
          <w:lang w:val="zh-CN"/>
        </w:rPr>
        <w:t>2、磋商小组负责具体评审事务，并独立履行下列职责：</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30.2.</w:t>
      </w:r>
      <w:r>
        <w:rPr>
          <w:rFonts w:hint="eastAsia" w:ascii="宋体" w:hAnsi="宋体" w:cs="宋体"/>
          <w:color w:val="auto"/>
          <w:sz w:val="24"/>
          <w:szCs w:val="24"/>
          <w:lang w:val="zh-CN"/>
        </w:rPr>
        <w:t>1、遵纪守法，客观、公正、廉洁地履行职责，审查磋商响应文件是否符合竞争性磋商</w:t>
      </w:r>
      <w:r>
        <w:rPr>
          <w:rFonts w:hint="eastAsia" w:ascii="宋体" w:hAnsi="宋体" w:cs="宋体"/>
          <w:color w:val="auto"/>
          <w:sz w:val="24"/>
          <w:szCs w:val="24"/>
        </w:rPr>
        <w:t>采购</w:t>
      </w:r>
      <w:r>
        <w:rPr>
          <w:rFonts w:hint="eastAsia" w:ascii="宋体" w:hAnsi="宋体" w:cs="宋体"/>
          <w:color w:val="auto"/>
          <w:sz w:val="24"/>
          <w:szCs w:val="24"/>
          <w:lang w:val="zh-CN"/>
        </w:rPr>
        <w:t>文件的要求，并做出评价；</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30.2.</w:t>
      </w:r>
      <w:r>
        <w:rPr>
          <w:rFonts w:hint="eastAsia" w:ascii="宋体" w:hAnsi="宋体" w:cs="宋体"/>
          <w:color w:val="auto"/>
          <w:sz w:val="24"/>
          <w:szCs w:val="24"/>
          <w:lang w:val="zh-CN"/>
        </w:rPr>
        <w:t>2、要求供应商对磋商响应文件有关事项作出解释或者澄清；</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30.2.</w:t>
      </w:r>
      <w:r>
        <w:rPr>
          <w:rFonts w:hint="eastAsia" w:ascii="宋体" w:hAnsi="宋体" w:cs="宋体"/>
          <w:color w:val="auto"/>
          <w:sz w:val="24"/>
          <w:szCs w:val="24"/>
          <w:lang w:val="zh-CN"/>
        </w:rPr>
        <w:t>3、按照竞争性磋商</w:t>
      </w:r>
      <w:r>
        <w:rPr>
          <w:rFonts w:hint="eastAsia" w:ascii="宋体" w:hAnsi="宋体" w:cs="宋体"/>
          <w:color w:val="auto"/>
          <w:sz w:val="24"/>
          <w:szCs w:val="24"/>
        </w:rPr>
        <w:t>采购</w:t>
      </w:r>
      <w:r>
        <w:rPr>
          <w:rFonts w:hint="eastAsia" w:ascii="宋体" w:hAnsi="宋体" w:cs="宋体"/>
          <w:color w:val="auto"/>
          <w:sz w:val="24"/>
          <w:szCs w:val="24"/>
          <w:lang w:val="zh-CN"/>
        </w:rPr>
        <w:t>文件的要求和磋商办法进行评审，推荐成交候选单位名单，对评审意见承担个人责任；</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30.2.</w:t>
      </w:r>
      <w:r>
        <w:rPr>
          <w:rFonts w:hint="eastAsia" w:ascii="宋体" w:hAnsi="宋体" w:cs="宋体"/>
          <w:color w:val="auto"/>
          <w:sz w:val="24"/>
          <w:szCs w:val="24"/>
          <w:lang w:val="zh-CN"/>
        </w:rPr>
        <w:t>4、对评审过程和结果以及供应商的商业秘密保密；</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30.2.</w:t>
      </w:r>
      <w:r>
        <w:rPr>
          <w:rFonts w:hint="eastAsia" w:ascii="宋体" w:hAnsi="宋体" w:cs="宋体"/>
          <w:color w:val="auto"/>
          <w:sz w:val="24"/>
          <w:szCs w:val="24"/>
          <w:lang w:val="zh-CN"/>
        </w:rPr>
        <w:t>5、参与磋商结果报告的起草；</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30.2.</w:t>
      </w:r>
      <w:r>
        <w:rPr>
          <w:rFonts w:hint="eastAsia" w:ascii="宋体" w:hAnsi="宋体" w:cs="宋体"/>
          <w:color w:val="auto"/>
          <w:sz w:val="24"/>
          <w:szCs w:val="24"/>
          <w:lang w:val="zh-CN"/>
        </w:rPr>
        <w:t>6、配合采购代理机构答复供应商提出的质疑；</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30.2.</w:t>
      </w:r>
      <w:r>
        <w:rPr>
          <w:rFonts w:hint="eastAsia" w:ascii="宋体" w:hAnsi="宋体" w:cs="宋体"/>
          <w:color w:val="auto"/>
          <w:sz w:val="24"/>
          <w:szCs w:val="24"/>
          <w:lang w:val="zh-CN"/>
        </w:rPr>
        <w:t>7、配合财政部门的投诉处理工作；</w:t>
      </w:r>
    </w:p>
    <w:p>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ascii="宋体" w:hAnsi="宋体" w:cs="宋体"/>
          <w:color w:val="auto"/>
          <w:sz w:val="24"/>
          <w:szCs w:val="24"/>
          <w:lang w:val="zh-CN"/>
        </w:rPr>
      </w:pPr>
      <w:r>
        <w:rPr>
          <w:rFonts w:hint="eastAsia" w:ascii="宋体" w:hAnsi="宋体" w:cs="宋体"/>
          <w:color w:val="auto"/>
          <w:sz w:val="24"/>
          <w:szCs w:val="24"/>
        </w:rPr>
        <w:t>30.2.</w:t>
      </w:r>
      <w:r>
        <w:rPr>
          <w:rFonts w:hint="eastAsia" w:ascii="宋体" w:hAnsi="宋体" w:cs="宋体"/>
          <w:color w:val="auto"/>
          <w:sz w:val="24"/>
          <w:szCs w:val="24"/>
          <w:lang w:val="zh-CN"/>
        </w:rPr>
        <w:t>8、依据政府采购法有关精神，有权对磋商过程中出现的一切问题做出处理决定。</w:t>
      </w:r>
    </w:p>
    <w:p>
      <w:pPr>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kern w:val="1"/>
          <w:sz w:val="24"/>
          <w:szCs w:val="24"/>
        </w:rPr>
      </w:pPr>
      <w:r>
        <w:rPr>
          <w:rFonts w:hint="eastAsia" w:ascii="宋体" w:hAnsi="宋体" w:cs="宋体"/>
          <w:color w:val="auto"/>
          <w:sz w:val="24"/>
          <w:szCs w:val="24"/>
        </w:rPr>
        <w:t>30.</w:t>
      </w:r>
      <w:r>
        <w:rPr>
          <w:rFonts w:hint="eastAsia" w:ascii="宋体" w:hAnsi="宋体" w:cs="宋体"/>
          <w:color w:val="auto"/>
          <w:kern w:val="1"/>
          <w:sz w:val="24"/>
          <w:szCs w:val="24"/>
        </w:rPr>
        <w:t>3、磋商小组在评审过程中发现供应商有行贿、提供虚假材料或者串通等违法行为的，应当及时向财政部门报告。</w:t>
      </w:r>
    </w:p>
    <w:p>
      <w:pPr>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kern w:val="1"/>
          <w:sz w:val="24"/>
          <w:szCs w:val="24"/>
        </w:rPr>
      </w:pPr>
      <w:r>
        <w:rPr>
          <w:rFonts w:hint="eastAsia" w:ascii="宋体" w:hAnsi="宋体" w:cs="宋体"/>
          <w:color w:val="auto"/>
          <w:sz w:val="24"/>
          <w:szCs w:val="24"/>
        </w:rPr>
        <w:t>30.</w:t>
      </w:r>
      <w:r>
        <w:rPr>
          <w:rFonts w:hint="eastAsia" w:ascii="宋体" w:hAnsi="宋体" w:cs="宋体"/>
          <w:color w:val="auto"/>
          <w:kern w:val="1"/>
          <w:sz w:val="24"/>
          <w:szCs w:val="24"/>
        </w:rPr>
        <w:t>4、磋商小组在评审过程中收到非法干涉的，应当及时向财政、监察等部门举报。</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30.5、磋商小组成员应当按照客观、公正、审慎的原则，根据磋商文件规定的评审程序、评审方法和评审标准进行独立评审。</w:t>
      </w:r>
    </w:p>
    <w:p>
      <w:pPr>
        <w:keepLines w:val="0"/>
        <w:pageBreakBefore w:val="0"/>
        <w:widowControl w:val="0"/>
        <w:kinsoku/>
        <w:wordWrap/>
        <w:overflowPunct/>
        <w:topLinePunct w:val="0"/>
        <w:autoSpaceDE w:val="0"/>
        <w:autoSpaceDN w:val="0"/>
        <w:bidi w:val="0"/>
        <w:adjustRightInd w:val="0"/>
        <w:spacing w:line="420" w:lineRule="exact"/>
        <w:ind w:firstLine="482" w:firstLineChars="200"/>
        <w:textAlignment w:val="auto"/>
        <w:rPr>
          <w:rFonts w:ascii="宋体" w:hAnsi="宋体" w:cs="宋体"/>
          <w:b/>
          <w:bCs/>
          <w:color w:val="auto"/>
          <w:sz w:val="24"/>
          <w:szCs w:val="24"/>
          <w:lang w:val="zh-CN"/>
        </w:rPr>
      </w:pPr>
      <w:r>
        <w:rPr>
          <w:rFonts w:hint="eastAsia" w:ascii="宋体" w:hAnsi="宋体" w:cs="宋体"/>
          <w:b/>
          <w:bCs/>
          <w:color w:val="auto"/>
          <w:sz w:val="24"/>
          <w:szCs w:val="24"/>
        </w:rPr>
        <w:t>31</w:t>
      </w:r>
      <w:r>
        <w:rPr>
          <w:rFonts w:hint="eastAsia" w:ascii="宋体" w:hAnsi="宋体" w:cs="宋体"/>
          <w:b/>
          <w:bCs/>
          <w:color w:val="auto"/>
          <w:sz w:val="24"/>
          <w:szCs w:val="24"/>
          <w:lang w:val="zh-CN"/>
        </w:rPr>
        <w:t>、磋商小组的职能：</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rPr>
        <w:t>31.</w:t>
      </w:r>
      <w:r>
        <w:rPr>
          <w:rFonts w:hint="eastAsia" w:ascii="宋体" w:hAnsi="宋体" w:cs="宋体"/>
          <w:color w:val="auto"/>
          <w:sz w:val="24"/>
          <w:szCs w:val="24"/>
          <w:lang w:val="zh-CN"/>
        </w:rPr>
        <w:t>1、对供应商进行符合性审查；</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rPr>
        <w:t>31.</w:t>
      </w:r>
      <w:r>
        <w:rPr>
          <w:rFonts w:hint="eastAsia" w:ascii="宋体" w:hAnsi="宋体" w:cs="宋体"/>
          <w:color w:val="auto"/>
          <w:sz w:val="24"/>
          <w:szCs w:val="24"/>
          <w:lang w:val="zh-CN"/>
        </w:rPr>
        <w:t>2、与各供应商就磋商采购响应文件（含澄清、说明或补正的内容）中的技术指标、实施方案、磋商报价、同类业绩、商务响应等进行磋商；</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rPr>
        <w:t>31.</w:t>
      </w:r>
      <w:r>
        <w:rPr>
          <w:rFonts w:hint="eastAsia" w:ascii="宋体" w:hAnsi="宋体" w:cs="宋体"/>
          <w:color w:val="auto"/>
          <w:sz w:val="24"/>
          <w:szCs w:val="24"/>
          <w:lang w:val="zh-CN"/>
        </w:rPr>
        <w:t>3、依据采购文件，并视磋商情况，确定进入最终评审的供应商；</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rPr>
        <w:t>31.</w:t>
      </w:r>
      <w:r>
        <w:rPr>
          <w:rFonts w:hint="eastAsia" w:ascii="宋体" w:hAnsi="宋体" w:cs="宋体"/>
          <w:color w:val="auto"/>
          <w:sz w:val="24"/>
          <w:szCs w:val="24"/>
          <w:lang w:val="zh-CN"/>
        </w:rPr>
        <w:t>4、排序推荐侯选成交供应商；</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rPr>
        <w:t>31.</w:t>
      </w:r>
      <w:r>
        <w:rPr>
          <w:rFonts w:hint="eastAsia" w:ascii="宋体" w:hAnsi="宋体" w:cs="宋体"/>
          <w:color w:val="auto"/>
          <w:sz w:val="24"/>
          <w:szCs w:val="24"/>
          <w:lang w:val="zh-CN"/>
        </w:rPr>
        <w:t>5、协商处理磋商过程中出现的其它相关问题。</w:t>
      </w:r>
    </w:p>
    <w:p>
      <w:pPr>
        <w:keepLines w:val="0"/>
        <w:pageBreakBefore w:val="0"/>
        <w:widowControl w:val="0"/>
        <w:kinsoku/>
        <w:wordWrap/>
        <w:overflowPunct/>
        <w:topLinePunct w:val="0"/>
        <w:autoSpaceDE w:val="0"/>
        <w:autoSpaceDN w:val="0"/>
        <w:bidi w:val="0"/>
        <w:adjustRightInd w:val="0"/>
        <w:spacing w:line="420" w:lineRule="exact"/>
        <w:ind w:firstLine="482" w:firstLineChars="200"/>
        <w:textAlignment w:val="auto"/>
        <w:rPr>
          <w:rFonts w:ascii="宋体" w:hAnsi="宋体" w:cs="宋体"/>
          <w:b/>
          <w:bCs/>
          <w:color w:val="auto"/>
          <w:sz w:val="24"/>
          <w:szCs w:val="24"/>
          <w:lang w:val="zh-CN"/>
        </w:rPr>
      </w:pPr>
      <w:r>
        <w:rPr>
          <w:rFonts w:hint="eastAsia" w:ascii="宋体" w:hAnsi="宋体" w:cs="宋体"/>
          <w:b/>
          <w:bCs/>
          <w:color w:val="auto"/>
          <w:sz w:val="24"/>
          <w:szCs w:val="24"/>
        </w:rPr>
        <w:t>32</w:t>
      </w:r>
      <w:r>
        <w:rPr>
          <w:rFonts w:hint="eastAsia" w:ascii="宋体" w:hAnsi="宋体" w:cs="宋体"/>
          <w:b/>
          <w:bCs/>
          <w:color w:val="auto"/>
          <w:sz w:val="24"/>
          <w:szCs w:val="24"/>
          <w:lang w:val="zh-CN"/>
        </w:rPr>
        <w:t>、 磋商小组及其成员不得有下列行为：</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rPr>
        <w:t>32.1、</w:t>
      </w:r>
      <w:r>
        <w:rPr>
          <w:rFonts w:hint="eastAsia" w:ascii="宋体" w:hAnsi="宋体" w:cs="宋体"/>
          <w:color w:val="auto"/>
          <w:sz w:val="24"/>
          <w:szCs w:val="24"/>
          <w:lang w:val="zh-CN"/>
        </w:rPr>
        <w:t>确定参与评审至评审结束前私自接触供应商；</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rPr>
        <w:t>32.2、</w:t>
      </w:r>
      <w:r>
        <w:rPr>
          <w:rFonts w:hint="eastAsia" w:ascii="宋体" w:hAnsi="宋体" w:cs="宋体"/>
          <w:color w:val="auto"/>
          <w:sz w:val="24"/>
          <w:szCs w:val="24"/>
          <w:lang w:val="zh-CN"/>
        </w:rPr>
        <w:t>接受供应商提出的与响应文件不一致的澄清或者说明，财政部第87号令第五十一条规定的情形除外；</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rPr>
        <w:t>32.3、</w:t>
      </w:r>
      <w:r>
        <w:rPr>
          <w:rFonts w:hint="eastAsia" w:ascii="宋体" w:hAnsi="宋体" w:cs="宋体"/>
          <w:color w:val="auto"/>
          <w:sz w:val="24"/>
          <w:szCs w:val="24"/>
          <w:lang w:val="zh-CN"/>
        </w:rPr>
        <w:t>违反评审纪律发表倾向性意见或者征询采购人的倾向性意见；</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rPr>
        <w:t>32.4、</w:t>
      </w:r>
      <w:r>
        <w:rPr>
          <w:rFonts w:hint="eastAsia" w:ascii="宋体" w:hAnsi="宋体" w:cs="宋体"/>
          <w:color w:val="auto"/>
          <w:sz w:val="24"/>
          <w:szCs w:val="24"/>
          <w:lang w:val="zh-CN"/>
        </w:rPr>
        <w:t>对需要专业判断的主观评审因素协商评分；</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rPr>
        <w:t>32.5、</w:t>
      </w:r>
      <w:r>
        <w:rPr>
          <w:rFonts w:hint="eastAsia" w:ascii="宋体" w:hAnsi="宋体" w:cs="宋体"/>
          <w:color w:val="auto"/>
          <w:sz w:val="24"/>
          <w:szCs w:val="24"/>
          <w:lang w:val="zh-CN"/>
        </w:rPr>
        <w:t>在评审过程中擅离职守，影响评审程序正常进行的；</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rPr>
        <w:t>32.6、</w:t>
      </w:r>
      <w:r>
        <w:rPr>
          <w:rFonts w:hint="eastAsia" w:ascii="宋体" w:hAnsi="宋体" w:cs="宋体"/>
          <w:color w:val="auto"/>
          <w:sz w:val="24"/>
          <w:szCs w:val="24"/>
          <w:lang w:val="zh-CN"/>
        </w:rPr>
        <w:t>记录、复制或者带走任何评审资料；</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rPr>
        <w:t>32.7、</w:t>
      </w:r>
      <w:r>
        <w:rPr>
          <w:rFonts w:hint="eastAsia" w:ascii="宋体" w:hAnsi="宋体" w:cs="宋体"/>
          <w:color w:val="auto"/>
          <w:sz w:val="24"/>
          <w:szCs w:val="24"/>
          <w:lang w:val="zh-CN"/>
        </w:rPr>
        <w:t>其他不遵守评审纪律的行为。</w:t>
      </w:r>
    </w:p>
    <w:p>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zh-CN"/>
        </w:rPr>
        <w:t>磋商小组成员有前五项行为之一的，其评审意见无效，并不得获取评审劳务报酬和报销异地评审差旅费。</w:t>
      </w:r>
    </w:p>
    <w:p>
      <w:pPr>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ascii="宋体" w:hAnsi="宋体" w:cs="宋体"/>
          <w:b/>
          <w:color w:val="auto"/>
          <w:sz w:val="24"/>
          <w:szCs w:val="24"/>
          <w:lang w:val="zh-CN"/>
        </w:rPr>
      </w:pPr>
      <w:bookmarkStart w:id="17" w:name="_Toc386965858"/>
      <w:bookmarkStart w:id="18" w:name="_Toc27212"/>
      <w:bookmarkStart w:id="19" w:name="_Toc392236645"/>
      <w:bookmarkStart w:id="20" w:name="_Toc5977"/>
      <w:bookmarkStart w:id="21" w:name="_Toc233435947"/>
      <w:bookmarkStart w:id="22" w:name="_Toc2781"/>
      <w:bookmarkStart w:id="23" w:name="_Toc24411"/>
      <w:bookmarkStart w:id="24" w:name="_Toc7524503"/>
      <w:bookmarkStart w:id="25" w:name="_Toc26534"/>
      <w:bookmarkStart w:id="26" w:name="_Toc2468"/>
      <w:bookmarkStart w:id="27" w:name="_Toc29664"/>
      <w:r>
        <w:rPr>
          <w:rFonts w:hint="eastAsia" w:ascii="宋体" w:hAnsi="宋体" w:cs="宋体"/>
          <w:b/>
          <w:bCs/>
          <w:color w:val="auto"/>
          <w:sz w:val="28"/>
          <w:szCs w:val="28"/>
        </w:rPr>
        <w:t>F</w:t>
      </w:r>
      <w:bookmarkStart w:id="28" w:name="_Hlt497547134"/>
      <w:bookmarkEnd w:id="28"/>
      <w:bookmarkStart w:id="29" w:name="_Hlt491765714"/>
      <w:bookmarkEnd w:id="29"/>
      <w:r>
        <w:rPr>
          <w:rFonts w:hint="eastAsia" w:ascii="宋体" w:hAnsi="宋体" w:cs="宋体"/>
          <w:b/>
          <w:bCs/>
          <w:color w:val="auto"/>
          <w:sz w:val="28"/>
          <w:szCs w:val="28"/>
        </w:rPr>
        <w:t>、</w:t>
      </w:r>
      <w:bookmarkEnd w:id="17"/>
      <w:bookmarkEnd w:id="18"/>
      <w:bookmarkEnd w:id="19"/>
      <w:bookmarkEnd w:id="20"/>
      <w:bookmarkEnd w:id="21"/>
      <w:bookmarkEnd w:id="22"/>
      <w:bookmarkEnd w:id="23"/>
      <w:bookmarkEnd w:id="24"/>
      <w:bookmarkEnd w:id="25"/>
      <w:bookmarkEnd w:id="26"/>
      <w:bookmarkEnd w:id="27"/>
      <w:r>
        <w:rPr>
          <w:rFonts w:hint="eastAsia" w:ascii="宋体" w:hAnsi="宋体" w:cs="宋体"/>
          <w:b/>
          <w:bCs/>
          <w:color w:val="auto"/>
          <w:sz w:val="28"/>
          <w:szCs w:val="28"/>
        </w:rPr>
        <w:t>确定中标</w:t>
      </w:r>
    </w:p>
    <w:p>
      <w:pPr>
        <w:keepLines w:val="0"/>
        <w:pageBreakBefore w:val="0"/>
        <w:widowControl w:val="0"/>
        <w:kinsoku/>
        <w:wordWrap/>
        <w:overflowPunct/>
        <w:topLinePunct w:val="0"/>
        <w:autoSpaceDE w:val="0"/>
        <w:autoSpaceDN w:val="0"/>
        <w:bidi w:val="0"/>
        <w:adjustRightInd w:val="0"/>
        <w:snapToGrid w:val="0"/>
        <w:spacing w:line="420" w:lineRule="exact"/>
        <w:ind w:firstLine="472" w:firstLineChars="196"/>
        <w:textAlignment w:val="auto"/>
        <w:rPr>
          <w:rFonts w:ascii="宋体" w:hAnsi="宋体" w:cs="宋体"/>
          <w:b/>
          <w:color w:val="auto"/>
          <w:sz w:val="24"/>
          <w:szCs w:val="24"/>
          <w:lang w:val="zh-CN"/>
        </w:rPr>
      </w:pPr>
      <w:r>
        <w:rPr>
          <w:rFonts w:hint="eastAsia" w:ascii="宋体" w:hAnsi="宋体" w:cs="宋体"/>
          <w:b/>
          <w:color w:val="auto"/>
          <w:sz w:val="24"/>
          <w:szCs w:val="24"/>
        </w:rPr>
        <w:t>33</w:t>
      </w:r>
      <w:r>
        <w:rPr>
          <w:rFonts w:hint="eastAsia" w:ascii="宋体" w:hAnsi="宋体" w:cs="宋体"/>
          <w:b/>
          <w:color w:val="auto"/>
          <w:sz w:val="24"/>
          <w:szCs w:val="24"/>
          <w:lang w:val="zh-CN"/>
        </w:rPr>
        <w:t>、成交程序</w:t>
      </w:r>
    </w:p>
    <w:p>
      <w:pPr>
        <w:keepLines w:val="0"/>
        <w:pageBreakBefore w:val="0"/>
        <w:widowControl w:val="0"/>
        <w:kinsoku/>
        <w:wordWrap/>
        <w:overflowPunct/>
        <w:topLinePunct w:val="0"/>
        <w:autoSpaceDE w:val="0"/>
        <w:autoSpaceDN w:val="0"/>
        <w:bidi w:val="0"/>
        <w:adjustRightInd w:val="0"/>
        <w:snapToGrid w:val="0"/>
        <w:spacing w:line="420" w:lineRule="exact"/>
        <w:ind w:firstLine="470" w:firstLineChars="196"/>
        <w:textAlignment w:val="auto"/>
        <w:rPr>
          <w:rFonts w:ascii="宋体" w:hAnsi="宋体" w:cs="宋体"/>
          <w:color w:val="auto"/>
          <w:sz w:val="24"/>
          <w:szCs w:val="24"/>
          <w:lang w:val="zh-CN"/>
        </w:rPr>
      </w:pPr>
      <w:r>
        <w:rPr>
          <w:rFonts w:hint="eastAsia" w:ascii="宋体" w:hAnsi="宋体" w:cs="宋体"/>
          <w:color w:val="auto"/>
          <w:sz w:val="24"/>
          <w:szCs w:val="24"/>
        </w:rPr>
        <w:t>33</w:t>
      </w:r>
      <w:r>
        <w:rPr>
          <w:rFonts w:hint="eastAsia" w:ascii="宋体" w:hAnsi="宋体" w:cs="宋体"/>
          <w:color w:val="auto"/>
          <w:sz w:val="24"/>
          <w:szCs w:val="24"/>
          <w:lang w:val="zh-CN"/>
        </w:rPr>
        <w:t>.1、磋商小组根据评审方法的规定对供应商进行评审排序，推荐1-3名成交候选人，作为评审结果。评审结果由全体磋商小组成员签字确认。</w:t>
      </w:r>
    </w:p>
    <w:p>
      <w:pPr>
        <w:keepLines w:val="0"/>
        <w:pageBreakBefore w:val="0"/>
        <w:widowControl w:val="0"/>
        <w:kinsoku/>
        <w:wordWrap/>
        <w:overflowPunct/>
        <w:topLinePunct w:val="0"/>
        <w:autoSpaceDE w:val="0"/>
        <w:autoSpaceDN w:val="0"/>
        <w:bidi w:val="0"/>
        <w:adjustRightInd w:val="0"/>
        <w:snapToGrid w:val="0"/>
        <w:spacing w:line="420" w:lineRule="exact"/>
        <w:ind w:firstLine="470" w:firstLineChars="196"/>
        <w:textAlignment w:val="auto"/>
        <w:rPr>
          <w:rFonts w:ascii="宋体" w:hAnsi="宋体" w:cs="宋体"/>
          <w:color w:val="auto"/>
          <w:sz w:val="24"/>
          <w:szCs w:val="24"/>
          <w:lang w:val="zh-CN"/>
        </w:rPr>
      </w:pPr>
      <w:r>
        <w:rPr>
          <w:rFonts w:hint="eastAsia" w:ascii="宋体" w:hAnsi="宋体" w:cs="宋体"/>
          <w:color w:val="auto"/>
          <w:sz w:val="24"/>
          <w:szCs w:val="24"/>
        </w:rPr>
        <w:t>33</w:t>
      </w:r>
      <w:r>
        <w:rPr>
          <w:rFonts w:hint="eastAsia" w:ascii="宋体" w:hAnsi="宋体" w:cs="宋体"/>
          <w:color w:val="auto"/>
          <w:sz w:val="24"/>
          <w:szCs w:val="24"/>
          <w:lang w:val="zh-CN"/>
        </w:rPr>
        <w:t>.2、采购人根据磋商报告中推荐的成交候选人排列顺序，确定排名第一的为成交供应商。</w:t>
      </w:r>
    </w:p>
    <w:p>
      <w:pPr>
        <w:keepLines w:val="0"/>
        <w:pageBreakBefore w:val="0"/>
        <w:widowControl w:val="0"/>
        <w:kinsoku/>
        <w:wordWrap/>
        <w:overflowPunct/>
        <w:topLinePunct w:val="0"/>
        <w:autoSpaceDE w:val="0"/>
        <w:autoSpaceDN w:val="0"/>
        <w:bidi w:val="0"/>
        <w:adjustRightInd w:val="0"/>
        <w:snapToGrid w:val="0"/>
        <w:spacing w:line="420" w:lineRule="exact"/>
        <w:ind w:firstLine="470" w:firstLineChars="196"/>
        <w:textAlignment w:val="auto"/>
        <w:rPr>
          <w:rFonts w:ascii="宋体" w:hAnsi="宋体" w:cs="宋体"/>
          <w:color w:val="auto"/>
          <w:sz w:val="24"/>
          <w:szCs w:val="24"/>
          <w:lang w:val="zh-CN"/>
        </w:rPr>
      </w:pPr>
      <w:r>
        <w:rPr>
          <w:rFonts w:hint="eastAsia" w:ascii="宋体" w:hAnsi="宋体" w:cs="宋体"/>
          <w:color w:val="auto"/>
          <w:sz w:val="24"/>
          <w:szCs w:val="24"/>
        </w:rPr>
        <w:t>33</w:t>
      </w:r>
      <w:r>
        <w:rPr>
          <w:rFonts w:hint="eastAsia" w:ascii="宋体" w:hAnsi="宋体" w:cs="宋体"/>
          <w:color w:val="auto"/>
          <w:sz w:val="24"/>
          <w:szCs w:val="24"/>
          <w:lang w:val="zh-CN"/>
        </w:rPr>
        <w:t>.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33</w:t>
      </w:r>
      <w:r>
        <w:rPr>
          <w:rFonts w:hint="eastAsia" w:ascii="宋体" w:hAnsi="宋体" w:cs="宋体"/>
          <w:color w:val="auto"/>
          <w:sz w:val="24"/>
          <w:szCs w:val="24"/>
          <w:lang w:val="zh-CN"/>
        </w:rPr>
        <w:t>.4、采购人也可以授权磋商小组评审后直接确定成交供应商。</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33</w:t>
      </w:r>
      <w:r>
        <w:rPr>
          <w:rFonts w:hint="eastAsia" w:ascii="宋体" w:hAnsi="宋体" w:cs="宋体"/>
          <w:color w:val="auto"/>
          <w:sz w:val="24"/>
          <w:szCs w:val="24"/>
          <w:lang w:val="zh-CN"/>
        </w:rPr>
        <w:t>.5、成交供应商确定之后，成交结果将在财政部门指定的政府采购信息发布媒体上公告。</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33</w:t>
      </w:r>
      <w:r>
        <w:rPr>
          <w:rFonts w:hint="eastAsia" w:ascii="宋体" w:hAnsi="宋体" w:cs="宋体"/>
          <w:color w:val="auto"/>
          <w:sz w:val="24"/>
          <w:szCs w:val="24"/>
          <w:lang w:val="zh-CN"/>
        </w:rPr>
        <w:t>.6、供应商或者其他利害关系人对评审结果有异议的，应当在法律规定的时间内提出。</w:t>
      </w:r>
    </w:p>
    <w:p>
      <w:pPr>
        <w:keepLines w:val="0"/>
        <w:pageBreakBefore w:val="0"/>
        <w:widowControl w:val="0"/>
        <w:kinsoku/>
        <w:wordWrap/>
        <w:overflowPunct/>
        <w:topLinePunct w:val="0"/>
        <w:autoSpaceDE w:val="0"/>
        <w:autoSpaceDN w:val="0"/>
        <w:bidi w:val="0"/>
        <w:adjustRightInd w:val="0"/>
        <w:snapToGrid w:val="0"/>
        <w:spacing w:line="420" w:lineRule="exact"/>
        <w:ind w:firstLine="472" w:firstLineChars="196"/>
        <w:textAlignment w:val="auto"/>
        <w:rPr>
          <w:rFonts w:ascii="宋体" w:hAnsi="宋体" w:cs="宋体"/>
          <w:b/>
          <w:color w:val="auto"/>
          <w:sz w:val="24"/>
          <w:szCs w:val="24"/>
        </w:rPr>
      </w:pPr>
      <w:r>
        <w:rPr>
          <w:rFonts w:hint="eastAsia" w:ascii="宋体" w:hAnsi="宋体" w:cs="宋体"/>
          <w:b/>
          <w:color w:val="auto"/>
          <w:sz w:val="24"/>
          <w:szCs w:val="24"/>
        </w:rPr>
        <w:t>34、</w:t>
      </w:r>
      <w:r>
        <w:rPr>
          <w:rFonts w:hint="eastAsia" w:ascii="宋体" w:hAnsi="宋体" w:cs="宋体"/>
          <w:b/>
          <w:color w:val="auto"/>
          <w:sz w:val="24"/>
          <w:szCs w:val="24"/>
          <w:lang w:val="zh-CN"/>
        </w:rPr>
        <w:t>成交</w:t>
      </w:r>
      <w:r>
        <w:rPr>
          <w:rFonts w:hint="eastAsia" w:ascii="宋体" w:hAnsi="宋体" w:cs="宋体"/>
          <w:b/>
          <w:color w:val="auto"/>
          <w:sz w:val="24"/>
          <w:szCs w:val="24"/>
        </w:rPr>
        <w:t>通知</w:t>
      </w:r>
    </w:p>
    <w:p>
      <w:pPr>
        <w:keepLines w:val="0"/>
        <w:pageBreakBefore w:val="0"/>
        <w:widowControl w:val="0"/>
        <w:kinsoku/>
        <w:wordWrap/>
        <w:overflowPunct/>
        <w:topLinePunct w:val="0"/>
        <w:autoSpaceDE w:val="0"/>
        <w:autoSpaceDN w:val="0"/>
        <w:bidi w:val="0"/>
        <w:adjustRightInd w:val="0"/>
        <w:snapToGrid w:val="0"/>
        <w:spacing w:line="420" w:lineRule="exact"/>
        <w:ind w:firstLine="470" w:firstLineChars="196"/>
        <w:textAlignment w:val="auto"/>
        <w:rPr>
          <w:rFonts w:ascii="宋体" w:hAnsi="宋体" w:cs="宋体"/>
          <w:color w:val="auto"/>
          <w:sz w:val="24"/>
          <w:szCs w:val="24"/>
        </w:rPr>
      </w:pPr>
      <w:r>
        <w:rPr>
          <w:rFonts w:hint="eastAsia" w:ascii="宋体" w:hAnsi="宋体" w:cs="宋体"/>
          <w:color w:val="auto"/>
          <w:sz w:val="24"/>
          <w:szCs w:val="24"/>
        </w:rPr>
        <w:t>34.1、采购代理机构向成交供应商发出《成交通知书》。</w:t>
      </w:r>
      <w:r>
        <w:rPr>
          <w:rFonts w:hint="eastAsia" w:ascii="宋体" w:hAnsi="宋体" w:cs="宋体"/>
          <w:b/>
          <w:bCs/>
          <w:color w:val="auto"/>
          <w:sz w:val="24"/>
          <w:szCs w:val="24"/>
        </w:rPr>
        <w:t>成交供应商领取成交通知书时须携带法定代表人授权书及加盖单位公章的被授权人身份证复印件。</w:t>
      </w:r>
    </w:p>
    <w:p>
      <w:pPr>
        <w:keepLines w:val="0"/>
        <w:pageBreakBefore w:val="0"/>
        <w:widowControl w:val="0"/>
        <w:kinsoku/>
        <w:wordWrap/>
        <w:overflowPunct/>
        <w:topLinePunct w:val="0"/>
        <w:autoSpaceDE w:val="0"/>
        <w:autoSpaceDN w:val="0"/>
        <w:bidi w:val="0"/>
        <w:adjustRightInd w:val="0"/>
        <w:snapToGrid w:val="0"/>
        <w:spacing w:line="420" w:lineRule="exact"/>
        <w:ind w:firstLine="470" w:firstLineChars="196"/>
        <w:textAlignment w:val="auto"/>
        <w:rPr>
          <w:rFonts w:ascii="宋体" w:hAnsi="宋体" w:cs="宋体"/>
          <w:color w:val="auto"/>
          <w:sz w:val="24"/>
          <w:szCs w:val="24"/>
        </w:rPr>
      </w:pPr>
      <w:r>
        <w:rPr>
          <w:rFonts w:hint="eastAsia" w:ascii="宋体" w:hAnsi="宋体" w:cs="宋体"/>
          <w:color w:val="auto"/>
          <w:sz w:val="24"/>
          <w:szCs w:val="24"/>
        </w:rPr>
        <w:t>34.2、成交通知书对采购人和成交供应商具有同等法律效力。成交通知书发出之后，采购人改变成交结果，或者成交供应商放弃成交，应当承担相应的法律责任。</w:t>
      </w:r>
    </w:p>
    <w:p>
      <w:pPr>
        <w:keepLines w:val="0"/>
        <w:pageBreakBefore w:val="0"/>
        <w:widowControl w:val="0"/>
        <w:kinsoku/>
        <w:wordWrap/>
        <w:overflowPunct/>
        <w:topLinePunct w:val="0"/>
        <w:autoSpaceDE w:val="0"/>
        <w:autoSpaceDN w:val="0"/>
        <w:bidi w:val="0"/>
        <w:adjustRightInd w:val="0"/>
        <w:snapToGrid w:val="0"/>
        <w:spacing w:line="420" w:lineRule="exact"/>
        <w:ind w:firstLine="472" w:firstLineChars="196"/>
        <w:textAlignment w:val="auto"/>
        <w:rPr>
          <w:rFonts w:ascii="宋体" w:hAnsi="宋体" w:cs="宋体"/>
          <w:b/>
          <w:bCs/>
          <w:color w:val="auto"/>
          <w:sz w:val="24"/>
          <w:szCs w:val="24"/>
        </w:rPr>
      </w:pPr>
      <w:r>
        <w:rPr>
          <w:rFonts w:hint="eastAsia" w:ascii="宋体" w:hAnsi="宋体" w:cs="宋体"/>
          <w:b/>
          <w:bCs/>
          <w:color w:val="auto"/>
          <w:sz w:val="24"/>
          <w:szCs w:val="24"/>
        </w:rPr>
        <w:t>35</w:t>
      </w:r>
      <w:r>
        <w:rPr>
          <w:rFonts w:hint="eastAsia" w:ascii="宋体" w:hAnsi="宋体" w:cs="宋体"/>
          <w:b/>
          <w:bCs/>
          <w:color w:val="auto"/>
          <w:sz w:val="24"/>
          <w:szCs w:val="24"/>
          <w:lang w:val="zh-CN"/>
        </w:rPr>
        <w:t>、</w:t>
      </w:r>
      <w:r>
        <w:rPr>
          <w:rFonts w:hint="eastAsia" w:ascii="宋体" w:hAnsi="宋体" w:cs="宋体"/>
          <w:b/>
          <w:bCs/>
          <w:color w:val="auto"/>
          <w:sz w:val="24"/>
          <w:szCs w:val="24"/>
        </w:rPr>
        <w:t>采购</w:t>
      </w:r>
      <w:r>
        <w:rPr>
          <w:rFonts w:hint="eastAsia" w:ascii="宋体" w:hAnsi="宋体" w:cs="宋体"/>
          <w:b/>
          <w:bCs/>
          <w:color w:val="auto"/>
          <w:sz w:val="24"/>
          <w:szCs w:val="24"/>
          <w:lang w:val="zh-CN"/>
        </w:rPr>
        <w:t>合同</w:t>
      </w:r>
      <w:r>
        <w:rPr>
          <w:rFonts w:hint="eastAsia" w:ascii="宋体" w:hAnsi="宋体" w:cs="宋体"/>
          <w:b/>
          <w:bCs/>
          <w:color w:val="auto"/>
          <w:sz w:val="24"/>
          <w:szCs w:val="24"/>
        </w:rPr>
        <w:t>的签订</w:t>
      </w:r>
    </w:p>
    <w:p>
      <w:pPr>
        <w:keepLines w:val="0"/>
        <w:pageBreakBefore w:val="0"/>
        <w:widowControl w:val="0"/>
        <w:kinsoku/>
        <w:wordWrap/>
        <w:overflowPunct/>
        <w:topLinePunct w:val="0"/>
        <w:autoSpaceDE w:val="0"/>
        <w:autoSpaceDN w:val="0"/>
        <w:bidi w:val="0"/>
        <w:adjustRightInd w:val="0"/>
        <w:snapToGrid w:val="0"/>
        <w:spacing w:line="420" w:lineRule="exact"/>
        <w:ind w:firstLine="470" w:firstLineChars="196"/>
        <w:textAlignment w:val="auto"/>
        <w:rPr>
          <w:rFonts w:ascii="宋体" w:hAnsi="宋体" w:cs="宋体"/>
          <w:bCs/>
          <w:color w:val="auto"/>
          <w:sz w:val="24"/>
          <w:szCs w:val="24"/>
        </w:rPr>
      </w:pPr>
      <w:r>
        <w:rPr>
          <w:rFonts w:hint="eastAsia" w:ascii="宋体" w:hAnsi="宋体" w:cs="宋体"/>
          <w:bCs/>
          <w:color w:val="auto"/>
          <w:sz w:val="24"/>
          <w:szCs w:val="24"/>
        </w:rPr>
        <w:t>35.1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pPr>
        <w:keepLines w:val="0"/>
        <w:pageBreakBefore w:val="0"/>
        <w:widowControl w:val="0"/>
        <w:kinsoku/>
        <w:wordWrap/>
        <w:overflowPunct/>
        <w:topLinePunct w:val="0"/>
        <w:autoSpaceDE w:val="0"/>
        <w:autoSpaceDN w:val="0"/>
        <w:bidi w:val="0"/>
        <w:adjustRightInd w:val="0"/>
        <w:snapToGrid w:val="0"/>
        <w:spacing w:line="420" w:lineRule="exact"/>
        <w:ind w:firstLine="470" w:firstLineChars="196"/>
        <w:textAlignment w:val="auto"/>
        <w:rPr>
          <w:rFonts w:ascii="宋体" w:hAnsi="宋体" w:cs="宋体"/>
          <w:bCs/>
          <w:color w:val="auto"/>
          <w:sz w:val="24"/>
          <w:szCs w:val="24"/>
        </w:rPr>
      </w:pPr>
      <w:r>
        <w:rPr>
          <w:rFonts w:hint="eastAsia" w:ascii="宋体" w:hAnsi="宋体" w:cs="宋体"/>
          <w:bCs/>
          <w:color w:val="auto"/>
          <w:sz w:val="24"/>
          <w:szCs w:val="24"/>
        </w:rPr>
        <w:t>35.2、采购人自采购合同签订之日起七个工作日内，将采购合同副本报同级人民政府财政部门备案。</w:t>
      </w:r>
    </w:p>
    <w:p>
      <w:pPr>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ascii="宋体" w:hAnsi="宋体" w:cs="宋体"/>
          <w:b/>
          <w:bCs/>
          <w:color w:val="auto"/>
          <w:sz w:val="28"/>
          <w:szCs w:val="28"/>
        </w:rPr>
      </w:pPr>
      <w:r>
        <w:rPr>
          <w:rFonts w:hint="eastAsia" w:ascii="宋体" w:hAnsi="宋体" w:cs="宋体"/>
          <w:b/>
          <w:bCs/>
          <w:color w:val="auto"/>
          <w:sz w:val="28"/>
          <w:szCs w:val="28"/>
        </w:rPr>
        <w:t>G、招标代理服务费</w:t>
      </w:r>
    </w:p>
    <w:p>
      <w:pPr>
        <w:pStyle w:val="24"/>
        <w:keepLines w:val="0"/>
        <w:pageBreakBefore w:val="0"/>
        <w:widowControl w:val="0"/>
        <w:kinsoku/>
        <w:wordWrap/>
        <w:overflowPunct/>
        <w:topLinePunct w:val="0"/>
        <w:bidi w:val="0"/>
        <w:spacing w:line="420" w:lineRule="exact"/>
        <w:textAlignment w:val="auto"/>
        <w:rPr>
          <w:rFonts w:ascii="宋体" w:hAnsi="宋体" w:cs="宋体"/>
          <w:color w:val="auto"/>
        </w:rPr>
      </w:pPr>
    </w:p>
    <w:p>
      <w:pPr>
        <w:keepLines w:val="0"/>
        <w:pageBreakBefore w:val="0"/>
        <w:widowControl w:val="0"/>
        <w:kinsoku/>
        <w:wordWrap/>
        <w:overflowPunct/>
        <w:topLinePunct w:val="0"/>
        <w:autoSpaceDE w:val="0"/>
        <w:autoSpaceDN w:val="0"/>
        <w:bidi w:val="0"/>
        <w:adjustRightInd w:val="0"/>
        <w:snapToGrid w:val="0"/>
        <w:spacing w:line="420" w:lineRule="exact"/>
        <w:ind w:firstLine="472" w:firstLineChars="196"/>
        <w:textAlignment w:val="auto"/>
        <w:rPr>
          <w:rFonts w:ascii="宋体" w:hAnsi="宋体" w:cs="宋体"/>
          <w:b/>
          <w:color w:val="auto"/>
          <w:sz w:val="24"/>
          <w:szCs w:val="24"/>
        </w:rPr>
      </w:pPr>
      <w:r>
        <w:rPr>
          <w:rFonts w:hint="eastAsia" w:ascii="宋体" w:hAnsi="宋体" w:cs="宋体"/>
          <w:b/>
          <w:color w:val="auto"/>
          <w:sz w:val="24"/>
          <w:szCs w:val="24"/>
        </w:rPr>
        <w:t>36、成交服务费</w:t>
      </w:r>
    </w:p>
    <w:p>
      <w:pPr>
        <w:keepLines w:val="0"/>
        <w:pageBreakBefore w:val="0"/>
        <w:widowControl w:val="0"/>
        <w:kinsoku/>
        <w:wordWrap/>
        <w:overflowPunct/>
        <w:topLinePunct w:val="0"/>
        <w:autoSpaceDE w:val="0"/>
        <w:autoSpaceDN w:val="0"/>
        <w:bidi w:val="0"/>
        <w:adjustRightInd w:val="0"/>
        <w:snapToGrid w:val="0"/>
        <w:spacing w:line="420" w:lineRule="exact"/>
        <w:ind w:firstLine="470" w:firstLineChars="196"/>
        <w:textAlignment w:val="auto"/>
        <w:rPr>
          <w:rFonts w:ascii="宋体" w:hAnsi="宋体" w:cs="宋体"/>
          <w:color w:val="auto"/>
          <w:sz w:val="24"/>
          <w:szCs w:val="24"/>
        </w:rPr>
      </w:pPr>
      <w:r>
        <w:rPr>
          <w:rFonts w:hint="eastAsia" w:ascii="宋体" w:hAnsi="宋体" w:cs="宋体"/>
          <w:color w:val="auto"/>
          <w:sz w:val="24"/>
          <w:szCs w:val="24"/>
        </w:rPr>
        <w:t>36.1、成交单位在领取成交通知书前，须向采购代理机构支付成交服务费。</w:t>
      </w:r>
    </w:p>
    <w:p>
      <w:pPr>
        <w:keepLines w:val="0"/>
        <w:pageBreakBefore w:val="0"/>
        <w:widowControl w:val="0"/>
        <w:kinsoku/>
        <w:wordWrap/>
        <w:overflowPunct/>
        <w:topLinePunct w:val="0"/>
        <w:autoSpaceDE w:val="0"/>
        <w:autoSpaceDN w:val="0"/>
        <w:bidi w:val="0"/>
        <w:adjustRightInd w:val="0"/>
        <w:snapToGrid w:val="0"/>
        <w:spacing w:line="420" w:lineRule="exact"/>
        <w:ind w:firstLine="470" w:firstLineChars="196"/>
        <w:textAlignment w:val="auto"/>
        <w:rPr>
          <w:rFonts w:ascii="宋体" w:hAnsi="宋体" w:cs="宋体"/>
          <w:color w:val="auto"/>
          <w:sz w:val="24"/>
          <w:szCs w:val="24"/>
        </w:rPr>
      </w:pPr>
      <w:r>
        <w:rPr>
          <w:rFonts w:hint="eastAsia" w:ascii="宋体" w:hAnsi="宋体" w:cs="宋体"/>
          <w:color w:val="auto"/>
          <w:sz w:val="24"/>
          <w:szCs w:val="24"/>
        </w:rPr>
        <w:t>36.2、成交服务费依据国家计委计价格[2002]1980号《招标代理服务收费管理暂行办法》和国家发展改革委员会办公厅颁发的《关于招标代理服务收费有关问题的通知》（发改办价格[2003]857号）规定标准收取，招标代理服务收费按差额定率累进法计算。</w:t>
      </w:r>
    </w:p>
    <w:p>
      <w:pPr>
        <w:keepLines w:val="0"/>
        <w:pageBreakBefore w:val="0"/>
        <w:widowControl w:val="0"/>
        <w:kinsoku/>
        <w:wordWrap/>
        <w:overflowPunct/>
        <w:topLinePunct w:val="0"/>
        <w:autoSpaceDE w:val="0"/>
        <w:autoSpaceDN w:val="0"/>
        <w:bidi w:val="0"/>
        <w:adjustRightInd w:val="0"/>
        <w:snapToGrid w:val="0"/>
        <w:spacing w:line="420" w:lineRule="exact"/>
        <w:ind w:firstLine="470" w:firstLineChars="196"/>
        <w:textAlignment w:val="auto"/>
        <w:rPr>
          <w:rFonts w:ascii="宋体" w:hAnsi="宋体" w:cs="宋体"/>
          <w:color w:val="auto"/>
          <w:sz w:val="24"/>
          <w:szCs w:val="24"/>
        </w:rPr>
      </w:pPr>
      <w:r>
        <w:rPr>
          <w:rFonts w:hint="eastAsia" w:ascii="宋体" w:hAnsi="宋体" w:cs="宋体"/>
          <w:color w:val="auto"/>
          <w:sz w:val="24"/>
          <w:szCs w:val="24"/>
        </w:rPr>
        <w:t>36.3、服务费账户</w:t>
      </w:r>
    </w:p>
    <w:p>
      <w:pPr>
        <w:keepLines w:val="0"/>
        <w:pageBreakBefore w:val="0"/>
        <w:widowControl w:val="0"/>
        <w:kinsoku/>
        <w:wordWrap/>
        <w:overflowPunct/>
        <w:topLinePunct w:val="0"/>
        <w:autoSpaceDE w:val="0"/>
        <w:autoSpaceDN w:val="0"/>
        <w:bidi w:val="0"/>
        <w:adjustRightInd w:val="0"/>
        <w:snapToGrid w:val="0"/>
        <w:spacing w:line="420" w:lineRule="exact"/>
        <w:ind w:left="488" w:leftChars="228" w:hanging="9" w:hangingChars="4"/>
        <w:textAlignment w:val="auto"/>
        <w:rPr>
          <w:rFonts w:ascii="宋体" w:hAnsi="宋体" w:cs="宋体"/>
          <w:color w:val="auto"/>
          <w:sz w:val="24"/>
          <w:szCs w:val="24"/>
        </w:rPr>
      </w:pPr>
      <w:r>
        <w:rPr>
          <w:rFonts w:hint="eastAsia" w:ascii="宋体" w:hAnsi="宋体" w:cs="宋体"/>
          <w:color w:val="auto"/>
          <w:sz w:val="24"/>
          <w:szCs w:val="24"/>
        </w:rPr>
        <w:t>单位名称:陕西盛仕骄阳项目管理有限公司</w:t>
      </w:r>
      <w:r>
        <w:rPr>
          <w:rFonts w:hint="eastAsia" w:ascii="宋体" w:hAnsi="宋体" w:cs="宋体"/>
          <w:color w:val="auto"/>
          <w:sz w:val="24"/>
          <w:szCs w:val="24"/>
        </w:rPr>
        <w:br w:type="textWrapping"/>
      </w:r>
      <w:r>
        <w:rPr>
          <w:rFonts w:hint="eastAsia" w:ascii="宋体" w:hAnsi="宋体" w:cs="宋体"/>
          <w:color w:val="auto"/>
          <w:sz w:val="24"/>
          <w:szCs w:val="24"/>
        </w:rPr>
        <w:t>账号：61050175580000000415</w:t>
      </w:r>
      <w:r>
        <w:rPr>
          <w:rFonts w:hint="eastAsia" w:ascii="宋体" w:hAnsi="宋体" w:cs="宋体"/>
          <w:color w:val="auto"/>
          <w:sz w:val="24"/>
          <w:szCs w:val="24"/>
        </w:rPr>
        <w:br w:type="textWrapping"/>
      </w:r>
      <w:r>
        <w:rPr>
          <w:rFonts w:hint="eastAsia" w:ascii="宋体" w:hAnsi="宋体" w:cs="宋体"/>
          <w:color w:val="auto"/>
          <w:sz w:val="24"/>
          <w:szCs w:val="24"/>
        </w:rPr>
        <w:t>开户行：中国建设银行股份有限公司西安徐家湾支行</w:t>
      </w:r>
    </w:p>
    <w:p>
      <w:pPr>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ascii="宋体" w:hAnsi="宋体" w:cs="宋体"/>
          <w:b/>
          <w:bCs/>
          <w:color w:val="auto"/>
          <w:sz w:val="28"/>
          <w:szCs w:val="28"/>
        </w:rPr>
      </w:pPr>
      <w:r>
        <w:rPr>
          <w:rFonts w:hint="eastAsia" w:ascii="宋体" w:hAnsi="宋体" w:cs="宋体"/>
          <w:b/>
          <w:bCs/>
          <w:color w:val="auto"/>
          <w:sz w:val="28"/>
          <w:szCs w:val="28"/>
        </w:rPr>
        <w:t>H、其它</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b/>
          <w:color w:val="auto"/>
          <w:sz w:val="24"/>
          <w:szCs w:val="24"/>
          <w:lang w:val="zh-CN"/>
        </w:rPr>
      </w:pPr>
      <w:r>
        <w:rPr>
          <w:rFonts w:hint="eastAsia" w:ascii="宋体" w:hAnsi="宋体" w:cs="宋体"/>
          <w:b/>
          <w:color w:val="auto"/>
          <w:sz w:val="24"/>
          <w:szCs w:val="24"/>
        </w:rPr>
        <w:t>37</w:t>
      </w:r>
      <w:r>
        <w:rPr>
          <w:rFonts w:hint="eastAsia" w:ascii="宋体" w:hAnsi="宋体" w:cs="宋体"/>
          <w:b/>
          <w:color w:val="auto"/>
          <w:sz w:val="24"/>
          <w:szCs w:val="24"/>
          <w:lang w:val="zh-CN"/>
        </w:rPr>
        <w:t>、</w:t>
      </w:r>
      <w:r>
        <w:rPr>
          <w:rFonts w:hint="eastAsia" w:ascii="宋体" w:hAnsi="宋体" w:cs="宋体"/>
          <w:b/>
          <w:color w:val="auto"/>
          <w:sz w:val="24"/>
          <w:szCs w:val="24"/>
        </w:rPr>
        <w:t>磋商开始后，出现下列情形之一的，采购代理机构将终止竞争性磋商采购活动，发布项目终止公告并说明原因，重新开展采购活动：</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bCs/>
          <w:color w:val="auto"/>
          <w:sz w:val="24"/>
          <w:szCs w:val="24"/>
          <w:lang w:val="zh-CN"/>
        </w:rPr>
      </w:pPr>
      <w:r>
        <w:rPr>
          <w:rFonts w:hint="eastAsia" w:ascii="宋体" w:hAnsi="宋体" w:cs="宋体"/>
          <w:bCs/>
          <w:color w:val="auto"/>
          <w:sz w:val="24"/>
          <w:szCs w:val="24"/>
        </w:rPr>
        <w:t>37.1、</w:t>
      </w:r>
      <w:r>
        <w:rPr>
          <w:rFonts w:hint="eastAsia" w:ascii="宋体" w:hAnsi="宋体" w:cs="宋体"/>
          <w:bCs/>
          <w:color w:val="auto"/>
          <w:sz w:val="24"/>
          <w:szCs w:val="24"/>
          <w:lang w:val="zh-CN"/>
        </w:rPr>
        <w:t>因情况变化，不再符合规定的竞争性磋商采购方式适用情形的；</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bCs/>
          <w:color w:val="auto"/>
          <w:sz w:val="24"/>
          <w:szCs w:val="24"/>
          <w:lang w:val="zh-CN"/>
        </w:rPr>
      </w:pPr>
      <w:r>
        <w:rPr>
          <w:rFonts w:hint="eastAsia" w:ascii="宋体" w:hAnsi="宋体" w:cs="宋体"/>
          <w:bCs/>
          <w:color w:val="auto"/>
          <w:sz w:val="24"/>
          <w:szCs w:val="24"/>
        </w:rPr>
        <w:t>37.2、</w:t>
      </w:r>
      <w:r>
        <w:rPr>
          <w:rFonts w:hint="eastAsia" w:ascii="宋体" w:hAnsi="宋体" w:cs="宋体"/>
          <w:bCs/>
          <w:color w:val="auto"/>
          <w:sz w:val="24"/>
          <w:szCs w:val="24"/>
          <w:lang w:val="zh-CN"/>
        </w:rPr>
        <w:t>出现影响采购公正的违法、违规行为的；</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bCs/>
          <w:color w:val="auto"/>
          <w:sz w:val="24"/>
          <w:szCs w:val="24"/>
          <w:lang w:val="zh-CN"/>
        </w:rPr>
      </w:pPr>
      <w:r>
        <w:rPr>
          <w:rFonts w:hint="eastAsia" w:ascii="宋体" w:hAnsi="宋体" w:cs="宋体"/>
          <w:bCs/>
          <w:color w:val="auto"/>
          <w:sz w:val="24"/>
          <w:szCs w:val="24"/>
        </w:rPr>
        <w:t>37.3、</w:t>
      </w:r>
      <w:r>
        <w:rPr>
          <w:rFonts w:hint="eastAsia" w:ascii="宋体" w:hAnsi="宋体" w:cs="宋体"/>
          <w:bCs/>
          <w:color w:val="auto"/>
          <w:sz w:val="24"/>
          <w:szCs w:val="24"/>
          <w:lang w:val="zh-CN"/>
        </w:rPr>
        <w:t>在采购过程中符合要求的供应商不足3家的；</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bCs/>
          <w:color w:val="auto"/>
          <w:sz w:val="24"/>
          <w:szCs w:val="24"/>
          <w:lang w:val="zh-CN"/>
        </w:rPr>
      </w:pPr>
      <w:r>
        <w:rPr>
          <w:rFonts w:hint="eastAsia" w:ascii="宋体" w:hAnsi="宋体" w:cs="宋体"/>
          <w:bCs/>
          <w:color w:val="auto"/>
          <w:sz w:val="24"/>
          <w:szCs w:val="24"/>
        </w:rPr>
        <w:t>37.4、</w:t>
      </w:r>
      <w:r>
        <w:rPr>
          <w:rFonts w:hint="eastAsia" w:ascii="宋体" w:hAnsi="宋体" w:cs="宋体"/>
          <w:bCs/>
          <w:color w:val="auto"/>
          <w:sz w:val="24"/>
          <w:szCs w:val="24"/>
          <w:lang w:val="zh-CN"/>
        </w:rPr>
        <w:t>报价未超过采购预算的供应商不足3家的。</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bCs/>
          <w:color w:val="auto"/>
          <w:sz w:val="24"/>
          <w:szCs w:val="24"/>
          <w:lang w:val="zh-CN"/>
        </w:rPr>
      </w:pPr>
      <w:r>
        <w:rPr>
          <w:rFonts w:hint="eastAsia" w:ascii="宋体" w:hAnsi="宋体" w:cs="宋体"/>
          <w:bCs/>
          <w:color w:val="auto"/>
          <w:sz w:val="24"/>
          <w:szCs w:val="24"/>
          <w:lang w:val="zh-CN"/>
        </w:rPr>
        <w:t>废标后，采购代理机构应在财政部门指定采购网上公告，并公告废标的详细理由。</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b/>
          <w:color w:val="auto"/>
          <w:sz w:val="24"/>
          <w:szCs w:val="24"/>
          <w:lang w:val="zh-CN"/>
        </w:rPr>
      </w:pPr>
      <w:r>
        <w:rPr>
          <w:rFonts w:hint="eastAsia" w:ascii="宋体" w:hAnsi="宋体" w:cs="宋体"/>
          <w:b/>
          <w:color w:val="auto"/>
          <w:sz w:val="24"/>
          <w:szCs w:val="24"/>
        </w:rPr>
        <w:t>38、提交最后报价的供应商为2家时，可以继续进行磋商的情形：</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rPr>
      </w:pPr>
      <w:r>
        <w:rPr>
          <w:rFonts w:hint="eastAsia" w:ascii="宋体" w:hAnsi="宋体" w:cs="宋体"/>
          <w:color w:val="auto"/>
          <w:sz w:val="24"/>
          <w:szCs w:val="24"/>
        </w:rPr>
        <w:t>38.1、市场竞争不充分的科研项目，以及需要扶持的科技成果转化项目；</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rPr>
      </w:pPr>
      <w:r>
        <w:rPr>
          <w:rFonts w:hint="eastAsia" w:ascii="宋体" w:hAnsi="宋体" w:cs="宋体"/>
          <w:color w:val="auto"/>
          <w:sz w:val="24"/>
          <w:szCs w:val="24"/>
        </w:rPr>
        <w:t>38.2、根据陕西省财政厅陕财办采资（2016）53号文件第十八条，在采购过程中符合要求的供应商（社会资本）只有2家的。</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39、</w:t>
      </w:r>
      <w:r>
        <w:rPr>
          <w:rFonts w:hint="eastAsia" w:ascii="宋体" w:hAnsi="宋体" w:cs="宋体"/>
          <w:color w:val="auto"/>
          <w:sz w:val="24"/>
          <w:szCs w:val="24"/>
          <w:lang w:val="zh-CN"/>
        </w:rPr>
        <w:t>磋商开始到成交供应商确定前，磋商小组、采购人及有关人员要严格遵循保密原则，任何一方不得向与评审无关的单位和人员透露与磋商有关的其它供应商的技术资料、价格及其它信息。否则，按《中华人民共和国政府采购法》、《中华人民共和国政府采购法实施条例》及有关法律、法规的法律规定进行相应的处罚。</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40</w:t>
      </w:r>
      <w:r>
        <w:rPr>
          <w:rFonts w:hint="eastAsia" w:ascii="宋体" w:hAnsi="宋体" w:cs="宋体"/>
          <w:color w:val="auto"/>
          <w:sz w:val="24"/>
          <w:szCs w:val="24"/>
          <w:lang w:val="zh-CN"/>
        </w:rPr>
        <w:t>、成交供应商确定后，成交供应商无正当理由拖延或拒签合同的，或未能按照规定的时间提供履约担保，采购人有权取消其成交资格，并按评审顺序重新确定成交供应商。同时报请监督机构予以通报，禁止其进入政府采购市场。给采购人造成损失巨大的，供应商还应当对超过部分予以赔偿，并依法承担相应法律责任。</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41、</w:t>
      </w:r>
      <w:r>
        <w:rPr>
          <w:rFonts w:hint="eastAsia" w:ascii="宋体" w:hAnsi="宋体" w:cs="宋体"/>
          <w:color w:val="auto"/>
          <w:sz w:val="24"/>
          <w:szCs w:val="24"/>
          <w:lang w:val="zh-CN"/>
        </w:rPr>
        <w:t>根据《陕西省财政厅关于政府采购供应商注册登记有关事项的通知》的规定，供应商在购买标书后，应及时在陕西省政府采购网</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8"/>
          <w:szCs w:val="28"/>
          <w:lang w:val="zh-CN"/>
        </w:rPr>
      </w:pPr>
      <w:r>
        <w:rPr>
          <w:rFonts w:hint="eastAsia" w:ascii="宋体" w:hAnsi="宋体" w:cs="宋体"/>
          <w:color w:val="auto"/>
          <w:sz w:val="24"/>
          <w:szCs w:val="24"/>
          <w:lang w:val="zh-CN"/>
        </w:rPr>
        <w:t>（http://www.ccgp-shaanxi.gov.cn/）注册登记加入陕西省政府采购供应商库。因供应商自身原因未及时登记入库而导致的一切后果由供应商自行承担。</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b/>
          <w:color w:val="auto"/>
          <w:sz w:val="24"/>
          <w:szCs w:val="24"/>
        </w:rPr>
      </w:pPr>
      <w:r>
        <w:rPr>
          <w:rFonts w:hint="eastAsia" w:ascii="宋体" w:hAnsi="宋体" w:cs="宋体"/>
          <w:b/>
          <w:color w:val="auto"/>
          <w:sz w:val="24"/>
          <w:szCs w:val="24"/>
        </w:rPr>
        <w:t>42、特殊情况的处理</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bCs/>
          <w:color w:val="auto"/>
          <w:sz w:val="24"/>
          <w:szCs w:val="24"/>
        </w:rPr>
      </w:pPr>
      <w:r>
        <w:rPr>
          <w:rFonts w:hint="eastAsia" w:ascii="宋体" w:hAnsi="宋体" w:cs="宋体"/>
          <w:bCs/>
          <w:color w:val="auto"/>
          <w:sz w:val="24"/>
          <w:szCs w:val="24"/>
        </w:rPr>
        <w:t>42.1、单一产品采购项目中，提供相同品牌的产品的不同供应商参加同一合同项下投标的，按以下方法处理：</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bCs/>
          <w:color w:val="auto"/>
          <w:sz w:val="24"/>
          <w:szCs w:val="24"/>
        </w:rPr>
      </w:pPr>
      <w:r>
        <w:rPr>
          <w:rFonts w:hint="eastAsia" w:ascii="宋体" w:hAnsi="宋体" w:cs="宋体"/>
          <w:bCs/>
          <w:color w:val="auto"/>
          <w:sz w:val="24"/>
          <w:szCs w:val="24"/>
        </w:rPr>
        <w:t>42.1.1、使用最低评标价法的采购项目，提供相同品牌产品的不同供应商参加同一合同项下投标的，以其中通过资格审查、符合性审查且报价最低的参加评标；报价相同的，由采购人及评标委员会按照技术方案、售后服务等内容择优选择确定一个参加评标的供应商，其他投标无效。</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bCs/>
          <w:color w:val="auto"/>
          <w:sz w:val="24"/>
          <w:szCs w:val="24"/>
        </w:rPr>
      </w:pPr>
      <w:r>
        <w:rPr>
          <w:rFonts w:hint="eastAsia" w:ascii="宋体" w:hAnsi="宋体" w:cs="宋体"/>
          <w:bCs/>
          <w:color w:val="auto"/>
          <w:sz w:val="24"/>
          <w:szCs w:val="24"/>
        </w:rPr>
        <w:t>42.1.2、使用综合评分法的采购项目，提供相同品牌产品且通过资格审查、符合性审查的不同供应商参加同一合同项下投标的，按一家供应商计算，评审后得分最高的同品牌供应商获得中标人推荐资格；评审得分相同的，由采购人及评标委员会按照投标报价最低的方式确定一个供应商获得中标人推荐资格，其他同品牌供应商不作为中标候选人。</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bCs/>
          <w:color w:val="auto"/>
          <w:sz w:val="24"/>
          <w:szCs w:val="24"/>
        </w:rPr>
      </w:pPr>
      <w:r>
        <w:rPr>
          <w:rFonts w:hint="eastAsia" w:ascii="宋体" w:hAnsi="宋体" w:cs="宋体"/>
          <w:bCs/>
          <w:color w:val="auto"/>
          <w:sz w:val="24"/>
          <w:szCs w:val="24"/>
        </w:rPr>
        <w:t>42.2、非单一产品采购项目中，提供相同品牌的核心产品的不同供应商参加同一合同项下投标的，按以下方法处理：</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bCs/>
          <w:color w:val="auto"/>
          <w:sz w:val="24"/>
          <w:szCs w:val="24"/>
        </w:rPr>
      </w:pPr>
      <w:r>
        <w:rPr>
          <w:rFonts w:hint="eastAsia" w:ascii="宋体" w:hAnsi="宋体" w:cs="宋体"/>
          <w:bCs/>
          <w:color w:val="auto"/>
          <w:sz w:val="24"/>
          <w:szCs w:val="24"/>
        </w:rPr>
        <w:t>42.2.1、使用最低评标价法的采购项目，提供相同品牌核心产品的不同供应商参加同一合同项下投标的，以其中通过资格审查、符合性审查且投标报价最低的参加评标；投标报价相同的，由采购人及评标委员会按照技术方案、售后服务等内容择优选择确定一个参加评标的供应商，其他投标无效。</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bCs/>
          <w:color w:val="auto"/>
          <w:sz w:val="24"/>
          <w:szCs w:val="24"/>
        </w:rPr>
      </w:pPr>
      <w:r>
        <w:rPr>
          <w:rFonts w:hint="eastAsia" w:ascii="宋体" w:hAnsi="宋体" w:cs="宋体"/>
          <w:bCs/>
          <w:color w:val="auto"/>
          <w:sz w:val="24"/>
          <w:szCs w:val="24"/>
        </w:rPr>
        <w:t>42.2.2、使用综合评分法的采购项目，提供相同品牌核心产品且通过资格审查、符合性审查的不同供应商参加同一合同项下投标的，按一家供应商计算，评审后得分最高的同品牌供应商获得中标人推荐资格；评审得分相同的，由采购人及评标委员会按照投标报价最低的方式确定一个供应商获得中标人推荐资格，其他同品牌供应商不作为中标候选人。</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bCs/>
          <w:color w:val="auto"/>
          <w:sz w:val="24"/>
          <w:szCs w:val="24"/>
        </w:rPr>
      </w:pPr>
      <w:r>
        <w:rPr>
          <w:rFonts w:hint="eastAsia" w:ascii="宋体" w:hAnsi="宋体" w:cs="宋体"/>
          <w:bCs/>
          <w:color w:val="auto"/>
          <w:sz w:val="24"/>
          <w:szCs w:val="24"/>
        </w:rPr>
        <w:t>42.2.3、核心产品为两个及以上时，当所有核心产品品牌均相同时，在评审时按同一供应商计算；部分核心产品品牌相同时按不同供应商计算。</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b/>
          <w:color w:val="auto"/>
          <w:sz w:val="24"/>
          <w:szCs w:val="24"/>
          <w:lang w:val="zh-CN"/>
        </w:rPr>
      </w:pPr>
      <w:r>
        <w:rPr>
          <w:rFonts w:hint="eastAsia" w:ascii="宋体" w:hAnsi="宋体" w:cs="宋体"/>
          <w:b/>
          <w:color w:val="auto"/>
          <w:sz w:val="24"/>
          <w:szCs w:val="24"/>
        </w:rPr>
        <w:t>43</w:t>
      </w:r>
      <w:r>
        <w:rPr>
          <w:rFonts w:hint="eastAsia" w:ascii="宋体" w:hAnsi="宋体" w:cs="宋体"/>
          <w:b/>
          <w:color w:val="auto"/>
          <w:sz w:val="24"/>
          <w:szCs w:val="24"/>
          <w:lang w:val="zh-CN"/>
        </w:rPr>
        <w:t>、质疑与投诉</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43.</w:t>
      </w:r>
      <w:r>
        <w:rPr>
          <w:rFonts w:hint="eastAsia" w:ascii="宋体" w:hAnsi="宋体" w:cs="宋体"/>
          <w:color w:val="auto"/>
          <w:sz w:val="24"/>
          <w:szCs w:val="24"/>
          <w:lang w:val="zh-CN"/>
        </w:rPr>
        <w:t>1、供应商认为采购文件、采购过程、中标或者成交结果使自己的权益受到损害的，可以在知道或者应知其权益受到损害之日起7个工作日内，以书面形式向采购人、采购代理机构提出质疑。</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lang w:val="zh-CN"/>
        </w:rPr>
        <w:t>供应商在法定质疑期内应一次性提出针对同一采购程序环节的质疑。</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lang w:val="zh-CN"/>
        </w:rPr>
        <w:t>质疑接受以书面形式送达 以下地址：</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lang w:val="zh-CN"/>
        </w:rPr>
        <w:t>联系人:</w:t>
      </w:r>
      <w:r>
        <w:rPr>
          <w:rFonts w:hint="eastAsia" w:ascii="宋体" w:hAnsi="宋体" w:cs="宋体"/>
          <w:color w:val="auto"/>
          <w:sz w:val="24"/>
          <w:szCs w:val="24"/>
        </w:rPr>
        <w:t>张工</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rPr>
      </w:pPr>
      <w:r>
        <w:rPr>
          <w:rFonts w:hint="eastAsia" w:ascii="宋体" w:hAnsi="宋体" w:cs="宋体"/>
          <w:color w:val="auto"/>
          <w:sz w:val="24"/>
          <w:szCs w:val="24"/>
          <w:lang w:val="zh-CN"/>
        </w:rPr>
        <w:t>联系电话：</w:t>
      </w:r>
      <w:r>
        <w:rPr>
          <w:rFonts w:hint="eastAsia" w:ascii="宋体" w:hAnsi="宋体" w:cs="宋体"/>
          <w:color w:val="auto"/>
          <w:sz w:val="24"/>
          <w:szCs w:val="24"/>
        </w:rPr>
        <w:t>029-89871668</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rPr>
      </w:pPr>
      <w:r>
        <w:rPr>
          <w:rFonts w:hint="eastAsia" w:ascii="宋体" w:hAnsi="宋体" w:cs="宋体"/>
          <w:color w:val="auto"/>
          <w:sz w:val="24"/>
          <w:szCs w:val="24"/>
          <w:lang w:val="zh-CN"/>
        </w:rPr>
        <w:t xml:space="preserve">地址: </w:t>
      </w:r>
      <w:r>
        <w:rPr>
          <w:rFonts w:hint="eastAsia" w:ascii="宋体" w:hAnsi="宋体" w:cs="宋体"/>
          <w:color w:val="auto"/>
          <w:sz w:val="24"/>
          <w:szCs w:val="24"/>
        </w:rPr>
        <w:t xml:space="preserve">西安市未央区凤城八路与渭滨路十字西北角水晶新天地11004室 </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43.</w:t>
      </w:r>
      <w:r>
        <w:rPr>
          <w:rFonts w:hint="eastAsia" w:ascii="宋体" w:hAnsi="宋体" w:cs="宋体"/>
          <w:color w:val="auto"/>
          <w:sz w:val="24"/>
          <w:szCs w:val="24"/>
          <w:lang w:val="zh-CN"/>
        </w:rPr>
        <w:t>2、质疑函应当包括下列内容：</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43.</w:t>
      </w:r>
      <w:r>
        <w:rPr>
          <w:rFonts w:hint="eastAsia" w:ascii="宋体" w:hAnsi="宋体" w:cs="宋体"/>
          <w:color w:val="auto"/>
          <w:sz w:val="24"/>
          <w:szCs w:val="24"/>
          <w:lang w:val="zh-CN"/>
        </w:rPr>
        <w:t>2</w:t>
      </w:r>
      <w:r>
        <w:rPr>
          <w:rFonts w:hint="eastAsia" w:ascii="宋体" w:hAnsi="宋体" w:cs="宋体"/>
          <w:color w:val="auto"/>
          <w:sz w:val="24"/>
          <w:szCs w:val="24"/>
        </w:rPr>
        <w:t>.1</w:t>
      </w:r>
      <w:r>
        <w:rPr>
          <w:rFonts w:hint="eastAsia" w:ascii="宋体" w:hAnsi="宋体" w:cs="宋体"/>
          <w:color w:val="auto"/>
          <w:sz w:val="24"/>
          <w:szCs w:val="24"/>
          <w:lang w:val="zh-CN"/>
        </w:rPr>
        <w:t>、供应商的姓名或者名称、地址、邮编、联系人及联系电话；</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43.</w:t>
      </w:r>
      <w:r>
        <w:rPr>
          <w:rFonts w:hint="eastAsia" w:ascii="宋体" w:hAnsi="宋体" w:cs="宋体"/>
          <w:color w:val="auto"/>
          <w:sz w:val="24"/>
          <w:szCs w:val="24"/>
          <w:lang w:val="zh-CN"/>
        </w:rPr>
        <w:t>2</w:t>
      </w:r>
      <w:r>
        <w:rPr>
          <w:rFonts w:hint="eastAsia" w:ascii="宋体" w:hAnsi="宋体" w:cs="宋体"/>
          <w:color w:val="auto"/>
          <w:sz w:val="24"/>
          <w:szCs w:val="24"/>
        </w:rPr>
        <w:t>.2</w:t>
      </w:r>
      <w:r>
        <w:rPr>
          <w:rFonts w:hint="eastAsia" w:ascii="宋体" w:hAnsi="宋体" w:cs="宋体"/>
          <w:color w:val="auto"/>
          <w:sz w:val="24"/>
          <w:szCs w:val="24"/>
          <w:lang w:val="zh-CN"/>
        </w:rPr>
        <w:t>、质疑项目的名称、编号；</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43.</w:t>
      </w:r>
      <w:r>
        <w:rPr>
          <w:rFonts w:hint="eastAsia" w:ascii="宋体" w:hAnsi="宋体" w:cs="宋体"/>
          <w:color w:val="auto"/>
          <w:sz w:val="24"/>
          <w:szCs w:val="24"/>
          <w:lang w:val="zh-CN"/>
        </w:rPr>
        <w:t>2</w:t>
      </w:r>
      <w:r>
        <w:rPr>
          <w:rFonts w:hint="eastAsia" w:ascii="宋体" w:hAnsi="宋体" w:cs="宋体"/>
          <w:color w:val="auto"/>
          <w:sz w:val="24"/>
          <w:szCs w:val="24"/>
        </w:rPr>
        <w:t>.3</w:t>
      </w:r>
      <w:r>
        <w:rPr>
          <w:rFonts w:hint="eastAsia" w:ascii="宋体" w:hAnsi="宋体" w:cs="宋体"/>
          <w:color w:val="auto"/>
          <w:sz w:val="24"/>
          <w:szCs w:val="24"/>
          <w:lang w:val="zh-CN"/>
        </w:rPr>
        <w:t>、具体、明确的质疑事项和与质疑事项相关的请求；</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43.</w:t>
      </w:r>
      <w:r>
        <w:rPr>
          <w:rFonts w:hint="eastAsia" w:ascii="宋体" w:hAnsi="宋体" w:cs="宋体"/>
          <w:color w:val="auto"/>
          <w:sz w:val="24"/>
          <w:szCs w:val="24"/>
          <w:lang w:val="zh-CN"/>
        </w:rPr>
        <w:t>2</w:t>
      </w:r>
      <w:r>
        <w:rPr>
          <w:rFonts w:hint="eastAsia" w:ascii="宋体" w:hAnsi="宋体" w:cs="宋体"/>
          <w:color w:val="auto"/>
          <w:sz w:val="24"/>
          <w:szCs w:val="24"/>
        </w:rPr>
        <w:t>.4</w:t>
      </w:r>
      <w:r>
        <w:rPr>
          <w:rFonts w:hint="eastAsia" w:ascii="宋体" w:hAnsi="宋体" w:cs="宋体"/>
          <w:color w:val="auto"/>
          <w:sz w:val="24"/>
          <w:szCs w:val="24"/>
          <w:lang w:val="zh-CN"/>
        </w:rPr>
        <w:t>、事实依据；</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43.</w:t>
      </w:r>
      <w:r>
        <w:rPr>
          <w:rFonts w:hint="eastAsia" w:ascii="宋体" w:hAnsi="宋体" w:cs="宋体"/>
          <w:color w:val="auto"/>
          <w:sz w:val="24"/>
          <w:szCs w:val="24"/>
          <w:lang w:val="zh-CN"/>
        </w:rPr>
        <w:t>2</w:t>
      </w:r>
      <w:r>
        <w:rPr>
          <w:rFonts w:hint="eastAsia" w:ascii="宋体" w:hAnsi="宋体" w:cs="宋体"/>
          <w:color w:val="auto"/>
          <w:sz w:val="24"/>
          <w:szCs w:val="24"/>
        </w:rPr>
        <w:t>.5</w:t>
      </w:r>
      <w:r>
        <w:rPr>
          <w:rFonts w:hint="eastAsia" w:ascii="宋体" w:hAnsi="宋体" w:cs="宋体"/>
          <w:color w:val="auto"/>
          <w:sz w:val="24"/>
          <w:szCs w:val="24"/>
          <w:lang w:val="zh-CN"/>
        </w:rPr>
        <w:t>、必要的法律依据；</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43.</w:t>
      </w:r>
      <w:r>
        <w:rPr>
          <w:rFonts w:hint="eastAsia" w:ascii="宋体" w:hAnsi="宋体" w:cs="宋体"/>
          <w:color w:val="auto"/>
          <w:sz w:val="24"/>
          <w:szCs w:val="24"/>
          <w:lang w:val="zh-CN"/>
        </w:rPr>
        <w:t>2</w:t>
      </w:r>
      <w:r>
        <w:rPr>
          <w:rFonts w:hint="eastAsia" w:ascii="宋体" w:hAnsi="宋体" w:cs="宋体"/>
          <w:color w:val="auto"/>
          <w:sz w:val="24"/>
          <w:szCs w:val="24"/>
        </w:rPr>
        <w:t>.6</w:t>
      </w:r>
      <w:r>
        <w:rPr>
          <w:rFonts w:hint="eastAsia" w:ascii="宋体" w:hAnsi="宋体" w:cs="宋体"/>
          <w:color w:val="auto"/>
          <w:sz w:val="24"/>
          <w:szCs w:val="24"/>
          <w:lang w:val="zh-CN"/>
        </w:rPr>
        <w:t>、提出质疑的日期。</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lang w:val="zh-CN"/>
        </w:rPr>
        <w:t>供应商为自然人的，应当由本人签字；供应商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43.</w:t>
      </w:r>
      <w:r>
        <w:rPr>
          <w:rFonts w:hint="eastAsia" w:ascii="宋体" w:hAnsi="宋体" w:cs="宋体"/>
          <w:color w:val="auto"/>
          <w:sz w:val="24"/>
          <w:szCs w:val="24"/>
          <w:lang w:val="zh-CN"/>
        </w:rPr>
        <w:t>3、有下列情形之一的，属于无效质疑，代理机构和采购人不予受理：</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43.</w:t>
      </w:r>
      <w:r>
        <w:rPr>
          <w:rFonts w:hint="eastAsia" w:ascii="宋体" w:hAnsi="宋体" w:cs="宋体"/>
          <w:color w:val="auto"/>
          <w:sz w:val="24"/>
          <w:szCs w:val="24"/>
          <w:lang w:val="zh-CN"/>
        </w:rPr>
        <w:t>3</w:t>
      </w:r>
      <w:r>
        <w:rPr>
          <w:rFonts w:hint="eastAsia" w:ascii="宋体" w:hAnsi="宋体" w:cs="宋体"/>
          <w:color w:val="auto"/>
          <w:sz w:val="24"/>
          <w:szCs w:val="24"/>
        </w:rPr>
        <w:t>.1</w:t>
      </w:r>
      <w:r>
        <w:rPr>
          <w:rFonts w:hint="eastAsia" w:ascii="宋体" w:hAnsi="宋体" w:cs="宋体"/>
          <w:color w:val="auto"/>
          <w:sz w:val="24"/>
          <w:szCs w:val="24"/>
          <w:lang w:val="zh-CN"/>
        </w:rPr>
        <w:t>、质疑人不是参与本次政府采购项目的供应商或潜在供应商；</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43.</w:t>
      </w:r>
      <w:r>
        <w:rPr>
          <w:rFonts w:hint="eastAsia" w:ascii="宋体" w:hAnsi="宋体" w:cs="宋体"/>
          <w:color w:val="auto"/>
          <w:sz w:val="24"/>
          <w:szCs w:val="24"/>
          <w:lang w:val="zh-CN"/>
        </w:rPr>
        <w:t>3</w:t>
      </w:r>
      <w:r>
        <w:rPr>
          <w:rFonts w:hint="eastAsia" w:ascii="宋体" w:hAnsi="宋体" w:cs="宋体"/>
          <w:color w:val="auto"/>
          <w:sz w:val="24"/>
          <w:szCs w:val="24"/>
        </w:rPr>
        <w:t>.2</w:t>
      </w:r>
      <w:r>
        <w:rPr>
          <w:rFonts w:hint="eastAsia" w:ascii="宋体" w:hAnsi="宋体" w:cs="宋体"/>
          <w:color w:val="auto"/>
          <w:sz w:val="24"/>
          <w:szCs w:val="24"/>
          <w:lang w:val="zh-CN"/>
        </w:rPr>
        <w:t>、质疑人与质疑事项不存在利害关系的；</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43.</w:t>
      </w:r>
      <w:r>
        <w:rPr>
          <w:rFonts w:hint="eastAsia" w:ascii="宋体" w:hAnsi="宋体" w:cs="宋体"/>
          <w:color w:val="auto"/>
          <w:sz w:val="24"/>
          <w:szCs w:val="24"/>
          <w:lang w:val="zh-CN"/>
        </w:rPr>
        <w:t>3</w:t>
      </w:r>
      <w:r>
        <w:rPr>
          <w:rFonts w:hint="eastAsia" w:ascii="宋体" w:hAnsi="宋体" w:cs="宋体"/>
          <w:color w:val="auto"/>
          <w:sz w:val="24"/>
          <w:szCs w:val="24"/>
        </w:rPr>
        <w:t>.3</w:t>
      </w:r>
      <w:r>
        <w:rPr>
          <w:rFonts w:hint="eastAsia" w:ascii="宋体" w:hAnsi="宋体" w:cs="宋体"/>
          <w:color w:val="auto"/>
          <w:sz w:val="24"/>
          <w:szCs w:val="24"/>
          <w:lang w:val="zh-CN"/>
        </w:rPr>
        <w:t>、未在法定期限内提出质疑的；</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43.</w:t>
      </w:r>
      <w:r>
        <w:rPr>
          <w:rFonts w:hint="eastAsia" w:ascii="宋体" w:hAnsi="宋体" w:cs="宋体"/>
          <w:color w:val="auto"/>
          <w:sz w:val="24"/>
          <w:szCs w:val="24"/>
          <w:lang w:val="zh-CN"/>
        </w:rPr>
        <w:t>3</w:t>
      </w:r>
      <w:r>
        <w:rPr>
          <w:rFonts w:hint="eastAsia" w:ascii="宋体" w:hAnsi="宋体" w:cs="宋体"/>
          <w:color w:val="auto"/>
          <w:sz w:val="24"/>
          <w:szCs w:val="24"/>
        </w:rPr>
        <w:t>.4</w:t>
      </w:r>
      <w:r>
        <w:rPr>
          <w:rFonts w:hint="eastAsia" w:ascii="宋体" w:hAnsi="宋体" w:cs="宋体"/>
          <w:color w:val="auto"/>
          <w:sz w:val="24"/>
          <w:szCs w:val="24"/>
          <w:lang w:val="zh-CN"/>
        </w:rPr>
        <w:t>、质疑未以书面形式提出，或质疑函主要内容构成不完整的，或缺乏必要的证明材料及证明材料不完整的；</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43.</w:t>
      </w:r>
      <w:r>
        <w:rPr>
          <w:rFonts w:hint="eastAsia" w:ascii="宋体" w:hAnsi="宋体" w:cs="宋体"/>
          <w:color w:val="auto"/>
          <w:sz w:val="24"/>
          <w:szCs w:val="24"/>
          <w:lang w:val="zh-CN"/>
        </w:rPr>
        <w:t>3</w:t>
      </w:r>
      <w:r>
        <w:rPr>
          <w:rFonts w:hint="eastAsia" w:ascii="宋体" w:hAnsi="宋体" w:cs="宋体"/>
          <w:color w:val="auto"/>
          <w:sz w:val="24"/>
          <w:szCs w:val="24"/>
        </w:rPr>
        <w:t>.5</w:t>
      </w:r>
      <w:r>
        <w:rPr>
          <w:rFonts w:hint="eastAsia" w:ascii="宋体" w:hAnsi="宋体" w:cs="宋体"/>
          <w:color w:val="auto"/>
          <w:sz w:val="24"/>
          <w:szCs w:val="24"/>
          <w:lang w:val="zh-CN"/>
        </w:rPr>
        <w:t>、质疑函没有合法有效的签字、盖章或授权的；</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43.</w:t>
      </w:r>
      <w:r>
        <w:rPr>
          <w:rFonts w:hint="eastAsia" w:ascii="宋体" w:hAnsi="宋体" w:cs="宋体"/>
          <w:color w:val="auto"/>
          <w:sz w:val="24"/>
          <w:szCs w:val="24"/>
          <w:lang w:val="zh-CN"/>
        </w:rPr>
        <w:t>3</w:t>
      </w:r>
      <w:r>
        <w:rPr>
          <w:rFonts w:hint="eastAsia" w:ascii="宋体" w:hAnsi="宋体" w:cs="宋体"/>
          <w:color w:val="auto"/>
          <w:sz w:val="24"/>
          <w:szCs w:val="24"/>
        </w:rPr>
        <w:t>.6</w:t>
      </w:r>
      <w:r>
        <w:rPr>
          <w:rFonts w:hint="eastAsia" w:ascii="宋体" w:hAnsi="宋体" w:cs="宋体"/>
          <w:color w:val="auto"/>
          <w:sz w:val="24"/>
          <w:szCs w:val="24"/>
          <w:lang w:val="zh-CN"/>
        </w:rPr>
        <w:t>、以非法手段取得证据、材料的；</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43.</w:t>
      </w:r>
      <w:r>
        <w:rPr>
          <w:rFonts w:hint="eastAsia" w:ascii="宋体" w:hAnsi="宋体" w:cs="宋体"/>
          <w:color w:val="auto"/>
          <w:sz w:val="24"/>
          <w:szCs w:val="24"/>
          <w:lang w:val="zh-CN"/>
        </w:rPr>
        <w:t>3</w:t>
      </w:r>
      <w:r>
        <w:rPr>
          <w:rFonts w:hint="eastAsia" w:ascii="宋体" w:hAnsi="宋体" w:cs="宋体"/>
          <w:color w:val="auto"/>
          <w:sz w:val="24"/>
          <w:szCs w:val="24"/>
        </w:rPr>
        <w:t>.7</w:t>
      </w:r>
      <w:r>
        <w:rPr>
          <w:rFonts w:hint="eastAsia" w:ascii="宋体" w:hAnsi="宋体" w:cs="宋体"/>
          <w:color w:val="auto"/>
          <w:sz w:val="24"/>
          <w:szCs w:val="24"/>
          <w:lang w:val="zh-CN"/>
        </w:rPr>
        <w:t>、质疑答复后，同一质疑人就同一事项再次提出质疑的；</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43.</w:t>
      </w:r>
      <w:r>
        <w:rPr>
          <w:rFonts w:hint="eastAsia" w:ascii="宋体" w:hAnsi="宋体" w:cs="宋体"/>
          <w:color w:val="auto"/>
          <w:sz w:val="24"/>
          <w:szCs w:val="24"/>
          <w:lang w:val="zh-CN"/>
        </w:rPr>
        <w:t>3</w:t>
      </w:r>
      <w:r>
        <w:rPr>
          <w:rFonts w:hint="eastAsia" w:ascii="宋体" w:hAnsi="宋体" w:cs="宋体"/>
          <w:color w:val="auto"/>
          <w:sz w:val="24"/>
          <w:szCs w:val="24"/>
        </w:rPr>
        <w:t>.8</w:t>
      </w:r>
      <w:r>
        <w:rPr>
          <w:rFonts w:hint="eastAsia" w:ascii="宋体" w:hAnsi="宋体" w:cs="宋体"/>
          <w:color w:val="auto"/>
          <w:sz w:val="24"/>
          <w:szCs w:val="24"/>
          <w:lang w:val="zh-CN"/>
        </w:rPr>
        <w:t>、不符合法律、法规、规章和政府采购监管机构规定的其他条件的。</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43.</w:t>
      </w:r>
      <w:r>
        <w:rPr>
          <w:rFonts w:hint="eastAsia" w:ascii="宋体" w:hAnsi="宋体" w:cs="宋体"/>
          <w:color w:val="auto"/>
          <w:sz w:val="24"/>
          <w:szCs w:val="24"/>
          <w:lang w:val="zh-CN"/>
        </w:rPr>
        <w:t>4、代理机构或采购人将在收到书面质疑后7个工作日内做出答复，并以书面形式通知质疑人和其他有关供应商。</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43.</w:t>
      </w:r>
      <w:r>
        <w:rPr>
          <w:rFonts w:hint="eastAsia" w:ascii="宋体" w:hAnsi="宋体" w:cs="宋体"/>
          <w:color w:val="auto"/>
          <w:sz w:val="24"/>
          <w:szCs w:val="24"/>
          <w:lang w:val="zh-CN"/>
        </w:rPr>
        <w:t>5、质疑人对代理机构或采购人的答复不满意，以及代理机构或采购人未在规定时间内做出答复的，可以在答复期满后15个工作日内向政府采购监管机构提出投诉。</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43.</w:t>
      </w:r>
      <w:r>
        <w:rPr>
          <w:rFonts w:hint="eastAsia" w:ascii="宋体" w:hAnsi="宋体" w:cs="宋体"/>
          <w:color w:val="auto"/>
          <w:sz w:val="24"/>
          <w:szCs w:val="24"/>
          <w:lang w:val="zh-CN"/>
        </w:rPr>
        <w:t>6、供应商投诉的事项不得超出已质疑事项的范围。</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43.</w:t>
      </w:r>
      <w:r>
        <w:rPr>
          <w:rFonts w:hint="eastAsia" w:ascii="宋体" w:hAnsi="宋体" w:cs="宋体"/>
          <w:color w:val="auto"/>
          <w:sz w:val="24"/>
          <w:szCs w:val="24"/>
          <w:lang w:val="zh-CN"/>
        </w:rPr>
        <w:t>7、对捏造事实、提供虚假材料进行质疑、投诉的行为予以严肃处理：</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lang w:val="zh-CN"/>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43.</w:t>
      </w:r>
      <w:r>
        <w:rPr>
          <w:rFonts w:hint="eastAsia" w:ascii="宋体" w:hAnsi="宋体" w:cs="宋体"/>
          <w:color w:val="auto"/>
          <w:sz w:val="24"/>
          <w:szCs w:val="24"/>
          <w:lang w:val="zh-CN"/>
        </w:rPr>
        <w:t>8、对捏造事实诬告陷害他人、诽谤他人的法律适用：</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lang w:val="zh-CN"/>
        </w:rPr>
        <w:t>《中华人民共和国刑法》第243条【诬告陷害罪】捏造事实诬告陷害他人，意图使他人受刑事追究，情节严重的，处三年以下有期徒刑、拘役或者管制；造成严重后果的，处三年以上十年以下有期徒刑。</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《中华人民共和国刑法》第246条【侮辱罪、诽谤罪】以暴力或者其他方法公然侮辱他人或者捏造事实诽谤他人，情节严重的，处三年以下有期徒刑、拘役、管制或者剥夺政治权。</w:t>
      </w:r>
    </w:p>
    <w:p>
      <w:pPr>
        <w:pStyle w:val="2"/>
        <w:rPr>
          <w:rFonts w:hint="eastAsia" w:ascii="宋体" w:hAnsi="宋体" w:cs="宋体"/>
          <w:color w:val="auto"/>
          <w:sz w:val="24"/>
          <w:szCs w:val="24"/>
          <w:lang w:val="zh-CN"/>
        </w:rPr>
      </w:pPr>
    </w:p>
    <w:p>
      <w:pPr>
        <w:rPr>
          <w:rFonts w:hint="eastAsia" w:ascii="宋体" w:hAnsi="宋体" w:cs="宋体"/>
          <w:color w:val="auto"/>
          <w:sz w:val="24"/>
          <w:szCs w:val="24"/>
          <w:lang w:val="zh-CN"/>
        </w:rPr>
      </w:pPr>
    </w:p>
    <w:p>
      <w:pPr>
        <w:pStyle w:val="2"/>
        <w:rPr>
          <w:rFonts w:hint="eastAsia" w:ascii="宋体" w:hAnsi="宋体" w:cs="宋体"/>
          <w:color w:val="auto"/>
          <w:sz w:val="24"/>
          <w:szCs w:val="24"/>
          <w:lang w:val="zh-CN"/>
        </w:rPr>
      </w:pPr>
    </w:p>
    <w:p>
      <w:pPr>
        <w:rPr>
          <w:rFonts w:hint="eastAsia" w:ascii="宋体" w:hAnsi="宋体" w:cs="宋体"/>
          <w:color w:val="auto"/>
          <w:sz w:val="24"/>
          <w:szCs w:val="24"/>
          <w:lang w:val="zh-CN"/>
        </w:rPr>
      </w:pPr>
    </w:p>
    <w:p>
      <w:pPr>
        <w:pStyle w:val="2"/>
        <w:rPr>
          <w:rFonts w:hint="eastAsia" w:ascii="宋体" w:hAnsi="宋体" w:cs="宋体"/>
          <w:color w:val="auto"/>
          <w:sz w:val="24"/>
          <w:szCs w:val="24"/>
          <w:lang w:val="zh-CN"/>
        </w:rPr>
      </w:pPr>
    </w:p>
    <w:p>
      <w:pPr>
        <w:rPr>
          <w:rFonts w:hint="eastAsia" w:ascii="宋体" w:hAnsi="宋体" w:cs="宋体"/>
          <w:color w:val="auto"/>
          <w:sz w:val="24"/>
          <w:szCs w:val="24"/>
          <w:lang w:val="zh-CN"/>
        </w:rPr>
      </w:pPr>
    </w:p>
    <w:p>
      <w:pPr>
        <w:pStyle w:val="2"/>
        <w:rPr>
          <w:rFonts w:hint="eastAsia" w:ascii="宋体" w:hAnsi="宋体" w:cs="宋体"/>
          <w:color w:val="auto"/>
          <w:sz w:val="24"/>
          <w:szCs w:val="24"/>
          <w:lang w:val="zh-CN"/>
        </w:rPr>
      </w:pPr>
    </w:p>
    <w:p>
      <w:pPr>
        <w:rPr>
          <w:rFonts w:hint="eastAsia" w:ascii="宋体" w:hAnsi="宋体" w:cs="宋体"/>
          <w:color w:val="auto"/>
          <w:sz w:val="24"/>
          <w:szCs w:val="24"/>
          <w:lang w:val="zh-CN"/>
        </w:rPr>
      </w:pPr>
    </w:p>
    <w:p>
      <w:pPr>
        <w:pStyle w:val="2"/>
        <w:rPr>
          <w:rFonts w:hint="eastAsia" w:ascii="宋体" w:hAnsi="宋体" w:cs="宋体"/>
          <w:color w:val="auto"/>
          <w:sz w:val="24"/>
          <w:szCs w:val="24"/>
          <w:lang w:val="zh-CN"/>
        </w:rPr>
      </w:pPr>
    </w:p>
    <w:p>
      <w:pPr>
        <w:rPr>
          <w:rFonts w:hint="eastAsia" w:ascii="宋体" w:hAnsi="宋体" w:cs="宋体"/>
          <w:color w:val="auto"/>
          <w:sz w:val="24"/>
          <w:szCs w:val="24"/>
          <w:lang w:val="zh-CN"/>
        </w:rPr>
      </w:pPr>
    </w:p>
    <w:p>
      <w:pPr>
        <w:pStyle w:val="2"/>
        <w:rPr>
          <w:rFonts w:hint="eastAsia" w:ascii="宋体" w:hAnsi="宋体" w:cs="宋体"/>
          <w:color w:val="auto"/>
          <w:sz w:val="24"/>
          <w:szCs w:val="24"/>
          <w:lang w:val="zh-CN"/>
        </w:rPr>
      </w:pPr>
    </w:p>
    <w:p>
      <w:pPr>
        <w:rPr>
          <w:rFonts w:hint="eastAsia" w:ascii="宋体" w:hAnsi="宋体" w:cs="宋体"/>
          <w:color w:val="auto"/>
          <w:sz w:val="24"/>
          <w:szCs w:val="24"/>
          <w:lang w:val="zh-CN"/>
        </w:rPr>
      </w:pPr>
    </w:p>
    <w:p>
      <w:pPr>
        <w:pStyle w:val="2"/>
        <w:rPr>
          <w:rFonts w:hint="eastAsia" w:ascii="宋体" w:hAnsi="宋体" w:cs="宋体"/>
          <w:color w:val="auto"/>
          <w:sz w:val="24"/>
          <w:szCs w:val="24"/>
          <w:lang w:val="zh-CN"/>
        </w:rPr>
      </w:pPr>
    </w:p>
    <w:p>
      <w:pPr>
        <w:rPr>
          <w:rFonts w:hint="eastAsia" w:ascii="宋体" w:hAnsi="宋体" w:cs="宋体"/>
          <w:color w:val="auto"/>
          <w:sz w:val="24"/>
          <w:szCs w:val="24"/>
          <w:lang w:val="zh-CN"/>
        </w:rPr>
      </w:pPr>
    </w:p>
    <w:p>
      <w:pPr>
        <w:pStyle w:val="2"/>
        <w:rPr>
          <w:rFonts w:hint="eastAsia" w:ascii="宋体" w:hAnsi="宋体" w:cs="宋体"/>
          <w:color w:val="auto"/>
          <w:sz w:val="24"/>
          <w:szCs w:val="24"/>
          <w:lang w:val="zh-CN"/>
        </w:rPr>
      </w:pPr>
    </w:p>
    <w:p>
      <w:pPr>
        <w:rPr>
          <w:rFonts w:hint="eastAsia" w:ascii="宋体" w:hAnsi="宋体" w:cs="宋体"/>
          <w:color w:val="auto"/>
          <w:sz w:val="24"/>
          <w:szCs w:val="24"/>
          <w:lang w:val="zh-CN"/>
        </w:rPr>
      </w:pPr>
    </w:p>
    <w:p>
      <w:pPr>
        <w:pStyle w:val="2"/>
        <w:rPr>
          <w:rFonts w:hint="eastAsia" w:ascii="宋体" w:hAnsi="宋体" w:cs="宋体"/>
          <w:color w:val="auto"/>
          <w:sz w:val="24"/>
          <w:szCs w:val="24"/>
          <w:lang w:val="zh-CN"/>
        </w:rPr>
      </w:pPr>
    </w:p>
    <w:p>
      <w:pPr>
        <w:rPr>
          <w:rFonts w:hint="eastAsia" w:ascii="宋体" w:hAnsi="宋体" w:cs="宋体"/>
          <w:color w:val="auto"/>
          <w:sz w:val="24"/>
          <w:szCs w:val="24"/>
          <w:lang w:val="zh-CN"/>
        </w:rPr>
      </w:pPr>
    </w:p>
    <w:p>
      <w:pPr>
        <w:pStyle w:val="2"/>
        <w:rPr>
          <w:rFonts w:hint="eastAsia" w:ascii="宋体" w:hAnsi="宋体" w:cs="宋体"/>
          <w:color w:val="auto"/>
          <w:sz w:val="24"/>
          <w:szCs w:val="24"/>
          <w:lang w:val="zh-CN"/>
        </w:rPr>
      </w:pPr>
    </w:p>
    <w:p>
      <w:pPr>
        <w:rPr>
          <w:rFonts w:hint="eastAsia"/>
          <w:color w:val="auto"/>
          <w:lang w:val="zh-CN"/>
        </w:rPr>
      </w:pPr>
    </w:p>
    <w:p>
      <w:pPr>
        <w:rPr>
          <w:rFonts w:hint="eastAsia" w:ascii="宋体" w:hAnsi="宋体" w:cs="宋体"/>
          <w:color w:val="auto"/>
          <w:sz w:val="24"/>
          <w:szCs w:val="24"/>
          <w:lang w:val="zh-CN"/>
        </w:rPr>
      </w:pPr>
    </w:p>
    <w:p>
      <w:pPr>
        <w:pStyle w:val="2"/>
        <w:rPr>
          <w:color w:val="auto"/>
        </w:rPr>
      </w:pPr>
    </w:p>
    <w:p>
      <w:pPr>
        <w:keepLines w:val="0"/>
        <w:pageBreakBefore w:val="0"/>
        <w:widowControl w:val="0"/>
        <w:kinsoku/>
        <w:wordWrap/>
        <w:overflowPunct/>
        <w:topLinePunct w:val="0"/>
        <w:bidi w:val="0"/>
        <w:spacing w:line="420" w:lineRule="exact"/>
        <w:jc w:val="center"/>
        <w:textAlignment w:val="auto"/>
        <w:rPr>
          <w:rFonts w:ascii="宋体" w:hAnsi="宋体" w:cs="宋体"/>
          <w:bCs/>
          <w:color w:val="auto"/>
          <w:sz w:val="28"/>
          <w:szCs w:val="28"/>
        </w:rPr>
      </w:pPr>
      <w:r>
        <w:rPr>
          <w:rFonts w:hint="eastAsia" w:ascii="宋体" w:hAnsi="宋体" w:cs="宋体"/>
          <w:bCs/>
          <w:color w:val="auto"/>
          <w:sz w:val="24"/>
          <w:szCs w:val="24"/>
        </w:rPr>
        <w:t>质疑函范本</w:t>
      </w:r>
    </w:p>
    <w:tbl>
      <w:tblPr>
        <w:tblStyle w:val="35"/>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9" w:hRule="atLeast"/>
          <w:jc w:val="center"/>
        </w:trPr>
        <w:tc>
          <w:tcPr>
            <w:tcW w:w="9260" w:type="dxa"/>
            <w:vAlign w:val="center"/>
          </w:tcPr>
          <w:p>
            <w:pPr>
              <w:pStyle w:val="2"/>
              <w:keepLines w:val="0"/>
              <w:pageBreakBefore w:val="0"/>
              <w:widowControl w:val="0"/>
              <w:kinsoku/>
              <w:wordWrap/>
              <w:overflowPunct/>
              <w:topLinePunct w:val="0"/>
              <w:bidi w:val="0"/>
              <w:spacing w:line="420" w:lineRule="exact"/>
              <w:ind w:firstLine="480" w:firstLineChars="200"/>
              <w:textAlignment w:val="auto"/>
              <w:rPr>
                <w:rFonts w:ascii="宋体" w:hAnsi="宋体" w:cs="宋体"/>
                <w:bCs/>
                <w:color w:val="auto"/>
                <w:sz w:val="24"/>
              </w:rPr>
            </w:pPr>
            <w:r>
              <w:rPr>
                <w:rFonts w:hint="eastAsia" w:ascii="宋体" w:hAnsi="宋体" w:cs="宋体"/>
                <w:bCs/>
                <w:color w:val="auto"/>
                <w:sz w:val="24"/>
              </w:rPr>
              <w:t>一、质疑供应商基本信息</w:t>
            </w:r>
          </w:p>
          <w:p>
            <w:pPr>
              <w:pStyle w:val="2"/>
              <w:keepLines w:val="0"/>
              <w:pageBreakBefore w:val="0"/>
              <w:widowControl w:val="0"/>
              <w:kinsoku/>
              <w:wordWrap/>
              <w:overflowPunct/>
              <w:topLinePunct w:val="0"/>
              <w:bidi w:val="0"/>
              <w:spacing w:line="420" w:lineRule="exact"/>
              <w:ind w:firstLine="480" w:firstLineChars="200"/>
              <w:textAlignment w:val="auto"/>
              <w:rPr>
                <w:rFonts w:ascii="宋体" w:hAnsi="宋体" w:cs="宋体"/>
                <w:bCs/>
                <w:color w:val="auto"/>
                <w:sz w:val="24"/>
              </w:rPr>
            </w:pPr>
            <w:r>
              <w:rPr>
                <w:rFonts w:hint="eastAsia" w:ascii="宋体" w:hAnsi="宋体" w:cs="宋体"/>
                <w:bCs/>
                <w:color w:val="auto"/>
                <w:sz w:val="24"/>
              </w:rPr>
              <w:t>质疑供应商</w:t>
            </w:r>
          </w:p>
          <w:p>
            <w:pPr>
              <w:pStyle w:val="2"/>
              <w:keepLines w:val="0"/>
              <w:pageBreakBefore w:val="0"/>
              <w:widowControl w:val="0"/>
              <w:kinsoku/>
              <w:wordWrap/>
              <w:overflowPunct/>
              <w:topLinePunct w:val="0"/>
              <w:bidi w:val="0"/>
              <w:spacing w:line="420" w:lineRule="exact"/>
              <w:ind w:firstLine="480" w:firstLineChars="200"/>
              <w:textAlignment w:val="auto"/>
              <w:rPr>
                <w:rFonts w:ascii="宋体" w:hAnsi="宋体" w:cs="宋体"/>
                <w:bCs/>
                <w:color w:val="auto"/>
                <w:sz w:val="24"/>
              </w:rPr>
            </w:pPr>
            <w:r>
              <w:rPr>
                <w:rFonts w:hint="eastAsia" w:ascii="宋体" w:hAnsi="宋体" w:cs="宋体"/>
                <w:bCs/>
                <w:color w:val="auto"/>
                <w:sz w:val="24"/>
              </w:rPr>
              <w:t>地址：                                       邮编：</w:t>
            </w:r>
          </w:p>
          <w:p>
            <w:pPr>
              <w:pStyle w:val="2"/>
              <w:keepLines w:val="0"/>
              <w:pageBreakBefore w:val="0"/>
              <w:widowControl w:val="0"/>
              <w:kinsoku/>
              <w:wordWrap/>
              <w:overflowPunct/>
              <w:topLinePunct w:val="0"/>
              <w:bidi w:val="0"/>
              <w:spacing w:line="420" w:lineRule="exact"/>
              <w:ind w:firstLine="480" w:firstLineChars="200"/>
              <w:textAlignment w:val="auto"/>
              <w:rPr>
                <w:rFonts w:ascii="宋体" w:hAnsi="宋体" w:cs="宋体"/>
                <w:bCs/>
                <w:color w:val="auto"/>
                <w:sz w:val="24"/>
              </w:rPr>
            </w:pPr>
            <w:r>
              <w:rPr>
                <w:rFonts w:hint="eastAsia" w:ascii="宋体" w:hAnsi="宋体" w:cs="宋体"/>
                <w:bCs/>
                <w:color w:val="auto"/>
                <w:sz w:val="24"/>
              </w:rPr>
              <w:t>联系人：                                     联系电话</w:t>
            </w:r>
          </w:p>
          <w:p>
            <w:pPr>
              <w:pStyle w:val="2"/>
              <w:keepLines w:val="0"/>
              <w:pageBreakBefore w:val="0"/>
              <w:widowControl w:val="0"/>
              <w:kinsoku/>
              <w:wordWrap/>
              <w:overflowPunct/>
              <w:topLinePunct w:val="0"/>
              <w:bidi w:val="0"/>
              <w:spacing w:line="420" w:lineRule="exact"/>
              <w:ind w:firstLine="480" w:firstLineChars="200"/>
              <w:textAlignment w:val="auto"/>
              <w:rPr>
                <w:rFonts w:ascii="宋体" w:hAnsi="宋体" w:cs="宋体"/>
                <w:bCs/>
                <w:color w:val="auto"/>
                <w:sz w:val="24"/>
              </w:rPr>
            </w:pPr>
            <w:r>
              <w:rPr>
                <w:rFonts w:hint="eastAsia" w:ascii="宋体" w:hAnsi="宋体" w:cs="宋体"/>
                <w:bCs/>
                <w:color w:val="auto"/>
                <w:sz w:val="24"/>
              </w:rPr>
              <w:t>授权代表：</w:t>
            </w:r>
          </w:p>
          <w:p>
            <w:pPr>
              <w:pStyle w:val="2"/>
              <w:keepLines w:val="0"/>
              <w:pageBreakBefore w:val="0"/>
              <w:widowControl w:val="0"/>
              <w:kinsoku/>
              <w:wordWrap/>
              <w:overflowPunct/>
              <w:topLinePunct w:val="0"/>
              <w:bidi w:val="0"/>
              <w:spacing w:line="420" w:lineRule="exact"/>
              <w:ind w:firstLine="480" w:firstLineChars="200"/>
              <w:textAlignment w:val="auto"/>
              <w:rPr>
                <w:rFonts w:ascii="宋体" w:hAnsi="宋体" w:cs="宋体"/>
                <w:bCs/>
                <w:color w:val="auto"/>
                <w:sz w:val="24"/>
              </w:rPr>
            </w:pPr>
            <w:r>
              <w:rPr>
                <w:rFonts w:hint="eastAsia" w:ascii="宋体" w:hAnsi="宋体" w:cs="宋体"/>
                <w:bCs/>
                <w:color w:val="auto"/>
                <w:sz w:val="24"/>
              </w:rPr>
              <w:t>联系电话：</w:t>
            </w:r>
          </w:p>
          <w:p>
            <w:pPr>
              <w:pStyle w:val="2"/>
              <w:keepLines w:val="0"/>
              <w:pageBreakBefore w:val="0"/>
              <w:widowControl w:val="0"/>
              <w:kinsoku/>
              <w:wordWrap/>
              <w:overflowPunct/>
              <w:topLinePunct w:val="0"/>
              <w:bidi w:val="0"/>
              <w:spacing w:line="420" w:lineRule="exact"/>
              <w:ind w:firstLine="480" w:firstLineChars="200"/>
              <w:textAlignment w:val="auto"/>
              <w:rPr>
                <w:rFonts w:ascii="宋体" w:hAnsi="宋体" w:cs="宋体"/>
                <w:bCs/>
                <w:color w:val="auto"/>
                <w:sz w:val="24"/>
              </w:rPr>
            </w:pPr>
            <w:r>
              <w:rPr>
                <w:rFonts w:hint="eastAsia" w:ascii="宋体" w:hAnsi="宋体" w:cs="宋体"/>
                <w:bCs/>
                <w:color w:val="auto"/>
                <w:sz w:val="24"/>
              </w:rPr>
              <w:t>地址：                                       邮编：</w:t>
            </w:r>
          </w:p>
          <w:p>
            <w:pPr>
              <w:pStyle w:val="2"/>
              <w:keepLines w:val="0"/>
              <w:pageBreakBefore w:val="0"/>
              <w:widowControl w:val="0"/>
              <w:kinsoku/>
              <w:wordWrap/>
              <w:overflowPunct/>
              <w:topLinePunct w:val="0"/>
              <w:bidi w:val="0"/>
              <w:spacing w:line="420" w:lineRule="exact"/>
              <w:ind w:firstLine="480" w:firstLineChars="200"/>
              <w:textAlignment w:val="auto"/>
              <w:rPr>
                <w:rFonts w:ascii="宋体" w:hAnsi="宋体" w:cs="宋体"/>
                <w:bCs/>
                <w:color w:val="auto"/>
                <w:sz w:val="24"/>
              </w:rPr>
            </w:pPr>
            <w:r>
              <w:rPr>
                <w:rFonts w:hint="eastAsia" w:ascii="宋体" w:hAnsi="宋体" w:cs="宋体"/>
                <w:bCs/>
                <w:color w:val="auto"/>
                <w:sz w:val="24"/>
              </w:rPr>
              <w:t>二、质疑项目基本情况</w:t>
            </w:r>
          </w:p>
          <w:p>
            <w:pPr>
              <w:pStyle w:val="2"/>
              <w:keepLines w:val="0"/>
              <w:pageBreakBefore w:val="0"/>
              <w:widowControl w:val="0"/>
              <w:kinsoku/>
              <w:wordWrap/>
              <w:overflowPunct/>
              <w:topLinePunct w:val="0"/>
              <w:bidi w:val="0"/>
              <w:spacing w:line="420" w:lineRule="exact"/>
              <w:ind w:firstLine="480" w:firstLineChars="200"/>
              <w:textAlignment w:val="auto"/>
              <w:rPr>
                <w:rFonts w:ascii="宋体" w:hAnsi="宋体" w:cs="宋体"/>
                <w:bCs/>
                <w:color w:val="auto"/>
                <w:sz w:val="24"/>
              </w:rPr>
            </w:pPr>
            <w:r>
              <w:rPr>
                <w:rFonts w:hint="eastAsia" w:ascii="宋体" w:hAnsi="宋体" w:cs="宋体"/>
                <w:bCs/>
                <w:color w:val="auto"/>
                <w:sz w:val="24"/>
              </w:rPr>
              <w:t>质疑项目的名称：</w:t>
            </w:r>
          </w:p>
          <w:p>
            <w:pPr>
              <w:pStyle w:val="2"/>
              <w:keepLines w:val="0"/>
              <w:pageBreakBefore w:val="0"/>
              <w:widowControl w:val="0"/>
              <w:kinsoku/>
              <w:wordWrap/>
              <w:overflowPunct/>
              <w:topLinePunct w:val="0"/>
              <w:bidi w:val="0"/>
              <w:spacing w:line="420" w:lineRule="exact"/>
              <w:ind w:firstLine="480" w:firstLineChars="200"/>
              <w:textAlignment w:val="auto"/>
              <w:rPr>
                <w:rFonts w:ascii="宋体" w:hAnsi="宋体" w:cs="宋体"/>
                <w:bCs/>
                <w:color w:val="auto"/>
                <w:sz w:val="24"/>
              </w:rPr>
            </w:pPr>
            <w:r>
              <w:rPr>
                <w:rFonts w:hint="eastAsia" w:ascii="宋体" w:hAnsi="宋体" w:cs="宋体"/>
                <w:bCs/>
                <w:color w:val="auto"/>
                <w:sz w:val="24"/>
              </w:rPr>
              <w:t>质疑项目的编号：</w:t>
            </w:r>
          </w:p>
          <w:p>
            <w:pPr>
              <w:pStyle w:val="2"/>
              <w:keepLines w:val="0"/>
              <w:pageBreakBefore w:val="0"/>
              <w:widowControl w:val="0"/>
              <w:kinsoku/>
              <w:wordWrap/>
              <w:overflowPunct/>
              <w:topLinePunct w:val="0"/>
              <w:bidi w:val="0"/>
              <w:spacing w:line="420" w:lineRule="exact"/>
              <w:ind w:firstLine="480" w:firstLineChars="200"/>
              <w:textAlignment w:val="auto"/>
              <w:rPr>
                <w:rFonts w:ascii="宋体" w:hAnsi="宋体" w:cs="宋体"/>
                <w:bCs/>
                <w:color w:val="auto"/>
                <w:sz w:val="24"/>
              </w:rPr>
            </w:pPr>
            <w:r>
              <w:rPr>
                <w:rFonts w:hint="eastAsia" w:ascii="宋体" w:hAnsi="宋体" w:cs="宋体"/>
                <w:bCs/>
                <w:color w:val="auto"/>
                <w:sz w:val="24"/>
              </w:rPr>
              <w:t>包号：</w:t>
            </w:r>
          </w:p>
          <w:p>
            <w:pPr>
              <w:pStyle w:val="2"/>
              <w:keepLines w:val="0"/>
              <w:pageBreakBefore w:val="0"/>
              <w:widowControl w:val="0"/>
              <w:kinsoku/>
              <w:wordWrap/>
              <w:overflowPunct/>
              <w:topLinePunct w:val="0"/>
              <w:bidi w:val="0"/>
              <w:spacing w:line="420" w:lineRule="exact"/>
              <w:ind w:firstLine="480" w:firstLineChars="200"/>
              <w:textAlignment w:val="auto"/>
              <w:rPr>
                <w:rFonts w:ascii="宋体" w:hAnsi="宋体" w:cs="宋体"/>
                <w:bCs/>
                <w:color w:val="auto"/>
                <w:sz w:val="24"/>
              </w:rPr>
            </w:pPr>
            <w:r>
              <w:rPr>
                <w:rFonts w:hint="eastAsia" w:ascii="宋体" w:hAnsi="宋体" w:cs="宋体"/>
                <w:bCs/>
                <w:color w:val="auto"/>
                <w:sz w:val="24"/>
              </w:rPr>
              <w:t>采购人名称：</w:t>
            </w:r>
          </w:p>
          <w:p>
            <w:pPr>
              <w:pStyle w:val="2"/>
              <w:keepLines w:val="0"/>
              <w:pageBreakBefore w:val="0"/>
              <w:widowControl w:val="0"/>
              <w:kinsoku/>
              <w:wordWrap/>
              <w:overflowPunct/>
              <w:topLinePunct w:val="0"/>
              <w:bidi w:val="0"/>
              <w:spacing w:line="420" w:lineRule="exact"/>
              <w:ind w:firstLine="480" w:firstLineChars="200"/>
              <w:textAlignment w:val="auto"/>
              <w:rPr>
                <w:rFonts w:ascii="宋体" w:hAnsi="宋体" w:cs="宋体"/>
                <w:bCs/>
                <w:color w:val="auto"/>
                <w:sz w:val="24"/>
              </w:rPr>
            </w:pPr>
            <w:r>
              <w:rPr>
                <w:rFonts w:hint="eastAsia" w:ascii="宋体" w:hAnsi="宋体" w:cs="宋体"/>
                <w:bCs/>
                <w:color w:val="auto"/>
                <w:sz w:val="24"/>
              </w:rPr>
              <w:t>采购文件获取日期：</w:t>
            </w:r>
          </w:p>
          <w:p>
            <w:pPr>
              <w:pStyle w:val="2"/>
              <w:keepLines w:val="0"/>
              <w:pageBreakBefore w:val="0"/>
              <w:widowControl w:val="0"/>
              <w:kinsoku/>
              <w:wordWrap/>
              <w:overflowPunct/>
              <w:topLinePunct w:val="0"/>
              <w:bidi w:val="0"/>
              <w:spacing w:line="420" w:lineRule="exact"/>
              <w:ind w:firstLine="480" w:firstLineChars="200"/>
              <w:textAlignment w:val="auto"/>
              <w:rPr>
                <w:rFonts w:ascii="宋体" w:hAnsi="宋体" w:cs="宋体"/>
                <w:bCs/>
                <w:color w:val="auto"/>
                <w:sz w:val="24"/>
              </w:rPr>
            </w:pPr>
            <w:r>
              <w:rPr>
                <w:rFonts w:hint="eastAsia" w:ascii="宋体" w:hAnsi="宋体" w:cs="宋体"/>
                <w:bCs/>
                <w:color w:val="auto"/>
                <w:sz w:val="24"/>
              </w:rPr>
              <w:t>三、质疑项目具体内容</w:t>
            </w:r>
          </w:p>
          <w:p>
            <w:pPr>
              <w:pStyle w:val="2"/>
              <w:keepLines w:val="0"/>
              <w:pageBreakBefore w:val="0"/>
              <w:widowControl w:val="0"/>
              <w:kinsoku/>
              <w:wordWrap/>
              <w:overflowPunct/>
              <w:topLinePunct w:val="0"/>
              <w:bidi w:val="0"/>
              <w:spacing w:line="420" w:lineRule="exact"/>
              <w:ind w:firstLine="480" w:firstLineChars="200"/>
              <w:textAlignment w:val="auto"/>
              <w:rPr>
                <w:rFonts w:ascii="宋体" w:hAnsi="宋体" w:cs="宋体"/>
                <w:bCs/>
                <w:color w:val="auto"/>
                <w:sz w:val="24"/>
              </w:rPr>
            </w:pPr>
            <w:r>
              <w:rPr>
                <w:rFonts w:hint="eastAsia" w:ascii="宋体" w:hAnsi="宋体" w:cs="宋体"/>
                <w:bCs/>
                <w:color w:val="auto"/>
                <w:sz w:val="24"/>
              </w:rPr>
              <w:t>质疑事项1：</w:t>
            </w:r>
          </w:p>
          <w:p>
            <w:pPr>
              <w:pStyle w:val="2"/>
              <w:keepLines w:val="0"/>
              <w:pageBreakBefore w:val="0"/>
              <w:widowControl w:val="0"/>
              <w:kinsoku/>
              <w:wordWrap/>
              <w:overflowPunct/>
              <w:topLinePunct w:val="0"/>
              <w:bidi w:val="0"/>
              <w:spacing w:line="420" w:lineRule="exact"/>
              <w:ind w:firstLine="480" w:firstLineChars="200"/>
              <w:textAlignment w:val="auto"/>
              <w:rPr>
                <w:rFonts w:ascii="宋体" w:hAnsi="宋体" w:cs="宋体"/>
                <w:bCs/>
                <w:color w:val="auto"/>
                <w:sz w:val="24"/>
              </w:rPr>
            </w:pPr>
            <w:r>
              <w:rPr>
                <w:rFonts w:hint="eastAsia" w:ascii="宋体" w:hAnsi="宋体" w:cs="宋体"/>
                <w:bCs/>
                <w:color w:val="auto"/>
                <w:sz w:val="24"/>
              </w:rPr>
              <w:t>事实依据：</w:t>
            </w:r>
          </w:p>
          <w:p>
            <w:pPr>
              <w:pStyle w:val="2"/>
              <w:keepLines w:val="0"/>
              <w:pageBreakBefore w:val="0"/>
              <w:widowControl w:val="0"/>
              <w:kinsoku/>
              <w:wordWrap/>
              <w:overflowPunct/>
              <w:topLinePunct w:val="0"/>
              <w:bidi w:val="0"/>
              <w:spacing w:line="420" w:lineRule="exact"/>
              <w:ind w:firstLine="480" w:firstLineChars="200"/>
              <w:textAlignment w:val="auto"/>
              <w:rPr>
                <w:rFonts w:ascii="宋体" w:hAnsi="宋体" w:cs="宋体"/>
                <w:bCs/>
                <w:color w:val="auto"/>
                <w:sz w:val="24"/>
              </w:rPr>
            </w:pPr>
            <w:r>
              <w:rPr>
                <w:rFonts w:hint="eastAsia" w:ascii="宋体" w:hAnsi="宋体" w:cs="宋体"/>
                <w:bCs/>
                <w:color w:val="auto"/>
                <w:sz w:val="24"/>
              </w:rPr>
              <w:t>法律依据</w:t>
            </w:r>
          </w:p>
          <w:p>
            <w:pPr>
              <w:pStyle w:val="2"/>
              <w:keepLines w:val="0"/>
              <w:pageBreakBefore w:val="0"/>
              <w:widowControl w:val="0"/>
              <w:kinsoku/>
              <w:wordWrap/>
              <w:overflowPunct/>
              <w:topLinePunct w:val="0"/>
              <w:bidi w:val="0"/>
              <w:spacing w:line="420" w:lineRule="exact"/>
              <w:ind w:firstLine="480" w:firstLineChars="200"/>
              <w:textAlignment w:val="auto"/>
              <w:rPr>
                <w:rFonts w:ascii="宋体" w:hAnsi="宋体" w:cs="宋体"/>
                <w:bCs/>
                <w:color w:val="auto"/>
                <w:sz w:val="24"/>
              </w:rPr>
            </w:pPr>
            <w:r>
              <w:rPr>
                <w:rFonts w:hint="eastAsia" w:ascii="宋体" w:hAnsi="宋体" w:cs="宋体"/>
                <w:bCs/>
                <w:color w:val="auto"/>
                <w:sz w:val="24"/>
              </w:rPr>
              <w:t>质疑事项2：</w:t>
            </w:r>
          </w:p>
          <w:p>
            <w:pPr>
              <w:pStyle w:val="2"/>
              <w:keepLines w:val="0"/>
              <w:pageBreakBefore w:val="0"/>
              <w:widowControl w:val="0"/>
              <w:kinsoku/>
              <w:wordWrap/>
              <w:overflowPunct/>
              <w:topLinePunct w:val="0"/>
              <w:bidi w:val="0"/>
              <w:spacing w:line="420" w:lineRule="exact"/>
              <w:ind w:firstLine="480" w:firstLineChars="200"/>
              <w:textAlignment w:val="auto"/>
              <w:rPr>
                <w:rFonts w:ascii="宋体" w:hAnsi="宋体" w:cs="宋体"/>
                <w:bCs/>
                <w:color w:val="auto"/>
                <w:sz w:val="24"/>
              </w:rPr>
            </w:pPr>
            <w:r>
              <w:rPr>
                <w:rFonts w:hint="eastAsia" w:ascii="宋体" w:hAnsi="宋体" w:cs="宋体"/>
                <w:bCs/>
                <w:color w:val="auto"/>
                <w:sz w:val="24"/>
              </w:rPr>
              <w:t>四、与质疑事项相关的质疑请求</w:t>
            </w:r>
          </w:p>
          <w:p>
            <w:pPr>
              <w:pStyle w:val="2"/>
              <w:keepLines w:val="0"/>
              <w:pageBreakBefore w:val="0"/>
              <w:widowControl w:val="0"/>
              <w:kinsoku/>
              <w:wordWrap/>
              <w:overflowPunct/>
              <w:topLinePunct w:val="0"/>
              <w:bidi w:val="0"/>
              <w:spacing w:line="420" w:lineRule="exact"/>
              <w:ind w:firstLine="480" w:firstLineChars="200"/>
              <w:textAlignment w:val="auto"/>
              <w:rPr>
                <w:rFonts w:ascii="宋体" w:hAnsi="宋体" w:cs="宋体"/>
                <w:bCs/>
                <w:color w:val="auto"/>
                <w:sz w:val="24"/>
              </w:rPr>
            </w:pPr>
            <w:r>
              <w:rPr>
                <w:rFonts w:hint="eastAsia" w:ascii="宋体" w:hAnsi="宋体" w:cs="宋体"/>
                <w:bCs/>
                <w:color w:val="auto"/>
                <w:sz w:val="24"/>
              </w:rPr>
              <w:t>请求：</w:t>
            </w:r>
          </w:p>
          <w:p>
            <w:pPr>
              <w:pStyle w:val="2"/>
              <w:keepLines w:val="0"/>
              <w:pageBreakBefore w:val="0"/>
              <w:widowControl w:val="0"/>
              <w:kinsoku/>
              <w:wordWrap/>
              <w:overflowPunct/>
              <w:topLinePunct w:val="0"/>
              <w:bidi w:val="0"/>
              <w:spacing w:line="420" w:lineRule="exact"/>
              <w:ind w:firstLine="480" w:firstLineChars="200"/>
              <w:textAlignment w:val="auto"/>
              <w:rPr>
                <w:rFonts w:ascii="宋体" w:hAnsi="宋体" w:cs="宋体"/>
                <w:bCs/>
                <w:color w:val="auto"/>
                <w:sz w:val="24"/>
              </w:rPr>
            </w:pPr>
            <w:r>
              <w:rPr>
                <w:rFonts w:hint="eastAsia" w:ascii="宋体" w:hAnsi="宋体" w:cs="宋体"/>
                <w:bCs/>
                <w:color w:val="auto"/>
                <w:sz w:val="24"/>
              </w:rPr>
              <w:t>签字（签章）：                          公章：</w:t>
            </w:r>
          </w:p>
          <w:p>
            <w:pPr>
              <w:pStyle w:val="2"/>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rPr>
            </w:pPr>
            <w:r>
              <w:rPr>
                <w:rFonts w:hint="eastAsia" w:ascii="宋体" w:hAnsi="宋体" w:cs="宋体"/>
                <w:bCs/>
                <w:color w:val="auto"/>
                <w:sz w:val="24"/>
              </w:rPr>
              <w:t>日期：</w:t>
            </w:r>
          </w:p>
        </w:tc>
      </w:tr>
    </w:tbl>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43.9、</w:t>
      </w:r>
      <w:r>
        <w:rPr>
          <w:rFonts w:hint="eastAsia" w:ascii="宋体" w:hAnsi="宋体" w:cs="宋体"/>
          <w:color w:val="auto"/>
          <w:sz w:val="24"/>
          <w:szCs w:val="24"/>
          <w:lang w:val="zh-CN"/>
        </w:rPr>
        <w:t>投诉</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lang w:val="zh-CN"/>
        </w:rPr>
        <w:t>供应商和其他利害关系人认为本次招标采购活动违反法律、法规和规章规定的，有权向有关行政监督机构投诉。</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43.9.1、</w:t>
      </w:r>
      <w:r>
        <w:rPr>
          <w:rFonts w:hint="eastAsia" w:ascii="宋体" w:hAnsi="宋体" w:cs="宋体"/>
          <w:color w:val="auto"/>
          <w:sz w:val="24"/>
          <w:szCs w:val="24"/>
          <w:lang w:val="zh-CN"/>
        </w:rPr>
        <w:t>质疑人对采购代理机构或采购人的答复不满意，以及采购代理机构或采购人未在规定时间内做出答复的，可以在答复期满后15个工作日内向政府采购监管机构提出投诉。</w:t>
      </w:r>
    </w:p>
    <w:p>
      <w:pPr>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rPr>
        <w:t>43.9.2、</w:t>
      </w:r>
      <w:r>
        <w:rPr>
          <w:rFonts w:hint="eastAsia" w:ascii="宋体" w:hAnsi="宋体" w:cs="宋体"/>
          <w:color w:val="auto"/>
          <w:sz w:val="24"/>
          <w:szCs w:val="24"/>
          <w:lang w:val="zh-CN"/>
        </w:rPr>
        <w:t>供应商投诉的事项不得超出已质疑事项的范围。</w:t>
      </w:r>
    </w:p>
    <w:p>
      <w:pPr>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rPr>
        <w:t>43.9.3、</w:t>
      </w:r>
      <w:r>
        <w:rPr>
          <w:rFonts w:hint="eastAsia" w:ascii="宋体" w:hAnsi="宋体" w:cs="宋体"/>
          <w:color w:val="auto"/>
          <w:sz w:val="24"/>
          <w:szCs w:val="24"/>
          <w:lang w:val="zh-CN"/>
        </w:rPr>
        <w:t>投诉书范本格式在中国政府采购网站（http://www.ccgp.gov.cn/）自行下载。</w:t>
      </w:r>
    </w:p>
    <w:p>
      <w:pPr>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rPr>
      </w:pPr>
      <w:r>
        <w:rPr>
          <w:rFonts w:hint="eastAsia" w:ascii="宋体" w:hAnsi="宋体" w:cs="宋体"/>
          <w:color w:val="auto"/>
          <w:sz w:val="24"/>
          <w:szCs w:val="24"/>
        </w:rPr>
        <w:t>44.信用担保</w:t>
      </w:r>
    </w:p>
    <w:p>
      <w:pPr>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44.1陕西省政府采购信用担保及信用融资政策</w:t>
      </w:r>
    </w:p>
    <w:p>
      <w:pPr>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44.1.1为发挥政府采购促进中小企业发展的政策功能，陕西省财政厅制定了《关于推进加快我省中小企业政府采购信用融资工作的通知》（陕财办采〔2020〕15号），西安市财政局制定了《西安市财政局关于贯彻落实&lt;西安市政府采购信用担保及信用融资工作实施方案（试行）&gt;有关事宜的通知》（市财发〔2015〕4号），为参与西安市市级政府采购项目的供应商提供政府采购信用担保和融资服务，并按照程序确定了合作的担保机构和商业银行。成交人如果需要融资贷款服务的，可凭成交通知书、政府采购合同等相关资料，按照实施方案规定的程序申请办理，具体规定可登陆西安政府采购网(www.xazfcg.gov.cn)重要通知专栏和西安市财政局网站(www.xaczj.gov.cn)政府采购专栏中查询了解。</w:t>
      </w:r>
    </w:p>
    <w:p>
      <w:pPr>
        <w:pStyle w:val="2"/>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44.1.2后附：政府采购信用担保及信用融资合作机构联系名单</w:t>
      </w:r>
    </w:p>
    <w:p>
      <w:pPr>
        <w:pStyle w:val="33"/>
        <w:autoSpaceDE w:val="0"/>
        <w:autoSpaceDN w:val="0"/>
        <w:snapToGrid w:val="0"/>
        <w:spacing w:line="520" w:lineRule="exact"/>
        <w:ind w:firstLine="0"/>
        <w:jc w:val="center"/>
        <w:textAlignment w:val="bottom"/>
        <w:rPr>
          <w:rFonts w:ascii="宋体" w:hAnsi="宋体" w:cs="宋体"/>
          <w:color w:val="auto"/>
          <w:sz w:val="36"/>
          <w:szCs w:val="36"/>
        </w:rPr>
      </w:pPr>
    </w:p>
    <w:p>
      <w:pPr>
        <w:pStyle w:val="33"/>
        <w:autoSpaceDE w:val="0"/>
        <w:autoSpaceDN w:val="0"/>
        <w:snapToGrid w:val="0"/>
        <w:spacing w:line="520" w:lineRule="exact"/>
        <w:ind w:firstLine="0"/>
        <w:jc w:val="center"/>
        <w:textAlignment w:val="bottom"/>
        <w:rPr>
          <w:rFonts w:ascii="宋体" w:hAnsi="宋体" w:cs="宋体"/>
          <w:color w:val="auto"/>
          <w:sz w:val="36"/>
          <w:szCs w:val="36"/>
        </w:rPr>
      </w:pPr>
    </w:p>
    <w:p>
      <w:pPr>
        <w:pStyle w:val="33"/>
        <w:autoSpaceDE w:val="0"/>
        <w:autoSpaceDN w:val="0"/>
        <w:snapToGrid w:val="0"/>
        <w:spacing w:line="520" w:lineRule="exact"/>
        <w:ind w:firstLine="0"/>
        <w:jc w:val="center"/>
        <w:textAlignment w:val="bottom"/>
        <w:rPr>
          <w:rFonts w:ascii="宋体" w:hAnsi="宋体" w:cs="宋体"/>
          <w:color w:val="auto"/>
          <w:sz w:val="36"/>
          <w:szCs w:val="36"/>
        </w:rPr>
      </w:pPr>
    </w:p>
    <w:p>
      <w:pPr>
        <w:pStyle w:val="33"/>
        <w:autoSpaceDE w:val="0"/>
        <w:autoSpaceDN w:val="0"/>
        <w:snapToGrid w:val="0"/>
        <w:spacing w:line="520" w:lineRule="exact"/>
        <w:ind w:firstLine="0"/>
        <w:jc w:val="center"/>
        <w:textAlignment w:val="bottom"/>
        <w:rPr>
          <w:rFonts w:ascii="宋体" w:hAnsi="宋体" w:cs="宋体"/>
          <w:color w:val="auto"/>
          <w:sz w:val="36"/>
          <w:szCs w:val="36"/>
        </w:rPr>
      </w:pPr>
    </w:p>
    <w:p>
      <w:pPr>
        <w:pStyle w:val="33"/>
        <w:autoSpaceDE w:val="0"/>
        <w:autoSpaceDN w:val="0"/>
        <w:snapToGrid w:val="0"/>
        <w:spacing w:line="520" w:lineRule="exact"/>
        <w:ind w:firstLine="0"/>
        <w:jc w:val="center"/>
        <w:textAlignment w:val="bottom"/>
        <w:rPr>
          <w:rFonts w:ascii="宋体" w:hAnsi="宋体" w:cs="宋体"/>
          <w:color w:val="auto"/>
          <w:sz w:val="36"/>
          <w:szCs w:val="36"/>
        </w:rPr>
        <w:sectPr>
          <w:footerReference r:id="rId15" w:type="first"/>
          <w:headerReference r:id="rId13" w:type="default"/>
          <w:footerReference r:id="rId14" w:type="default"/>
          <w:pgSz w:w="11906" w:h="16838"/>
          <w:pgMar w:top="1417" w:right="1418" w:bottom="1417" w:left="1417" w:header="851" w:footer="992" w:gutter="0"/>
          <w:pgNumType w:fmt="decimal"/>
          <w:cols w:space="720" w:num="1"/>
          <w:docGrid w:type="lines" w:linePitch="312" w:charSpace="0"/>
        </w:sectPr>
      </w:pPr>
    </w:p>
    <w:tbl>
      <w:tblPr>
        <w:tblStyle w:val="35"/>
        <w:tblW w:w="9193" w:type="dxa"/>
        <w:tblInd w:w="93" w:type="dxa"/>
        <w:tblLayout w:type="fixed"/>
        <w:tblCellMar>
          <w:top w:w="0" w:type="dxa"/>
          <w:left w:w="108" w:type="dxa"/>
          <w:bottom w:w="0" w:type="dxa"/>
          <w:right w:w="108" w:type="dxa"/>
        </w:tblCellMar>
      </w:tblPr>
      <w:tblGrid>
        <w:gridCol w:w="554"/>
        <w:gridCol w:w="2076"/>
        <w:gridCol w:w="1724"/>
        <w:gridCol w:w="1184"/>
        <w:gridCol w:w="1133"/>
        <w:gridCol w:w="1629"/>
        <w:gridCol w:w="893"/>
      </w:tblGrid>
      <w:tr>
        <w:tblPrEx>
          <w:tblCellMar>
            <w:top w:w="0" w:type="dxa"/>
            <w:left w:w="108" w:type="dxa"/>
            <w:bottom w:w="0" w:type="dxa"/>
            <w:right w:w="108" w:type="dxa"/>
          </w:tblCellMar>
        </w:tblPrEx>
        <w:trPr>
          <w:trHeight w:val="699" w:hRule="atLeast"/>
        </w:trPr>
        <w:tc>
          <w:tcPr>
            <w:tcW w:w="8300" w:type="dxa"/>
            <w:gridSpan w:val="6"/>
            <w:tcBorders>
              <w:top w:val="nil"/>
              <w:left w:val="nil"/>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2017年西安市政府采购信用担保及信用融资合作机构联系名单</w:t>
            </w:r>
          </w:p>
        </w:tc>
        <w:tc>
          <w:tcPr>
            <w:tcW w:w="893"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color w:val="auto"/>
                <w:sz w:val="24"/>
                <w:szCs w:val="24"/>
              </w:rPr>
            </w:pPr>
          </w:p>
        </w:tc>
      </w:tr>
      <w:tr>
        <w:tblPrEx>
          <w:tblCellMar>
            <w:top w:w="0" w:type="dxa"/>
            <w:left w:w="108" w:type="dxa"/>
            <w:bottom w:w="0" w:type="dxa"/>
            <w:right w:w="108" w:type="dxa"/>
          </w:tblCellMar>
        </w:tblPrEx>
        <w:trPr>
          <w:trHeight w:val="570" w:hRule="atLeast"/>
        </w:trPr>
        <w:tc>
          <w:tcPr>
            <w:tcW w:w="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序号</w:t>
            </w:r>
          </w:p>
        </w:tc>
        <w:tc>
          <w:tcPr>
            <w:tcW w:w="2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合作单位名称</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主办单位名称</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联系部门</w:t>
            </w:r>
          </w:p>
        </w:tc>
        <w:tc>
          <w:tcPr>
            <w:tcW w:w="11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联系人员</w:t>
            </w:r>
          </w:p>
        </w:tc>
        <w:tc>
          <w:tcPr>
            <w:tcW w:w="16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联系电话</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备注</w:t>
            </w:r>
          </w:p>
        </w:tc>
      </w:tr>
      <w:tr>
        <w:tblPrEx>
          <w:tblCellMar>
            <w:top w:w="0" w:type="dxa"/>
            <w:left w:w="108" w:type="dxa"/>
            <w:bottom w:w="0" w:type="dxa"/>
            <w:right w:w="108" w:type="dxa"/>
          </w:tblCellMar>
        </w:tblPrEx>
        <w:trPr>
          <w:trHeight w:val="1060" w:hRule="atLeast"/>
        </w:trPr>
        <w:tc>
          <w:tcPr>
            <w:tcW w:w="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西安投融资担保有限公司</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西安投融资担保有限公司</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业务五部</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李晓</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何彦君</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张华</w:t>
            </w:r>
          </w:p>
        </w:tc>
        <w:tc>
          <w:tcPr>
            <w:tcW w:w="1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88499422 13572821281</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88499422 13679255205</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88499422 18220823060</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信用担保</w:t>
            </w:r>
          </w:p>
        </w:tc>
      </w:tr>
      <w:tr>
        <w:tblPrEx>
          <w:tblCellMar>
            <w:top w:w="0" w:type="dxa"/>
            <w:left w:w="108" w:type="dxa"/>
            <w:bottom w:w="0" w:type="dxa"/>
            <w:right w:w="108" w:type="dxa"/>
          </w:tblCellMar>
        </w:tblPrEx>
        <w:trPr>
          <w:trHeight w:val="1060" w:hRule="atLeast"/>
        </w:trPr>
        <w:tc>
          <w:tcPr>
            <w:tcW w:w="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2</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陕西省信用再担保</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有限责任公司</w:t>
            </w:r>
          </w:p>
        </w:tc>
        <w:tc>
          <w:tcPr>
            <w:tcW w:w="17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陕西省信用再担保</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有限责任公司</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业务三部</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夏靖颜</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朱筠祥</w:t>
            </w:r>
          </w:p>
        </w:tc>
        <w:tc>
          <w:tcPr>
            <w:tcW w:w="1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88606038-6027</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18591406320</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18629282228</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信用担保</w:t>
            </w:r>
          </w:p>
        </w:tc>
      </w:tr>
      <w:tr>
        <w:tblPrEx>
          <w:tblCellMar>
            <w:top w:w="0" w:type="dxa"/>
            <w:left w:w="108" w:type="dxa"/>
            <w:bottom w:w="0" w:type="dxa"/>
            <w:right w:w="108" w:type="dxa"/>
          </w:tblCellMar>
        </w:tblPrEx>
        <w:trPr>
          <w:trHeight w:val="710" w:hRule="atLeast"/>
        </w:trPr>
        <w:tc>
          <w:tcPr>
            <w:tcW w:w="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3</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中国银行股份有限公司</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陕西省分行</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中国银行西安二环世纪星支行</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公司业务部</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 xml:space="preserve">胡涛 </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叶楚沙</w:t>
            </w:r>
          </w:p>
        </w:tc>
        <w:tc>
          <w:tcPr>
            <w:tcW w:w="1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88360743 18629048822</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88360749 13772153612</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信用融资</w:t>
            </w:r>
          </w:p>
        </w:tc>
      </w:tr>
      <w:tr>
        <w:tblPrEx>
          <w:tblCellMar>
            <w:top w:w="0" w:type="dxa"/>
            <w:left w:w="108" w:type="dxa"/>
            <w:bottom w:w="0" w:type="dxa"/>
            <w:right w:w="108" w:type="dxa"/>
          </w:tblCellMar>
        </w:tblPrEx>
        <w:trPr>
          <w:trHeight w:val="710" w:hRule="atLeast"/>
        </w:trPr>
        <w:tc>
          <w:tcPr>
            <w:tcW w:w="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4</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中国建设银行股份有限公司</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陕西省分行</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建设银行西安市南大街支行</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公司部</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杨向晖</w:t>
            </w:r>
          </w:p>
        </w:tc>
        <w:tc>
          <w:tcPr>
            <w:tcW w:w="1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87281468</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13379229383</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信用融资</w:t>
            </w:r>
          </w:p>
        </w:tc>
      </w:tr>
      <w:tr>
        <w:tblPrEx>
          <w:tblCellMar>
            <w:top w:w="0" w:type="dxa"/>
            <w:left w:w="108" w:type="dxa"/>
            <w:bottom w:w="0" w:type="dxa"/>
            <w:right w:w="108" w:type="dxa"/>
          </w:tblCellMar>
        </w:tblPrEx>
        <w:trPr>
          <w:trHeight w:val="710" w:hRule="atLeast"/>
        </w:trPr>
        <w:tc>
          <w:tcPr>
            <w:tcW w:w="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5</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中国工商银行股份有限公司</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陕西省分行营业部</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工商银行陕西分行营业部</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小企业金融业务部</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牛国群</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张航</w:t>
            </w:r>
          </w:p>
        </w:tc>
        <w:tc>
          <w:tcPr>
            <w:tcW w:w="1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87609569 18992851811</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87609761 13891883334</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信用融资</w:t>
            </w:r>
          </w:p>
        </w:tc>
      </w:tr>
      <w:tr>
        <w:tblPrEx>
          <w:tblCellMar>
            <w:top w:w="0" w:type="dxa"/>
            <w:left w:w="108" w:type="dxa"/>
            <w:bottom w:w="0" w:type="dxa"/>
            <w:right w:w="108" w:type="dxa"/>
          </w:tblCellMar>
        </w:tblPrEx>
        <w:trPr>
          <w:trHeight w:val="710" w:hRule="atLeast"/>
        </w:trPr>
        <w:tc>
          <w:tcPr>
            <w:tcW w:w="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6</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中国农业银行股份有限公司</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陕西省分行营业部</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农业银行西安西大街支行</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公司业务部</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贾珊</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高雅</w:t>
            </w:r>
          </w:p>
        </w:tc>
        <w:tc>
          <w:tcPr>
            <w:tcW w:w="1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87617245 13891957123</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87613444 13659192425</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信用融资</w:t>
            </w:r>
          </w:p>
        </w:tc>
      </w:tr>
      <w:tr>
        <w:tblPrEx>
          <w:tblCellMar>
            <w:top w:w="0" w:type="dxa"/>
            <w:left w:w="108" w:type="dxa"/>
            <w:bottom w:w="0" w:type="dxa"/>
            <w:right w:w="108" w:type="dxa"/>
          </w:tblCellMar>
        </w:tblPrEx>
        <w:trPr>
          <w:trHeight w:val="710" w:hRule="atLeast"/>
        </w:trPr>
        <w:tc>
          <w:tcPr>
            <w:tcW w:w="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7</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交通银行股份有限公司</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陕西省分行</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交通银行西安西五路支行</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个人贷款中心</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李卫公</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雷强</w:t>
            </w:r>
          </w:p>
        </w:tc>
        <w:tc>
          <w:tcPr>
            <w:tcW w:w="1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87297632 13991290525</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87272444 18629362690</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信用融资</w:t>
            </w:r>
          </w:p>
        </w:tc>
      </w:tr>
      <w:tr>
        <w:tblPrEx>
          <w:tblCellMar>
            <w:top w:w="0" w:type="dxa"/>
            <w:left w:w="108" w:type="dxa"/>
            <w:bottom w:w="0" w:type="dxa"/>
            <w:right w:w="108" w:type="dxa"/>
          </w:tblCellMar>
        </w:tblPrEx>
        <w:trPr>
          <w:trHeight w:val="710" w:hRule="atLeast"/>
        </w:trPr>
        <w:tc>
          <w:tcPr>
            <w:tcW w:w="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8</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招商银行股份有限公司</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西安分行</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招商银行西安未央路支行</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公司银行部</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杨皓</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马秦香</w:t>
            </w:r>
          </w:p>
        </w:tc>
        <w:tc>
          <w:tcPr>
            <w:tcW w:w="1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62811553 15002905553</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62811553 13609183259</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信用融资</w:t>
            </w:r>
          </w:p>
        </w:tc>
      </w:tr>
      <w:tr>
        <w:tblPrEx>
          <w:tblCellMar>
            <w:top w:w="0" w:type="dxa"/>
            <w:left w:w="108" w:type="dxa"/>
            <w:bottom w:w="0" w:type="dxa"/>
            <w:right w:w="108" w:type="dxa"/>
          </w:tblCellMar>
        </w:tblPrEx>
        <w:trPr>
          <w:trHeight w:val="710" w:hRule="atLeast"/>
        </w:trPr>
        <w:tc>
          <w:tcPr>
            <w:tcW w:w="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9</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中国民生银行股份有限公司</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西安分行</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民生银行西安分行</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城建金融部</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李楠</w:t>
            </w:r>
          </w:p>
        </w:tc>
        <w:tc>
          <w:tcPr>
            <w:tcW w:w="1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88266088-8450</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13572058213</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信用融资</w:t>
            </w:r>
          </w:p>
        </w:tc>
      </w:tr>
      <w:tr>
        <w:tblPrEx>
          <w:tblCellMar>
            <w:top w:w="0" w:type="dxa"/>
            <w:left w:w="108" w:type="dxa"/>
            <w:bottom w:w="0" w:type="dxa"/>
            <w:right w:w="108" w:type="dxa"/>
          </w:tblCellMar>
        </w:tblPrEx>
        <w:trPr>
          <w:trHeight w:val="710" w:hRule="atLeast"/>
        </w:trPr>
        <w:tc>
          <w:tcPr>
            <w:tcW w:w="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10</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中国光大银行股份有限公司</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西安分行</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光大银行经济技术开发区支行</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对公客户经理部</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高艺瑄</w:t>
            </w:r>
          </w:p>
        </w:tc>
        <w:tc>
          <w:tcPr>
            <w:tcW w:w="1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15619006186</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信用融资</w:t>
            </w:r>
          </w:p>
        </w:tc>
      </w:tr>
      <w:tr>
        <w:tblPrEx>
          <w:tblCellMar>
            <w:top w:w="0" w:type="dxa"/>
            <w:left w:w="108" w:type="dxa"/>
            <w:bottom w:w="0" w:type="dxa"/>
            <w:right w:w="108" w:type="dxa"/>
          </w:tblCellMar>
        </w:tblPrEx>
        <w:trPr>
          <w:trHeight w:val="710" w:hRule="atLeast"/>
        </w:trPr>
        <w:tc>
          <w:tcPr>
            <w:tcW w:w="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11</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昆仑银行股份有限公司</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西安分行</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昆仑银行西安分行</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机构投行部</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韩天清</w:t>
            </w:r>
          </w:p>
        </w:tc>
        <w:tc>
          <w:tcPr>
            <w:tcW w:w="1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86978975</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15609108028</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信用融资</w:t>
            </w:r>
          </w:p>
        </w:tc>
      </w:tr>
      <w:tr>
        <w:tblPrEx>
          <w:tblCellMar>
            <w:top w:w="0" w:type="dxa"/>
            <w:left w:w="108" w:type="dxa"/>
            <w:bottom w:w="0" w:type="dxa"/>
            <w:right w:w="108" w:type="dxa"/>
          </w:tblCellMar>
        </w:tblPrEx>
        <w:trPr>
          <w:trHeight w:val="710" w:hRule="atLeast"/>
        </w:trPr>
        <w:tc>
          <w:tcPr>
            <w:tcW w:w="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12</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平安银行股份有限公司</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西安分行</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平安银行西安分行</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业务发展七部</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祝捷</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王尧</w:t>
            </w:r>
          </w:p>
        </w:tc>
        <w:tc>
          <w:tcPr>
            <w:tcW w:w="1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18629505188</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18591767577</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信用融资</w:t>
            </w:r>
          </w:p>
        </w:tc>
      </w:tr>
      <w:tr>
        <w:tblPrEx>
          <w:tblCellMar>
            <w:top w:w="0" w:type="dxa"/>
            <w:left w:w="108" w:type="dxa"/>
            <w:bottom w:w="0" w:type="dxa"/>
            <w:right w:w="108" w:type="dxa"/>
          </w:tblCellMar>
        </w:tblPrEx>
        <w:trPr>
          <w:trHeight w:val="710" w:hRule="atLeast"/>
        </w:trPr>
        <w:tc>
          <w:tcPr>
            <w:tcW w:w="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13</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北京银行股份有限公司</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西安分行</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北京银行西安分行</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营业部</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范诗阳</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曹英</w:t>
            </w:r>
          </w:p>
        </w:tc>
        <w:tc>
          <w:tcPr>
            <w:tcW w:w="1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13991945764</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18691892195</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信用融资</w:t>
            </w:r>
          </w:p>
        </w:tc>
      </w:tr>
      <w:tr>
        <w:tblPrEx>
          <w:tblCellMar>
            <w:top w:w="0" w:type="dxa"/>
            <w:left w:w="108" w:type="dxa"/>
            <w:bottom w:w="0" w:type="dxa"/>
            <w:right w:w="108" w:type="dxa"/>
          </w:tblCellMar>
        </w:tblPrEx>
        <w:trPr>
          <w:trHeight w:val="710" w:hRule="atLeast"/>
        </w:trPr>
        <w:tc>
          <w:tcPr>
            <w:tcW w:w="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14</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兴业银行股份有限公司</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西安分行</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兴业银行西安分行</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新城业务总部</w:t>
            </w:r>
          </w:p>
        </w:tc>
        <w:tc>
          <w:tcPr>
            <w:tcW w:w="1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徐常磊</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鲁旸</w:t>
            </w:r>
          </w:p>
        </w:tc>
        <w:tc>
          <w:tcPr>
            <w:tcW w:w="1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15991623666</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15389081886</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信用融资</w:t>
            </w:r>
          </w:p>
        </w:tc>
      </w:tr>
      <w:tr>
        <w:tblPrEx>
          <w:tblCellMar>
            <w:top w:w="0" w:type="dxa"/>
            <w:left w:w="108" w:type="dxa"/>
            <w:bottom w:w="0" w:type="dxa"/>
            <w:right w:w="108" w:type="dxa"/>
          </w:tblCellMar>
        </w:tblPrEx>
        <w:trPr>
          <w:trHeight w:val="90" w:hRule="atLeast"/>
        </w:trPr>
        <w:tc>
          <w:tcPr>
            <w:tcW w:w="554"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color w:val="auto"/>
                <w:sz w:val="24"/>
                <w:szCs w:val="24"/>
              </w:rPr>
            </w:pPr>
          </w:p>
        </w:tc>
        <w:tc>
          <w:tcPr>
            <w:tcW w:w="2076"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color w:val="auto"/>
                <w:sz w:val="24"/>
                <w:szCs w:val="24"/>
              </w:rPr>
            </w:pPr>
          </w:p>
        </w:tc>
        <w:tc>
          <w:tcPr>
            <w:tcW w:w="1724"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color w:val="auto"/>
                <w:sz w:val="24"/>
                <w:szCs w:val="24"/>
              </w:rPr>
            </w:pPr>
          </w:p>
        </w:tc>
        <w:tc>
          <w:tcPr>
            <w:tcW w:w="1184"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color w:val="auto"/>
                <w:sz w:val="24"/>
                <w:szCs w:val="24"/>
              </w:rPr>
            </w:pPr>
          </w:p>
        </w:tc>
        <w:tc>
          <w:tcPr>
            <w:tcW w:w="1133"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color w:val="auto"/>
                <w:sz w:val="24"/>
                <w:szCs w:val="24"/>
              </w:rPr>
            </w:pPr>
          </w:p>
        </w:tc>
        <w:tc>
          <w:tcPr>
            <w:tcW w:w="1629"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color w:val="auto"/>
                <w:sz w:val="24"/>
                <w:szCs w:val="24"/>
              </w:rPr>
            </w:pPr>
          </w:p>
        </w:tc>
        <w:tc>
          <w:tcPr>
            <w:tcW w:w="893"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420" w:lineRule="exact"/>
              <w:rPr>
                <w:rFonts w:ascii="宋体" w:hAnsi="宋体" w:cs="宋体"/>
                <w:color w:val="auto"/>
                <w:sz w:val="24"/>
                <w:szCs w:val="24"/>
              </w:rPr>
            </w:pPr>
          </w:p>
        </w:tc>
      </w:tr>
      <w:tr>
        <w:tblPrEx>
          <w:tblCellMar>
            <w:top w:w="0" w:type="dxa"/>
            <w:left w:w="108" w:type="dxa"/>
            <w:bottom w:w="0" w:type="dxa"/>
            <w:right w:w="108" w:type="dxa"/>
          </w:tblCellMar>
        </w:tblPrEx>
        <w:trPr>
          <w:trHeight w:val="763" w:hRule="atLeast"/>
        </w:trPr>
        <w:tc>
          <w:tcPr>
            <w:tcW w:w="9193" w:type="dxa"/>
            <w:gridSpan w:val="7"/>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ascii="宋体" w:hAnsi="宋体" w:cs="宋体"/>
                <w:color w:val="auto"/>
                <w:sz w:val="24"/>
                <w:szCs w:val="24"/>
              </w:rPr>
            </w:pPr>
            <w:r>
              <w:rPr>
                <w:rFonts w:hint="eastAsia" w:ascii="宋体" w:hAnsi="宋体" w:cs="宋体"/>
                <w:color w:val="auto"/>
                <w:kern w:val="0"/>
                <w:sz w:val="24"/>
                <w:szCs w:val="24"/>
                <w:lang w:bidi="ar"/>
              </w:rPr>
              <w:t>注：本项工作依据西安市财政局门户网站“政府采购”专栏中《西安市政府采购信用担保及融资工作实施方案（试行）》（市财发[2014]167号）组织开展，本表信息如有变动，请信息报送单位在发生变更之日起3个工作日内向西安市财政局备案，否则责任自负。</w:t>
            </w:r>
          </w:p>
        </w:tc>
      </w:tr>
    </w:tbl>
    <w:p>
      <w:pPr>
        <w:pStyle w:val="20"/>
        <w:spacing w:line="520" w:lineRule="exact"/>
        <w:rPr>
          <w:rFonts w:hAnsi="宋体" w:cs="宋体"/>
          <w:color w:val="auto"/>
          <w:sz w:val="24"/>
          <w:szCs w:val="24"/>
          <w:lang w:val="zh-CN"/>
        </w:rPr>
      </w:pPr>
    </w:p>
    <w:p>
      <w:pPr>
        <w:pStyle w:val="20"/>
        <w:spacing w:line="520" w:lineRule="exact"/>
        <w:rPr>
          <w:rFonts w:hAnsi="宋体" w:cs="宋体"/>
          <w:color w:val="auto"/>
          <w:sz w:val="24"/>
          <w:szCs w:val="24"/>
          <w:lang w:val="zh-CN"/>
        </w:rPr>
      </w:pPr>
    </w:p>
    <w:p>
      <w:pPr>
        <w:pStyle w:val="20"/>
        <w:spacing w:line="520" w:lineRule="exact"/>
        <w:rPr>
          <w:rFonts w:hAnsi="宋体" w:cs="宋体"/>
          <w:color w:val="auto"/>
          <w:sz w:val="24"/>
          <w:szCs w:val="24"/>
          <w:lang w:val="zh-CN"/>
        </w:rPr>
      </w:pPr>
    </w:p>
    <w:p>
      <w:pPr>
        <w:rPr>
          <w:color w:val="auto"/>
        </w:rPr>
      </w:pPr>
    </w:p>
    <w:p>
      <w:pPr>
        <w:pStyle w:val="3"/>
        <w:keepLines w:val="0"/>
        <w:pageBreakBefore w:val="0"/>
        <w:widowControl w:val="0"/>
        <w:kinsoku/>
        <w:wordWrap/>
        <w:overflowPunct/>
        <w:topLinePunct w:val="0"/>
        <w:bidi w:val="0"/>
        <w:spacing w:line="420" w:lineRule="exact"/>
        <w:textAlignment w:val="auto"/>
        <w:rPr>
          <w:rFonts w:ascii="宋体" w:hAnsi="宋体" w:eastAsia="宋体" w:cs="宋体"/>
          <w:b/>
          <w:color w:val="auto"/>
          <w:szCs w:val="28"/>
        </w:rPr>
      </w:pPr>
      <w:bookmarkStart w:id="30" w:name="_Toc10965"/>
      <w:r>
        <w:rPr>
          <w:rFonts w:hint="eastAsia" w:ascii="宋体" w:hAnsi="宋体" w:eastAsia="宋体" w:cs="宋体"/>
          <w:b/>
          <w:color w:val="auto"/>
          <w:szCs w:val="28"/>
        </w:rPr>
        <w:t>第四章 评审办法</w:t>
      </w:r>
      <w:bookmarkEnd w:id="30"/>
    </w:p>
    <w:p>
      <w:pPr>
        <w:keepLines w:val="0"/>
        <w:pageBreakBefore w:val="0"/>
        <w:widowControl w:val="0"/>
        <w:kinsoku/>
        <w:wordWrap/>
        <w:overflowPunct/>
        <w:topLinePunct w:val="0"/>
        <w:bidi w:val="0"/>
        <w:spacing w:line="420" w:lineRule="exact"/>
        <w:textAlignment w:val="auto"/>
        <w:rPr>
          <w:rFonts w:ascii="宋体" w:hAnsi="宋体" w:cs="宋体"/>
          <w:b/>
          <w:color w:val="auto"/>
          <w:sz w:val="24"/>
          <w:szCs w:val="24"/>
        </w:rPr>
      </w:pPr>
      <w:r>
        <w:rPr>
          <w:rFonts w:hint="eastAsia" w:ascii="宋体" w:hAnsi="宋体" w:cs="宋体"/>
          <w:b/>
          <w:color w:val="auto"/>
          <w:sz w:val="24"/>
          <w:szCs w:val="24"/>
        </w:rPr>
        <w:t>1、评审方法：</w:t>
      </w:r>
    </w:p>
    <w:p>
      <w:pPr>
        <w:keepLines w:val="0"/>
        <w:pageBreakBefore w:val="0"/>
        <w:widowControl w:val="0"/>
        <w:kinsoku/>
        <w:wordWrap/>
        <w:overflowPunct/>
        <w:topLinePunct w:val="0"/>
        <w:bidi w:val="0"/>
        <w:spacing w:line="420" w:lineRule="exact"/>
        <w:ind w:firstLine="520" w:firstLineChars="217"/>
        <w:textAlignment w:val="auto"/>
        <w:rPr>
          <w:rFonts w:ascii="宋体" w:hAnsi="宋体" w:cs="宋体"/>
          <w:color w:val="auto"/>
          <w:spacing w:val="4"/>
          <w:sz w:val="24"/>
          <w:szCs w:val="24"/>
        </w:rPr>
      </w:pPr>
      <w:r>
        <w:rPr>
          <w:rFonts w:hint="eastAsia" w:ascii="宋体" w:hAnsi="宋体" w:cs="宋体"/>
          <w:color w:val="auto"/>
          <w:sz w:val="24"/>
          <w:szCs w:val="24"/>
        </w:rPr>
        <w:t>按照《中华人民共和国政府采购法》及实施条例和关于印发《政府采购竞争性磋商采购方式管理暂行办法》的通知（财库【2014】214号）</w:t>
      </w:r>
      <w:r>
        <w:rPr>
          <w:rFonts w:hint="eastAsia" w:ascii="宋体" w:hAnsi="宋体" w:cs="宋体"/>
          <w:color w:val="auto"/>
          <w:spacing w:val="4"/>
          <w:sz w:val="24"/>
          <w:szCs w:val="24"/>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pPr>
        <w:keepLines w:val="0"/>
        <w:pageBreakBefore w:val="0"/>
        <w:widowControl w:val="0"/>
        <w:kinsoku/>
        <w:wordWrap/>
        <w:overflowPunct/>
        <w:topLinePunct w:val="0"/>
        <w:bidi w:val="0"/>
        <w:spacing w:line="420" w:lineRule="exact"/>
        <w:textAlignment w:val="auto"/>
        <w:rPr>
          <w:rFonts w:ascii="宋体" w:hAnsi="宋体" w:cs="宋体"/>
          <w:b/>
          <w:color w:val="auto"/>
          <w:sz w:val="24"/>
          <w:szCs w:val="24"/>
        </w:rPr>
      </w:pPr>
      <w:r>
        <w:rPr>
          <w:rFonts w:hint="eastAsia" w:ascii="宋体" w:hAnsi="宋体" w:cs="宋体"/>
          <w:b/>
          <w:color w:val="auto"/>
          <w:sz w:val="24"/>
          <w:szCs w:val="24"/>
        </w:rPr>
        <w:t>2、评审标准</w:t>
      </w:r>
    </w:p>
    <w:p>
      <w:pPr>
        <w:keepLines w:val="0"/>
        <w:pageBreakBefore w:val="0"/>
        <w:widowControl w:val="0"/>
        <w:tabs>
          <w:tab w:val="left" w:pos="0"/>
        </w:tabs>
        <w:kinsoku/>
        <w:wordWrap/>
        <w:overflowPunct/>
        <w:topLinePunct w:val="0"/>
        <w:bidi w:val="0"/>
        <w:adjustRightInd w:val="0"/>
        <w:snapToGrid w:val="0"/>
        <w:spacing w:line="420" w:lineRule="exact"/>
        <w:ind w:firstLine="472" w:firstLineChars="196"/>
        <w:textAlignment w:val="auto"/>
        <w:rPr>
          <w:rFonts w:ascii="宋体" w:hAnsi="宋体" w:cs="宋体"/>
          <w:b/>
          <w:color w:val="auto"/>
          <w:sz w:val="24"/>
          <w:szCs w:val="24"/>
        </w:rPr>
      </w:pPr>
      <w:r>
        <w:rPr>
          <w:rFonts w:hint="eastAsia" w:ascii="宋体" w:hAnsi="宋体" w:cs="宋体"/>
          <w:b/>
          <w:color w:val="auto"/>
          <w:sz w:val="24"/>
          <w:szCs w:val="24"/>
        </w:rPr>
        <w:t>2.1、初步评审标准</w:t>
      </w:r>
    </w:p>
    <w:p>
      <w:pPr>
        <w:keepLines w:val="0"/>
        <w:pageBreakBefore w:val="0"/>
        <w:widowControl w:val="0"/>
        <w:tabs>
          <w:tab w:val="left" w:pos="0"/>
        </w:tabs>
        <w:kinsoku/>
        <w:wordWrap/>
        <w:overflowPunct/>
        <w:topLinePunct w:val="0"/>
        <w:bidi w:val="0"/>
        <w:adjustRightInd w:val="0"/>
        <w:snapToGrid w:val="0"/>
        <w:spacing w:line="420" w:lineRule="exact"/>
        <w:ind w:firstLine="470" w:firstLineChars="196"/>
        <w:textAlignment w:val="auto"/>
        <w:rPr>
          <w:rFonts w:ascii="宋体" w:hAnsi="宋体" w:cs="宋体"/>
          <w:color w:val="auto"/>
          <w:sz w:val="24"/>
          <w:szCs w:val="24"/>
        </w:rPr>
      </w:pPr>
      <w:r>
        <w:rPr>
          <w:rFonts w:hint="eastAsia" w:ascii="宋体" w:hAnsi="宋体" w:cs="宋体"/>
          <w:color w:val="auto"/>
          <w:sz w:val="24"/>
          <w:szCs w:val="24"/>
        </w:rPr>
        <w:t>2.1.1、资格性审查标准：见附件1初步审查要素表</w:t>
      </w:r>
    </w:p>
    <w:p>
      <w:pPr>
        <w:keepLines w:val="0"/>
        <w:pageBreakBefore w:val="0"/>
        <w:widowControl w:val="0"/>
        <w:tabs>
          <w:tab w:val="left" w:pos="0"/>
        </w:tabs>
        <w:kinsoku/>
        <w:wordWrap/>
        <w:overflowPunct/>
        <w:topLinePunct w:val="0"/>
        <w:bidi w:val="0"/>
        <w:adjustRightInd w:val="0"/>
        <w:snapToGrid w:val="0"/>
        <w:spacing w:line="420" w:lineRule="exact"/>
        <w:ind w:firstLine="470" w:firstLineChars="196"/>
        <w:textAlignment w:val="auto"/>
        <w:rPr>
          <w:rFonts w:ascii="宋体" w:hAnsi="宋体" w:cs="宋体"/>
          <w:color w:val="auto"/>
          <w:sz w:val="24"/>
          <w:szCs w:val="24"/>
        </w:rPr>
      </w:pPr>
      <w:r>
        <w:rPr>
          <w:rFonts w:hint="eastAsia" w:ascii="宋体" w:hAnsi="宋体" w:cs="宋体"/>
          <w:color w:val="auto"/>
          <w:sz w:val="24"/>
          <w:szCs w:val="24"/>
        </w:rPr>
        <w:t>2.1.2、符合性审查标准：见附件1初步审查要素表</w:t>
      </w:r>
    </w:p>
    <w:p>
      <w:pPr>
        <w:keepLines w:val="0"/>
        <w:pageBreakBefore w:val="0"/>
        <w:widowControl w:val="0"/>
        <w:tabs>
          <w:tab w:val="left" w:pos="0"/>
        </w:tabs>
        <w:kinsoku/>
        <w:wordWrap/>
        <w:overflowPunct/>
        <w:topLinePunct w:val="0"/>
        <w:bidi w:val="0"/>
        <w:adjustRightInd w:val="0"/>
        <w:snapToGrid w:val="0"/>
        <w:spacing w:line="420" w:lineRule="exact"/>
        <w:ind w:firstLine="472" w:firstLineChars="196"/>
        <w:textAlignment w:val="auto"/>
        <w:rPr>
          <w:rFonts w:ascii="宋体" w:hAnsi="宋体" w:cs="宋体"/>
          <w:b/>
          <w:color w:val="auto"/>
          <w:sz w:val="24"/>
          <w:szCs w:val="24"/>
        </w:rPr>
      </w:pPr>
      <w:r>
        <w:rPr>
          <w:rFonts w:hint="eastAsia" w:ascii="宋体" w:hAnsi="宋体" w:cs="宋体"/>
          <w:b/>
          <w:color w:val="auto"/>
          <w:sz w:val="24"/>
          <w:szCs w:val="24"/>
        </w:rPr>
        <w:t>2.2、分值构成与评分标准</w:t>
      </w:r>
    </w:p>
    <w:p>
      <w:pPr>
        <w:keepLines w:val="0"/>
        <w:pageBreakBefore w:val="0"/>
        <w:widowControl w:val="0"/>
        <w:tabs>
          <w:tab w:val="left" w:pos="0"/>
        </w:tabs>
        <w:kinsoku/>
        <w:wordWrap/>
        <w:overflowPunct/>
        <w:topLinePunct w:val="0"/>
        <w:bidi w:val="0"/>
        <w:adjustRightInd w:val="0"/>
        <w:snapToGrid w:val="0"/>
        <w:spacing w:line="420" w:lineRule="exact"/>
        <w:ind w:firstLine="470" w:firstLineChars="196"/>
        <w:textAlignment w:val="auto"/>
        <w:rPr>
          <w:rFonts w:ascii="宋体" w:hAnsi="宋体" w:cs="宋体"/>
          <w:bCs/>
          <w:color w:val="auto"/>
          <w:sz w:val="24"/>
          <w:szCs w:val="24"/>
        </w:rPr>
      </w:pPr>
      <w:r>
        <w:rPr>
          <w:rFonts w:hint="eastAsia" w:ascii="宋体" w:hAnsi="宋体" w:cs="宋体"/>
          <w:bCs/>
          <w:color w:val="auto"/>
          <w:sz w:val="24"/>
          <w:szCs w:val="24"/>
        </w:rPr>
        <w:t>2.2.1、分值构成</w:t>
      </w:r>
    </w:p>
    <w:p>
      <w:pPr>
        <w:keepLines w:val="0"/>
        <w:pageBreakBefore w:val="0"/>
        <w:widowControl w:val="0"/>
        <w:tabs>
          <w:tab w:val="left" w:pos="0"/>
        </w:tabs>
        <w:kinsoku/>
        <w:wordWrap/>
        <w:overflowPunct/>
        <w:topLinePunct w:val="0"/>
        <w:bidi w:val="0"/>
        <w:adjustRightInd w:val="0"/>
        <w:snapToGrid w:val="0"/>
        <w:spacing w:line="420" w:lineRule="exact"/>
        <w:ind w:firstLine="470" w:firstLineChars="196"/>
        <w:textAlignment w:val="auto"/>
        <w:rPr>
          <w:rFonts w:ascii="宋体" w:hAnsi="宋体" w:cs="宋体"/>
          <w:bCs/>
          <w:color w:val="auto"/>
          <w:sz w:val="24"/>
          <w:szCs w:val="24"/>
        </w:rPr>
      </w:pPr>
      <w:r>
        <w:rPr>
          <w:rFonts w:hint="eastAsia" w:ascii="宋体" w:hAnsi="宋体" w:cs="宋体"/>
          <w:bCs/>
          <w:color w:val="auto"/>
          <w:sz w:val="24"/>
          <w:szCs w:val="24"/>
        </w:rPr>
        <w:t>（1）投标价格：见附件2评标因素及权重分值表</w:t>
      </w:r>
    </w:p>
    <w:p>
      <w:pPr>
        <w:keepLines w:val="0"/>
        <w:pageBreakBefore w:val="0"/>
        <w:widowControl w:val="0"/>
        <w:tabs>
          <w:tab w:val="left" w:pos="0"/>
        </w:tabs>
        <w:kinsoku/>
        <w:wordWrap/>
        <w:overflowPunct/>
        <w:topLinePunct w:val="0"/>
        <w:bidi w:val="0"/>
        <w:adjustRightInd w:val="0"/>
        <w:snapToGrid w:val="0"/>
        <w:spacing w:line="420" w:lineRule="exact"/>
        <w:ind w:firstLine="470" w:firstLineChars="196"/>
        <w:textAlignment w:val="auto"/>
        <w:rPr>
          <w:rFonts w:ascii="宋体" w:hAnsi="宋体" w:cs="宋体"/>
          <w:bCs/>
          <w:color w:val="auto"/>
          <w:sz w:val="24"/>
          <w:szCs w:val="24"/>
        </w:rPr>
      </w:pPr>
      <w:r>
        <w:rPr>
          <w:rFonts w:hint="eastAsia" w:ascii="宋体" w:hAnsi="宋体" w:cs="宋体"/>
          <w:bCs/>
          <w:color w:val="auto"/>
          <w:sz w:val="24"/>
          <w:szCs w:val="24"/>
        </w:rPr>
        <w:t>（2）技术评审：见附件2评标因素及权重分值表</w:t>
      </w:r>
    </w:p>
    <w:p>
      <w:pPr>
        <w:keepLines w:val="0"/>
        <w:pageBreakBefore w:val="0"/>
        <w:widowControl w:val="0"/>
        <w:kinsoku/>
        <w:wordWrap/>
        <w:overflowPunct/>
        <w:topLinePunct w:val="0"/>
        <w:bidi w:val="0"/>
        <w:spacing w:line="420" w:lineRule="exact"/>
        <w:ind w:firstLine="480" w:firstLineChars="200"/>
        <w:textAlignment w:val="auto"/>
        <w:rPr>
          <w:rFonts w:ascii="宋体" w:hAnsi="宋体" w:cs="宋体"/>
          <w:b/>
          <w:color w:val="auto"/>
          <w:spacing w:val="4"/>
          <w:sz w:val="24"/>
          <w:szCs w:val="24"/>
        </w:rPr>
      </w:pPr>
      <w:r>
        <w:rPr>
          <w:rFonts w:hint="eastAsia" w:ascii="宋体" w:hAnsi="宋体" w:cs="宋体"/>
          <w:bCs/>
          <w:color w:val="auto"/>
          <w:sz w:val="24"/>
          <w:szCs w:val="24"/>
        </w:rPr>
        <w:t>（3）履约能力：见附件2评标因素及权重分值表</w:t>
      </w:r>
    </w:p>
    <w:p>
      <w:pPr>
        <w:keepLines w:val="0"/>
        <w:pageBreakBefore w:val="0"/>
        <w:widowControl w:val="0"/>
        <w:kinsoku/>
        <w:wordWrap/>
        <w:overflowPunct/>
        <w:topLinePunct w:val="0"/>
        <w:bidi w:val="0"/>
        <w:spacing w:line="420" w:lineRule="exact"/>
        <w:textAlignment w:val="auto"/>
        <w:rPr>
          <w:rFonts w:ascii="宋体" w:hAnsi="宋体" w:cs="宋体"/>
          <w:b/>
          <w:color w:val="auto"/>
          <w:spacing w:val="4"/>
          <w:sz w:val="24"/>
          <w:szCs w:val="24"/>
        </w:rPr>
      </w:pPr>
      <w:r>
        <w:rPr>
          <w:rFonts w:hint="eastAsia" w:ascii="宋体" w:hAnsi="宋体" w:cs="宋体"/>
          <w:b/>
          <w:color w:val="auto"/>
          <w:spacing w:val="4"/>
          <w:sz w:val="24"/>
          <w:szCs w:val="24"/>
        </w:rPr>
        <w:t>3、评审程序：</w:t>
      </w:r>
    </w:p>
    <w:p>
      <w:pPr>
        <w:pStyle w:val="27"/>
        <w:keepLines w:val="0"/>
        <w:pageBreakBefore w:val="0"/>
        <w:widowControl w:val="0"/>
        <w:kinsoku/>
        <w:wordWrap/>
        <w:overflowPunct/>
        <w:topLinePunct w:val="0"/>
        <w:bidi w:val="0"/>
        <w:spacing w:line="420" w:lineRule="exact"/>
        <w:ind w:firstLine="480" w:firstLineChars="200"/>
        <w:textAlignment w:val="auto"/>
        <w:rPr>
          <w:rFonts w:hAnsi="宋体" w:cs="宋体"/>
          <w:color w:val="auto"/>
          <w:sz w:val="24"/>
          <w:szCs w:val="24"/>
        </w:rPr>
      </w:pPr>
      <w:r>
        <w:rPr>
          <w:rFonts w:hint="eastAsia" w:hAnsi="宋体" w:cs="宋体"/>
          <w:color w:val="auto"/>
          <w:sz w:val="24"/>
          <w:szCs w:val="24"/>
        </w:rPr>
        <w:t>按照竞争性磋商响应文件初审、澄清有关问题、分别磋商、二次报价、比较与评审、推荐成交候选人名单。在上一步评审中被认定为无效磋商者，不进入下一步的评审。</w:t>
      </w:r>
    </w:p>
    <w:p>
      <w:pPr>
        <w:keepLines w:val="0"/>
        <w:pageBreakBefore w:val="0"/>
        <w:widowControl w:val="0"/>
        <w:kinsoku/>
        <w:wordWrap/>
        <w:overflowPunct/>
        <w:topLinePunct w:val="0"/>
        <w:bidi w:val="0"/>
        <w:spacing w:line="420" w:lineRule="exact"/>
        <w:ind w:firstLine="496" w:firstLineChars="200"/>
        <w:textAlignment w:val="auto"/>
        <w:rPr>
          <w:rFonts w:ascii="宋体" w:hAnsi="宋体" w:cs="宋体"/>
          <w:color w:val="auto"/>
          <w:spacing w:val="4"/>
          <w:sz w:val="24"/>
          <w:szCs w:val="24"/>
        </w:rPr>
      </w:pPr>
      <w:r>
        <w:rPr>
          <w:rFonts w:hint="eastAsia" w:ascii="宋体" w:hAnsi="宋体" w:cs="宋体"/>
          <w:color w:val="auto"/>
          <w:spacing w:val="4"/>
          <w:sz w:val="24"/>
          <w:szCs w:val="24"/>
        </w:rPr>
        <w:t>3.1、对磋商响应文件的初审：</w:t>
      </w:r>
    </w:p>
    <w:p>
      <w:pPr>
        <w:keepLines w:val="0"/>
        <w:pageBreakBefore w:val="0"/>
        <w:widowControl w:val="0"/>
        <w:tabs>
          <w:tab w:val="left" w:pos="0"/>
        </w:tabs>
        <w:kinsoku/>
        <w:wordWrap/>
        <w:overflowPunct/>
        <w:topLinePunct w:val="0"/>
        <w:bidi w:val="0"/>
        <w:adjustRightInd w:val="0"/>
        <w:snapToGrid w:val="0"/>
        <w:spacing w:line="420" w:lineRule="exact"/>
        <w:ind w:firstLine="470" w:firstLineChars="196"/>
        <w:textAlignment w:val="auto"/>
        <w:rPr>
          <w:rFonts w:ascii="宋体" w:hAnsi="宋体" w:cs="宋体"/>
          <w:color w:val="auto"/>
          <w:sz w:val="24"/>
          <w:szCs w:val="24"/>
        </w:rPr>
      </w:pPr>
      <w:r>
        <w:rPr>
          <w:rFonts w:hint="eastAsia" w:ascii="宋体" w:hAnsi="宋体" w:cs="宋体"/>
          <w:color w:val="auto"/>
          <w:sz w:val="24"/>
          <w:szCs w:val="24"/>
        </w:rPr>
        <w:t>3.1.1、资格性审查：采购人或采购代理机构将依据本章第 2.1.1 项规定的评审标准对磋商响应文件进行资格性审查。有一项不符合评审标准的，将被视为未实质性响应磋商文件，其磋商响应文件将按无效文件处理。</w:t>
      </w:r>
    </w:p>
    <w:p>
      <w:pPr>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1.2、符合性审查：磋商小组根据本章第 2.1.2 项规定的评审标准对磋商响应文件进行符合性评审。有一项不符合评审标准的，将被视为未实质性响应磋商文件，其磋商响应文件将按无效文件处理。</w:t>
      </w:r>
    </w:p>
    <w:p>
      <w:pPr>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在资格性审查阶段，不符合磋商文件要求的，不得进入符合性审查，在符合性审查时未通过的，不得进入后续评审环节。</w:t>
      </w:r>
    </w:p>
    <w:p>
      <w:pPr>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3.2、磋商响应文件的澄清</w:t>
      </w:r>
    </w:p>
    <w:p>
      <w:pPr>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rPr>
        <w:t>3.2.</w:t>
      </w:r>
      <w:r>
        <w:rPr>
          <w:rFonts w:hint="eastAsia" w:ascii="宋体" w:hAnsi="宋体" w:cs="宋体"/>
          <w:color w:val="auto"/>
          <w:sz w:val="24"/>
          <w:szCs w:val="24"/>
          <w:lang w:val="zh-CN"/>
        </w:rPr>
        <w:t>1、在评审期间,根据磋商小组的需要，要求供应商对其响应文件进行澄清，有关澄清的要求和答复应以书面形式提交，但不得寻求、提供或允许对磋商价格等实质性内容做任何更改。</w:t>
      </w:r>
    </w:p>
    <w:p>
      <w:pPr>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rPr>
        <w:t>3.2.</w:t>
      </w:r>
      <w:r>
        <w:rPr>
          <w:rFonts w:hint="eastAsia" w:ascii="宋体" w:hAnsi="宋体" w:cs="宋体"/>
          <w:color w:val="auto"/>
          <w:sz w:val="24"/>
          <w:szCs w:val="24"/>
          <w:lang w:val="zh-CN"/>
        </w:rPr>
        <w:t>2、供应商应采用书面形式进行澄清或说明，但不得超出响应文件的范围或改变响应文件的实质性内容。</w:t>
      </w:r>
    </w:p>
    <w:p>
      <w:pPr>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rPr>
        <w:t>3.2.3、</w:t>
      </w:r>
      <w:r>
        <w:rPr>
          <w:rFonts w:hint="eastAsia" w:ascii="宋体" w:hAnsi="宋体" w:cs="宋体"/>
          <w:color w:val="auto"/>
          <w:sz w:val="24"/>
          <w:szCs w:val="24"/>
          <w:lang w:val="zh-CN"/>
        </w:rPr>
        <w:t xml:space="preserve"> 磋商小组所有成员集中与单一供应商分别进行磋商，并给予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加盖公章。</w:t>
      </w:r>
    </w:p>
    <w:p>
      <w:pPr>
        <w:keepLines w:val="0"/>
        <w:pageBreakBefore w:val="0"/>
        <w:widowControl w:val="0"/>
        <w:kinsoku/>
        <w:wordWrap/>
        <w:overflowPunct/>
        <w:topLinePunct w:val="0"/>
        <w:bidi w:val="0"/>
        <w:spacing w:line="420" w:lineRule="exact"/>
        <w:ind w:firstLine="482" w:firstLineChars="200"/>
        <w:textAlignment w:val="auto"/>
        <w:rPr>
          <w:rFonts w:ascii="宋体" w:hAnsi="宋体" w:cs="宋体"/>
          <w:color w:val="auto"/>
          <w:sz w:val="24"/>
          <w:szCs w:val="24"/>
        </w:rPr>
      </w:pPr>
      <w:r>
        <w:rPr>
          <w:rFonts w:hint="eastAsia" w:ascii="宋体" w:hAnsi="宋体" w:cs="宋体"/>
          <w:b/>
          <w:bCs/>
          <w:color w:val="auto"/>
          <w:sz w:val="24"/>
          <w:szCs w:val="24"/>
        </w:rPr>
        <w:t>4、磋商：</w:t>
      </w:r>
      <w:r>
        <w:rPr>
          <w:rFonts w:hint="eastAsia" w:ascii="宋体" w:hAnsi="宋体" w:cs="宋体"/>
          <w:color w:val="auto"/>
          <w:sz w:val="24"/>
          <w:szCs w:val="24"/>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pPr>
        <w:keepLines w:val="0"/>
        <w:pageBreakBefore w:val="0"/>
        <w:widowControl w:val="0"/>
        <w:kinsoku/>
        <w:wordWrap/>
        <w:overflowPunct/>
        <w:topLinePunct w:val="0"/>
        <w:bidi w:val="0"/>
        <w:spacing w:line="420" w:lineRule="exact"/>
        <w:ind w:firstLine="602" w:firstLineChars="250"/>
        <w:textAlignment w:val="auto"/>
        <w:rPr>
          <w:rFonts w:ascii="宋体" w:hAnsi="宋体" w:cs="宋体"/>
          <w:color w:val="auto"/>
          <w:sz w:val="24"/>
          <w:szCs w:val="24"/>
        </w:rPr>
      </w:pPr>
      <w:r>
        <w:rPr>
          <w:rFonts w:hint="eastAsia" w:ascii="宋体" w:hAnsi="宋体" w:cs="宋体"/>
          <w:b/>
          <w:bCs/>
          <w:color w:val="auto"/>
          <w:sz w:val="24"/>
          <w:szCs w:val="24"/>
        </w:rPr>
        <w:t>5、综合评审：</w:t>
      </w:r>
      <w:r>
        <w:rPr>
          <w:rFonts w:hint="eastAsia" w:ascii="宋体" w:hAnsi="宋体" w:cs="宋体"/>
          <w:color w:val="auto"/>
          <w:sz w:val="24"/>
          <w:szCs w:val="24"/>
        </w:rPr>
        <w:t>对于经初审合格的所有供应商，由磋商小组各成员依据磋商响应文件和最终报价，按照下列《评标要素和分值分解表》规定的内容独立进行综合评价、比较打分，然后汇总每个供应商的得分，从高到低依次排序，推荐成交候选人。</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b/>
          <w:bCs/>
          <w:color w:val="auto"/>
          <w:sz w:val="24"/>
          <w:szCs w:val="24"/>
          <w:lang w:val="zh-CN"/>
        </w:rPr>
      </w:pPr>
      <w:r>
        <w:rPr>
          <w:rFonts w:hint="eastAsia" w:ascii="宋体" w:hAnsi="宋体" w:cs="宋体"/>
          <w:b/>
          <w:bCs/>
          <w:color w:val="auto"/>
          <w:sz w:val="24"/>
          <w:szCs w:val="24"/>
        </w:rPr>
        <w:t>6、</w:t>
      </w:r>
      <w:r>
        <w:rPr>
          <w:rFonts w:hint="eastAsia" w:ascii="宋体" w:hAnsi="宋体" w:cs="宋体"/>
          <w:b/>
          <w:bCs/>
          <w:color w:val="auto"/>
          <w:sz w:val="24"/>
          <w:szCs w:val="24"/>
          <w:lang w:val="zh-CN"/>
        </w:rPr>
        <w:t>评审内容、原则及标准（满分100分）</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6</w:t>
      </w:r>
      <w:r>
        <w:rPr>
          <w:rFonts w:hint="eastAsia" w:ascii="宋体" w:hAnsi="宋体" w:cs="宋体"/>
          <w:color w:val="auto"/>
          <w:sz w:val="24"/>
          <w:szCs w:val="24"/>
          <w:lang w:val="zh-CN"/>
        </w:rPr>
        <w:t>.1、磋商小组将遵循公开、公平、公正和择优的原则，对所有供应商的响应文件评审，都采用相同的程序和标准。</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6</w:t>
      </w:r>
      <w:r>
        <w:rPr>
          <w:rFonts w:hint="eastAsia" w:ascii="宋体" w:hAnsi="宋体" w:cs="宋体"/>
          <w:color w:val="auto"/>
          <w:sz w:val="24"/>
          <w:szCs w:val="24"/>
          <w:lang w:val="zh-CN"/>
        </w:rPr>
        <w:t>.2、评审过程的保密：在响应文件的评审、比较、成交候选单位推荐以及授予合同的过程中，供应商向采购人和磋商小组施加影响的任何行为，都将会导致其报价被拒绝。</w:t>
      </w:r>
    </w:p>
    <w:p>
      <w:pPr>
        <w:keepLines w:val="0"/>
        <w:pageBreakBefore w:val="0"/>
        <w:widowControl w:val="0"/>
        <w:kinsoku/>
        <w:wordWrap/>
        <w:overflowPunct/>
        <w:topLinePunct w:val="0"/>
        <w:autoSpaceDE w:val="0"/>
        <w:autoSpaceDN w:val="0"/>
        <w:bidi w:val="0"/>
        <w:adjustRightInd w:val="0"/>
        <w:snapToGrid w:val="0"/>
        <w:spacing w:line="420" w:lineRule="exact"/>
        <w:ind w:firstLine="630"/>
        <w:textAlignment w:val="auto"/>
        <w:rPr>
          <w:rFonts w:ascii="宋体" w:hAnsi="宋体" w:cs="宋体"/>
          <w:color w:val="auto"/>
          <w:sz w:val="24"/>
          <w:szCs w:val="24"/>
          <w:lang w:val="zh-CN"/>
        </w:rPr>
      </w:pPr>
      <w:r>
        <w:rPr>
          <w:rFonts w:hint="eastAsia" w:ascii="宋体" w:hAnsi="宋体" w:cs="宋体"/>
          <w:color w:val="auto"/>
          <w:sz w:val="24"/>
          <w:szCs w:val="24"/>
        </w:rPr>
        <w:t>6</w:t>
      </w:r>
      <w:r>
        <w:rPr>
          <w:rFonts w:hint="eastAsia" w:ascii="宋体" w:hAnsi="宋体" w:cs="宋体"/>
          <w:color w:val="auto"/>
          <w:sz w:val="24"/>
          <w:szCs w:val="24"/>
          <w:lang w:val="zh-CN"/>
        </w:rPr>
        <w:t>.3、评审原则和办法：</w:t>
      </w:r>
    </w:p>
    <w:p>
      <w:pPr>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rPr>
        <w:t>6.3.1、</w:t>
      </w:r>
      <w:r>
        <w:rPr>
          <w:rFonts w:hint="eastAsia" w:ascii="宋体" w:hAnsi="宋体" w:cs="宋体"/>
          <w:color w:val="auto"/>
          <w:sz w:val="24"/>
          <w:szCs w:val="24"/>
          <w:lang w:val="zh-CN"/>
        </w:rPr>
        <w:t>综合评分法：即在最大限度地满足磋商文件实质性要求前提下，按照磋商文件中规定的各项因素进行综合评审后，以评审总得分顺序推荐成交候选单位。</w:t>
      </w:r>
    </w:p>
    <w:p>
      <w:pPr>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rPr>
        <w:t>6.3.2、</w:t>
      </w:r>
      <w:r>
        <w:rPr>
          <w:rFonts w:hint="eastAsia" w:ascii="宋体" w:hAnsi="宋体" w:cs="宋体"/>
          <w:color w:val="auto"/>
          <w:sz w:val="24"/>
          <w:szCs w:val="24"/>
          <w:lang w:val="zh-CN"/>
        </w:rPr>
        <w:t>磋商小组各专家独立评分，按评审后综合得分由高到低顺序排列，推荐成交候选单位。得分相同的，按磋商报价由低到高顺序排列，得分且磋商报价相同的，比较技术指标得分，此技术得分高者排在前。</w:t>
      </w:r>
    </w:p>
    <w:p>
      <w:pPr>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rPr>
        <w:t>6.3.3、</w:t>
      </w:r>
      <w:r>
        <w:rPr>
          <w:rFonts w:hint="eastAsia" w:ascii="宋体" w:hAnsi="宋体" w:cs="宋体"/>
          <w:color w:val="auto"/>
          <w:sz w:val="24"/>
          <w:szCs w:val="24"/>
          <w:lang w:val="zh-CN"/>
        </w:rPr>
        <w:t>专家评分超过得分界限或未按照本办法规定时，该专家的该项评分作废，不计入汇总；计算采用插入法，数字均保留二位小数，第三位“四舍五入”；评审过程中，若出现本办法以外的特殊情况时，将暂停评审，有关情况待磋商小组确定后，再行评定。</w:t>
      </w:r>
    </w:p>
    <w:p>
      <w:pPr>
        <w:keepLines w:val="0"/>
        <w:pageBreakBefore w:val="0"/>
        <w:widowControl w:val="0"/>
        <w:kinsoku/>
        <w:wordWrap/>
        <w:overflowPunct/>
        <w:topLinePunct w:val="0"/>
        <w:autoSpaceDE w:val="0"/>
        <w:autoSpaceDN w:val="0"/>
        <w:bidi w:val="0"/>
        <w:adjustRightInd w:val="0"/>
        <w:snapToGrid w:val="0"/>
        <w:spacing w:line="420" w:lineRule="exact"/>
        <w:ind w:firstLine="641" w:firstLineChars="266"/>
        <w:textAlignment w:val="auto"/>
        <w:rPr>
          <w:rFonts w:ascii="宋体" w:hAnsi="宋体" w:cs="宋体"/>
          <w:b/>
          <w:bCs/>
          <w:color w:val="auto"/>
          <w:sz w:val="24"/>
          <w:szCs w:val="24"/>
          <w:lang w:val="zh-CN"/>
        </w:rPr>
      </w:pPr>
      <w:r>
        <w:rPr>
          <w:rFonts w:hint="eastAsia" w:ascii="宋体" w:hAnsi="宋体" w:cs="宋体"/>
          <w:b/>
          <w:bCs/>
          <w:color w:val="auto"/>
          <w:sz w:val="24"/>
          <w:szCs w:val="24"/>
        </w:rPr>
        <w:t>7、</w:t>
      </w:r>
      <w:r>
        <w:rPr>
          <w:rFonts w:hint="eastAsia" w:ascii="宋体" w:hAnsi="宋体" w:cs="宋体"/>
          <w:b/>
          <w:bCs/>
          <w:color w:val="auto"/>
          <w:sz w:val="24"/>
          <w:szCs w:val="24"/>
          <w:lang w:val="zh-CN"/>
        </w:rPr>
        <w:t>需要落实的政府采购政策</w:t>
      </w:r>
    </w:p>
    <w:p>
      <w:pPr>
        <w:keepLines w:val="0"/>
        <w:pageBreakBefore w:val="0"/>
        <w:widowControl w:val="0"/>
        <w:kinsoku/>
        <w:wordWrap/>
        <w:overflowPunct/>
        <w:topLinePunct w:val="0"/>
        <w:bidi w:val="0"/>
        <w:spacing w:line="420" w:lineRule="exact"/>
        <w:ind w:firstLine="602" w:firstLineChars="250"/>
        <w:textAlignment w:val="auto"/>
        <w:rPr>
          <w:rFonts w:ascii="宋体" w:hAnsi="宋体" w:cs="宋体"/>
          <w:b/>
          <w:bCs/>
          <w:color w:val="auto"/>
          <w:sz w:val="24"/>
          <w:szCs w:val="24"/>
        </w:rPr>
      </w:pPr>
      <w:r>
        <w:rPr>
          <w:rFonts w:hint="eastAsia" w:ascii="宋体" w:hAnsi="宋体" w:cs="宋体"/>
          <w:b/>
          <w:bCs/>
          <w:color w:val="auto"/>
          <w:sz w:val="24"/>
          <w:szCs w:val="24"/>
        </w:rPr>
        <w:t>7.1、关于印发《政府采购促进中小企业发展管理办法》的通知--财库〔2020〕46号</w:t>
      </w:r>
    </w:p>
    <w:p>
      <w:pPr>
        <w:keepLines w:val="0"/>
        <w:pageBreakBefore w:val="0"/>
        <w:widowControl w:val="0"/>
        <w:kinsoku/>
        <w:wordWrap/>
        <w:overflowPunct/>
        <w:topLinePunct w:val="0"/>
        <w:bidi w:val="0"/>
        <w:spacing w:line="420" w:lineRule="exact"/>
        <w:ind w:firstLine="600" w:firstLineChars="250"/>
        <w:textAlignment w:val="auto"/>
        <w:rPr>
          <w:rFonts w:ascii="宋体" w:hAnsi="宋体" w:cs="宋体"/>
          <w:color w:val="auto"/>
          <w:sz w:val="24"/>
          <w:szCs w:val="24"/>
        </w:rPr>
      </w:pPr>
      <w:r>
        <w:rPr>
          <w:rFonts w:hint="eastAsia" w:ascii="宋体" w:hAnsi="宋体" w:cs="宋体"/>
          <w:color w:val="auto"/>
          <w:sz w:val="24"/>
          <w:szCs w:val="24"/>
        </w:rPr>
        <w:t>根据《政府采购促进中小企业发展管理办法》（财库〔2020〕46 号）的有关规定，在货物采购项目中，货物由小微企业制造，即货物由小微企业生产且使用该小微企业商号或者注册商标；在服务采购项目中，服务由小微企业承建，即服务施工单位为小微企业；在服务采购项目中，服务由小微企业承接，即提供服务的人员为小微企业依照《中华人民共和国民法典》订立劳动合同的从业人员，则参与政府采购活动时，享受中小企业扶持政策。</w:t>
      </w:r>
    </w:p>
    <w:p>
      <w:pPr>
        <w:keepLines w:val="0"/>
        <w:pageBreakBefore w:val="0"/>
        <w:widowControl w:val="0"/>
        <w:kinsoku/>
        <w:wordWrap/>
        <w:overflowPunct/>
        <w:topLinePunct w:val="0"/>
        <w:bidi w:val="0"/>
        <w:spacing w:line="420" w:lineRule="exact"/>
        <w:ind w:firstLine="600" w:firstLineChars="250"/>
        <w:textAlignment w:val="auto"/>
        <w:rPr>
          <w:rFonts w:ascii="宋体" w:hAnsi="宋体" w:cs="宋体"/>
          <w:color w:val="auto"/>
          <w:sz w:val="24"/>
          <w:szCs w:val="24"/>
        </w:rPr>
      </w:pPr>
      <w:r>
        <w:rPr>
          <w:rFonts w:hint="eastAsia" w:ascii="宋体" w:hAnsi="宋体" w:cs="宋体"/>
          <w:color w:val="auto"/>
          <w:sz w:val="24"/>
          <w:szCs w:val="24"/>
        </w:rPr>
        <w:t>在货物采购项目中，供应商提供的货物既有中小企业制造货物，也有大型企业制造货物的，不享受本办法规定的中小企业扶持政策。</w:t>
      </w:r>
    </w:p>
    <w:p>
      <w:pPr>
        <w:keepLines w:val="0"/>
        <w:pageBreakBefore w:val="0"/>
        <w:widowControl w:val="0"/>
        <w:kinsoku/>
        <w:wordWrap/>
        <w:overflowPunct/>
        <w:topLinePunct w:val="0"/>
        <w:bidi w:val="0"/>
        <w:spacing w:line="420" w:lineRule="exact"/>
        <w:ind w:firstLine="600" w:firstLineChars="250"/>
        <w:textAlignment w:val="auto"/>
        <w:rPr>
          <w:rFonts w:ascii="宋体" w:hAnsi="宋体" w:cs="宋体"/>
          <w:color w:val="auto"/>
          <w:sz w:val="24"/>
          <w:szCs w:val="24"/>
        </w:rPr>
      </w:pPr>
      <w:r>
        <w:rPr>
          <w:rFonts w:hint="eastAsia" w:ascii="宋体" w:hAnsi="宋体" w:cs="宋体"/>
          <w:color w:val="auto"/>
          <w:sz w:val="24"/>
          <w:szCs w:val="24"/>
        </w:rPr>
        <w:t>以联合体形式参加政府采购活动，联合体各方均为中小企业的，联合体视同中小企业。其中，联合体各方均为小微企业的，联合体视同小微企业。</w:t>
      </w:r>
    </w:p>
    <w:p>
      <w:pPr>
        <w:keepLines w:val="0"/>
        <w:pageBreakBefore w:val="0"/>
        <w:widowControl w:val="0"/>
        <w:kinsoku/>
        <w:wordWrap/>
        <w:overflowPunct/>
        <w:topLinePunct w:val="0"/>
        <w:bidi w:val="0"/>
        <w:spacing w:line="420" w:lineRule="exact"/>
        <w:ind w:firstLine="600" w:firstLineChars="250"/>
        <w:textAlignment w:val="auto"/>
        <w:rPr>
          <w:rFonts w:ascii="宋体" w:hAnsi="宋体" w:cs="宋体"/>
          <w:color w:val="auto"/>
          <w:sz w:val="24"/>
          <w:szCs w:val="24"/>
        </w:rPr>
      </w:pPr>
      <w:r>
        <w:rPr>
          <w:rFonts w:hint="eastAsia" w:ascii="宋体" w:hAnsi="宋体" w:cs="宋体"/>
          <w:color w:val="auto"/>
          <w:sz w:val="24"/>
          <w:szCs w:val="24"/>
        </w:rPr>
        <w:t>参加政府采购活动的中小企业应提供《中小企业声明函》原件。否则不得享受相关中小企业扶持政策。</w:t>
      </w:r>
    </w:p>
    <w:p>
      <w:pPr>
        <w:keepLines w:val="0"/>
        <w:pageBreakBefore w:val="0"/>
        <w:widowControl w:val="0"/>
        <w:kinsoku/>
        <w:wordWrap/>
        <w:overflowPunct/>
        <w:topLinePunct w:val="0"/>
        <w:bidi w:val="0"/>
        <w:spacing w:line="420" w:lineRule="exact"/>
        <w:ind w:firstLine="602" w:firstLineChars="250"/>
        <w:textAlignment w:val="auto"/>
        <w:rPr>
          <w:rFonts w:ascii="宋体" w:hAnsi="宋体" w:cs="宋体"/>
          <w:color w:val="auto"/>
          <w:sz w:val="24"/>
          <w:szCs w:val="24"/>
        </w:rPr>
      </w:pPr>
      <w:r>
        <w:rPr>
          <w:rFonts w:hint="eastAsia" w:ascii="宋体" w:hAnsi="宋体" w:cs="宋体"/>
          <w:b/>
          <w:bCs/>
          <w:color w:val="auto"/>
          <w:sz w:val="24"/>
          <w:szCs w:val="24"/>
        </w:rPr>
        <w:t xml:space="preserve">7.2、财政部司法部关于政府采购支持监狱企业发展有关问题的通知--财库〔2014〕68号 </w:t>
      </w:r>
    </w:p>
    <w:p>
      <w:pPr>
        <w:keepLines w:val="0"/>
        <w:pageBreakBefore w:val="0"/>
        <w:widowControl w:val="0"/>
        <w:kinsoku/>
        <w:wordWrap/>
        <w:overflowPunct/>
        <w:topLinePunct w:val="0"/>
        <w:bidi w:val="0"/>
        <w:spacing w:line="420" w:lineRule="exact"/>
        <w:ind w:firstLine="600" w:firstLineChars="250"/>
        <w:textAlignment w:val="auto"/>
        <w:rPr>
          <w:rFonts w:ascii="宋体" w:hAnsi="宋体" w:cs="宋体"/>
          <w:color w:val="auto"/>
          <w:sz w:val="24"/>
          <w:szCs w:val="24"/>
        </w:rPr>
      </w:pPr>
      <w:r>
        <w:rPr>
          <w:rFonts w:hint="eastAsia" w:ascii="宋体" w:hAnsi="宋体" w:cs="宋体"/>
          <w:color w:val="auto"/>
          <w:sz w:val="24"/>
          <w:szCs w:val="24"/>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pPr>
        <w:keepLines w:val="0"/>
        <w:pageBreakBefore w:val="0"/>
        <w:widowControl w:val="0"/>
        <w:kinsoku/>
        <w:wordWrap/>
        <w:overflowPunct/>
        <w:topLinePunct w:val="0"/>
        <w:bidi w:val="0"/>
        <w:spacing w:line="420" w:lineRule="exact"/>
        <w:ind w:firstLine="602" w:firstLineChars="250"/>
        <w:textAlignment w:val="auto"/>
        <w:rPr>
          <w:rFonts w:ascii="宋体" w:hAnsi="宋体" w:cs="宋体"/>
          <w:b/>
          <w:bCs/>
          <w:color w:val="auto"/>
          <w:sz w:val="24"/>
          <w:szCs w:val="24"/>
        </w:rPr>
      </w:pPr>
      <w:r>
        <w:rPr>
          <w:rFonts w:hint="eastAsia" w:ascii="宋体" w:hAnsi="宋体" w:cs="宋体"/>
          <w:b/>
          <w:bCs/>
          <w:color w:val="auto"/>
          <w:sz w:val="24"/>
          <w:szCs w:val="24"/>
        </w:rPr>
        <w:t>7.3、《关于促进残疾人就业政府采购政策的通知》（财库〔2017〕141 号）</w:t>
      </w:r>
    </w:p>
    <w:p>
      <w:pPr>
        <w:keepLines w:val="0"/>
        <w:pageBreakBefore w:val="0"/>
        <w:widowControl w:val="0"/>
        <w:kinsoku/>
        <w:wordWrap/>
        <w:overflowPunct/>
        <w:topLinePunct w:val="0"/>
        <w:bidi w:val="0"/>
        <w:spacing w:line="420" w:lineRule="exact"/>
        <w:ind w:firstLine="600" w:firstLineChars="250"/>
        <w:textAlignment w:val="auto"/>
        <w:rPr>
          <w:rFonts w:ascii="宋体" w:hAnsi="宋体" w:cs="宋体"/>
          <w:color w:val="auto"/>
          <w:sz w:val="24"/>
          <w:szCs w:val="24"/>
        </w:rPr>
      </w:pPr>
      <w:r>
        <w:rPr>
          <w:rFonts w:hint="eastAsia" w:ascii="宋体" w:hAnsi="宋体" w:cs="宋体"/>
          <w:color w:val="auto"/>
          <w:sz w:val="24"/>
          <w:szCs w:val="24"/>
        </w:rPr>
        <w:t>根据财政部、民政部、中国残疾人联合会下发的《关于促进残疾人就业政府采购政策的通知》（财库〔2017〕141 号）的规定，残疾人福利性单位提供本单位制造的货物、承担的服务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keepLines w:val="0"/>
        <w:pageBreakBefore w:val="0"/>
        <w:widowControl w:val="0"/>
        <w:kinsoku/>
        <w:wordWrap/>
        <w:overflowPunct/>
        <w:topLinePunct w:val="0"/>
        <w:bidi w:val="0"/>
        <w:spacing w:line="420" w:lineRule="exact"/>
        <w:ind w:firstLine="600" w:firstLineChars="250"/>
        <w:textAlignment w:val="auto"/>
        <w:rPr>
          <w:rFonts w:ascii="宋体" w:hAnsi="宋体" w:cs="宋体"/>
          <w:color w:val="auto"/>
          <w:sz w:val="24"/>
          <w:szCs w:val="24"/>
        </w:rPr>
      </w:pPr>
      <w:r>
        <w:rPr>
          <w:rFonts w:hint="eastAsia" w:ascii="宋体" w:hAnsi="宋体" w:cs="宋体"/>
          <w:color w:val="auto"/>
          <w:sz w:val="24"/>
          <w:szCs w:val="24"/>
        </w:rPr>
        <w:t>参加政府采购活动的残疾人单位应提供《残疾人福利性单位声明函》原件。未提供上述声明函原件，不能享受磋商文件规定的价格扣除，但不影响响应文件的有效性。</w:t>
      </w:r>
    </w:p>
    <w:p>
      <w:pPr>
        <w:keepLines w:val="0"/>
        <w:pageBreakBefore w:val="0"/>
        <w:widowControl w:val="0"/>
        <w:kinsoku/>
        <w:wordWrap/>
        <w:overflowPunct/>
        <w:topLinePunct w:val="0"/>
        <w:bidi w:val="0"/>
        <w:spacing w:line="420" w:lineRule="exact"/>
        <w:ind w:firstLine="602" w:firstLineChars="250"/>
        <w:textAlignment w:val="auto"/>
        <w:rPr>
          <w:rFonts w:ascii="宋体" w:hAnsi="宋体" w:cs="宋体"/>
          <w:b/>
          <w:bCs/>
          <w:color w:val="auto"/>
          <w:sz w:val="24"/>
          <w:szCs w:val="24"/>
        </w:rPr>
      </w:pPr>
      <w:r>
        <w:rPr>
          <w:rFonts w:hint="eastAsia" w:ascii="宋体" w:hAnsi="宋体" w:cs="宋体"/>
          <w:b/>
          <w:bCs/>
          <w:color w:val="auto"/>
          <w:sz w:val="24"/>
          <w:szCs w:val="24"/>
        </w:rPr>
        <w:t>7.4、 《国务院办公厅关于建立政府强制采购节能产品制度的通知》--国办发〔2007〕51号</w:t>
      </w:r>
    </w:p>
    <w:p>
      <w:pPr>
        <w:keepLines w:val="0"/>
        <w:pageBreakBefore w:val="0"/>
        <w:widowControl w:val="0"/>
        <w:kinsoku/>
        <w:wordWrap/>
        <w:overflowPunct/>
        <w:topLinePunct w:val="0"/>
        <w:bidi w:val="0"/>
        <w:spacing w:line="420" w:lineRule="exact"/>
        <w:ind w:firstLine="600" w:firstLineChars="250"/>
        <w:textAlignment w:val="auto"/>
        <w:rPr>
          <w:rFonts w:ascii="宋体" w:hAnsi="宋体" w:cs="宋体"/>
          <w:color w:val="auto"/>
          <w:sz w:val="24"/>
          <w:szCs w:val="24"/>
        </w:rPr>
      </w:pPr>
      <w:r>
        <w:rPr>
          <w:rFonts w:hint="eastAsia" w:ascii="宋体" w:hAnsi="宋体" w:cs="宋体"/>
          <w:color w:val="auto"/>
          <w:sz w:val="24"/>
          <w:szCs w:val="24"/>
        </w:rPr>
        <w:t>各级政府机构使用财政性资金进行政府采购活动时，在技术、服务等指标满足采购需求的前提下，要优先采购节能产品，对部分节能效果、性能等达到要求的产品，实行强制采购。</w:t>
      </w:r>
    </w:p>
    <w:p>
      <w:pPr>
        <w:keepLines w:val="0"/>
        <w:pageBreakBefore w:val="0"/>
        <w:widowControl w:val="0"/>
        <w:kinsoku/>
        <w:wordWrap/>
        <w:overflowPunct/>
        <w:topLinePunct w:val="0"/>
        <w:bidi w:val="0"/>
        <w:spacing w:line="420" w:lineRule="exact"/>
        <w:ind w:firstLine="602" w:firstLineChars="250"/>
        <w:textAlignment w:val="auto"/>
        <w:rPr>
          <w:rFonts w:ascii="宋体" w:hAnsi="宋体" w:cs="宋体"/>
          <w:b/>
          <w:bCs/>
          <w:color w:val="auto"/>
          <w:sz w:val="24"/>
          <w:szCs w:val="24"/>
        </w:rPr>
      </w:pPr>
      <w:r>
        <w:rPr>
          <w:rFonts w:hint="eastAsia" w:ascii="宋体" w:hAnsi="宋体" w:cs="宋体"/>
          <w:b/>
          <w:bCs/>
          <w:color w:val="auto"/>
          <w:sz w:val="24"/>
          <w:szCs w:val="24"/>
        </w:rPr>
        <w:t xml:space="preserve">7.5、《节能产品政府采购实施意见》--（财库[2004]185号） </w:t>
      </w:r>
    </w:p>
    <w:p>
      <w:pPr>
        <w:keepLines w:val="0"/>
        <w:pageBreakBefore w:val="0"/>
        <w:widowControl w:val="0"/>
        <w:kinsoku/>
        <w:wordWrap/>
        <w:overflowPunct/>
        <w:topLinePunct w:val="0"/>
        <w:bidi w:val="0"/>
        <w:spacing w:line="420" w:lineRule="exact"/>
        <w:ind w:firstLine="600" w:firstLineChars="250"/>
        <w:textAlignment w:val="auto"/>
        <w:rPr>
          <w:rFonts w:ascii="宋体" w:hAnsi="宋体" w:cs="宋体"/>
          <w:color w:val="auto"/>
          <w:sz w:val="24"/>
          <w:szCs w:val="24"/>
        </w:rPr>
      </w:pPr>
      <w:r>
        <w:rPr>
          <w:rFonts w:hint="eastAsia" w:ascii="宋体" w:hAnsi="宋体" w:cs="宋体"/>
          <w:color w:val="auto"/>
          <w:sz w:val="24"/>
          <w:szCs w:val="24"/>
        </w:rPr>
        <w:t>根据《节能产品政府采购实施意见》--（财库[2004]185号）规定，采购人采购的产品在品目清单中并具有认证证书的，在技术、服务等指标同等条件下，应当优先采购节能清单所列的节能产品。</w:t>
      </w:r>
    </w:p>
    <w:p>
      <w:pPr>
        <w:keepLines w:val="0"/>
        <w:pageBreakBefore w:val="0"/>
        <w:widowControl w:val="0"/>
        <w:kinsoku/>
        <w:wordWrap/>
        <w:overflowPunct/>
        <w:topLinePunct w:val="0"/>
        <w:bidi w:val="0"/>
        <w:spacing w:line="420" w:lineRule="exact"/>
        <w:ind w:firstLine="600" w:firstLineChars="250"/>
        <w:textAlignment w:val="auto"/>
        <w:rPr>
          <w:rFonts w:ascii="宋体" w:hAnsi="宋体" w:cs="宋体"/>
          <w:color w:val="auto"/>
          <w:sz w:val="24"/>
          <w:szCs w:val="24"/>
        </w:rPr>
      </w:pPr>
      <w:r>
        <w:rPr>
          <w:rFonts w:hint="eastAsia" w:ascii="宋体" w:hAnsi="宋体" w:cs="宋体"/>
          <w:color w:val="auto"/>
          <w:sz w:val="24"/>
          <w:szCs w:val="24"/>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pPr>
        <w:keepLines w:val="0"/>
        <w:pageBreakBefore w:val="0"/>
        <w:widowControl w:val="0"/>
        <w:kinsoku/>
        <w:wordWrap/>
        <w:overflowPunct/>
        <w:topLinePunct w:val="0"/>
        <w:bidi w:val="0"/>
        <w:spacing w:line="420" w:lineRule="exact"/>
        <w:ind w:firstLine="602" w:firstLineChars="250"/>
        <w:textAlignment w:val="auto"/>
        <w:rPr>
          <w:rFonts w:ascii="宋体" w:hAnsi="宋体" w:cs="宋体"/>
          <w:b/>
          <w:bCs/>
          <w:color w:val="auto"/>
          <w:sz w:val="24"/>
          <w:szCs w:val="24"/>
        </w:rPr>
      </w:pPr>
      <w:r>
        <w:rPr>
          <w:rFonts w:hint="eastAsia" w:ascii="宋体" w:hAnsi="宋体" w:cs="宋体"/>
          <w:b/>
          <w:bCs/>
          <w:color w:val="auto"/>
          <w:sz w:val="24"/>
          <w:szCs w:val="24"/>
        </w:rPr>
        <w:t>7.6、《环境标志产品政府采购实施的意见》--财库[2006]90号</w:t>
      </w:r>
    </w:p>
    <w:p>
      <w:pPr>
        <w:keepLines w:val="0"/>
        <w:pageBreakBefore w:val="0"/>
        <w:widowControl w:val="0"/>
        <w:kinsoku/>
        <w:wordWrap/>
        <w:overflowPunct/>
        <w:topLinePunct w:val="0"/>
        <w:bidi w:val="0"/>
        <w:spacing w:line="420" w:lineRule="exact"/>
        <w:ind w:firstLine="600" w:firstLineChars="250"/>
        <w:textAlignment w:val="auto"/>
        <w:rPr>
          <w:rFonts w:ascii="宋体" w:hAnsi="宋体" w:cs="宋体"/>
          <w:color w:val="auto"/>
          <w:sz w:val="24"/>
          <w:szCs w:val="24"/>
        </w:rPr>
      </w:pPr>
      <w:r>
        <w:rPr>
          <w:rFonts w:hint="eastAsia" w:ascii="宋体" w:hAnsi="宋体" w:cs="宋体"/>
          <w:color w:val="auto"/>
          <w:sz w:val="24"/>
          <w:szCs w:val="24"/>
        </w:rPr>
        <w:t>根据《环境标志产品政府采购实施的意见》--财库[2006]90号规定，采购人采购的产品在品目清单中并具有认证证书的，在性能、技术、服务等指标同等条件下，应当优先采购清单中的产品。</w:t>
      </w:r>
    </w:p>
    <w:p>
      <w:pPr>
        <w:keepLines w:val="0"/>
        <w:pageBreakBefore w:val="0"/>
        <w:widowControl w:val="0"/>
        <w:kinsoku/>
        <w:wordWrap/>
        <w:overflowPunct/>
        <w:topLinePunct w:val="0"/>
        <w:bidi w:val="0"/>
        <w:spacing w:line="420" w:lineRule="exact"/>
        <w:ind w:firstLine="600" w:firstLineChars="250"/>
        <w:textAlignment w:val="auto"/>
        <w:rPr>
          <w:rFonts w:ascii="宋体" w:hAnsi="宋体" w:cs="宋体"/>
          <w:color w:val="auto"/>
          <w:sz w:val="24"/>
          <w:szCs w:val="24"/>
        </w:rPr>
      </w:pPr>
      <w:r>
        <w:rPr>
          <w:rFonts w:hint="eastAsia" w:ascii="宋体" w:hAnsi="宋体" w:cs="宋体"/>
          <w:color w:val="auto"/>
          <w:sz w:val="24"/>
          <w:szCs w:val="24"/>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pPr>
        <w:keepLines w:val="0"/>
        <w:pageBreakBefore w:val="0"/>
        <w:widowControl w:val="0"/>
        <w:kinsoku/>
        <w:wordWrap/>
        <w:overflowPunct/>
        <w:topLinePunct w:val="0"/>
        <w:bidi w:val="0"/>
        <w:spacing w:line="420" w:lineRule="exact"/>
        <w:ind w:firstLine="602" w:firstLineChars="250"/>
        <w:textAlignment w:val="auto"/>
        <w:rPr>
          <w:rFonts w:ascii="宋体" w:hAnsi="宋体" w:cs="宋体"/>
          <w:b/>
          <w:bCs/>
          <w:color w:val="auto"/>
          <w:sz w:val="24"/>
          <w:szCs w:val="24"/>
        </w:rPr>
      </w:pPr>
      <w:r>
        <w:rPr>
          <w:rFonts w:hint="eastAsia" w:ascii="宋体" w:hAnsi="宋体" w:cs="宋体"/>
          <w:b/>
          <w:bCs/>
          <w:color w:val="auto"/>
          <w:sz w:val="24"/>
          <w:szCs w:val="24"/>
        </w:rPr>
        <w:t>7.7、《关于调整优化节能产品、环境标志产品政府采购执行机制的通知》（财库〔2019〕9 号）</w:t>
      </w:r>
    </w:p>
    <w:p>
      <w:pPr>
        <w:keepLines w:val="0"/>
        <w:pageBreakBefore w:val="0"/>
        <w:widowControl w:val="0"/>
        <w:kinsoku/>
        <w:wordWrap/>
        <w:overflowPunct/>
        <w:topLinePunct w:val="0"/>
        <w:bidi w:val="0"/>
        <w:spacing w:line="420" w:lineRule="exact"/>
        <w:ind w:firstLine="600" w:firstLineChars="250"/>
        <w:textAlignment w:val="auto"/>
        <w:rPr>
          <w:rFonts w:ascii="宋体" w:hAnsi="宋体" w:cs="宋体"/>
          <w:b/>
          <w:bCs/>
          <w:color w:val="auto"/>
          <w:sz w:val="24"/>
          <w:szCs w:val="24"/>
        </w:rPr>
      </w:pPr>
      <w:r>
        <w:rPr>
          <w:rFonts w:hint="eastAsia" w:ascii="宋体" w:hAnsi="宋体" w:cs="宋体"/>
          <w:color w:val="auto"/>
          <w:sz w:val="24"/>
          <w:szCs w:val="24"/>
        </w:rPr>
        <w:t>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keepLines w:val="0"/>
        <w:pageBreakBefore w:val="0"/>
        <w:widowControl w:val="0"/>
        <w:kinsoku/>
        <w:wordWrap/>
        <w:overflowPunct/>
        <w:topLinePunct w:val="0"/>
        <w:bidi w:val="0"/>
        <w:spacing w:line="420" w:lineRule="exact"/>
        <w:ind w:firstLine="602" w:firstLineChars="250"/>
        <w:textAlignment w:val="auto"/>
        <w:rPr>
          <w:rFonts w:ascii="宋体" w:hAnsi="宋体" w:cs="宋体"/>
          <w:b/>
          <w:bCs/>
          <w:color w:val="auto"/>
          <w:sz w:val="24"/>
          <w:szCs w:val="24"/>
        </w:rPr>
      </w:pPr>
      <w:r>
        <w:rPr>
          <w:rFonts w:hint="eastAsia" w:ascii="宋体" w:hAnsi="宋体" w:cs="宋体"/>
          <w:b/>
          <w:bCs/>
          <w:color w:val="auto"/>
          <w:sz w:val="24"/>
          <w:szCs w:val="24"/>
        </w:rPr>
        <w:t>7.8、《关于印发环境标志产品政府采购品目清单的通知》（财库〔2019〕18号）</w:t>
      </w:r>
    </w:p>
    <w:p>
      <w:pPr>
        <w:keepLines w:val="0"/>
        <w:pageBreakBefore w:val="0"/>
        <w:widowControl w:val="0"/>
        <w:kinsoku/>
        <w:wordWrap/>
        <w:overflowPunct/>
        <w:topLinePunct w:val="0"/>
        <w:bidi w:val="0"/>
        <w:spacing w:line="420" w:lineRule="exact"/>
        <w:ind w:firstLine="602" w:firstLineChars="250"/>
        <w:textAlignment w:val="auto"/>
        <w:rPr>
          <w:rFonts w:ascii="宋体" w:hAnsi="宋体" w:cs="宋体"/>
          <w:b/>
          <w:bCs/>
          <w:color w:val="auto"/>
          <w:sz w:val="24"/>
          <w:szCs w:val="24"/>
        </w:rPr>
      </w:pPr>
      <w:r>
        <w:rPr>
          <w:rFonts w:hint="eastAsia" w:ascii="宋体" w:hAnsi="宋体" w:cs="宋体"/>
          <w:b/>
          <w:bCs/>
          <w:color w:val="auto"/>
          <w:sz w:val="24"/>
          <w:szCs w:val="24"/>
        </w:rPr>
        <w:t>7.9、《关于印发节能产品政府采购品目清单的通知》（财库〔2019〕19号）</w:t>
      </w:r>
    </w:p>
    <w:p>
      <w:pPr>
        <w:keepLines w:val="0"/>
        <w:pageBreakBefore w:val="0"/>
        <w:widowControl w:val="0"/>
        <w:kinsoku/>
        <w:wordWrap/>
        <w:overflowPunct/>
        <w:topLinePunct w:val="0"/>
        <w:bidi w:val="0"/>
        <w:spacing w:line="420" w:lineRule="exact"/>
        <w:ind w:firstLine="602" w:firstLineChars="250"/>
        <w:textAlignment w:val="auto"/>
        <w:rPr>
          <w:rFonts w:ascii="宋体" w:hAnsi="宋体" w:cs="宋体"/>
          <w:b/>
          <w:bCs/>
          <w:color w:val="auto"/>
          <w:sz w:val="24"/>
          <w:szCs w:val="24"/>
        </w:rPr>
      </w:pPr>
      <w:r>
        <w:rPr>
          <w:rFonts w:hint="eastAsia" w:ascii="宋体" w:hAnsi="宋体" w:cs="宋体"/>
          <w:b/>
          <w:bCs/>
          <w:color w:val="auto"/>
          <w:sz w:val="24"/>
          <w:szCs w:val="24"/>
        </w:rPr>
        <w:t>7.10、《关于运用政府采购政策支持乡村产业振兴的通知》财库〔2021〕19号</w:t>
      </w:r>
    </w:p>
    <w:p>
      <w:pPr>
        <w:keepLines w:val="0"/>
        <w:pageBreakBefore w:val="0"/>
        <w:widowControl w:val="0"/>
        <w:kinsoku/>
        <w:wordWrap/>
        <w:overflowPunct/>
        <w:topLinePunct w:val="0"/>
        <w:bidi w:val="0"/>
        <w:spacing w:line="420" w:lineRule="exact"/>
        <w:ind w:firstLine="602" w:firstLineChars="250"/>
        <w:textAlignment w:val="auto"/>
        <w:rPr>
          <w:rFonts w:ascii="宋体" w:hAnsi="宋体" w:cs="宋体"/>
          <w:b/>
          <w:bCs/>
          <w:color w:val="auto"/>
          <w:sz w:val="24"/>
          <w:szCs w:val="24"/>
        </w:rPr>
      </w:pPr>
      <w:r>
        <w:rPr>
          <w:rFonts w:hint="eastAsia" w:ascii="宋体" w:hAnsi="宋体" w:cs="宋体"/>
          <w:b/>
          <w:bCs/>
          <w:color w:val="auto"/>
          <w:sz w:val="24"/>
          <w:szCs w:val="24"/>
        </w:rPr>
        <w:t>7.11、《陕西省中小企业政府采购信用融资办法》（陕财办采〔2018〕23号）</w:t>
      </w:r>
    </w:p>
    <w:p>
      <w:pPr>
        <w:keepLines w:val="0"/>
        <w:pageBreakBefore w:val="0"/>
        <w:widowControl w:val="0"/>
        <w:kinsoku/>
        <w:wordWrap/>
        <w:overflowPunct/>
        <w:topLinePunct w:val="0"/>
        <w:bidi w:val="0"/>
        <w:spacing w:line="420" w:lineRule="exact"/>
        <w:ind w:firstLine="602" w:firstLineChars="250"/>
        <w:textAlignment w:val="auto"/>
        <w:rPr>
          <w:rFonts w:ascii="宋体" w:hAnsi="宋体" w:cs="宋体"/>
          <w:b/>
          <w:bCs/>
          <w:color w:val="auto"/>
          <w:sz w:val="24"/>
          <w:szCs w:val="24"/>
        </w:rPr>
      </w:pPr>
      <w:r>
        <w:rPr>
          <w:rFonts w:hint="eastAsia" w:ascii="宋体" w:hAnsi="宋体" w:cs="宋体"/>
          <w:b/>
          <w:bCs/>
          <w:color w:val="auto"/>
          <w:sz w:val="24"/>
          <w:szCs w:val="24"/>
        </w:rPr>
        <w:t>7.12、《陕西省财政厅关于加快推进我省中小企业政府采购信用融资工作的通知》（陕财办采〔2020〕15号）</w:t>
      </w:r>
    </w:p>
    <w:p>
      <w:pPr>
        <w:keepLines w:val="0"/>
        <w:pageBreakBefore w:val="0"/>
        <w:widowControl w:val="0"/>
        <w:kinsoku/>
        <w:wordWrap/>
        <w:overflowPunct/>
        <w:topLinePunct w:val="0"/>
        <w:bidi w:val="0"/>
        <w:spacing w:line="420" w:lineRule="exact"/>
        <w:ind w:firstLine="602" w:firstLineChars="250"/>
        <w:textAlignment w:val="auto"/>
        <w:rPr>
          <w:rFonts w:ascii="宋体" w:hAnsi="宋体" w:cs="宋体"/>
          <w:b/>
          <w:bCs/>
          <w:color w:val="auto"/>
          <w:sz w:val="24"/>
          <w:szCs w:val="24"/>
        </w:rPr>
      </w:pPr>
      <w:r>
        <w:rPr>
          <w:rFonts w:hint="eastAsia" w:ascii="宋体" w:hAnsi="宋体" w:cs="宋体"/>
          <w:b/>
          <w:bCs/>
          <w:color w:val="auto"/>
          <w:sz w:val="24"/>
          <w:szCs w:val="24"/>
        </w:rPr>
        <w:t>7.13、《财政部关于在政府采购活动中查询及使用信用记录有关问题的通知》（财库〔2016〕125 号）</w:t>
      </w:r>
    </w:p>
    <w:p>
      <w:pPr>
        <w:keepLines w:val="0"/>
        <w:pageBreakBefore w:val="0"/>
        <w:widowControl w:val="0"/>
        <w:kinsoku/>
        <w:wordWrap/>
        <w:overflowPunct/>
        <w:topLinePunct w:val="0"/>
        <w:bidi w:val="0"/>
        <w:spacing w:line="420" w:lineRule="exact"/>
        <w:ind w:firstLine="602" w:firstLineChars="250"/>
        <w:textAlignment w:val="auto"/>
        <w:rPr>
          <w:rFonts w:ascii="宋体" w:hAnsi="宋体" w:cs="宋体"/>
          <w:b/>
          <w:bCs/>
          <w:color w:val="auto"/>
          <w:sz w:val="24"/>
          <w:szCs w:val="24"/>
        </w:rPr>
      </w:pPr>
      <w:r>
        <w:rPr>
          <w:rFonts w:hint="eastAsia" w:ascii="宋体" w:hAnsi="宋体" w:cs="宋体"/>
          <w:b/>
          <w:bCs/>
          <w:color w:val="auto"/>
          <w:sz w:val="24"/>
          <w:szCs w:val="24"/>
        </w:rPr>
        <w:t>8、政策性扣减</w:t>
      </w:r>
    </w:p>
    <w:p>
      <w:pPr>
        <w:keepLines w:val="0"/>
        <w:pageBreakBefore w:val="0"/>
        <w:widowControl w:val="0"/>
        <w:kinsoku/>
        <w:wordWrap/>
        <w:overflowPunct/>
        <w:topLinePunct w:val="0"/>
        <w:bidi w:val="0"/>
        <w:spacing w:line="420" w:lineRule="exact"/>
        <w:ind w:firstLine="602" w:firstLineChars="250"/>
        <w:textAlignment w:val="auto"/>
        <w:rPr>
          <w:rFonts w:ascii="宋体" w:hAnsi="宋体" w:cs="宋体"/>
          <w:b/>
          <w:bCs/>
          <w:color w:val="auto"/>
          <w:sz w:val="24"/>
          <w:szCs w:val="24"/>
        </w:rPr>
      </w:pPr>
      <w:r>
        <w:rPr>
          <w:rFonts w:hint="eastAsia" w:ascii="宋体" w:hAnsi="宋体" w:cs="宋体"/>
          <w:b/>
          <w:bCs/>
          <w:color w:val="auto"/>
          <w:sz w:val="24"/>
          <w:szCs w:val="24"/>
        </w:rPr>
        <w:t>8.1、小微企业</w:t>
      </w:r>
    </w:p>
    <w:p>
      <w:pPr>
        <w:keepLines w:val="0"/>
        <w:pageBreakBefore w:val="0"/>
        <w:widowControl w:val="0"/>
        <w:kinsoku/>
        <w:wordWrap/>
        <w:overflowPunct/>
        <w:topLinePunct w:val="0"/>
        <w:bidi w:val="0"/>
        <w:spacing w:line="420" w:lineRule="exact"/>
        <w:ind w:firstLine="600" w:firstLineChars="250"/>
        <w:textAlignment w:val="auto"/>
        <w:rPr>
          <w:rFonts w:ascii="宋体" w:hAnsi="宋体" w:cs="宋体"/>
          <w:color w:val="auto"/>
          <w:sz w:val="24"/>
          <w:szCs w:val="24"/>
        </w:rPr>
      </w:pPr>
      <w:r>
        <w:rPr>
          <w:rFonts w:hint="eastAsia" w:ascii="宋体" w:hAnsi="宋体" w:cs="宋体"/>
          <w:color w:val="auto"/>
          <w:sz w:val="24"/>
          <w:szCs w:val="24"/>
        </w:rPr>
        <w:t>依照&lt;关于印发《政府采购促进中小企业发展管理办法》（财库〔2020〕46号）的规定，中小企业参加政府采购活动，应当出具本办法规定的《中小企业声明函》，否则，按照有关规定予以处理。任何单位和个人不得要求供应商提供《中小企业声明函》之外的中小企业身份证明文件。供应商提供的《中小企业声明函》资料必须真实。</w:t>
      </w:r>
    </w:p>
    <w:p>
      <w:pPr>
        <w:keepLines w:val="0"/>
        <w:pageBreakBefore w:val="0"/>
        <w:widowControl w:val="0"/>
        <w:kinsoku/>
        <w:wordWrap/>
        <w:overflowPunct/>
        <w:topLinePunct w:val="0"/>
        <w:bidi w:val="0"/>
        <w:spacing w:line="420" w:lineRule="exact"/>
        <w:ind w:firstLine="600" w:firstLineChars="250"/>
        <w:textAlignment w:val="auto"/>
        <w:rPr>
          <w:rFonts w:ascii="宋体" w:hAnsi="宋体" w:cs="宋体"/>
          <w:color w:val="auto"/>
          <w:sz w:val="24"/>
          <w:szCs w:val="24"/>
        </w:rPr>
      </w:pPr>
      <w:r>
        <w:rPr>
          <w:rFonts w:hint="eastAsia" w:ascii="宋体" w:hAnsi="宋体" w:cs="宋体"/>
          <w:color w:val="auto"/>
          <w:sz w:val="24"/>
          <w:szCs w:val="24"/>
        </w:rPr>
        <w:t>专门面向中小企业采购项目不享受优惠政策；</w:t>
      </w:r>
    </w:p>
    <w:p>
      <w:pPr>
        <w:keepLines w:val="0"/>
        <w:pageBreakBefore w:val="0"/>
        <w:widowControl w:val="0"/>
        <w:kinsoku/>
        <w:wordWrap/>
        <w:overflowPunct/>
        <w:topLinePunct w:val="0"/>
        <w:bidi w:val="0"/>
        <w:spacing w:line="420" w:lineRule="exact"/>
        <w:ind w:firstLine="600" w:firstLineChars="250"/>
        <w:textAlignment w:val="auto"/>
        <w:rPr>
          <w:rFonts w:ascii="宋体" w:hAnsi="宋体" w:cs="宋体"/>
          <w:color w:val="auto"/>
          <w:sz w:val="24"/>
          <w:szCs w:val="24"/>
        </w:rPr>
      </w:pPr>
      <w:r>
        <w:rPr>
          <w:rFonts w:hint="eastAsia" w:ascii="宋体" w:hAnsi="宋体" w:cs="宋体"/>
          <w:color w:val="auto"/>
          <w:sz w:val="24"/>
          <w:szCs w:val="24"/>
        </w:rPr>
        <w:t>非专门面向中小企业采购项目(价格扣除)：对小型和微型企业的价格给予6%～10%的扣除，用扣除后的价格参与评审。本项目的扣除比例为：小型企业扣除6%，微型企业扣除6%。</w:t>
      </w:r>
    </w:p>
    <w:p>
      <w:pPr>
        <w:keepLines w:val="0"/>
        <w:pageBreakBefore w:val="0"/>
        <w:widowControl w:val="0"/>
        <w:kinsoku/>
        <w:wordWrap/>
        <w:overflowPunct/>
        <w:topLinePunct w:val="0"/>
        <w:bidi w:val="0"/>
        <w:spacing w:line="420" w:lineRule="exact"/>
        <w:ind w:firstLine="602" w:firstLineChars="250"/>
        <w:textAlignment w:val="auto"/>
        <w:rPr>
          <w:rFonts w:ascii="宋体" w:hAnsi="宋体" w:cs="宋体"/>
          <w:color w:val="auto"/>
          <w:sz w:val="24"/>
          <w:szCs w:val="24"/>
        </w:rPr>
      </w:pPr>
      <w:r>
        <w:rPr>
          <w:rFonts w:hint="eastAsia" w:ascii="宋体" w:hAnsi="宋体" w:cs="宋体"/>
          <w:b/>
          <w:bCs/>
          <w:color w:val="auto"/>
          <w:sz w:val="24"/>
          <w:szCs w:val="24"/>
        </w:rPr>
        <w:t>8.2、支持监狱企业</w:t>
      </w:r>
    </w:p>
    <w:p>
      <w:pPr>
        <w:keepLines w:val="0"/>
        <w:pageBreakBefore w:val="0"/>
        <w:widowControl w:val="0"/>
        <w:kinsoku/>
        <w:wordWrap/>
        <w:overflowPunct/>
        <w:topLinePunct w:val="0"/>
        <w:bidi w:val="0"/>
        <w:spacing w:line="420" w:lineRule="exact"/>
        <w:ind w:firstLine="600" w:firstLineChars="250"/>
        <w:textAlignment w:val="auto"/>
        <w:rPr>
          <w:rFonts w:ascii="宋体" w:hAnsi="宋体" w:cs="宋体"/>
          <w:color w:val="auto"/>
          <w:sz w:val="24"/>
          <w:szCs w:val="24"/>
        </w:rPr>
      </w:pPr>
      <w:r>
        <w:rPr>
          <w:rFonts w:hint="eastAsia" w:ascii="宋体" w:hAnsi="宋体" w:cs="宋体"/>
          <w:color w:val="auto"/>
          <w:sz w:val="24"/>
          <w:szCs w:val="24"/>
        </w:rPr>
        <w:t>非专门面向监狱采购项目(价格扣除)：监狱企业可视同小微企业在价格评审时给予6%～10%的扣除，用扣除后的价格参与评审。本项目的扣除比例为：扣除6%。</w:t>
      </w:r>
    </w:p>
    <w:p>
      <w:pPr>
        <w:keepLines w:val="0"/>
        <w:pageBreakBefore w:val="0"/>
        <w:widowControl w:val="0"/>
        <w:kinsoku/>
        <w:wordWrap/>
        <w:overflowPunct/>
        <w:topLinePunct w:val="0"/>
        <w:bidi w:val="0"/>
        <w:spacing w:line="420" w:lineRule="exact"/>
        <w:ind w:firstLine="602" w:firstLineChars="250"/>
        <w:textAlignment w:val="auto"/>
        <w:rPr>
          <w:rFonts w:ascii="宋体" w:hAnsi="宋体" w:cs="宋体"/>
          <w:b/>
          <w:bCs/>
          <w:color w:val="auto"/>
          <w:sz w:val="24"/>
          <w:szCs w:val="24"/>
        </w:rPr>
      </w:pPr>
      <w:r>
        <w:rPr>
          <w:rFonts w:hint="eastAsia" w:ascii="宋体" w:hAnsi="宋体" w:cs="宋体"/>
          <w:b/>
          <w:bCs/>
          <w:color w:val="auto"/>
          <w:sz w:val="24"/>
          <w:szCs w:val="24"/>
        </w:rPr>
        <w:t>8.3、其他法律法规强制性规定或扶持政策</w:t>
      </w:r>
    </w:p>
    <w:p>
      <w:pPr>
        <w:keepLines w:val="0"/>
        <w:pageBreakBefore w:val="0"/>
        <w:widowControl w:val="0"/>
        <w:kinsoku/>
        <w:wordWrap/>
        <w:overflowPunct/>
        <w:topLinePunct w:val="0"/>
        <w:bidi w:val="0"/>
        <w:spacing w:line="420" w:lineRule="exact"/>
        <w:ind w:firstLine="600" w:firstLineChars="250"/>
        <w:textAlignment w:val="auto"/>
        <w:rPr>
          <w:rFonts w:ascii="宋体" w:hAnsi="宋体" w:cs="宋体"/>
          <w:color w:val="auto"/>
          <w:sz w:val="24"/>
          <w:szCs w:val="24"/>
        </w:rPr>
      </w:pPr>
      <w:r>
        <w:rPr>
          <w:rFonts w:hint="eastAsia" w:ascii="宋体" w:hAnsi="宋体" w:cs="宋体"/>
          <w:color w:val="auto"/>
          <w:sz w:val="24"/>
          <w:szCs w:val="24"/>
        </w:rPr>
        <w:t>残疾人福利性单位可视同小微企业在价格评审时给予6%～10%的扣除，用扣除后的价格参与评审。</w:t>
      </w:r>
    </w:p>
    <w:p>
      <w:pPr>
        <w:keepLines w:val="0"/>
        <w:pageBreakBefore w:val="0"/>
        <w:widowControl w:val="0"/>
        <w:kinsoku/>
        <w:wordWrap/>
        <w:overflowPunct/>
        <w:topLinePunct w:val="0"/>
        <w:bidi w:val="0"/>
        <w:spacing w:line="420" w:lineRule="exact"/>
        <w:ind w:firstLine="600" w:firstLineChars="250"/>
        <w:textAlignment w:val="auto"/>
        <w:rPr>
          <w:rFonts w:ascii="宋体" w:hAnsi="宋体" w:cs="宋体"/>
          <w:color w:val="auto"/>
          <w:sz w:val="24"/>
          <w:szCs w:val="24"/>
        </w:rPr>
      </w:pPr>
      <w:r>
        <w:rPr>
          <w:rFonts w:hint="eastAsia" w:ascii="宋体" w:hAnsi="宋体" w:cs="宋体"/>
          <w:color w:val="auto"/>
          <w:sz w:val="24"/>
          <w:szCs w:val="24"/>
        </w:rPr>
        <w:t>本项目的扣除比例为：扣除6%；但应满足下列条件：</w:t>
      </w:r>
    </w:p>
    <w:p>
      <w:pPr>
        <w:keepLines w:val="0"/>
        <w:pageBreakBefore w:val="0"/>
        <w:widowControl w:val="0"/>
        <w:kinsoku/>
        <w:wordWrap/>
        <w:overflowPunct/>
        <w:topLinePunct w:val="0"/>
        <w:bidi w:val="0"/>
        <w:spacing w:line="420" w:lineRule="exact"/>
        <w:ind w:firstLine="600" w:firstLineChars="250"/>
        <w:textAlignment w:val="auto"/>
        <w:rPr>
          <w:rFonts w:ascii="宋体" w:hAnsi="宋体" w:cs="宋体"/>
          <w:color w:val="auto"/>
          <w:sz w:val="24"/>
          <w:szCs w:val="24"/>
        </w:rPr>
      </w:pPr>
      <w:r>
        <w:rPr>
          <w:rFonts w:hint="eastAsia" w:ascii="宋体" w:hAnsi="宋体" w:cs="宋体"/>
          <w:color w:val="auto"/>
          <w:sz w:val="24"/>
          <w:szCs w:val="24"/>
        </w:rPr>
        <w:t>1、残疾人福利性单位应符合《财政部、民政部、中国残疾人联合会关于促进残疾人就业政府采购政策的通知》（财库[2017]141号）文件规定，并提供《残疾人福利性单位声明函》，并对声明的真实性负责。</w:t>
      </w:r>
    </w:p>
    <w:p>
      <w:pPr>
        <w:keepLines w:val="0"/>
        <w:pageBreakBefore w:val="0"/>
        <w:widowControl w:val="0"/>
        <w:kinsoku/>
        <w:wordWrap/>
        <w:overflowPunct/>
        <w:topLinePunct w:val="0"/>
        <w:bidi w:val="0"/>
        <w:spacing w:line="420" w:lineRule="exact"/>
        <w:ind w:firstLine="600" w:firstLineChars="250"/>
        <w:textAlignment w:val="auto"/>
        <w:rPr>
          <w:rFonts w:ascii="宋体" w:hAnsi="宋体" w:cs="宋体"/>
          <w:color w:val="auto"/>
          <w:sz w:val="24"/>
          <w:szCs w:val="24"/>
        </w:rPr>
      </w:pPr>
      <w:r>
        <w:rPr>
          <w:rFonts w:hint="eastAsia" w:ascii="宋体" w:hAnsi="宋体" w:cs="宋体"/>
          <w:color w:val="auto"/>
          <w:sz w:val="24"/>
          <w:szCs w:val="24"/>
        </w:rPr>
        <w:t>2、残疾人福利性单位属于小型、微型企业的，不重复享受政策。</w:t>
      </w:r>
    </w:p>
    <w:p>
      <w:pPr>
        <w:keepLines w:val="0"/>
        <w:pageBreakBefore w:val="0"/>
        <w:widowControl w:val="0"/>
        <w:kinsoku/>
        <w:wordWrap/>
        <w:overflowPunct/>
        <w:topLinePunct w:val="0"/>
        <w:bidi w:val="0"/>
        <w:spacing w:line="420" w:lineRule="exact"/>
        <w:ind w:firstLine="600" w:firstLineChars="250"/>
        <w:textAlignment w:val="auto"/>
        <w:rPr>
          <w:rFonts w:ascii="宋体" w:hAnsi="宋体" w:cs="宋体"/>
          <w:color w:val="auto"/>
          <w:sz w:val="24"/>
          <w:szCs w:val="24"/>
        </w:rPr>
      </w:pPr>
      <w:r>
        <w:rPr>
          <w:rFonts w:hint="eastAsia" w:ascii="宋体" w:hAnsi="宋体" w:cs="宋体"/>
          <w:color w:val="auto"/>
          <w:sz w:val="24"/>
          <w:szCs w:val="24"/>
        </w:rPr>
        <w:t>8.4、采购人拟采购产品属于优先采购节能、环境标志产品范围的，应当优先采购节能、环境标志产品；拟采购产品符合政府采购强制采购政策的，实行强制采购。</w:t>
      </w:r>
    </w:p>
    <w:p>
      <w:pPr>
        <w:keepLines w:val="0"/>
        <w:pageBreakBefore w:val="0"/>
        <w:widowControl w:val="0"/>
        <w:kinsoku/>
        <w:wordWrap/>
        <w:overflowPunct/>
        <w:topLinePunct w:val="0"/>
        <w:bidi w:val="0"/>
        <w:spacing w:line="420" w:lineRule="exact"/>
        <w:ind w:firstLine="600" w:firstLineChars="250"/>
        <w:textAlignment w:val="auto"/>
        <w:rPr>
          <w:rFonts w:ascii="宋体" w:hAnsi="宋体" w:cs="宋体"/>
          <w:color w:val="auto"/>
          <w:sz w:val="24"/>
          <w:szCs w:val="24"/>
        </w:rPr>
      </w:pPr>
      <w:r>
        <w:rPr>
          <w:rFonts w:hint="eastAsia" w:ascii="宋体" w:hAnsi="宋体" w:cs="宋体"/>
          <w:color w:val="auto"/>
          <w:sz w:val="24"/>
          <w:szCs w:val="24"/>
        </w:rPr>
        <w:t>（1）采购人依据节能产品、环境标志产品品目清单和节能、环境标志产品认证证书实施政府优先采购和强制采购。</w:t>
      </w:r>
    </w:p>
    <w:p>
      <w:pPr>
        <w:keepLines w:val="0"/>
        <w:pageBreakBefore w:val="0"/>
        <w:widowControl w:val="0"/>
        <w:kinsoku/>
        <w:wordWrap/>
        <w:overflowPunct/>
        <w:topLinePunct w:val="0"/>
        <w:bidi w:val="0"/>
        <w:spacing w:line="420" w:lineRule="exact"/>
        <w:ind w:firstLine="600" w:firstLineChars="250"/>
        <w:textAlignment w:val="auto"/>
        <w:rPr>
          <w:rFonts w:ascii="宋体" w:hAnsi="宋体" w:cs="宋体"/>
          <w:color w:val="auto"/>
          <w:sz w:val="24"/>
          <w:szCs w:val="24"/>
        </w:rPr>
      </w:pPr>
      <w:r>
        <w:rPr>
          <w:rFonts w:hint="eastAsia" w:ascii="宋体" w:hAnsi="宋体" w:cs="宋体"/>
          <w:color w:val="auto"/>
          <w:sz w:val="24"/>
          <w:szCs w:val="24"/>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pPr>
        <w:keepLines w:val="0"/>
        <w:pageBreakBefore w:val="0"/>
        <w:widowControl w:val="0"/>
        <w:kinsoku/>
        <w:wordWrap/>
        <w:overflowPunct/>
        <w:topLinePunct w:val="0"/>
        <w:bidi w:val="0"/>
        <w:spacing w:line="420" w:lineRule="exact"/>
        <w:ind w:firstLine="600" w:firstLineChars="250"/>
        <w:textAlignment w:val="auto"/>
        <w:rPr>
          <w:rFonts w:ascii="宋体" w:hAnsi="宋体" w:cs="宋体"/>
          <w:color w:val="auto"/>
          <w:sz w:val="24"/>
          <w:szCs w:val="24"/>
        </w:rPr>
      </w:pPr>
      <w:r>
        <w:rPr>
          <w:rFonts w:hint="eastAsia" w:ascii="宋体" w:hAnsi="宋体" w:cs="宋体"/>
          <w:color w:val="auto"/>
          <w:sz w:val="24"/>
          <w:szCs w:val="24"/>
        </w:rPr>
        <w:t>8.5、供应商享受支持中小型企业发展政策优惠的，可以同时享受节能、环境标志产品优先采购政策。</w:t>
      </w:r>
    </w:p>
    <w:p>
      <w:pPr>
        <w:pStyle w:val="2"/>
        <w:rPr>
          <w:rFonts w:ascii="宋体" w:hAnsi="宋体" w:cs="宋体"/>
          <w:b/>
          <w:bCs/>
          <w:color w:val="auto"/>
          <w:sz w:val="24"/>
          <w:szCs w:val="24"/>
          <w:highlight w:val="yellow"/>
        </w:rPr>
      </w:pPr>
    </w:p>
    <w:p>
      <w:pPr>
        <w:rPr>
          <w:rFonts w:ascii="宋体" w:hAnsi="宋体" w:cs="宋体"/>
          <w:b/>
          <w:bCs/>
          <w:color w:val="auto"/>
          <w:sz w:val="24"/>
          <w:szCs w:val="24"/>
          <w:highlight w:val="yellow"/>
        </w:rPr>
      </w:pPr>
    </w:p>
    <w:p>
      <w:pPr>
        <w:pStyle w:val="14"/>
        <w:rPr>
          <w:rFonts w:ascii="宋体" w:hAnsi="宋体" w:cs="宋体"/>
          <w:b/>
          <w:bCs/>
          <w:color w:val="auto"/>
          <w:szCs w:val="24"/>
        </w:rPr>
      </w:pPr>
    </w:p>
    <w:p>
      <w:pPr>
        <w:rPr>
          <w:rFonts w:ascii="宋体" w:hAnsi="宋体" w:cs="宋体"/>
          <w:b/>
          <w:bCs/>
          <w:color w:val="auto"/>
          <w:sz w:val="24"/>
          <w:szCs w:val="24"/>
        </w:rPr>
      </w:pPr>
    </w:p>
    <w:p>
      <w:pPr>
        <w:pStyle w:val="14"/>
        <w:rPr>
          <w:rFonts w:ascii="宋体" w:hAnsi="宋体" w:cs="宋体"/>
          <w:b/>
          <w:bCs/>
          <w:color w:val="auto"/>
          <w:szCs w:val="24"/>
        </w:rPr>
      </w:pPr>
    </w:p>
    <w:p>
      <w:pPr>
        <w:rPr>
          <w:rFonts w:ascii="宋体" w:hAnsi="宋体" w:cs="宋体"/>
          <w:b/>
          <w:bCs/>
          <w:color w:val="auto"/>
          <w:sz w:val="24"/>
          <w:szCs w:val="24"/>
        </w:rPr>
      </w:pPr>
    </w:p>
    <w:p>
      <w:pPr>
        <w:pStyle w:val="14"/>
        <w:rPr>
          <w:rFonts w:ascii="宋体" w:hAnsi="宋体" w:cs="宋体"/>
          <w:b/>
          <w:bCs/>
          <w:color w:val="auto"/>
          <w:szCs w:val="24"/>
        </w:rPr>
      </w:pPr>
    </w:p>
    <w:p>
      <w:pPr>
        <w:rPr>
          <w:color w:val="auto"/>
        </w:rPr>
      </w:pPr>
    </w:p>
    <w:p>
      <w:pPr>
        <w:pStyle w:val="2"/>
        <w:keepNext w:val="0"/>
        <w:keepLines w:val="0"/>
        <w:pageBreakBefore w:val="0"/>
        <w:kinsoku/>
        <w:wordWrap/>
        <w:overflowPunct/>
        <w:topLinePunct w:val="0"/>
        <w:bidi w:val="0"/>
        <w:spacing w:line="420" w:lineRule="exact"/>
        <w:textAlignment w:val="auto"/>
        <w:rPr>
          <w:rFonts w:ascii="宋体" w:hAnsi="宋体" w:cs="宋体"/>
          <w:color w:val="auto"/>
          <w:sz w:val="24"/>
          <w:szCs w:val="24"/>
        </w:rPr>
      </w:pPr>
      <w:r>
        <w:rPr>
          <w:rFonts w:hint="eastAsia" w:ascii="宋体" w:hAnsi="宋体" w:cs="宋体"/>
          <w:b/>
          <w:bCs/>
          <w:color w:val="auto"/>
          <w:sz w:val="24"/>
          <w:szCs w:val="24"/>
        </w:rPr>
        <w:t>附件1：</w:t>
      </w:r>
    </w:p>
    <w:p>
      <w:pPr>
        <w:pStyle w:val="2"/>
        <w:keepNext w:val="0"/>
        <w:keepLines w:val="0"/>
        <w:pageBreakBefore w:val="0"/>
        <w:kinsoku/>
        <w:wordWrap/>
        <w:overflowPunct/>
        <w:topLinePunct w:val="0"/>
        <w:bidi w:val="0"/>
        <w:spacing w:line="420" w:lineRule="exact"/>
        <w:jc w:val="center"/>
        <w:textAlignment w:val="auto"/>
        <w:rPr>
          <w:rFonts w:ascii="宋体" w:hAnsi="宋体" w:cs="宋体"/>
          <w:b/>
          <w:bCs/>
          <w:color w:val="auto"/>
          <w:sz w:val="24"/>
          <w:szCs w:val="24"/>
        </w:rPr>
      </w:pPr>
      <w:r>
        <w:rPr>
          <w:rFonts w:hint="eastAsia" w:ascii="宋体" w:hAnsi="宋体" w:cs="宋体"/>
          <w:b/>
          <w:bCs/>
          <w:color w:val="auto"/>
          <w:sz w:val="24"/>
          <w:szCs w:val="24"/>
        </w:rPr>
        <w:t>初步审查要素表</w:t>
      </w:r>
    </w:p>
    <w:tbl>
      <w:tblPr>
        <w:tblStyle w:val="35"/>
        <w:tblW w:w="9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583"/>
        <w:gridCol w:w="622"/>
        <w:gridCol w:w="1843"/>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025" w:type="dxa"/>
            <w:gridSpan w:val="2"/>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r>
              <w:rPr>
                <w:rFonts w:hint="eastAsia" w:ascii="宋体" w:hAnsi="宋体" w:cs="宋体"/>
                <w:bCs/>
                <w:color w:val="auto"/>
                <w:sz w:val="24"/>
                <w:szCs w:val="24"/>
              </w:rPr>
              <w:t>条款号</w:t>
            </w:r>
          </w:p>
        </w:tc>
        <w:tc>
          <w:tcPr>
            <w:tcW w:w="2465" w:type="dxa"/>
            <w:gridSpan w:val="2"/>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r>
              <w:rPr>
                <w:rFonts w:hint="eastAsia" w:ascii="宋体" w:hAnsi="宋体" w:cs="宋体"/>
                <w:bCs/>
                <w:color w:val="auto"/>
                <w:sz w:val="24"/>
                <w:szCs w:val="24"/>
              </w:rPr>
              <w:t>评审因素</w:t>
            </w:r>
          </w:p>
        </w:tc>
        <w:tc>
          <w:tcPr>
            <w:tcW w:w="6233" w:type="dxa"/>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r>
              <w:rPr>
                <w:rFonts w:hint="eastAsia" w:ascii="宋体" w:hAnsi="宋体" w:cs="宋体"/>
                <w:bCs/>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dxa"/>
            <w:vMerge w:val="restart"/>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r>
              <w:rPr>
                <w:rFonts w:hint="eastAsia" w:ascii="宋体" w:hAnsi="宋体" w:cs="宋体"/>
                <w:bCs/>
                <w:color w:val="auto"/>
                <w:sz w:val="24"/>
                <w:szCs w:val="24"/>
              </w:rPr>
              <w:t>2.1.1</w:t>
            </w:r>
          </w:p>
        </w:tc>
        <w:tc>
          <w:tcPr>
            <w:tcW w:w="583" w:type="dxa"/>
            <w:vMerge w:val="restart"/>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r>
              <w:rPr>
                <w:rFonts w:hint="eastAsia" w:ascii="宋体" w:hAnsi="宋体" w:cs="宋体"/>
                <w:bCs/>
                <w:color w:val="auto"/>
                <w:sz w:val="24"/>
                <w:szCs w:val="24"/>
              </w:rPr>
              <w:t>资格评审</w:t>
            </w:r>
          </w:p>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r>
              <w:rPr>
                <w:rFonts w:hint="eastAsia" w:ascii="宋体" w:hAnsi="宋体" w:cs="宋体"/>
                <w:bCs/>
                <w:color w:val="auto"/>
                <w:sz w:val="24"/>
                <w:szCs w:val="24"/>
              </w:rPr>
              <w:t>标准</w:t>
            </w:r>
          </w:p>
        </w:tc>
        <w:tc>
          <w:tcPr>
            <w:tcW w:w="2465" w:type="dxa"/>
            <w:gridSpan w:val="2"/>
            <w:vMerge w:val="restart"/>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r>
              <w:rPr>
                <w:rFonts w:hint="eastAsia" w:ascii="宋体" w:hAnsi="宋体" w:cs="宋体"/>
                <w:bCs/>
                <w:color w:val="auto"/>
                <w:sz w:val="24"/>
                <w:szCs w:val="24"/>
              </w:rPr>
              <w:t>基本资格条件</w:t>
            </w:r>
          </w:p>
        </w:tc>
        <w:tc>
          <w:tcPr>
            <w:tcW w:w="6233" w:type="dxa"/>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left"/>
              <w:textAlignment w:val="auto"/>
              <w:rPr>
                <w:rFonts w:ascii="宋体" w:hAnsi="宋体" w:cs="宋体"/>
                <w:bCs/>
                <w:color w:val="auto"/>
                <w:sz w:val="24"/>
                <w:szCs w:val="24"/>
              </w:rPr>
            </w:pPr>
            <w:r>
              <w:rPr>
                <w:rFonts w:hint="eastAsia" w:ascii="宋体" w:hAnsi="宋体" w:cs="宋体"/>
                <w:bCs/>
                <w:color w:val="auto"/>
                <w:sz w:val="24"/>
                <w:szCs w:val="24"/>
              </w:rPr>
              <w:t>具有独立承担民事责任能力的法人、其他组织或自然人，并出具合法有效的营业执照或事业单位法人证书等国家规定的相关证明，自然人参与的提供其身份证明；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dxa"/>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583" w:type="dxa"/>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2465" w:type="dxa"/>
            <w:gridSpan w:val="2"/>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6233" w:type="dxa"/>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left"/>
              <w:textAlignment w:val="auto"/>
              <w:rPr>
                <w:rFonts w:ascii="宋体" w:hAnsi="宋体" w:cs="宋体"/>
                <w:bCs/>
                <w:color w:val="auto"/>
                <w:sz w:val="24"/>
                <w:szCs w:val="24"/>
              </w:rPr>
            </w:pPr>
            <w:r>
              <w:rPr>
                <w:rFonts w:hint="eastAsia" w:ascii="宋体" w:hAnsi="宋体" w:cs="宋体"/>
                <w:bCs/>
                <w:color w:val="auto"/>
                <w:sz w:val="24"/>
                <w:szCs w:val="24"/>
              </w:rPr>
              <w:t>提供具有财务审计资质单位出具的2020年或2021年任意一年年度财务报告（成立时间至开标时间不足一年的可提供成立后任意时段的资产负债表）或开标前六个月内其基本账户银行出具的资信证明（附开户许可证）或政府采购信用担保机构出具的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dxa"/>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583" w:type="dxa"/>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2465" w:type="dxa"/>
            <w:gridSpan w:val="2"/>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szCs w:val="24"/>
                <w:shd w:val="clear" w:color="auto" w:fill="FFFFFF"/>
              </w:rPr>
            </w:pPr>
          </w:p>
        </w:tc>
        <w:tc>
          <w:tcPr>
            <w:tcW w:w="6233" w:type="dxa"/>
            <w:vAlign w:val="center"/>
          </w:tcPr>
          <w:p>
            <w:pPr>
              <w:pStyle w:val="30"/>
              <w:keepNext w:val="0"/>
              <w:keepLines w:val="0"/>
              <w:pageBreakBefore w:val="0"/>
              <w:kinsoku/>
              <w:wordWrap/>
              <w:overflowPunct/>
              <w:topLinePunct w:val="0"/>
              <w:autoSpaceDE/>
              <w:autoSpaceDN/>
              <w:bidi w:val="0"/>
              <w:spacing w:before="0" w:beforeAutospacing="0" w:after="0" w:afterAutospacing="0" w:line="400" w:lineRule="exact"/>
              <w:textAlignment w:val="auto"/>
              <w:rPr>
                <w:color w:val="auto"/>
              </w:rPr>
            </w:pPr>
            <w:r>
              <w:rPr>
                <w:rFonts w:hint="eastAsia"/>
                <w:color w:val="auto"/>
              </w:rPr>
              <w:t>提供开标前六个月内任意一个月已缴纳的社会保障资金缴存单据或社保机构开具的社会保险参保缴费情况证明（依法不需要缴纳社会保障资金的投标人应提供相关证明）。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dxa"/>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583" w:type="dxa"/>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2465" w:type="dxa"/>
            <w:gridSpan w:val="2"/>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6233" w:type="dxa"/>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left"/>
              <w:textAlignment w:val="auto"/>
              <w:rPr>
                <w:rFonts w:ascii="宋体" w:hAnsi="宋体" w:cs="宋体"/>
                <w:bCs/>
                <w:color w:val="auto"/>
                <w:sz w:val="24"/>
                <w:szCs w:val="24"/>
              </w:rPr>
            </w:pPr>
            <w:r>
              <w:rPr>
                <w:rFonts w:hint="eastAsia" w:ascii="宋体" w:hAnsi="宋体" w:cs="宋体"/>
                <w:color w:val="auto"/>
                <w:sz w:val="24"/>
                <w:szCs w:val="24"/>
              </w:rPr>
              <w:t>提供开标前六个月内任意一个月已缴纳完税凭证或税务机关开具的完税证明（任意税种）；依法免税的应提供相关文件证明。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dxa"/>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583" w:type="dxa"/>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2465" w:type="dxa"/>
            <w:gridSpan w:val="2"/>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6233" w:type="dxa"/>
            <w:vAlign w:val="center"/>
          </w:tcPr>
          <w:p>
            <w:pPr>
              <w:pStyle w:val="30"/>
              <w:keepNext w:val="0"/>
              <w:keepLines w:val="0"/>
              <w:pageBreakBefore w:val="0"/>
              <w:kinsoku/>
              <w:wordWrap/>
              <w:overflowPunct/>
              <w:topLinePunct w:val="0"/>
              <w:autoSpaceDE/>
              <w:autoSpaceDN/>
              <w:bidi w:val="0"/>
              <w:spacing w:before="0" w:beforeAutospacing="0" w:after="0" w:afterAutospacing="0" w:line="400" w:lineRule="exact"/>
              <w:textAlignment w:val="auto"/>
              <w:rPr>
                <w:bCs/>
                <w:color w:val="auto"/>
              </w:rPr>
            </w:pPr>
            <w:r>
              <w:rPr>
                <w:rFonts w:hint="eastAsia"/>
                <w:color w:val="auto"/>
              </w:rPr>
              <w:t>具备履行合同所必需的设备和专业技术能力的证明材料(由供应商根据项目需求提供说明材料或者承诺)；（格式自拟）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dxa"/>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583" w:type="dxa"/>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2465" w:type="dxa"/>
            <w:gridSpan w:val="2"/>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6233" w:type="dxa"/>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left"/>
              <w:textAlignment w:val="auto"/>
              <w:rPr>
                <w:rFonts w:ascii="宋体" w:hAnsi="宋体" w:cs="宋体"/>
                <w:bCs/>
                <w:color w:val="auto"/>
                <w:sz w:val="24"/>
                <w:szCs w:val="24"/>
              </w:rPr>
            </w:pPr>
            <w:r>
              <w:rPr>
                <w:rFonts w:hint="eastAsia" w:ascii="宋体" w:hAnsi="宋体" w:cs="宋体"/>
                <w:bCs/>
                <w:color w:val="auto"/>
                <w:sz w:val="24"/>
                <w:szCs w:val="24"/>
              </w:rPr>
              <w:t>提供参加政府采购活动前三年内在经营活动中没有重大违法记录的书面声明；</w:t>
            </w:r>
            <w:r>
              <w:rPr>
                <w:rFonts w:hint="eastAsia" w:cs="宋体"/>
                <w:color w:val="auto"/>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dxa"/>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583" w:type="dxa"/>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2465" w:type="dxa"/>
            <w:gridSpan w:val="2"/>
            <w:vMerge w:val="restart"/>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r>
              <w:rPr>
                <w:rFonts w:hint="eastAsia" w:ascii="宋体" w:hAnsi="宋体" w:cs="宋体"/>
                <w:bCs/>
                <w:color w:val="auto"/>
                <w:sz w:val="24"/>
                <w:szCs w:val="24"/>
              </w:rPr>
              <w:t>特定资格条件</w:t>
            </w:r>
          </w:p>
        </w:tc>
        <w:tc>
          <w:tcPr>
            <w:tcW w:w="6233" w:type="dxa"/>
            <w:vAlign w:val="center"/>
          </w:tcPr>
          <w:p>
            <w:pPr>
              <w:pStyle w:val="30"/>
              <w:keepNext w:val="0"/>
              <w:keepLines w:val="0"/>
              <w:pageBreakBefore w:val="0"/>
              <w:kinsoku/>
              <w:wordWrap/>
              <w:overflowPunct/>
              <w:topLinePunct w:val="0"/>
              <w:autoSpaceDE/>
              <w:autoSpaceDN/>
              <w:bidi w:val="0"/>
              <w:spacing w:before="0" w:beforeAutospacing="0" w:after="0" w:afterAutospacing="0" w:line="400" w:lineRule="exact"/>
              <w:textAlignment w:val="auto"/>
              <w:rPr>
                <w:rFonts w:hint="eastAsia" w:ascii="宋体" w:hAnsi="宋体" w:eastAsia="宋体" w:cs="宋体"/>
                <w:bCs/>
                <w:color w:val="auto"/>
                <w:sz w:val="24"/>
                <w:szCs w:val="24"/>
                <w:lang w:eastAsia="zh-CN"/>
              </w:rPr>
            </w:pPr>
            <w:r>
              <w:rPr>
                <w:rFonts w:hint="eastAsia" w:cs="Times New Roman"/>
                <w:color w:val="auto"/>
                <w:kern w:val="2"/>
              </w:rPr>
              <w:t>供应商应授权合法的人员参加磋商全过程，其中法定代表人直接参加磋商的，须出具法定代表人身份证明及法人身份证原件及复印件，法定代表人授权代表参加磋商的，须出具法定代表人授权书及授权代表身份证原件及复印件</w:t>
            </w:r>
            <w:r>
              <w:rPr>
                <w:rFonts w:hint="eastAsia" w:cs="Times New Roman"/>
                <w:color w:val="auto"/>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42" w:type="dxa"/>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583" w:type="dxa"/>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2465" w:type="dxa"/>
            <w:gridSpan w:val="2"/>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6233" w:type="dxa"/>
            <w:vAlign w:val="center"/>
          </w:tcPr>
          <w:p>
            <w:pPr>
              <w:keepNext w:val="0"/>
              <w:keepLines w:val="0"/>
              <w:pageBreakBefore w:val="0"/>
              <w:kinsoku/>
              <w:wordWrap/>
              <w:overflowPunct/>
              <w:topLinePunct w:val="0"/>
              <w:autoSpaceDE/>
              <w:autoSpaceDN/>
              <w:bidi w:val="0"/>
              <w:adjustRightInd w:val="0"/>
              <w:spacing w:line="400" w:lineRule="exact"/>
              <w:jc w:val="left"/>
              <w:textAlignment w:val="auto"/>
              <w:rPr>
                <w:rFonts w:ascii="宋体" w:hAnsi="宋体" w:cs="宋体"/>
                <w:bCs/>
                <w:color w:val="auto"/>
                <w:sz w:val="24"/>
                <w:szCs w:val="24"/>
              </w:rPr>
            </w:pPr>
            <w:r>
              <w:rPr>
                <w:rFonts w:hint="eastAsia" w:ascii="宋体" w:hAnsi="宋体" w:cs="宋体"/>
                <w:bCs/>
                <w:color w:val="auto"/>
                <w:sz w:val="24"/>
                <w:szCs w:val="24"/>
              </w:rPr>
              <w:t>供应商</w:t>
            </w:r>
            <w:r>
              <w:rPr>
                <w:rFonts w:hint="eastAsia" w:ascii="宋体" w:hAnsi="宋体" w:cs="宋体"/>
                <w:bCs/>
                <w:color w:val="auto"/>
                <w:sz w:val="24"/>
                <w:szCs w:val="24"/>
                <w:lang w:val="en-US" w:eastAsia="zh-CN"/>
              </w:rPr>
              <w:t>须</w:t>
            </w:r>
            <w:r>
              <w:rPr>
                <w:rFonts w:hint="eastAsia" w:ascii="宋体" w:hAnsi="宋体" w:cs="宋体"/>
                <w:bCs/>
                <w:color w:val="auto"/>
                <w:sz w:val="24"/>
                <w:szCs w:val="24"/>
                <w:lang w:eastAsia="zh-CN"/>
              </w:rPr>
              <w:t>具备建设行政主管部门颁发的水利水电工程施工总承包</w:t>
            </w:r>
            <w:r>
              <w:rPr>
                <w:rFonts w:hint="eastAsia" w:ascii="宋体" w:hAnsi="宋体" w:cs="宋体"/>
                <w:bCs/>
                <w:color w:val="auto"/>
                <w:sz w:val="24"/>
                <w:szCs w:val="24"/>
                <w:lang w:val="en-US" w:eastAsia="zh-CN"/>
              </w:rPr>
              <w:t>叁级（含叁级）以上资质</w:t>
            </w:r>
            <w:r>
              <w:rPr>
                <w:rFonts w:hint="eastAsia" w:ascii="宋体" w:hAnsi="宋体" w:cs="宋体"/>
                <w:bCs/>
                <w:color w:val="auto"/>
                <w:sz w:val="24"/>
                <w:szCs w:val="24"/>
                <w:lang w:eastAsia="zh-CN"/>
              </w:rPr>
              <w:t>，同时具有合格有效的安全生产许可证</w:t>
            </w:r>
            <w:r>
              <w:rPr>
                <w:rFonts w:hint="eastAsia" w:ascii="宋体" w:hAnsi="宋体" w:cs="宋体"/>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42" w:type="dxa"/>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583" w:type="dxa"/>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2465" w:type="dxa"/>
            <w:gridSpan w:val="2"/>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6233" w:type="dxa"/>
            <w:vAlign w:val="center"/>
          </w:tcPr>
          <w:p>
            <w:pPr>
              <w:keepNext w:val="0"/>
              <w:keepLines w:val="0"/>
              <w:pageBreakBefore w:val="0"/>
              <w:kinsoku/>
              <w:wordWrap/>
              <w:overflowPunct/>
              <w:topLinePunct w:val="0"/>
              <w:autoSpaceDE/>
              <w:autoSpaceDN/>
              <w:bidi w:val="0"/>
              <w:adjustRightInd w:val="0"/>
              <w:spacing w:line="400" w:lineRule="exact"/>
              <w:jc w:val="left"/>
              <w:textAlignment w:val="auto"/>
              <w:rPr>
                <w:rFonts w:ascii="宋体" w:hAnsi="宋体" w:cs="宋体"/>
                <w:bCs/>
                <w:color w:val="auto"/>
                <w:sz w:val="24"/>
                <w:szCs w:val="24"/>
              </w:rPr>
            </w:pPr>
            <w:r>
              <w:rPr>
                <w:rFonts w:hint="eastAsia" w:ascii="宋体" w:hAnsi="宋体" w:cs="宋体"/>
                <w:bCs/>
                <w:color w:val="auto"/>
                <w:sz w:val="24"/>
                <w:szCs w:val="24"/>
                <w:lang w:eastAsia="zh-CN"/>
              </w:rPr>
              <w:t>拟派项目经理须具有水利水电工程专业</w:t>
            </w:r>
            <w:r>
              <w:rPr>
                <w:rFonts w:hint="eastAsia" w:ascii="宋体" w:hAnsi="宋体" w:cs="宋体"/>
                <w:bCs/>
                <w:color w:val="auto"/>
                <w:sz w:val="24"/>
                <w:szCs w:val="24"/>
                <w:lang w:val="en-US" w:eastAsia="zh-CN"/>
              </w:rPr>
              <w:t>贰级（含贰级）以上</w:t>
            </w:r>
            <w:r>
              <w:rPr>
                <w:rFonts w:hint="eastAsia" w:ascii="宋体" w:hAnsi="宋体" w:cs="宋体"/>
                <w:bCs/>
                <w:color w:val="auto"/>
                <w:sz w:val="24"/>
                <w:szCs w:val="24"/>
                <w:lang w:eastAsia="zh-CN"/>
              </w:rPr>
              <w:t>注册建造师证书和有效的安全生产考核证书（B证）</w:t>
            </w:r>
            <w:r>
              <w:rPr>
                <w:rFonts w:hint="eastAsia" w:ascii="宋体" w:hAnsi="宋体" w:cs="宋体"/>
                <w:bCs/>
                <w:color w:val="auto"/>
                <w:sz w:val="24"/>
                <w:szCs w:val="24"/>
                <w:lang w:val="en-US" w:eastAsia="zh-CN"/>
              </w:rPr>
              <w:t>，且未担任其他在建工程项目的项目经理（需提供企业书面承诺等证明材料）；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42" w:type="dxa"/>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583" w:type="dxa"/>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2465" w:type="dxa"/>
            <w:gridSpan w:val="2"/>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6233" w:type="dxa"/>
            <w:vAlign w:val="center"/>
          </w:tcPr>
          <w:p>
            <w:pPr>
              <w:keepNext w:val="0"/>
              <w:keepLines w:val="0"/>
              <w:pageBreakBefore w:val="0"/>
              <w:kinsoku/>
              <w:wordWrap/>
              <w:overflowPunct/>
              <w:topLinePunct w:val="0"/>
              <w:autoSpaceDE/>
              <w:autoSpaceDN/>
              <w:bidi w:val="0"/>
              <w:adjustRightInd w:val="0"/>
              <w:spacing w:line="400" w:lineRule="exact"/>
              <w:jc w:val="left"/>
              <w:textAlignment w:val="auto"/>
              <w:rPr>
                <w:rFonts w:ascii="宋体" w:hAnsi="宋体" w:cs="宋体"/>
                <w:bCs/>
                <w:color w:val="auto"/>
                <w:sz w:val="24"/>
                <w:szCs w:val="24"/>
              </w:rPr>
            </w:pPr>
            <w:r>
              <w:rPr>
                <w:rFonts w:hint="eastAsia" w:ascii="宋体" w:hAnsi="宋体" w:cs="宋体"/>
                <w:bCs/>
                <w:color w:val="auto"/>
                <w:sz w:val="24"/>
                <w:szCs w:val="24"/>
              </w:rPr>
              <w:t>供应商不得为列入信用中国(www.creditchina.gov.cn)记录失信被执行人或重大税收违法案件当事人名单或中国政府采购网(www.ccgp.gov.cn)的政府采购严重违法失信行为记录名单；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42" w:type="dxa"/>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583" w:type="dxa"/>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2465" w:type="dxa"/>
            <w:gridSpan w:val="2"/>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6233" w:type="dxa"/>
            <w:vAlign w:val="center"/>
          </w:tcPr>
          <w:p>
            <w:pPr>
              <w:keepNext w:val="0"/>
              <w:keepLines w:val="0"/>
              <w:pageBreakBefore w:val="0"/>
              <w:kinsoku/>
              <w:wordWrap/>
              <w:overflowPunct/>
              <w:topLinePunct w:val="0"/>
              <w:autoSpaceDE/>
              <w:autoSpaceDN/>
              <w:bidi w:val="0"/>
              <w:adjustRightInd w:val="0"/>
              <w:spacing w:line="400" w:lineRule="exact"/>
              <w:jc w:val="left"/>
              <w:textAlignment w:val="auto"/>
              <w:rPr>
                <w:rFonts w:hint="eastAsia" w:ascii="宋体" w:hAnsi="宋体" w:cs="宋体"/>
                <w:color w:val="auto"/>
                <w:sz w:val="24"/>
                <w:szCs w:val="24"/>
              </w:rPr>
            </w:pPr>
            <w:r>
              <w:rPr>
                <w:rFonts w:hint="eastAsia" w:ascii="宋体" w:hAnsi="宋体" w:cs="宋体"/>
                <w:color w:val="auto"/>
                <w:sz w:val="24"/>
                <w:szCs w:val="24"/>
              </w:rPr>
              <w:t>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42" w:type="dxa"/>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583" w:type="dxa"/>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2465" w:type="dxa"/>
            <w:gridSpan w:val="2"/>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6233" w:type="dxa"/>
            <w:vAlign w:val="center"/>
          </w:tcPr>
          <w:p>
            <w:pPr>
              <w:keepNext w:val="0"/>
              <w:keepLines w:val="0"/>
              <w:pageBreakBefore w:val="0"/>
              <w:kinsoku/>
              <w:wordWrap/>
              <w:overflowPunct/>
              <w:topLinePunct w:val="0"/>
              <w:autoSpaceDE/>
              <w:autoSpaceDN/>
              <w:bidi w:val="0"/>
              <w:adjustRightInd w:val="0"/>
              <w:spacing w:line="400" w:lineRule="exact"/>
              <w:jc w:val="left"/>
              <w:textAlignment w:val="auto"/>
              <w:rPr>
                <w:rFonts w:ascii="宋体" w:hAnsi="宋体" w:cs="宋体"/>
                <w:color w:val="auto"/>
                <w:sz w:val="24"/>
                <w:szCs w:val="24"/>
              </w:rPr>
            </w:pPr>
            <w:r>
              <w:rPr>
                <w:rFonts w:hint="eastAsia" w:ascii="宋体" w:hAnsi="宋体" w:cs="宋体"/>
                <w:color w:val="auto"/>
                <w:sz w:val="24"/>
                <w:szCs w:val="24"/>
              </w:rPr>
              <w:t>与招标人存在利害关系可能影响招标公正性的单位，不得参加投标、单位负责人为同一人或存在控股、管理关系的不同单位，不得参加同一标段投标，否则，相关投标均无效；本次招标不接受联合体投标。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23" w:type="dxa"/>
            <w:gridSpan w:val="5"/>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left"/>
              <w:textAlignment w:val="auto"/>
              <w:rPr>
                <w:rFonts w:ascii="宋体" w:hAnsi="宋体" w:cs="宋体"/>
                <w:bCs/>
                <w:color w:val="auto"/>
                <w:sz w:val="24"/>
                <w:szCs w:val="24"/>
              </w:rPr>
            </w:pPr>
            <w:r>
              <w:rPr>
                <w:rFonts w:hint="eastAsia" w:ascii="宋体" w:hAnsi="宋体" w:cs="宋体"/>
                <w:bCs/>
                <w:color w:val="auto"/>
                <w:sz w:val="24"/>
                <w:szCs w:val="24"/>
              </w:rPr>
              <w:t>注：以上为必备资质，缺一项或某项达不到要求，按无效文件处理。资格审查时以磋商响应文件中所附证明材料为准，原件备查。如磋商响应文件中所附证明材料模糊不清，且未在规定时间提供原件，按无效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dxa"/>
            <w:vMerge w:val="restart"/>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r>
              <w:rPr>
                <w:rFonts w:hint="eastAsia" w:ascii="宋体" w:hAnsi="宋体" w:cs="宋体"/>
                <w:bCs/>
                <w:color w:val="auto"/>
                <w:sz w:val="24"/>
                <w:szCs w:val="24"/>
              </w:rPr>
              <w:t>2.1.2</w:t>
            </w:r>
          </w:p>
        </w:tc>
        <w:tc>
          <w:tcPr>
            <w:tcW w:w="583" w:type="dxa"/>
            <w:vMerge w:val="restart"/>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r>
              <w:rPr>
                <w:rFonts w:hint="eastAsia" w:ascii="宋体" w:hAnsi="宋体" w:cs="宋体"/>
                <w:bCs/>
                <w:color w:val="auto"/>
                <w:sz w:val="24"/>
                <w:szCs w:val="24"/>
              </w:rPr>
              <w:t>符合性评审标准</w:t>
            </w:r>
          </w:p>
        </w:tc>
        <w:tc>
          <w:tcPr>
            <w:tcW w:w="622" w:type="dxa"/>
            <w:vMerge w:val="restart"/>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r>
              <w:rPr>
                <w:rFonts w:hint="eastAsia" w:ascii="宋体" w:hAnsi="宋体" w:cs="宋体"/>
                <w:bCs/>
                <w:color w:val="auto"/>
                <w:sz w:val="24"/>
                <w:szCs w:val="24"/>
              </w:rPr>
              <w:t>有效性审查</w:t>
            </w:r>
          </w:p>
        </w:tc>
        <w:tc>
          <w:tcPr>
            <w:tcW w:w="1843" w:type="dxa"/>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r>
              <w:rPr>
                <w:rFonts w:hint="eastAsia" w:ascii="宋体" w:hAnsi="宋体" w:cs="宋体"/>
                <w:bCs/>
                <w:color w:val="auto"/>
                <w:sz w:val="24"/>
                <w:szCs w:val="24"/>
              </w:rPr>
              <w:t>磋商响应文件的签署盖章</w:t>
            </w:r>
          </w:p>
        </w:tc>
        <w:tc>
          <w:tcPr>
            <w:tcW w:w="6233" w:type="dxa"/>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ascii="宋体" w:hAnsi="宋体" w:cs="宋体"/>
                <w:bCs/>
                <w:color w:val="auto"/>
                <w:sz w:val="24"/>
                <w:szCs w:val="24"/>
              </w:rPr>
            </w:pPr>
            <w:r>
              <w:rPr>
                <w:rFonts w:hint="eastAsia" w:ascii="宋体" w:hAnsi="宋体" w:cs="宋体"/>
                <w:bCs/>
                <w:color w:val="auto"/>
                <w:sz w:val="24"/>
                <w:szCs w:val="24"/>
              </w:rPr>
              <w:t>磋商响应文件上法定代表人或其授权代表人的签字齐全并加盖公章。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dxa"/>
            <w:vMerge w:val="continue"/>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ascii="宋体" w:hAnsi="宋体" w:cs="宋体"/>
                <w:bCs/>
                <w:color w:val="auto"/>
                <w:sz w:val="24"/>
                <w:szCs w:val="24"/>
              </w:rPr>
            </w:pPr>
          </w:p>
        </w:tc>
        <w:tc>
          <w:tcPr>
            <w:tcW w:w="583" w:type="dxa"/>
            <w:vMerge w:val="continue"/>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ascii="宋体" w:hAnsi="宋体" w:cs="宋体"/>
                <w:bCs/>
                <w:color w:val="auto"/>
                <w:sz w:val="24"/>
                <w:szCs w:val="24"/>
              </w:rPr>
            </w:pPr>
          </w:p>
        </w:tc>
        <w:tc>
          <w:tcPr>
            <w:tcW w:w="622" w:type="dxa"/>
            <w:vMerge w:val="continue"/>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ascii="宋体" w:hAnsi="宋体" w:cs="宋体"/>
                <w:bCs/>
                <w:color w:val="auto"/>
                <w:sz w:val="24"/>
                <w:szCs w:val="24"/>
              </w:rPr>
            </w:pPr>
          </w:p>
        </w:tc>
        <w:tc>
          <w:tcPr>
            <w:tcW w:w="1843" w:type="dxa"/>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r>
              <w:rPr>
                <w:rFonts w:hint="eastAsia" w:ascii="宋体" w:hAnsi="宋体" w:cs="宋体"/>
                <w:bCs/>
                <w:color w:val="auto"/>
                <w:sz w:val="24"/>
                <w:szCs w:val="24"/>
              </w:rPr>
              <w:t>磋商响应文件格式</w:t>
            </w:r>
          </w:p>
        </w:tc>
        <w:tc>
          <w:tcPr>
            <w:tcW w:w="6233" w:type="dxa"/>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ascii="宋体" w:hAnsi="宋体" w:cs="宋体"/>
                <w:bCs/>
                <w:color w:val="auto"/>
                <w:sz w:val="24"/>
                <w:szCs w:val="24"/>
              </w:rPr>
            </w:pPr>
            <w:r>
              <w:rPr>
                <w:rFonts w:hint="eastAsia" w:ascii="宋体" w:hAnsi="宋体" w:cs="宋体"/>
                <w:bCs/>
                <w:color w:val="auto"/>
                <w:sz w:val="24"/>
                <w:szCs w:val="24"/>
              </w:rPr>
              <w:t>应符合“磋商响应文件格式”要求。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dxa"/>
            <w:vMerge w:val="continue"/>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ascii="宋体" w:hAnsi="宋体" w:cs="宋体"/>
                <w:bCs/>
                <w:color w:val="auto"/>
                <w:sz w:val="24"/>
                <w:szCs w:val="24"/>
              </w:rPr>
            </w:pPr>
          </w:p>
        </w:tc>
        <w:tc>
          <w:tcPr>
            <w:tcW w:w="583" w:type="dxa"/>
            <w:vMerge w:val="continue"/>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ascii="宋体" w:hAnsi="宋体" w:cs="宋体"/>
                <w:bCs/>
                <w:color w:val="auto"/>
                <w:sz w:val="24"/>
                <w:szCs w:val="24"/>
              </w:rPr>
            </w:pPr>
          </w:p>
        </w:tc>
        <w:tc>
          <w:tcPr>
            <w:tcW w:w="622" w:type="dxa"/>
            <w:vMerge w:val="continue"/>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ascii="宋体" w:hAnsi="宋体" w:cs="宋体"/>
                <w:bCs/>
                <w:color w:val="auto"/>
                <w:sz w:val="24"/>
                <w:szCs w:val="24"/>
              </w:rPr>
            </w:pPr>
          </w:p>
        </w:tc>
        <w:tc>
          <w:tcPr>
            <w:tcW w:w="1843" w:type="dxa"/>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r>
              <w:rPr>
                <w:rFonts w:hint="eastAsia" w:ascii="宋体" w:hAnsi="宋体" w:cs="宋体"/>
                <w:bCs/>
                <w:color w:val="auto"/>
                <w:sz w:val="24"/>
                <w:szCs w:val="24"/>
              </w:rPr>
              <w:t>报价唯一</w:t>
            </w:r>
          </w:p>
        </w:tc>
        <w:tc>
          <w:tcPr>
            <w:tcW w:w="6233" w:type="dxa"/>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ascii="宋体" w:hAnsi="宋体" w:cs="宋体"/>
                <w:bCs/>
                <w:color w:val="auto"/>
                <w:sz w:val="24"/>
                <w:szCs w:val="24"/>
              </w:rPr>
            </w:pPr>
            <w:r>
              <w:rPr>
                <w:rFonts w:hint="eastAsia" w:ascii="宋体" w:hAnsi="宋体" w:cs="宋体"/>
                <w:bCs/>
                <w:color w:val="auto"/>
                <w:sz w:val="24"/>
                <w:szCs w:val="24"/>
              </w:rPr>
              <w:t>只能有一个有效报价，不得提交选择性报价，且报价不超过采购预算金额或最高限价。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dxa"/>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583" w:type="dxa"/>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622" w:type="dxa"/>
            <w:vMerge w:val="restart"/>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r>
              <w:rPr>
                <w:rFonts w:hint="eastAsia" w:ascii="宋体" w:hAnsi="宋体" w:cs="宋体"/>
                <w:bCs/>
                <w:color w:val="auto"/>
                <w:sz w:val="24"/>
                <w:szCs w:val="24"/>
              </w:rPr>
              <w:t>完整性审查</w:t>
            </w:r>
          </w:p>
        </w:tc>
        <w:tc>
          <w:tcPr>
            <w:tcW w:w="1843" w:type="dxa"/>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r>
              <w:rPr>
                <w:rFonts w:hint="eastAsia" w:ascii="宋体" w:hAnsi="宋体" w:cs="宋体"/>
                <w:bCs/>
                <w:color w:val="auto"/>
                <w:sz w:val="24"/>
                <w:szCs w:val="24"/>
              </w:rPr>
              <w:t>磋商响应文件份数</w:t>
            </w:r>
          </w:p>
        </w:tc>
        <w:tc>
          <w:tcPr>
            <w:tcW w:w="6233" w:type="dxa"/>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ascii="宋体" w:hAnsi="宋体" w:cs="宋体"/>
                <w:bCs/>
                <w:color w:val="auto"/>
                <w:sz w:val="24"/>
                <w:szCs w:val="24"/>
              </w:rPr>
            </w:pPr>
            <w:r>
              <w:rPr>
                <w:rFonts w:hint="eastAsia" w:ascii="宋体" w:hAnsi="宋体" w:cs="宋体"/>
                <w:bCs/>
                <w:color w:val="auto"/>
                <w:sz w:val="24"/>
                <w:szCs w:val="24"/>
              </w:rPr>
              <w:t>应符合“供应商须知前附表”规定的正本、副本、电子文件数量。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dxa"/>
            <w:vMerge w:val="continue"/>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ascii="宋体" w:hAnsi="宋体" w:cs="宋体"/>
                <w:bCs/>
                <w:color w:val="auto"/>
                <w:sz w:val="24"/>
                <w:szCs w:val="24"/>
              </w:rPr>
            </w:pPr>
          </w:p>
        </w:tc>
        <w:tc>
          <w:tcPr>
            <w:tcW w:w="583" w:type="dxa"/>
            <w:vMerge w:val="continue"/>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ascii="宋体" w:hAnsi="宋体" w:cs="宋体"/>
                <w:bCs/>
                <w:color w:val="auto"/>
                <w:sz w:val="24"/>
                <w:szCs w:val="24"/>
              </w:rPr>
            </w:pPr>
          </w:p>
        </w:tc>
        <w:tc>
          <w:tcPr>
            <w:tcW w:w="622" w:type="dxa"/>
            <w:vMerge w:val="continue"/>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ascii="宋体" w:hAnsi="宋体" w:cs="宋体"/>
                <w:bCs/>
                <w:color w:val="auto"/>
                <w:sz w:val="24"/>
                <w:szCs w:val="24"/>
              </w:rPr>
            </w:pPr>
          </w:p>
        </w:tc>
        <w:tc>
          <w:tcPr>
            <w:tcW w:w="1843" w:type="dxa"/>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r>
              <w:rPr>
                <w:rFonts w:hint="eastAsia" w:ascii="宋体" w:hAnsi="宋体" w:cs="宋体"/>
                <w:bCs/>
                <w:color w:val="auto"/>
                <w:sz w:val="24"/>
                <w:szCs w:val="24"/>
              </w:rPr>
              <w:t>磋商响应文件内容</w:t>
            </w:r>
          </w:p>
        </w:tc>
        <w:tc>
          <w:tcPr>
            <w:tcW w:w="6233" w:type="dxa"/>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ascii="宋体" w:hAnsi="宋体" w:cs="宋体"/>
                <w:bCs/>
                <w:color w:val="auto"/>
                <w:sz w:val="24"/>
                <w:szCs w:val="24"/>
              </w:rPr>
            </w:pPr>
            <w:r>
              <w:rPr>
                <w:rFonts w:hint="eastAsia" w:ascii="宋体" w:hAnsi="宋体" w:cs="宋体"/>
                <w:bCs/>
                <w:color w:val="auto"/>
                <w:sz w:val="24"/>
                <w:szCs w:val="24"/>
              </w:rPr>
              <w:t>磋商响应文件内容齐全、无遗漏。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dxa"/>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583" w:type="dxa"/>
            <w:vMerge w:val="continue"/>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p>
        </w:tc>
        <w:tc>
          <w:tcPr>
            <w:tcW w:w="622" w:type="dxa"/>
            <w:vMerge w:val="restart"/>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r>
              <w:rPr>
                <w:rFonts w:hint="eastAsia" w:ascii="宋体" w:hAnsi="宋体" w:cs="宋体"/>
                <w:bCs/>
                <w:color w:val="auto"/>
                <w:sz w:val="24"/>
                <w:szCs w:val="24"/>
              </w:rPr>
              <w:t>响应性审查</w:t>
            </w:r>
          </w:p>
        </w:tc>
        <w:tc>
          <w:tcPr>
            <w:tcW w:w="1843" w:type="dxa"/>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r>
              <w:rPr>
                <w:rFonts w:hint="eastAsia" w:ascii="宋体" w:hAnsi="宋体" w:cs="宋体"/>
                <w:bCs/>
                <w:color w:val="auto"/>
                <w:sz w:val="24"/>
                <w:szCs w:val="24"/>
              </w:rPr>
              <w:t>对磋商文件响应程度</w:t>
            </w:r>
          </w:p>
        </w:tc>
        <w:tc>
          <w:tcPr>
            <w:tcW w:w="6233" w:type="dxa"/>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ascii="宋体" w:hAnsi="宋体" w:cs="宋体"/>
                <w:bCs/>
                <w:color w:val="auto"/>
                <w:sz w:val="24"/>
                <w:szCs w:val="24"/>
              </w:rPr>
            </w:pPr>
            <w:r>
              <w:rPr>
                <w:rFonts w:hint="eastAsia" w:ascii="宋体" w:hAnsi="宋体" w:cs="宋体"/>
                <w:bCs/>
                <w:color w:val="auto"/>
                <w:sz w:val="24"/>
                <w:szCs w:val="24"/>
              </w:rPr>
              <w:t>要求全面响应，不能有任何采购人不能接受的附加条件。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dxa"/>
            <w:vMerge w:val="continue"/>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ascii="宋体" w:hAnsi="宋体" w:cs="宋体"/>
                <w:bCs/>
                <w:color w:val="auto"/>
                <w:sz w:val="24"/>
                <w:szCs w:val="24"/>
              </w:rPr>
            </w:pPr>
          </w:p>
        </w:tc>
        <w:tc>
          <w:tcPr>
            <w:tcW w:w="583" w:type="dxa"/>
            <w:vMerge w:val="continue"/>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ascii="宋体" w:hAnsi="宋体" w:cs="宋体"/>
                <w:bCs/>
                <w:color w:val="auto"/>
                <w:sz w:val="24"/>
                <w:szCs w:val="24"/>
              </w:rPr>
            </w:pPr>
          </w:p>
        </w:tc>
        <w:tc>
          <w:tcPr>
            <w:tcW w:w="622" w:type="dxa"/>
            <w:vMerge w:val="continue"/>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ascii="宋体" w:hAnsi="宋体" w:cs="宋体"/>
                <w:bCs/>
                <w:color w:val="auto"/>
                <w:sz w:val="24"/>
                <w:szCs w:val="24"/>
              </w:rPr>
            </w:pPr>
          </w:p>
        </w:tc>
        <w:tc>
          <w:tcPr>
            <w:tcW w:w="1843" w:type="dxa"/>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工期</w:t>
            </w:r>
          </w:p>
        </w:tc>
        <w:tc>
          <w:tcPr>
            <w:tcW w:w="6233" w:type="dxa"/>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ascii="宋体" w:hAnsi="宋体" w:cs="宋体"/>
                <w:bCs/>
                <w:color w:val="auto"/>
                <w:sz w:val="24"/>
                <w:szCs w:val="24"/>
              </w:rPr>
            </w:pPr>
            <w:r>
              <w:rPr>
                <w:rFonts w:hint="eastAsia" w:ascii="宋体" w:hAnsi="宋体" w:cs="宋体"/>
                <w:bCs/>
                <w:color w:val="auto"/>
                <w:sz w:val="24"/>
                <w:szCs w:val="24"/>
              </w:rPr>
              <w:t>应满足磋商文件中要求的</w:t>
            </w:r>
            <w:r>
              <w:rPr>
                <w:rFonts w:hint="eastAsia" w:ascii="宋体" w:hAnsi="宋体" w:cs="宋体"/>
                <w:bCs/>
                <w:color w:val="auto"/>
                <w:sz w:val="24"/>
                <w:szCs w:val="24"/>
                <w:lang w:eastAsia="zh-CN"/>
              </w:rPr>
              <w:t>工期</w:t>
            </w:r>
            <w:r>
              <w:rPr>
                <w:rFonts w:hint="eastAsia" w:ascii="宋体" w:hAnsi="宋体" w:cs="宋体"/>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dxa"/>
            <w:vMerge w:val="continue"/>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ascii="宋体" w:hAnsi="宋体" w:cs="宋体"/>
                <w:bCs/>
                <w:color w:val="auto"/>
                <w:sz w:val="24"/>
                <w:szCs w:val="24"/>
              </w:rPr>
            </w:pPr>
          </w:p>
        </w:tc>
        <w:tc>
          <w:tcPr>
            <w:tcW w:w="583" w:type="dxa"/>
            <w:vMerge w:val="continue"/>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ascii="宋体" w:hAnsi="宋体" w:cs="宋体"/>
                <w:bCs/>
                <w:color w:val="auto"/>
                <w:sz w:val="24"/>
                <w:szCs w:val="24"/>
              </w:rPr>
            </w:pPr>
          </w:p>
        </w:tc>
        <w:tc>
          <w:tcPr>
            <w:tcW w:w="622" w:type="dxa"/>
            <w:vMerge w:val="continue"/>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ascii="宋体" w:hAnsi="宋体" w:cs="宋体"/>
                <w:bCs/>
                <w:color w:val="auto"/>
                <w:sz w:val="24"/>
                <w:szCs w:val="24"/>
              </w:rPr>
            </w:pPr>
          </w:p>
        </w:tc>
        <w:tc>
          <w:tcPr>
            <w:tcW w:w="1843" w:type="dxa"/>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szCs w:val="24"/>
              </w:rPr>
            </w:pPr>
            <w:r>
              <w:rPr>
                <w:rFonts w:hint="eastAsia" w:ascii="宋体" w:hAnsi="宋体" w:cs="宋体"/>
                <w:bCs/>
                <w:color w:val="auto"/>
                <w:sz w:val="24"/>
                <w:szCs w:val="24"/>
              </w:rPr>
              <w:t>投标有效期</w:t>
            </w:r>
          </w:p>
        </w:tc>
        <w:tc>
          <w:tcPr>
            <w:tcW w:w="6233" w:type="dxa"/>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ascii="宋体" w:hAnsi="宋体" w:cs="宋体"/>
                <w:bCs/>
                <w:color w:val="auto"/>
                <w:sz w:val="24"/>
                <w:szCs w:val="24"/>
              </w:rPr>
            </w:pPr>
            <w:r>
              <w:rPr>
                <w:rFonts w:hint="eastAsia" w:ascii="宋体" w:hAnsi="宋体" w:cs="宋体"/>
                <w:bCs/>
                <w:color w:val="auto"/>
                <w:sz w:val="24"/>
                <w:szCs w:val="24"/>
              </w:rPr>
              <w:t>应满足磋商文件中的规定。</w:t>
            </w:r>
          </w:p>
        </w:tc>
      </w:tr>
    </w:tbl>
    <w:p>
      <w:pPr>
        <w:pStyle w:val="2"/>
        <w:rPr>
          <w:rFonts w:hint="eastAsia"/>
          <w:color w:val="auto"/>
        </w:rPr>
      </w:pPr>
    </w:p>
    <w:p>
      <w:pPr>
        <w:pStyle w:val="2"/>
        <w:keepNext w:val="0"/>
        <w:keepLines w:val="0"/>
        <w:pageBreakBefore w:val="0"/>
        <w:kinsoku/>
        <w:wordWrap/>
        <w:overflowPunct/>
        <w:topLinePunct w:val="0"/>
        <w:bidi w:val="0"/>
        <w:spacing w:line="420" w:lineRule="exact"/>
        <w:textAlignment w:val="auto"/>
        <w:rPr>
          <w:rFonts w:ascii="宋体" w:hAnsi="宋体" w:cs="宋体"/>
          <w:b/>
          <w:bCs/>
          <w:color w:val="auto"/>
          <w:sz w:val="24"/>
          <w:szCs w:val="24"/>
        </w:rPr>
      </w:pPr>
      <w:r>
        <w:rPr>
          <w:rFonts w:hint="eastAsia" w:ascii="宋体" w:hAnsi="宋体" w:cs="宋体"/>
          <w:b/>
          <w:bCs/>
          <w:color w:val="auto"/>
          <w:sz w:val="24"/>
          <w:szCs w:val="24"/>
        </w:rPr>
        <w:t>附件2：</w:t>
      </w:r>
    </w:p>
    <w:p>
      <w:pPr>
        <w:keepNext w:val="0"/>
        <w:keepLines w:val="0"/>
        <w:pageBreakBefore w:val="0"/>
        <w:kinsoku/>
        <w:wordWrap/>
        <w:overflowPunct/>
        <w:topLinePunct w:val="0"/>
        <w:autoSpaceDE w:val="0"/>
        <w:autoSpaceDN w:val="0"/>
        <w:bidi w:val="0"/>
        <w:adjustRightInd w:val="0"/>
        <w:snapToGrid w:val="0"/>
        <w:spacing w:line="420" w:lineRule="exact"/>
        <w:ind w:firstLine="630"/>
        <w:jc w:val="center"/>
        <w:textAlignment w:val="auto"/>
        <w:rPr>
          <w:rFonts w:ascii="宋体" w:hAnsi="宋体" w:cs="宋体"/>
          <w:color w:val="auto"/>
          <w:sz w:val="24"/>
          <w:szCs w:val="24"/>
          <w:lang w:val="zh-CN"/>
        </w:rPr>
      </w:pPr>
      <w:r>
        <w:rPr>
          <w:rFonts w:hint="eastAsia" w:ascii="宋体" w:hAnsi="宋体" w:cs="宋体"/>
          <w:color w:val="auto"/>
          <w:sz w:val="24"/>
          <w:szCs w:val="24"/>
          <w:lang w:val="zh-CN"/>
        </w:rPr>
        <w:t>评审因素及权值</w:t>
      </w:r>
    </w:p>
    <w:tbl>
      <w:tblPr>
        <w:tblStyle w:val="35"/>
        <w:tblW w:w="10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919"/>
        <w:gridCol w:w="8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ascii="宋体" w:hAnsi="宋体" w:cs="宋体"/>
                <w:color w:val="auto"/>
                <w:sz w:val="24"/>
                <w:szCs w:val="24"/>
              </w:rPr>
            </w:pPr>
            <w:r>
              <w:rPr>
                <w:rFonts w:hint="eastAsia" w:ascii="宋体" w:hAnsi="宋体" w:cs="宋体"/>
                <w:color w:val="auto"/>
                <w:sz w:val="24"/>
                <w:szCs w:val="24"/>
              </w:rPr>
              <w:t>评分</w:t>
            </w:r>
          </w:p>
          <w:p>
            <w:pPr>
              <w:keepNext w:val="0"/>
              <w:keepLines w:val="0"/>
              <w:pageBreakBefore w:val="0"/>
              <w:kinsoku/>
              <w:wordWrap/>
              <w:overflowPunct/>
              <w:topLinePunct w:val="0"/>
              <w:bidi w:val="0"/>
              <w:adjustRightInd w:val="0"/>
              <w:snapToGrid w:val="0"/>
              <w:spacing w:line="420" w:lineRule="exact"/>
              <w:jc w:val="center"/>
              <w:textAlignment w:val="auto"/>
              <w:rPr>
                <w:rFonts w:ascii="宋体" w:hAnsi="宋体" w:cs="宋体"/>
                <w:color w:val="auto"/>
                <w:sz w:val="24"/>
                <w:szCs w:val="24"/>
              </w:rPr>
            </w:pPr>
            <w:r>
              <w:rPr>
                <w:rFonts w:hint="eastAsia" w:ascii="宋体" w:hAnsi="宋体" w:cs="宋体"/>
                <w:color w:val="auto"/>
                <w:sz w:val="24"/>
                <w:szCs w:val="24"/>
              </w:rPr>
              <w:t>因素</w:t>
            </w:r>
          </w:p>
        </w:tc>
        <w:tc>
          <w:tcPr>
            <w:tcW w:w="91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ascii="宋体" w:hAnsi="宋体" w:cs="宋体"/>
                <w:color w:val="auto"/>
                <w:sz w:val="24"/>
                <w:szCs w:val="24"/>
              </w:rPr>
            </w:pPr>
            <w:r>
              <w:rPr>
                <w:rFonts w:hint="eastAsia" w:ascii="宋体" w:hAnsi="宋体" w:cs="宋体"/>
                <w:color w:val="auto"/>
                <w:sz w:val="24"/>
                <w:szCs w:val="24"/>
              </w:rPr>
              <w:t>权值</w:t>
            </w:r>
          </w:p>
          <w:p>
            <w:pPr>
              <w:keepNext w:val="0"/>
              <w:keepLines w:val="0"/>
              <w:pageBreakBefore w:val="0"/>
              <w:kinsoku/>
              <w:wordWrap/>
              <w:overflowPunct/>
              <w:topLinePunct w:val="0"/>
              <w:bidi w:val="0"/>
              <w:adjustRightInd w:val="0"/>
              <w:snapToGrid w:val="0"/>
              <w:spacing w:line="420" w:lineRule="exact"/>
              <w:jc w:val="center"/>
              <w:textAlignment w:val="auto"/>
              <w:rPr>
                <w:rFonts w:ascii="宋体" w:hAnsi="宋体" w:cs="宋体"/>
                <w:color w:val="auto"/>
                <w:sz w:val="24"/>
                <w:szCs w:val="24"/>
              </w:rPr>
            </w:pPr>
            <w:r>
              <w:rPr>
                <w:rFonts w:hint="eastAsia" w:ascii="宋体" w:hAnsi="宋体" w:cs="宋体"/>
                <w:color w:val="auto"/>
                <w:sz w:val="24"/>
                <w:szCs w:val="24"/>
              </w:rPr>
              <w:t>（%）</w:t>
            </w:r>
          </w:p>
        </w:tc>
        <w:tc>
          <w:tcPr>
            <w:tcW w:w="8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ascii="宋体" w:hAnsi="宋体" w:cs="宋体"/>
                <w:color w:val="auto"/>
                <w:sz w:val="24"/>
                <w:szCs w:val="24"/>
              </w:rPr>
            </w:pPr>
            <w:r>
              <w:rPr>
                <w:rFonts w:hint="eastAsia" w:ascii="宋体" w:hAnsi="宋体" w:cs="宋体"/>
                <w:color w:val="auto"/>
                <w:sz w:val="24"/>
                <w:szCs w:val="24"/>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ascii="宋体" w:hAnsi="宋体" w:cs="宋体"/>
                <w:color w:val="auto"/>
                <w:sz w:val="24"/>
                <w:szCs w:val="24"/>
              </w:rPr>
            </w:pPr>
            <w:r>
              <w:rPr>
                <w:rFonts w:hint="eastAsia" w:ascii="宋体" w:hAnsi="宋体" w:cs="宋体"/>
                <w:color w:val="auto"/>
                <w:sz w:val="24"/>
                <w:szCs w:val="24"/>
              </w:rPr>
              <w:t>价格</w:t>
            </w:r>
          </w:p>
        </w:tc>
        <w:tc>
          <w:tcPr>
            <w:tcW w:w="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30</w:t>
            </w:r>
          </w:p>
        </w:tc>
        <w:tc>
          <w:tcPr>
            <w:tcW w:w="8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20" w:lineRule="exact"/>
              <w:textAlignment w:val="auto"/>
              <w:rPr>
                <w:rFonts w:ascii="宋体" w:hAnsi="宋体" w:cs="宋体"/>
                <w:color w:val="auto"/>
                <w:sz w:val="24"/>
                <w:szCs w:val="24"/>
              </w:rPr>
            </w:pPr>
            <w:r>
              <w:rPr>
                <w:rFonts w:hint="eastAsia" w:ascii="宋体" w:hAnsi="宋体" w:cs="宋体"/>
                <w:color w:val="auto"/>
                <w:sz w:val="24"/>
                <w:szCs w:val="24"/>
              </w:rPr>
              <w:t>满足磋商文件要求且最后报价最低的供应商的价格为磋商基准价。各供应商的价格分统一按照下列公式计算：</w:t>
            </w:r>
          </w:p>
          <w:p>
            <w:pPr>
              <w:keepNext w:val="0"/>
              <w:keepLines w:val="0"/>
              <w:pageBreakBefore w:val="0"/>
              <w:kinsoku/>
              <w:wordWrap/>
              <w:overflowPunct/>
              <w:topLinePunct w:val="0"/>
              <w:bidi w:val="0"/>
              <w:adjustRightInd w:val="0"/>
              <w:snapToGrid w:val="0"/>
              <w:spacing w:line="420" w:lineRule="exact"/>
              <w:textAlignment w:val="auto"/>
              <w:rPr>
                <w:rFonts w:ascii="宋体" w:hAnsi="宋体" w:cs="宋体"/>
                <w:color w:val="auto"/>
                <w:sz w:val="24"/>
                <w:szCs w:val="24"/>
              </w:rPr>
            </w:pPr>
            <w:r>
              <w:rPr>
                <w:rFonts w:hint="eastAsia" w:ascii="宋体" w:hAnsi="宋体" w:cs="宋体"/>
                <w:color w:val="auto"/>
                <w:sz w:val="24"/>
                <w:szCs w:val="24"/>
              </w:rPr>
              <w:t>磋商报价得分=（评审基准价/磋商报价）×</w:t>
            </w:r>
            <w:r>
              <w:rPr>
                <w:rFonts w:hint="eastAsia" w:ascii="宋体" w:hAnsi="宋体" w:cs="宋体"/>
                <w:color w:val="auto"/>
                <w:sz w:val="24"/>
                <w:szCs w:val="24"/>
                <w:lang w:val="en-US" w:eastAsia="zh-CN"/>
              </w:rPr>
              <w:t>30</w:t>
            </w:r>
            <w:r>
              <w:rPr>
                <w:rFonts w:hint="eastAsia" w:ascii="宋体" w:hAnsi="宋体" w:cs="宋体"/>
                <w:color w:val="auto"/>
                <w:sz w:val="24"/>
                <w:szCs w:val="24"/>
              </w:rPr>
              <w:t>%×100</w:t>
            </w:r>
          </w:p>
          <w:p>
            <w:pPr>
              <w:keepNext w:val="0"/>
              <w:keepLines w:val="0"/>
              <w:pageBreakBefore w:val="0"/>
              <w:kinsoku/>
              <w:wordWrap/>
              <w:overflowPunct/>
              <w:topLinePunct w:val="0"/>
              <w:bidi w:val="0"/>
              <w:adjustRightInd w:val="0"/>
              <w:snapToGrid w:val="0"/>
              <w:spacing w:line="420" w:lineRule="exact"/>
              <w:textAlignment w:val="auto"/>
              <w:rPr>
                <w:color w:val="auto"/>
              </w:rPr>
            </w:pPr>
            <w:r>
              <w:rPr>
                <w:rFonts w:hint="eastAsia" w:ascii="宋体" w:hAnsi="宋体" w:cs="宋体"/>
                <w:b/>
                <w:bCs/>
                <w:color w:val="auto"/>
                <w:sz w:val="24"/>
                <w:szCs w:val="24"/>
              </w:rPr>
              <w:t>注：本项目专门面向中小企业采购，不享受优惠政策。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ascii="宋体" w:hAnsi="宋体" w:cs="宋体"/>
                <w:color w:val="auto"/>
                <w:sz w:val="24"/>
                <w:szCs w:val="24"/>
              </w:rPr>
            </w:pPr>
            <w:r>
              <w:rPr>
                <w:rFonts w:hint="eastAsia" w:ascii="宋体" w:hAnsi="宋体" w:cs="宋体"/>
                <w:color w:val="auto"/>
                <w:sz w:val="24"/>
                <w:szCs w:val="24"/>
              </w:rPr>
              <w:t>商务</w:t>
            </w:r>
          </w:p>
          <w:p>
            <w:pPr>
              <w:keepNext w:val="0"/>
              <w:keepLines w:val="0"/>
              <w:pageBreakBefore w:val="0"/>
              <w:kinsoku/>
              <w:wordWrap/>
              <w:overflowPunct/>
              <w:topLinePunct w:val="0"/>
              <w:bidi w:val="0"/>
              <w:adjustRightInd w:val="0"/>
              <w:snapToGrid w:val="0"/>
              <w:spacing w:line="420" w:lineRule="exact"/>
              <w:jc w:val="center"/>
              <w:textAlignment w:val="auto"/>
              <w:rPr>
                <w:rFonts w:ascii="宋体" w:hAnsi="宋体" w:cs="宋体"/>
                <w:color w:val="auto"/>
                <w:sz w:val="24"/>
                <w:szCs w:val="24"/>
              </w:rPr>
            </w:pPr>
            <w:r>
              <w:rPr>
                <w:rFonts w:hint="eastAsia" w:ascii="宋体" w:hAnsi="宋体" w:cs="宋体"/>
                <w:color w:val="auto"/>
                <w:sz w:val="24"/>
                <w:szCs w:val="24"/>
              </w:rPr>
              <w:t>响应</w:t>
            </w:r>
          </w:p>
        </w:tc>
        <w:tc>
          <w:tcPr>
            <w:tcW w:w="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8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20" w:lineRule="exact"/>
              <w:textAlignment w:val="auto"/>
              <w:rPr>
                <w:rFonts w:ascii="宋体" w:hAnsi="宋体" w:cs="宋体"/>
                <w:color w:val="auto"/>
                <w:sz w:val="24"/>
                <w:szCs w:val="24"/>
              </w:rPr>
            </w:pPr>
            <w:r>
              <w:rPr>
                <w:rFonts w:hint="eastAsia" w:ascii="宋体" w:hAnsi="宋体" w:cs="宋体"/>
                <w:color w:val="auto"/>
                <w:sz w:val="24"/>
                <w:szCs w:val="24"/>
              </w:rPr>
              <w:t>根据响应文件中对付款、</w:t>
            </w:r>
            <w:r>
              <w:rPr>
                <w:rFonts w:hint="eastAsia" w:ascii="宋体" w:hAnsi="宋体" w:cs="宋体"/>
                <w:color w:val="auto"/>
                <w:sz w:val="24"/>
                <w:szCs w:val="24"/>
                <w:lang w:eastAsia="zh-CN"/>
              </w:rPr>
              <w:t>工期</w:t>
            </w:r>
            <w:r>
              <w:rPr>
                <w:rFonts w:hint="eastAsia" w:ascii="宋体" w:hAnsi="宋体" w:cs="宋体"/>
                <w:color w:val="auto"/>
                <w:sz w:val="24"/>
                <w:szCs w:val="24"/>
              </w:rPr>
              <w:t>、验收等主要商务条款要求全面响应，根据响应程度计0～</w:t>
            </w:r>
            <w:r>
              <w:rPr>
                <w:rFonts w:hint="eastAsia" w:ascii="宋体" w:hAnsi="宋体" w:cs="宋体"/>
                <w:color w:val="auto"/>
                <w:sz w:val="24"/>
                <w:szCs w:val="24"/>
                <w:lang w:val="en-US" w:eastAsia="zh-CN"/>
              </w:rPr>
              <w:t>5</w:t>
            </w:r>
            <w:r>
              <w:rPr>
                <w:rFonts w:hint="eastAsia" w:ascii="宋体" w:hAnsi="宋体" w:cs="宋体"/>
                <w:color w:val="auto"/>
                <w:sz w:val="24"/>
                <w:szCs w:val="24"/>
              </w:rPr>
              <w:t xml:space="preserve">分。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2"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施工</w:t>
            </w:r>
          </w:p>
          <w:p>
            <w:pPr>
              <w:keepNext w:val="0"/>
              <w:keepLines w:val="0"/>
              <w:pageBreakBefore w:val="0"/>
              <w:kinsoku/>
              <w:wordWrap/>
              <w:overflowPunct/>
              <w:topLinePunct w:val="0"/>
              <w:bidi w:val="0"/>
              <w:adjustRightInd w:val="0"/>
              <w:snapToGrid w:val="0"/>
              <w:spacing w:line="420" w:lineRule="exact"/>
              <w:jc w:val="center"/>
              <w:textAlignment w:val="auto"/>
              <w:rPr>
                <w:rFonts w:ascii="宋体" w:hAnsi="宋体" w:cs="宋体"/>
                <w:color w:val="auto"/>
                <w:sz w:val="24"/>
                <w:szCs w:val="24"/>
              </w:rPr>
            </w:pPr>
            <w:r>
              <w:rPr>
                <w:rFonts w:hint="eastAsia" w:ascii="宋体" w:hAnsi="宋体" w:cs="宋体"/>
                <w:color w:val="auto"/>
                <w:sz w:val="24"/>
                <w:szCs w:val="24"/>
              </w:rPr>
              <w:t>方案</w:t>
            </w:r>
          </w:p>
        </w:tc>
        <w:tc>
          <w:tcPr>
            <w:tcW w:w="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55</w:t>
            </w:r>
          </w:p>
        </w:tc>
        <w:tc>
          <w:tcPr>
            <w:tcW w:w="8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5"/>
              </w:numPr>
              <w:kinsoku/>
              <w:wordWrap/>
              <w:overflowPunct/>
              <w:topLinePunct w:val="0"/>
              <w:bidi w:val="0"/>
              <w:adjustRightInd w:val="0"/>
              <w:snapToGrid w:val="0"/>
              <w:spacing w:line="420" w:lineRule="exact"/>
              <w:textAlignment w:val="auto"/>
              <w:rPr>
                <w:rFonts w:ascii="宋体" w:hAnsi="宋体" w:cs="宋体"/>
                <w:color w:val="auto"/>
                <w:sz w:val="24"/>
                <w:szCs w:val="24"/>
              </w:rPr>
            </w:pPr>
            <w:r>
              <w:rPr>
                <w:rFonts w:hint="eastAsia" w:ascii="宋体" w:hAnsi="宋体" w:cs="宋体"/>
                <w:color w:val="auto"/>
                <w:sz w:val="24"/>
                <w:szCs w:val="24"/>
                <w:lang w:val="en-US" w:eastAsia="zh-CN"/>
              </w:rPr>
              <w:t>施工组织设计应满足技术标准和要求的内容，且对其内容完整性及整体编制水平进行评价。</w:t>
            </w:r>
            <w:r>
              <w:rPr>
                <w:rFonts w:hint="eastAsia" w:ascii="宋体" w:hAnsi="宋体" w:cs="宋体"/>
                <w:color w:val="auto"/>
                <w:sz w:val="24"/>
                <w:szCs w:val="24"/>
              </w:rPr>
              <w:t>根据供应商响应程度计0～</w:t>
            </w:r>
            <w:r>
              <w:rPr>
                <w:rFonts w:hint="eastAsia" w:ascii="宋体" w:hAnsi="宋体" w:cs="宋体"/>
                <w:color w:val="auto"/>
                <w:sz w:val="24"/>
                <w:szCs w:val="24"/>
                <w:lang w:val="en-US" w:eastAsia="zh-CN"/>
              </w:rPr>
              <w:t>6</w:t>
            </w:r>
            <w:r>
              <w:rPr>
                <w:rFonts w:hint="eastAsia" w:ascii="宋体" w:hAnsi="宋体" w:cs="宋体"/>
                <w:color w:val="auto"/>
                <w:sz w:val="24"/>
                <w:szCs w:val="24"/>
              </w:rPr>
              <w:t xml:space="preserve">分。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6</w:t>
            </w:r>
            <w:r>
              <w:rPr>
                <w:rFonts w:hint="eastAsia" w:ascii="宋体" w:hAnsi="宋体" w:cs="宋体"/>
                <w:color w:val="auto"/>
                <w:sz w:val="24"/>
                <w:szCs w:val="24"/>
              </w:rPr>
              <w:t xml:space="preserve">分）                              </w:t>
            </w:r>
          </w:p>
          <w:p>
            <w:pPr>
              <w:keepNext w:val="0"/>
              <w:keepLines w:val="0"/>
              <w:pageBreakBefore w:val="0"/>
              <w:numPr>
                <w:ilvl w:val="0"/>
                <w:numId w:val="5"/>
              </w:numPr>
              <w:kinsoku/>
              <w:wordWrap/>
              <w:overflowPunct/>
              <w:topLinePunct w:val="0"/>
              <w:bidi w:val="0"/>
              <w:adjustRightInd w:val="0"/>
              <w:snapToGrid w:val="0"/>
              <w:spacing w:line="420" w:lineRule="exact"/>
              <w:textAlignment w:val="auto"/>
              <w:rPr>
                <w:rFonts w:ascii="宋体" w:hAnsi="宋体" w:cs="宋体"/>
                <w:color w:val="auto"/>
                <w:sz w:val="24"/>
                <w:szCs w:val="24"/>
              </w:rPr>
            </w:pPr>
            <w:r>
              <w:rPr>
                <w:rFonts w:hint="eastAsia" w:ascii="宋体" w:hAnsi="宋体" w:cs="宋体"/>
                <w:color w:val="auto"/>
                <w:sz w:val="24"/>
                <w:szCs w:val="24"/>
                <w:lang w:val="en-US" w:eastAsia="zh-CN"/>
              </w:rPr>
              <w:t>结合本项目技术标准和要求，制定详细的施工方案、方法与技术措施，施工工艺合理，符合行业规范及行业标准</w:t>
            </w:r>
            <w:r>
              <w:rPr>
                <w:rFonts w:hint="eastAsia" w:ascii="宋体" w:hAnsi="宋体" w:cs="宋体"/>
                <w:color w:val="auto"/>
                <w:sz w:val="24"/>
                <w:szCs w:val="24"/>
              </w:rPr>
              <w:t>。根据供应商的响应程度计0～</w:t>
            </w:r>
            <w:r>
              <w:rPr>
                <w:rFonts w:hint="eastAsia" w:ascii="宋体" w:hAnsi="宋体" w:cs="宋体"/>
                <w:color w:val="auto"/>
                <w:sz w:val="24"/>
                <w:szCs w:val="24"/>
                <w:lang w:val="en-US" w:eastAsia="zh-CN"/>
              </w:rPr>
              <w:t>6</w:t>
            </w:r>
            <w:r>
              <w:rPr>
                <w:rFonts w:hint="eastAsia" w:ascii="宋体" w:hAnsi="宋体" w:cs="宋体"/>
                <w:color w:val="auto"/>
                <w:sz w:val="24"/>
                <w:szCs w:val="24"/>
              </w:rPr>
              <w:t>分。</w:t>
            </w:r>
          </w:p>
          <w:p>
            <w:pPr>
              <w:keepNext w:val="0"/>
              <w:keepLines w:val="0"/>
              <w:pageBreakBefore w:val="0"/>
              <w:numPr>
                <w:ilvl w:val="0"/>
                <w:numId w:val="0"/>
              </w:numPr>
              <w:kinsoku/>
              <w:wordWrap/>
              <w:overflowPunct/>
              <w:topLinePunct w:val="0"/>
              <w:bidi w:val="0"/>
              <w:adjustRightInd w:val="0"/>
              <w:snapToGrid w:val="0"/>
              <w:spacing w:line="420" w:lineRule="exact"/>
              <w:textAlignment w:val="auto"/>
              <w:rPr>
                <w:rFonts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w:t>
            </w:r>
            <w:r>
              <w:rPr>
                <w:rFonts w:hint="eastAsia" w:ascii="宋体" w:hAnsi="宋体" w:cs="宋体"/>
                <w:color w:val="auto"/>
                <w:sz w:val="24"/>
                <w:szCs w:val="24"/>
                <w:lang w:val="en-US" w:eastAsia="zh-CN"/>
              </w:rPr>
              <w:t>6</w:t>
            </w:r>
            <w:r>
              <w:rPr>
                <w:rFonts w:hint="eastAsia" w:ascii="宋体" w:hAnsi="宋体" w:cs="宋体"/>
                <w:color w:val="auto"/>
                <w:sz w:val="24"/>
                <w:szCs w:val="24"/>
              </w:rPr>
              <w:t xml:space="preserve">分）                                    </w:t>
            </w:r>
          </w:p>
          <w:p>
            <w:pPr>
              <w:keepNext w:val="0"/>
              <w:keepLines w:val="0"/>
              <w:pageBreakBefore w:val="0"/>
              <w:numPr>
                <w:ilvl w:val="0"/>
                <w:numId w:val="5"/>
              </w:numPr>
              <w:kinsoku/>
              <w:wordWrap/>
              <w:overflowPunct/>
              <w:topLinePunct w:val="0"/>
              <w:bidi w:val="0"/>
              <w:adjustRightInd w:val="0"/>
              <w:snapToGrid w:val="0"/>
              <w:spacing w:line="420" w:lineRule="exact"/>
              <w:textAlignment w:val="auto"/>
              <w:rPr>
                <w:rFonts w:ascii="宋体" w:hAnsi="宋体" w:cs="宋体"/>
                <w:color w:val="auto"/>
                <w:sz w:val="24"/>
                <w:szCs w:val="24"/>
              </w:rPr>
            </w:pPr>
            <w:r>
              <w:rPr>
                <w:rFonts w:hint="eastAsia" w:ascii="宋体" w:hAnsi="宋体" w:cs="宋体"/>
                <w:color w:val="auto"/>
                <w:sz w:val="24"/>
                <w:szCs w:val="24"/>
                <w:lang w:val="en-US" w:eastAsia="zh-CN"/>
              </w:rPr>
              <w:t>质量目标明确，管理体系健全，管理体系功能完善、管理幅度适宜</w:t>
            </w:r>
            <w:r>
              <w:rPr>
                <w:rFonts w:hint="eastAsia" w:ascii="宋体" w:hAnsi="宋体" w:cs="宋体"/>
                <w:color w:val="auto"/>
                <w:sz w:val="24"/>
                <w:szCs w:val="24"/>
              </w:rPr>
              <w:t>。根据供应商的响应程度计0～</w:t>
            </w:r>
            <w:r>
              <w:rPr>
                <w:rFonts w:hint="eastAsia" w:ascii="宋体" w:hAnsi="宋体" w:cs="宋体"/>
                <w:color w:val="auto"/>
                <w:sz w:val="24"/>
                <w:szCs w:val="24"/>
                <w:lang w:val="en-US" w:eastAsia="zh-CN"/>
              </w:rPr>
              <w:t>6</w:t>
            </w:r>
            <w:r>
              <w:rPr>
                <w:rFonts w:hint="eastAsia" w:ascii="宋体" w:hAnsi="宋体" w:cs="宋体"/>
                <w:color w:val="auto"/>
                <w:sz w:val="24"/>
                <w:szCs w:val="24"/>
              </w:rPr>
              <w:t>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6</w:t>
            </w:r>
            <w:r>
              <w:rPr>
                <w:rFonts w:hint="eastAsia" w:ascii="宋体" w:hAnsi="宋体" w:cs="宋体"/>
                <w:color w:val="auto"/>
                <w:sz w:val="24"/>
                <w:szCs w:val="24"/>
              </w:rPr>
              <w:t>分）</w:t>
            </w:r>
          </w:p>
          <w:p>
            <w:pPr>
              <w:keepNext w:val="0"/>
              <w:keepLines w:val="0"/>
              <w:pageBreakBefore w:val="0"/>
              <w:numPr>
                <w:ilvl w:val="0"/>
                <w:numId w:val="5"/>
              </w:numPr>
              <w:kinsoku/>
              <w:wordWrap/>
              <w:overflowPunct/>
              <w:topLinePunct w:val="0"/>
              <w:bidi w:val="0"/>
              <w:adjustRightInd w:val="0"/>
              <w:snapToGrid w:val="0"/>
              <w:spacing w:line="420" w:lineRule="exact"/>
              <w:textAlignment w:val="auto"/>
              <w:rPr>
                <w:rFonts w:ascii="宋体" w:hAnsi="宋体" w:cs="宋体"/>
                <w:color w:val="auto"/>
                <w:sz w:val="24"/>
                <w:szCs w:val="24"/>
              </w:rPr>
            </w:pPr>
            <w:r>
              <w:rPr>
                <w:rFonts w:hint="eastAsia" w:ascii="宋体" w:hAnsi="宋体" w:cs="宋体"/>
                <w:color w:val="auto"/>
                <w:sz w:val="24"/>
                <w:szCs w:val="24"/>
                <w:lang w:val="en-US" w:eastAsia="zh-CN"/>
              </w:rPr>
              <w:t>安全生产目标明确，预防和动态控制制度完整、到位，管理体系和组织功能完善。</w:t>
            </w:r>
            <w:r>
              <w:rPr>
                <w:rFonts w:hint="eastAsia" w:ascii="宋体" w:hAnsi="宋体" w:cs="宋体"/>
                <w:color w:val="auto"/>
                <w:sz w:val="24"/>
                <w:szCs w:val="24"/>
              </w:rPr>
              <w:t>根据供应商的响应程度计0～</w:t>
            </w:r>
            <w:r>
              <w:rPr>
                <w:rFonts w:hint="eastAsia" w:ascii="宋体" w:hAnsi="宋体" w:cs="宋体"/>
                <w:color w:val="auto"/>
                <w:sz w:val="24"/>
                <w:szCs w:val="24"/>
                <w:lang w:val="en-US" w:eastAsia="zh-CN"/>
              </w:rPr>
              <w:t>6</w:t>
            </w:r>
            <w:r>
              <w:rPr>
                <w:rFonts w:hint="eastAsia" w:ascii="宋体" w:hAnsi="宋体" w:cs="宋体"/>
                <w:color w:val="auto"/>
                <w:sz w:val="24"/>
                <w:szCs w:val="24"/>
              </w:rPr>
              <w:t>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（6分）</w:t>
            </w:r>
          </w:p>
          <w:p>
            <w:pPr>
              <w:keepNext w:val="0"/>
              <w:keepLines w:val="0"/>
              <w:pageBreakBefore w:val="0"/>
              <w:numPr>
                <w:ilvl w:val="0"/>
                <w:numId w:val="5"/>
              </w:numPr>
              <w:kinsoku/>
              <w:wordWrap/>
              <w:overflowPunct/>
              <w:topLinePunct w:val="0"/>
              <w:bidi w:val="0"/>
              <w:adjustRightInd w:val="0"/>
              <w:snapToGrid w:val="0"/>
              <w:spacing w:line="420" w:lineRule="exact"/>
              <w:textAlignment w:val="auto"/>
              <w:rPr>
                <w:rFonts w:ascii="宋体" w:hAnsi="宋体" w:cs="宋体"/>
                <w:color w:val="auto"/>
                <w:sz w:val="24"/>
                <w:szCs w:val="24"/>
              </w:rPr>
            </w:pPr>
            <w:r>
              <w:rPr>
                <w:rFonts w:hint="eastAsia" w:ascii="宋体" w:hAnsi="宋体" w:cs="宋体"/>
                <w:color w:val="auto"/>
                <w:sz w:val="24"/>
                <w:szCs w:val="24"/>
                <w:lang w:val="en-US" w:eastAsia="zh-CN"/>
              </w:rPr>
              <w:t>文明施工体系健全，预防和动态控制制度完整、到位，管理体系和组织功能完善</w:t>
            </w:r>
            <w:r>
              <w:rPr>
                <w:rFonts w:hint="eastAsia" w:ascii="宋体" w:hAnsi="宋体" w:cs="宋体"/>
                <w:color w:val="auto"/>
                <w:sz w:val="24"/>
                <w:szCs w:val="24"/>
              </w:rPr>
              <w:t>。根据响应情况计0～</w:t>
            </w:r>
            <w:r>
              <w:rPr>
                <w:rFonts w:hint="eastAsia" w:ascii="宋体" w:hAnsi="宋体" w:cs="宋体"/>
                <w:color w:val="auto"/>
                <w:sz w:val="24"/>
                <w:szCs w:val="24"/>
                <w:lang w:val="en-US" w:eastAsia="zh-CN"/>
              </w:rPr>
              <w:t>6</w:t>
            </w:r>
            <w:r>
              <w:rPr>
                <w:rFonts w:hint="eastAsia" w:ascii="宋体" w:hAnsi="宋体" w:cs="宋体"/>
                <w:color w:val="auto"/>
                <w:sz w:val="24"/>
                <w:szCs w:val="24"/>
              </w:rPr>
              <w:t>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（6分）</w:t>
            </w:r>
          </w:p>
          <w:p>
            <w:pPr>
              <w:keepNext w:val="0"/>
              <w:keepLines w:val="0"/>
              <w:pageBreakBefore w:val="0"/>
              <w:numPr>
                <w:ilvl w:val="0"/>
                <w:numId w:val="5"/>
              </w:numPr>
              <w:kinsoku/>
              <w:wordWrap/>
              <w:overflowPunct/>
              <w:topLinePunct w:val="0"/>
              <w:bidi w:val="0"/>
              <w:adjustRightInd w:val="0"/>
              <w:snapToGrid w:val="0"/>
              <w:spacing w:line="420" w:lineRule="exact"/>
              <w:textAlignment w:val="auto"/>
              <w:rPr>
                <w:rFonts w:ascii="宋体" w:hAnsi="宋体" w:cs="宋体"/>
                <w:color w:val="auto"/>
                <w:sz w:val="24"/>
                <w:szCs w:val="24"/>
              </w:rPr>
            </w:pPr>
            <w:r>
              <w:rPr>
                <w:rFonts w:hint="eastAsia" w:ascii="宋体" w:hAnsi="宋体" w:cs="宋体"/>
                <w:color w:val="auto"/>
                <w:sz w:val="24"/>
                <w:szCs w:val="24"/>
                <w:lang w:val="en-US" w:eastAsia="zh-CN"/>
              </w:rPr>
              <w:t>环境保护目标明确，预防和动态控制措施及制度完整、到位，管理体系和组织措施功能完善</w:t>
            </w:r>
            <w:r>
              <w:rPr>
                <w:rFonts w:hint="eastAsia" w:ascii="宋体" w:hAnsi="宋体" w:cs="宋体"/>
                <w:color w:val="auto"/>
                <w:sz w:val="24"/>
                <w:szCs w:val="24"/>
              </w:rPr>
              <w:t>根据供应商的响应程度计0～</w:t>
            </w:r>
            <w:r>
              <w:rPr>
                <w:rFonts w:hint="eastAsia" w:ascii="宋体" w:hAnsi="宋体" w:cs="宋体"/>
                <w:color w:val="auto"/>
                <w:sz w:val="24"/>
                <w:szCs w:val="24"/>
                <w:lang w:val="en-US" w:eastAsia="zh-CN"/>
              </w:rPr>
              <w:t>5</w:t>
            </w:r>
            <w:r>
              <w:rPr>
                <w:rFonts w:hint="eastAsia" w:ascii="宋体" w:hAnsi="宋体" w:cs="宋体"/>
                <w:color w:val="auto"/>
                <w:sz w:val="24"/>
                <w:szCs w:val="24"/>
              </w:rPr>
              <w:t>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p>
            <w:pPr>
              <w:keepNext w:val="0"/>
              <w:keepLines w:val="0"/>
              <w:pageBreakBefore w:val="0"/>
              <w:numPr>
                <w:ilvl w:val="0"/>
                <w:numId w:val="5"/>
              </w:numPr>
              <w:kinsoku/>
              <w:wordWrap/>
              <w:overflowPunct/>
              <w:topLinePunct w:val="0"/>
              <w:bidi w:val="0"/>
              <w:adjustRightInd w:val="0"/>
              <w:snapToGrid w:val="0"/>
              <w:spacing w:line="420" w:lineRule="exact"/>
              <w:textAlignment w:val="auto"/>
              <w:rPr>
                <w:rFonts w:ascii="宋体" w:hAnsi="宋体" w:cs="宋体"/>
                <w:color w:val="auto"/>
                <w:sz w:val="24"/>
                <w:szCs w:val="24"/>
              </w:rPr>
            </w:pPr>
            <w:r>
              <w:rPr>
                <w:rFonts w:hint="eastAsia" w:ascii="宋体" w:hAnsi="宋体" w:cs="宋体"/>
                <w:color w:val="auto"/>
                <w:sz w:val="24"/>
                <w:szCs w:val="24"/>
                <w:lang w:val="en-US" w:eastAsia="zh-CN"/>
              </w:rPr>
              <w:t>确保工期的技术组织措施</w:t>
            </w:r>
            <w:r>
              <w:rPr>
                <w:rFonts w:hint="eastAsia" w:ascii="宋体" w:hAnsi="宋体" w:cs="宋体"/>
                <w:color w:val="auto"/>
                <w:sz w:val="24"/>
                <w:szCs w:val="24"/>
                <w:lang w:val="zh-CN"/>
              </w:rPr>
              <w:t>，</w:t>
            </w:r>
            <w:r>
              <w:rPr>
                <w:rFonts w:hint="eastAsia" w:ascii="宋体" w:hAnsi="宋体" w:cs="宋体"/>
                <w:color w:val="auto"/>
                <w:sz w:val="24"/>
                <w:szCs w:val="24"/>
                <w:lang w:val="en-US" w:eastAsia="zh-CN"/>
              </w:rPr>
              <w:t>施工进度计划图示清晰、科学、合理；关键工序控制合理；工期保证措施合理，能够保证总工期。</w:t>
            </w:r>
            <w:r>
              <w:rPr>
                <w:rFonts w:hint="eastAsia" w:ascii="宋体" w:hAnsi="宋体" w:cs="宋体"/>
                <w:color w:val="auto"/>
                <w:sz w:val="24"/>
                <w:szCs w:val="24"/>
              </w:rPr>
              <w:t>根据响应情况计0～</w:t>
            </w:r>
            <w:r>
              <w:rPr>
                <w:rFonts w:hint="eastAsia" w:ascii="宋体" w:hAnsi="宋体" w:cs="宋体"/>
                <w:color w:val="auto"/>
                <w:sz w:val="24"/>
                <w:szCs w:val="24"/>
                <w:lang w:val="en-US" w:eastAsia="zh-CN"/>
              </w:rPr>
              <w:t>5</w:t>
            </w:r>
            <w:r>
              <w:rPr>
                <w:rFonts w:hint="eastAsia" w:ascii="宋体" w:hAnsi="宋体" w:cs="宋体"/>
                <w:color w:val="auto"/>
                <w:sz w:val="24"/>
                <w:szCs w:val="24"/>
              </w:rPr>
              <w:t>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p>
            <w:pPr>
              <w:keepNext w:val="0"/>
              <w:keepLines w:val="0"/>
              <w:pageBreakBefore w:val="0"/>
              <w:numPr>
                <w:ilvl w:val="0"/>
                <w:numId w:val="5"/>
              </w:numPr>
              <w:kinsoku/>
              <w:wordWrap/>
              <w:overflowPunct/>
              <w:topLinePunct w:val="0"/>
              <w:bidi w:val="0"/>
              <w:adjustRightInd w:val="0"/>
              <w:snapToGrid w:val="0"/>
              <w:spacing w:line="420" w:lineRule="exact"/>
              <w:textAlignment w:val="auto"/>
              <w:rPr>
                <w:color w:val="auto"/>
              </w:rPr>
            </w:pPr>
            <w:r>
              <w:rPr>
                <w:rFonts w:hint="eastAsia" w:ascii="宋体" w:hAnsi="宋体" w:cs="宋体"/>
                <w:color w:val="auto"/>
                <w:sz w:val="24"/>
                <w:szCs w:val="24"/>
              </w:rPr>
              <w:t>有针对本项目重点难点的分析、应对措施及其他针对本项目的合理化建议。根据建议描述完整、可操作性、细节描述情况计0～</w:t>
            </w:r>
            <w:r>
              <w:rPr>
                <w:rFonts w:hint="eastAsia" w:ascii="宋体" w:hAnsi="宋体" w:cs="宋体"/>
                <w:color w:val="auto"/>
                <w:sz w:val="24"/>
                <w:szCs w:val="24"/>
                <w:lang w:val="en-US" w:eastAsia="zh-CN"/>
              </w:rPr>
              <w:t>5</w:t>
            </w:r>
            <w:r>
              <w:rPr>
                <w:rFonts w:hint="eastAsia" w:ascii="宋体" w:hAnsi="宋体" w:cs="宋体"/>
                <w:color w:val="auto"/>
                <w:sz w:val="24"/>
                <w:szCs w:val="24"/>
              </w:rPr>
              <w:t xml:space="preserve">分。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p>
            <w:pPr>
              <w:keepNext w:val="0"/>
              <w:keepLines w:val="0"/>
              <w:pageBreakBefore w:val="0"/>
              <w:numPr>
                <w:ilvl w:val="0"/>
                <w:numId w:val="5"/>
              </w:numPr>
              <w:kinsoku/>
              <w:wordWrap/>
              <w:overflowPunct/>
              <w:topLinePunct w:val="0"/>
              <w:bidi w:val="0"/>
              <w:adjustRightInd w:val="0"/>
              <w:snapToGrid w:val="0"/>
              <w:spacing w:line="420" w:lineRule="exact"/>
              <w:textAlignment w:val="auto"/>
              <w:rPr>
                <w:color w:val="auto"/>
              </w:rPr>
            </w:pPr>
            <w:r>
              <w:rPr>
                <w:rFonts w:hint="eastAsia" w:ascii="宋体" w:hAnsi="宋体" w:cs="宋体"/>
                <w:color w:val="auto"/>
                <w:sz w:val="24"/>
                <w:szCs w:val="24"/>
                <w:lang w:val="en-US" w:eastAsia="zh-CN"/>
              </w:rPr>
              <w:t>结合本项目实际配备合理的项目管理机构人员组成，专业齐全，有能力确保。</w:t>
            </w:r>
            <w:r>
              <w:rPr>
                <w:rFonts w:hint="eastAsia" w:ascii="宋体" w:hAnsi="宋体" w:cs="宋体"/>
                <w:color w:val="auto"/>
                <w:sz w:val="24"/>
                <w:szCs w:val="24"/>
              </w:rPr>
              <w:t>根据响应情况计0～</w:t>
            </w:r>
            <w:r>
              <w:rPr>
                <w:rFonts w:hint="eastAsia" w:ascii="宋体" w:hAnsi="宋体" w:cs="宋体"/>
                <w:color w:val="auto"/>
                <w:sz w:val="24"/>
                <w:szCs w:val="24"/>
                <w:lang w:val="en-US" w:eastAsia="zh-CN"/>
              </w:rPr>
              <w:t>5</w:t>
            </w:r>
            <w:r>
              <w:rPr>
                <w:rFonts w:hint="eastAsia" w:ascii="宋体" w:hAnsi="宋体" w:cs="宋体"/>
                <w:color w:val="auto"/>
                <w:sz w:val="24"/>
                <w:szCs w:val="24"/>
              </w:rPr>
              <w:t>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p>
            <w:pPr>
              <w:keepNext w:val="0"/>
              <w:keepLines w:val="0"/>
              <w:pageBreakBefore w:val="0"/>
              <w:numPr>
                <w:ilvl w:val="0"/>
                <w:numId w:val="5"/>
              </w:numPr>
              <w:kinsoku/>
              <w:wordWrap/>
              <w:overflowPunct/>
              <w:topLinePunct w:val="0"/>
              <w:bidi w:val="0"/>
              <w:adjustRightInd w:val="0"/>
              <w:snapToGrid w:val="0"/>
              <w:spacing w:line="420" w:lineRule="exact"/>
              <w:textAlignment w:val="auto"/>
              <w:rPr>
                <w:color w:val="auto"/>
              </w:rPr>
            </w:pPr>
            <w:r>
              <w:rPr>
                <w:rFonts w:hint="eastAsia" w:ascii="宋体" w:hAnsi="宋体" w:cs="宋体"/>
                <w:color w:val="auto"/>
                <w:sz w:val="24"/>
                <w:szCs w:val="24"/>
                <w:lang w:val="en-US" w:eastAsia="zh-CN"/>
              </w:rPr>
              <w:t>施工机械配备和材料投入计划，劳动力、施工设备满足质量、进度要求，组织合理。</w:t>
            </w:r>
            <w:r>
              <w:rPr>
                <w:rFonts w:hint="eastAsia" w:ascii="宋体" w:hAnsi="宋体" w:cs="宋体"/>
                <w:color w:val="auto"/>
                <w:sz w:val="24"/>
                <w:szCs w:val="24"/>
              </w:rPr>
              <w:t>根据响应情况计0～</w:t>
            </w:r>
            <w:r>
              <w:rPr>
                <w:rFonts w:hint="eastAsia" w:ascii="宋体" w:hAnsi="宋体" w:cs="宋体"/>
                <w:color w:val="auto"/>
                <w:sz w:val="24"/>
                <w:szCs w:val="24"/>
                <w:lang w:val="en-US" w:eastAsia="zh-CN"/>
              </w:rPr>
              <w:t>5</w:t>
            </w:r>
            <w:r>
              <w:rPr>
                <w:rFonts w:hint="eastAsia" w:ascii="宋体" w:hAnsi="宋体" w:cs="宋体"/>
                <w:color w:val="auto"/>
                <w:sz w:val="24"/>
                <w:szCs w:val="24"/>
              </w:rPr>
              <w:t>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0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napToGrid w:val="0"/>
              <w:spacing w:line="420" w:lineRule="exact"/>
              <w:jc w:val="center"/>
              <w:textAlignment w:val="auto"/>
              <w:rPr>
                <w:rFonts w:ascii="宋体" w:hAnsi="宋体" w:cs="宋体"/>
                <w:color w:val="auto"/>
                <w:sz w:val="24"/>
                <w:szCs w:val="24"/>
              </w:rPr>
            </w:pPr>
            <w:r>
              <w:rPr>
                <w:rFonts w:hint="eastAsia" w:ascii="宋体" w:hAnsi="宋体" w:cs="宋体"/>
                <w:color w:val="auto"/>
                <w:sz w:val="24"/>
                <w:szCs w:val="24"/>
              </w:rPr>
              <w:t>履约</w:t>
            </w:r>
          </w:p>
          <w:p>
            <w:pPr>
              <w:keepNext w:val="0"/>
              <w:keepLines w:val="0"/>
              <w:pageBreakBefore w:val="0"/>
              <w:kinsoku/>
              <w:wordWrap/>
              <w:overflowPunct/>
              <w:topLinePunct w:val="0"/>
              <w:bidi w:val="0"/>
              <w:snapToGrid w:val="0"/>
              <w:spacing w:line="420" w:lineRule="exact"/>
              <w:jc w:val="center"/>
              <w:textAlignment w:val="auto"/>
              <w:rPr>
                <w:rFonts w:ascii="宋体" w:hAnsi="宋体" w:cs="宋体"/>
                <w:color w:val="auto"/>
                <w:sz w:val="24"/>
                <w:szCs w:val="24"/>
              </w:rPr>
            </w:pPr>
            <w:r>
              <w:rPr>
                <w:rFonts w:hint="eastAsia" w:ascii="宋体" w:hAnsi="宋体" w:cs="宋体"/>
                <w:color w:val="auto"/>
                <w:sz w:val="24"/>
                <w:szCs w:val="24"/>
              </w:rPr>
              <w:t>能力</w:t>
            </w:r>
          </w:p>
        </w:tc>
        <w:tc>
          <w:tcPr>
            <w:tcW w:w="91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napToGrid w:val="0"/>
              <w:spacing w:line="42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8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bidi w:val="0"/>
              <w:adjustRightInd w:val="0"/>
              <w:snapToGrid w:val="0"/>
              <w:spacing w:line="420" w:lineRule="exact"/>
              <w:textAlignment w:val="auto"/>
              <w:rPr>
                <w:rFonts w:hint="eastAsia" w:ascii="宋体" w:hAnsi="宋体" w:cs="宋体"/>
                <w:color w:val="auto"/>
                <w:sz w:val="24"/>
                <w:szCs w:val="24"/>
              </w:rPr>
            </w:pPr>
            <w:r>
              <w:rPr>
                <w:rFonts w:hint="eastAsia" w:ascii="宋体" w:hAnsi="宋体" w:cs="宋体"/>
                <w:color w:val="auto"/>
                <w:sz w:val="24"/>
                <w:szCs w:val="24"/>
              </w:rPr>
              <w:t>具有完善的售后服务保障体系，</w:t>
            </w:r>
            <w:r>
              <w:rPr>
                <w:rFonts w:hint="eastAsia" w:ascii="宋体" w:hAnsi="宋体" w:cs="宋体"/>
                <w:color w:val="auto"/>
                <w:sz w:val="24"/>
                <w:szCs w:val="24"/>
                <w:lang w:val="en-US" w:eastAsia="zh-CN"/>
              </w:rPr>
              <w:t>工程</w:t>
            </w:r>
            <w:r>
              <w:rPr>
                <w:rFonts w:hint="eastAsia" w:ascii="宋体" w:hAnsi="宋体" w:cs="宋体"/>
                <w:color w:val="auto"/>
                <w:sz w:val="24"/>
                <w:szCs w:val="24"/>
              </w:rPr>
              <w:t>质量、人员到位情况、后期服务的响应时间（方案还应当包含不能完全履行售后服务时愿意接受相关处罚的承诺），售后服务方案合理、及时有效与实际需求相符合。根据响应情况得0～</w:t>
            </w:r>
            <w:r>
              <w:rPr>
                <w:rFonts w:hint="eastAsia" w:ascii="宋体" w:hAnsi="宋体" w:cs="宋体"/>
                <w:color w:val="auto"/>
                <w:sz w:val="24"/>
                <w:szCs w:val="24"/>
                <w:lang w:val="en-US" w:eastAsia="zh-CN"/>
              </w:rPr>
              <w:t>7</w:t>
            </w:r>
            <w:r>
              <w:rPr>
                <w:rFonts w:hint="eastAsia" w:ascii="宋体" w:hAnsi="宋体" w:cs="宋体"/>
                <w:color w:val="auto"/>
                <w:sz w:val="24"/>
                <w:szCs w:val="24"/>
              </w:rPr>
              <w:t xml:space="preserve">分 </w:t>
            </w:r>
          </w:p>
          <w:p>
            <w:pPr>
              <w:keepNext w:val="0"/>
              <w:keepLines w:val="0"/>
              <w:pageBreakBefore w:val="0"/>
              <w:numPr>
                <w:ilvl w:val="0"/>
                <w:numId w:val="0"/>
              </w:numPr>
              <w:kinsoku/>
              <w:wordWrap/>
              <w:overflowPunct/>
              <w:topLinePunct w:val="0"/>
              <w:bidi w:val="0"/>
              <w:adjustRightInd w:val="0"/>
              <w:snapToGrid w:val="0"/>
              <w:spacing w:line="420" w:lineRule="exact"/>
              <w:textAlignment w:val="auto"/>
              <w:rPr>
                <w:rFonts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7</w:t>
            </w:r>
            <w:r>
              <w:rPr>
                <w:rFonts w:hint="eastAsia" w:ascii="宋体" w:hAnsi="宋体" w:cs="宋体"/>
                <w:color w:val="auto"/>
                <w:sz w:val="24"/>
                <w:szCs w:val="24"/>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420" w:lineRule="exact"/>
              <w:jc w:val="center"/>
              <w:textAlignment w:val="auto"/>
              <w:rPr>
                <w:rFonts w:ascii="宋体" w:hAnsi="宋体" w:cs="宋体"/>
                <w:color w:val="auto"/>
                <w:sz w:val="24"/>
                <w:szCs w:val="24"/>
              </w:rPr>
            </w:pPr>
            <w:r>
              <w:rPr>
                <w:rFonts w:hint="eastAsia" w:ascii="宋体" w:hAnsi="宋体" w:cs="宋体"/>
                <w:color w:val="auto"/>
                <w:sz w:val="24"/>
                <w:szCs w:val="24"/>
              </w:rPr>
              <w:t>业绩</w:t>
            </w:r>
          </w:p>
        </w:tc>
        <w:tc>
          <w:tcPr>
            <w:tcW w:w="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420" w:lineRule="exact"/>
              <w:ind w:firstLine="240" w:firstLineChars="1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8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420" w:lineRule="exact"/>
              <w:textAlignment w:val="auto"/>
              <w:rPr>
                <w:rFonts w:ascii="宋体" w:hAnsi="宋体" w:cs="宋体"/>
                <w:color w:val="auto"/>
                <w:sz w:val="24"/>
                <w:szCs w:val="24"/>
              </w:rPr>
            </w:pPr>
            <w:r>
              <w:rPr>
                <w:rFonts w:hint="eastAsia" w:ascii="宋体" w:hAnsi="宋体" w:cs="宋体"/>
                <w:color w:val="auto"/>
                <w:sz w:val="24"/>
                <w:szCs w:val="24"/>
              </w:rPr>
              <w:t>具有2019年（以合同签订时间为准）至今同类项目业绩，磋商响应文件中附有其合同，每提供1个得</w:t>
            </w:r>
            <w:r>
              <w:rPr>
                <w:rFonts w:hint="eastAsia" w:ascii="宋体" w:hAnsi="宋体" w:cs="宋体"/>
                <w:color w:val="auto"/>
                <w:sz w:val="24"/>
                <w:szCs w:val="24"/>
                <w:lang w:val="en-US" w:eastAsia="zh-CN"/>
              </w:rPr>
              <w:t>1</w:t>
            </w:r>
            <w:r>
              <w:rPr>
                <w:rFonts w:hint="eastAsia" w:ascii="宋体" w:hAnsi="宋体" w:cs="宋体"/>
                <w:color w:val="auto"/>
                <w:sz w:val="24"/>
                <w:szCs w:val="24"/>
              </w:rPr>
              <w:t>分，满分</w:t>
            </w:r>
            <w:r>
              <w:rPr>
                <w:rFonts w:hint="eastAsia" w:ascii="宋体" w:hAnsi="宋体" w:cs="宋体"/>
                <w:color w:val="auto"/>
                <w:sz w:val="24"/>
                <w:szCs w:val="24"/>
                <w:lang w:val="en-US" w:eastAsia="zh-CN"/>
              </w:rPr>
              <w:t>3</w:t>
            </w:r>
            <w:r>
              <w:rPr>
                <w:rFonts w:hint="eastAsia" w:ascii="宋体" w:hAnsi="宋体" w:cs="宋体"/>
                <w:color w:val="auto"/>
                <w:sz w:val="24"/>
                <w:szCs w:val="24"/>
              </w:rPr>
              <w:t xml:space="preserve">分。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3</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6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420" w:lineRule="exact"/>
              <w:ind w:firstLine="480" w:firstLineChars="200"/>
              <w:textAlignment w:val="auto"/>
              <w:rPr>
                <w:rFonts w:ascii="宋体" w:hAnsi="宋体" w:cs="宋体"/>
                <w:color w:val="auto"/>
                <w:sz w:val="24"/>
                <w:szCs w:val="24"/>
              </w:rPr>
            </w:pPr>
            <w:bookmarkStart w:id="31" w:name="_Toc492476967"/>
            <w:r>
              <w:rPr>
                <w:rFonts w:hint="eastAsia" w:ascii="宋体" w:hAnsi="宋体" w:cs="宋体"/>
                <w:color w:val="auto"/>
                <w:sz w:val="24"/>
                <w:szCs w:val="24"/>
              </w:rPr>
              <w:t>1）各评委独立打分。</w:t>
            </w:r>
          </w:p>
          <w:p>
            <w:pPr>
              <w:keepNext w:val="0"/>
              <w:keepLines w:val="0"/>
              <w:pageBreakBefore w:val="0"/>
              <w:kinsoku/>
              <w:wordWrap/>
              <w:overflowPunct/>
              <w:topLinePunct w:val="0"/>
              <w:bidi w:val="0"/>
              <w:snapToGrid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2）评委打分超过得分界限或未按本表规定赋分时，该评委的打分无效，不计入汇总分。</w:t>
            </w:r>
          </w:p>
          <w:p>
            <w:pPr>
              <w:keepNext w:val="0"/>
              <w:keepLines w:val="0"/>
              <w:pageBreakBefore w:val="0"/>
              <w:kinsoku/>
              <w:wordWrap/>
              <w:overflowPunct/>
              <w:topLinePunct w:val="0"/>
              <w:bidi w:val="0"/>
              <w:snapToGrid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3）若出现综合得分相同的，按磋商报价由低到高顺序排列名次；得分且磋商报价相同的，按技术指标得分顺序排列名次。</w:t>
            </w:r>
          </w:p>
          <w:p>
            <w:pPr>
              <w:keepNext w:val="0"/>
              <w:keepLines w:val="0"/>
              <w:pageBreakBefore w:val="0"/>
              <w:kinsoku/>
              <w:wordWrap/>
              <w:overflowPunct/>
              <w:topLinePunct w:val="0"/>
              <w:bidi w:val="0"/>
              <w:snapToGrid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4）各种计算采用插入法，最终结果数字保留二位小数，第三位“四舍五入”。</w:t>
            </w:r>
          </w:p>
        </w:tc>
      </w:tr>
    </w:tbl>
    <w:p>
      <w:pPr>
        <w:pStyle w:val="3"/>
        <w:rPr>
          <w:rFonts w:ascii="宋体" w:hAnsi="宋体" w:eastAsia="宋体" w:cs="宋体"/>
          <w:b/>
          <w:color w:val="auto"/>
          <w:szCs w:val="28"/>
          <w:lang w:val="zh-CN"/>
        </w:rPr>
      </w:pPr>
    </w:p>
    <w:p>
      <w:pPr>
        <w:rPr>
          <w:rFonts w:ascii="宋体" w:hAnsi="宋体" w:cs="宋体"/>
          <w:b/>
          <w:color w:val="auto"/>
          <w:szCs w:val="28"/>
          <w:lang w:val="zh-CN"/>
        </w:rPr>
      </w:pPr>
    </w:p>
    <w:p>
      <w:pPr>
        <w:rPr>
          <w:rFonts w:ascii="宋体" w:hAnsi="宋体" w:cs="宋体"/>
          <w:b/>
          <w:color w:val="auto"/>
          <w:szCs w:val="28"/>
          <w:lang w:val="zh-CN"/>
        </w:rPr>
      </w:pPr>
    </w:p>
    <w:p>
      <w:pPr>
        <w:pStyle w:val="2"/>
        <w:rPr>
          <w:rFonts w:ascii="宋体" w:hAnsi="宋体" w:cs="宋体"/>
          <w:b/>
          <w:color w:val="auto"/>
          <w:szCs w:val="28"/>
          <w:lang w:val="zh-CN"/>
        </w:rPr>
      </w:pPr>
    </w:p>
    <w:p>
      <w:pPr>
        <w:rPr>
          <w:rFonts w:ascii="宋体" w:hAnsi="宋体" w:cs="宋体"/>
          <w:b/>
          <w:color w:val="auto"/>
          <w:szCs w:val="28"/>
          <w:lang w:val="zh-CN"/>
        </w:rPr>
      </w:pPr>
    </w:p>
    <w:p>
      <w:pPr>
        <w:pStyle w:val="2"/>
        <w:rPr>
          <w:color w:val="auto"/>
          <w:lang w:val="zh-CN"/>
        </w:rPr>
      </w:pPr>
    </w:p>
    <w:p>
      <w:pPr>
        <w:rPr>
          <w:color w:val="auto"/>
          <w:lang w:val="zh-CN"/>
        </w:rPr>
      </w:pPr>
    </w:p>
    <w:p>
      <w:pPr>
        <w:pStyle w:val="2"/>
        <w:rPr>
          <w:color w:val="auto"/>
          <w:lang w:val="zh-CN"/>
        </w:rPr>
      </w:pPr>
    </w:p>
    <w:p>
      <w:pPr>
        <w:rPr>
          <w:color w:val="auto"/>
          <w:lang w:val="zh-CN"/>
        </w:rPr>
      </w:pPr>
    </w:p>
    <w:p>
      <w:pPr>
        <w:pStyle w:val="2"/>
        <w:rPr>
          <w:color w:val="auto"/>
          <w:lang w:val="zh-CN"/>
        </w:rPr>
      </w:pPr>
    </w:p>
    <w:p>
      <w:pPr>
        <w:rPr>
          <w:color w:val="auto"/>
          <w:lang w:val="zh-CN"/>
        </w:rPr>
      </w:pPr>
    </w:p>
    <w:p>
      <w:pPr>
        <w:pStyle w:val="2"/>
        <w:rPr>
          <w:rFonts w:ascii="宋体" w:hAnsi="宋体" w:cs="宋体"/>
          <w:b/>
          <w:color w:val="auto"/>
          <w:szCs w:val="28"/>
          <w:lang w:val="zh-CN"/>
        </w:rPr>
      </w:pPr>
    </w:p>
    <w:p>
      <w:pPr>
        <w:rPr>
          <w:rFonts w:ascii="宋体" w:hAnsi="宋体" w:cs="宋体"/>
          <w:b/>
          <w:color w:val="auto"/>
          <w:szCs w:val="28"/>
          <w:lang w:val="zh-CN"/>
        </w:rPr>
      </w:pPr>
    </w:p>
    <w:p>
      <w:pPr>
        <w:pStyle w:val="2"/>
        <w:rPr>
          <w:rFonts w:ascii="宋体" w:hAnsi="宋体" w:cs="宋体"/>
          <w:b/>
          <w:color w:val="auto"/>
          <w:szCs w:val="28"/>
          <w:lang w:val="zh-CN"/>
        </w:rPr>
      </w:pPr>
    </w:p>
    <w:p>
      <w:pPr>
        <w:rPr>
          <w:rFonts w:ascii="宋体" w:hAnsi="宋体" w:cs="宋体"/>
          <w:b/>
          <w:color w:val="auto"/>
          <w:szCs w:val="28"/>
          <w:lang w:val="zh-CN"/>
        </w:rPr>
      </w:pPr>
    </w:p>
    <w:p>
      <w:pPr>
        <w:pStyle w:val="2"/>
        <w:rPr>
          <w:rFonts w:ascii="宋体" w:hAnsi="宋体" w:cs="宋体"/>
          <w:b/>
          <w:color w:val="auto"/>
          <w:szCs w:val="28"/>
          <w:lang w:val="zh-CN"/>
        </w:rPr>
      </w:pPr>
    </w:p>
    <w:p>
      <w:pPr>
        <w:rPr>
          <w:rFonts w:ascii="宋体" w:hAnsi="宋体" w:cs="宋体"/>
          <w:b/>
          <w:color w:val="auto"/>
          <w:szCs w:val="28"/>
          <w:lang w:val="zh-CN"/>
        </w:rPr>
      </w:pPr>
    </w:p>
    <w:p>
      <w:pPr>
        <w:pStyle w:val="2"/>
        <w:rPr>
          <w:rFonts w:ascii="宋体" w:hAnsi="宋体" w:cs="宋体"/>
          <w:b/>
          <w:color w:val="auto"/>
          <w:szCs w:val="28"/>
          <w:lang w:val="zh-CN"/>
        </w:rPr>
      </w:pPr>
    </w:p>
    <w:p>
      <w:pPr>
        <w:rPr>
          <w:color w:val="auto"/>
          <w:lang w:val="zh-CN"/>
        </w:rPr>
      </w:pPr>
    </w:p>
    <w:p>
      <w:pPr>
        <w:rPr>
          <w:rFonts w:ascii="宋体" w:hAnsi="宋体" w:cs="宋体"/>
          <w:b/>
          <w:color w:val="auto"/>
          <w:szCs w:val="28"/>
          <w:lang w:val="zh-CN"/>
        </w:rPr>
      </w:pPr>
    </w:p>
    <w:p>
      <w:pPr>
        <w:pStyle w:val="33"/>
        <w:rPr>
          <w:rFonts w:ascii="宋体" w:hAnsi="宋体" w:cs="宋体"/>
          <w:b/>
          <w:color w:val="auto"/>
          <w:szCs w:val="28"/>
          <w:lang w:val="zh-CN"/>
        </w:rPr>
      </w:pPr>
    </w:p>
    <w:p>
      <w:pPr>
        <w:pStyle w:val="33"/>
        <w:rPr>
          <w:rFonts w:ascii="宋体" w:hAnsi="宋体" w:cs="宋体"/>
          <w:b/>
          <w:color w:val="auto"/>
          <w:szCs w:val="28"/>
          <w:lang w:val="zh-CN"/>
        </w:rPr>
      </w:pPr>
    </w:p>
    <w:p>
      <w:pPr>
        <w:pStyle w:val="33"/>
        <w:rPr>
          <w:rFonts w:ascii="宋体" w:hAnsi="宋体" w:cs="宋体"/>
          <w:b/>
          <w:color w:val="auto"/>
          <w:szCs w:val="28"/>
          <w:lang w:val="zh-CN"/>
        </w:rPr>
      </w:pPr>
    </w:p>
    <w:p>
      <w:pPr>
        <w:pStyle w:val="33"/>
        <w:rPr>
          <w:rFonts w:ascii="宋体" w:hAnsi="宋体" w:cs="宋体"/>
          <w:b/>
          <w:color w:val="auto"/>
          <w:szCs w:val="28"/>
          <w:lang w:val="zh-CN"/>
        </w:rPr>
      </w:pPr>
    </w:p>
    <w:p>
      <w:pPr>
        <w:pStyle w:val="33"/>
        <w:rPr>
          <w:rFonts w:ascii="宋体" w:hAnsi="宋体" w:cs="宋体"/>
          <w:b/>
          <w:color w:val="auto"/>
          <w:szCs w:val="28"/>
          <w:lang w:val="zh-CN"/>
        </w:rPr>
      </w:pPr>
    </w:p>
    <w:p>
      <w:pPr>
        <w:pStyle w:val="2"/>
        <w:rPr>
          <w:rFonts w:ascii="宋体" w:hAnsi="宋体" w:cs="宋体"/>
          <w:b/>
          <w:color w:val="auto"/>
          <w:szCs w:val="28"/>
          <w:lang w:val="zh-CN"/>
        </w:rPr>
      </w:pPr>
    </w:p>
    <w:p>
      <w:pPr>
        <w:rPr>
          <w:color w:val="auto"/>
          <w:lang w:val="zh-CN"/>
        </w:rPr>
      </w:pPr>
    </w:p>
    <w:p>
      <w:pPr>
        <w:rPr>
          <w:rFonts w:ascii="宋体" w:hAnsi="宋体" w:cs="宋体"/>
          <w:b/>
          <w:color w:val="auto"/>
          <w:szCs w:val="28"/>
          <w:lang w:val="zh-CN"/>
        </w:rPr>
      </w:pPr>
    </w:p>
    <w:p>
      <w:pPr>
        <w:pStyle w:val="3"/>
        <w:keepLines w:val="0"/>
        <w:pageBreakBefore w:val="0"/>
        <w:widowControl w:val="0"/>
        <w:kinsoku/>
        <w:wordWrap/>
        <w:overflowPunct/>
        <w:topLinePunct w:val="0"/>
        <w:bidi w:val="0"/>
        <w:snapToGrid/>
        <w:spacing w:line="420" w:lineRule="exact"/>
        <w:rPr>
          <w:rFonts w:hint="default" w:ascii="宋体" w:hAnsi="宋体" w:eastAsia="宋体" w:cs="宋体"/>
          <w:color w:val="auto"/>
          <w:lang w:val="en-US" w:eastAsia="zh-CN"/>
        </w:rPr>
      </w:pPr>
      <w:bookmarkStart w:id="32" w:name="_Toc375"/>
      <w:r>
        <w:rPr>
          <w:rFonts w:hint="eastAsia" w:ascii="宋体" w:hAnsi="宋体" w:eastAsia="宋体" w:cs="宋体"/>
          <w:b/>
          <w:color w:val="auto"/>
          <w:szCs w:val="28"/>
          <w:lang w:val="zh-CN"/>
        </w:rPr>
        <w:t>第</w:t>
      </w:r>
      <w:r>
        <w:rPr>
          <w:rFonts w:hint="eastAsia" w:ascii="宋体" w:hAnsi="宋体" w:eastAsia="宋体" w:cs="宋体"/>
          <w:b/>
          <w:color w:val="auto"/>
          <w:szCs w:val="28"/>
        </w:rPr>
        <w:t>五</w:t>
      </w:r>
      <w:r>
        <w:rPr>
          <w:rFonts w:hint="eastAsia" w:ascii="宋体" w:hAnsi="宋体" w:eastAsia="宋体" w:cs="宋体"/>
          <w:b/>
          <w:color w:val="auto"/>
          <w:szCs w:val="28"/>
          <w:lang w:val="zh-CN"/>
        </w:rPr>
        <w:t>章</w:t>
      </w:r>
      <w:r>
        <w:rPr>
          <w:rFonts w:hint="eastAsia" w:ascii="宋体" w:hAnsi="宋体" w:eastAsia="宋体" w:cs="宋体"/>
          <w:b/>
          <w:color w:val="auto"/>
          <w:szCs w:val="28"/>
        </w:rPr>
        <w:t xml:space="preserve"> </w:t>
      </w:r>
      <w:r>
        <w:rPr>
          <w:rFonts w:hint="eastAsia" w:ascii="宋体" w:hAnsi="宋体" w:eastAsia="宋体" w:cs="宋体"/>
          <w:b/>
          <w:color w:val="auto"/>
          <w:szCs w:val="28"/>
          <w:lang w:val="en-US" w:eastAsia="zh-CN"/>
        </w:rPr>
        <w:t>工程量清单</w:t>
      </w:r>
      <w:bookmarkEnd w:id="32"/>
    </w:p>
    <w:tbl>
      <w:tblPr>
        <w:tblStyle w:val="35"/>
        <w:tblW w:w="8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1"/>
        <w:gridCol w:w="5706"/>
        <w:gridCol w:w="811"/>
        <w:gridCol w:w="1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工程名称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工程措施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透水砖广场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727.00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场地整平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727.00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素土碾压实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727.00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三七灰土夯实（10cm)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72.70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干性水泥砂浆（3cm)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21.81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铺筑透水砖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727.00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水源工程（大口井，直径3米，深度12米）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井体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2.1.1</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土方开挖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127.17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2.1.2</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无砂混凝土井壁管及安装（3m)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2.1.3</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卵石回填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2.1.4</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现浇C25刃脚底盘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2.1.5</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井底反滤层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2.1.6</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土方回填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44.51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2.1.7</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钢梯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2.1.8</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井盖C25板预制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2.1.9</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井盖板安装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2.1.10</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井盖C25梁（2根，0.24m*0.4m)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2.1.11</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井盖梁钢筋制安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2.1.12</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模板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56.52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水泵及配套设施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2.2.1</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水泵SJ75-20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2.2.2</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出水钢管6m（φ75mm)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2.2.3</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0.38KV电源线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喷灌工程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人工土方开挖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3245.00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土方回填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3245.00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UPVC-φ75-0.63MPa干管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UPVC-φ50-0.63MPa支管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小旋轮微喷头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2780.00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阀井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DN75闸阀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DN50排气阀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DN50闸阀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3.10</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堵头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691.00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林草措施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行道树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块状方形整地（60cm*60cm*60cm)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942.00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栽植国槐（胸径6-8cm)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942.00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⑴</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栽植国槐（胸径6-8cm)(栽植费）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942.00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⑵</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国槐（胸径6-8cm)土球苗木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960.84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苗木抚育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堤顶边坡绿化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撒播五彩石竹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⑴</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撒播五彩石竹（栽植费）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⑵</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五彩石竹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抚育管理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滩地绿化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整地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3.1.1</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块状方形整地（60cm</w:t>
            </w:r>
            <w:r>
              <w:rPr>
                <w:rFonts w:hint="default" w:ascii="Arial" w:hAnsi="Arial" w:eastAsia="宋体" w:cs="Arial"/>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60cm</w:t>
            </w:r>
            <w:r>
              <w:rPr>
                <w:rFonts w:hint="default" w:ascii="Arial" w:hAnsi="Arial" w:eastAsia="宋体" w:cs="Arial"/>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60cm)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278.00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3.1.2</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块状方形整地（40cm</w:t>
            </w:r>
            <w:r>
              <w:rPr>
                <w:rFonts w:hint="default" w:ascii="Arial" w:hAnsi="Arial" w:eastAsia="宋体" w:cs="Arial"/>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40cm</w:t>
            </w:r>
            <w:r>
              <w:rPr>
                <w:rFonts w:hint="default" w:ascii="Arial" w:hAnsi="Arial" w:eastAsia="宋体" w:cs="Arial"/>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40cm)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1041.00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乔木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278.00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3.2.1</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国槐（胸径6-8cm)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⑴</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国槐（胸径6-8cm)（栽植费）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⑵</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国槐（胸径6-8cm)土球苗木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3.2.2</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栽植大叶女贞（胸径6-8cm)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⑴</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栽植大叶女贞（胸径6-8cm)（栽植费）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⑵</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栽植大叶女贞（胸径6-8cm)土球苗木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3.2.3</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红叶李（胸径6-8cm)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⑴</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红叶李（胸径6-8cm)（栽植费）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⑵</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红叶李（胸径6-8cm)土球苗木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3.2.4</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栽植樱花（胸径6-8cm)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⑴</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栽植樱花（胸径6-8cm)（栽植费）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⑵</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栽植樱花（胸径6-8cm)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3.2.5</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栽植玉兰（胸径6-8cm)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⑴</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栽植玉兰（胸径6-8cm)（栽植费）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⑵</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玉兰（胸径6-8cm)土球苗木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28.56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灌木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1041.00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3.3.1</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海棠（h=60cm)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234.00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⑴</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海棠（h=60cm)（栽植费）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234.00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⑵</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海棠（h=60cm)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238.68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3.3.2</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凤尾兰（h=60cm)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⑴</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凤尾兰（h=60cm)（栽植费）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⑵</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凤尾兰（h=60cm)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112.20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3.3.3</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榆叶梅（h=60cm)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⑴</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榆叶梅（h=60cm)（栽植费）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⑵</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榆叶梅（h=60cm)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249.90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3.3.4</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莲翘（h=60cm)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⑴</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莲翘（h=60cm)（栽植费）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⑵</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莲翘（h=60cm)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113.22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3.3.5</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迎春花（2年生）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117.00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⑴</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迎春花（2年生）（栽植费）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117.00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⑵</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迎春花（2年生）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119.34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3.3.6</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棣棠（h=60cm)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⑴</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棣棠（h=60cm)（栽植费）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⑵</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棣棠（h=60cm)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228.48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草木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3.4.1</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白三叶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⑴</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白三叶（栽植费）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⑵</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白三叶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3.4.2</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黑麦草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⑴</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黑麦草（栽植费）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⑵</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黑麦草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3.4.3</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波斯菊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⑴</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波斯菊（栽植费）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⑵</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波斯菊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抚育管理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生态植草沟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土方开挖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种植黑麦草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⑴</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种草黑麦草（栽植费）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⑵</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黑麦草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抚育管理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水土保持林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穴状整地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9500.00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栽植侧柏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9500.00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⑴</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栽植侧柏（栽植费）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9500.00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⑵</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侧柏苗高1.0m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9690.00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抚育管理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封育治理措施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封育治理措施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穴状整地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11500.00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刺槐（2年生）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11500.00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⑴</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刺槐（2年生）（栽植费）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11500.00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⑵</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刺槐2年生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11730.00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封禁围栏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预制告示牌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四</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石凳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石桌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垃圾箱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5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导视牌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8.00 </w:t>
            </w:r>
          </w:p>
        </w:tc>
      </w:tr>
    </w:tbl>
    <w:p>
      <w:pPr>
        <w:rPr>
          <w:rFonts w:hint="eastAsia" w:ascii="宋体" w:hAnsi="宋体" w:cs="宋体"/>
          <w:b/>
          <w:bCs/>
          <w:color w:val="auto"/>
          <w:sz w:val="24"/>
          <w:szCs w:val="24"/>
          <w:lang w:val="en-US" w:eastAsia="zh-CN"/>
        </w:rPr>
      </w:pPr>
    </w:p>
    <w:p>
      <w:pPr>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注：本项目暂列金：5.38万元。</w:t>
      </w:r>
    </w:p>
    <w:p>
      <w:pPr>
        <w:pStyle w:val="2"/>
        <w:rPr>
          <w:rFonts w:hint="eastAsia" w:ascii="宋体" w:hAnsi="宋体" w:cs="宋体"/>
          <w:b/>
          <w:bCs/>
          <w:color w:val="auto"/>
          <w:sz w:val="24"/>
          <w:szCs w:val="24"/>
          <w:lang w:val="en-US" w:eastAsia="zh-CN"/>
        </w:rPr>
      </w:pPr>
    </w:p>
    <w:p>
      <w:pPr>
        <w:rPr>
          <w:rFonts w:hint="eastAsia" w:ascii="宋体" w:hAnsi="宋体" w:cs="宋体"/>
          <w:b/>
          <w:bCs/>
          <w:color w:val="auto"/>
          <w:sz w:val="24"/>
          <w:szCs w:val="24"/>
          <w:lang w:val="en-US" w:eastAsia="zh-CN"/>
        </w:rPr>
      </w:pPr>
    </w:p>
    <w:p>
      <w:pPr>
        <w:pStyle w:val="2"/>
        <w:rPr>
          <w:rFonts w:hint="eastAsia" w:ascii="宋体" w:hAnsi="宋体" w:cs="宋体"/>
          <w:b/>
          <w:bCs/>
          <w:color w:val="auto"/>
          <w:sz w:val="24"/>
          <w:szCs w:val="24"/>
          <w:lang w:val="en-US" w:eastAsia="zh-CN"/>
        </w:rPr>
      </w:pPr>
    </w:p>
    <w:p>
      <w:pPr>
        <w:rPr>
          <w:rFonts w:hint="eastAsia"/>
          <w:color w:val="auto"/>
          <w:lang w:val="en-US" w:eastAsia="zh-CN"/>
        </w:rPr>
      </w:pPr>
    </w:p>
    <w:p>
      <w:pPr>
        <w:rPr>
          <w:rFonts w:hint="eastAsia"/>
          <w:color w:val="auto"/>
          <w:lang w:val="en-US" w:eastAsia="zh-CN"/>
        </w:rPr>
      </w:pPr>
    </w:p>
    <w:p>
      <w:pPr>
        <w:pStyle w:val="3"/>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color w:val="auto"/>
          <w:szCs w:val="28"/>
          <w:lang w:val="zh-CN"/>
        </w:rPr>
      </w:pPr>
      <w:bookmarkStart w:id="33" w:name="_Toc24414"/>
      <w:r>
        <w:rPr>
          <w:rFonts w:hint="eastAsia" w:ascii="宋体" w:hAnsi="宋体" w:eastAsia="宋体" w:cs="宋体"/>
          <w:b/>
          <w:color w:val="auto"/>
          <w:szCs w:val="28"/>
          <w:lang w:val="zh-CN"/>
        </w:rPr>
        <w:t>第</w:t>
      </w:r>
      <w:r>
        <w:rPr>
          <w:rFonts w:hint="eastAsia" w:ascii="宋体" w:hAnsi="宋体" w:eastAsia="宋体" w:cs="宋体"/>
          <w:b/>
          <w:color w:val="auto"/>
          <w:szCs w:val="28"/>
        </w:rPr>
        <w:t>六</w:t>
      </w:r>
      <w:r>
        <w:rPr>
          <w:rFonts w:hint="eastAsia" w:ascii="宋体" w:hAnsi="宋体" w:eastAsia="宋体" w:cs="宋体"/>
          <w:b/>
          <w:color w:val="auto"/>
          <w:szCs w:val="28"/>
          <w:lang w:val="zh-CN"/>
        </w:rPr>
        <w:t xml:space="preserve">章 </w:t>
      </w:r>
      <w:bookmarkEnd w:id="31"/>
      <w:bookmarkStart w:id="34" w:name="_Toc16560"/>
      <w:r>
        <w:rPr>
          <w:rFonts w:hint="eastAsia" w:ascii="宋体" w:hAnsi="宋体" w:eastAsia="宋体" w:cs="宋体"/>
          <w:b/>
          <w:color w:val="auto"/>
          <w:szCs w:val="28"/>
          <w:lang w:val="zh-CN" w:eastAsia="zh-CN"/>
        </w:rPr>
        <w:t xml:space="preserve"> </w:t>
      </w:r>
      <w:r>
        <w:rPr>
          <w:rFonts w:hint="eastAsia" w:ascii="宋体" w:hAnsi="宋体" w:eastAsia="宋体" w:cs="宋体"/>
          <w:b/>
          <w:color w:val="auto"/>
          <w:szCs w:val="28"/>
          <w:lang w:val="zh-CN"/>
        </w:rPr>
        <w:t>技术</w:t>
      </w:r>
      <w:r>
        <w:rPr>
          <w:rFonts w:hint="eastAsia" w:ascii="宋体" w:hAnsi="宋体" w:eastAsia="宋体" w:cs="宋体"/>
          <w:b/>
          <w:color w:val="auto"/>
          <w:szCs w:val="28"/>
          <w:lang w:val="zh-CN" w:eastAsia="zh-CN"/>
        </w:rPr>
        <w:t>标准及</w:t>
      </w:r>
      <w:r>
        <w:rPr>
          <w:rFonts w:hint="eastAsia" w:ascii="宋体" w:hAnsi="宋体" w:eastAsia="宋体" w:cs="宋体"/>
          <w:b/>
          <w:color w:val="auto"/>
          <w:szCs w:val="28"/>
          <w:lang w:val="zh-CN"/>
        </w:rPr>
        <w:t>要求</w:t>
      </w:r>
      <w:bookmarkEnd w:id="33"/>
      <w:bookmarkEnd w:id="34"/>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cs="宋体"/>
          <w:b/>
          <w:bCs/>
          <w:color w:val="auto"/>
          <w:sz w:val="24"/>
          <w:szCs w:val="24"/>
          <w:highlight w:val="none"/>
          <w:lang w:val="en-US" w:eastAsia="zh-CN"/>
        </w:rPr>
      </w:pPr>
      <w:bookmarkStart w:id="35" w:name="_Toc503276971"/>
      <w:bookmarkStart w:id="36" w:name="_Toc503181530"/>
      <w:bookmarkStart w:id="37" w:name="_Toc507748766"/>
      <w:bookmarkStart w:id="38" w:name="_Toc503268284"/>
      <w:bookmarkStart w:id="39" w:name="_Toc9211"/>
      <w:r>
        <w:rPr>
          <w:rFonts w:hint="eastAsia" w:ascii="宋体" w:hAnsi="宋体" w:cs="宋体"/>
          <w:b/>
          <w:bCs/>
          <w:color w:val="auto"/>
          <w:sz w:val="24"/>
          <w:szCs w:val="24"/>
          <w:highlight w:val="none"/>
          <w:lang w:val="en-US" w:eastAsia="zh-CN"/>
        </w:rPr>
        <w:t>1、项目背景</w:t>
      </w:r>
    </w:p>
    <w:p>
      <w:pPr>
        <w:keepLines w:val="0"/>
        <w:pageBreakBefore w:val="0"/>
        <w:widowControl w:val="0"/>
        <w:kinsoku/>
        <w:wordWrap/>
        <w:overflowPunct/>
        <w:topLinePunct w:val="0"/>
        <w:bidi w:val="0"/>
        <w:snapToGrid/>
        <w:spacing w:line="42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2022年省级水利发展资金水土保持项目泾阳县清河水保生态小流域治理工程位于安吴镇淡村埝口抽水站南至木刘村公路桥段。项目区总面积482.11hm²，水土流失面积318.11hm²，已治理面积48.265hm²，涉及清河河道长度3.3km。</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2、建设规模</w:t>
      </w:r>
    </w:p>
    <w:p>
      <w:pPr>
        <w:keepLines w:val="0"/>
        <w:pageBreakBefore w:val="0"/>
        <w:widowControl w:val="0"/>
        <w:kinsoku/>
        <w:wordWrap/>
        <w:overflowPunct/>
        <w:topLinePunct w:val="0"/>
        <w:bidi w:val="0"/>
        <w:snapToGrid/>
        <w:spacing w:line="42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项目区总面积4.82km²，项目规划治理水土流失面积2.37km²。其中滩地水保生态治理面积 2.08hm²，堤防两侧土质边坡实施水保生态治理面积3.12hm²，荒坡栽植水保林12.75hm²，荒山封育治理面积 219.38hm²。具体为：铺筑透水砖广场727m²,新建大口井1眼，安装节水灌溉系统5.2hm²；栽植行道树942株，堤顶路两侧土质边坡绿化3.12hm²，滩地种草1.32hm²；滩地实施水保林生态治理面积 2.08hm²，滩地修建生态植草沟1000m；坡荒地栽植水保林9500株；荒山封育治理面积219.38 hm²（封育补植11500株，封禁围栏500m，设置告示牌2块)；配套在3处广场各配套石桌1个、石凳4个，设移动厕所1座、垃圾箱10个、导视牌8块。</w:t>
      </w:r>
    </w:p>
    <w:bookmarkEnd w:id="35"/>
    <w:bookmarkEnd w:id="36"/>
    <w:bookmarkEnd w:id="37"/>
    <w:bookmarkEnd w:id="38"/>
    <w:bookmarkEnd w:id="39"/>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4"/>
          <w:szCs w:val="24"/>
          <w:lang w:val="en-US" w:eastAsia="zh-CN"/>
        </w:rPr>
      </w:pPr>
      <w:bookmarkStart w:id="40" w:name="_Toc12163"/>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lang w:val="en-US" w:eastAsia="zh-CN"/>
        </w:rPr>
        <w:t>、工期要求</w:t>
      </w:r>
      <w:bookmarkEnd w:id="40"/>
      <w:r>
        <w:rPr>
          <w:rFonts w:hint="eastAsia" w:ascii="宋体" w:hAnsi="宋体" w:cs="宋体"/>
          <w:b/>
          <w:bCs/>
          <w:color w:val="auto"/>
          <w:sz w:val="24"/>
          <w:szCs w:val="24"/>
          <w:lang w:val="en-US" w:eastAsia="zh-CN"/>
        </w:rPr>
        <w:t>：</w:t>
      </w:r>
      <w:r>
        <w:rPr>
          <w:rFonts w:hint="eastAsia" w:ascii="宋体" w:hAnsi="宋体" w:cs="宋体"/>
          <w:b/>
          <w:bCs/>
          <w:color w:val="auto"/>
          <w:sz w:val="24"/>
          <w:szCs w:val="24"/>
          <w:highlight w:val="none"/>
          <w:lang w:val="en-US" w:eastAsia="zh-CN"/>
        </w:rPr>
        <w:t>10个月</w:t>
      </w:r>
      <w:r>
        <w:rPr>
          <w:rFonts w:hint="eastAsia" w:ascii="宋体" w:hAnsi="宋体" w:eastAsia="宋体" w:cs="宋体"/>
          <w:b/>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color w:val="auto"/>
          <w:sz w:val="24"/>
          <w:szCs w:val="24"/>
          <w:lang w:val="en-US" w:eastAsia="zh-CN"/>
        </w:rPr>
      </w:pPr>
      <w:bookmarkStart w:id="41" w:name="_bookmark184"/>
      <w:bookmarkEnd w:id="41"/>
      <w:r>
        <w:rPr>
          <w:rFonts w:hint="eastAsia" w:ascii="宋体" w:hAnsi="宋体" w:cs="宋体"/>
          <w:b/>
          <w:bCs/>
          <w:color w:val="auto"/>
          <w:sz w:val="24"/>
          <w:szCs w:val="24"/>
          <w:lang w:val="en-US" w:eastAsia="zh-CN"/>
        </w:rPr>
        <w:t>4、本项目暂列金：5.38万元。</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5、合同价款：固定单价合同，根据实际完成的工程量据实结算。</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6、验收标准</w:t>
      </w:r>
    </w:p>
    <w:p>
      <w:pPr>
        <w:keepLines w:val="0"/>
        <w:pageBreakBefore w:val="0"/>
        <w:widowControl w:val="0"/>
        <w:kinsoku/>
        <w:wordWrap/>
        <w:overflowPunct/>
        <w:topLinePunct w:val="0"/>
        <w:bidi w:val="0"/>
        <w:snapToGrid/>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1、工程竣工验收应具备的条件：</w:t>
      </w:r>
    </w:p>
    <w:p>
      <w:pPr>
        <w:keepLines w:val="0"/>
        <w:pageBreakBefore w:val="0"/>
        <w:widowControl w:val="0"/>
        <w:kinsoku/>
        <w:wordWrap/>
        <w:overflowPunct/>
        <w:topLinePunct w:val="0"/>
        <w:bidi w:val="0"/>
        <w:snapToGrid/>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（1）工程全部完成并通过相关部门的预验收并完成全部清理工作。</w:t>
      </w:r>
    </w:p>
    <w:p>
      <w:pPr>
        <w:keepLines w:val="0"/>
        <w:pageBreakBefore w:val="0"/>
        <w:widowControl w:val="0"/>
        <w:kinsoku/>
        <w:wordWrap/>
        <w:overflowPunct/>
        <w:topLinePunct w:val="0"/>
        <w:bidi w:val="0"/>
        <w:snapToGrid/>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（2）施工单位准备好全部验收资料。包括：交付验收基础资料、隐蔽工程验收资料、及工程竣工图，主要材料、设备、设施清单（品名、生产厂家、产地、产品质保书）预验收报告，质量评定等。</w:t>
      </w:r>
    </w:p>
    <w:p>
      <w:pPr>
        <w:keepLines w:val="0"/>
        <w:pageBreakBefore w:val="0"/>
        <w:widowControl w:val="0"/>
        <w:kinsoku/>
        <w:wordWrap/>
        <w:overflowPunct/>
        <w:topLinePunct w:val="0"/>
        <w:bidi w:val="0"/>
        <w:snapToGrid/>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2、工程竣工验收条件具备后，建设单位组织本工程的竣工验收。</w:t>
      </w:r>
    </w:p>
    <w:p>
      <w:pPr>
        <w:keepLines w:val="0"/>
        <w:pageBreakBefore w:val="0"/>
        <w:widowControl w:val="0"/>
        <w:kinsoku/>
        <w:wordWrap/>
        <w:overflowPunct/>
        <w:topLinePunct w:val="0"/>
        <w:bidi w:val="0"/>
        <w:snapToGrid/>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3、工程的验收依据是：</w:t>
      </w:r>
    </w:p>
    <w:p>
      <w:pPr>
        <w:keepLines w:val="0"/>
        <w:pageBreakBefore w:val="0"/>
        <w:widowControl w:val="0"/>
        <w:kinsoku/>
        <w:wordWrap/>
        <w:overflowPunct/>
        <w:topLinePunct w:val="0"/>
        <w:bidi w:val="0"/>
        <w:snapToGrid/>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（1）工程设计文件。</w:t>
      </w:r>
    </w:p>
    <w:p>
      <w:pPr>
        <w:keepLines w:val="0"/>
        <w:pageBreakBefore w:val="0"/>
        <w:widowControl w:val="0"/>
        <w:kinsoku/>
        <w:wordWrap/>
        <w:overflowPunct/>
        <w:topLinePunct w:val="0"/>
        <w:bidi w:val="0"/>
        <w:snapToGrid/>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采购</w:t>
      </w:r>
      <w:r>
        <w:rPr>
          <w:rFonts w:hint="eastAsia" w:ascii="宋体" w:hAnsi="宋体" w:cs="宋体"/>
          <w:color w:val="auto"/>
          <w:sz w:val="24"/>
          <w:szCs w:val="24"/>
        </w:rPr>
        <w:t>文件。</w:t>
      </w:r>
    </w:p>
    <w:p>
      <w:pPr>
        <w:keepLines w:val="0"/>
        <w:pageBreakBefore w:val="0"/>
        <w:widowControl w:val="0"/>
        <w:kinsoku/>
        <w:wordWrap/>
        <w:overflowPunct/>
        <w:topLinePunct w:val="0"/>
        <w:bidi w:val="0"/>
        <w:snapToGrid/>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rPr>
        <w:t>3）</w:t>
      </w:r>
      <w:r>
        <w:rPr>
          <w:rFonts w:hint="eastAsia" w:ascii="宋体" w:hAnsi="宋体" w:cs="宋体"/>
          <w:color w:val="auto"/>
          <w:sz w:val="24"/>
          <w:szCs w:val="24"/>
          <w:lang w:val="en-US" w:eastAsia="zh-CN"/>
        </w:rPr>
        <w:t>响应</w:t>
      </w:r>
      <w:r>
        <w:rPr>
          <w:rFonts w:hint="eastAsia" w:ascii="宋体" w:hAnsi="宋体" w:cs="宋体"/>
          <w:color w:val="auto"/>
          <w:sz w:val="24"/>
          <w:szCs w:val="24"/>
        </w:rPr>
        <w:t>文件。</w:t>
      </w:r>
    </w:p>
    <w:p>
      <w:pPr>
        <w:keepLines w:val="0"/>
        <w:pageBreakBefore w:val="0"/>
        <w:widowControl w:val="0"/>
        <w:kinsoku/>
        <w:wordWrap/>
        <w:overflowPunct/>
        <w:topLinePunct w:val="0"/>
        <w:bidi w:val="0"/>
        <w:snapToGrid/>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lang w:eastAsia="zh-CN"/>
        </w:rPr>
        <w:t>）</w:t>
      </w:r>
      <w:r>
        <w:rPr>
          <w:rFonts w:hint="eastAsia" w:ascii="宋体" w:hAnsi="宋体" w:cs="宋体"/>
          <w:color w:val="auto"/>
          <w:sz w:val="24"/>
          <w:szCs w:val="24"/>
        </w:rPr>
        <w:t>合同。</w:t>
      </w:r>
    </w:p>
    <w:p>
      <w:pPr>
        <w:keepLines w:val="0"/>
        <w:pageBreakBefore w:val="0"/>
        <w:widowControl w:val="0"/>
        <w:kinsoku/>
        <w:wordWrap/>
        <w:overflowPunct/>
        <w:topLinePunct w:val="0"/>
        <w:bidi w:val="0"/>
        <w:snapToGrid/>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（5）国家和行业及陕西省现行的有关技术规范标准等。</w:t>
      </w:r>
    </w:p>
    <w:p>
      <w:pPr>
        <w:keepLines w:val="0"/>
        <w:pageBreakBefore w:val="0"/>
        <w:widowControl w:val="0"/>
        <w:kinsoku/>
        <w:wordWrap/>
        <w:overflowPunct/>
        <w:topLinePunct w:val="0"/>
        <w:bidi w:val="0"/>
        <w:snapToGrid/>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4、工程验收后，施工单位有义务将其维护管理至正式移交。</w:t>
      </w:r>
    </w:p>
    <w:p>
      <w:pPr>
        <w:rPr>
          <w:rFonts w:hint="eastAsia" w:ascii="宋体" w:hAnsi="宋体" w:cs="宋体"/>
          <w:color w:val="auto"/>
          <w:sz w:val="24"/>
          <w:szCs w:val="24"/>
        </w:rPr>
      </w:pPr>
    </w:p>
    <w:p>
      <w:pPr>
        <w:pStyle w:val="2"/>
        <w:keepLines w:val="0"/>
        <w:pageBreakBefore w:val="0"/>
        <w:widowControl w:val="0"/>
        <w:kinsoku/>
        <w:wordWrap/>
        <w:overflowPunct/>
        <w:topLinePunct w:val="0"/>
        <w:bidi w:val="0"/>
        <w:snapToGrid/>
        <w:spacing w:line="420" w:lineRule="exact"/>
        <w:ind w:firstLine="240" w:firstLineChars="100"/>
        <w:textAlignment w:val="auto"/>
        <w:rPr>
          <w:rFonts w:hint="eastAsia" w:ascii="宋体" w:hAnsi="宋体" w:cs="宋体"/>
          <w:color w:val="auto"/>
          <w:sz w:val="24"/>
          <w:szCs w:val="24"/>
        </w:rPr>
      </w:pPr>
    </w:p>
    <w:p>
      <w:pPr>
        <w:rPr>
          <w:color w:val="auto"/>
        </w:rPr>
      </w:pPr>
    </w:p>
    <w:p>
      <w:pPr>
        <w:pStyle w:val="3"/>
        <w:rPr>
          <w:rFonts w:hint="eastAsia" w:ascii="宋体" w:hAnsi="宋体" w:eastAsia="宋体" w:cs="宋体"/>
          <w:b/>
          <w:bCs/>
          <w:color w:val="auto"/>
          <w:sz w:val="32"/>
          <w:szCs w:val="32"/>
          <w:lang w:val="zh-CN"/>
        </w:rPr>
      </w:pPr>
      <w:bookmarkStart w:id="42" w:name="_Toc24565"/>
      <w:r>
        <w:rPr>
          <w:rFonts w:hint="eastAsia" w:ascii="宋体" w:hAnsi="宋体" w:eastAsia="宋体" w:cs="宋体"/>
          <w:b/>
          <w:bCs/>
          <w:color w:val="auto"/>
          <w:sz w:val="32"/>
          <w:szCs w:val="32"/>
          <w:lang w:val="zh-CN"/>
        </w:rPr>
        <w:t>第七章  合同协议书</w:t>
      </w:r>
      <w:bookmarkEnd w:id="42"/>
      <w:bookmarkStart w:id="43" w:name="_Toc389553742"/>
      <w:bookmarkStart w:id="44" w:name="_Toc8194597"/>
    </w:p>
    <w:p>
      <w:pPr>
        <w:keepLines w:val="0"/>
        <w:pageBreakBefore w:val="0"/>
        <w:kinsoku/>
        <w:wordWrap/>
        <w:overflowPunct/>
        <w:topLinePunct w:val="0"/>
        <w:bidi w:val="0"/>
        <w:spacing w:line="420" w:lineRule="exact"/>
        <w:jc w:val="center"/>
        <w:rPr>
          <w:rFonts w:ascii="宋体" w:hAnsi="宋体" w:cs="宋体"/>
          <w:b/>
          <w:color w:val="auto"/>
          <w:sz w:val="24"/>
          <w:szCs w:val="24"/>
        </w:rPr>
      </w:pPr>
      <w:r>
        <w:rPr>
          <w:rFonts w:hint="eastAsia" w:ascii="宋体" w:hAnsi="宋体" w:cs="宋体"/>
          <w:b/>
          <w:color w:val="auto"/>
          <w:sz w:val="24"/>
          <w:szCs w:val="24"/>
        </w:rPr>
        <w:t>（合同模板仅供参考，具体以实际签订合同为准）</w:t>
      </w:r>
    </w:p>
    <w:bookmarkEnd w:id="43"/>
    <w:bookmarkEnd w:id="44"/>
    <w:p>
      <w:pPr>
        <w:keepLines w:val="0"/>
        <w:pageBreakBefore w:val="0"/>
        <w:kinsoku/>
        <w:wordWrap/>
        <w:overflowPunct/>
        <w:topLinePunct w:val="0"/>
        <w:bidi w:val="0"/>
        <w:spacing w:line="420" w:lineRule="exact"/>
        <w:jc w:val="center"/>
        <w:rPr>
          <w:rFonts w:hint="eastAsia" w:ascii="宋体" w:hAnsi="宋体" w:eastAsia="宋体" w:cs="宋体"/>
          <w:b/>
          <w:color w:val="auto"/>
          <w:sz w:val="24"/>
          <w:szCs w:val="24"/>
        </w:rPr>
      </w:pPr>
      <w:bookmarkStart w:id="45" w:name="_Toc29108"/>
      <w:r>
        <w:rPr>
          <w:rFonts w:hint="eastAsia" w:ascii="宋体" w:hAnsi="宋体" w:eastAsia="宋体" w:cs="宋体"/>
          <w:b/>
          <w:color w:val="auto"/>
          <w:sz w:val="24"/>
          <w:szCs w:val="24"/>
        </w:rPr>
        <w:t>第一节 合同协议书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发包方（甲方）全称： </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承包方（乙方）全称：</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 xml:space="preserve">》、《中华人民共和国建筑法》等相关法律法规及甲方的有关规定，结合本工程的具体情况和特点，为明确甲乙双方在施工中的权利、责任和义务，经双方友好协商，达成如下协议：      </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1．本协议书与下列文件一起构成合同文件：</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（l）中标通知书；</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b w:val="0"/>
          <w:bCs w:val="0"/>
          <w:color w:val="auto"/>
          <w:sz w:val="24"/>
          <w:szCs w:val="24"/>
          <w:lang w:val="zh-CN"/>
        </w:rPr>
        <w:t>磋商响应函</w:t>
      </w:r>
      <w:r>
        <w:rPr>
          <w:rFonts w:hint="eastAsia" w:ascii="宋体" w:hAnsi="宋体" w:cs="宋体"/>
          <w:b w:val="0"/>
          <w:bCs w:val="0"/>
          <w:color w:val="auto"/>
          <w:sz w:val="24"/>
          <w:szCs w:val="24"/>
          <w:lang w:val="en-US" w:eastAsia="zh-CN"/>
        </w:rPr>
        <w:t>及响应函附录</w:t>
      </w:r>
      <w:r>
        <w:rPr>
          <w:rFonts w:hint="eastAsia" w:ascii="宋体" w:hAnsi="宋体" w:eastAsia="宋体" w:cs="宋体"/>
          <w:color w:val="auto"/>
          <w:sz w:val="24"/>
          <w:szCs w:val="24"/>
        </w:rPr>
        <w:t>；</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（3）专用合同条款；</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（4）通用合同条款；</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（5）技术标准和要求；</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（6）图纸；</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（7）已标价工程量清单；</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（8）其他合同文件。</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2．上述文件互相补充和解释，如有不明确或不一致之处，以合同约定次序在先者为准。</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3．签约合同价：人民币（大写）</w:t>
      </w:r>
      <w:bookmarkStart w:id="46" w:name="OLE_LINK1"/>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bookmarkEnd w:id="46"/>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4．承包人项目经理：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5．工程质量符合</w:t>
      </w:r>
      <w:r>
        <w:rPr>
          <w:rFonts w:hint="eastAsia" w:ascii="宋体" w:hAnsi="宋体" w:eastAsia="宋体" w:cs="宋体"/>
          <w:color w:val="auto"/>
          <w:sz w:val="24"/>
          <w:szCs w:val="24"/>
          <w:u w:val="single"/>
        </w:rPr>
        <w:t xml:space="preserve">  合格  </w:t>
      </w:r>
      <w:r>
        <w:rPr>
          <w:rFonts w:hint="eastAsia" w:ascii="宋体" w:hAnsi="宋体" w:eastAsia="宋体" w:cs="宋体"/>
          <w:color w:val="auto"/>
          <w:sz w:val="24"/>
          <w:szCs w:val="24"/>
        </w:rPr>
        <w:t>标准。</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6．承包人承诺按合同约定承担工程的实施、完成及缺陷修复。</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7．发包人承诺按合同约定的条件、时间和方式向承包人支付合同价款。</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8．承包人承诺执行监理人开工通知，计划工期为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日历天</w:t>
      </w:r>
      <w:r>
        <w:rPr>
          <w:rFonts w:hint="eastAsia" w:ascii="宋体" w:hAnsi="宋体" w:eastAsia="宋体" w:cs="宋体"/>
          <w:color w:val="auto"/>
          <w:sz w:val="24"/>
          <w:szCs w:val="24"/>
        </w:rPr>
        <w:t>。</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9．本协议书一式</w:t>
      </w:r>
      <w:r>
        <w:rPr>
          <w:rFonts w:hint="eastAsia" w:ascii="宋体" w:hAnsi="宋体" w:eastAsia="宋体" w:cs="宋体"/>
          <w:color w:val="auto"/>
          <w:sz w:val="24"/>
          <w:szCs w:val="24"/>
          <w:u w:val="single"/>
        </w:rPr>
        <w:t xml:space="preserve"> 陆 </w:t>
      </w:r>
      <w:r>
        <w:rPr>
          <w:rFonts w:hint="eastAsia" w:ascii="宋体" w:hAnsi="宋体" w:eastAsia="宋体" w:cs="宋体"/>
          <w:color w:val="auto"/>
          <w:sz w:val="24"/>
          <w:szCs w:val="24"/>
        </w:rPr>
        <w:t>份。</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10．合同未尽事宜，双方另行签订补充协议。补充协议是合同的组成部分。</w:t>
      </w:r>
    </w:p>
    <w:p>
      <w:pPr>
        <w:keepLines w:val="0"/>
        <w:pageBreakBefore w:val="0"/>
        <w:widowControl w:val="0"/>
        <w:kinsoku/>
        <w:wordWrap/>
        <w:overflowPunct/>
        <w:topLinePunct w:val="0"/>
        <w:autoSpaceDE w:val="0"/>
        <w:autoSpaceDN w:val="0"/>
        <w:bidi w:val="0"/>
        <w:adjustRightInd w:val="0"/>
        <w:spacing w:line="42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发  包  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盖单位章）　   承  包  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（盖单位章） </w:t>
      </w:r>
    </w:p>
    <w:p>
      <w:pPr>
        <w:keepLines w:val="0"/>
        <w:pageBreakBefore w:val="0"/>
        <w:widowControl w:val="0"/>
        <w:kinsoku/>
        <w:wordWrap/>
        <w:overflowPunct/>
        <w:topLinePunct w:val="0"/>
        <w:autoSpaceDE w:val="0"/>
        <w:autoSpaceDN w:val="0"/>
        <w:bidi w:val="0"/>
        <w:adjustRightInd w:val="0"/>
        <w:spacing w:line="420" w:lineRule="exact"/>
        <w:ind w:left="359" w:leftChars="114" w:hanging="120" w:hangingChars="50"/>
        <w:rPr>
          <w:rFonts w:hint="eastAsia" w:ascii="宋体" w:hAnsi="宋体" w:eastAsia="宋体" w:cs="宋体"/>
          <w:color w:val="auto"/>
          <w:sz w:val="24"/>
          <w:szCs w:val="24"/>
        </w:rPr>
      </w:pPr>
      <w:r>
        <w:rPr>
          <w:rFonts w:hint="eastAsia" w:ascii="宋体" w:hAnsi="宋体" w:eastAsia="宋体" w:cs="宋体"/>
          <w:color w:val="auto"/>
          <w:sz w:val="24"/>
          <w:szCs w:val="24"/>
        </w:rPr>
        <w:t>法定代表人                           法定代表人</w:t>
      </w:r>
    </w:p>
    <w:p>
      <w:pPr>
        <w:keepLines w:val="0"/>
        <w:pageBreakBefore w:val="0"/>
        <w:widowControl w:val="0"/>
        <w:kinsoku/>
        <w:wordWrap/>
        <w:overflowPunct/>
        <w:topLinePunct w:val="0"/>
        <w:autoSpaceDE w:val="0"/>
        <w:autoSpaceDN w:val="0"/>
        <w:bidi w:val="0"/>
        <w:adjustRightInd w:val="0"/>
        <w:spacing w:line="42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（或其委托代理人）：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 （或其委托代理人）：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w:t>
      </w:r>
    </w:p>
    <w:p>
      <w:pPr>
        <w:keepLines w:val="0"/>
        <w:pageBreakBefore w:val="0"/>
        <w:widowControl w:val="0"/>
        <w:kinsoku/>
        <w:wordWrap/>
        <w:overflowPunct/>
        <w:topLinePunct w:val="0"/>
        <w:autoSpaceDE w:val="0"/>
        <w:autoSpaceDN w:val="0"/>
        <w:bidi w:val="0"/>
        <w:adjustRightInd w:val="0"/>
        <w:spacing w:line="42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开户银行：</w:t>
      </w:r>
      <w:r>
        <w:rPr>
          <w:rFonts w:hint="eastAsia" w:ascii="宋体" w:hAnsi="宋体" w:eastAsia="宋体" w:cs="宋体"/>
          <w:color w:val="auto"/>
          <w:sz w:val="24"/>
          <w:szCs w:val="24"/>
          <w:u w:val="single"/>
        </w:rPr>
        <w:t xml:space="preserve">        </w:t>
      </w:r>
    </w:p>
    <w:p>
      <w:pPr>
        <w:keepLines w:val="0"/>
        <w:pageBreakBefore w:val="0"/>
        <w:widowControl w:val="0"/>
        <w:kinsoku/>
        <w:wordWrap/>
        <w:overflowPunct/>
        <w:topLinePunct w:val="0"/>
        <w:autoSpaceDE w:val="0"/>
        <w:autoSpaceDN w:val="0"/>
        <w:bidi w:val="0"/>
        <w:adjustRightInd w:val="0"/>
        <w:spacing w:line="420" w:lineRule="exact"/>
        <w:ind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开户账号：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开户账号：</w:t>
      </w:r>
      <w:r>
        <w:rPr>
          <w:rFonts w:hint="eastAsia" w:ascii="宋体" w:hAnsi="宋体" w:eastAsia="宋体" w:cs="宋体"/>
          <w:color w:val="auto"/>
          <w:sz w:val="24"/>
          <w:szCs w:val="24"/>
          <w:u w:val="single"/>
        </w:rPr>
        <w:t xml:space="preserve">       </w:t>
      </w:r>
    </w:p>
    <w:p>
      <w:pPr>
        <w:keepLines w:val="0"/>
        <w:pageBreakBefore w:val="0"/>
        <w:widowControl w:val="0"/>
        <w:kinsoku/>
        <w:wordWrap/>
        <w:overflowPunct/>
        <w:topLinePunct w:val="0"/>
        <w:autoSpaceDE w:val="0"/>
        <w:autoSpaceDN w:val="0"/>
        <w:bidi w:val="0"/>
        <w:adjustRightInd w:val="0"/>
        <w:spacing w:line="420" w:lineRule="exact"/>
        <w:ind w:firstLine="720" w:firstLineChars="300"/>
        <w:rPr>
          <w:rFonts w:hint="eastAsia"/>
          <w:color w:val="auto"/>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bookmarkStart w:id="47" w:name="_Toc439684358"/>
      <w:bookmarkStart w:id="48" w:name="_Toc414268897"/>
      <w:bookmarkStart w:id="49" w:name="_Toc203759002"/>
      <w:bookmarkStart w:id="50" w:name="_Toc453678702"/>
      <w:bookmarkStart w:id="51" w:name="_Toc184635122"/>
      <w:bookmarkStart w:id="52" w:name="_Toc414368593"/>
      <w:bookmarkStart w:id="53" w:name="_Toc414275438"/>
      <w:bookmarkStart w:id="54" w:name="_Toc414352121"/>
      <w:bookmarkStart w:id="55" w:name="_Toc453677510"/>
      <w:bookmarkStart w:id="56" w:name="_Toc434412372"/>
    </w:p>
    <w:p>
      <w:pPr>
        <w:keepLines w:val="0"/>
        <w:pageBreakBefore w:val="0"/>
        <w:widowControl w:val="0"/>
        <w:kinsoku/>
        <w:wordWrap/>
        <w:overflowPunct/>
        <w:topLinePunct w:val="0"/>
        <w:autoSpaceDE w:val="0"/>
        <w:autoSpaceDN w:val="0"/>
        <w:bidi w:val="0"/>
        <w:adjustRightInd w:val="0"/>
        <w:snapToGrid w:val="0"/>
        <w:spacing w:line="42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第二节 专用合同条款</w:t>
      </w:r>
      <w:bookmarkEnd w:id="47"/>
      <w:bookmarkEnd w:id="48"/>
      <w:bookmarkEnd w:id="49"/>
      <w:bookmarkEnd w:id="50"/>
      <w:bookmarkEnd w:id="51"/>
      <w:bookmarkEnd w:id="52"/>
      <w:bookmarkEnd w:id="53"/>
      <w:bookmarkEnd w:id="54"/>
      <w:bookmarkEnd w:id="55"/>
      <w:bookmarkEnd w:id="56"/>
    </w:p>
    <w:p>
      <w:pPr>
        <w:pStyle w:val="4"/>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57" w:name="_Toc414352122"/>
      <w:bookmarkStart w:id="58" w:name="_Toc434412373"/>
      <w:bookmarkStart w:id="59" w:name="_Toc414275439"/>
      <w:bookmarkStart w:id="60" w:name="_Toc453677511"/>
      <w:bookmarkStart w:id="61" w:name="_Toc439684359"/>
      <w:bookmarkStart w:id="62" w:name="_Toc414268898"/>
      <w:bookmarkStart w:id="63" w:name="_Toc414368594"/>
      <w:bookmarkStart w:id="64" w:name="_Toc203759003"/>
      <w:bookmarkStart w:id="65" w:name="_Toc453678703"/>
      <w:r>
        <w:rPr>
          <w:rFonts w:hint="eastAsia" w:ascii="宋体" w:hAnsi="宋体" w:eastAsia="宋体" w:cs="宋体"/>
          <w:color w:val="auto"/>
          <w:sz w:val="24"/>
          <w:szCs w:val="24"/>
        </w:rPr>
        <w:t>1．一般约定</w:t>
      </w:r>
      <w:bookmarkEnd w:id="57"/>
      <w:bookmarkEnd w:id="58"/>
      <w:bookmarkEnd w:id="59"/>
      <w:bookmarkEnd w:id="60"/>
      <w:bookmarkEnd w:id="61"/>
      <w:bookmarkEnd w:id="62"/>
      <w:bookmarkEnd w:id="63"/>
      <w:bookmarkEnd w:id="64"/>
      <w:bookmarkEnd w:id="65"/>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66" w:name="_Toc414368595"/>
      <w:bookmarkStart w:id="67" w:name="_Toc434412374"/>
      <w:bookmarkStart w:id="68" w:name="_Toc439684360"/>
      <w:bookmarkStart w:id="69" w:name="_Toc453677512"/>
      <w:bookmarkStart w:id="70" w:name="_Toc414275440"/>
      <w:bookmarkStart w:id="71" w:name="_Toc453678704"/>
      <w:bookmarkStart w:id="72" w:name="_Toc414352123"/>
      <w:r>
        <w:rPr>
          <w:rFonts w:hint="eastAsia" w:ascii="宋体" w:hAnsi="宋体" w:eastAsia="宋体" w:cs="宋体"/>
          <w:color w:val="auto"/>
          <w:sz w:val="24"/>
          <w:szCs w:val="24"/>
        </w:rPr>
        <w:t>1.1 词语定义</w:t>
      </w:r>
      <w:bookmarkEnd w:id="66"/>
      <w:bookmarkEnd w:id="67"/>
      <w:bookmarkEnd w:id="68"/>
      <w:bookmarkEnd w:id="69"/>
      <w:bookmarkEnd w:id="70"/>
      <w:bookmarkEnd w:id="71"/>
      <w:bookmarkEnd w:id="72"/>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 合同当事人和人员</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b/>
          <w:bCs/>
          <w:color w:val="auto"/>
          <w:sz w:val="24"/>
          <w:szCs w:val="24"/>
          <w:u w:val="single"/>
        </w:rPr>
      </w:pPr>
      <w:r>
        <w:rPr>
          <w:rFonts w:hint="eastAsia" w:ascii="宋体" w:hAnsi="宋体" w:eastAsia="宋体" w:cs="宋体"/>
          <w:color w:val="auto"/>
          <w:sz w:val="24"/>
          <w:szCs w:val="24"/>
        </w:rPr>
        <w:t>1.1.2 发包人：</w:t>
      </w:r>
      <w:r>
        <w:rPr>
          <w:rFonts w:hint="eastAsia" w:ascii="宋体" w:hAnsi="宋体" w:eastAsia="宋体" w:cs="宋体"/>
          <w:b/>
          <w:bCs/>
          <w:color w:val="auto"/>
          <w:sz w:val="24"/>
          <w:szCs w:val="24"/>
          <w:u w:val="single"/>
        </w:rPr>
        <w:t xml:space="preserve">                     </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1.1.3 承包人：</w:t>
      </w:r>
      <w:r>
        <w:rPr>
          <w:rFonts w:hint="eastAsia" w:ascii="宋体" w:hAnsi="宋体" w:eastAsia="宋体" w:cs="宋体"/>
          <w:b/>
          <w:bCs/>
          <w:color w:val="auto"/>
          <w:sz w:val="24"/>
          <w:szCs w:val="24"/>
          <w:u w:val="single"/>
        </w:rPr>
        <w:t xml:space="preserve">                  </w:t>
      </w:r>
      <w:r>
        <w:rPr>
          <w:rFonts w:hint="eastAsia" w:ascii="宋体" w:hAnsi="宋体" w:eastAsia="宋体" w:cs="宋体"/>
          <w:color w:val="auto"/>
          <w:sz w:val="24"/>
          <w:szCs w:val="24"/>
          <w:u w:val="single"/>
        </w:rPr>
        <w:t xml:space="preserve">   </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1.1.4 分包人：</w:t>
      </w:r>
      <w:r>
        <w:rPr>
          <w:rFonts w:hint="eastAsia" w:ascii="宋体" w:hAnsi="宋体" w:eastAsia="宋体" w:cs="宋体"/>
          <w:b/>
          <w:color w:val="auto"/>
          <w:sz w:val="24"/>
          <w:szCs w:val="24"/>
          <w:u w:val="single"/>
        </w:rPr>
        <w:t>本工程不允许分包</w:t>
      </w:r>
      <w:r>
        <w:rPr>
          <w:rFonts w:hint="eastAsia" w:ascii="宋体" w:hAnsi="宋体" w:eastAsia="宋体" w:cs="宋体"/>
          <w:color w:val="auto"/>
          <w:sz w:val="24"/>
          <w:szCs w:val="24"/>
          <w:u w:val="single"/>
        </w:rPr>
        <w:t xml:space="preserve">     </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1.1.5 监理人：</w:t>
      </w:r>
      <w:r>
        <w:rPr>
          <w:rFonts w:hint="eastAsia" w:ascii="宋体" w:hAnsi="宋体" w:eastAsia="宋体" w:cs="宋体"/>
          <w:b/>
          <w:color w:val="auto"/>
          <w:sz w:val="24"/>
          <w:szCs w:val="24"/>
          <w:u w:val="single"/>
        </w:rPr>
        <w:t xml:space="preserve">                     </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1.1.6 日期：</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u w:val="single"/>
        </w:rPr>
        <w:t xml:space="preserve">                                      </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1.1.7缺陷责任期 （ 工程质量保修</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工程竣工验收合格后1年</w:t>
      </w:r>
      <w:r>
        <w:rPr>
          <w:rFonts w:hint="eastAsia" w:ascii="宋体" w:hAnsi="宋体" w:eastAsia="宋体" w:cs="宋体"/>
          <w:color w:val="auto"/>
          <w:sz w:val="24"/>
          <w:szCs w:val="24"/>
          <w:highlight w:val="none"/>
        </w:rPr>
        <w:t xml:space="preserve"> </w:t>
      </w:r>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73" w:name="_Toc453678705"/>
      <w:bookmarkStart w:id="74" w:name="_Toc453677513"/>
      <w:bookmarkStart w:id="75" w:name="_Toc414275441"/>
      <w:bookmarkStart w:id="76" w:name="_Toc439684361"/>
      <w:bookmarkStart w:id="77" w:name="_Toc434412375"/>
      <w:bookmarkStart w:id="78" w:name="_Toc414368596"/>
      <w:bookmarkStart w:id="79" w:name="_Toc414268899"/>
      <w:bookmarkStart w:id="80" w:name="_Toc414352124"/>
      <w:r>
        <w:rPr>
          <w:rFonts w:hint="eastAsia" w:ascii="宋体" w:hAnsi="宋体" w:eastAsia="宋体" w:cs="宋体"/>
          <w:color w:val="auto"/>
          <w:sz w:val="24"/>
          <w:szCs w:val="24"/>
        </w:rPr>
        <w:t>1.2 合同文件的优先顺序</w:t>
      </w:r>
      <w:bookmarkEnd w:id="73"/>
      <w:bookmarkEnd w:id="74"/>
      <w:bookmarkEnd w:id="75"/>
      <w:bookmarkEnd w:id="76"/>
      <w:bookmarkEnd w:id="77"/>
      <w:bookmarkEnd w:id="78"/>
      <w:bookmarkEnd w:id="79"/>
      <w:bookmarkEnd w:id="80"/>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进入合同文件的各项文件及其优先顺序是：</w:t>
      </w:r>
    </w:p>
    <w:p>
      <w:pPr>
        <w:keepLines w:val="0"/>
        <w:pageBreakBefore w:val="0"/>
        <w:widowControl w:val="0"/>
        <w:kinsoku/>
        <w:wordWrap/>
        <w:overflowPunct/>
        <w:topLinePunct w:val="0"/>
        <w:bidi w:val="0"/>
        <w:spacing w:line="420" w:lineRule="exact"/>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（1）合同协议书；</w:t>
      </w:r>
    </w:p>
    <w:p>
      <w:pPr>
        <w:keepLines w:val="0"/>
        <w:pageBreakBefore w:val="0"/>
        <w:widowControl w:val="0"/>
        <w:kinsoku/>
        <w:wordWrap/>
        <w:overflowPunct/>
        <w:topLinePunct w:val="0"/>
        <w:bidi w:val="0"/>
        <w:spacing w:line="420" w:lineRule="exact"/>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（2）中标通知书；</w:t>
      </w:r>
    </w:p>
    <w:p>
      <w:pPr>
        <w:keepLines w:val="0"/>
        <w:pageBreakBefore w:val="0"/>
        <w:widowControl w:val="0"/>
        <w:kinsoku/>
        <w:wordWrap/>
        <w:overflowPunct/>
        <w:topLinePunct w:val="0"/>
        <w:bidi w:val="0"/>
        <w:spacing w:line="420" w:lineRule="exact"/>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 xml:space="preserve"> 磋商响应函</w:t>
      </w:r>
      <w:r>
        <w:rPr>
          <w:rFonts w:hint="eastAsia" w:ascii="宋体" w:hAnsi="宋体" w:eastAsia="宋体" w:cs="宋体"/>
          <w:color w:val="auto"/>
          <w:sz w:val="24"/>
          <w:szCs w:val="24"/>
          <w:lang w:val="en-US" w:eastAsia="zh-CN"/>
        </w:rPr>
        <w:t>及响应函附录</w:t>
      </w:r>
      <w:r>
        <w:rPr>
          <w:rFonts w:hint="eastAsia" w:ascii="宋体" w:hAnsi="宋体" w:eastAsia="宋体" w:cs="宋体"/>
          <w:color w:val="auto"/>
          <w:sz w:val="24"/>
          <w:szCs w:val="24"/>
        </w:rPr>
        <w:t>；</w:t>
      </w:r>
    </w:p>
    <w:p>
      <w:pPr>
        <w:keepLines w:val="0"/>
        <w:pageBreakBefore w:val="0"/>
        <w:widowControl w:val="0"/>
        <w:kinsoku/>
        <w:wordWrap/>
        <w:overflowPunct/>
        <w:topLinePunct w:val="0"/>
        <w:bidi w:val="0"/>
        <w:spacing w:line="420" w:lineRule="exact"/>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（4）专用合同条款；</w:t>
      </w:r>
    </w:p>
    <w:p>
      <w:pPr>
        <w:keepLines w:val="0"/>
        <w:pageBreakBefore w:val="0"/>
        <w:widowControl w:val="0"/>
        <w:kinsoku/>
        <w:wordWrap/>
        <w:overflowPunct/>
        <w:topLinePunct w:val="0"/>
        <w:bidi w:val="0"/>
        <w:spacing w:line="420" w:lineRule="exact"/>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bookmarkStart w:id="2091" w:name="_GoBack"/>
      <w:bookmarkEnd w:id="2091"/>
    </w:p>
    <w:p>
      <w:pPr>
        <w:keepLines w:val="0"/>
        <w:pageBreakBefore w:val="0"/>
        <w:widowControl w:val="0"/>
        <w:kinsoku/>
        <w:wordWrap/>
        <w:overflowPunct/>
        <w:topLinePunct w:val="0"/>
        <w:bidi w:val="0"/>
        <w:spacing w:line="420" w:lineRule="exact"/>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pPr>
        <w:keepLines w:val="0"/>
        <w:pageBreakBefore w:val="0"/>
        <w:widowControl w:val="0"/>
        <w:kinsoku/>
        <w:wordWrap/>
        <w:overflowPunct/>
        <w:topLinePunct w:val="0"/>
        <w:bidi w:val="0"/>
        <w:spacing w:line="420" w:lineRule="exact"/>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（7）图纸；</w:t>
      </w:r>
    </w:p>
    <w:p>
      <w:pPr>
        <w:keepLines w:val="0"/>
        <w:pageBreakBefore w:val="0"/>
        <w:widowControl w:val="0"/>
        <w:kinsoku/>
        <w:wordWrap/>
        <w:overflowPunct/>
        <w:topLinePunct w:val="0"/>
        <w:bidi w:val="0"/>
        <w:spacing w:line="420" w:lineRule="exact"/>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（8）已标价工程量清单；</w:t>
      </w:r>
    </w:p>
    <w:p>
      <w:pPr>
        <w:keepLines w:val="0"/>
        <w:pageBreakBefore w:val="0"/>
        <w:widowControl w:val="0"/>
        <w:kinsoku/>
        <w:wordWrap/>
        <w:overflowPunct/>
        <w:topLinePunct w:val="0"/>
        <w:bidi w:val="0"/>
        <w:spacing w:line="420" w:lineRule="exact"/>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（9）其他合同文件。</w:t>
      </w:r>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81" w:name="_Toc414352125"/>
      <w:bookmarkStart w:id="82" w:name="_Toc414275442"/>
      <w:bookmarkStart w:id="83" w:name="_Toc414368597"/>
      <w:bookmarkStart w:id="84" w:name="_Toc434412376"/>
      <w:bookmarkStart w:id="85" w:name="_Toc439684362"/>
      <w:bookmarkStart w:id="86" w:name="_Toc453677514"/>
      <w:bookmarkStart w:id="87" w:name="_Toc414268900"/>
      <w:bookmarkStart w:id="88" w:name="_Toc453678706"/>
      <w:r>
        <w:rPr>
          <w:rFonts w:hint="eastAsia" w:ascii="宋体" w:hAnsi="宋体" w:eastAsia="宋体" w:cs="宋体"/>
          <w:color w:val="auto"/>
          <w:sz w:val="24"/>
          <w:szCs w:val="24"/>
        </w:rPr>
        <w:t>1.3 联络</w:t>
      </w:r>
      <w:bookmarkEnd w:id="81"/>
      <w:bookmarkEnd w:id="82"/>
      <w:bookmarkEnd w:id="83"/>
      <w:bookmarkEnd w:id="84"/>
      <w:bookmarkEnd w:id="85"/>
      <w:bookmarkEnd w:id="86"/>
      <w:bookmarkEnd w:id="87"/>
      <w:bookmarkEnd w:id="88"/>
    </w:p>
    <w:p>
      <w:pPr>
        <w:keepLines w:val="0"/>
        <w:pageBreakBefore w:val="0"/>
        <w:widowControl w:val="0"/>
        <w:kinsoku/>
        <w:wordWrap/>
        <w:overflowPunct/>
        <w:topLinePunct w:val="0"/>
        <w:autoSpaceDE w:val="0"/>
        <w:autoSpaceDN w:val="0"/>
        <w:bidi w:val="0"/>
        <w:adjustRightInd w:val="0"/>
        <w:spacing w:line="420" w:lineRule="exact"/>
        <w:ind w:firstLine="600" w:firstLineChars="250"/>
        <w:rPr>
          <w:rFonts w:hint="eastAsia" w:ascii="宋体" w:hAnsi="宋体" w:eastAsia="宋体" w:cs="宋体"/>
          <w:b/>
          <w:color w:val="auto"/>
          <w:sz w:val="24"/>
          <w:szCs w:val="24"/>
        </w:rPr>
      </w:pPr>
      <w:r>
        <w:rPr>
          <w:rFonts w:hint="eastAsia" w:ascii="宋体" w:hAnsi="宋体" w:eastAsia="宋体" w:cs="宋体"/>
          <w:color w:val="auto"/>
          <w:sz w:val="24"/>
          <w:szCs w:val="24"/>
        </w:rPr>
        <w:t>来往函件均应按技术标准和要求（ 合同技术条款）约定的期限送达</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对发包人送达项目现场管理处；对承包人送达项目经理部</w:t>
      </w:r>
      <w:r>
        <w:rPr>
          <w:rFonts w:hint="eastAsia" w:ascii="宋体" w:hAnsi="宋体" w:eastAsia="宋体" w:cs="宋体"/>
          <w:b/>
          <w:color w:val="auto"/>
          <w:sz w:val="24"/>
          <w:szCs w:val="24"/>
        </w:rPr>
        <w:t>。</w:t>
      </w:r>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89" w:name="_Toc453678707"/>
      <w:bookmarkStart w:id="90" w:name="_Toc453677515"/>
      <w:r>
        <w:rPr>
          <w:rFonts w:hint="eastAsia" w:ascii="宋体" w:hAnsi="宋体" w:eastAsia="宋体" w:cs="宋体"/>
          <w:color w:val="auto"/>
          <w:sz w:val="24"/>
          <w:szCs w:val="24"/>
        </w:rPr>
        <w:t>1.4  图纸和文件的保密</w:t>
      </w:r>
      <w:bookmarkEnd w:id="89"/>
      <w:bookmarkEnd w:id="90"/>
    </w:p>
    <w:p>
      <w:pPr>
        <w:keepLines w:val="0"/>
        <w:pageBreakBefore w:val="0"/>
        <w:widowControl w:val="0"/>
        <w:kinsoku/>
        <w:wordWrap/>
        <w:overflowPunct/>
        <w:topLinePunct w:val="0"/>
        <w:autoSpaceDE w:val="0"/>
        <w:autoSpaceDN w:val="0"/>
        <w:bidi w:val="0"/>
        <w:adjustRightInd w:val="0"/>
        <w:spacing w:line="420" w:lineRule="exact"/>
        <w:rPr>
          <w:rFonts w:hint="eastAsia" w:ascii="宋体" w:hAnsi="宋体" w:eastAsia="宋体" w:cs="宋体"/>
          <w:color w:val="auto"/>
          <w:sz w:val="24"/>
          <w:szCs w:val="24"/>
          <w:u w:val="single"/>
        </w:rPr>
      </w:pPr>
      <w:r>
        <w:rPr>
          <w:rFonts w:hint="eastAsia" w:ascii="宋体" w:hAnsi="宋体" w:eastAsia="宋体" w:cs="宋体"/>
          <w:b/>
          <w:color w:val="auto"/>
          <w:sz w:val="24"/>
          <w:szCs w:val="24"/>
        </w:rPr>
        <w:t xml:space="preserve">    </w:t>
      </w: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u w:val="single"/>
        </w:rPr>
        <w:t xml:space="preserve"> 除《通用合同条款》第1.12.1款和1.12.2项规定外,双方还应对本合同内容及双方相互提供标有密级的文件保密,违反者应对泄密造成的后果承担责任。</w:t>
      </w:r>
    </w:p>
    <w:p>
      <w:pPr>
        <w:pStyle w:val="14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91" w:name="_Toc414275443"/>
      <w:bookmarkStart w:id="92" w:name="_Toc434412377"/>
      <w:bookmarkStart w:id="93" w:name="_Toc414352126"/>
      <w:bookmarkStart w:id="94" w:name="_Toc414268901"/>
      <w:bookmarkStart w:id="95" w:name="_Toc453677516"/>
      <w:bookmarkStart w:id="96" w:name="_Toc439684363"/>
      <w:bookmarkStart w:id="97" w:name="_Toc453678708"/>
      <w:bookmarkStart w:id="98" w:name="_Toc203759004"/>
      <w:bookmarkStart w:id="99" w:name="_Toc414368598"/>
      <w:r>
        <w:rPr>
          <w:rFonts w:hint="eastAsia" w:ascii="宋体" w:hAnsi="宋体" w:eastAsia="宋体" w:cs="宋体"/>
          <w:color w:val="auto"/>
          <w:sz w:val="24"/>
          <w:szCs w:val="24"/>
        </w:rPr>
        <w:t>2．发包人义务</w:t>
      </w:r>
      <w:bookmarkEnd w:id="91"/>
      <w:bookmarkEnd w:id="92"/>
      <w:bookmarkEnd w:id="93"/>
      <w:bookmarkEnd w:id="94"/>
      <w:bookmarkEnd w:id="95"/>
      <w:bookmarkEnd w:id="96"/>
      <w:bookmarkEnd w:id="97"/>
      <w:bookmarkEnd w:id="98"/>
      <w:bookmarkEnd w:id="99"/>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100" w:name="_Toc414268902"/>
      <w:bookmarkStart w:id="101" w:name="_Toc453678709"/>
      <w:bookmarkStart w:id="102" w:name="_Toc414275444"/>
      <w:bookmarkStart w:id="103" w:name="_Toc453677517"/>
      <w:bookmarkStart w:id="104" w:name="_Toc434412378"/>
      <w:bookmarkStart w:id="105" w:name="_Toc414352127"/>
      <w:bookmarkStart w:id="106" w:name="_Toc414368599"/>
      <w:bookmarkStart w:id="107" w:name="_Toc439684364"/>
      <w:r>
        <w:rPr>
          <w:rFonts w:hint="eastAsia" w:ascii="宋体" w:hAnsi="宋体" w:eastAsia="宋体" w:cs="宋体"/>
          <w:color w:val="auto"/>
          <w:sz w:val="24"/>
          <w:szCs w:val="24"/>
        </w:rPr>
        <w:t>2.3 提供施工场地</w:t>
      </w:r>
      <w:bookmarkEnd w:id="100"/>
      <w:bookmarkEnd w:id="101"/>
      <w:bookmarkEnd w:id="102"/>
      <w:bookmarkEnd w:id="103"/>
      <w:bookmarkEnd w:id="104"/>
      <w:bookmarkEnd w:id="105"/>
      <w:bookmarkEnd w:id="106"/>
      <w:bookmarkEnd w:id="107"/>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2.3.2发包人提供的施工场地范围为</w:t>
      </w:r>
      <w:r>
        <w:rPr>
          <w:rFonts w:hint="eastAsia" w:ascii="宋体" w:hAnsi="宋体" w:eastAsia="宋体" w:cs="宋体"/>
          <w:b/>
          <w:color w:val="auto"/>
          <w:sz w:val="24"/>
          <w:szCs w:val="24"/>
        </w:rPr>
        <w:t>：</w:t>
      </w:r>
      <w:r>
        <w:rPr>
          <w:rFonts w:hint="eastAsia" w:ascii="宋体" w:hAnsi="宋体" w:eastAsia="宋体" w:cs="宋体"/>
          <w:color w:val="auto"/>
          <w:sz w:val="24"/>
          <w:szCs w:val="24"/>
          <w:u w:val="single"/>
        </w:rPr>
        <w:t xml:space="preserve">发包人负责办理工程范围内的永久征地和临时占地，永久占地和临时占地内的征地、移民、拆迁等费用由发包人支付。承包人不得随意扩大用地范围，不得在施工过程中无故引起相邻群众的纠纷，提供用地的范围和期限根据监理工程师确认的施工组织设计及承包人投标工期等确定 </w:t>
      </w:r>
      <w:r>
        <w:rPr>
          <w:rFonts w:hint="eastAsia" w:ascii="宋体" w:hAnsi="宋体" w:eastAsia="宋体" w:cs="宋体"/>
          <w:bCs/>
          <w:color w:val="auto"/>
          <w:sz w:val="24"/>
          <w:szCs w:val="24"/>
        </w:rPr>
        <w:t>。</w:t>
      </w:r>
    </w:p>
    <w:p>
      <w:pPr>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发包人向承包人提供施工场地后，施工场地内的一切协调、安全保卫工作，由承包人负责。对提供的施工用地因承包人原因超期限使用，增加的用地费用由承包人承担。</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2.3.3承包人自行勘察的施工场地范围为</w:t>
      </w:r>
      <w:r>
        <w:rPr>
          <w:rFonts w:hint="eastAsia" w:ascii="宋体" w:hAnsi="宋体" w:eastAsia="宋体" w:cs="宋体"/>
          <w:color w:val="auto"/>
          <w:sz w:val="24"/>
          <w:szCs w:val="24"/>
          <w:u w:val="single"/>
        </w:rPr>
        <w:t>：</w:t>
      </w:r>
      <w:bookmarkStart w:id="108" w:name="_Toc414368600"/>
      <w:bookmarkStart w:id="109" w:name="_Toc414352128"/>
      <w:bookmarkStart w:id="110" w:name="_Toc414275445"/>
      <w:bookmarkStart w:id="111" w:name="_Toc414268903"/>
      <w:r>
        <w:rPr>
          <w:rFonts w:hint="eastAsia" w:ascii="宋体" w:hAnsi="宋体" w:eastAsia="宋体" w:cs="宋体"/>
          <w:b/>
          <w:color w:val="auto"/>
          <w:sz w:val="24"/>
          <w:szCs w:val="24"/>
          <w:u w:val="single"/>
        </w:rPr>
        <w:t>发包人提供的工程永久征地和临时占地以外的由承包人租赁或征用的场地，发包人不另行支付费用。</w:t>
      </w:r>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112" w:name="_Toc439684365"/>
      <w:bookmarkStart w:id="113" w:name="_Toc453677518"/>
      <w:bookmarkStart w:id="114" w:name="_Toc453678710"/>
      <w:r>
        <w:rPr>
          <w:rFonts w:hint="eastAsia" w:ascii="宋体" w:hAnsi="宋体" w:eastAsia="宋体" w:cs="宋体"/>
          <w:color w:val="auto"/>
          <w:sz w:val="24"/>
          <w:szCs w:val="24"/>
        </w:rPr>
        <w:t>2.8 其他义务</w:t>
      </w:r>
      <w:bookmarkEnd w:id="108"/>
      <w:bookmarkEnd w:id="109"/>
      <w:bookmarkEnd w:id="110"/>
      <w:bookmarkEnd w:id="111"/>
      <w:bookmarkEnd w:id="112"/>
      <w:bookmarkEnd w:id="113"/>
      <w:bookmarkEnd w:id="114"/>
    </w:p>
    <w:p>
      <w:pPr>
        <w:keepLines w:val="0"/>
        <w:pageBreakBefore w:val="0"/>
        <w:widowControl w:val="0"/>
        <w:kinsoku/>
        <w:wordWrap/>
        <w:overflowPunct/>
        <w:topLinePunct w:val="0"/>
        <w:autoSpaceDE w:val="0"/>
        <w:autoSpaceDN w:val="0"/>
        <w:bidi w:val="0"/>
        <w:adjustRightInd w:val="0"/>
        <w:spacing w:line="420" w:lineRule="exact"/>
        <w:ind w:firstLine="424" w:firstLineChars="200"/>
        <w:rPr>
          <w:rFonts w:hint="eastAsia" w:ascii="宋体" w:hAnsi="宋体" w:eastAsia="宋体" w:cs="宋体"/>
          <w:color w:val="auto"/>
          <w:spacing w:val="-14"/>
          <w:sz w:val="24"/>
          <w:szCs w:val="24"/>
          <w:u w:val="single"/>
        </w:rPr>
      </w:pPr>
      <w:r>
        <w:rPr>
          <w:rFonts w:hint="eastAsia" w:ascii="宋体" w:hAnsi="宋体" w:eastAsia="宋体" w:cs="宋体"/>
          <w:color w:val="auto"/>
          <w:spacing w:val="-14"/>
          <w:sz w:val="24"/>
          <w:szCs w:val="24"/>
          <w:u w:val="single"/>
        </w:rPr>
        <w:t>发包人可协助承包人联系施工电源、施工用水水源，但电费、水费由承包人承担。</w:t>
      </w:r>
    </w:p>
    <w:p>
      <w:pPr>
        <w:pStyle w:val="4"/>
        <w:keepLines w:val="0"/>
        <w:pageBreakBefore w:val="0"/>
        <w:widowControl w:val="0"/>
        <w:numPr>
          <w:ilvl w:val="0"/>
          <w:numId w:val="6"/>
        </w:numPr>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15" w:name="_Toc414352129"/>
      <w:bookmarkStart w:id="116" w:name="_Toc434412379"/>
      <w:bookmarkStart w:id="117" w:name="_Toc453677519"/>
      <w:bookmarkStart w:id="118" w:name="_Toc203759005"/>
      <w:bookmarkStart w:id="119" w:name="_Toc414275446"/>
      <w:bookmarkStart w:id="120" w:name="_Toc414368601"/>
      <w:bookmarkStart w:id="121" w:name="_Toc439684366"/>
      <w:bookmarkStart w:id="122" w:name="_Toc453678711"/>
      <w:r>
        <w:rPr>
          <w:rFonts w:hint="eastAsia" w:ascii="宋体" w:hAnsi="宋体" w:eastAsia="宋体" w:cs="宋体"/>
          <w:color w:val="auto"/>
          <w:sz w:val="24"/>
          <w:szCs w:val="24"/>
        </w:rPr>
        <w:t>监理人</w:t>
      </w:r>
      <w:bookmarkEnd w:id="115"/>
      <w:bookmarkEnd w:id="116"/>
      <w:bookmarkEnd w:id="117"/>
      <w:bookmarkEnd w:id="118"/>
      <w:bookmarkEnd w:id="119"/>
      <w:bookmarkEnd w:id="120"/>
      <w:bookmarkEnd w:id="121"/>
      <w:bookmarkEnd w:id="122"/>
      <w:bookmarkStart w:id="123" w:name="_Toc453678712"/>
      <w:bookmarkStart w:id="124" w:name="_Toc414368602"/>
      <w:bookmarkStart w:id="125" w:name="_Toc434412380"/>
      <w:bookmarkStart w:id="126" w:name="_Toc439684367"/>
      <w:bookmarkStart w:id="127" w:name="_Toc414352130"/>
      <w:bookmarkStart w:id="128" w:name="_Toc414275447"/>
      <w:bookmarkStart w:id="129" w:name="_Toc453677520"/>
    </w:p>
    <w:p>
      <w:pPr>
        <w:pStyle w:val="4"/>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3.1 监理人的职责和权力</w:t>
      </w:r>
      <w:bookmarkEnd w:id="123"/>
      <w:bookmarkEnd w:id="124"/>
      <w:bookmarkEnd w:id="125"/>
      <w:bookmarkEnd w:id="126"/>
      <w:bookmarkEnd w:id="127"/>
      <w:bookmarkEnd w:id="128"/>
      <w:bookmarkEnd w:id="129"/>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3.1.1　监理人须根据发包人事先批准的权力范围行使权力，发包人批准的权力范围：</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填写监理人须经发包人批准才能行使的权力，以下示例在发包人与承包人签订协议时，可另行调整）</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（1）按第4.3款约定，批准工程的分包；</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（2）按第11.3款约定，确定延长完工期限；</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（3）按第15.6款约定，批准暂列金额的使用；</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（4）当变更引起的合同价格增加时做出的变更决定；</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（5）发布停工令、开工令；</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（6）调整控制性进度计划；</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（7）施工中发生，但投标人《工程量清单》中未列单价的工程项目，计量单价的确认；</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（8）工程重大质量事故的处理意见；</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（9）工程的重大设计变更；</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（10）撤换项目经理或技术负责人员。</w:t>
      </w:r>
    </w:p>
    <w:p>
      <w:pPr>
        <w:pStyle w:val="14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30" w:name="_Toc414275448"/>
      <w:bookmarkStart w:id="131" w:name="_Toc439684368"/>
      <w:bookmarkStart w:id="132" w:name="_Toc414368603"/>
      <w:bookmarkStart w:id="133" w:name="_Toc453677521"/>
      <w:bookmarkStart w:id="134" w:name="_Toc434412381"/>
      <w:bookmarkStart w:id="135" w:name="_Toc453678713"/>
      <w:bookmarkStart w:id="136" w:name="_Toc414268904"/>
      <w:bookmarkStart w:id="137" w:name="_Toc414352131"/>
      <w:r>
        <w:rPr>
          <w:rFonts w:hint="eastAsia" w:ascii="宋体" w:hAnsi="宋体" w:eastAsia="宋体" w:cs="宋体"/>
          <w:color w:val="auto"/>
          <w:sz w:val="24"/>
          <w:szCs w:val="24"/>
        </w:rPr>
        <w:t>4．承包人</w:t>
      </w:r>
      <w:bookmarkEnd w:id="130"/>
      <w:bookmarkEnd w:id="131"/>
      <w:bookmarkEnd w:id="132"/>
      <w:bookmarkEnd w:id="133"/>
      <w:bookmarkEnd w:id="134"/>
      <w:bookmarkEnd w:id="135"/>
      <w:bookmarkEnd w:id="136"/>
      <w:bookmarkEnd w:id="137"/>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138" w:name="_Toc453677522"/>
      <w:bookmarkStart w:id="139" w:name="_Toc414275449"/>
      <w:bookmarkStart w:id="140" w:name="_Toc439684369"/>
      <w:bookmarkStart w:id="141" w:name="_Toc453678714"/>
      <w:bookmarkStart w:id="142" w:name="_Toc414268905"/>
      <w:bookmarkStart w:id="143" w:name="_Toc434412382"/>
      <w:bookmarkStart w:id="144" w:name="_Toc414352132"/>
      <w:bookmarkStart w:id="145" w:name="_Toc414368604"/>
      <w:r>
        <w:rPr>
          <w:rFonts w:hint="eastAsia" w:ascii="宋体" w:hAnsi="宋体" w:eastAsia="宋体" w:cs="宋体"/>
          <w:color w:val="auto"/>
          <w:sz w:val="24"/>
          <w:szCs w:val="24"/>
        </w:rPr>
        <w:t>4.1 承包人的一般义务：</w:t>
      </w:r>
      <w:bookmarkEnd w:id="138"/>
      <w:bookmarkEnd w:id="139"/>
      <w:bookmarkEnd w:id="140"/>
      <w:bookmarkEnd w:id="141"/>
      <w:bookmarkEnd w:id="142"/>
      <w:bookmarkEnd w:id="143"/>
      <w:bookmarkEnd w:id="144"/>
      <w:bookmarkEnd w:id="145"/>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4.1.9  工程的维护和照管</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合同工程完工证书颁发以前,工程的维护和管护由承包人负责,费用由承包人承担(该项费用已包含在签约合同价中)。</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bookmarkStart w:id="146" w:name="_Toc414268906"/>
      <w:bookmarkStart w:id="147" w:name="_Toc414275450"/>
      <w:r>
        <w:rPr>
          <w:rFonts w:hint="eastAsia" w:ascii="宋体" w:hAnsi="宋体" w:eastAsia="宋体" w:cs="宋体"/>
          <w:color w:val="auto"/>
          <w:sz w:val="24"/>
          <w:szCs w:val="24"/>
        </w:rPr>
        <w:t>4.1.10其他义务</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（1）承包人自己的施工用电、用水等费用由承包人负担；</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（2）施工中可能发生临时停电，承包人应备有自备电源；</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（3）承包人应在合同规定的期限内完成工地清理、临时设施的占地复耕、并按期撤退人员和剩余材料，该项费用由承包人自理。</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（4）承包人应按合同规定负责办理由承包人投保的保险。</w:t>
      </w:r>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148" w:name="_Toc439684370"/>
      <w:bookmarkStart w:id="149" w:name="_Toc453678715"/>
      <w:bookmarkStart w:id="150" w:name="_Toc453677523"/>
      <w:r>
        <w:rPr>
          <w:rFonts w:hint="eastAsia" w:ascii="宋体" w:hAnsi="宋体" w:eastAsia="宋体" w:cs="宋体"/>
          <w:color w:val="auto"/>
          <w:sz w:val="24"/>
          <w:szCs w:val="24"/>
        </w:rPr>
        <w:t>4.3 分包</w:t>
      </w:r>
      <w:bookmarkEnd w:id="148"/>
      <w:bookmarkEnd w:id="149"/>
      <w:bookmarkEnd w:id="150"/>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本工程仅允许承包人</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151" w:name="_Toc434412383"/>
      <w:bookmarkStart w:id="152" w:name="_Toc439684371"/>
      <w:bookmarkStart w:id="153" w:name="_Toc453677524"/>
      <w:bookmarkStart w:id="154" w:name="_Toc414352133"/>
      <w:bookmarkStart w:id="155" w:name="_Toc453678716"/>
      <w:bookmarkStart w:id="156" w:name="_Toc414368605"/>
      <w:r>
        <w:rPr>
          <w:rFonts w:hint="eastAsia" w:ascii="宋体" w:hAnsi="宋体" w:eastAsia="宋体" w:cs="宋体"/>
          <w:color w:val="auto"/>
          <w:sz w:val="24"/>
          <w:szCs w:val="24"/>
        </w:rPr>
        <w:t>4.5 承包人项目经理</w:t>
      </w:r>
      <w:bookmarkEnd w:id="146"/>
      <w:bookmarkEnd w:id="147"/>
      <w:bookmarkEnd w:id="151"/>
      <w:bookmarkEnd w:id="152"/>
      <w:bookmarkEnd w:id="153"/>
      <w:bookmarkEnd w:id="154"/>
      <w:bookmarkEnd w:id="155"/>
      <w:bookmarkEnd w:id="156"/>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4.5.1 承包人的项目经理应为投标文件中拟派的项目经理,并按其项目经理职责及单位的授权,负责履行完合同任务,承包人在施工过程不得随意更换项目经理，确因特殊原因需更换项目经理,需征得发包人同意，并应在更换14天前通知发包人和监理人。承包人项目经理必须长驻工地，每月在工地工作时间不得少于22天，每少一天承担违约金1000元，未按时参加工地例会及有关活动的，每次承担违约金1仟元，且发包人不接受项目经理授权其他人员代行其参加例会的权利。</w:t>
      </w:r>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157" w:name="_Toc414275451"/>
      <w:bookmarkStart w:id="158" w:name="_Toc414352134"/>
      <w:bookmarkStart w:id="159" w:name="_Toc453677525"/>
      <w:bookmarkStart w:id="160" w:name="_Toc414368606"/>
      <w:bookmarkStart w:id="161" w:name="_Toc414268907"/>
      <w:bookmarkStart w:id="162" w:name="_Toc439684372"/>
      <w:bookmarkStart w:id="163" w:name="_Toc453678717"/>
      <w:bookmarkStart w:id="164" w:name="_Toc434412384"/>
      <w:r>
        <w:rPr>
          <w:rFonts w:hint="eastAsia" w:ascii="宋体" w:hAnsi="宋体" w:eastAsia="宋体" w:cs="宋体"/>
          <w:color w:val="auto"/>
          <w:sz w:val="24"/>
          <w:szCs w:val="24"/>
        </w:rPr>
        <w:t>4.6 承包人技术负责人</w:t>
      </w:r>
      <w:bookmarkEnd w:id="157"/>
      <w:bookmarkEnd w:id="158"/>
      <w:bookmarkEnd w:id="159"/>
      <w:bookmarkEnd w:id="160"/>
      <w:bookmarkEnd w:id="161"/>
      <w:bookmarkEnd w:id="162"/>
      <w:bookmarkEnd w:id="163"/>
      <w:bookmarkEnd w:id="164"/>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4.6.1 承包人的技术负责人应为投标文件中拟派的技术负责人,并按其技术负责人职责负责履行完合同任务,切实做好技术指导和施工管理，承包人在施工过程因技术负责人不能胜任此项目建设或确因特殊原因需更换时,需征得发包人同意，并应在更换14天前通知发包人和监理人。承包人技术负责人必须长驻工地，每月在工地工作时间不得少于22天（但工程建设期间与项目经理不得同时离开工地），每少一天承担违约金1000元，未按时参加工地例会及有关活动的，每次承担违约金1仟元，且发包人不接受技术负责人授权其他人员代行其技术管理的权利。</w:t>
      </w:r>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165" w:name="_Toc453677526"/>
      <w:bookmarkStart w:id="166" w:name="_Toc439684373"/>
      <w:bookmarkStart w:id="167" w:name="_Toc414368607"/>
      <w:bookmarkStart w:id="168" w:name="_Toc414275452"/>
      <w:bookmarkStart w:id="169" w:name="_Toc453678718"/>
      <w:bookmarkStart w:id="170" w:name="_Toc414352135"/>
      <w:bookmarkStart w:id="171" w:name="_Toc414268908"/>
      <w:bookmarkStart w:id="172" w:name="_Toc434412385"/>
      <w:r>
        <w:rPr>
          <w:rFonts w:hint="eastAsia" w:ascii="宋体" w:hAnsi="宋体" w:eastAsia="宋体" w:cs="宋体"/>
          <w:color w:val="auto"/>
          <w:sz w:val="24"/>
          <w:szCs w:val="24"/>
        </w:rPr>
        <w:t>4.7 承包人其他人员</w:t>
      </w:r>
      <w:bookmarkEnd w:id="165"/>
      <w:bookmarkEnd w:id="166"/>
      <w:bookmarkEnd w:id="167"/>
      <w:bookmarkEnd w:id="168"/>
      <w:bookmarkEnd w:id="169"/>
      <w:bookmarkEnd w:id="170"/>
      <w:bookmarkEnd w:id="171"/>
      <w:bookmarkEnd w:id="172"/>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4.7.1 承包人的专职安全员应为投标文件中拟派的安全员,并持证上岗,切实做好施工安全管理和工地文明施工工作，并且必须长驻工地，每月在工地工作时间不得少于22天，每少一天承担违约金1000元。材料员、施工员、质量员等也应到岗，否则对承包人进行处罚。</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b/>
          <w:color w:val="auto"/>
          <w:sz w:val="24"/>
          <w:szCs w:val="24"/>
          <w:u w:val="single"/>
        </w:rPr>
      </w:pPr>
      <w:r>
        <w:rPr>
          <w:rFonts w:hint="eastAsia" w:ascii="宋体" w:hAnsi="宋体" w:eastAsia="宋体" w:cs="宋体"/>
          <w:color w:val="auto"/>
          <w:sz w:val="24"/>
          <w:szCs w:val="24"/>
        </w:rPr>
        <w:t>4.11.1 不利物质条件的范围:</w:t>
      </w:r>
      <w:r>
        <w:rPr>
          <w:rFonts w:hint="eastAsia" w:ascii="宋体" w:hAnsi="宋体" w:eastAsia="宋体" w:cs="宋体"/>
          <w:b/>
          <w:color w:val="auto"/>
          <w:sz w:val="24"/>
          <w:szCs w:val="24"/>
          <w:u w:val="single"/>
        </w:rPr>
        <w:t>依通用合同条款。</w:t>
      </w:r>
    </w:p>
    <w:p>
      <w:pPr>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承包人施工前应详细勘察本工程施工的地理情况，在施工过程中如果发生不利物质条件，只相应顺延工期，不增加任何费用。</w:t>
      </w:r>
    </w:p>
    <w:p>
      <w:pPr>
        <w:pStyle w:val="4"/>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73" w:name="_Toc434412387"/>
      <w:bookmarkStart w:id="174" w:name="_Toc414352137"/>
      <w:bookmarkStart w:id="175" w:name="_Toc414275454"/>
      <w:bookmarkStart w:id="176" w:name="_Toc414268910"/>
      <w:bookmarkStart w:id="177" w:name="_Toc414368609"/>
      <w:bookmarkStart w:id="178" w:name="_Toc453677528"/>
      <w:bookmarkStart w:id="179" w:name="_Toc453678720"/>
      <w:bookmarkStart w:id="180" w:name="_Toc439684375"/>
      <w:bookmarkStart w:id="181" w:name="_Toc203759007"/>
      <w:r>
        <w:rPr>
          <w:rFonts w:hint="eastAsia" w:ascii="宋体" w:hAnsi="宋体" w:eastAsia="宋体" w:cs="宋体"/>
          <w:color w:val="auto"/>
          <w:sz w:val="24"/>
          <w:szCs w:val="24"/>
        </w:rPr>
        <w:t>5．材料和工程设备</w:t>
      </w:r>
      <w:bookmarkEnd w:id="173"/>
      <w:bookmarkEnd w:id="174"/>
      <w:bookmarkEnd w:id="175"/>
      <w:bookmarkEnd w:id="176"/>
      <w:bookmarkEnd w:id="177"/>
      <w:bookmarkEnd w:id="178"/>
      <w:bookmarkEnd w:id="179"/>
      <w:bookmarkEnd w:id="180"/>
      <w:bookmarkEnd w:id="181"/>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182" w:name="_Toc453677529"/>
      <w:bookmarkStart w:id="183" w:name="_Toc414368610"/>
      <w:bookmarkStart w:id="184" w:name="_Toc434412388"/>
      <w:bookmarkStart w:id="185" w:name="_Toc414352138"/>
      <w:bookmarkStart w:id="186" w:name="_Toc453678721"/>
      <w:bookmarkStart w:id="187" w:name="_Toc414275455"/>
      <w:bookmarkStart w:id="188" w:name="_Toc439684376"/>
      <w:r>
        <w:rPr>
          <w:rFonts w:hint="eastAsia" w:ascii="宋体" w:hAnsi="宋体" w:eastAsia="宋体" w:cs="宋体"/>
          <w:color w:val="auto"/>
          <w:sz w:val="24"/>
          <w:szCs w:val="24"/>
        </w:rPr>
        <w:t>5.1 人发包提供的材料和工程设备</w:t>
      </w:r>
      <w:bookmarkEnd w:id="182"/>
      <w:bookmarkEnd w:id="183"/>
      <w:bookmarkEnd w:id="184"/>
      <w:bookmarkEnd w:id="185"/>
      <w:bookmarkEnd w:id="186"/>
      <w:bookmarkEnd w:id="187"/>
      <w:bookmarkEnd w:id="188"/>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89" w:name="_Toc414352139"/>
      <w:bookmarkStart w:id="190" w:name="_Toc414275456"/>
      <w:bookmarkStart w:id="191" w:name="_Toc414268911"/>
      <w:bookmarkStart w:id="192" w:name="_Toc414368611"/>
      <w:bookmarkStart w:id="193" w:name="_Toc203759008"/>
      <w:r>
        <w:rPr>
          <w:rFonts w:hint="eastAsia" w:ascii="宋体" w:hAnsi="宋体" w:eastAsia="宋体" w:cs="宋体"/>
          <w:color w:val="auto"/>
          <w:sz w:val="24"/>
          <w:szCs w:val="24"/>
        </w:rPr>
        <w:t>5.1.1工程所需的设备、材料均由承包人负责采购。承包人应负责上述材料和工程设备的采购、运输和保管，并承担为完成上述工作所需的全部费用。</w:t>
      </w:r>
    </w:p>
    <w:p>
      <w:pPr>
        <w:pStyle w:val="4"/>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94" w:name="_Toc439684377"/>
      <w:bookmarkStart w:id="195" w:name="_Toc453678722"/>
      <w:bookmarkStart w:id="196" w:name="_Toc434412389"/>
      <w:bookmarkStart w:id="197" w:name="_Toc453677530"/>
      <w:r>
        <w:rPr>
          <w:rFonts w:hint="eastAsia" w:ascii="宋体" w:hAnsi="宋体" w:eastAsia="宋体" w:cs="宋体"/>
          <w:color w:val="auto"/>
          <w:sz w:val="24"/>
          <w:szCs w:val="24"/>
        </w:rPr>
        <w:t>6．施工设备和临时设施</w:t>
      </w:r>
      <w:bookmarkEnd w:id="189"/>
      <w:bookmarkEnd w:id="190"/>
      <w:bookmarkEnd w:id="191"/>
      <w:bookmarkEnd w:id="192"/>
      <w:bookmarkEnd w:id="193"/>
      <w:bookmarkEnd w:id="194"/>
      <w:bookmarkEnd w:id="195"/>
      <w:bookmarkEnd w:id="196"/>
      <w:bookmarkEnd w:id="197"/>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198" w:name="_Toc414352140"/>
      <w:bookmarkStart w:id="199" w:name="_Toc414368612"/>
      <w:bookmarkStart w:id="200" w:name="_Toc434412390"/>
      <w:bookmarkStart w:id="201" w:name="_Toc453678723"/>
      <w:bookmarkStart w:id="202" w:name="_Toc439684378"/>
      <w:bookmarkStart w:id="203" w:name="_Toc453677531"/>
      <w:bookmarkStart w:id="204" w:name="_Toc414275457"/>
      <w:r>
        <w:rPr>
          <w:rFonts w:hint="eastAsia" w:ascii="宋体" w:hAnsi="宋体" w:eastAsia="宋体" w:cs="宋体"/>
          <w:color w:val="auto"/>
          <w:sz w:val="24"/>
          <w:szCs w:val="24"/>
        </w:rPr>
        <w:t>6.1 发包人提供的施工设备和临时设施</w:t>
      </w:r>
      <w:bookmarkEnd w:id="198"/>
      <w:bookmarkEnd w:id="199"/>
      <w:bookmarkEnd w:id="200"/>
      <w:bookmarkEnd w:id="201"/>
      <w:bookmarkEnd w:id="202"/>
      <w:bookmarkEnd w:id="203"/>
      <w:bookmarkEnd w:id="204"/>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（1）发包人不提供施工设备；</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（2）施工当中临时设施等由承包人负责，临时设施费用按</w:t>
      </w:r>
      <w:r>
        <w:rPr>
          <w:rFonts w:hint="eastAsia" w:ascii="宋体" w:hAnsi="宋体" w:eastAsia="宋体" w:cs="宋体"/>
          <w:color w:val="auto"/>
          <w:sz w:val="24"/>
          <w:szCs w:val="24"/>
          <w:u w:val="single"/>
        </w:rPr>
        <w:t>要求</w:t>
      </w:r>
      <w:r>
        <w:rPr>
          <w:rFonts w:hint="eastAsia" w:ascii="宋体" w:hAnsi="宋体" w:eastAsia="宋体" w:cs="宋体"/>
          <w:color w:val="auto"/>
          <w:sz w:val="24"/>
          <w:szCs w:val="24"/>
        </w:rPr>
        <w:t>列入投标总价，按单项费用详细计列。</w:t>
      </w:r>
    </w:p>
    <w:p>
      <w:pPr>
        <w:pStyle w:val="14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205" w:name="_Toc434412391"/>
      <w:bookmarkStart w:id="206" w:name="_Toc414268912"/>
      <w:bookmarkStart w:id="207" w:name="_Toc414275458"/>
      <w:bookmarkStart w:id="208" w:name="_Toc453677532"/>
      <w:bookmarkStart w:id="209" w:name="_Toc414352141"/>
      <w:bookmarkStart w:id="210" w:name="_Toc414368613"/>
      <w:bookmarkStart w:id="211" w:name="_Toc453678724"/>
      <w:bookmarkStart w:id="212" w:name="_Toc439684379"/>
      <w:r>
        <w:rPr>
          <w:rFonts w:hint="eastAsia" w:ascii="宋体" w:hAnsi="宋体" w:eastAsia="宋体" w:cs="宋体"/>
          <w:color w:val="auto"/>
          <w:sz w:val="24"/>
          <w:szCs w:val="24"/>
        </w:rPr>
        <w:t>7．交通运输</w:t>
      </w:r>
      <w:bookmarkEnd w:id="205"/>
      <w:bookmarkEnd w:id="206"/>
      <w:bookmarkEnd w:id="207"/>
      <w:bookmarkEnd w:id="208"/>
      <w:bookmarkEnd w:id="209"/>
      <w:bookmarkEnd w:id="210"/>
      <w:bookmarkEnd w:id="211"/>
      <w:bookmarkEnd w:id="212"/>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213" w:name="_Toc453678725"/>
      <w:bookmarkStart w:id="214" w:name="_Toc414268913"/>
      <w:bookmarkStart w:id="215" w:name="_Toc453677533"/>
      <w:bookmarkStart w:id="216" w:name="_Toc439684380"/>
      <w:bookmarkStart w:id="217" w:name="_Toc414352142"/>
      <w:bookmarkStart w:id="218" w:name="_Toc414275459"/>
      <w:bookmarkStart w:id="219" w:name="_Toc434412392"/>
      <w:bookmarkStart w:id="220" w:name="_Toc414368614"/>
      <w:r>
        <w:rPr>
          <w:rFonts w:hint="eastAsia" w:ascii="宋体" w:hAnsi="宋体" w:eastAsia="宋体" w:cs="宋体"/>
          <w:color w:val="auto"/>
          <w:sz w:val="24"/>
          <w:szCs w:val="24"/>
        </w:rPr>
        <w:t>7.1 道路通行权和场外设施</w:t>
      </w:r>
      <w:bookmarkEnd w:id="213"/>
      <w:bookmarkEnd w:id="214"/>
      <w:bookmarkEnd w:id="215"/>
      <w:bookmarkEnd w:id="216"/>
      <w:bookmarkEnd w:id="217"/>
      <w:bookmarkEnd w:id="218"/>
      <w:bookmarkEnd w:id="219"/>
      <w:bookmarkEnd w:id="220"/>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b/>
          <w:color w:val="auto"/>
          <w:sz w:val="24"/>
          <w:szCs w:val="24"/>
          <w:u w:val="single"/>
        </w:rPr>
      </w:pPr>
      <w:r>
        <w:rPr>
          <w:rFonts w:hint="eastAsia" w:ascii="宋体" w:hAnsi="宋体" w:eastAsia="宋体" w:cs="宋体"/>
          <w:color w:val="auto"/>
          <w:sz w:val="24"/>
          <w:szCs w:val="24"/>
        </w:rPr>
        <w:t>道路通行权和场外设施的约定：</w:t>
      </w:r>
      <w:r>
        <w:rPr>
          <w:rFonts w:hint="eastAsia" w:ascii="宋体" w:hAnsi="宋体" w:eastAsia="宋体" w:cs="宋体"/>
          <w:b/>
          <w:color w:val="auto"/>
          <w:sz w:val="24"/>
          <w:szCs w:val="24"/>
          <w:u w:val="single"/>
        </w:rPr>
        <w:t>均由承包人自行解决。</w:t>
      </w:r>
    </w:p>
    <w:p>
      <w:pPr>
        <w:pStyle w:val="4"/>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221" w:name="_Toc414368615"/>
      <w:bookmarkStart w:id="222" w:name="_Toc414275460"/>
      <w:bookmarkStart w:id="223" w:name="_Toc409274545"/>
      <w:bookmarkStart w:id="224" w:name="_Toc434412393"/>
      <w:bookmarkStart w:id="225" w:name="_Toc453678726"/>
      <w:bookmarkStart w:id="226" w:name="_Toc414352143"/>
      <w:bookmarkStart w:id="227" w:name="_Toc453677534"/>
      <w:bookmarkStart w:id="228" w:name="_Toc439684381"/>
      <w:r>
        <w:rPr>
          <w:rFonts w:hint="eastAsia" w:ascii="宋体" w:hAnsi="宋体" w:eastAsia="宋体" w:cs="宋体"/>
          <w:color w:val="auto"/>
          <w:sz w:val="24"/>
          <w:szCs w:val="24"/>
        </w:rPr>
        <w:t>8．测量放线</w:t>
      </w:r>
      <w:bookmarkEnd w:id="221"/>
      <w:bookmarkEnd w:id="222"/>
      <w:bookmarkEnd w:id="223"/>
      <w:bookmarkEnd w:id="224"/>
      <w:bookmarkEnd w:id="225"/>
      <w:bookmarkEnd w:id="226"/>
      <w:bookmarkEnd w:id="227"/>
      <w:bookmarkEnd w:id="228"/>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229" w:name="_Toc414352144"/>
      <w:bookmarkStart w:id="230" w:name="_Toc453677535"/>
      <w:bookmarkStart w:id="231" w:name="_Toc439684382"/>
      <w:bookmarkStart w:id="232" w:name="_Toc453678727"/>
      <w:bookmarkStart w:id="233" w:name="_Toc434412394"/>
      <w:bookmarkStart w:id="234" w:name="_Toc414368616"/>
      <w:bookmarkStart w:id="235" w:name="_Toc414268914"/>
      <w:bookmarkStart w:id="236" w:name="_Toc414275461"/>
      <w:r>
        <w:rPr>
          <w:rFonts w:hint="eastAsia" w:ascii="宋体" w:hAnsi="宋体" w:eastAsia="宋体" w:cs="宋体"/>
          <w:color w:val="auto"/>
          <w:sz w:val="24"/>
          <w:szCs w:val="24"/>
        </w:rPr>
        <w:t>8.1 施工控制网</w:t>
      </w:r>
      <w:bookmarkEnd w:id="229"/>
      <w:bookmarkEnd w:id="230"/>
      <w:bookmarkEnd w:id="231"/>
      <w:bookmarkEnd w:id="232"/>
      <w:bookmarkEnd w:id="233"/>
      <w:bookmarkEnd w:id="234"/>
      <w:bookmarkEnd w:id="235"/>
      <w:bookmarkEnd w:id="236"/>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b/>
          <w:color w:val="auto"/>
          <w:sz w:val="24"/>
          <w:szCs w:val="24"/>
          <w:u w:val="single"/>
        </w:rPr>
      </w:pPr>
      <w:r>
        <w:rPr>
          <w:rFonts w:hint="eastAsia" w:ascii="宋体" w:hAnsi="宋体" w:eastAsia="宋体" w:cs="宋体"/>
          <w:color w:val="auto"/>
          <w:sz w:val="24"/>
          <w:szCs w:val="24"/>
        </w:rPr>
        <w:t>8.1.1  施工控制网的约定</w:t>
      </w:r>
      <w:r>
        <w:rPr>
          <w:rFonts w:hint="eastAsia" w:ascii="宋体" w:hAnsi="宋体" w:eastAsia="宋体" w:cs="宋体"/>
          <w:b/>
          <w:color w:val="auto"/>
          <w:sz w:val="24"/>
          <w:szCs w:val="24"/>
          <w:u w:val="single"/>
        </w:rPr>
        <w:t>:发包人应在工程开工10日前，通过监理人向承包人提供测量基准点、基准线和水准点及其书面资料。承包人在开工5日前，将施工控制网资料报送监理人审批。</w:t>
      </w:r>
    </w:p>
    <w:p>
      <w:pPr>
        <w:pStyle w:val="14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237" w:name="_Toc434412395"/>
      <w:bookmarkStart w:id="238" w:name="_Toc453677536"/>
      <w:bookmarkStart w:id="239" w:name="_Toc414368617"/>
      <w:bookmarkStart w:id="240" w:name="_Toc414352145"/>
      <w:bookmarkStart w:id="241" w:name="_Toc414275462"/>
      <w:bookmarkStart w:id="242" w:name="_Toc453678728"/>
      <w:bookmarkStart w:id="243" w:name="_Toc439684383"/>
      <w:bookmarkStart w:id="244" w:name="_Toc414268915"/>
      <w:r>
        <w:rPr>
          <w:rFonts w:hint="eastAsia" w:ascii="宋体" w:hAnsi="宋体" w:eastAsia="宋体" w:cs="宋体"/>
          <w:color w:val="auto"/>
          <w:sz w:val="24"/>
          <w:szCs w:val="24"/>
        </w:rPr>
        <w:t>9．施工安全、治安保卫和环境保护</w:t>
      </w:r>
      <w:bookmarkEnd w:id="237"/>
      <w:bookmarkEnd w:id="238"/>
      <w:bookmarkEnd w:id="239"/>
      <w:bookmarkEnd w:id="240"/>
      <w:bookmarkEnd w:id="241"/>
      <w:bookmarkEnd w:id="242"/>
      <w:bookmarkEnd w:id="243"/>
      <w:bookmarkEnd w:id="244"/>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245" w:name="_Toc414368618"/>
      <w:bookmarkStart w:id="246" w:name="_Toc414275463"/>
      <w:bookmarkStart w:id="247" w:name="_Toc414352146"/>
      <w:bookmarkStart w:id="248" w:name="_Toc453678729"/>
      <w:bookmarkStart w:id="249" w:name="_Toc453677537"/>
      <w:bookmarkStart w:id="250" w:name="_Toc439684384"/>
      <w:bookmarkStart w:id="251" w:name="_Toc414268916"/>
      <w:bookmarkStart w:id="252" w:name="_Toc434412396"/>
      <w:r>
        <w:rPr>
          <w:rFonts w:hint="eastAsia" w:ascii="宋体" w:hAnsi="宋体" w:eastAsia="宋体" w:cs="宋体"/>
          <w:color w:val="auto"/>
          <w:sz w:val="24"/>
          <w:szCs w:val="24"/>
        </w:rPr>
        <w:t>9.1 发包人的施工安全责任</w:t>
      </w:r>
      <w:bookmarkEnd w:id="245"/>
      <w:bookmarkEnd w:id="246"/>
      <w:bookmarkEnd w:id="247"/>
      <w:bookmarkEnd w:id="248"/>
      <w:bookmarkEnd w:id="249"/>
      <w:bookmarkEnd w:id="250"/>
      <w:bookmarkEnd w:id="251"/>
      <w:bookmarkEnd w:id="252"/>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9.1.4发包人提供</w:t>
      </w:r>
      <w:r>
        <w:rPr>
          <w:rFonts w:hint="eastAsia" w:ascii="宋体" w:hAnsi="宋体" w:eastAsia="宋体" w:cs="宋体"/>
          <w:color w:val="auto"/>
          <w:sz w:val="24"/>
          <w:szCs w:val="24"/>
          <w:u w:val="single"/>
        </w:rPr>
        <w:t xml:space="preserve"> 供水、供电、通信工程等</w:t>
      </w:r>
      <w:r>
        <w:rPr>
          <w:rFonts w:hint="eastAsia" w:ascii="宋体" w:hAnsi="宋体" w:eastAsia="宋体" w:cs="宋体"/>
          <w:color w:val="auto"/>
          <w:sz w:val="24"/>
          <w:szCs w:val="24"/>
        </w:rPr>
        <w:t>重要地下管线资料,其余资料由承包人负责收集。</w:t>
      </w:r>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253" w:name="_Toc414275464"/>
      <w:bookmarkStart w:id="254" w:name="_Toc434412397"/>
      <w:bookmarkStart w:id="255" w:name="_Toc439684385"/>
      <w:bookmarkStart w:id="256" w:name="_Toc414268917"/>
      <w:bookmarkStart w:id="257" w:name="_Toc414352147"/>
      <w:bookmarkStart w:id="258" w:name="_Toc453677538"/>
      <w:bookmarkStart w:id="259" w:name="_Toc453678730"/>
      <w:bookmarkStart w:id="260" w:name="_Toc414368619"/>
      <w:r>
        <w:rPr>
          <w:rFonts w:hint="eastAsia" w:ascii="宋体" w:hAnsi="宋体" w:eastAsia="宋体" w:cs="宋体"/>
          <w:color w:val="auto"/>
          <w:sz w:val="24"/>
          <w:szCs w:val="24"/>
        </w:rPr>
        <w:t>9.2 承包人的施工安全责任</w:t>
      </w:r>
      <w:bookmarkEnd w:id="253"/>
      <w:bookmarkEnd w:id="254"/>
      <w:bookmarkEnd w:id="255"/>
      <w:bookmarkEnd w:id="256"/>
      <w:bookmarkEnd w:id="257"/>
      <w:bookmarkEnd w:id="258"/>
      <w:bookmarkEnd w:id="259"/>
      <w:bookmarkEnd w:id="260"/>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9.2.12下列工程应编制专项施工方案：</w:t>
      </w:r>
      <w:r>
        <w:rPr>
          <w:rFonts w:hint="eastAsia" w:ascii="宋体" w:hAnsi="宋体" w:eastAsia="宋体" w:cs="宋体"/>
          <w:b/>
          <w:bCs/>
          <w:color w:val="auto"/>
          <w:sz w:val="24"/>
          <w:szCs w:val="24"/>
          <w:u w:val="single"/>
        </w:rPr>
        <w:t>水厂</w:t>
      </w:r>
      <w:r>
        <w:rPr>
          <w:rFonts w:hint="eastAsia" w:ascii="宋体" w:hAnsi="宋体" w:eastAsia="宋体" w:cs="宋体"/>
          <w:b/>
          <w:color w:val="auto"/>
          <w:sz w:val="24"/>
          <w:szCs w:val="24"/>
          <w:u w:val="single"/>
        </w:rPr>
        <w:t>及管理房工程、机电设备及安装工程等</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。其中对于</w:t>
      </w:r>
      <w:r>
        <w:rPr>
          <w:rFonts w:hint="eastAsia" w:ascii="宋体" w:hAnsi="宋体" w:eastAsia="宋体" w:cs="宋体"/>
          <w:b/>
          <w:color w:val="auto"/>
          <w:sz w:val="24"/>
          <w:szCs w:val="24"/>
          <w:u w:val="single"/>
        </w:rPr>
        <w:t>可能引起安全事故的</w:t>
      </w:r>
      <w:r>
        <w:rPr>
          <w:rFonts w:hint="eastAsia" w:ascii="宋体" w:hAnsi="宋体" w:eastAsia="宋体" w:cs="宋体"/>
          <w:color w:val="auto"/>
          <w:sz w:val="24"/>
          <w:szCs w:val="24"/>
        </w:rPr>
        <w:t>应组织专家论证和审查。</w:t>
      </w:r>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261" w:name="_Toc414368620"/>
      <w:bookmarkStart w:id="262" w:name="_Toc453677539"/>
      <w:bookmarkStart w:id="263" w:name="_Toc453678731"/>
      <w:bookmarkStart w:id="264" w:name="_Toc414352148"/>
      <w:bookmarkStart w:id="265" w:name="_Toc414275465"/>
      <w:bookmarkStart w:id="266" w:name="_Toc439684386"/>
      <w:bookmarkStart w:id="267" w:name="_Toc434412398"/>
      <w:bookmarkStart w:id="268" w:name="_Toc414268918"/>
      <w:r>
        <w:rPr>
          <w:rFonts w:hint="eastAsia" w:ascii="宋体" w:hAnsi="宋体" w:eastAsia="宋体" w:cs="宋体"/>
          <w:color w:val="auto"/>
          <w:sz w:val="24"/>
          <w:szCs w:val="24"/>
        </w:rPr>
        <w:t>9.3文明工地</w:t>
      </w:r>
      <w:bookmarkEnd w:id="261"/>
      <w:bookmarkEnd w:id="262"/>
      <w:bookmarkEnd w:id="263"/>
      <w:bookmarkEnd w:id="264"/>
      <w:bookmarkEnd w:id="265"/>
      <w:bookmarkEnd w:id="266"/>
      <w:bookmarkEnd w:id="267"/>
      <w:bookmarkEnd w:id="268"/>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9.7.1本合同文明工地的约定: </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承包人应自觉按文明施工的要求组织施工</w:t>
      </w:r>
      <w:r>
        <w:rPr>
          <w:rFonts w:hint="eastAsia" w:ascii="宋体" w:hAnsi="宋体" w:eastAsia="宋体" w:cs="宋体"/>
          <w:b/>
          <w:color w:val="auto"/>
          <w:sz w:val="24"/>
          <w:szCs w:val="24"/>
        </w:rPr>
        <w:t>。</w:t>
      </w:r>
    </w:p>
    <w:p>
      <w:pPr>
        <w:pStyle w:val="4"/>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269" w:name="_Toc414268919"/>
      <w:bookmarkStart w:id="270" w:name="_Toc453677540"/>
      <w:bookmarkStart w:id="271" w:name="_Toc434412399"/>
      <w:bookmarkStart w:id="272" w:name="_Toc307417477"/>
      <w:bookmarkStart w:id="273" w:name="_Toc439684387"/>
      <w:bookmarkStart w:id="274" w:name="_Toc285028975"/>
      <w:bookmarkStart w:id="275" w:name="_Toc349399279"/>
      <w:bookmarkStart w:id="276" w:name="_Toc414368621"/>
      <w:bookmarkStart w:id="277" w:name="_Toc263370629"/>
      <w:bookmarkStart w:id="278" w:name="_Toc414352149"/>
      <w:bookmarkStart w:id="279" w:name="_Toc265657502"/>
      <w:bookmarkStart w:id="280" w:name="_Toc307416180"/>
      <w:bookmarkStart w:id="281" w:name="_Toc267473080"/>
      <w:bookmarkStart w:id="282" w:name="_Toc307485244"/>
      <w:bookmarkStart w:id="283" w:name="_Toc414275466"/>
      <w:bookmarkStart w:id="284" w:name="_Toc453678732"/>
      <w:bookmarkStart w:id="285" w:name="_Toc203759012"/>
      <w:r>
        <w:rPr>
          <w:rFonts w:hint="eastAsia" w:ascii="宋体" w:hAnsi="宋体" w:eastAsia="宋体" w:cs="宋体"/>
          <w:color w:val="auto"/>
          <w:sz w:val="24"/>
          <w:szCs w:val="24"/>
        </w:rPr>
        <w:t>10．进度计划</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286" w:name="_Toc414368622"/>
      <w:bookmarkStart w:id="287" w:name="_Toc453677541"/>
      <w:bookmarkStart w:id="288" w:name="_Toc439684388"/>
      <w:bookmarkStart w:id="289" w:name="_Toc414352150"/>
      <w:bookmarkStart w:id="290" w:name="_Toc453678733"/>
      <w:bookmarkStart w:id="291" w:name="_Toc265657503"/>
      <w:bookmarkStart w:id="292" w:name="_Toc414275467"/>
      <w:bookmarkStart w:id="293" w:name="_Toc285028976"/>
      <w:bookmarkStart w:id="294" w:name="_Toc267473081"/>
      <w:bookmarkStart w:id="295" w:name="_Toc434412400"/>
      <w:r>
        <w:rPr>
          <w:rFonts w:hint="eastAsia" w:ascii="宋体" w:hAnsi="宋体" w:eastAsia="宋体" w:cs="宋体"/>
          <w:color w:val="auto"/>
          <w:sz w:val="24"/>
          <w:szCs w:val="24"/>
        </w:rPr>
        <w:t>10.1 合同进度计划</w:t>
      </w:r>
      <w:bookmarkEnd w:id="286"/>
      <w:bookmarkEnd w:id="287"/>
      <w:bookmarkEnd w:id="288"/>
      <w:bookmarkEnd w:id="289"/>
      <w:bookmarkEnd w:id="290"/>
      <w:bookmarkEnd w:id="291"/>
      <w:bookmarkEnd w:id="292"/>
      <w:bookmarkEnd w:id="293"/>
      <w:bookmarkEnd w:id="294"/>
      <w:bookmarkEnd w:id="295"/>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承包人应按开工10日前，编制详细的施工进度计划和施工方案说明报送监理人。监理人应在开工5日前批复或提出修改意见。</w:t>
      </w:r>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296" w:name="_Toc414368623"/>
      <w:bookmarkStart w:id="297" w:name="_Toc414275468"/>
      <w:bookmarkStart w:id="298" w:name="_Toc434412401"/>
      <w:bookmarkStart w:id="299" w:name="_Toc414352151"/>
      <w:bookmarkStart w:id="300" w:name="_Toc267473082"/>
      <w:bookmarkStart w:id="301" w:name="_Toc439684389"/>
      <w:bookmarkStart w:id="302" w:name="_Toc285028977"/>
      <w:bookmarkStart w:id="303" w:name="_Toc265657504"/>
      <w:bookmarkStart w:id="304" w:name="_Toc453678734"/>
      <w:bookmarkStart w:id="305" w:name="_Toc453677542"/>
      <w:r>
        <w:rPr>
          <w:rFonts w:hint="eastAsia" w:ascii="宋体" w:hAnsi="宋体" w:eastAsia="宋体" w:cs="宋体"/>
          <w:color w:val="auto"/>
          <w:sz w:val="24"/>
          <w:szCs w:val="24"/>
        </w:rPr>
        <w:t>10.2 合同进度计划的修订</w:t>
      </w:r>
      <w:bookmarkEnd w:id="296"/>
      <w:bookmarkEnd w:id="297"/>
      <w:bookmarkEnd w:id="298"/>
      <w:bookmarkEnd w:id="299"/>
      <w:bookmarkEnd w:id="300"/>
      <w:bookmarkEnd w:id="301"/>
      <w:bookmarkEnd w:id="302"/>
      <w:bookmarkEnd w:id="303"/>
      <w:bookmarkEnd w:id="304"/>
      <w:bookmarkEnd w:id="305"/>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论何种原因造成工程的实际进度与第10.1款的合同进度计划不符时，承包人可以在28日内向监理人提交修订合同进度计划的申请报告，并附有关措施和相关资料，报监理人审批；监理人也可以直接向承包人做出修订合同进度计划的指示，承包人应按该指示修订合同进度计划，报监理人审批。监理人应在14日内批复。监理人在批复前应获得发包人同意。</w:t>
      </w:r>
    </w:p>
    <w:p>
      <w:pPr>
        <w:pStyle w:val="4"/>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306" w:name="_Toc439684390"/>
      <w:bookmarkStart w:id="307" w:name="_Toc414368624"/>
      <w:bookmarkStart w:id="308" w:name="_Toc453677543"/>
      <w:bookmarkStart w:id="309" w:name="_Toc453678735"/>
      <w:bookmarkStart w:id="310" w:name="_Toc414268920"/>
      <w:bookmarkStart w:id="311" w:name="_Toc414275469"/>
      <w:bookmarkStart w:id="312" w:name="_Toc434412402"/>
      <w:bookmarkStart w:id="313" w:name="_Toc414352152"/>
      <w:r>
        <w:rPr>
          <w:rFonts w:hint="eastAsia" w:ascii="宋体" w:hAnsi="宋体" w:eastAsia="宋体" w:cs="宋体"/>
          <w:color w:val="auto"/>
          <w:sz w:val="24"/>
          <w:szCs w:val="24"/>
        </w:rPr>
        <w:t>11．开工和竣工</w:t>
      </w:r>
      <w:bookmarkEnd w:id="285"/>
      <w:r>
        <w:rPr>
          <w:rFonts w:hint="eastAsia" w:ascii="宋体" w:hAnsi="宋体" w:eastAsia="宋体" w:cs="宋体"/>
          <w:color w:val="auto"/>
          <w:sz w:val="24"/>
          <w:szCs w:val="24"/>
        </w:rPr>
        <w:t>（完工）</w:t>
      </w:r>
      <w:bookmarkEnd w:id="306"/>
      <w:bookmarkEnd w:id="307"/>
      <w:bookmarkEnd w:id="308"/>
      <w:bookmarkEnd w:id="309"/>
      <w:bookmarkEnd w:id="310"/>
      <w:bookmarkEnd w:id="311"/>
      <w:bookmarkEnd w:id="312"/>
      <w:bookmarkEnd w:id="313"/>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314" w:name="_Toc414368625"/>
      <w:bookmarkStart w:id="315" w:name="_Toc453677544"/>
      <w:bookmarkStart w:id="316" w:name="_Toc434412403"/>
      <w:bookmarkStart w:id="317" w:name="_Toc439684391"/>
      <w:bookmarkStart w:id="318" w:name="_Toc453678736"/>
      <w:r>
        <w:rPr>
          <w:rFonts w:hint="eastAsia" w:ascii="宋体" w:hAnsi="宋体" w:eastAsia="宋体" w:cs="宋体"/>
          <w:color w:val="auto"/>
          <w:sz w:val="24"/>
          <w:szCs w:val="24"/>
        </w:rPr>
        <w:t>11.1 异常恶劣的气候条件</w:t>
      </w:r>
      <w:bookmarkEnd w:id="314"/>
      <w:bookmarkEnd w:id="315"/>
      <w:bookmarkEnd w:id="316"/>
      <w:bookmarkEnd w:id="317"/>
      <w:bookmarkEnd w:id="318"/>
    </w:p>
    <w:p>
      <w:pPr>
        <w:keepLines w:val="0"/>
        <w:pageBreakBefore w:val="0"/>
        <w:widowControl w:val="0"/>
        <w:kinsoku/>
        <w:wordWrap/>
        <w:overflowPunct/>
        <w:topLinePunct w:val="0"/>
        <w:bidi w:val="0"/>
        <w:spacing w:line="420" w:lineRule="exact"/>
        <w:ind w:firstLine="480" w:firstLineChars="200"/>
        <w:outlineLvl w:val="0"/>
        <w:rPr>
          <w:rFonts w:hint="eastAsia" w:ascii="宋体" w:hAnsi="宋体" w:eastAsia="宋体" w:cs="宋体"/>
          <w:color w:val="auto"/>
          <w:sz w:val="24"/>
          <w:szCs w:val="24"/>
        </w:rPr>
      </w:pPr>
      <w:bookmarkStart w:id="319" w:name="_Toc31763"/>
      <w:bookmarkStart w:id="320" w:name="_Toc453677545"/>
      <w:bookmarkStart w:id="321" w:name="_Toc434937715"/>
      <w:bookmarkStart w:id="322" w:name="_Toc453678737"/>
      <w:bookmarkStart w:id="323" w:name="_Toc4157"/>
      <w:bookmarkStart w:id="324" w:name="_Toc439684392"/>
      <w:r>
        <w:rPr>
          <w:rFonts w:hint="eastAsia" w:ascii="宋体" w:hAnsi="宋体" w:eastAsia="宋体" w:cs="宋体"/>
          <w:color w:val="auto"/>
          <w:sz w:val="24"/>
          <w:szCs w:val="24"/>
        </w:rPr>
        <w:t>11.4.3</w:t>
      </w:r>
      <w:r>
        <w:rPr>
          <w:rFonts w:hint="eastAsia" w:ascii="宋体" w:hAnsi="宋体" w:eastAsia="宋体" w:cs="宋体"/>
          <w:bCs/>
          <w:color w:val="auto"/>
          <w:sz w:val="24"/>
          <w:szCs w:val="24"/>
        </w:rPr>
        <w:t xml:space="preserve"> 本合同工程界定异常恶劣气候条件的范围为:</w:t>
      </w:r>
      <w:bookmarkEnd w:id="319"/>
      <w:bookmarkEnd w:id="320"/>
      <w:bookmarkEnd w:id="321"/>
      <w:bookmarkEnd w:id="322"/>
      <w:bookmarkEnd w:id="323"/>
      <w:bookmarkEnd w:id="324"/>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（1)日降雨量大于</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50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mm的雨日超过</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 3</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天； </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（2）风速大于</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50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m/s 的</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8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级以上台风灾害；</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（3）日气温超过 </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 39 </w:t>
      </w:r>
      <w:r>
        <w:rPr>
          <w:rFonts w:hint="eastAsia" w:ascii="宋体" w:hAnsi="宋体" w:eastAsia="宋体" w:cs="宋体"/>
          <w:color w:val="auto"/>
          <w:sz w:val="24"/>
          <w:szCs w:val="24"/>
        </w:rPr>
        <w:t>℃的高温大于</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3</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天；</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（4）日气温低于</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 -10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℃的严寒大于</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3</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天；</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（5）造成工程损坏的冰雹和大雪灾害：</w:t>
      </w:r>
      <w:r>
        <w:rPr>
          <w:rFonts w:hint="eastAsia" w:ascii="宋体" w:hAnsi="宋体" w:eastAsia="宋体" w:cs="宋体"/>
          <w:b/>
          <w:color w:val="auto"/>
          <w:sz w:val="24"/>
          <w:szCs w:val="24"/>
          <w:u w:val="single"/>
        </w:rPr>
        <w:t>一周内无法正常施工</w:t>
      </w:r>
      <w:r>
        <w:rPr>
          <w:rFonts w:hint="eastAsia" w:ascii="宋体" w:hAnsi="宋体" w:eastAsia="宋体" w:cs="宋体"/>
          <w:color w:val="auto"/>
          <w:sz w:val="24"/>
          <w:szCs w:val="24"/>
        </w:rPr>
        <w:t>；</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（6）其它异常恶劣气候灾害。</w:t>
      </w:r>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325" w:name="_Toc453678738"/>
      <w:bookmarkStart w:id="326" w:name="_Toc414268921"/>
      <w:bookmarkStart w:id="327" w:name="_Toc414352153"/>
      <w:bookmarkStart w:id="328" w:name="_Toc414368626"/>
      <w:bookmarkStart w:id="329" w:name="_Toc414275470"/>
      <w:bookmarkStart w:id="330" w:name="_Toc439684393"/>
      <w:bookmarkStart w:id="331" w:name="_Toc434412404"/>
      <w:bookmarkStart w:id="332" w:name="_Toc453677546"/>
      <w:r>
        <w:rPr>
          <w:rFonts w:hint="eastAsia" w:ascii="宋体" w:hAnsi="宋体" w:eastAsia="宋体" w:cs="宋体"/>
          <w:color w:val="auto"/>
          <w:sz w:val="24"/>
          <w:szCs w:val="24"/>
        </w:rPr>
        <w:t>11.2 承包人的工期延误</w:t>
      </w:r>
      <w:bookmarkEnd w:id="325"/>
      <w:bookmarkEnd w:id="326"/>
      <w:bookmarkEnd w:id="327"/>
      <w:bookmarkEnd w:id="328"/>
      <w:bookmarkEnd w:id="329"/>
      <w:bookmarkEnd w:id="330"/>
      <w:bookmarkEnd w:id="331"/>
      <w:bookmarkEnd w:id="332"/>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（1）逾期完工违约金表</w:t>
      </w:r>
    </w:p>
    <w:tbl>
      <w:tblPr>
        <w:tblStyle w:val="35"/>
        <w:tblW w:w="77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160"/>
        <w:gridCol w:w="23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160" w:type="dxa"/>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项目及其说明</w:t>
            </w:r>
          </w:p>
        </w:tc>
        <w:tc>
          <w:tcPr>
            <w:tcW w:w="2340" w:type="dxa"/>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要求完工日期</w:t>
            </w:r>
          </w:p>
        </w:tc>
        <w:tc>
          <w:tcPr>
            <w:tcW w:w="1980" w:type="dxa"/>
          </w:tcPr>
          <w:p>
            <w:pPr>
              <w:keepLines w:val="0"/>
              <w:pageBreakBefore w:val="0"/>
              <w:widowControl w:val="0"/>
              <w:kinsoku/>
              <w:wordWrap/>
              <w:overflowPunct/>
              <w:topLinePunct w:val="0"/>
              <w:bidi w:val="0"/>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违约金（元/天）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2160" w:type="dxa"/>
          </w:tcPr>
          <w:p>
            <w:pPr>
              <w:keepLines w:val="0"/>
              <w:pageBreakBefore w:val="0"/>
              <w:widowControl w:val="0"/>
              <w:kinsoku/>
              <w:wordWrap/>
              <w:overflowPunct/>
              <w:topLinePunct w:val="0"/>
              <w:bidi w:val="0"/>
              <w:spacing w:line="420" w:lineRule="exact"/>
              <w:ind w:firstLine="480" w:firstLineChars="200"/>
              <w:jc w:val="center"/>
              <w:rPr>
                <w:rFonts w:hint="eastAsia" w:ascii="宋体" w:hAnsi="宋体" w:eastAsia="宋体" w:cs="宋体"/>
                <w:color w:val="auto"/>
                <w:sz w:val="24"/>
                <w:szCs w:val="24"/>
              </w:rPr>
            </w:pPr>
          </w:p>
        </w:tc>
        <w:tc>
          <w:tcPr>
            <w:tcW w:w="2340" w:type="dxa"/>
          </w:tcPr>
          <w:p>
            <w:pPr>
              <w:keepLines w:val="0"/>
              <w:pageBreakBefore w:val="0"/>
              <w:widowControl w:val="0"/>
              <w:kinsoku/>
              <w:wordWrap/>
              <w:overflowPunct/>
              <w:topLinePunct w:val="0"/>
              <w:bidi w:val="0"/>
              <w:spacing w:line="420" w:lineRule="exact"/>
              <w:ind w:firstLine="480" w:firstLineChars="200"/>
              <w:jc w:val="center"/>
              <w:rPr>
                <w:rFonts w:hint="eastAsia" w:ascii="宋体" w:hAnsi="宋体" w:eastAsia="宋体" w:cs="宋体"/>
                <w:color w:val="auto"/>
                <w:sz w:val="24"/>
                <w:szCs w:val="24"/>
              </w:rPr>
            </w:pPr>
          </w:p>
        </w:tc>
        <w:tc>
          <w:tcPr>
            <w:tcW w:w="1980" w:type="dxa"/>
          </w:tcPr>
          <w:p>
            <w:pPr>
              <w:keepLines w:val="0"/>
              <w:pageBreakBefore w:val="0"/>
              <w:widowControl w:val="0"/>
              <w:kinsoku/>
              <w:wordWrap/>
              <w:overflowPunct/>
              <w:topLinePunct w:val="0"/>
              <w:bidi w:val="0"/>
              <w:spacing w:line="420" w:lineRule="exact"/>
              <w:ind w:firstLine="723" w:firstLineChars="300"/>
              <w:rPr>
                <w:rFonts w:hint="eastAsia" w:ascii="宋体" w:hAnsi="宋体" w:eastAsia="宋体" w:cs="宋体"/>
                <w:b/>
                <w:color w:val="auto"/>
                <w:sz w:val="24"/>
                <w:szCs w:val="24"/>
              </w:rPr>
            </w:pPr>
            <w:r>
              <w:rPr>
                <w:rFonts w:hint="eastAsia" w:ascii="宋体" w:hAnsi="宋体" w:eastAsia="宋体" w:cs="宋体"/>
                <w:b/>
                <w:color w:val="auto"/>
                <w:sz w:val="24"/>
                <w:szCs w:val="24"/>
              </w:rPr>
              <w:t>1000</w:t>
            </w:r>
          </w:p>
        </w:tc>
      </w:tr>
    </w:tbl>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（2）全部逾期完工违约金的总限额为：</w:t>
      </w:r>
      <w:r>
        <w:rPr>
          <w:rFonts w:hint="eastAsia" w:ascii="宋体" w:hAnsi="宋体" w:eastAsia="宋体" w:cs="宋体"/>
          <w:color w:val="auto"/>
          <w:sz w:val="24"/>
          <w:szCs w:val="24"/>
          <w:u w:val="single"/>
        </w:rPr>
        <w:t>不超过签约合同价的10% 。</w:t>
      </w:r>
    </w:p>
    <w:p>
      <w:pPr>
        <w:keepLines w:val="0"/>
        <w:pageBreakBefore w:val="0"/>
        <w:widowControl w:val="0"/>
        <w:kinsoku/>
        <w:wordWrap/>
        <w:overflowPunct/>
        <w:topLinePunct w:val="0"/>
        <w:bidi w:val="0"/>
        <w:spacing w:line="420" w:lineRule="exact"/>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其它情况</w:t>
      </w:r>
      <w:r>
        <w:rPr>
          <w:rFonts w:hint="eastAsia" w:ascii="宋体" w:hAnsi="宋体" w:eastAsia="宋体" w:cs="宋体"/>
          <w:color w:val="auto"/>
          <w:sz w:val="24"/>
          <w:szCs w:val="24"/>
        </w:rPr>
        <w:t>：</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u w:val="single"/>
        </w:rPr>
      </w:pPr>
      <w:bookmarkStart w:id="333" w:name="_Toc414275471"/>
      <w:bookmarkStart w:id="334" w:name="_Toc414368627"/>
      <w:bookmarkStart w:id="335" w:name="_Toc414268922"/>
      <w:bookmarkStart w:id="336" w:name="_Toc414352154"/>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增加额外工程项目、异常恶劣气候条件、非承包人原因造成的任何干扰或阻碍、其它可能发生的任何特殊情况等。发包人、监理人共同确认后顺延工期，但不计取窝工损失费。</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（2）在施工过程中因设计变更、图纸到位的迟延引起承包人不能正常施工，承包人应随时进行工种调整，不计取误工费，经发包人和监理人确认后工期顺延。</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（3）因上述以外原因引起连续停工两天以上，经监理人确认，顺延工期，不计取停工费、窝工费。</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（4）因承包人原因，本合同工程工期延误影响本工程施工、相关工程施工，责任由承包人承担。</w:t>
      </w:r>
    </w:p>
    <w:p>
      <w:pPr>
        <w:pStyle w:val="4"/>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337" w:name="_Toc434412405"/>
      <w:bookmarkStart w:id="338" w:name="_Toc453677547"/>
      <w:bookmarkStart w:id="339" w:name="_Toc439684394"/>
      <w:bookmarkStart w:id="340" w:name="_Toc453678739"/>
      <w:r>
        <w:rPr>
          <w:rFonts w:hint="eastAsia" w:ascii="宋体" w:hAnsi="宋体" w:eastAsia="宋体" w:cs="宋体"/>
          <w:color w:val="auto"/>
          <w:sz w:val="24"/>
          <w:szCs w:val="24"/>
        </w:rPr>
        <w:t>12．暂停施工</w:t>
      </w:r>
      <w:bookmarkEnd w:id="333"/>
      <w:bookmarkEnd w:id="334"/>
      <w:bookmarkEnd w:id="335"/>
      <w:bookmarkEnd w:id="336"/>
      <w:bookmarkEnd w:id="337"/>
      <w:bookmarkEnd w:id="338"/>
      <w:bookmarkEnd w:id="339"/>
      <w:bookmarkEnd w:id="340"/>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341" w:name="_Toc439684395"/>
      <w:bookmarkStart w:id="342" w:name="_Toc453678740"/>
      <w:bookmarkStart w:id="343" w:name="_Toc414368628"/>
      <w:bookmarkStart w:id="344" w:name="_Toc414352155"/>
      <w:bookmarkStart w:id="345" w:name="_Toc414275472"/>
      <w:bookmarkStart w:id="346" w:name="_Toc414268923"/>
      <w:bookmarkStart w:id="347" w:name="_Toc453677548"/>
      <w:bookmarkStart w:id="348" w:name="_Toc434412406"/>
      <w:r>
        <w:rPr>
          <w:rFonts w:hint="eastAsia" w:ascii="宋体" w:hAnsi="宋体" w:eastAsia="宋体" w:cs="宋体"/>
          <w:color w:val="auto"/>
          <w:sz w:val="24"/>
          <w:szCs w:val="24"/>
        </w:rPr>
        <w:t>12.1 承包人暂停施工的责任</w:t>
      </w:r>
      <w:bookmarkEnd w:id="341"/>
      <w:bookmarkEnd w:id="342"/>
      <w:bookmarkEnd w:id="343"/>
      <w:bookmarkEnd w:id="344"/>
      <w:bookmarkEnd w:id="345"/>
      <w:bookmarkEnd w:id="346"/>
      <w:bookmarkEnd w:id="347"/>
      <w:bookmarkEnd w:id="348"/>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承包人承担暂停施工责任的其它情形：</w:t>
      </w:r>
      <w:r>
        <w:rPr>
          <w:rFonts w:hint="eastAsia" w:ascii="宋体" w:hAnsi="宋体" w:eastAsia="宋体" w:cs="宋体"/>
          <w:color w:val="auto"/>
          <w:sz w:val="24"/>
          <w:szCs w:val="24"/>
          <w:u w:val="single"/>
        </w:rPr>
        <w:t>发包人或监理人组织的工程验收或检查引起的暂时停工。</w:t>
      </w:r>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349" w:name="_Toc414368629"/>
      <w:bookmarkStart w:id="350" w:name="_Toc453677549"/>
      <w:bookmarkStart w:id="351" w:name="_Toc453678741"/>
      <w:bookmarkStart w:id="352" w:name="_Toc434412407"/>
      <w:bookmarkStart w:id="353" w:name="_Toc414268924"/>
      <w:bookmarkStart w:id="354" w:name="_Toc414275473"/>
      <w:bookmarkStart w:id="355" w:name="_Toc414352156"/>
      <w:bookmarkStart w:id="356" w:name="_Toc439684396"/>
      <w:r>
        <w:rPr>
          <w:rFonts w:hint="eastAsia" w:ascii="宋体" w:hAnsi="宋体" w:eastAsia="宋体" w:cs="宋体"/>
          <w:color w:val="auto"/>
          <w:sz w:val="24"/>
          <w:szCs w:val="24"/>
        </w:rPr>
        <w:t>12.2 发包人暂停施工的责任</w:t>
      </w:r>
      <w:bookmarkEnd w:id="349"/>
      <w:bookmarkEnd w:id="350"/>
      <w:bookmarkEnd w:id="351"/>
      <w:bookmarkEnd w:id="352"/>
      <w:bookmarkEnd w:id="353"/>
      <w:bookmarkEnd w:id="354"/>
      <w:bookmarkEnd w:id="355"/>
      <w:bookmarkEnd w:id="356"/>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发包人承担暂停施工责任的其它情形：</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pStyle w:val="4"/>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357" w:name="_Toc434412408"/>
      <w:bookmarkStart w:id="358" w:name="_Toc453677550"/>
      <w:bookmarkStart w:id="359" w:name="_Toc414268925"/>
      <w:bookmarkStart w:id="360" w:name="_Toc453678742"/>
      <w:bookmarkStart w:id="361" w:name="_Toc414368630"/>
      <w:bookmarkStart w:id="362" w:name="_Toc414275474"/>
      <w:bookmarkStart w:id="363" w:name="_Toc414352157"/>
      <w:bookmarkStart w:id="364" w:name="_Toc439684397"/>
      <w:r>
        <w:rPr>
          <w:rFonts w:hint="eastAsia" w:ascii="宋体" w:hAnsi="宋体" w:eastAsia="宋体" w:cs="宋体"/>
          <w:color w:val="auto"/>
          <w:sz w:val="24"/>
          <w:szCs w:val="24"/>
        </w:rPr>
        <w:t>13．工程质量</w:t>
      </w:r>
      <w:bookmarkEnd w:id="357"/>
      <w:bookmarkEnd w:id="358"/>
      <w:bookmarkEnd w:id="359"/>
      <w:bookmarkEnd w:id="360"/>
      <w:bookmarkEnd w:id="361"/>
      <w:bookmarkEnd w:id="362"/>
      <w:bookmarkEnd w:id="363"/>
      <w:bookmarkEnd w:id="364"/>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365" w:name="_Toc439684398"/>
      <w:bookmarkStart w:id="366" w:name="_Toc453678743"/>
      <w:bookmarkStart w:id="367" w:name="_Toc414275475"/>
      <w:bookmarkStart w:id="368" w:name="_Toc414268926"/>
      <w:bookmarkStart w:id="369" w:name="_Toc434412409"/>
      <w:bookmarkStart w:id="370" w:name="_Toc414368631"/>
      <w:bookmarkStart w:id="371" w:name="_Toc414352158"/>
      <w:bookmarkStart w:id="372" w:name="_Toc453677551"/>
      <w:r>
        <w:rPr>
          <w:rFonts w:hint="eastAsia" w:ascii="宋体" w:hAnsi="宋体" w:eastAsia="宋体" w:cs="宋体"/>
          <w:color w:val="auto"/>
          <w:sz w:val="24"/>
          <w:szCs w:val="24"/>
        </w:rPr>
        <w:t>13.1 质量评定</w:t>
      </w:r>
      <w:bookmarkEnd w:id="365"/>
      <w:bookmarkEnd w:id="366"/>
      <w:bookmarkEnd w:id="367"/>
      <w:bookmarkEnd w:id="368"/>
      <w:bookmarkEnd w:id="369"/>
      <w:bookmarkEnd w:id="370"/>
      <w:bookmarkEnd w:id="371"/>
      <w:bookmarkEnd w:id="372"/>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13.1.1　重要隐蔽单元工程和关键部位单元工程质量评定的约定：</w:t>
      </w:r>
      <w:r>
        <w:rPr>
          <w:rFonts w:hint="eastAsia" w:ascii="宋体" w:hAnsi="宋体" w:eastAsia="宋体" w:cs="宋体"/>
          <w:b/>
          <w:color w:val="auto"/>
          <w:sz w:val="24"/>
          <w:szCs w:val="24"/>
          <w:u w:val="single"/>
        </w:rPr>
        <w:t xml:space="preserve">各责任主体主要负责人必须参加，质量达到合格标准 </w:t>
      </w:r>
      <w:r>
        <w:rPr>
          <w:rFonts w:hint="eastAsia" w:ascii="宋体" w:hAnsi="宋体" w:eastAsia="宋体" w:cs="宋体"/>
          <w:color w:val="auto"/>
          <w:sz w:val="24"/>
          <w:szCs w:val="24"/>
        </w:rPr>
        <w:t>。</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13.1.2　工程合格标准为：</w:t>
      </w:r>
      <w:r>
        <w:rPr>
          <w:rFonts w:hint="eastAsia" w:ascii="宋体" w:hAnsi="宋体" w:eastAsia="宋体" w:cs="宋体"/>
          <w:b/>
          <w:color w:val="auto"/>
          <w:sz w:val="24"/>
          <w:szCs w:val="24"/>
          <w:u w:val="single"/>
        </w:rPr>
        <w:t>依据相关验收规范</w:t>
      </w:r>
      <w:r>
        <w:rPr>
          <w:rFonts w:hint="eastAsia" w:ascii="宋体" w:hAnsi="宋体" w:eastAsia="宋体" w:cs="宋体"/>
          <w:color w:val="auto"/>
          <w:sz w:val="24"/>
          <w:szCs w:val="24"/>
        </w:rPr>
        <w:t>；优良标准为：</w:t>
      </w:r>
      <w:r>
        <w:rPr>
          <w:rFonts w:hint="eastAsia" w:ascii="宋体" w:hAnsi="宋体" w:eastAsia="宋体" w:cs="宋体"/>
          <w:b/>
          <w:color w:val="auto"/>
          <w:sz w:val="24"/>
          <w:szCs w:val="24"/>
          <w:u w:val="single"/>
        </w:rPr>
        <w:t>依据相关验收规范</w:t>
      </w:r>
      <w:r>
        <w:rPr>
          <w:rFonts w:hint="eastAsia" w:ascii="宋体" w:hAnsi="宋体" w:eastAsia="宋体" w:cs="宋体"/>
          <w:color w:val="auto"/>
          <w:sz w:val="24"/>
          <w:szCs w:val="24"/>
        </w:rPr>
        <w:t>。达到优良的奖金为：</w:t>
      </w:r>
      <w:r>
        <w:rPr>
          <w:rFonts w:hint="eastAsia" w:ascii="宋体" w:hAnsi="宋体" w:eastAsia="宋体" w:cs="宋体"/>
          <w:b/>
          <w:color w:val="auto"/>
          <w:sz w:val="24"/>
          <w:szCs w:val="24"/>
          <w:u w:val="single"/>
        </w:rPr>
        <w:t>双方约定</w:t>
      </w:r>
      <w:r>
        <w:rPr>
          <w:rFonts w:hint="eastAsia" w:ascii="宋体" w:hAnsi="宋体" w:eastAsia="宋体" w:cs="宋体"/>
          <w:color w:val="auto"/>
          <w:sz w:val="24"/>
          <w:szCs w:val="24"/>
        </w:rPr>
        <w:t>。</w:t>
      </w:r>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373" w:name="_Toc414268927"/>
      <w:bookmarkStart w:id="374" w:name="_Toc453677552"/>
      <w:bookmarkStart w:id="375" w:name="_Toc414352159"/>
      <w:bookmarkStart w:id="376" w:name="_Toc414275476"/>
      <w:bookmarkStart w:id="377" w:name="_Toc414368632"/>
      <w:bookmarkStart w:id="378" w:name="_Toc439684399"/>
      <w:bookmarkStart w:id="379" w:name="_Toc453678744"/>
      <w:bookmarkStart w:id="380" w:name="_Toc434412410"/>
      <w:r>
        <w:rPr>
          <w:rFonts w:hint="eastAsia" w:ascii="宋体" w:hAnsi="宋体" w:eastAsia="宋体" w:cs="宋体"/>
          <w:color w:val="auto"/>
          <w:sz w:val="24"/>
          <w:szCs w:val="24"/>
        </w:rPr>
        <w:t>13.2 质量事故处理</w:t>
      </w:r>
      <w:bookmarkEnd w:id="373"/>
      <w:bookmarkEnd w:id="374"/>
      <w:bookmarkEnd w:id="375"/>
      <w:bookmarkEnd w:id="376"/>
      <w:bookmarkEnd w:id="377"/>
      <w:bookmarkEnd w:id="378"/>
      <w:bookmarkEnd w:id="379"/>
      <w:bookmarkEnd w:id="380"/>
    </w:p>
    <w:p>
      <w:pPr>
        <w:keepLines w:val="0"/>
        <w:pageBreakBefore w:val="0"/>
        <w:widowControl w:val="0"/>
        <w:kinsoku/>
        <w:wordWrap/>
        <w:overflowPunct/>
        <w:topLinePunct w:val="0"/>
        <w:autoSpaceDE w:val="0"/>
        <w:autoSpaceDN w:val="0"/>
        <w:bidi w:val="0"/>
        <w:adjustRightInd w:val="0"/>
        <w:spacing w:line="420" w:lineRule="exact"/>
        <w:ind w:firstLine="480" w:firstLineChars="200"/>
        <w:outlineLvl w:val="0"/>
        <w:rPr>
          <w:rFonts w:hint="eastAsia" w:ascii="宋体" w:hAnsi="宋体" w:eastAsia="宋体" w:cs="宋体"/>
          <w:color w:val="auto"/>
          <w:sz w:val="24"/>
          <w:szCs w:val="24"/>
        </w:rPr>
      </w:pPr>
      <w:bookmarkStart w:id="381" w:name="_Toc453677553"/>
      <w:bookmarkStart w:id="382" w:name="_Toc439684400"/>
      <w:bookmarkStart w:id="383" w:name="_Toc439685578"/>
      <w:bookmarkStart w:id="384" w:name="_Toc453678745"/>
      <w:bookmarkStart w:id="385" w:name="_Toc9836"/>
      <w:bookmarkStart w:id="386" w:name="_Toc434937723"/>
      <w:bookmarkStart w:id="387" w:name="_Toc15519"/>
      <w:r>
        <w:rPr>
          <w:rFonts w:hint="eastAsia" w:ascii="宋体" w:hAnsi="宋体" w:eastAsia="宋体" w:cs="宋体"/>
          <w:color w:val="auto"/>
          <w:sz w:val="24"/>
          <w:szCs w:val="24"/>
        </w:rPr>
        <w:t>13.2.1工程竣工验收时，</w:t>
      </w:r>
      <w:r>
        <w:rPr>
          <w:rFonts w:hint="eastAsia" w:ascii="宋体" w:hAnsi="宋体" w:eastAsia="宋体" w:cs="宋体"/>
          <w:b/>
          <w:color w:val="auto"/>
          <w:sz w:val="24"/>
          <w:szCs w:val="24"/>
          <w:u w:val="single"/>
        </w:rPr>
        <w:t>承包人</w:t>
      </w:r>
      <w:r>
        <w:rPr>
          <w:rFonts w:hint="eastAsia" w:ascii="宋体" w:hAnsi="宋体" w:eastAsia="宋体" w:cs="宋体"/>
          <w:color w:val="auto"/>
          <w:sz w:val="24"/>
          <w:szCs w:val="24"/>
        </w:rPr>
        <w:t>向竣工验收委员会汇报并提交历次质量缺陷处理的备案资料。</w:t>
      </w:r>
      <w:bookmarkEnd w:id="381"/>
      <w:bookmarkEnd w:id="382"/>
      <w:bookmarkEnd w:id="383"/>
      <w:bookmarkEnd w:id="384"/>
      <w:bookmarkEnd w:id="385"/>
      <w:bookmarkEnd w:id="386"/>
      <w:bookmarkEnd w:id="387"/>
    </w:p>
    <w:p>
      <w:pPr>
        <w:pStyle w:val="4"/>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388" w:name="_Toc439684401"/>
      <w:bookmarkStart w:id="389" w:name="_Toc453677554"/>
      <w:bookmarkStart w:id="390" w:name="_Toc414351563"/>
      <w:bookmarkStart w:id="391" w:name="_Toc434412411"/>
      <w:bookmarkStart w:id="392" w:name="_Toc419464486"/>
      <w:bookmarkStart w:id="393" w:name="_Toc417897588"/>
      <w:bookmarkStart w:id="394" w:name="_Toc453678746"/>
      <w:bookmarkStart w:id="395" w:name="_Toc417898925"/>
      <w:bookmarkStart w:id="396" w:name="_Toc409275629"/>
      <w:bookmarkStart w:id="397" w:name="_Toc417897771"/>
      <w:bookmarkStart w:id="398" w:name="_Toc414439979"/>
      <w:r>
        <w:rPr>
          <w:rFonts w:hint="eastAsia" w:ascii="宋体" w:hAnsi="宋体" w:eastAsia="宋体" w:cs="宋体"/>
          <w:color w:val="auto"/>
          <w:sz w:val="24"/>
          <w:szCs w:val="24"/>
        </w:rPr>
        <w:t>14．试验和检验</w:t>
      </w:r>
      <w:bookmarkEnd w:id="388"/>
      <w:bookmarkEnd w:id="389"/>
      <w:bookmarkEnd w:id="390"/>
      <w:bookmarkEnd w:id="391"/>
      <w:bookmarkEnd w:id="392"/>
      <w:bookmarkEnd w:id="393"/>
      <w:bookmarkEnd w:id="394"/>
      <w:bookmarkEnd w:id="395"/>
      <w:bookmarkEnd w:id="396"/>
      <w:bookmarkEnd w:id="397"/>
      <w:bookmarkEnd w:id="398"/>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b/>
          <w:color w:val="auto"/>
          <w:sz w:val="24"/>
          <w:szCs w:val="24"/>
          <w:u w:val="single"/>
        </w:rPr>
      </w:pPr>
      <w:r>
        <w:rPr>
          <w:rFonts w:hint="eastAsia" w:ascii="宋体" w:hAnsi="宋体" w:eastAsia="宋体" w:cs="宋体"/>
          <w:color w:val="auto"/>
          <w:sz w:val="24"/>
          <w:szCs w:val="24"/>
        </w:rPr>
        <w:t>14.1承包人应按照发包人的管理要求进行材料及工程设备、工程的试验和检验，并为监理人提供必要的试验资料和原始记录。</w:t>
      </w:r>
      <w:r>
        <w:rPr>
          <w:rFonts w:hint="eastAsia" w:ascii="宋体" w:hAnsi="宋体" w:eastAsia="宋体" w:cs="宋体"/>
          <w:b/>
          <w:color w:val="auto"/>
          <w:sz w:val="24"/>
          <w:szCs w:val="24"/>
          <w:u w:val="single"/>
        </w:rPr>
        <w:t>土料、水泥、砂子、石子、管材等原材料及中间产品均应具有相关资质的检测单位试验、检测，同时承包人须委托具有水利工程质量检测资质的检测单位按相关规定对关键质量控制项目进行检测并出具检测报告，并把相关的第三方检测费用均包含在相应工程量清单报价中。</w:t>
      </w:r>
    </w:p>
    <w:p>
      <w:pPr>
        <w:pStyle w:val="4"/>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399" w:name="_Toc453678747"/>
      <w:bookmarkStart w:id="400" w:name="_Toc414352160"/>
      <w:bookmarkStart w:id="401" w:name="_Toc439684402"/>
      <w:bookmarkStart w:id="402" w:name="_Toc414268928"/>
      <w:bookmarkStart w:id="403" w:name="_Toc453677555"/>
      <w:bookmarkStart w:id="404" w:name="_Toc434412412"/>
      <w:bookmarkStart w:id="405" w:name="_Toc414368633"/>
      <w:bookmarkStart w:id="406" w:name="_Toc414275477"/>
      <w:r>
        <w:rPr>
          <w:rFonts w:hint="eastAsia" w:ascii="宋体" w:hAnsi="宋体" w:eastAsia="宋体" w:cs="宋体"/>
          <w:color w:val="auto"/>
          <w:sz w:val="24"/>
          <w:szCs w:val="24"/>
        </w:rPr>
        <w:t>15．变更</w:t>
      </w:r>
      <w:bookmarkEnd w:id="399"/>
      <w:bookmarkEnd w:id="400"/>
      <w:bookmarkEnd w:id="401"/>
      <w:bookmarkEnd w:id="402"/>
      <w:bookmarkEnd w:id="403"/>
      <w:bookmarkEnd w:id="404"/>
      <w:bookmarkEnd w:id="405"/>
      <w:bookmarkEnd w:id="406"/>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407" w:name="_Toc414275478"/>
      <w:bookmarkStart w:id="408" w:name="_Toc414352161"/>
      <w:bookmarkStart w:id="409" w:name="_Toc453678748"/>
      <w:bookmarkStart w:id="410" w:name="_Toc414268929"/>
      <w:bookmarkStart w:id="411" w:name="_Toc414368634"/>
      <w:bookmarkStart w:id="412" w:name="_Toc439684403"/>
      <w:bookmarkStart w:id="413" w:name="_Toc453677556"/>
      <w:bookmarkStart w:id="414" w:name="_Toc434412413"/>
      <w:r>
        <w:rPr>
          <w:rFonts w:hint="eastAsia" w:ascii="宋体" w:hAnsi="宋体" w:eastAsia="宋体" w:cs="宋体"/>
          <w:color w:val="auto"/>
          <w:sz w:val="24"/>
          <w:szCs w:val="24"/>
        </w:rPr>
        <w:t>15.1 变更的范围和内容</w:t>
      </w:r>
      <w:bookmarkEnd w:id="407"/>
      <w:bookmarkEnd w:id="408"/>
      <w:bookmarkEnd w:id="409"/>
      <w:bookmarkEnd w:id="410"/>
      <w:bookmarkEnd w:id="411"/>
      <w:bookmarkEnd w:id="412"/>
      <w:bookmarkEnd w:id="413"/>
      <w:bookmarkEnd w:id="414"/>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增加或减少合同中关键项目的工程量超过其工程总量的</w:t>
      </w:r>
      <w:r>
        <w:rPr>
          <w:rFonts w:hint="eastAsia" w:ascii="宋体" w:hAnsi="宋体" w:eastAsia="宋体" w:cs="宋体"/>
          <w:b/>
          <w:color w:val="auto"/>
          <w:sz w:val="24"/>
          <w:szCs w:val="24"/>
          <w:u w:val="single"/>
        </w:rPr>
        <w:t>任意百分数</w:t>
      </w:r>
      <w:r>
        <w:rPr>
          <w:rFonts w:hint="eastAsia" w:ascii="宋体" w:hAnsi="宋体" w:eastAsia="宋体" w:cs="宋体"/>
          <w:color w:val="auto"/>
          <w:sz w:val="24"/>
          <w:szCs w:val="24"/>
        </w:rPr>
        <w:t>，单价调整方式：</w:t>
      </w:r>
      <w:r>
        <w:rPr>
          <w:rFonts w:hint="eastAsia" w:ascii="宋体" w:hAnsi="宋体" w:eastAsia="宋体" w:cs="宋体"/>
          <w:b/>
          <w:color w:val="auto"/>
          <w:sz w:val="24"/>
          <w:szCs w:val="24"/>
          <w:u w:val="single"/>
        </w:rPr>
        <w:t>单价不调整</w:t>
      </w:r>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415" w:name="_Toc414268930"/>
      <w:bookmarkStart w:id="416" w:name="_Toc414368635"/>
      <w:bookmarkStart w:id="417" w:name="_Toc453677557"/>
      <w:bookmarkStart w:id="418" w:name="_Toc414352162"/>
      <w:bookmarkStart w:id="419" w:name="_Toc414275479"/>
      <w:bookmarkStart w:id="420" w:name="_Toc453678749"/>
      <w:bookmarkStart w:id="421" w:name="_Toc439684404"/>
      <w:bookmarkStart w:id="422" w:name="_Toc434412414"/>
      <w:r>
        <w:rPr>
          <w:rFonts w:hint="eastAsia" w:ascii="宋体" w:hAnsi="宋体" w:eastAsia="宋体" w:cs="宋体"/>
          <w:color w:val="auto"/>
          <w:sz w:val="24"/>
          <w:szCs w:val="24"/>
        </w:rPr>
        <w:t>15.2 承包人的合理化建议</w:t>
      </w:r>
      <w:bookmarkEnd w:id="415"/>
      <w:bookmarkEnd w:id="416"/>
      <w:bookmarkEnd w:id="417"/>
      <w:bookmarkEnd w:id="418"/>
      <w:bookmarkEnd w:id="419"/>
      <w:bookmarkEnd w:id="420"/>
      <w:bookmarkEnd w:id="421"/>
      <w:bookmarkEnd w:id="422"/>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承包人实现合理化建议的奖为：（</w:t>
      </w:r>
      <w:r>
        <w:rPr>
          <w:rFonts w:hint="eastAsia" w:ascii="宋体" w:hAnsi="宋体" w:eastAsia="宋体" w:cs="宋体"/>
          <w:b/>
          <w:color w:val="auto"/>
          <w:sz w:val="24"/>
          <w:szCs w:val="24"/>
          <w:u w:val="single"/>
        </w:rPr>
        <w:t>依通用合同条款</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p>
    <w:p>
      <w:pPr>
        <w:pStyle w:val="4"/>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423" w:name="_Toc434412415"/>
      <w:bookmarkStart w:id="424" w:name="_Toc453677558"/>
      <w:bookmarkStart w:id="425" w:name="_Toc414368636"/>
      <w:bookmarkStart w:id="426" w:name="_Toc414275480"/>
      <w:bookmarkStart w:id="427" w:name="_Toc453678750"/>
      <w:bookmarkStart w:id="428" w:name="_Toc414352163"/>
      <w:bookmarkStart w:id="429" w:name="_Toc414268931"/>
      <w:bookmarkStart w:id="430" w:name="_Toc439684405"/>
      <w:r>
        <w:rPr>
          <w:rFonts w:hint="eastAsia" w:ascii="宋体" w:hAnsi="宋体" w:eastAsia="宋体" w:cs="宋体"/>
          <w:color w:val="auto"/>
          <w:sz w:val="24"/>
          <w:szCs w:val="24"/>
        </w:rPr>
        <w:t>16．价格调整</w:t>
      </w:r>
      <w:bookmarkEnd w:id="423"/>
      <w:bookmarkEnd w:id="424"/>
      <w:bookmarkEnd w:id="425"/>
      <w:bookmarkEnd w:id="426"/>
      <w:bookmarkEnd w:id="427"/>
      <w:bookmarkEnd w:id="428"/>
      <w:bookmarkEnd w:id="429"/>
      <w:bookmarkEnd w:id="430"/>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431" w:name="_Toc414368637"/>
      <w:bookmarkStart w:id="432" w:name="_Toc414275481"/>
      <w:bookmarkStart w:id="433" w:name="_Toc439684406"/>
      <w:bookmarkStart w:id="434" w:name="_Toc414268932"/>
      <w:bookmarkStart w:id="435" w:name="_Toc434412416"/>
      <w:bookmarkStart w:id="436" w:name="_Toc453678751"/>
      <w:bookmarkStart w:id="437" w:name="_Toc453677559"/>
      <w:bookmarkStart w:id="438" w:name="_Toc414352164"/>
      <w:r>
        <w:rPr>
          <w:rFonts w:hint="eastAsia" w:ascii="宋体" w:hAnsi="宋体" w:eastAsia="宋体" w:cs="宋体"/>
          <w:color w:val="auto"/>
          <w:sz w:val="24"/>
          <w:szCs w:val="24"/>
        </w:rPr>
        <w:t>16.1 物价波动引起的价格调整</w:t>
      </w:r>
      <w:bookmarkEnd w:id="431"/>
      <w:bookmarkEnd w:id="432"/>
      <w:bookmarkEnd w:id="433"/>
      <w:bookmarkEnd w:id="434"/>
      <w:bookmarkEnd w:id="435"/>
      <w:bookmarkEnd w:id="436"/>
      <w:bookmarkEnd w:id="437"/>
      <w:bookmarkEnd w:id="438"/>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物价波动引起的价格调整方式：</w:t>
      </w:r>
      <w:r>
        <w:rPr>
          <w:rFonts w:hint="eastAsia" w:ascii="宋体" w:hAnsi="宋体" w:eastAsia="宋体" w:cs="宋体"/>
          <w:color w:val="auto"/>
          <w:sz w:val="24"/>
          <w:szCs w:val="24"/>
          <w:u w:val="single"/>
        </w:rPr>
        <w:t>不调价</w:t>
      </w:r>
      <w:r>
        <w:rPr>
          <w:rFonts w:hint="eastAsia" w:ascii="宋体" w:hAnsi="宋体" w:eastAsia="宋体" w:cs="宋体"/>
          <w:color w:val="auto"/>
          <w:sz w:val="24"/>
          <w:szCs w:val="24"/>
        </w:rPr>
        <w:t xml:space="preserve"> 。</w:t>
      </w:r>
    </w:p>
    <w:p>
      <w:pPr>
        <w:pStyle w:val="4"/>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439" w:name="_Toc439684407"/>
      <w:bookmarkStart w:id="440" w:name="_Toc434412417"/>
      <w:bookmarkStart w:id="441" w:name="_Toc417898933"/>
      <w:bookmarkStart w:id="442" w:name="_Toc409275636"/>
      <w:bookmarkStart w:id="443" w:name="_Toc414351566"/>
      <w:bookmarkStart w:id="444" w:name="_Toc414439982"/>
      <w:bookmarkStart w:id="445" w:name="_Toc417897774"/>
      <w:bookmarkStart w:id="446" w:name="_Toc417897596"/>
      <w:bookmarkStart w:id="447" w:name="_Toc419464494"/>
      <w:bookmarkStart w:id="448" w:name="_Toc453677560"/>
      <w:bookmarkStart w:id="449" w:name="_Toc203759013"/>
      <w:bookmarkStart w:id="450" w:name="_Toc453678752"/>
      <w:r>
        <w:rPr>
          <w:rFonts w:hint="eastAsia" w:ascii="宋体" w:hAnsi="宋体" w:eastAsia="宋体" w:cs="宋体"/>
          <w:color w:val="auto"/>
          <w:sz w:val="24"/>
          <w:szCs w:val="24"/>
        </w:rPr>
        <w:t>17．计量与支付</w:t>
      </w:r>
      <w:bookmarkEnd w:id="439"/>
      <w:bookmarkEnd w:id="440"/>
      <w:bookmarkEnd w:id="441"/>
      <w:bookmarkEnd w:id="442"/>
      <w:bookmarkEnd w:id="443"/>
      <w:bookmarkEnd w:id="444"/>
      <w:bookmarkEnd w:id="445"/>
      <w:bookmarkEnd w:id="446"/>
      <w:bookmarkEnd w:id="447"/>
      <w:bookmarkEnd w:id="448"/>
      <w:bookmarkEnd w:id="449"/>
      <w:bookmarkEnd w:id="450"/>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451" w:name="_Toc453678753"/>
      <w:bookmarkStart w:id="452" w:name="_Toc453677561"/>
      <w:bookmarkStart w:id="453" w:name="_Toc417897597"/>
      <w:bookmarkStart w:id="454" w:name="_Toc439684408"/>
      <w:bookmarkStart w:id="455" w:name="_Toc417898934"/>
      <w:bookmarkStart w:id="456" w:name="_Toc409275637"/>
      <w:bookmarkStart w:id="457" w:name="_Toc434412418"/>
      <w:bookmarkStart w:id="458" w:name="_Toc419464495"/>
      <w:bookmarkStart w:id="459" w:name="_Toc414275485"/>
      <w:bookmarkStart w:id="460" w:name="_Toc414368641"/>
      <w:bookmarkStart w:id="461" w:name="_Toc414352168"/>
      <w:r>
        <w:rPr>
          <w:rFonts w:hint="eastAsia" w:ascii="宋体" w:hAnsi="宋体" w:eastAsia="宋体" w:cs="宋体"/>
          <w:color w:val="auto"/>
          <w:sz w:val="24"/>
          <w:szCs w:val="24"/>
        </w:rPr>
        <w:t>17.1 预付款</w:t>
      </w:r>
      <w:bookmarkEnd w:id="451"/>
      <w:bookmarkEnd w:id="452"/>
      <w:bookmarkEnd w:id="453"/>
      <w:bookmarkEnd w:id="454"/>
      <w:bookmarkEnd w:id="455"/>
      <w:bookmarkEnd w:id="456"/>
      <w:bookmarkEnd w:id="457"/>
      <w:bookmarkEnd w:id="458"/>
    </w:p>
    <w:p>
      <w:pPr>
        <w:keepLines w:val="0"/>
        <w:pageBreakBefore w:val="0"/>
        <w:widowControl w:val="0"/>
        <w:kinsoku/>
        <w:wordWrap/>
        <w:overflowPunct/>
        <w:topLinePunct w:val="0"/>
        <w:bidi w:val="0"/>
        <w:spacing w:line="420" w:lineRule="exact"/>
        <w:ind w:firstLine="482" w:firstLineChars="200"/>
        <w:rPr>
          <w:rFonts w:hint="eastAsia" w:ascii="宋体" w:hAnsi="宋体" w:eastAsia="宋体" w:cs="宋体"/>
          <w:b/>
          <w:color w:val="auto"/>
          <w:sz w:val="24"/>
          <w:szCs w:val="24"/>
        </w:rPr>
      </w:pPr>
      <w:bookmarkStart w:id="462" w:name="_Toc417899341"/>
      <w:bookmarkStart w:id="463" w:name="_Toc417897599"/>
      <w:bookmarkStart w:id="464" w:name="_Toc417898125"/>
      <w:bookmarkStart w:id="465" w:name="_Toc417897776"/>
      <w:bookmarkStart w:id="466" w:name="_Toc417898936"/>
      <w:bookmarkStart w:id="467" w:name="_Toc417898532"/>
      <w:r>
        <w:rPr>
          <w:rFonts w:hint="eastAsia" w:ascii="宋体" w:hAnsi="宋体" w:eastAsia="宋体" w:cs="宋体"/>
          <w:b/>
          <w:color w:val="auto"/>
          <w:sz w:val="24"/>
          <w:szCs w:val="24"/>
        </w:rPr>
        <w:t>本工程无预付款</w:t>
      </w:r>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468" w:name="_Toc434412419"/>
      <w:bookmarkStart w:id="469" w:name="_Toc453678754"/>
      <w:bookmarkStart w:id="470" w:name="_Toc419464497"/>
      <w:bookmarkStart w:id="471" w:name="_Toc439684409"/>
      <w:bookmarkStart w:id="472" w:name="_Toc453677562"/>
      <w:r>
        <w:rPr>
          <w:rFonts w:hint="eastAsia" w:ascii="宋体" w:hAnsi="宋体" w:eastAsia="宋体" w:cs="宋体"/>
          <w:color w:val="auto"/>
          <w:sz w:val="24"/>
          <w:szCs w:val="24"/>
        </w:rPr>
        <w:t>17.2工程进度付款</w:t>
      </w:r>
      <w:bookmarkEnd w:id="462"/>
      <w:bookmarkEnd w:id="463"/>
      <w:bookmarkEnd w:id="464"/>
      <w:bookmarkEnd w:id="465"/>
      <w:bookmarkEnd w:id="466"/>
      <w:bookmarkEnd w:id="467"/>
      <w:bookmarkEnd w:id="468"/>
      <w:bookmarkEnd w:id="469"/>
      <w:bookmarkEnd w:id="470"/>
      <w:bookmarkEnd w:id="471"/>
      <w:bookmarkEnd w:id="472"/>
    </w:p>
    <w:p>
      <w:pPr>
        <w:keepLines w:val="0"/>
        <w:pageBreakBefore w:val="0"/>
        <w:widowControl w:val="0"/>
        <w:kinsoku/>
        <w:wordWrap/>
        <w:overflowPunct/>
        <w:topLinePunct w:val="0"/>
        <w:bidi w:val="0"/>
        <w:spacing w:line="420" w:lineRule="exact"/>
        <w:ind w:firstLine="480" w:firstLineChars="200"/>
        <w:outlineLvl w:val="0"/>
        <w:rPr>
          <w:rFonts w:hint="eastAsia" w:ascii="宋体" w:hAnsi="宋体" w:eastAsia="宋体" w:cs="宋体"/>
          <w:color w:val="auto"/>
          <w:sz w:val="24"/>
          <w:szCs w:val="24"/>
        </w:rPr>
      </w:pPr>
      <w:bookmarkStart w:id="473" w:name="_Toc453677563"/>
      <w:bookmarkStart w:id="474" w:name="_Toc439685588"/>
      <w:bookmarkStart w:id="475" w:name="_Toc453678755"/>
      <w:bookmarkStart w:id="476" w:name="_Toc439685196"/>
      <w:bookmarkStart w:id="477" w:name="_Toc30520"/>
      <w:bookmarkStart w:id="478" w:name="_Toc439684410"/>
      <w:bookmarkStart w:id="479" w:name="_Toc13205"/>
      <w:bookmarkStart w:id="480" w:name="_Toc434937733"/>
      <w:r>
        <w:rPr>
          <w:rFonts w:hint="eastAsia" w:ascii="宋体" w:hAnsi="宋体" w:eastAsia="宋体" w:cs="宋体"/>
          <w:color w:val="auto"/>
          <w:sz w:val="24"/>
          <w:szCs w:val="24"/>
        </w:rPr>
        <w:t>17.2．1.1 付款周期</w:t>
      </w:r>
      <w:bookmarkEnd w:id="473"/>
      <w:bookmarkEnd w:id="474"/>
      <w:bookmarkEnd w:id="475"/>
      <w:bookmarkEnd w:id="476"/>
      <w:bookmarkEnd w:id="477"/>
      <w:bookmarkEnd w:id="478"/>
      <w:bookmarkEnd w:id="479"/>
      <w:bookmarkEnd w:id="480"/>
    </w:p>
    <w:p>
      <w:pPr>
        <w:keepLines w:val="0"/>
        <w:pageBreakBefore w:val="0"/>
        <w:widowControl w:val="0"/>
        <w:kinsoku/>
        <w:wordWrap/>
        <w:overflowPunct/>
        <w:topLinePunct w:val="0"/>
        <w:bidi w:val="0"/>
        <w:spacing w:line="420" w:lineRule="exact"/>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付款周期为按进度付款</w:t>
      </w:r>
      <w:r>
        <w:rPr>
          <w:rFonts w:hint="eastAsia" w:ascii="宋体" w:hAnsi="宋体" w:cs="宋体"/>
          <w:b/>
          <w:color w:val="auto"/>
          <w:sz w:val="24"/>
          <w:szCs w:val="24"/>
          <w:lang w:val="en-US" w:eastAsia="zh-CN"/>
        </w:rPr>
        <w:t>,</w:t>
      </w:r>
      <w:r>
        <w:rPr>
          <w:rFonts w:hint="eastAsia" w:ascii="宋体" w:hAnsi="宋体" w:eastAsia="宋体" w:cs="宋体"/>
          <w:color w:val="auto"/>
          <w:sz w:val="24"/>
          <w:szCs w:val="24"/>
        </w:rPr>
        <w:t>。</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481" w:name="_Toc419464498"/>
      <w:bookmarkStart w:id="482" w:name="_Toc417898533"/>
      <w:bookmarkStart w:id="483" w:name="_Toc419300884"/>
      <w:bookmarkStart w:id="484" w:name="_Toc417897600"/>
      <w:bookmarkStart w:id="485" w:name="_Toc414638334"/>
      <w:bookmarkStart w:id="486" w:name="_Toc417897777"/>
      <w:bookmarkStart w:id="487" w:name="_Toc417899342"/>
      <w:bookmarkStart w:id="488" w:name="_Toc419311017"/>
      <w:bookmarkStart w:id="489" w:name="_Toc414638733"/>
      <w:bookmarkStart w:id="490" w:name="_Toc414614367"/>
      <w:bookmarkStart w:id="491" w:name="_Toc417898126"/>
      <w:bookmarkStart w:id="492" w:name="_Toc417898937"/>
      <w:r>
        <w:rPr>
          <w:rFonts w:hint="eastAsia" w:ascii="宋体" w:hAnsi="宋体" w:eastAsia="宋体" w:cs="宋体"/>
          <w:color w:val="auto"/>
          <w:sz w:val="24"/>
          <w:szCs w:val="24"/>
        </w:rPr>
        <w:t>17.2.2 进度付款申请单</w:t>
      </w:r>
      <w:bookmarkEnd w:id="481"/>
      <w:bookmarkEnd w:id="482"/>
      <w:bookmarkEnd w:id="483"/>
      <w:bookmarkEnd w:id="484"/>
      <w:bookmarkEnd w:id="485"/>
      <w:bookmarkEnd w:id="486"/>
      <w:bookmarkEnd w:id="487"/>
      <w:bookmarkEnd w:id="488"/>
      <w:bookmarkEnd w:id="489"/>
      <w:bookmarkEnd w:id="490"/>
      <w:bookmarkEnd w:id="491"/>
      <w:bookmarkEnd w:id="492"/>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承包人应提交进度付款申请单的份数为一式4份。</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 进度付款证书和支付时间</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在收到工程计量证书和进度支付报表后，经审核确认所报内容及工程量属实，向发包人提出认为应当到期支付给承包人的金额。发包人收到监理人签证的工程计量证书和进度支付报表后，28天内审批并支付给承包人。若发包人资金暂时不到位，可推迟付款，承包人应继续施工，不得拖延工期。</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17.4</w:t>
      </w:r>
      <w:r>
        <w:rPr>
          <w:rFonts w:hint="eastAsia" w:ascii="宋体" w:hAnsi="宋体" w:eastAsia="宋体" w:cs="宋体"/>
          <w:b/>
          <w:color w:val="auto"/>
          <w:sz w:val="24"/>
          <w:szCs w:val="24"/>
        </w:rPr>
        <w:t>工程进度付款</w:t>
      </w:r>
    </w:p>
    <w:bookmarkEnd w:id="459"/>
    <w:bookmarkEnd w:id="460"/>
    <w:bookmarkEnd w:id="461"/>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(1)按</w:t>
      </w:r>
      <w:r>
        <w:rPr>
          <w:rFonts w:hint="eastAsia" w:ascii="宋体" w:hAnsi="宋体" w:cs="宋体"/>
          <w:color w:val="auto"/>
          <w:sz w:val="24"/>
          <w:szCs w:val="24"/>
          <w:u w:val="single"/>
          <w:lang w:val="en-US" w:eastAsia="zh-CN"/>
        </w:rPr>
        <w:t>施工</w:t>
      </w:r>
      <w:r>
        <w:rPr>
          <w:rFonts w:hint="eastAsia" w:ascii="宋体" w:hAnsi="宋体" w:eastAsia="宋体" w:cs="宋体"/>
          <w:color w:val="auto"/>
          <w:sz w:val="24"/>
          <w:szCs w:val="24"/>
          <w:u w:val="single"/>
        </w:rPr>
        <w:t>进度计量付款,每次应付进度款金额完成计量工程造价的97%支付,验收合格一年后付剩余3％。</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（2）工程进度结算支付给承包人款额， 在完工结算和审计中发现错误和需纠正的部分，将予以纠正。</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17.4.1每个付款周期扣留的质量保证金为工程进度付款的</w:t>
      </w:r>
      <w:r>
        <w:rPr>
          <w:rFonts w:hint="eastAsia" w:ascii="宋体" w:hAnsi="宋体" w:eastAsia="宋体" w:cs="宋体"/>
          <w:b/>
          <w:color w:val="auto"/>
          <w:sz w:val="24"/>
          <w:szCs w:val="24"/>
          <w:u w:val="single"/>
        </w:rPr>
        <w:t>3％</w:t>
      </w:r>
      <w:r>
        <w:rPr>
          <w:rFonts w:hint="eastAsia" w:ascii="宋体" w:hAnsi="宋体" w:eastAsia="宋体" w:cs="宋体"/>
          <w:color w:val="auto"/>
          <w:sz w:val="24"/>
          <w:szCs w:val="24"/>
        </w:rPr>
        <w:t>，扣留的质量保证金总额为签约合同价的</w:t>
      </w:r>
      <w:r>
        <w:rPr>
          <w:rFonts w:hint="eastAsia" w:ascii="宋体" w:hAnsi="宋体" w:eastAsia="宋体" w:cs="宋体"/>
          <w:b/>
          <w:color w:val="auto"/>
          <w:sz w:val="24"/>
          <w:szCs w:val="24"/>
          <w:u w:val="single"/>
        </w:rPr>
        <w:t>3％。</w:t>
      </w:r>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493" w:name="_Toc414368642"/>
      <w:bookmarkStart w:id="494" w:name="_Toc414352169"/>
      <w:bookmarkStart w:id="495" w:name="_Toc453677564"/>
      <w:bookmarkStart w:id="496" w:name="_Toc434412420"/>
      <w:bookmarkStart w:id="497" w:name="_Toc439684411"/>
      <w:bookmarkStart w:id="498" w:name="_Toc453678756"/>
      <w:bookmarkStart w:id="499" w:name="_Toc414275486"/>
      <w:r>
        <w:rPr>
          <w:rFonts w:hint="eastAsia" w:ascii="宋体" w:hAnsi="宋体" w:eastAsia="宋体" w:cs="宋体"/>
          <w:color w:val="auto"/>
          <w:sz w:val="24"/>
          <w:szCs w:val="24"/>
        </w:rPr>
        <w:t>17.5 竣工（完工）结算</w:t>
      </w:r>
      <w:bookmarkEnd w:id="493"/>
      <w:bookmarkEnd w:id="494"/>
      <w:bookmarkEnd w:id="495"/>
      <w:bookmarkEnd w:id="496"/>
      <w:bookmarkEnd w:id="497"/>
      <w:bookmarkEnd w:id="498"/>
      <w:bookmarkEnd w:id="499"/>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17.5.1　竣工（完工）付款申请单</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(1)承包人应提交完工付款申请单一式</w:t>
      </w:r>
      <w:r>
        <w:rPr>
          <w:rFonts w:hint="eastAsia" w:ascii="宋体" w:hAnsi="宋体" w:eastAsia="宋体" w:cs="宋体"/>
          <w:color w:val="auto"/>
          <w:sz w:val="24"/>
          <w:szCs w:val="24"/>
          <w:u w:val="single"/>
        </w:rPr>
        <w:t>伍</w:t>
      </w:r>
      <w:r>
        <w:rPr>
          <w:rFonts w:hint="eastAsia" w:ascii="宋体" w:hAnsi="宋体" w:eastAsia="宋体" w:cs="宋体"/>
          <w:color w:val="auto"/>
          <w:sz w:val="24"/>
          <w:szCs w:val="24"/>
        </w:rPr>
        <w:t>份。</w:t>
      </w:r>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500" w:name="_Toc414368643"/>
      <w:bookmarkStart w:id="501" w:name="_Toc414352170"/>
      <w:bookmarkStart w:id="502" w:name="_Toc414275487"/>
      <w:bookmarkStart w:id="503" w:name="_Toc453678757"/>
      <w:bookmarkStart w:id="504" w:name="_Toc439684412"/>
      <w:bookmarkStart w:id="505" w:name="_Toc434412421"/>
      <w:bookmarkStart w:id="506" w:name="_Toc453677565"/>
      <w:r>
        <w:rPr>
          <w:rFonts w:hint="eastAsia" w:ascii="宋体" w:hAnsi="宋体" w:eastAsia="宋体" w:cs="宋体"/>
          <w:color w:val="auto"/>
          <w:sz w:val="24"/>
          <w:szCs w:val="24"/>
        </w:rPr>
        <w:t>17.6 最终结清</w:t>
      </w:r>
      <w:bookmarkEnd w:id="500"/>
      <w:bookmarkEnd w:id="501"/>
      <w:bookmarkEnd w:id="502"/>
      <w:bookmarkEnd w:id="503"/>
      <w:bookmarkEnd w:id="504"/>
      <w:bookmarkEnd w:id="505"/>
      <w:bookmarkEnd w:id="506"/>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17.6.1　最终结清申请单</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(1)承包人应提交最终结清申请单一式</w:t>
      </w:r>
      <w:r>
        <w:rPr>
          <w:rFonts w:hint="eastAsia" w:ascii="宋体" w:hAnsi="宋体" w:eastAsia="宋体" w:cs="宋体"/>
          <w:color w:val="auto"/>
          <w:sz w:val="24"/>
          <w:szCs w:val="24"/>
          <w:u w:val="single"/>
        </w:rPr>
        <w:t>伍</w:t>
      </w:r>
      <w:r>
        <w:rPr>
          <w:rFonts w:hint="eastAsia" w:ascii="宋体" w:hAnsi="宋体" w:eastAsia="宋体" w:cs="宋体"/>
          <w:color w:val="auto"/>
          <w:sz w:val="24"/>
          <w:szCs w:val="24"/>
        </w:rPr>
        <w:t>份。</w:t>
      </w:r>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507" w:name="_Toc453677566"/>
      <w:bookmarkStart w:id="508" w:name="_Toc414275488"/>
      <w:bookmarkStart w:id="509" w:name="_Toc453678758"/>
      <w:bookmarkStart w:id="510" w:name="_Toc414368644"/>
      <w:bookmarkStart w:id="511" w:name="_Toc434412422"/>
      <w:bookmarkStart w:id="512" w:name="_Toc439684413"/>
      <w:bookmarkStart w:id="513" w:name="_Toc414352171"/>
      <w:r>
        <w:rPr>
          <w:rFonts w:hint="eastAsia" w:ascii="宋体" w:hAnsi="宋体" w:eastAsia="宋体" w:cs="宋体"/>
          <w:color w:val="auto"/>
          <w:sz w:val="24"/>
          <w:szCs w:val="24"/>
        </w:rPr>
        <w:t>17.7 竣工财务决算</w:t>
      </w:r>
      <w:bookmarkEnd w:id="507"/>
      <w:bookmarkEnd w:id="508"/>
      <w:bookmarkEnd w:id="509"/>
      <w:bookmarkEnd w:id="510"/>
      <w:bookmarkEnd w:id="511"/>
      <w:bookmarkEnd w:id="512"/>
      <w:bookmarkEnd w:id="513"/>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承包人应为竣工财务决算编制提供的资料：</w:t>
      </w:r>
      <w:r>
        <w:rPr>
          <w:rFonts w:hint="eastAsia" w:ascii="宋体" w:hAnsi="宋体" w:eastAsia="宋体" w:cs="宋体"/>
          <w:b/>
          <w:color w:val="auto"/>
          <w:sz w:val="24"/>
          <w:szCs w:val="24"/>
          <w:u w:val="single"/>
        </w:rPr>
        <w:t>依通用合同条款</w:t>
      </w:r>
      <w:r>
        <w:rPr>
          <w:rFonts w:hint="eastAsia" w:ascii="宋体" w:hAnsi="宋体" w:eastAsia="宋体" w:cs="宋体"/>
          <w:color w:val="auto"/>
          <w:sz w:val="24"/>
          <w:szCs w:val="24"/>
        </w:rPr>
        <w:t>。</w:t>
      </w:r>
    </w:p>
    <w:p>
      <w:pPr>
        <w:pStyle w:val="4"/>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514" w:name="_Toc453678759"/>
      <w:bookmarkStart w:id="515" w:name="_Toc414275489"/>
      <w:bookmarkStart w:id="516" w:name="_Toc439684414"/>
      <w:bookmarkStart w:id="517" w:name="_Toc453677567"/>
      <w:bookmarkStart w:id="518" w:name="_Toc414352172"/>
      <w:bookmarkStart w:id="519" w:name="_Toc414368645"/>
      <w:bookmarkStart w:id="520" w:name="_Toc434412423"/>
      <w:r>
        <w:rPr>
          <w:rFonts w:hint="eastAsia" w:ascii="宋体" w:hAnsi="宋体" w:eastAsia="宋体" w:cs="宋体"/>
          <w:color w:val="auto"/>
          <w:sz w:val="24"/>
          <w:szCs w:val="24"/>
        </w:rPr>
        <w:t>18．竣工验收（验收）(注:本条款执行《水利水电建设工程验收规程》(SL223-2008)</w:t>
      </w:r>
      <w:bookmarkEnd w:id="514"/>
      <w:bookmarkEnd w:id="515"/>
      <w:bookmarkEnd w:id="516"/>
      <w:bookmarkEnd w:id="517"/>
      <w:bookmarkEnd w:id="518"/>
      <w:bookmarkEnd w:id="519"/>
      <w:bookmarkEnd w:id="520"/>
      <w:r>
        <w:rPr>
          <w:rFonts w:hint="eastAsia" w:ascii="宋体" w:hAnsi="宋体" w:eastAsia="宋体" w:cs="宋体"/>
          <w:color w:val="auto"/>
          <w:sz w:val="24"/>
          <w:szCs w:val="24"/>
        </w:rPr>
        <w:t xml:space="preserve">  </w:t>
      </w:r>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521" w:name="_Toc434412424"/>
      <w:bookmarkStart w:id="522" w:name="_Toc453677568"/>
      <w:bookmarkStart w:id="523" w:name="_Toc414368646"/>
      <w:bookmarkStart w:id="524" w:name="_Toc453678760"/>
      <w:bookmarkStart w:id="525" w:name="_Toc439684415"/>
      <w:bookmarkStart w:id="526" w:name="_Toc414275490"/>
      <w:bookmarkStart w:id="527" w:name="_Toc414352173"/>
      <w:r>
        <w:rPr>
          <w:rFonts w:hint="eastAsia" w:ascii="宋体" w:hAnsi="宋体" w:eastAsia="宋体" w:cs="宋体"/>
          <w:color w:val="auto"/>
          <w:sz w:val="24"/>
          <w:szCs w:val="24"/>
        </w:rPr>
        <w:t>18.1 验收工作分类</w:t>
      </w:r>
      <w:bookmarkEnd w:id="521"/>
      <w:bookmarkEnd w:id="522"/>
      <w:bookmarkEnd w:id="523"/>
      <w:bookmarkEnd w:id="524"/>
      <w:bookmarkEnd w:id="525"/>
      <w:bookmarkEnd w:id="526"/>
      <w:bookmarkEnd w:id="527"/>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本工程法人验收包括：</w:t>
      </w:r>
      <w:r>
        <w:rPr>
          <w:rFonts w:hint="eastAsia" w:ascii="宋体" w:hAnsi="宋体" w:eastAsia="宋体" w:cs="宋体"/>
          <w:b/>
          <w:color w:val="auto"/>
          <w:sz w:val="24"/>
          <w:szCs w:val="24"/>
          <w:u w:val="single"/>
        </w:rPr>
        <w:t>重要隐蔽工程、分部工程验收、单位工程验收、合同完工验收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政府验收包括：</w:t>
      </w:r>
      <w:r>
        <w:rPr>
          <w:rFonts w:hint="eastAsia" w:ascii="宋体" w:hAnsi="宋体" w:eastAsia="宋体" w:cs="宋体"/>
          <w:b/>
          <w:color w:val="auto"/>
          <w:sz w:val="24"/>
          <w:szCs w:val="24"/>
          <w:u w:val="single"/>
        </w:rPr>
        <w:t>阶段验收、专项验收、竣工验收</w:t>
      </w:r>
      <w:r>
        <w:rPr>
          <w:rFonts w:hint="eastAsia" w:ascii="宋体" w:hAnsi="宋体" w:eastAsia="宋体" w:cs="宋体"/>
          <w:color w:val="auto"/>
          <w:sz w:val="24"/>
          <w:szCs w:val="24"/>
          <w:u w:val="single"/>
        </w:rPr>
        <w:t>；</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验收条件为：</w:t>
      </w:r>
      <w:r>
        <w:rPr>
          <w:rFonts w:hint="eastAsia" w:ascii="宋体" w:hAnsi="宋体" w:eastAsia="宋体" w:cs="宋体"/>
          <w:b/>
          <w:color w:val="auto"/>
          <w:sz w:val="24"/>
          <w:szCs w:val="24"/>
          <w:u w:val="single"/>
        </w:rPr>
        <w:t>根据《水利水电建设工程验收规程》SL223-2008执行。</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验收程序为：</w:t>
      </w:r>
      <w:r>
        <w:rPr>
          <w:rFonts w:hint="eastAsia" w:ascii="宋体" w:hAnsi="宋体" w:eastAsia="宋体" w:cs="宋体"/>
          <w:b/>
          <w:color w:val="auto"/>
          <w:sz w:val="24"/>
          <w:szCs w:val="24"/>
          <w:u w:val="single"/>
        </w:rPr>
        <w:t>根据《水利水电建设工程验收规程》SL223-2008执行。</w:t>
      </w:r>
      <w:r>
        <w:rPr>
          <w:rFonts w:hint="eastAsia" w:ascii="宋体" w:hAnsi="宋体" w:eastAsia="宋体" w:cs="宋体"/>
          <w:color w:val="auto"/>
          <w:sz w:val="24"/>
          <w:szCs w:val="24"/>
        </w:rPr>
        <w:t xml:space="preserve"> </w:t>
      </w:r>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528" w:name="_Toc439684416"/>
      <w:bookmarkStart w:id="529" w:name="_Toc453678761"/>
      <w:bookmarkStart w:id="530" w:name="_Toc414352174"/>
      <w:bookmarkStart w:id="531" w:name="_Toc453677569"/>
      <w:bookmarkStart w:id="532" w:name="_Toc414275491"/>
      <w:bookmarkStart w:id="533" w:name="_Toc414368647"/>
      <w:bookmarkStart w:id="534" w:name="_Toc434412425"/>
      <w:r>
        <w:rPr>
          <w:rFonts w:hint="eastAsia" w:ascii="宋体" w:hAnsi="宋体" w:eastAsia="宋体" w:cs="宋体"/>
          <w:color w:val="auto"/>
          <w:sz w:val="24"/>
          <w:szCs w:val="24"/>
        </w:rPr>
        <w:t>18.2 分部工程验收</w:t>
      </w:r>
      <w:bookmarkEnd w:id="528"/>
      <w:bookmarkEnd w:id="529"/>
      <w:bookmarkEnd w:id="530"/>
      <w:bookmarkEnd w:id="531"/>
      <w:bookmarkEnd w:id="532"/>
      <w:bookmarkEnd w:id="533"/>
      <w:bookmarkEnd w:id="534"/>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本工程由发包人主持的工程验收为</w:t>
      </w:r>
      <w:r>
        <w:rPr>
          <w:rFonts w:hint="eastAsia" w:ascii="宋体" w:hAnsi="宋体" w:eastAsia="宋体" w:cs="宋体"/>
          <w:b/>
          <w:color w:val="auto"/>
          <w:sz w:val="24"/>
          <w:szCs w:val="24"/>
          <w:u w:val="single"/>
        </w:rPr>
        <w:t>分部工程验收、单位工程验收、合同完工验收</w:t>
      </w:r>
      <w:r>
        <w:rPr>
          <w:rFonts w:hint="eastAsia" w:ascii="宋体" w:hAnsi="宋体" w:eastAsia="宋体" w:cs="宋体"/>
          <w:color w:val="auto"/>
          <w:sz w:val="24"/>
          <w:szCs w:val="24"/>
        </w:rPr>
        <w:t>，其余由监理人主持。</w:t>
      </w:r>
    </w:p>
    <w:p>
      <w:pPr>
        <w:pStyle w:val="6"/>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535" w:name="_Toc434412426"/>
      <w:bookmarkStart w:id="536" w:name="_Toc414275492"/>
      <w:bookmarkStart w:id="537" w:name="_Toc453677570"/>
      <w:bookmarkStart w:id="538" w:name="_Toc414368648"/>
      <w:bookmarkStart w:id="539" w:name="_Toc414352175"/>
      <w:bookmarkStart w:id="540" w:name="_Toc453678762"/>
      <w:bookmarkStart w:id="541" w:name="_Toc439684417"/>
      <w:r>
        <w:rPr>
          <w:rFonts w:hint="eastAsia" w:ascii="宋体" w:hAnsi="宋体" w:eastAsia="宋体" w:cs="宋体"/>
          <w:color w:val="auto"/>
          <w:sz w:val="24"/>
          <w:szCs w:val="24"/>
        </w:rPr>
        <w:t>18.3 单位工程验收</w:t>
      </w:r>
      <w:bookmarkEnd w:id="535"/>
      <w:bookmarkEnd w:id="536"/>
      <w:bookmarkEnd w:id="537"/>
      <w:bookmarkEnd w:id="538"/>
      <w:bookmarkEnd w:id="539"/>
      <w:bookmarkEnd w:id="540"/>
      <w:bookmarkEnd w:id="541"/>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提前投入使用的单位工程包括：</w:t>
      </w:r>
      <w:r>
        <w:rPr>
          <w:rFonts w:hint="eastAsia" w:ascii="宋体" w:hAnsi="宋体" w:eastAsia="宋体" w:cs="宋体"/>
          <w:b/>
          <w:color w:val="auto"/>
          <w:sz w:val="24"/>
          <w:szCs w:val="24"/>
          <w:u w:val="single"/>
        </w:rPr>
        <w:t>无</w:t>
      </w:r>
      <w:r>
        <w:rPr>
          <w:rFonts w:hint="eastAsia" w:ascii="宋体" w:hAnsi="宋体" w:eastAsia="宋体" w:cs="宋体"/>
          <w:color w:val="auto"/>
          <w:sz w:val="24"/>
          <w:szCs w:val="24"/>
        </w:rPr>
        <w:t xml:space="preserve"> 。</w:t>
      </w:r>
    </w:p>
    <w:p>
      <w:pPr>
        <w:pStyle w:val="6"/>
        <w:keepLines w:val="0"/>
        <w:pageBreakBefore w:val="0"/>
        <w:widowControl w:val="0"/>
        <w:kinsoku/>
        <w:wordWrap/>
        <w:overflowPunct/>
        <w:topLinePunct w:val="0"/>
        <w:bidi w:val="0"/>
        <w:snapToGrid/>
        <w:spacing w:line="420" w:lineRule="exact"/>
        <w:ind w:left="0" w:firstLine="480" w:firstLineChars="200"/>
        <w:jc w:val="both"/>
        <w:textAlignment w:val="auto"/>
        <w:rPr>
          <w:rFonts w:hint="eastAsia" w:ascii="宋体" w:hAnsi="宋体" w:eastAsia="宋体" w:cs="宋体"/>
          <w:color w:val="auto"/>
          <w:sz w:val="24"/>
          <w:szCs w:val="24"/>
        </w:rPr>
      </w:pPr>
      <w:bookmarkStart w:id="542" w:name="_Toc439684418"/>
      <w:bookmarkStart w:id="543" w:name="_Toc453677571"/>
      <w:bookmarkStart w:id="544" w:name="_Toc453678763"/>
      <w:bookmarkStart w:id="545" w:name="_Toc434412427"/>
      <w:bookmarkStart w:id="546" w:name="_Toc414352176"/>
      <w:bookmarkStart w:id="547" w:name="_Toc414275493"/>
      <w:bookmarkStart w:id="548" w:name="_Toc414368649"/>
      <w:r>
        <w:rPr>
          <w:rFonts w:hint="eastAsia" w:ascii="宋体" w:hAnsi="宋体" w:eastAsia="宋体" w:cs="宋体"/>
          <w:color w:val="auto"/>
          <w:sz w:val="24"/>
          <w:szCs w:val="24"/>
        </w:rPr>
        <w:t>18.5 阶段验收</w:t>
      </w:r>
      <w:bookmarkEnd w:id="542"/>
      <w:bookmarkEnd w:id="543"/>
      <w:bookmarkEnd w:id="544"/>
      <w:bookmarkEnd w:id="545"/>
      <w:bookmarkEnd w:id="546"/>
      <w:bookmarkEnd w:id="547"/>
      <w:bookmarkEnd w:id="548"/>
    </w:p>
    <w:p>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本合同工程阶段验收类别包括：</w:t>
      </w:r>
      <w:r>
        <w:rPr>
          <w:rFonts w:hint="eastAsia" w:ascii="宋体" w:hAnsi="宋体" w:eastAsia="宋体" w:cs="宋体"/>
          <w:b/>
          <w:color w:val="auto"/>
          <w:sz w:val="24"/>
          <w:szCs w:val="24"/>
          <w:u w:val="single"/>
        </w:rPr>
        <w:t>根据《水利水电建设工程验收规程》SL223-2008执行。</w:t>
      </w:r>
    </w:p>
    <w:p>
      <w:pPr>
        <w:pStyle w:val="6"/>
        <w:keepLines w:val="0"/>
        <w:pageBreakBefore w:val="0"/>
        <w:widowControl w:val="0"/>
        <w:kinsoku/>
        <w:wordWrap/>
        <w:overflowPunct/>
        <w:topLinePunct w:val="0"/>
        <w:bidi w:val="0"/>
        <w:snapToGrid/>
        <w:spacing w:line="420" w:lineRule="exact"/>
        <w:ind w:left="0" w:firstLine="480" w:firstLineChars="200"/>
        <w:jc w:val="both"/>
        <w:textAlignment w:val="auto"/>
        <w:rPr>
          <w:rFonts w:hint="eastAsia" w:ascii="宋体" w:hAnsi="宋体" w:eastAsia="宋体" w:cs="宋体"/>
          <w:color w:val="auto"/>
          <w:sz w:val="24"/>
          <w:szCs w:val="24"/>
        </w:rPr>
      </w:pPr>
      <w:bookmarkStart w:id="549" w:name="_Toc414368650"/>
      <w:bookmarkStart w:id="550" w:name="_Toc414275494"/>
      <w:bookmarkStart w:id="551" w:name="_Toc414352177"/>
      <w:bookmarkStart w:id="552" w:name="_Toc453677572"/>
      <w:bookmarkStart w:id="553" w:name="_Toc439684419"/>
      <w:bookmarkStart w:id="554" w:name="_Toc453678764"/>
      <w:bookmarkStart w:id="555" w:name="_Toc434412428"/>
      <w:r>
        <w:rPr>
          <w:rFonts w:hint="eastAsia" w:ascii="宋体" w:hAnsi="宋体" w:eastAsia="宋体" w:cs="宋体"/>
          <w:color w:val="auto"/>
          <w:sz w:val="24"/>
          <w:szCs w:val="24"/>
        </w:rPr>
        <w:t>18.6 专项验收</w:t>
      </w:r>
      <w:bookmarkEnd w:id="549"/>
      <w:bookmarkEnd w:id="550"/>
      <w:bookmarkEnd w:id="551"/>
      <w:bookmarkEnd w:id="552"/>
      <w:bookmarkEnd w:id="553"/>
      <w:bookmarkEnd w:id="554"/>
      <w:bookmarkEnd w:id="555"/>
    </w:p>
    <w:p>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本合同工程专项验收类别包括：</w:t>
      </w:r>
      <w:r>
        <w:rPr>
          <w:rFonts w:hint="eastAsia" w:ascii="宋体" w:hAnsi="宋体" w:eastAsia="宋体" w:cs="宋体"/>
          <w:b/>
          <w:color w:val="auto"/>
          <w:sz w:val="24"/>
          <w:szCs w:val="24"/>
          <w:u w:val="single"/>
        </w:rPr>
        <w:t>根据《水利水电建设工程验收规程》SL223-2008执行。</w:t>
      </w:r>
    </w:p>
    <w:p>
      <w:pPr>
        <w:pStyle w:val="6"/>
        <w:keepLines w:val="0"/>
        <w:pageBreakBefore w:val="0"/>
        <w:widowControl w:val="0"/>
        <w:kinsoku/>
        <w:wordWrap/>
        <w:overflowPunct/>
        <w:topLinePunct w:val="0"/>
        <w:bidi w:val="0"/>
        <w:snapToGrid/>
        <w:spacing w:line="420" w:lineRule="exact"/>
        <w:ind w:left="0" w:firstLine="480" w:firstLineChars="200"/>
        <w:jc w:val="both"/>
        <w:textAlignment w:val="auto"/>
        <w:rPr>
          <w:rFonts w:hint="eastAsia" w:ascii="宋体" w:hAnsi="宋体" w:eastAsia="宋体" w:cs="宋体"/>
          <w:color w:val="auto"/>
          <w:sz w:val="24"/>
          <w:szCs w:val="24"/>
        </w:rPr>
      </w:pPr>
      <w:bookmarkStart w:id="556" w:name="_Toc434412429"/>
      <w:bookmarkStart w:id="557" w:name="_Toc414352178"/>
      <w:bookmarkStart w:id="558" w:name="_Toc414275495"/>
      <w:bookmarkStart w:id="559" w:name="_Toc453677573"/>
      <w:bookmarkStart w:id="560" w:name="_Toc439684420"/>
      <w:bookmarkStart w:id="561" w:name="_Toc414368651"/>
      <w:bookmarkStart w:id="562" w:name="_Toc453678765"/>
      <w:r>
        <w:rPr>
          <w:rFonts w:hint="eastAsia" w:ascii="宋体" w:hAnsi="宋体" w:eastAsia="宋体" w:cs="宋体"/>
          <w:color w:val="auto"/>
          <w:sz w:val="24"/>
          <w:szCs w:val="24"/>
        </w:rPr>
        <w:t>18.7 竣工验收</w:t>
      </w:r>
      <w:bookmarkEnd w:id="556"/>
      <w:bookmarkEnd w:id="557"/>
      <w:bookmarkEnd w:id="558"/>
      <w:bookmarkEnd w:id="559"/>
      <w:bookmarkEnd w:id="560"/>
      <w:bookmarkEnd w:id="561"/>
      <w:bookmarkEnd w:id="562"/>
    </w:p>
    <w:p>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rPr>
      </w:pPr>
      <w:bookmarkStart w:id="563" w:name="_Toc414275496"/>
      <w:bookmarkStart w:id="564" w:name="_Toc414368652"/>
      <w:bookmarkStart w:id="565" w:name="_Toc414352179"/>
      <w:r>
        <w:rPr>
          <w:rFonts w:hint="eastAsia" w:ascii="宋体" w:hAnsi="宋体" w:eastAsia="宋体" w:cs="宋体"/>
          <w:color w:val="auto"/>
          <w:sz w:val="24"/>
          <w:szCs w:val="24"/>
        </w:rPr>
        <w:t>本工程</w:t>
      </w:r>
      <w:r>
        <w:rPr>
          <w:rFonts w:hint="eastAsia" w:ascii="宋体" w:hAnsi="宋体" w:eastAsia="宋体" w:cs="宋体"/>
          <w:b/>
          <w:color w:val="auto"/>
          <w:sz w:val="24"/>
          <w:szCs w:val="24"/>
        </w:rPr>
        <w:t>签约时确定（需要／不需要</w:t>
      </w:r>
      <w:r>
        <w:rPr>
          <w:rFonts w:hint="eastAsia" w:ascii="宋体" w:hAnsi="宋体" w:eastAsia="宋体" w:cs="宋体"/>
          <w:color w:val="auto"/>
          <w:sz w:val="24"/>
          <w:szCs w:val="24"/>
        </w:rPr>
        <w:t>）竣工验收技术鉴定 （ 蓄水安全鉴定）。</w:t>
      </w:r>
    </w:p>
    <w:p>
      <w:pPr>
        <w:pStyle w:val="6"/>
        <w:keepLines w:val="0"/>
        <w:pageBreakBefore w:val="0"/>
        <w:widowControl w:val="0"/>
        <w:kinsoku/>
        <w:wordWrap/>
        <w:overflowPunct/>
        <w:topLinePunct w:val="0"/>
        <w:bidi w:val="0"/>
        <w:snapToGrid/>
        <w:spacing w:line="420" w:lineRule="exact"/>
        <w:ind w:left="0" w:firstLine="480" w:firstLineChars="200"/>
        <w:jc w:val="both"/>
        <w:textAlignment w:val="auto"/>
        <w:rPr>
          <w:rFonts w:hint="eastAsia" w:ascii="宋体" w:hAnsi="宋体" w:eastAsia="宋体" w:cs="宋体"/>
          <w:color w:val="auto"/>
          <w:sz w:val="24"/>
          <w:szCs w:val="24"/>
        </w:rPr>
      </w:pPr>
      <w:bookmarkStart w:id="566" w:name="_Toc453678766"/>
      <w:bookmarkStart w:id="567" w:name="_Toc453677574"/>
      <w:bookmarkStart w:id="568" w:name="_Toc439684421"/>
      <w:bookmarkStart w:id="569" w:name="_Toc434412430"/>
      <w:r>
        <w:rPr>
          <w:rFonts w:hint="eastAsia" w:ascii="宋体" w:hAnsi="宋体" w:eastAsia="宋体" w:cs="宋体"/>
          <w:color w:val="auto"/>
          <w:sz w:val="24"/>
          <w:szCs w:val="24"/>
        </w:rPr>
        <w:t>18.8 施工期运行</w:t>
      </w:r>
      <w:bookmarkEnd w:id="563"/>
      <w:bookmarkEnd w:id="564"/>
      <w:bookmarkEnd w:id="565"/>
      <w:bookmarkEnd w:id="566"/>
      <w:bookmarkEnd w:id="567"/>
      <w:bookmarkEnd w:id="568"/>
      <w:bookmarkEnd w:id="569"/>
    </w:p>
    <w:p>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需要在施工期运行的单位工程或工程设备为：</w:t>
      </w:r>
      <w:r>
        <w:rPr>
          <w:rFonts w:hint="eastAsia" w:ascii="宋体" w:hAnsi="宋体" w:eastAsia="宋体" w:cs="宋体"/>
          <w:b/>
          <w:color w:val="auto"/>
          <w:sz w:val="24"/>
          <w:szCs w:val="24"/>
          <w:u w:val="single"/>
        </w:rPr>
        <w:t>无</w:t>
      </w:r>
      <w:r>
        <w:rPr>
          <w:rFonts w:hint="eastAsia" w:ascii="宋体" w:hAnsi="宋体" w:eastAsia="宋体" w:cs="宋体"/>
          <w:color w:val="auto"/>
          <w:sz w:val="24"/>
          <w:szCs w:val="24"/>
        </w:rPr>
        <w:t>。　</w:t>
      </w:r>
    </w:p>
    <w:p>
      <w:pPr>
        <w:pStyle w:val="6"/>
        <w:keepLines w:val="0"/>
        <w:pageBreakBefore w:val="0"/>
        <w:widowControl w:val="0"/>
        <w:kinsoku/>
        <w:wordWrap/>
        <w:overflowPunct/>
        <w:topLinePunct w:val="0"/>
        <w:bidi w:val="0"/>
        <w:snapToGrid/>
        <w:spacing w:line="420" w:lineRule="exact"/>
        <w:ind w:left="0" w:firstLine="480" w:firstLineChars="200"/>
        <w:jc w:val="both"/>
        <w:textAlignment w:val="auto"/>
        <w:rPr>
          <w:rFonts w:hint="eastAsia" w:ascii="宋体" w:hAnsi="宋体" w:eastAsia="宋体" w:cs="宋体"/>
          <w:color w:val="auto"/>
          <w:sz w:val="24"/>
          <w:szCs w:val="24"/>
        </w:rPr>
      </w:pPr>
      <w:bookmarkStart w:id="570" w:name="_Toc434412431"/>
      <w:bookmarkStart w:id="571" w:name="_Toc453678767"/>
      <w:bookmarkStart w:id="572" w:name="_Toc414368653"/>
      <w:bookmarkStart w:id="573" w:name="_Toc414275497"/>
      <w:bookmarkStart w:id="574" w:name="_Toc439684422"/>
      <w:bookmarkStart w:id="575" w:name="_Toc453677575"/>
      <w:bookmarkStart w:id="576" w:name="_Toc414352180"/>
      <w:r>
        <w:rPr>
          <w:rFonts w:hint="eastAsia" w:ascii="宋体" w:hAnsi="宋体" w:eastAsia="宋体" w:cs="宋体"/>
          <w:color w:val="auto"/>
          <w:sz w:val="24"/>
          <w:szCs w:val="24"/>
        </w:rPr>
        <w:t>18.9 试运行</w:t>
      </w:r>
      <w:bookmarkEnd w:id="570"/>
      <w:bookmarkEnd w:id="571"/>
      <w:bookmarkEnd w:id="572"/>
      <w:bookmarkEnd w:id="573"/>
      <w:bookmarkEnd w:id="574"/>
      <w:bookmarkEnd w:id="575"/>
      <w:bookmarkEnd w:id="576"/>
    </w:p>
    <w:p>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18.9.1试运行的组织：</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；费用承担：</w:t>
      </w:r>
      <w:r>
        <w:rPr>
          <w:rFonts w:hint="eastAsia" w:ascii="宋体" w:hAnsi="宋体" w:eastAsia="宋体" w:cs="宋体"/>
          <w:color w:val="auto"/>
          <w:sz w:val="24"/>
          <w:szCs w:val="24"/>
          <w:u w:val="single"/>
        </w:rPr>
        <w:t>承包人负责</w:t>
      </w:r>
      <w:r>
        <w:rPr>
          <w:rFonts w:hint="eastAsia" w:ascii="宋体" w:hAnsi="宋体" w:eastAsia="宋体" w:cs="宋体"/>
          <w:color w:val="auto"/>
          <w:sz w:val="24"/>
          <w:szCs w:val="24"/>
        </w:rPr>
        <w:t>。</w:t>
      </w:r>
    </w:p>
    <w:p>
      <w:pPr>
        <w:pStyle w:val="4"/>
        <w:keepLines w:val="0"/>
        <w:pageBreakBefore w:val="0"/>
        <w:widowControl w:val="0"/>
        <w:kinsoku/>
        <w:wordWrap/>
        <w:overflowPunct/>
        <w:topLinePunct w:val="0"/>
        <w:bidi w:val="0"/>
        <w:snapToGrid/>
        <w:spacing w:line="420" w:lineRule="exact"/>
        <w:ind w:left="0" w:firstLine="480" w:firstLineChars="200"/>
        <w:jc w:val="left"/>
        <w:textAlignment w:val="auto"/>
        <w:rPr>
          <w:rFonts w:hint="eastAsia" w:ascii="宋体" w:hAnsi="宋体" w:eastAsia="宋体" w:cs="宋体"/>
          <w:color w:val="auto"/>
          <w:sz w:val="24"/>
          <w:szCs w:val="24"/>
        </w:rPr>
      </w:pPr>
      <w:bookmarkStart w:id="577" w:name="_Toc414368654"/>
      <w:bookmarkStart w:id="578" w:name="_Toc453678768"/>
      <w:bookmarkStart w:id="579" w:name="_Toc434412432"/>
      <w:bookmarkStart w:id="580" w:name="_Toc414352181"/>
      <w:bookmarkStart w:id="581" w:name="_Toc414275498"/>
      <w:bookmarkStart w:id="582" w:name="_Toc453677576"/>
      <w:bookmarkStart w:id="583" w:name="_Toc439684423"/>
      <w:r>
        <w:rPr>
          <w:rFonts w:hint="eastAsia" w:ascii="宋体" w:hAnsi="宋体" w:eastAsia="宋体" w:cs="宋体"/>
          <w:color w:val="auto"/>
          <w:sz w:val="24"/>
          <w:szCs w:val="24"/>
        </w:rPr>
        <w:t>19．缺陷责任与保修责任</w:t>
      </w:r>
      <w:bookmarkEnd w:id="577"/>
      <w:bookmarkEnd w:id="578"/>
      <w:bookmarkEnd w:id="579"/>
      <w:bookmarkEnd w:id="580"/>
      <w:bookmarkEnd w:id="581"/>
      <w:bookmarkEnd w:id="582"/>
      <w:bookmarkEnd w:id="583"/>
    </w:p>
    <w:p>
      <w:pPr>
        <w:pStyle w:val="6"/>
        <w:keepLines w:val="0"/>
        <w:pageBreakBefore w:val="0"/>
        <w:widowControl w:val="0"/>
        <w:kinsoku/>
        <w:wordWrap/>
        <w:overflowPunct/>
        <w:topLinePunct w:val="0"/>
        <w:bidi w:val="0"/>
        <w:snapToGrid/>
        <w:spacing w:line="420" w:lineRule="exact"/>
        <w:ind w:left="0" w:firstLine="480" w:firstLineChars="200"/>
        <w:jc w:val="both"/>
        <w:textAlignment w:val="auto"/>
        <w:rPr>
          <w:rFonts w:hint="eastAsia" w:ascii="宋体" w:hAnsi="宋体" w:eastAsia="宋体" w:cs="宋体"/>
          <w:color w:val="auto"/>
          <w:sz w:val="24"/>
          <w:szCs w:val="24"/>
        </w:rPr>
      </w:pPr>
      <w:bookmarkStart w:id="584" w:name="_Toc414352182"/>
      <w:bookmarkStart w:id="585" w:name="_Toc434412433"/>
      <w:bookmarkStart w:id="586" w:name="_Toc453677577"/>
      <w:bookmarkStart w:id="587" w:name="_Toc453678769"/>
      <w:bookmarkStart w:id="588" w:name="_Toc439684424"/>
      <w:bookmarkStart w:id="589" w:name="_Toc414368655"/>
      <w:bookmarkStart w:id="590" w:name="_Toc414275499"/>
      <w:r>
        <w:rPr>
          <w:rFonts w:hint="eastAsia" w:ascii="宋体" w:hAnsi="宋体" w:eastAsia="宋体" w:cs="宋体"/>
          <w:color w:val="auto"/>
          <w:sz w:val="24"/>
          <w:szCs w:val="24"/>
        </w:rPr>
        <w:t>19.1 缺陷责任期（工程质量保修期）的起算时间</w:t>
      </w:r>
      <w:bookmarkEnd w:id="584"/>
      <w:bookmarkEnd w:id="585"/>
      <w:bookmarkEnd w:id="586"/>
      <w:bookmarkEnd w:id="587"/>
      <w:bookmarkEnd w:id="588"/>
      <w:bookmarkEnd w:id="589"/>
      <w:bookmarkEnd w:id="590"/>
    </w:p>
    <w:p>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本工程缺陷责任期（工程质量保修期）计算如下：</w:t>
      </w:r>
      <w:r>
        <w:rPr>
          <w:rFonts w:hint="eastAsia" w:ascii="宋体" w:hAnsi="宋体" w:eastAsia="宋体" w:cs="宋体"/>
          <w:color w:val="auto"/>
          <w:sz w:val="24"/>
          <w:szCs w:val="24"/>
          <w:u w:val="single"/>
        </w:rPr>
        <w:t>工程竣工之日</w:t>
      </w:r>
      <w:r>
        <w:rPr>
          <w:rFonts w:hint="eastAsia" w:ascii="宋体" w:hAnsi="宋体" w:eastAsia="宋体" w:cs="宋体"/>
          <w:color w:val="auto"/>
          <w:sz w:val="24"/>
          <w:szCs w:val="24"/>
        </w:rPr>
        <w:t>。</w:t>
      </w:r>
    </w:p>
    <w:p>
      <w:pPr>
        <w:pStyle w:val="6"/>
        <w:keepLines w:val="0"/>
        <w:pageBreakBefore w:val="0"/>
        <w:widowControl w:val="0"/>
        <w:kinsoku/>
        <w:wordWrap/>
        <w:overflowPunct/>
        <w:topLinePunct w:val="0"/>
        <w:bidi w:val="0"/>
        <w:snapToGrid/>
        <w:spacing w:line="420" w:lineRule="exact"/>
        <w:ind w:left="0" w:firstLine="480" w:firstLineChars="200"/>
        <w:jc w:val="both"/>
        <w:textAlignment w:val="auto"/>
        <w:rPr>
          <w:rFonts w:hint="eastAsia" w:ascii="宋体" w:hAnsi="宋体" w:eastAsia="宋体" w:cs="宋体"/>
          <w:color w:val="auto"/>
          <w:sz w:val="24"/>
          <w:szCs w:val="24"/>
        </w:rPr>
      </w:pPr>
      <w:bookmarkStart w:id="591" w:name="_Toc419464514"/>
      <w:bookmarkStart w:id="592" w:name="_Toc453678770"/>
      <w:bookmarkStart w:id="593" w:name="_Toc434412434"/>
      <w:bookmarkStart w:id="594" w:name="_Toc417898953"/>
      <w:bookmarkStart w:id="595" w:name="_Toc417897616"/>
      <w:bookmarkStart w:id="596" w:name="_Toc453677578"/>
      <w:bookmarkStart w:id="597" w:name="_Toc439684425"/>
      <w:r>
        <w:rPr>
          <w:rFonts w:hint="eastAsia" w:ascii="宋体" w:hAnsi="宋体" w:eastAsia="宋体" w:cs="宋体"/>
          <w:color w:val="auto"/>
          <w:sz w:val="24"/>
          <w:szCs w:val="24"/>
        </w:rPr>
        <w:t>19.1保修责任</w:t>
      </w:r>
      <w:bookmarkEnd w:id="591"/>
      <w:bookmarkEnd w:id="592"/>
      <w:bookmarkEnd w:id="593"/>
      <w:bookmarkEnd w:id="594"/>
      <w:bookmarkEnd w:id="595"/>
      <w:bookmarkEnd w:id="596"/>
      <w:bookmarkEnd w:id="597"/>
    </w:p>
    <w:p>
      <w:pPr>
        <w:keepLines w:val="0"/>
        <w:pageBreakBefore w:val="0"/>
        <w:widowControl w:val="0"/>
        <w:kinsoku/>
        <w:wordWrap/>
        <w:overflowPunct/>
        <w:topLinePunct w:val="0"/>
        <w:autoSpaceDE w:val="0"/>
        <w:autoSpaceDN w:val="0"/>
        <w:bidi w:val="0"/>
        <w:adjustRightInd w:val="0"/>
        <w:snapToGrid/>
        <w:spacing w:line="420" w:lineRule="exact"/>
        <w:ind w:left="0" w:firstLine="482" w:firstLineChars="200"/>
        <w:textAlignment w:val="auto"/>
        <w:rPr>
          <w:rFonts w:hint="eastAsia" w:ascii="宋体" w:hAnsi="宋体" w:eastAsia="宋体" w:cs="宋体"/>
          <w:color w:val="auto"/>
          <w:sz w:val="24"/>
          <w:szCs w:val="24"/>
          <w:u w:val="single"/>
        </w:rPr>
      </w:pPr>
      <w:r>
        <w:rPr>
          <w:rFonts w:hint="eastAsia" w:ascii="宋体" w:hAnsi="宋体" w:eastAsia="宋体" w:cs="宋体"/>
          <w:b/>
          <w:color w:val="auto"/>
          <w:sz w:val="24"/>
          <w:szCs w:val="24"/>
        </w:rPr>
        <w:t>工程质量保修范围：</w:t>
      </w:r>
      <w:r>
        <w:rPr>
          <w:rFonts w:hint="eastAsia" w:ascii="宋体" w:hAnsi="宋体" w:eastAsia="宋体" w:cs="宋体"/>
          <w:color w:val="auto"/>
          <w:sz w:val="24"/>
          <w:szCs w:val="24"/>
          <w:u w:val="single"/>
        </w:rPr>
        <w:t>承包人按照招标文件、投标文件约定的招标范围；</w:t>
      </w:r>
    </w:p>
    <w:p>
      <w:pPr>
        <w:keepLines w:val="0"/>
        <w:pageBreakBefore w:val="0"/>
        <w:widowControl w:val="0"/>
        <w:kinsoku/>
        <w:wordWrap/>
        <w:overflowPunct/>
        <w:topLinePunct w:val="0"/>
        <w:autoSpaceDE w:val="0"/>
        <w:autoSpaceDN w:val="0"/>
        <w:bidi w:val="0"/>
        <w:adjustRightInd w:val="0"/>
        <w:snapToGrid/>
        <w:spacing w:line="420" w:lineRule="exact"/>
        <w:ind w:left="0" w:firstLine="482"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工程质量保修期限：</w:t>
      </w:r>
      <w:r>
        <w:rPr>
          <w:rFonts w:hint="eastAsia" w:ascii="宋体" w:hAnsi="宋体" w:eastAsia="宋体" w:cs="宋体"/>
          <w:color w:val="auto"/>
          <w:sz w:val="24"/>
          <w:szCs w:val="24"/>
          <w:highlight w:val="none"/>
          <w:u w:val="single"/>
        </w:rPr>
        <w:t xml:space="preserve">保修期限为1年； </w:t>
      </w:r>
    </w:p>
    <w:p>
      <w:pPr>
        <w:keepLines w:val="0"/>
        <w:pageBreakBefore w:val="0"/>
        <w:widowControl w:val="0"/>
        <w:kinsoku/>
        <w:wordWrap/>
        <w:overflowPunct/>
        <w:topLinePunct w:val="0"/>
        <w:autoSpaceDE w:val="0"/>
        <w:autoSpaceDN w:val="0"/>
        <w:bidi w:val="0"/>
        <w:adjustRightInd w:val="0"/>
        <w:snapToGrid/>
        <w:spacing w:line="420" w:lineRule="exact"/>
        <w:ind w:left="0" w:firstLine="482" w:firstLineChars="200"/>
        <w:textAlignment w:val="auto"/>
        <w:rPr>
          <w:rFonts w:hint="eastAsia" w:ascii="宋体" w:hAnsi="宋体" w:eastAsia="宋体" w:cs="宋体"/>
          <w:color w:val="auto"/>
          <w:sz w:val="24"/>
          <w:szCs w:val="24"/>
          <w:u w:val="single"/>
        </w:rPr>
      </w:pPr>
      <w:r>
        <w:rPr>
          <w:rFonts w:hint="eastAsia" w:ascii="宋体" w:hAnsi="宋体" w:eastAsia="宋体" w:cs="宋体"/>
          <w:b/>
          <w:color w:val="auto"/>
          <w:sz w:val="24"/>
          <w:szCs w:val="24"/>
        </w:rPr>
        <w:t>工程质量保修责任：</w:t>
      </w:r>
      <w:r>
        <w:rPr>
          <w:rFonts w:hint="eastAsia" w:ascii="宋体" w:hAnsi="宋体" w:eastAsia="宋体" w:cs="宋体"/>
          <w:color w:val="auto"/>
          <w:sz w:val="24"/>
          <w:szCs w:val="24"/>
          <w:u w:val="single"/>
        </w:rPr>
        <w:t>承包人负责工程缺陷处理的组织、实施及费用。</w:t>
      </w:r>
    </w:p>
    <w:p>
      <w:pPr>
        <w:pStyle w:val="4"/>
        <w:keepLines w:val="0"/>
        <w:pageBreakBefore w:val="0"/>
        <w:widowControl w:val="0"/>
        <w:kinsoku/>
        <w:wordWrap/>
        <w:overflowPunct/>
        <w:topLinePunct w:val="0"/>
        <w:bidi w:val="0"/>
        <w:snapToGrid/>
        <w:spacing w:line="420" w:lineRule="exact"/>
        <w:ind w:left="0" w:firstLine="480" w:firstLineChars="200"/>
        <w:jc w:val="left"/>
        <w:textAlignment w:val="auto"/>
        <w:rPr>
          <w:rFonts w:hint="eastAsia" w:ascii="宋体" w:hAnsi="宋体" w:eastAsia="宋体" w:cs="宋体"/>
          <w:color w:val="auto"/>
          <w:sz w:val="24"/>
          <w:szCs w:val="24"/>
        </w:rPr>
      </w:pPr>
      <w:bookmarkStart w:id="598" w:name="_Toc414275500"/>
      <w:bookmarkStart w:id="599" w:name="_Toc414352183"/>
      <w:bookmarkStart w:id="600" w:name="_Toc439684426"/>
      <w:bookmarkStart w:id="601" w:name="_Toc414368656"/>
      <w:bookmarkStart w:id="602" w:name="_Toc453677579"/>
      <w:bookmarkStart w:id="603" w:name="_Toc453678771"/>
      <w:bookmarkStart w:id="604" w:name="_Toc434412435"/>
      <w:r>
        <w:rPr>
          <w:rFonts w:hint="eastAsia" w:ascii="宋体" w:hAnsi="宋体" w:eastAsia="宋体" w:cs="宋体"/>
          <w:color w:val="auto"/>
          <w:sz w:val="24"/>
          <w:szCs w:val="24"/>
        </w:rPr>
        <w:t>20．保险</w:t>
      </w:r>
      <w:bookmarkEnd w:id="598"/>
      <w:bookmarkEnd w:id="599"/>
      <w:bookmarkEnd w:id="600"/>
      <w:bookmarkEnd w:id="601"/>
      <w:bookmarkEnd w:id="602"/>
      <w:bookmarkEnd w:id="603"/>
      <w:bookmarkEnd w:id="604"/>
    </w:p>
    <w:p>
      <w:pPr>
        <w:pStyle w:val="6"/>
        <w:keepLines w:val="0"/>
        <w:pageBreakBefore w:val="0"/>
        <w:widowControl w:val="0"/>
        <w:kinsoku/>
        <w:wordWrap/>
        <w:overflowPunct/>
        <w:topLinePunct w:val="0"/>
        <w:bidi w:val="0"/>
        <w:snapToGrid/>
        <w:spacing w:line="420" w:lineRule="exact"/>
        <w:ind w:left="0" w:firstLine="480" w:firstLineChars="200"/>
        <w:jc w:val="both"/>
        <w:textAlignment w:val="auto"/>
        <w:rPr>
          <w:rFonts w:hint="eastAsia" w:ascii="宋体" w:hAnsi="宋体" w:eastAsia="宋体" w:cs="宋体"/>
          <w:color w:val="auto"/>
          <w:sz w:val="24"/>
          <w:szCs w:val="24"/>
        </w:rPr>
      </w:pPr>
      <w:bookmarkStart w:id="605" w:name="_Toc414352184"/>
      <w:bookmarkStart w:id="606" w:name="_Toc434412436"/>
      <w:bookmarkStart w:id="607" w:name="_Toc414368657"/>
      <w:bookmarkStart w:id="608" w:name="_Toc439684427"/>
      <w:bookmarkStart w:id="609" w:name="_Toc453677580"/>
      <w:bookmarkStart w:id="610" w:name="_Toc414275501"/>
      <w:bookmarkStart w:id="611" w:name="_Toc453678772"/>
      <w:r>
        <w:rPr>
          <w:rFonts w:hint="eastAsia" w:ascii="宋体" w:hAnsi="宋体" w:eastAsia="宋体" w:cs="宋体"/>
          <w:color w:val="auto"/>
          <w:sz w:val="24"/>
          <w:szCs w:val="24"/>
        </w:rPr>
        <w:t>20.1 工程保险</w:t>
      </w:r>
      <w:bookmarkEnd w:id="605"/>
      <w:bookmarkEnd w:id="606"/>
      <w:bookmarkEnd w:id="607"/>
      <w:bookmarkEnd w:id="608"/>
      <w:bookmarkEnd w:id="609"/>
      <w:bookmarkEnd w:id="610"/>
      <w:bookmarkEnd w:id="611"/>
    </w:p>
    <w:p>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建筑工程一切险和（或）安装工程一切险投保人：</w:t>
      </w:r>
      <w:r>
        <w:rPr>
          <w:rFonts w:hint="eastAsia" w:ascii="宋体" w:hAnsi="宋体" w:eastAsia="宋体" w:cs="宋体"/>
          <w:color w:val="auto"/>
          <w:sz w:val="24"/>
          <w:szCs w:val="24"/>
          <w:u w:val="single"/>
        </w:rPr>
        <w:t>承包人应以发包人和承包人的共同名义向双方同意的保险人投保,承包人要将保险费记入投标报价中，投保的项目为该标段建筑安装工程</w:t>
      </w:r>
      <w:r>
        <w:rPr>
          <w:rFonts w:hint="eastAsia" w:ascii="宋体" w:hAnsi="宋体" w:eastAsia="宋体" w:cs="宋体"/>
          <w:color w:val="auto"/>
          <w:sz w:val="24"/>
          <w:szCs w:val="24"/>
        </w:rPr>
        <w:t>；</w:t>
      </w:r>
    </w:p>
    <w:p>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投保内容：</w:t>
      </w:r>
      <w:r>
        <w:rPr>
          <w:rFonts w:hint="eastAsia" w:ascii="宋体" w:hAnsi="宋体" w:eastAsia="宋体" w:cs="宋体"/>
          <w:color w:val="auto"/>
          <w:sz w:val="24"/>
          <w:szCs w:val="24"/>
          <w:u w:val="single"/>
        </w:rPr>
        <w:t>建筑和安装工程一切险</w:t>
      </w:r>
      <w:r>
        <w:rPr>
          <w:rFonts w:hint="eastAsia" w:ascii="宋体" w:hAnsi="宋体" w:eastAsia="宋体" w:cs="宋体"/>
          <w:color w:val="auto"/>
          <w:sz w:val="24"/>
          <w:szCs w:val="24"/>
        </w:rPr>
        <w:t>；</w:t>
      </w:r>
    </w:p>
    <w:p>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保险金额、保险费率和保险期限：</w:t>
      </w:r>
      <w:r>
        <w:rPr>
          <w:rFonts w:hint="eastAsia" w:ascii="宋体" w:hAnsi="宋体" w:eastAsia="宋体" w:cs="宋体"/>
          <w:color w:val="auto"/>
          <w:sz w:val="24"/>
          <w:szCs w:val="24"/>
          <w:u w:val="single"/>
        </w:rPr>
        <w:t xml:space="preserve">按工程量清单各组项目合计金额的0.5%计取，填写在投标报价汇总表中；保险期限自签订合同至缺陷责任期满 </w:t>
      </w:r>
      <w:r>
        <w:rPr>
          <w:rFonts w:hint="eastAsia" w:ascii="宋体" w:hAnsi="宋体" w:eastAsia="宋体" w:cs="宋体"/>
          <w:color w:val="auto"/>
          <w:sz w:val="24"/>
          <w:szCs w:val="24"/>
        </w:rPr>
        <w:t>。</w:t>
      </w:r>
    </w:p>
    <w:p>
      <w:pPr>
        <w:pStyle w:val="6"/>
        <w:keepLines w:val="0"/>
        <w:pageBreakBefore w:val="0"/>
        <w:widowControl w:val="0"/>
        <w:kinsoku/>
        <w:wordWrap/>
        <w:overflowPunct/>
        <w:topLinePunct w:val="0"/>
        <w:bidi w:val="0"/>
        <w:snapToGrid/>
        <w:spacing w:line="420" w:lineRule="exact"/>
        <w:ind w:left="0" w:firstLine="480" w:firstLineChars="200"/>
        <w:jc w:val="both"/>
        <w:textAlignment w:val="auto"/>
        <w:rPr>
          <w:rFonts w:hint="eastAsia" w:ascii="宋体" w:hAnsi="宋体" w:eastAsia="宋体" w:cs="宋体"/>
          <w:color w:val="auto"/>
          <w:sz w:val="24"/>
          <w:szCs w:val="24"/>
        </w:rPr>
      </w:pPr>
      <w:bookmarkStart w:id="612" w:name="_Toc439684428"/>
      <w:bookmarkStart w:id="613" w:name="_Toc414352185"/>
      <w:bookmarkStart w:id="614" w:name="_Toc434412437"/>
      <w:bookmarkStart w:id="615" w:name="_Toc453678773"/>
      <w:bookmarkStart w:id="616" w:name="_Toc414275502"/>
      <w:bookmarkStart w:id="617" w:name="_Toc453677581"/>
      <w:bookmarkStart w:id="618" w:name="_Toc414368658"/>
      <w:r>
        <w:rPr>
          <w:rFonts w:hint="eastAsia" w:ascii="宋体" w:hAnsi="宋体" w:eastAsia="宋体" w:cs="宋体"/>
          <w:color w:val="auto"/>
          <w:sz w:val="24"/>
          <w:szCs w:val="24"/>
        </w:rPr>
        <w:t>20.4 第三者责任险</w:t>
      </w:r>
      <w:bookmarkEnd w:id="612"/>
      <w:bookmarkEnd w:id="613"/>
      <w:bookmarkEnd w:id="614"/>
      <w:bookmarkEnd w:id="615"/>
      <w:bookmarkEnd w:id="616"/>
      <w:bookmarkEnd w:id="617"/>
      <w:bookmarkEnd w:id="618"/>
    </w:p>
    <w:p>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20.4.2 第三者责任险保险费率：</w:t>
      </w:r>
      <w:r>
        <w:rPr>
          <w:rFonts w:hint="eastAsia" w:ascii="宋体" w:hAnsi="宋体" w:eastAsia="宋体" w:cs="宋体"/>
          <w:color w:val="auto"/>
          <w:sz w:val="24"/>
          <w:szCs w:val="24"/>
          <w:u w:val="single"/>
        </w:rPr>
        <w:t>含在一切险中</w:t>
      </w:r>
      <w:r>
        <w:rPr>
          <w:rFonts w:hint="eastAsia" w:ascii="宋体" w:hAnsi="宋体" w:eastAsia="宋体" w:cs="宋体"/>
          <w:color w:val="auto"/>
          <w:sz w:val="24"/>
          <w:szCs w:val="24"/>
        </w:rPr>
        <w:t>；</w:t>
      </w:r>
    </w:p>
    <w:p>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第三者责任险保险金额：</w:t>
      </w:r>
      <w:r>
        <w:rPr>
          <w:rFonts w:hint="eastAsia" w:ascii="宋体" w:hAnsi="宋体" w:eastAsia="宋体" w:cs="宋体"/>
          <w:b/>
          <w:color w:val="auto"/>
          <w:sz w:val="24"/>
          <w:szCs w:val="24"/>
          <w:u w:val="single"/>
        </w:rPr>
        <w:t>依通用条款</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pStyle w:val="6"/>
        <w:keepLines w:val="0"/>
        <w:pageBreakBefore w:val="0"/>
        <w:widowControl w:val="0"/>
        <w:kinsoku/>
        <w:wordWrap/>
        <w:overflowPunct/>
        <w:topLinePunct w:val="0"/>
        <w:bidi w:val="0"/>
        <w:snapToGrid/>
        <w:spacing w:line="420" w:lineRule="exact"/>
        <w:ind w:left="0" w:firstLine="480" w:firstLineChars="200"/>
        <w:jc w:val="both"/>
        <w:textAlignment w:val="auto"/>
        <w:rPr>
          <w:rFonts w:hint="eastAsia" w:ascii="宋体" w:hAnsi="宋体" w:eastAsia="宋体" w:cs="宋体"/>
          <w:color w:val="auto"/>
          <w:sz w:val="24"/>
          <w:szCs w:val="24"/>
        </w:rPr>
      </w:pPr>
      <w:bookmarkStart w:id="619" w:name="_Toc414368659"/>
      <w:bookmarkStart w:id="620" w:name="_Toc434412438"/>
      <w:bookmarkStart w:id="621" w:name="_Toc453677582"/>
      <w:bookmarkStart w:id="622" w:name="_Toc414275503"/>
      <w:bookmarkStart w:id="623" w:name="_Toc414352186"/>
      <w:bookmarkStart w:id="624" w:name="_Toc439684429"/>
      <w:bookmarkStart w:id="625" w:name="_Toc453678774"/>
      <w:r>
        <w:rPr>
          <w:rFonts w:hint="eastAsia" w:ascii="宋体" w:hAnsi="宋体" w:eastAsia="宋体" w:cs="宋体"/>
          <w:color w:val="auto"/>
          <w:sz w:val="24"/>
          <w:szCs w:val="24"/>
        </w:rPr>
        <w:t>20.5 其它保险</w:t>
      </w:r>
      <w:bookmarkEnd w:id="619"/>
      <w:bookmarkEnd w:id="620"/>
      <w:bookmarkEnd w:id="621"/>
      <w:bookmarkEnd w:id="622"/>
      <w:bookmarkEnd w:id="623"/>
      <w:bookmarkEnd w:id="624"/>
      <w:bookmarkEnd w:id="625"/>
    </w:p>
    <w:p>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需要投保的其它内容：</w:t>
      </w:r>
      <w:r>
        <w:rPr>
          <w:rFonts w:hint="eastAsia" w:ascii="宋体" w:hAnsi="宋体" w:eastAsia="宋体" w:cs="宋体"/>
          <w:b/>
          <w:color w:val="auto"/>
          <w:sz w:val="24"/>
          <w:szCs w:val="24"/>
          <w:u w:val="single"/>
        </w:rPr>
        <w:t>依通用条款</w:t>
      </w:r>
      <w:r>
        <w:rPr>
          <w:rFonts w:hint="eastAsia" w:ascii="宋体" w:hAnsi="宋体" w:eastAsia="宋体" w:cs="宋体"/>
          <w:color w:val="auto"/>
          <w:sz w:val="24"/>
          <w:szCs w:val="24"/>
        </w:rPr>
        <w:t xml:space="preserve"> ；</w:t>
      </w:r>
    </w:p>
    <w:p>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保险金额、保险费率和保险期限：</w:t>
      </w:r>
      <w:r>
        <w:rPr>
          <w:rFonts w:hint="eastAsia" w:ascii="宋体" w:hAnsi="宋体" w:eastAsia="宋体" w:cs="宋体"/>
          <w:b/>
          <w:color w:val="auto"/>
          <w:sz w:val="24"/>
          <w:szCs w:val="24"/>
          <w:u w:val="single"/>
        </w:rPr>
        <w:t>依通用条款</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rPr>
      </w:pPr>
      <w:bookmarkStart w:id="626" w:name="_Toc414275504"/>
      <w:bookmarkStart w:id="627" w:name="_Toc414368660"/>
      <w:bookmarkStart w:id="628" w:name="_Toc439684430"/>
      <w:bookmarkStart w:id="629" w:name="_Toc453678775"/>
      <w:bookmarkStart w:id="630" w:name="_Toc434412439"/>
      <w:bookmarkStart w:id="631" w:name="_Toc453677583"/>
      <w:bookmarkStart w:id="632" w:name="_Toc414352187"/>
      <w:r>
        <w:rPr>
          <w:rFonts w:hint="eastAsia" w:ascii="宋体" w:hAnsi="宋体" w:eastAsia="宋体" w:cs="宋体"/>
          <w:color w:val="auto"/>
          <w:sz w:val="24"/>
          <w:szCs w:val="24"/>
        </w:rPr>
        <w:t>20.6 其它保险对各项保险的一般要求</w:t>
      </w:r>
      <w:bookmarkEnd w:id="626"/>
      <w:bookmarkEnd w:id="627"/>
      <w:bookmarkEnd w:id="628"/>
      <w:bookmarkEnd w:id="629"/>
      <w:bookmarkEnd w:id="630"/>
      <w:bookmarkEnd w:id="631"/>
      <w:bookmarkEnd w:id="632"/>
    </w:p>
    <w:p>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rPr>
      </w:pPr>
      <w:bookmarkStart w:id="633" w:name="_Toc414352188"/>
      <w:bookmarkStart w:id="634" w:name="_Toc414275505"/>
      <w:r>
        <w:rPr>
          <w:rFonts w:hint="eastAsia" w:ascii="宋体" w:hAnsi="宋体" w:eastAsia="宋体" w:cs="宋体"/>
          <w:color w:val="auto"/>
          <w:sz w:val="24"/>
          <w:szCs w:val="24"/>
        </w:rPr>
        <w:t>20.6.1　保险凭证</w:t>
      </w:r>
      <w:bookmarkEnd w:id="633"/>
      <w:bookmarkEnd w:id="634"/>
    </w:p>
    <w:p>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承包人提交保险凭证的期限：</w:t>
      </w:r>
      <w:r>
        <w:rPr>
          <w:rFonts w:hint="eastAsia" w:ascii="宋体" w:hAnsi="宋体" w:eastAsia="宋体" w:cs="宋体"/>
          <w:b/>
          <w:color w:val="auto"/>
          <w:sz w:val="24"/>
          <w:szCs w:val="24"/>
          <w:u w:val="single"/>
        </w:rPr>
        <w:t>合同约定的开工之日前</w:t>
      </w:r>
      <w:r>
        <w:rPr>
          <w:rFonts w:hint="eastAsia" w:ascii="宋体" w:hAnsi="宋体" w:eastAsia="宋体" w:cs="宋体"/>
          <w:color w:val="auto"/>
          <w:sz w:val="24"/>
          <w:szCs w:val="24"/>
        </w:rPr>
        <w:t>。</w:t>
      </w:r>
    </w:p>
    <w:p>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保险条件：</w:t>
      </w:r>
      <w:r>
        <w:rPr>
          <w:rFonts w:hint="eastAsia" w:ascii="宋体" w:hAnsi="宋体" w:eastAsia="宋体" w:cs="宋体"/>
          <w:b/>
          <w:color w:val="auto"/>
          <w:sz w:val="24"/>
          <w:szCs w:val="24"/>
          <w:u w:val="single"/>
        </w:rPr>
        <w:t>建设资金已落实</w:t>
      </w:r>
      <w:r>
        <w:rPr>
          <w:rFonts w:hint="eastAsia" w:ascii="宋体" w:hAnsi="宋体" w:eastAsia="宋体" w:cs="宋体"/>
          <w:color w:val="auto"/>
          <w:sz w:val="24"/>
          <w:szCs w:val="24"/>
        </w:rPr>
        <w:t>；</w:t>
      </w:r>
    </w:p>
    <w:p>
      <w:pPr>
        <w:pStyle w:val="4"/>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bookmarkStart w:id="635" w:name="_Toc434412440"/>
      <w:bookmarkStart w:id="636" w:name="_Toc414352189"/>
      <w:bookmarkStart w:id="637" w:name="_Toc453677584"/>
      <w:bookmarkStart w:id="638" w:name="_Toc439684431"/>
      <w:bookmarkStart w:id="639" w:name="_Toc453678776"/>
      <w:bookmarkStart w:id="640" w:name="_Toc414275506"/>
      <w:bookmarkStart w:id="641" w:name="_Toc414368661"/>
      <w:r>
        <w:rPr>
          <w:rFonts w:hint="eastAsia" w:ascii="宋体" w:hAnsi="宋体" w:eastAsia="宋体" w:cs="宋体"/>
          <w:color w:val="auto"/>
          <w:sz w:val="24"/>
          <w:szCs w:val="24"/>
        </w:rPr>
        <w:t>24．争议的解决</w:t>
      </w:r>
      <w:bookmarkEnd w:id="635"/>
      <w:bookmarkEnd w:id="636"/>
      <w:bookmarkEnd w:id="637"/>
      <w:bookmarkEnd w:id="638"/>
      <w:bookmarkEnd w:id="639"/>
      <w:bookmarkEnd w:id="640"/>
      <w:bookmarkEnd w:id="641"/>
    </w:p>
    <w:p>
      <w:pPr>
        <w:pStyle w:val="6"/>
        <w:keepLines w:val="0"/>
        <w:pageBreakBefore w:val="0"/>
        <w:widowControl w:val="0"/>
        <w:kinsoku/>
        <w:wordWrap/>
        <w:overflowPunct/>
        <w:topLinePunct w:val="0"/>
        <w:bidi w:val="0"/>
        <w:snapToGrid/>
        <w:spacing w:line="420" w:lineRule="exact"/>
        <w:ind w:left="0" w:firstLine="480" w:firstLineChars="200"/>
        <w:jc w:val="both"/>
        <w:textAlignment w:val="auto"/>
        <w:rPr>
          <w:rFonts w:hint="eastAsia" w:ascii="宋体" w:hAnsi="宋体" w:eastAsia="宋体" w:cs="宋体"/>
          <w:color w:val="auto"/>
          <w:sz w:val="24"/>
          <w:szCs w:val="24"/>
        </w:rPr>
      </w:pPr>
      <w:bookmarkStart w:id="642" w:name="_Toc434412441"/>
      <w:bookmarkStart w:id="643" w:name="_Toc414352190"/>
      <w:bookmarkStart w:id="644" w:name="_Toc414275507"/>
      <w:bookmarkStart w:id="645" w:name="_Toc414368662"/>
      <w:bookmarkStart w:id="646" w:name="_Toc453677585"/>
      <w:bookmarkStart w:id="647" w:name="_Toc453678777"/>
      <w:bookmarkStart w:id="648" w:name="_Toc439684432"/>
      <w:r>
        <w:rPr>
          <w:rFonts w:hint="eastAsia" w:ascii="宋体" w:hAnsi="宋体" w:eastAsia="宋体" w:cs="宋体"/>
          <w:color w:val="auto"/>
          <w:sz w:val="24"/>
          <w:szCs w:val="24"/>
        </w:rPr>
        <w:t>24.1 争议的解决方式</w:t>
      </w:r>
      <w:bookmarkEnd w:id="642"/>
      <w:bookmarkEnd w:id="643"/>
      <w:bookmarkEnd w:id="644"/>
      <w:bookmarkEnd w:id="645"/>
      <w:bookmarkEnd w:id="646"/>
      <w:bookmarkEnd w:id="647"/>
      <w:bookmarkEnd w:id="648"/>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合同当事人友好协商解决不成、不愿提请争议评审或不接受争议评审组意见的，约定的合同争议解决方式：须在</w:t>
      </w:r>
      <w:r>
        <w:rPr>
          <w:rFonts w:hint="eastAsia" w:ascii="宋体" w:hAnsi="宋体" w:eastAsia="宋体" w:cs="宋体"/>
          <w:color w:val="auto"/>
          <w:sz w:val="24"/>
          <w:szCs w:val="24"/>
          <w:u w:val="single"/>
          <w:lang w:val="en-US" w:eastAsia="zh-CN"/>
        </w:rPr>
        <w:t>泾阳县</w:t>
      </w:r>
      <w:r>
        <w:rPr>
          <w:rFonts w:hint="eastAsia" w:ascii="宋体" w:hAnsi="宋体" w:eastAsia="宋体" w:cs="宋体"/>
          <w:color w:val="auto"/>
          <w:sz w:val="24"/>
          <w:szCs w:val="24"/>
          <w:u w:val="single"/>
        </w:rPr>
        <w:t>人民法院进行诉讼</w:t>
      </w:r>
      <w:r>
        <w:rPr>
          <w:rFonts w:hint="eastAsia" w:ascii="宋体" w:hAnsi="宋体" w:eastAsia="宋体" w:cs="宋体"/>
          <w:color w:val="auto"/>
          <w:sz w:val="24"/>
          <w:szCs w:val="24"/>
        </w:rPr>
        <w:t>。</w:t>
      </w:r>
    </w:p>
    <w:p>
      <w:pPr>
        <w:pStyle w:val="4"/>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bookmarkStart w:id="649" w:name="_Toc439684177"/>
      <w:bookmarkStart w:id="650" w:name="_Toc453678519"/>
      <w:bookmarkStart w:id="651" w:name="_Toc453677327"/>
      <w:bookmarkStart w:id="652" w:name="_Toc414351941"/>
      <w:bookmarkStart w:id="653" w:name="_Toc434412201"/>
      <w:bookmarkStart w:id="654" w:name="_Toc414275258"/>
      <w:bookmarkStart w:id="655" w:name="_Toc414368422"/>
      <w:r>
        <w:rPr>
          <w:rFonts w:hint="eastAsia" w:ascii="宋体" w:hAnsi="宋体" w:eastAsia="宋体" w:cs="宋体"/>
          <w:color w:val="auto"/>
          <w:sz w:val="24"/>
          <w:szCs w:val="24"/>
        </w:rPr>
        <w:t>第三节  通用合同条款</w:t>
      </w:r>
      <w:bookmarkEnd w:id="649"/>
      <w:bookmarkEnd w:id="650"/>
      <w:bookmarkEnd w:id="651"/>
      <w:bookmarkEnd w:id="652"/>
      <w:bookmarkEnd w:id="653"/>
      <w:bookmarkEnd w:id="654"/>
      <w:bookmarkEnd w:id="655"/>
      <w:bookmarkStart w:id="656" w:name="_Toc414268846"/>
      <w:bookmarkStart w:id="657" w:name="_Toc414351942"/>
      <w:bookmarkStart w:id="658" w:name="_Toc414368423"/>
      <w:bookmarkStart w:id="659" w:name="_Toc453677328"/>
      <w:bookmarkStart w:id="660" w:name="_Toc439684178"/>
      <w:bookmarkStart w:id="661" w:name="_Toc434412202"/>
      <w:bookmarkStart w:id="662" w:name="_Toc453678520"/>
      <w:bookmarkStart w:id="663" w:name="_Toc414275259"/>
      <w:bookmarkStart w:id="664" w:name="_Toc203758978"/>
      <w:bookmarkStart w:id="665" w:name="_Toc184635098"/>
    </w:p>
    <w:p>
      <w:pPr>
        <w:pStyle w:val="4"/>
        <w:keepLines w:val="0"/>
        <w:pageBreakBefore w:val="0"/>
        <w:widowControl w:val="0"/>
        <w:kinsoku/>
        <w:wordWrap/>
        <w:overflowPunct/>
        <w:topLinePunct w:val="0"/>
        <w:bidi w:val="0"/>
        <w:snapToGrid/>
        <w:spacing w:line="42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1．一般约定</w:t>
      </w:r>
      <w:bookmarkEnd w:id="656"/>
      <w:bookmarkEnd w:id="657"/>
      <w:bookmarkEnd w:id="658"/>
      <w:bookmarkEnd w:id="659"/>
      <w:bookmarkEnd w:id="660"/>
      <w:bookmarkEnd w:id="661"/>
      <w:bookmarkEnd w:id="662"/>
      <w:bookmarkEnd w:id="663"/>
      <w:bookmarkEnd w:id="664"/>
      <w:bookmarkEnd w:id="665"/>
    </w:p>
    <w:p>
      <w:pPr>
        <w:pStyle w:val="6"/>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bookmarkStart w:id="666" w:name="_Toc434412203"/>
      <w:bookmarkStart w:id="667" w:name="_Toc414268847"/>
      <w:bookmarkStart w:id="668" w:name="_Toc453678521"/>
      <w:bookmarkStart w:id="669" w:name="_Toc439684179"/>
      <w:bookmarkStart w:id="670" w:name="_Toc414275260"/>
      <w:bookmarkStart w:id="671" w:name="_Toc414351943"/>
      <w:bookmarkStart w:id="672" w:name="_Toc453677329"/>
      <w:bookmarkStart w:id="673" w:name="_Toc414368424"/>
      <w:r>
        <w:rPr>
          <w:rFonts w:hint="eastAsia" w:ascii="宋体" w:hAnsi="宋体" w:eastAsia="宋体" w:cs="宋体"/>
          <w:color w:val="auto"/>
          <w:sz w:val="24"/>
          <w:szCs w:val="24"/>
        </w:rPr>
        <w:t>1.1 词语定义</w:t>
      </w:r>
      <w:bookmarkEnd w:id="666"/>
      <w:bookmarkEnd w:id="667"/>
      <w:bookmarkEnd w:id="668"/>
      <w:bookmarkEnd w:id="669"/>
      <w:bookmarkEnd w:id="670"/>
      <w:bookmarkEnd w:id="671"/>
      <w:bookmarkEnd w:id="672"/>
      <w:bookmarkEnd w:id="673"/>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通用合同条款、专用合同条款中的下列词语应具有本款所赋予的含义。</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 合同</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1.1.1.1 合同文件（或称合同）：指合同协议书、中标通知书、投标函及投标函附录、专用合同条款、通用合同条款、技术标准和要求、图纸、已标价工程量清单，以及其他合同文件。</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1.1.1.2 合同协议书：指第1.5款所指的合同协议书。</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1.1.1.3 中标通知书：指发包人通知承包人中标的函件。</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1.1.1.4 投标函：指构成合同文件组成部分的由承包人填写并签署的投标函。</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1.1.1.5 投标函附录：指附在投标函后构成合同文件的投标函附录。</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1.1.1.6 技术标准和要求：指构成合同文件组成部分的名为技术标准和要求（合同技术条款）的文件，包括合同双方当事人约定对其所作的修改或补充。</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1.1.1.7图纸：指列如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1.1.1.8 已标价工程量清单：指构成合同文件组成部分的由承包人按照规定的格式和要求填写并标明价格的工程量清单。</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1.1.1.9 其他合同文件：指经合同双方当事人确认构成合同文件的其他文件。</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 合同当事人和人员</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1.1.2.1 合同当事人：指发包人和（或）承包人。</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1.1.2.2 发包人：指专用合同条款中指明并与承包人在合同协议书中签字的当事人。</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1.1.2.3 承包人：指专用合同条款中指明并与发包人在合同协议书中签字的当事人。</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1.1.2.4 承包人项目经理：指承包人派驻施工场地的全权负责人。</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1.1.2.5 分包人：指专用合同条款中指明的，从承包人处分包合同中某一部分工程，并与其签订分包合同的分包人。</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1.1.2.6 监理人：指在专用合同条款中指明的，受发包人委托对合同履行实施管理的法人或其他组织。</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1.1.2.7 总监理工程师（总监）：指由监理人委派常驻施工场地对合同履行实施管理的全权负责人。</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 工程和设备</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1.1.3.1 工程：指永久工程和（或）临时工程。</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1.1.3.2 永久工程：指按合同约定建造并移交给发包人的工程，包括工程设备。</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1.1.3.3 临时工程：指为完成合同约定的永久工程所修建的各类临时性工程，不包括施工设备。</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1.1.3.4 单位工程：指专用合同条款中指明特定范围的永久工程。</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1.1.3.5 工程设备：指构成或计划构成永久工程一部分的机电设备、金属结构设备、仪器装置及其他类似的设备和装置。</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1.1.3.6 施工设备：指为完成合同约定的各项工作所需的设备、器具和其他物品，不包括临时工程和材料。</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1.1.3.7 临时设施：指为完成合同约定的各项工作所服务的临时性生产和生活设施。</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1.1.3.8 承包人设备：指承包人自带的施工设备。</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1.1.3.9 施工场地（或称工地、现场）：指用于合同工程施工的场所，以及在合同中指定作为施工场地组成部分的其他场所，包括永久占地和临时占地。</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1.1.3.10永久占地：指发包人为建设本合同工程永久征用的场地。</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1.1.3.11 临时占地：指发包人为建设本合同工程临时征用，承包人在完工后须按合同要求退还场地。</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 日期</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1.1.4.1 开工通知：指监理人按第11.1款通知承包人开工的函件。</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1.1.4.2 开工日期：指监理人按第11.1款发出的开工通知中写明的开工日期。</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1.1.4.3 工期：指承包人在投标函中承诺的完成合同工程所需的期限，包括按第11.3款、第11.4 款和第11.6 款约定所作的变更。</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1.1.4.4 竣工日期：即合同工程完工日期，指第1.1.4.3目 约定工期届满时的日期。实际完工日期以合同工程完工证书中写明的日期为准。</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1.1.4.5 缺陷责任期：即工程质量保修期，指履行第19.2款约定的缺陷责任的期限，包括根据第19.3款约定所作的延长，具体期限由专用合同条款约定。</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1.1.4.6 基准日期：指投标截止时间前28天的日期。</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1.1.4.7 天：除特别指明外，指日历天。合同中按天计算时间的，开始当天不计入，从次日开始计算。期限最后一天的截止时间为当天24:00。</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 合同价格和费用</w:t>
      </w:r>
    </w:p>
    <w:p>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1.1.5.1 签约合同价：指签订合同时合同协议书中写明的，包括了暂列金额、暂估价的合同总金额。</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1.1.5.2 合同价格：指承包人按合同约定完成了包括缺陷责任期内的全部承包工作后，发包人应付给承包人的金额，包括在履行合同过程中按合同约定进行的变更和调整。</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1.1.5.3 费用：指为履行合同所发生的或将要发生的所有合理开支，包括管理费和应分摊的其他费用，但不包括利润。</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1.1.5.4 暂列金额：指已标价工程量清单中所列的暂列金额，用于在签订协议书时尚未确定或不可预见变更的施工及其所需材料、工程设备、服务等的金额，包括以计日工方式支付的金额。</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1.1.5.5 暂估价：指发包人在工程量清单中给定的用于支付必然发生但暂时不能确定价格的材料、设备以及专业工程的金额。</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1.1.5.6 计日工：指对零星工作采取的一种计价方式，按合同中的计日工子目及其单价计价付款。</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1.1.5.7 质量保证金（或称保留金）：指按第17:41项约定用于保证在缺陷责任期内履行缺陷修复义务的金额。</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 其他</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1.1.6.1 书面形式：指合同文件、信函、电报、传真等可以有形地表现所载内容的形式。</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674" w:name="_Toc414268848"/>
      <w:bookmarkStart w:id="675" w:name="_Toc453678522"/>
      <w:bookmarkStart w:id="676" w:name="_Toc414351944"/>
      <w:bookmarkStart w:id="677" w:name="_Toc434412204"/>
      <w:bookmarkStart w:id="678" w:name="_Toc453677330"/>
      <w:bookmarkStart w:id="679" w:name="_Toc414275261"/>
      <w:bookmarkStart w:id="680" w:name="_Toc414368425"/>
      <w:bookmarkStart w:id="681" w:name="_Toc439684180"/>
      <w:r>
        <w:rPr>
          <w:rFonts w:hint="eastAsia" w:ascii="宋体" w:hAnsi="宋体" w:eastAsia="宋体" w:cs="宋体"/>
          <w:color w:val="auto"/>
          <w:sz w:val="24"/>
          <w:szCs w:val="24"/>
        </w:rPr>
        <w:t>1.2 语言文字</w:t>
      </w:r>
      <w:bookmarkEnd w:id="674"/>
      <w:bookmarkEnd w:id="675"/>
      <w:bookmarkEnd w:id="676"/>
      <w:bookmarkEnd w:id="677"/>
      <w:bookmarkEnd w:id="678"/>
      <w:bookmarkEnd w:id="679"/>
      <w:bookmarkEnd w:id="680"/>
      <w:bookmarkEnd w:id="681"/>
    </w:p>
    <w:p>
      <w:pPr>
        <w:keepLines w:val="0"/>
        <w:pageBreakBefore w:val="0"/>
        <w:widowControl w:val="0"/>
        <w:kinsoku/>
        <w:wordWrap/>
        <w:overflowPunct/>
        <w:topLinePunct w:val="0"/>
        <w:bidi w:val="0"/>
        <w:spacing w:line="42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除专用术语外，合同使用的语言文字为中文。必要时专用术语应附有中文注释。</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682" w:name="_Toc453677331"/>
      <w:bookmarkStart w:id="683" w:name="_Toc414268849"/>
      <w:bookmarkStart w:id="684" w:name="_Toc453678523"/>
      <w:bookmarkStart w:id="685" w:name="_Toc414351945"/>
      <w:bookmarkStart w:id="686" w:name="_Toc414368426"/>
      <w:bookmarkStart w:id="687" w:name="_Toc434412205"/>
      <w:bookmarkStart w:id="688" w:name="_Toc439684181"/>
      <w:bookmarkStart w:id="689" w:name="_Toc414275262"/>
      <w:r>
        <w:rPr>
          <w:rFonts w:hint="eastAsia" w:ascii="宋体" w:hAnsi="宋体" w:eastAsia="宋体" w:cs="宋体"/>
          <w:color w:val="auto"/>
          <w:sz w:val="24"/>
          <w:szCs w:val="24"/>
        </w:rPr>
        <w:t>1.3 法律</w:t>
      </w:r>
      <w:bookmarkEnd w:id="682"/>
      <w:bookmarkEnd w:id="683"/>
      <w:bookmarkEnd w:id="684"/>
      <w:bookmarkEnd w:id="685"/>
      <w:bookmarkEnd w:id="686"/>
      <w:bookmarkEnd w:id="687"/>
      <w:bookmarkEnd w:id="688"/>
      <w:bookmarkEnd w:id="689"/>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适用于合同的法律包括中华人民共和国法律、行政法规、部门规章，以及工程所在地的地方法规、自治条例、单行条例和地方政府规章。</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690" w:name="_Toc434412206"/>
      <w:bookmarkStart w:id="691" w:name="_Toc414268850"/>
      <w:bookmarkStart w:id="692" w:name="_Toc453677332"/>
      <w:bookmarkStart w:id="693" w:name="_Toc453678524"/>
      <w:bookmarkStart w:id="694" w:name="_Toc414351946"/>
      <w:bookmarkStart w:id="695" w:name="_Toc414368427"/>
      <w:bookmarkStart w:id="696" w:name="_Toc439684182"/>
      <w:bookmarkStart w:id="697" w:name="_Toc414275263"/>
      <w:r>
        <w:rPr>
          <w:rFonts w:hint="eastAsia" w:ascii="宋体" w:hAnsi="宋体" w:eastAsia="宋体" w:cs="宋体"/>
          <w:color w:val="auto"/>
          <w:sz w:val="24"/>
          <w:szCs w:val="24"/>
        </w:rPr>
        <w:t>1.4 合同文件的优先顺序</w:t>
      </w:r>
      <w:bookmarkEnd w:id="690"/>
      <w:bookmarkEnd w:id="691"/>
      <w:bookmarkEnd w:id="692"/>
      <w:bookmarkEnd w:id="693"/>
      <w:bookmarkEnd w:id="694"/>
      <w:bookmarkEnd w:id="695"/>
      <w:bookmarkEnd w:id="696"/>
      <w:bookmarkEnd w:id="697"/>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组成合同的各项文件应互相解释，互为说明。除专用合同条款另有约定外，解释合同文件的优先顺序如下：</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（l）合同协议书；</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（2）中标通知书；</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（3）投标函及投标函附录；</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（4）专用合同条款；</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（7）图纸；</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（8）已标价工程量清单；</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（9）其他合同文件。</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698" w:name="_Toc439684183"/>
      <w:bookmarkStart w:id="699" w:name="_Toc414351947"/>
      <w:bookmarkStart w:id="700" w:name="_Toc414275264"/>
      <w:bookmarkStart w:id="701" w:name="_Toc414368428"/>
      <w:bookmarkStart w:id="702" w:name="_Toc453678525"/>
      <w:bookmarkStart w:id="703" w:name="_Toc453677333"/>
      <w:bookmarkStart w:id="704" w:name="_Toc414268851"/>
      <w:bookmarkStart w:id="705" w:name="_Toc434412207"/>
      <w:r>
        <w:rPr>
          <w:rFonts w:hint="eastAsia" w:ascii="宋体" w:hAnsi="宋体" w:eastAsia="宋体" w:cs="宋体"/>
          <w:color w:val="auto"/>
          <w:sz w:val="24"/>
          <w:szCs w:val="24"/>
        </w:rPr>
        <w:t>1.5 合同协议书</w:t>
      </w:r>
      <w:bookmarkEnd w:id="698"/>
      <w:bookmarkEnd w:id="699"/>
      <w:bookmarkEnd w:id="700"/>
      <w:bookmarkEnd w:id="701"/>
      <w:bookmarkEnd w:id="702"/>
      <w:bookmarkEnd w:id="703"/>
      <w:bookmarkEnd w:id="704"/>
      <w:bookmarkEnd w:id="705"/>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承包人按中标通知书规定的时间与发包人签订合同协议书。除法律另有规定或合同另有约定外，发包人和承包人的法定代表人或其委托代理人在合同协议书上签字并盖单位章后，合同生效。</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706" w:name="_Toc453677334"/>
      <w:bookmarkStart w:id="707" w:name="_Toc414351948"/>
      <w:bookmarkStart w:id="708" w:name="_Toc434412208"/>
      <w:bookmarkStart w:id="709" w:name="_Toc453678526"/>
      <w:bookmarkStart w:id="710" w:name="_Toc414268852"/>
      <w:bookmarkStart w:id="711" w:name="_Toc439684184"/>
      <w:bookmarkStart w:id="712" w:name="_Toc414275265"/>
      <w:bookmarkStart w:id="713" w:name="_Toc414368429"/>
      <w:r>
        <w:rPr>
          <w:rFonts w:hint="eastAsia" w:ascii="宋体" w:hAnsi="宋体" w:eastAsia="宋体" w:cs="宋体"/>
          <w:color w:val="auto"/>
          <w:sz w:val="24"/>
          <w:szCs w:val="24"/>
        </w:rPr>
        <w:t>1.6 图纸和承包人文件</w:t>
      </w:r>
      <w:bookmarkEnd w:id="706"/>
      <w:bookmarkEnd w:id="707"/>
      <w:bookmarkEnd w:id="708"/>
      <w:bookmarkEnd w:id="709"/>
      <w:bookmarkEnd w:id="710"/>
      <w:bookmarkEnd w:id="711"/>
      <w:bookmarkEnd w:id="712"/>
      <w:bookmarkEnd w:id="713"/>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 图纸的提供</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发包人应按技术标准和要求（合同技术条款）约定的期限和数量将施工图纸以及其它图纸（包括配套说明和有关资料）提供给承包人。由于发包人未按时提供图纸造成工期延误的，按第11.3款的约定办理。</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1.6.2 承包人提供的文件</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承包人提供的文件应按技术保准和要求（合同技术条款）约定的期限和数量提供给监理人。监理人应按技术标准和要求（合同技术条款）约定的期限批复承包人。</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1.6.3 图纸的修改</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1.6.4 图纸的错误</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承包人发现发包人提供的图纸存在明显错误或疏忽，应及时通知监理人。</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1.6.5 图纸和承包人文件的保管</w:t>
      </w:r>
    </w:p>
    <w:p>
      <w:pPr>
        <w:keepLines w:val="0"/>
        <w:pageBreakBefore w:val="0"/>
        <w:widowControl w:val="0"/>
        <w:kinsoku/>
        <w:wordWrap/>
        <w:overflowPunct/>
        <w:topLinePunct w:val="0"/>
        <w:bidi w:val="0"/>
        <w:spacing w:line="420" w:lineRule="exact"/>
        <w:ind w:left="479" w:leftChars="228"/>
        <w:rPr>
          <w:rFonts w:hint="eastAsia" w:ascii="宋体" w:hAnsi="宋体" w:eastAsia="宋体" w:cs="宋体"/>
          <w:color w:val="auto"/>
          <w:sz w:val="24"/>
          <w:szCs w:val="24"/>
        </w:rPr>
      </w:pPr>
      <w:r>
        <w:rPr>
          <w:rFonts w:hint="eastAsia" w:ascii="宋体" w:hAnsi="宋体" w:eastAsia="宋体" w:cs="宋体"/>
          <w:color w:val="auto"/>
          <w:sz w:val="24"/>
          <w:szCs w:val="24"/>
        </w:rPr>
        <w:t>监理人和承包人均应在施工场地各保存一套完整的包含第1.6.1项、第1.6.2项、第1.6.3项约定内容的图纸和承包人文件。</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714" w:name="_Toc453678527"/>
      <w:bookmarkStart w:id="715" w:name="_Toc434412209"/>
      <w:bookmarkStart w:id="716" w:name="_Toc414351949"/>
      <w:bookmarkStart w:id="717" w:name="_Toc414368430"/>
      <w:bookmarkStart w:id="718" w:name="_Toc439684185"/>
      <w:bookmarkStart w:id="719" w:name="_Toc414268853"/>
      <w:bookmarkStart w:id="720" w:name="_Toc414275266"/>
      <w:bookmarkStart w:id="721" w:name="_Toc453677335"/>
      <w:r>
        <w:rPr>
          <w:rFonts w:hint="eastAsia" w:ascii="宋体" w:hAnsi="宋体" w:eastAsia="宋体" w:cs="宋体"/>
          <w:color w:val="auto"/>
          <w:sz w:val="24"/>
          <w:szCs w:val="24"/>
        </w:rPr>
        <w:t>1.7 联络</w:t>
      </w:r>
      <w:bookmarkEnd w:id="714"/>
      <w:bookmarkEnd w:id="715"/>
      <w:bookmarkEnd w:id="716"/>
      <w:bookmarkEnd w:id="717"/>
      <w:bookmarkEnd w:id="718"/>
      <w:bookmarkEnd w:id="719"/>
      <w:bookmarkEnd w:id="720"/>
      <w:bookmarkEnd w:id="721"/>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 与合同有关的通知、批准、证明、证书、指示、要求、请求、同意、意见、确定和决定等，均应采用书面形式。</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1.7.2 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 来往函件均应按合同约定的期限即使发出和答复，不得无故扣压和拖延，亦不得拒收。否则，由此造成的后果由责任方负责。</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722" w:name="_Toc453677336"/>
      <w:bookmarkStart w:id="723" w:name="_Toc414351950"/>
      <w:bookmarkStart w:id="724" w:name="_Toc414368431"/>
      <w:bookmarkStart w:id="725" w:name="_Toc453678528"/>
      <w:bookmarkStart w:id="726" w:name="_Toc439684186"/>
      <w:bookmarkStart w:id="727" w:name="_Toc414268854"/>
      <w:bookmarkStart w:id="728" w:name="_Toc434412210"/>
      <w:bookmarkStart w:id="729" w:name="_Toc414275267"/>
      <w:r>
        <w:rPr>
          <w:rFonts w:hint="eastAsia" w:ascii="宋体" w:hAnsi="宋体" w:eastAsia="宋体" w:cs="宋体"/>
          <w:color w:val="auto"/>
          <w:sz w:val="24"/>
          <w:szCs w:val="24"/>
        </w:rPr>
        <w:t>1.8 转让</w:t>
      </w:r>
      <w:bookmarkEnd w:id="722"/>
      <w:bookmarkEnd w:id="723"/>
      <w:bookmarkEnd w:id="724"/>
      <w:bookmarkEnd w:id="725"/>
      <w:bookmarkEnd w:id="726"/>
      <w:bookmarkEnd w:id="727"/>
      <w:bookmarkEnd w:id="728"/>
      <w:bookmarkEnd w:id="729"/>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除合同另有约定外，未经对方当事人同意，一方当事人不得将合同权利全部或部分转让给第三人，也不得全部或部分转移合同义务。</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730" w:name="_Toc439684187"/>
      <w:bookmarkStart w:id="731" w:name="_Toc414275268"/>
      <w:bookmarkStart w:id="732" w:name="_Toc414368432"/>
      <w:bookmarkStart w:id="733" w:name="_Toc453678529"/>
      <w:bookmarkStart w:id="734" w:name="_Toc434412211"/>
      <w:bookmarkStart w:id="735" w:name="_Toc414351951"/>
      <w:bookmarkStart w:id="736" w:name="_Toc414268855"/>
      <w:bookmarkStart w:id="737" w:name="_Toc453677337"/>
      <w:r>
        <w:rPr>
          <w:rFonts w:hint="eastAsia" w:ascii="宋体" w:hAnsi="宋体" w:eastAsia="宋体" w:cs="宋体"/>
          <w:color w:val="auto"/>
          <w:sz w:val="24"/>
          <w:szCs w:val="24"/>
        </w:rPr>
        <w:t>1.9 严禁贿赂</w:t>
      </w:r>
      <w:bookmarkEnd w:id="730"/>
      <w:bookmarkEnd w:id="731"/>
      <w:bookmarkEnd w:id="732"/>
      <w:bookmarkEnd w:id="733"/>
      <w:bookmarkEnd w:id="734"/>
      <w:bookmarkEnd w:id="735"/>
      <w:bookmarkEnd w:id="736"/>
      <w:bookmarkEnd w:id="737"/>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合同双方当事人不得以贿赂或变相贿赂的方式，谋取不当利益或损害对方权益。因贿赂造成对方损失的，行为人应赔偿损失，并承担相应的法律责任。</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738" w:name="_Toc414268856"/>
      <w:bookmarkStart w:id="739" w:name="_Toc453677338"/>
      <w:bookmarkStart w:id="740" w:name="_Toc414368433"/>
      <w:bookmarkStart w:id="741" w:name="_Toc453678530"/>
      <w:bookmarkStart w:id="742" w:name="_Toc434412212"/>
      <w:bookmarkStart w:id="743" w:name="_Toc414275269"/>
      <w:bookmarkStart w:id="744" w:name="_Toc439684188"/>
      <w:bookmarkStart w:id="745" w:name="_Toc414351952"/>
      <w:r>
        <w:rPr>
          <w:rFonts w:hint="eastAsia" w:ascii="宋体" w:hAnsi="宋体" w:eastAsia="宋体" w:cs="宋体"/>
          <w:color w:val="auto"/>
          <w:sz w:val="24"/>
          <w:szCs w:val="24"/>
        </w:rPr>
        <w:t>1.10 化石、文物</w:t>
      </w:r>
      <w:bookmarkEnd w:id="738"/>
      <w:bookmarkEnd w:id="739"/>
      <w:bookmarkEnd w:id="740"/>
      <w:bookmarkEnd w:id="741"/>
      <w:bookmarkEnd w:id="742"/>
      <w:bookmarkEnd w:id="743"/>
      <w:bookmarkEnd w:id="744"/>
      <w:bookmarkEnd w:id="745"/>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1.10.2 承包人发现文物后不及时报告或隐瞒不报，致使文物丢失或损坏的，应赔偿损失，并承担相应的法律责任。</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746" w:name="_Toc414268857"/>
      <w:bookmarkStart w:id="747" w:name="_Toc414351953"/>
      <w:bookmarkStart w:id="748" w:name="_Toc453677339"/>
      <w:bookmarkStart w:id="749" w:name="_Toc414275270"/>
      <w:bookmarkStart w:id="750" w:name="_Toc439684189"/>
      <w:bookmarkStart w:id="751" w:name="_Toc453678531"/>
      <w:bookmarkStart w:id="752" w:name="_Toc434412213"/>
      <w:bookmarkStart w:id="753" w:name="_Toc414368434"/>
      <w:r>
        <w:rPr>
          <w:rFonts w:hint="eastAsia" w:ascii="宋体" w:hAnsi="宋体" w:eastAsia="宋体" w:cs="宋体"/>
          <w:color w:val="auto"/>
          <w:sz w:val="24"/>
          <w:szCs w:val="24"/>
        </w:rPr>
        <w:t>1.11 专利技术</w:t>
      </w:r>
      <w:bookmarkEnd w:id="746"/>
      <w:bookmarkEnd w:id="747"/>
      <w:bookmarkEnd w:id="748"/>
      <w:bookmarkEnd w:id="749"/>
      <w:bookmarkEnd w:id="750"/>
      <w:bookmarkEnd w:id="751"/>
      <w:bookmarkEnd w:id="752"/>
      <w:bookmarkEnd w:id="753"/>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1.11.1 承包人在使用任何材料、承包人设备、工程设备或采用施工工艺时，因侵犯专利权或其他知识产权所引起的责任，由承包人承担，但由于遵照发包人提供的设计或技术标准和要求引起的除外。</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1.11.2 承包人在投标文件中采用专利技术的，专利技术的使用费包含在投标报价内。</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1.11.3 承包人的技术秘密和声明需要保密的资料和信息，发包人和监理人不得为合同以外的目的泄露给他人。</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1.11.4 合同实施过程中，发包人要求承包人采用专利技术，发包人应办理相应的使用手续，承包人应按发包人约定的条件使用，并承担使用专利技术的相关实验工作，所需费用由发包人承担。</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754" w:name="_Toc414351954"/>
      <w:bookmarkStart w:id="755" w:name="_Toc414275271"/>
      <w:bookmarkStart w:id="756" w:name="_Toc414368435"/>
      <w:bookmarkStart w:id="757" w:name="_Toc453677340"/>
      <w:bookmarkStart w:id="758" w:name="_Toc453678532"/>
      <w:bookmarkStart w:id="759" w:name="_Toc434412214"/>
      <w:bookmarkStart w:id="760" w:name="_Toc439684190"/>
      <w:r>
        <w:rPr>
          <w:rFonts w:hint="eastAsia" w:ascii="宋体" w:hAnsi="宋体" w:eastAsia="宋体" w:cs="宋体"/>
          <w:color w:val="auto"/>
          <w:sz w:val="24"/>
          <w:szCs w:val="24"/>
        </w:rPr>
        <w:t>1.12 图纸和文件的保密</w:t>
      </w:r>
      <w:bookmarkEnd w:id="754"/>
      <w:bookmarkEnd w:id="755"/>
      <w:bookmarkEnd w:id="756"/>
      <w:bookmarkEnd w:id="757"/>
      <w:bookmarkEnd w:id="758"/>
      <w:bookmarkEnd w:id="759"/>
      <w:bookmarkEnd w:id="760"/>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1.12.1 发包人提供的图纸和文件，未经发包人同意，承包人不得为合同以外的目的泄露给他人或公开发表与引用。</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1.12.2 承包人提供的文件，未经承包人同意，发包人和监理人不得为合同以外的目的泄露给他人或公开发表与引用。</w:t>
      </w:r>
    </w:p>
    <w:p>
      <w:pPr>
        <w:pStyle w:val="4"/>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761" w:name="_Toc414268858"/>
      <w:bookmarkStart w:id="762" w:name="_Toc414368436"/>
      <w:bookmarkStart w:id="763" w:name="_Toc414351955"/>
      <w:bookmarkStart w:id="764" w:name="_Toc453677341"/>
      <w:bookmarkStart w:id="765" w:name="_Toc203758979"/>
      <w:bookmarkStart w:id="766" w:name="_Toc414275272"/>
      <w:bookmarkStart w:id="767" w:name="_Toc184635099"/>
      <w:bookmarkStart w:id="768" w:name="_Toc453678533"/>
      <w:bookmarkStart w:id="769" w:name="_Toc434412215"/>
      <w:bookmarkStart w:id="770" w:name="_Toc439684191"/>
      <w:r>
        <w:rPr>
          <w:rFonts w:hint="eastAsia" w:ascii="宋体" w:hAnsi="宋体" w:eastAsia="宋体" w:cs="宋体"/>
          <w:color w:val="auto"/>
          <w:sz w:val="24"/>
          <w:szCs w:val="24"/>
        </w:rPr>
        <w:t>2．发包人义务</w:t>
      </w:r>
      <w:bookmarkEnd w:id="761"/>
      <w:bookmarkEnd w:id="762"/>
      <w:bookmarkEnd w:id="763"/>
      <w:bookmarkEnd w:id="764"/>
      <w:bookmarkEnd w:id="765"/>
      <w:bookmarkEnd w:id="766"/>
      <w:bookmarkEnd w:id="767"/>
      <w:bookmarkEnd w:id="768"/>
      <w:bookmarkEnd w:id="769"/>
      <w:bookmarkEnd w:id="770"/>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771" w:name="_Toc439684192"/>
      <w:bookmarkStart w:id="772" w:name="_Toc453678534"/>
      <w:bookmarkStart w:id="773" w:name="_Toc414368437"/>
      <w:bookmarkStart w:id="774" w:name="_Toc434412216"/>
      <w:bookmarkStart w:id="775" w:name="_Toc414268859"/>
      <w:bookmarkStart w:id="776" w:name="_Toc453677342"/>
      <w:bookmarkStart w:id="777" w:name="_Toc414275273"/>
      <w:bookmarkStart w:id="778" w:name="_Toc414351956"/>
      <w:r>
        <w:rPr>
          <w:rFonts w:hint="eastAsia" w:ascii="宋体" w:hAnsi="宋体" w:eastAsia="宋体" w:cs="宋体"/>
          <w:color w:val="auto"/>
          <w:sz w:val="24"/>
          <w:szCs w:val="24"/>
        </w:rPr>
        <w:t>2.1 遵守法律</w:t>
      </w:r>
      <w:bookmarkEnd w:id="771"/>
      <w:bookmarkEnd w:id="772"/>
      <w:bookmarkEnd w:id="773"/>
      <w:bookmarkEnd w:id="774"/>
      <w:bookmarkEnd w:id="775"/>
      <w:bookmarkEnd w:id="776"/>
      <w:bookmarkEnd w:id="777"/>
      <w:bookmarkEnd w:id="778"/>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发包人在履行合同过程中应遵守法律，并保证承包人免于承担因发包人违反法律而引起的任何责任。</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779" w:name="_Toc414275274"/>
      <w:bookmarkStart w:id="780" w:name="_Toc414268860"/>
      <w:bookmarkStart w:id="781" w:name="_Toc439684193"/>
      <w:bookmarkStart w:id="782" w:name="_Toc453678535"/>
      <w:bookmarkStart w:id="783" w:name="_Toc414368438"/>
      <w:bookmarkStart w:id="784" w:name="_Toc434412217"/>
      <w:bookmarkStart w:id="785" w:name="_Toc414351957"/>
      <w:bookmarkStart w:id="786" w:name="_Toc453677343"/>
      <w:r>
        <w:rPr>
          <w:rFonts w:hint="eastAsia" w:ascii="宋体" w:hAnsi="宋体" w:eastAsia="宋体" w:cs="宋体"/>
          <w:color w:val="auto"/>
          <w:sz w:val="24"/>
          <w:szCs w:val="24"/>
        </w:rPr>
        <w:t>2.2 发出开工通知</w:t>
      </w:r>
      <w:bookmarkEnd w:id="779"/>
      <w:bookmarkEnd w:id="780"/>
      <w:bookmarkEnd w:id="781"/>
      <w:bookmarkEnd w:id="782"/>
      <w:bookmarkEnd w:id="783"/>
      <w:bookmarkEnd w:id="784"/>
      <w:bookmarkEnd w:id="785"/>
      <w:bookmarkEnd w:id="786"/>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发包人应委托监理人按第11.1款的约定向承包人发出开工通知。</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787" w:name="_Toc439684194"/>
      <w:bookmarkStart w:id="788" w:name="_Toc453677344"/>
      <w:bookmarkStart w:id="789" w:name="_Toc414368439"/>
      <w:bookmarkStart w:id="790" w:name="_Toc414268861"/>
      <w:bookmarkStart w:id="791" w:name="_Toc434412218"/>
      <w:bookmarkStart w:id="792" w:name="_Toc414275275"/>
      <w:bookmarkStart w:id="793" w:name="_Toc414351958"/>
      <w:bookmarkStart w:id="794" w:name="_Toc453678536"/>
      <w:r>
        <w:rPr>
          <w:rFonts w:hint="eastAsia" w:ascii="宋体" w:hAnsi="宋体" w:eastAsia="宋体" w:cs="宋体"/>
          <w:color w:val="auto"/>
          <w:sz w:val="24"/>
          <w:szCs w:val="24"/>
        </w:rPr>
        <w:t>2.3 提供施工场地</w:t>
      </w:r>
      <w:bookmarkEnd w:id="787"/>
      <w:bookmarkEnd w:id="788"/>
      <w:bookmarkEnd w:id="789"/>
      <w:bookmarkEnd w:id="790"/>
      <w:bookmarkEnd w:id="791"/>
      <w:bookmarkEnd w:id="792"/>
      <w:bookmarkEnd w:id="793"/>
      <w:bookmarkEnd w:id="794"/>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2.3.1 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2.3.2 发包人提供的施工用地范围在专用合同条款中约定。</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2.3.3 除专用合同条款另有约定外，发包人应按技术标准和要求（合同技术条款）的约定，向承包人提供施工场地内的工程地质图纸和报告，以及地下障碍物图纸等施工场地有关资料，并保证资料的真实、准确、完整。</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795" w:name="_Toc414268862"/>
      <w:bookmarkStart w:id="796" w:name="_Toc439684195"/>
      <w:bookmarkStart w:id="797" w:name="_Toc453678537"/>
      <w:bookmarkStart w:id="798" w:name="_Toc414275276"/>
      <w:bookmarkStart w:id="799" w:name="_Toc434412219"/>
      <w:bookmarkStart w:id="800" w:name="_Toc414368440"/>
      <w:bookmarkStart w:id="801" w:name="_Toc414351959"/>
      <w:bookmarkStart w:id="802" w:name="_Toc453677345"/>
      <w:r>
        <w:rPr>
          <w:rFonts w:hint="eastAsia" w:ascii="宋体" w:hAnsi="宋体" w:eastAsia="宋体" w:cs="宋体"/>
          <w:color w:val="auto"/>
          <w:sz w:val="24"/>
          <w:szCs w:val="24"/>
        </w:rPr>
        <w:t>2.4 协助承包人办理证件和批件</w:t>
      </w:r>
      <w:bookmarkEnd w:id="795"/>
      <w:bookmarkEnd w:id="796"/>
      <w:bookmarkEnd w:id="797"/>
      <w:bookmarkEnd w:id="798"/>
      <w:bookmarkEnd w:id="799"/>
      <w:bookmarkEnd w:id="800"/>
      <w:bookmarkEnd w:id="801"/>
      <w:bookmarkEnd w:id="802"/>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发包人应协助承包人办理法律规定的有关施工证件和批件。</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803" w:name="_Toc414268863"/>
      <w:bookmarkStart w:id="804" w:name="_Toc434412220"/>
      <w:bookmarkStart w:id="805" w:name="_Toc414275277"/>
      <w:bookmarkStart w:id="806" w:name="_Toc453678538"/>
      <w:bookmarkStart w:id="807" w:name="_Toc414351960"/>
      <w:bookmarkStart w:id="808" w:name="_Toc439684196"/>
      <w:bookmarkStart w:id="809" w:name="_Toc453677346"/>
      <w:bookmarkStart w:id="810" w:name="_Toc414368441"/>
      <w:r>
        <w:rPr>
          <w:rFonts w:hint="eastAsia" w:ascii="宋体" w:hAnsi="宋体" w:eastAsia="宋体" w:cs="宋体"/>
          <w:color w:val="auto"/>
          <w:sz w:val="24"/>
          <w:szCs w:val="24"/>
        </w:rPr>
        <w:t>2.5 组织设计交底</w:t>
      </w:r>
      <w:bookmarkEnd w:id="803"/>
      <w:bookmarkEnd w:id="804"/>
      <w:bookmarkEnd w:id="805"/>
      <w:bookmarkEnd w:id="806"/>
      <w:bookmarkEnd w:id="807"/>
      <w:bookmarkEnd w:id="808"/>
      <w:bookmarkEnd w:id="809"/>
      <w:bookmarkEnd w:id="810"/>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发包人应根据合同进度计划，组织设计单位向承包人进行设计交底。</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811" w:name="_Toc453677347"/>
      <w:bookmarkStart w:id="812" w:name="_Toc414368442"/>
      <w:bookmarkStart w:id="813" w:name="_Toc414275278"/>
      <w:bookmarkStart w:id="814" w:name="_Toc414268864"/>
      <w:bookmarkStart w:id="815" w:name="_Toc414351961"/>
      <w:bookmarkStart w:id="816" w:name="_Toc434412221"/>
      <w:bookmarkStart w:id="817" w:name="_Toc453678539"/>
      <w:bookmarkStart w:id="818" w:name="_Toc439684197"/>
      <w:r>
        <w:rPr>
          <w:rFonts w:hint="eastAsia" w:ascii="宋体" w:hAnsi="宋体" w:eastAsia="宋体" w:cs="宋体"/>
          <w:color w:val="auto"/>
          <w:sz w:val="24"/>
          <w:szCs w:val="24"/>
        </w:rPr>
        <w:t>2.6 支付合同价款</w:t>
      </w:r>
      <w:bookmarkEnd w:id="811"/>
      <w:bookmarkEnd w:id="812"/>
      <w:bookmarkEnd w:id="813"/>
      <w:bookmarkEnd w:id="814"/>
      <w:bookmarkEnd w:id="815"/>
      <w:bookmarkEnd w:id="816"/>
      <w:bookmarkEnd w:id="817"/>
      <w:bookmarkEnd w:id="818"/>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发包人应按合同约定向承包人及时支付合同价款。</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819" w:name="_Toc414368443"/>
      <w:bookmarkStart w:id="820" w:name="_Toc414351962"/>
      <w:bookmarkStart w:id="821" w:name="_Toc453677348"/>
      <w:bookmarkStart w:id="822" w:name="_Toc434412222"/>
      <w:bookmarkStart w:id="823" w:name="_Toc453678540"/>
      <w:bookmarkStart w:id="824" w:name="_Toc414268865"/>
      <w:bookmarkStart w:id="825" w:name="_Toc414275279"/>
      <w:bookmarkStart w:id="826" w:name="_Toc439684198"/>
      <w:r>
        <w:rPr>
          <w:rFonts w:hint="eastAsia" w:ascii="宋体" w:hAnsi="宋体" w:eastAsia="宋体" w:cs="宋体"/>
          <w:color w:val="auto"/>
          <w:sz w:val="24"/>
          <w:szCs w:val="24"/>
        </w:rPr>
        <w:t>2.7 组织竣工验收</w:t>
      </w:r>
      <w:bookmarkEnd w:id="819"/>
      <w:bookmarkEnd w:id="820"/>
      <w:bookmarkEnd w:id="821"/>
      <w:bookmarkEnd w:id="822"/>
      <w:bookmarkEnd w:id="823"/>
      <w:bookmarkEnd w:id="824"/>
      <w:bookmarkEnd w:id="825"/>
      <w:bookmarkEnd w:id="826"/>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发包人应按合同约定及时组织竣工验收。</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827" w:name="_Toc453677349"/>
      <w:bookmarkStart w:id="828" w:name="_Toc439684199"/>
      <w:bookmarkStart w:id="829" w:name="_Toc414351963"/>
      <w:bookmarkStart w:id="830" w:name="_Toc414268866"/>
      <w:bookmarkStart w:id="831" w:name="_Toc414368444"/>
      <w:bookmarkStart w:id="832" w:name="_Toc414275280"/>
      <w:bookmarkStart w:id="833" w:name="_Toc453678541"/>
      <w:bookmarkStart w:id="834" w:name="_Toc434412223"/>
      <w:r>
        <w:rPr>
          <w:rFonts w:hint="eastAsia" w:ascii="宋体" w:hAnsi="宋体" w:eastAsia="宋体" w:cs="宋体"/>
          <w:color w:val="auto"/>
          <w:sz w:val="24"/>
          <w:szCs w:val="24"/>
        </w:rPr>
        <w:t>2.8 其他义务</w:t>
      </w:r>
      <w:bookmarkEnd w:id="827"/>
      <w:bookmarkEnd w:id="828"/>
      <w:bookmarkEnd w:id="829"/>
      <w:bookmarkEnd w:id="830"/>
      <w:bookmarkEnd w:id="831"/>
      <w:bookmarkEnd w:id="832"/>
      <w:bookmarkEnd w:id="833"/>
      <w:bookmarkEnd w:id="834"/>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发包人应履行合同约定的其他义务。</w:t>
      </w:r>
    </w:p>
    <w:p>
      <w:pPr>
        <w:pStyle w:val="4"/>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835" w:name="_Toc453677350"/>
      <w:bookmarkStart w:id="836" w:name="_Toc203758980"/>
      <w:bookmarkStart w:id="837" w:name="_Toc414275281"/>
      <w:bookmarkStart w:id="838" w:name="_Toc414368445"/>
      <w:bookmarkStart w:id="839" w:name="_Toc184635100"/>
      <w:bookmarkStart w:id="840" w:name="_Toc414268867"/>
      <w:bookmarkStart w:id="841" w:name="_Toc439684200"/>
      <w:bookmarkStart w:id="842" w:name="_Toc434412224"/>
      <w:bookmarkStart w:id="843" w:name="_Toc414351964"/>
      <w:bookmarkStart w:id="844" w:name="_Toc453678542"/>
      <w:r>
        <w:rPr>
          <w:rFonts w:hint="eastAsia" w:ascii="宋体" w:hAnsi="宋体" w:eastAsia="宋体" w:cs="宋体"/>
          <w:color w:val="auto"/>
          <w:sz w:val="24"/>
          <w:szCs w:val="24"/>
        </w:rPr>
        <w:t>3．监理人</w:t>
      </w:r>
      <w:bookmarkEnd w:id="835"/>
      <w:bookmarkEnd w:id="836"/>
      <w:bookmarkEnd w:id="837"/>
      <w:bookmarkEnd w:id="838"/>
      <w:bookmarkEnd w:id="839"/>
      <w:bookmarkEnd w:id="840"/>
      <w:bookmarkEnd w:id="841"/>
      <w:bookmarkEnd w:id="842"/>
      <w:bookmarkEnd w:id="843"/>
      <w:bookmarkEnd w:id="844"/>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845" w:name="_Toc453677351"/>
      <w:bookmarkStart w:id="846" w:name="_Toc414351965"/>
      <w:bookmarkStart w:id="847" w:name="_Toc414275282"/>
      <w:bookmarkStart w:id="848" w:name="_Toc439684201"/>
      <w:bookmarkStart w:id="849" w:name="_Toc453678543"/>
      <w:bookmarkStart w:id="850" w:name="_Toc434412225"/>
      <w:bookmarkStart w:id="851" w:name="_Toc414368446"/>
      <w:bookmarkStart w:id="852" w:name="_Toc414268868"/>
      <w:r>
        <w:rPr>
          <w:rFonts w:hint="eastAsia" w:ascii="宋体" w:hAnsi="宋体" w:eastAsia="宋体" w:cs="宋体"/>
          <w:color w:val="auto"/>
          <w:sz w:val="24"/>
          <w:szCs w:val="24"/>
        </w:rPr>
        <w:t>3.1 监理人的职责和权力</w:t>
      </w:r>
      <w:bookmarkEnd w:id="845"/>
      <w:bookmarkEnd w:id="846"/>
      <w:bookmarkEnd w:id="847"/>
      <w:bookmarkEnd w:id="848"/>
      <w:bookmarkEnd w:id="849"/>
      <w:bookmarkEnd w:id="850"/>
      <w:bookmarkEnd w:id="851"/>
      <w:bookmarkEnd w:id="852"/>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3.1.1 监理人受发包人的委托，享有合同约定的权利。监理人的权利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3.1.2 监理人发出的任何指示应视为已得到发包人的批准，但监理人无权免除或变更合同约定的发包人和承包人的权利、义务和责任。</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3.1.3 合同约定应由承包人承担的义务和责任，不因监理人对承包人提交文件的审查或批准，对工程、材料和设备的检查和检验，以及为实施监理做出的指示等职务行为而减轻或解除。</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853" w:name="_Toc453678544"/>
      <w:bookmarkStart w:id="854" w:name="_Toc414351966"/>
      <w:bookmarkStart w:id="855" w:name="_Toc414268869"/>
      <w:bookmarkStart w:id="856" w:name="_Toc414368447"/>
      <w:bookmarkStart w:id="857" w:name="_Toc439684202"/>
      <w:bookmarkStart w:id="858" w:name="_Toc453677352"/>
      <w:bookmarkStart w:id="859" w:name="_Toc434412226"/>
      <w:bookmarkStart w:id="860" w:name="_Toc414275283"/>
      <w:r>
        <w:rPr>
          <w:rFonts w:hint="eastAsia" w:ascii="宋体" w:hAnsi="宋体" w:eastAsia="宋体" w:cs="宋体"/>
          <w:color w:val="auto"/>
          <w:sz w:val="24"/>
          <w:szCs w:val="24"/>
        </w:rPr>
        <w:t>3.2 总监理工程师</w:t>
      </w:r>
      <w:bookmarkEnd w:id="853"/>
      <w:bookmarkEnd w:id="854"/>
      <w:bookmarkEnd w:id="855"/>
      <w:bookmarkEnd w:id="856"/>
      <w:bookmarkEnd w:id="857"/>
      <w:bookmarkEnd w:id="858"/>
      <w:bookmarkEnd w:id="859"/>
      <w:bookmarkEnd w:id="860"/>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发包人应在发出开工通知前将总监理工程师的任命通知承包人。总监理工程师更换时，应在调离14 天前通知承包人。总监理工程师短期离开施工场地的，应委派代表代行其职责，并通知承包人。</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861" w:name="_Toc434412227"/>
      <w:bookmarkStart w:id="862" w:name="_Toc439684203"/>
      <w:bookmarkStart w:id="863" w:name="_Toc414368448"/>
      <w:bookmarkStart w:id="864" w:name="_Toc414351967"/>
      <w:bookmarkStart w:id="865" w:name="_Toc414275284"/>
      <w:bookmarkStart w:id="866" w:name="_Toc414268870"/>
      <w:bookmarkStart w:id="867" w:name="_Toc453677353"/>
      <w:bookmarkStart w:id="868" w:name="_Toc453678545"/>
      <w:r>
        <w:rPr>
          <w:rFonts w:hint="eastAsia" w:ascii="宋体" w:hAnsi="宋体" w:eastAsia="宋体" w:cs="宋体"/>
          <w:color w:val="auto"/>
          <w:sz w:val="24"/>
          <w:szCs w:val="24"/>
        </w:rPr>
        <w:t>3.3 监理人员</w:t>
      </w:r>
      <w:bookmarkEnd w:id="861"/>
      <w:bookmarkEnd w:id="862"/>
      <w:bookmarkEnd w:id="863"/>
      <w:bookmarkEnd w:id="864"/>
      <w:bookmarkEnd w:id="865"/>
      <w:bookmarkEnd w:id="866"/>
      <w:bookmarkEnd w:id="867"/>
      <w:bookmarkEnd w:id="868"/>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3.3.2 监理人员对承包人的任何工作、工程或其采用的材料和工程设备未在约定的或合理的期限内提出否定意见的，视为已获批准，但不影响监理人在以后拒绝该项工作、工程、材料或工程设备的权利。</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3.3.3 承包人对总监理工程师授权的监理人员发出的指示有疑问的，可向总监理工程师提出书面异议，总监理工程师应在48小时内对该指示予以确认、更改或撤销。</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3.3.4 除专用合同条款另有约定外，总监理工程师不应将第3.5款约定应由总监理工程师做出确定的权力授权或委托给其他监理人员。</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869" w:name="_Toc414368449"/>
      <w:bookmarkStart w:id="870" w:name="_Toc414351968"/>
      <w:bookmarkStart w:id="871" w:name="_Toc434412228"/>
      <w:bookmarkStart w:id="872" w:name="_Toc453678546"/>
      <w:bookmarkStart w:id="873" w:name="_Toc414275285"/>
      <w:bookmarkStart w:id="874" w:name="_Toc453677354"/>
      <w:bookmarkStart w:id="875" w:name="_Toc414268871"/>
      <w:bookmarkStart w:id="876" w:name="_Toc439684204"/>
      <w:r>
        <w:rPr>
          <w:rFonts w:hint="eastAsia" w:ascii="宋体" w:hAnsi="宋体" w:eastAsia="宋体" w:cs="宋体"/>
          <w:color w:val="auto"/>
          <w:sz w:val="24"/>
          <w:szCs w:val="24"/>
        </w:rPr>
        <w:t>3.4 监理人的指示</w:t>
      </w:r>
      <w:bookmarkEnd w:id="869"/>
      <w:bookmarkEnd w:id="870"/>
      <w:bookmarkEnd w:id="871"/>
      <w:bookmarkEnd w:id="872"/>
      <w:bookmarkEnd w:id="873"/>
      <w:bookmarkEnd w:id="874"/>
      <w:bookmarkEnd w:id="875"/>
      <w:bookmarkEnd w:id="876"/>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3.4.1 监理人应按第3.1 款的约定向承包人发出指示，监理人的指示应盖有监理人授权的施工场地机构章，并由总监理工程师或总监理工程师按第3.3.1项约定授权的监理人员签字。</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3.4.2 承包人收到监理人按第3.4.1项做出的指示后应遵照执行。指示构成变更的，应按第15条处理。</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3.4.4 除合同另有约定外，承包人只从总监理工程师或按第3.3.1项被授权的监理人员处取得指示。</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3.4.5 由于监理人未能按合同约定发出指示、指示延误或指示错误而导致承包人费用增加和（或）工期延误的，由发包人承担赔偿责任。</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877" w:name="_Toc414275286"/>
      <w:bookmarkStart w:id="878" w:name="_Toc414368450"/>
      <w:bookmarkStart w:id="879" w:name="_Toc453678547"/>
      <w:bookmarkStart w:id="880" w:name="_Toc414351969"/>
      <w:bookmarkStart w:id="881" w:name="_Toc434412229"/>
      <w:bookmarkStart w:id="882" w:name="_Toc453677355"/>
      <w:bookmarkStart w:id="883" w:name="_Toc414268872"/>
      <w:bookmarkStart w:id="884" w:name="_Toc439684205"/>
      <w:r>
        <w:rPr>
          <w:rFonts w:hint="eastAsia" w:ascii="宋体" w:hAnsi="宋体" w:eastAsia="宋体" w:cs="宋体"/>
          <w:color w:val="auto"/>
          <w:sz w:val="24"/>
          <w:szCs w:val="24"/>
        </w:rPr>
        <w:t>3.5 商定或确定</w:t>
      </w:r>
      <w:bookmarkEnd w:id="877"/>
      <w:bookmarkEnd w:id="878"/>
      <w:bookmarkEnd w:id="879"/>
      <w:bookmarkEnd w:id="880"/>
      <w:bookmarkEnd w:id="881"/>
      <w:bookmarkEnd w:id="882"/>
      <w:bookmarkEnd w:id="883"/>
      <w:bookmarkEnd w:id="884"/>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3.5.1 合同约定总监理工程师应按照本款对任何事项进行商定或确定时，总监理工程师应与合同当事人协商，尽量达成一致。不能达成一致的，总监理工程师应认真研究后审慎确定。</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做出修改的，按修改后的结果执行。</w:t>
      </w:r>
    </w:p>
    <w:p>
      <w:pPr>
        <w:pStyle w:val="146"/>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885" w:name="_Toc414268873"/>
      <w:bookmarkStart w:id="886" w:name="_Toc203758981"/>
      <w:bookmarkStart w:id="887" w:name="_Toc439684206"/>
      <w:bookmarkStart w:id="888" w:name="_Toc414368451"/>
      <w:bookmarkStart w:id="889" w:name="_Toc184635101"/>
      <w:bookmarkStart w:id="890" w:name="_Toc453678548"/>
      <w:bookmarkStart w:id="891" w:name="_Toc453677356"/>
      <w:bookmarkStart w:id="892" w:name="_Toc414351970"/>
      <w:bookmarkStart w:id="893" w:name="_Toc434412230"/>
      <w:bookmarkStart w:id="894" w:name="_Toc414275287"/>
      <w:r>
        <w:rPr>
          <w:rFonts w:hint="eastAsia" w:ascii="宋体" w:hAnsi="宋体" w:eastAsia="宋体" w:cs="宋体"/>
          <w:color w:val="auto"/>
          <w:sz w:val="24"/>
          <w:szCs w:val="24"/>
        </w:rPr>
        <w:t>4．承包人</w:t>
      </w:r>
      <w:bookmarkEnd w:id="885"/>
      <w:bookmarkEnd w:id="886"/>
      <w:bookmarkEnd w:id="887"/>
      <w:bookmarkEnd w:id="888"/>
      <w:bookmarkEnd w:id="889"/>
      <w:bookmarkEnd w:id="890"/>
      <w:bookmarkEnd w:id="891"/>
      <w:bookmarkEnd w:id="892"/>
      <w:bookmarkEnd w:id="893"/>
      <w:bookmarkEnd w:id="894"/>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895" w:name="_Toc414368452"/>
      <w:bookmarkStart w:id="896" w:name="_Toc414268874"/>
      <w:bookmarkStart w:id="897" w:name="_Toc414275288"/>
      <w:bookmarkStart w:id="898" w:name="_Toc434412231"/>
      <w:bookmarkStart w:id="899" w:name="_Toc453678549"/>
      <w:bookmarkStart w:id="900" w:name="_Toc439684207"/>
      <w:bookmarkStart w:id="901" w:name="_Toc414351971"/>
      <w:bookmarkStart w:id="902" w:name="_Toc453677357"/>
      <w:r>
        <w:rPr>
          <w:rFonts w:hint="eastAsia" w:ascii="宋体" w:hAnsi="宋体" w:eastAsia="宋体" w:cs="宋体"/>
          <w:color w:val="auto"/>
          <w:sz w:val="24"/>
          <w:szCs w:val="24"/>
        </w:rPr>
        <w:t>4.1 承包人的一般义务</w:t>
      </w:r>
      <w:bookmarkEnd w:id="895"/>
      <w:bookmarkEnd w:id="896"/>
      <w:bookmarkEnd w:id="897"/>
      <w:bookmarkEnd w:id="898"/>
      <w:bookmarkEnd w:id="899"/>
      <w:bookmarkEnd w:id="900"/>
      <w:bookmarkEnd w:id="901"/>
      <w:bookmarkEnd w:id="902"/>
    </w:p>
    <w:p>
      <w:pPr>
        <w:keepLines w:val="0"/>
        <w:pageBreakBefore w:val="0"/>
        <w:widowControl w:val="0"/>
        <w:kinsoku/>
        <w:wordWrap/>
        <w:overflowPunct/>
        <w:topLinePunct w:val="0"/>
        <w:bidi w:val="0"/>
        <w:spacing w:line="420" w:lineRule="exact"/>
        <w:ind w:firstLine="480" w:firstLineChars="200"/>
        <w:outlineLvl w:val="0"/>
        <w:rPr>
          <w:rFonts w:hint="eastAsia" w:ascii="宋体" w:hAnsi="宋体" w:eastAsia="宋体" w:cs="宋体"/>
          <w:color w:val="auto"/>
          <w:sz w:val="24"/>
          <w:szCs w:val="24"/>
        </w:rPr>
      </w:pPr>
      <w:bookmarkStart w:id="903" w:name="_Toc29047"/>
      <w:bookmarkStart w:id="904" w:name="_Toc414351972"/>
      <w:bookmarkStart w:id="905" w:name="_Toc453677358"/>
      <w:bookmarkStart w:id="906" w:name="_Toc434937532"/>
      <w:bookmarkStart w:id="907" w:name="_Toc453678550"/>
      <w:bookmarkStart w:id="908" w:name="_Toc414275289"/>
      <w:bookmarkStart w:id="909" w:name="_Toc439684208"/>
      <w:bookmarkStart w:id="910" w:name="_Toc23379"/>
      <w:bookmarkStart w:id="911" w:name="_Toc439685385"/>
      <w:r>
        <w:rPr>
          <w:rFonts w:hint="eastAsia" w:ascii="宋体" w:hAnsi="宋体" w:eastAsia="宋体" w:cs="宋体"/>
          <w:color w:val="auto"/>
          <w:sz w:val="24"/>
          <w:szCs w:val="24"/>
        </w:rPr>
        <w:t>4.1.1 遵守法律</w:t>
      </w:r>
      <w:bookmarkEnd w:id="903"/>
      <w:bookmarkEnd w:id="904"/>
      <w:bookmarkEnd w:id="905"/>
      <w:bookmarkEnd w:id="906"/>
      <w:bookmarkEnd w:id="907"/>
      <w:bookmarkEnd w:id="908"/>
      <w:bookmarkEnd w:id="909"/>
      <w:bookmarkEnd w:id="910"/>
      <w:bookmarkEnd w:id="911"/>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承包人在履行合同过程中应遵守法律，并保证发包人免于承担因承包人违反法律而引起的任何责任。</w:t>
      </w:r>
    </w:p>
    <w:p>
      <w:pPr>
        <w:keepLines w:val="0"/>
        <w:pageBreakBefore w:val="0"/>
        <w:widowControl w:val="0"/>
        <w:kinsoku/>
        <w:wordWrap/>
        <w:overflowPunct/>
        <w:topLinePunct w:val="0"/>
        <w:bidi w:val="0"/>
        <w:spacing w:line="420" w:lineRule="exact"/>
        <w:ind w:firstLine="480" w:firstLineChars="200"/>
        <w:outlineLvl w:val="0"/>
        <w:rPr>
          <w:rFonts w:hint="eastAsia" w:ascii="宋体" w:hAnsi="宋体" w:eastAsia="宋体" w:cs="宋体"/>
          <w:color w:val="auto"/>
          <w:sz w:val="24"/>
          <w:szCs w:val="24"/>
        </w:rPr>
      </w:pPr>
      <w:bookmarkStart w:id="912" w:name="_Toc23275"/>
      <w:bookmarkStart w:id="913" w:name="_Toc434937533"/>
      <w:bookmarkStart w:id="914" w:name="_Toc414351973"/>
      <w:bookmarkStart w:id="915" w:name="_Toc2245"/>
      <w:bookmarkStart w:id="916" w:name="_Toc439684209"/>
      <w:bookmarkStart w:id="917" w:name="_Toc453678551"/>
      <w:bookmarkStart w:id="918" w:name="_Toc453677359"/>
      <w:bookmarkStart w:id="919" w:name="_Toc439685386"/>
      <w:bookmarkStart w:id="920" w:name="_Toc414275290"/>
      <w:r>
        <w:rPr>
          <w:rFonts w:hint="eastAsia" w:ascii="宋体" w:hAnsi="宋体" w:eastAsia="宋体" w:cs="宋体"/>
          <w:color w:val="auto"/>
          <w:sz w:val="24"/>
          <w:szCs w:val="24"/>
        </w:rPr>
        <w:t>4.1.2 依法纳税</w:t>
      </w:r>
      <w:bookmarkEnd w:id="912"/>
      <w:bookmarkEnd w:id="913"/>
      <w:bookmarkEnd w:id="914"/>
      <w:bookmarkEnd w:id="915"/>
      <w:bookmarkEnd w:id="916"/>
      <w:bookmarkEnd w:id="917"/>
      <w:bookmarkEnd w:id="918"/>
      <w:bookmarkEnd w:id="919"/>
      <w:bookmarkEnd w:id="920"/>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承包人应按有关法律规定纳税，应缴纳的税金包括在合同价格内。</w:t>
      </w:r>
    </w:p>
    <w:p>
      <w:pPr>
        <w:keepLines w:val="0"/>
        <w:pageBreakBefore w:val="0"/>
        <w:widowControl w:val="0"/>
        <w:kinsoku/>
        <w:wordWrap/>
        <w:overflowPunct/>
        <w:topLinePunct w:val="0"/>
        <w:bidi w:val="0"/>
        <w:spacing w:line="420" w:lineRule="exact"/>
        <w:ind w:firstLine="480" w:firstLineChars="200"/>
        <w:outlineLvl w:val="0"/>
        <w:rPr>
          <w:rFonts w:hint="eastAsia" w:ascii="宋体" w:hAnsi="宋体" w:eastAsia="宋体" w:cs="宋体"/>
          <w:color w:val="auto"/>
          <w:sz w:val="24"/>
          <w:szCs w:val="24"/>
        </w:rPr>
      </w:pPr>
      <w:bookmarkStart w:id="921" w:name="_Toc3311"/>
      <w:bookmarkStart w:id="922" w:name="_Toc453677360"/>
      <w:bookmarkStart w:id="923" w:name="_Toc24988"/>
      <w:bookmarkStart w:id="924" w:name="_Toc439685387"/>
      <w:bookmarkStart w:id="925" w:name="_Toc453678552"/>
      <w:bookmarkStart w:id="926" w:name="_Toc414351974"/>
      <w:bookmarkStart w:id="927" w:name="_Toc414275291"/>
      <w:bookmarkStart w:id="928" w:name="_Toc439684210"/>
      <w:bookmarkStart w:id="929" w:name="_Toc434937534"/>
      <w:r>
        <w:rPr>
          <w:rFonts w:hint="eastAsia" w:ascii="宋体" w:hAnsi="宋体" w:eastAsia="宋体" w:cs="宋体"/>
          <w:color w:val="auto"/>
          <w:sz w:val="24"/>
          <w:szCs w:val="24"/>
        </w:rPr>
        <w:t>4.1.3 完成各项承包工作</w:t>
      </w:r>
      <w:bookmarkEnd w:id="921"/>
      <w:bookmarkEnd w:id="922"/>
      <w:bookmarkEnd w:id="923"/>
      <w:bookmarkEnd w:id="924"/>
      <w:bookmarkEnd w:id="925"/>
      <w:bookmarkEnd w:id="926"/>
      <w:bookmarkEnd w:id="927"/>
      <w:bookmarkEnd w:id="928"/>
      <w:bookmarkEnd w:id="929"/>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约定以及监理人根据第3.4款做出的指示，实施、完成全部工程，并修补工程中的任何缺陷。除第5.2款、第6.2条款另有约定外，承包人应提供为完成合同工作所需的劳务、材料、施工设备、工程设备和其他物品，并按合同约定负责临时设施的设计、建造、运行、维护、管理和拆除。</w:t>
      </w:r>
    </w:p>
    <w:p>
      <w:pPr>
        <w:keepLines w:val="0"/>
        <w:pageBreakBefore w:val="0"/>
        <w:widowControl w:val="0"/>
        <w:kinsoku/>
        <w:wordWrap/>
        <w:overflowPunct/>
        <w:topLinePunct w:val="0"/>
        <w:bidi w:val="0"/>
        <w:spacing w:line="420" w:lineRule="exact"/>
        <w:ind w:firstLine="480" w:firstLineChars="200"/>
        <w:outlineLvl w:val="0"/>
        <w:rPr>
          <w:rFonts w:hint="eastAsia" w:ascii="宋体" w:hAnsi="宋体" w:eastAsia="宋体" w:cs="宋体"/>
          <w:color w:val="auto"/>
          <w:sz w:val="24"/>
          <w:szCs w:val="24"/>
        </w:rPr>
      </w:pPr>
      <w:bookmarkStart w:id="930" w:name="_Toc16201"/>
      <w:bookmarkStart w:id="931" w:name="_Toc439685388"/>
      <w:bookmarkStart w:id="932" w:name="_Toc414351975"/>
      <w:bookmarkStart w:id="933" w:name="_Toc434937535"/>
      <w:bookmarkStart w:id="934" w:name="_Toc439684211"/>
      <w:bookmarkStart w:id="935" w:name="_Toc19875"/>
      <w:bookmarkStart w:id="936" w:name="_Toc414275292"/>
      <w:bookmarkStart w:id="937" w:name="_Toc453678553"/>
      <w:bookmarkStart w:id="938" w:name="_Toc453677361"/>
      <w:r>
        <w:rPr>
          <w:rFonts w:hint="eastAsia" w:ascii="宋体" w:hAnsi="宋体" w:eastAsia="宋体" w:cs="宋体"/>
          <w:color w:val="auto"/>
          <w:sz w:val="24"/>
          <w:szCs w:val="24"/>
        </w:rPr>
        <w:t>4.1.4 对施工作业和施工方法的完备性负责</w:t>
      </w:r>
      <w:bookmarkEnd w:id="930"/>
      <w:bookmarkEnd w:id="931"/>
      <w:bookmarkEnd w:id="932"/>
      <w:bookmarkEnd w:id="933"/>
      <w:bookmarkEnd w:id="934"/>
      <w:bookmarkEnd w:id="935"/>
      <w:bookmarkEnd w:id="936"/>
      <w:bookmarkEnd w:id="937"/>
      <w:bookmarkEnd w:id="938"/>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承包人应按合同约定的工作内容和施工进度要求，编制施工组织设计和施工措施计划，并对所有施工作业和施工方法的完备性和安全可靠性负责。</w:t>
      </w:r>
    </w:p>
    <w:p>
      <w:pPr>
        <w:keepLines w:val="0"/>
        <w:pageBreakBefore w:val="0"/>
        <w:widowControl w:val="0"/>
        <w:kinsoku/>
        <w:wordWrap/>
        <w:overflowPunct/>
        <w:topLinePunct w:val="0"/>
        <w:bidi w:val="0"/>
        <w:spacing w:line="420" w:lineRule="exact"/>
        <w:ind w:firstLine="480" w:firstLineChars="200"/>
        <w:outlineLvl w:val="0"/>
        <w:rPr>
          <w:rFonts w:hint="eastAsia" w:ascii="宋体" w:hAnsi="宋体" w:eastAsia="宋体" w:cs="宋体"/>
          <w:color w:val="auto"/>
          <w:sz w:val="24"/>
          <w:szCs w:val="24"/>
        </w:rPr>
      </w:pPr>
      <w:bookmarkStart w:id="939" w:name="_Toc434937536"/>
      <w:bookmarkStart w:id="940" w:name="_Toc439685389"/>
      <w:bookmarkStart w:id="941" w:name="_Toc453677362"/>
      <w:bookmarkStart w:id="942" w:name="_Toc10851"/>
      <w:bookmarkStart w:id="943" w:name="_Toc439684212"/>
      <w:bookmarkStart w:id="944" w:name="_Toc2675"/>
      <w:bookmarkStart w:id="945" w:name="_Toc453678554"/>
      <w:bookmarkStart w:id="946" w:name="_Toc414351976"/>
      <w:bookmarkStart w:id="947" w:name="_Toc414275293"/>
      <w:r>
        <w:rPr>
          <w:rFonts w:hint="eastAsia" w:ascii="宋体" w:hAnsi="宋体" w:eastAsia="宋体" w:cs="宋体"/>
          <w:color w:val="auto"/>
          <w:sz w:val="24"/>
          <w:szCs w:val="24"/>
        </w:rPr>
        <w:t>4.1.5 保证工程施工和人员的安全</w:t>
      </w:r>
      <w:bookmarkEnd w:id="939"/>
      <w:bookmarkEnd w:id="940"/>
      <w:bookmarkEnd w:id="941"/>
      <w:bookmarkEnd w:id="942"/>
      <w:bookmarkEnd w:id="943"/>
      <w:bookmarkEnd w:id="944"/>
      <w:bookmarkEnd w:id="945"/>
      <w:bookmarkEnd w:id="946"/>
      <w:bookmarkEnd w:id="947"/>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承包人应按第9.2款约定采取施工安全措施，确保工程及其人员、材料、设备和设施的安全，防止因工程施工造成的人身伤害和财产损失。</w:t>
      </w:r>
    </w:p>
    <w:p>
      <w:pPr>
        <w:keepLines w:val="0"/>
        <w:pageBreakBefore w:val="0"/>
        <w:widowControl w:val="0"/>
        <w:kinsoku/>
        <w:wordWrap/>
        <w:overflowPunct/>
        <w:topLinePunct w:val="0"/>
        <w:bidi w:val="0"/>
        <w:spacing w:line="420" w:lineRule="exact"/>
        <w:ind w:firstLine="480" w:firstLineChars="200"/>
        <w:outlineLvl w:val="0"/>
        <w:rPr>
          <w:rFonts w:hint="eastAsia" w:ascii="宋体" w:hAnsi="宋体" w:eastAsia="宋体" w:cs="宋体"/>
          <w:color w:val="auto"/>
          <w:sz w:val="24"/>
          <w:szCs w:val="24"/>
        </w:rPr>
      </w:pPr>
      <w:bookmarkStart w:id="948" w:name="_Toc414351977"/>
      <w:bookmarkStart w:id="949" w:name="_Toc414275294"/>
      <w:bookmarkStart w:id="950" w:name="_Toc439685390"/>
      <w:bookmarkStart w:id="951" w:name="_Toc439684213"/>
      <w:bookmarkStart w:id="952" w:name="_Toc4114"/>
      <w:bookmarkStart w:id="953" w:name="_Toc27946"/>
      <w:bookmarkStart w:id="954" w:name="_Toc453677363"/>
      <w:bookmarkStart w:id="955" w:name="_Toc434937537"/>
      <w:bookmarkStart w:id="956" w:name="_Toc453678555"/>
      <w:r>
        <w:rPr>
          <w:rFonts w:hint="eastAsia" w:ascii="宋体" w:hAnsi="宋体" w:eastAsia="宋体" w:cs="宋体"/>
          <w:color w:val="auto"/>
          <w:sz w:val="24"/>
          <w:szCs w:val="24"/>
        </w:rPr>
        <w:t>4.1.6 负责施工场地及其周边环境与生态的保护工作</w:t>
      </w:r>
      <w:bookmarkEnd w:id="948"/>
      <w:bookmarkEnd w:id="949"/>
      <w:bookmarkEnd w:id="950"/>
      <w:bookmarkEnd w:id="951"/>
      <w:bookmarkEnd w:id="952"/>
      <w:bookmarkEnd w:id="953"/>
      <w:bookmarkEnd w:id="954"/>
      <w:bookmarkEnd w:id="955"/>
      <w:bookmarkEnd w:id="956"/>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承包人应按照第9.4款约定负责施工场地及其周边环境与生态的保护工作。</w:t>
      </w:r>
    </w:p>
    <w:p>
      <w:pPr>
        <w:keepLines w:val="0"/>
        <w:pageBreakBefore w:val="0"/>
        <w:widowControl w:val="0"/>
        <w:kinsoku/>
        <w:wordWrap/>
        <w:overflowPunct/>
        <w:topLinePunct w:val="0"/>
        <w:bidi w:val="0"/>
        <w:spacing w:line="420" w:lineRule="exact"/>
        <w:ind w:firstLine="480" w:firstLineChars="200"/>
        <w:outlineLvl w:val="0"/>
        <w:rPr>
          <w:rFonts w:hint="eastAsia" w:ascii="宋体" w:hAnsi="宋体" w:eastAsia="宋体" w:cs="宋体"/>
          <w:color w:val="auto"/>
          <w:sz w:val="24"/>
          <w:szCs w:val="24"/>
        </w:rPr>
      </w:pPr>
      <w:bookmarkStart w:id="957" w:name="_Toc453677364"/>
      <w:bookmarkStart w:id="958" w:name="_Toc434937538"/>
      <w:bookmarkStart w:id="959" w:name="_Toc439685391"/>
      <w:bookmarkStart w:id="960" w:name="_Toc20175"/>
      <w:bookmarkStart w:id="961" w:name="_Toc453678556"/>
      <w:bookmarkStart w:id="962" w:name="_Toc414351978"/>
      <w:bookmarkStart w:id="963" w:name="_Toc414275295"/>
      <w:bookmarkStart w:id="964" w:name="_Toc439684214"/>
      <w:bookmarkStart w:id="965" w:name="_Toc3056"/>
      <w:r>
        <w:rPr>
          <w:rFonts w:hint="eastAsia" w:ascii="宋体" w:hAnsi="宋体" w:eastAsia="宋体" w:cs="宋体"/>
          <w:color w:val="auto"/>
          <w:sz w:val="24"/>
          <w:szCs w:val="24"/>
        </w:rPr>
        <w:t>4.1.7 避免施工对公众与他人的利益造成损害</w:t>
      </w:r>
      <w:bookmarkEnd w:id="957"/>
      <w:bookmarkEnd w:id="958"/>
      <w:bookmarkEnd w:id="959"/>
      <w:bookmarkEnd w:id="960"/>
      <w:bookmarkEnd w:id="961"/>
      <w:bookmarkEnd w:id="962"/>
      <w:bookmarkEnd w:id="963"/>
      <w:bookmarkEnd w:id="964"/>
      <w:bookmarkEnd w:id="965"/>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keepLines w:val="0"/>
        <w:pageBreakBefore w:val="0"/>
        <w:widowControl w:val="0"/>
        <w:kinsoku/>
        <w:wordWrap/>
        <w:overflowPunct/>
        <w:topLinePunct w:val="0"/>
        <w:bidi w:val="0"/>
        <w:spacing w:line="420" w:lineRule="exact"/>
        <w:ind w:firstLine="480" w:firstLineChars="200"/>
        <w:outlineLvl w:val="0"/>
        <w:rPr>
          <w:rFonts w:hint="eastAsia" w:ascii="宋体" w:hAnsi="宋体" w:eastAsia="宋体" w:cs="宋体"/>
          <w:color w:val="auto"/>
          <w:sz w:val="24"/>
          <w:szCs w:val="24"/>
        </w:rPr>
      </w:pPr>
      <w:bookmarkStart w:id="966" w:name="_Toc414275296"/>
      <w:bookmarkStart w:id="967" w:name="_Toc21753"/>
      <w:bookmarkStart w:id="968" w:name="_Toc439684215"/>
      <w:bookmarkStart w:id="969" w:name="_Toc32512"/>
      <w:bookmarkStart w:id="970" w:name="_Toc439685392"/>
      <w:bookmarkStart w:id="971" w:name="_Toc414351979"/>
      <w:bookmarkStart w:id="972" w:name="_Toc434937539"/>
      <w:bookmarkStart w:id="973" w:name="_Toc453677365"/>
      <w:bookmarkStart w:id="974" w:name="_Toc453678557"/>
      <w:r>
        <w:rPr>
          <w:rFonts w:hint="eastAsia" w:ascii="宋体" w:hAnsi="宋体" w:eastAsia="宋体" w:cs="宋体"/>
          <w:color w:val="auto"/>
          <w:sz w:val="24"/>
          <w:szCs w:val="24"/>
        </w:rPr>
        <w:t>4.1.8 为他人提供方便</w:t>
      </w:r>
      <w:bookmarkEnd w:id="966"/>
      <w:bookmarkEnd w:id="967"/>
      <w:bookmarkEnd w:id="968"/>
      <w:bookmarkEnd w:id="969"/>
      <w:bookmarkEnd w:id="970"/>
      <w:bookmarkEnd w:id="971"/>
      <w:bookmarkEnd w:id="972"/>
      <w:bookmarkEnd w:id="973"/>
      <w:bookmarkEnd w:id="974"/>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承包人应按监理人的指示为他人在施工场地或附近实施与工程有关的其他各项工作提供可能的条件。除合同另有约定外，提供有关条件的内容和可能发生的费用，由监理人按第3.5款商定或确定。</w:t>
      </w:r>
    </w:p>
    <w:p>
      <w:pPr>
        <w:keepLines w:val="0"/>
        <w:pageBreakBefore w:val="0"/>
        <w:widowControl w:val="0"/>
        <w:kinsoku/>
        <w:wordWrap/>
        <w:overflowPunct/>
        <w:topLinePunct w:val="0"/>
        <w:bidi w:val="0"/>
        <w:spacing w:line="420" w:lineRule="exact"/>
        <w:ind w:firstLine="480" w:firstLineChars="200"/>
        <w:outlineLvl w:val="0"/>
        <w:rPr>
          <w:rFonts w:hint="eastAsia" w:ascii="宋体" w:hAnsi="宋体" w:eastAsia="宋体" w:cs="宋体"/>
          <w:color w:val="auto"/>
          <w:sz w:val="24"/>
          <w:szCs w:val="24"/>
        </w:rPr>
      </w:pPr>
      <w:bookmarkStart w:id="975" w:name="_Toc439685393"/>
      <w:bookmarkStart w:id="976" w:name="_Toc414351980"/>
      <w:bookmarkStart w:id="977" w:name="_Toc453677366"/>
      <w:bookmarkStart w:id="978" w:name="_Toc10188"/>
      <w:bookmarkStart w:id="979" w:name="_Toc453678558"/>
      <w:bookmarkStart w:id="980" w:name="_Toc434937540"/>
      <w:bookmarkStart w:id="981" w:name="_Toc439684216"/>
      <w:bookmarkStart w:id="982" w:name="_Toc414275297"/>
      <w:bookmarkStart w:id="983" w:name="_Toc27030"/>
      <w:r>
        <w:rPr>
          <w:rFonts w:hint="eastAsia" w:ascii="宋体" w:hAnsi="宋体" w:eastAsia="宋体" w:cs="宋体"/>
          <w:color w:val="auto"/>
          <w:sz w:val="24"/>
          <w:szCs w:val="24"/>
        </w:rPr>
        <w:t>4.1.9 工程的维护和照管</w:t>
      </w:r>
      <w:bookmarkEnd w:id="975"/>
      <w:bookmarkEnd w:id="976"/>
      <w:bookmarkEnd w:id="977"/>
      <w:bookmarkEnd w:id="978"/>
      <w:bookmarkEnd w:id="979"/>
      <w:bookmarkEnd w:id="980"/>
      <w:bookmarkEnd w:id="981"/>
      <w:bookmarkEnd w:id="982"/>
      <w:bookmarkEnd w:id="983"/>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除合同另有约定外，合同工程完工证书颁发前，承包人应负责照管和维护工程。合同工程完工证书颁发时尚有部分未完工程的，承包人还应负责该未完工程的照管和维护工作，直至完工后移交给发包人为止。</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4.1.10其它义务</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其它义务在专用合同条款中补充约定。</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984" w:name="_Toc439684217"/>
      <w:bookmarkStart w:id="985" w:name="_Toc414351981"/>
      <w:bookmarkStart w:id="986" w:name="_Toc414268875"/>
      <w:bookmarkStart w:id="987" w:name="_Toc414275298"/>
      <w:bookmarkStart w:id="988" w:name="_Toc434412232"/>
      <w:bookmarkStart w:id="989" w:name="_Toc453678559"/>
      <w:bookmarkStart w:id="990" w:name="_Toc414368453"/>
      <w:bookmarkStart w:id="991" w:name="_Toc453677367"/>
      <w:r>
        <w:rPr>
          <w:rFonts w:hint="eastAsia" w:ascii="宋体" w:hAnsi="宋体" w:eastAsia="宋体" w:cs="宋体"/>
          <w:color w:val="auto"/>
          <w:sz w:val="24"/>
          <w:szCs w:val="24"/>
        </w:rPr>
        <w:t>4.2 履约担保</w:t>
      </w:r>
      <w:bookmarkEnd w:id="984"/>
      <w:bookmarkEnd w:id="985"/>
      <w:bookmarkEnd w:id="986"/>
      <w:bookmarkEnd w:id="987"/>
      <w:bookmarkEnd w:id="988"/>
      <w:bookmarkEnd w:id="989"/>
      <w:bookmarkEnd w:id="990"/>
      <w:bookmarkEnd w:id="991"/>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承包人应保证其履约担保在发包人颁发合同工程完工证书前一直有效。发包人应在合同工程完工证书颁发后28天内将履约担保退还给承包人。</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992" w:name="_Toc414268876"/>
      <w:bookmarkStart w:id="993" w:name="_Toc453677368"/>
      <w:bookmarkStart w:id="994" w:name="_Toc414275299"/>
      <w:bookmarkStart w:id="995" w:name="_Toc434412233"/>
      <w:bookmarkStart w:id="996" w:name="_Toc414351982"/>
      <w:bookmarkStart w:id="997" w:name="_Toc453678560"/>
      <w:bookmarkStart w:id="998" w:name="_Toc414368454"/>
      <w:bookmarkStart w:id="999" w:name="_Toc439684218"/>
      <w:r>
        <w:rPr>
          <w:rFonts w:hint="eastAsia" w:ascii="宋体" w:hAnsi="宋体" w:eastAsia="宋体" w:cs="宋体"/>
          <w:color w:val="auto"/>
          <w:sz w:val="24"/>
          <w:szCs w:val="24"/>
        </w:rPr>
        <w:t>4.3 分包</w:t>
      </w:r>
      <w:bookmarkEnd w:id="992"/>
      <w:bookmarkEnd w:id="993"/>
      <w:bookmarkEnd w:id="994"/>
      <w:bookmarkEnd w:id="995"/>
      <w:bookmarkEnd w:id="996"/>
      <w:bookmarkEnd w:id="997"/>
      <w:bookmarkEnd w:id="998"/>
      <w:bookmarkEnd w:id="999"/>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4.3.1 承包人不得将其承包的全部工程转包给第三人，或将其承包的全部工程肢解后以分包的名义转包给第三人。</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4.3.2 承包人不得将工程主体、关键性工作分包给第三人。除专用合同条款另有约定外，未经发包人同意，承包人不得将工程的其他部分或工作分包给第三人。</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4.3.3 分包人的资格能力应与其分包工程的标准和规模相适应。</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4.3.4 按投标函附录约定分包工程的，承包人应向发包人和监理人提交分包合同副本。</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4.3.5 承包人应与分包人就分包工程向发包人承担连带责任。</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4.3.6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4.3.7 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由指定分包人造成的与其分包工作有关的一切索赔、诉讼和损失赔偿由指定分包人直接对发包人负责，承包人不对此承担责任</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4.3.8 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4.3.9 除4.3.7项规定的指定分包外，承包人对其分包项目的实施以及分包人的行为向发包人负全部责任。承包人应对分包项目的工程进度、质量、安全、计量和验收等实施监督和管理。</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4.3.10 分包人应按专用合同条款的约定设立项目管理机构组织管理分包工程的施工活动。</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000" w:name="_Toc414368455"/>
      <w:bookmarkStart w:id="1001" w:name="_Toc414351983"/>
      <w:bookmarkStart w:id="1002" w:name="_Toc439684219"/>
      <w:bookmarkStart w:id="1003" w:name="_Toc414268877"/>
      <w:bookmarkStart w:id="1004" w:name="_Toc434412234"/>
      <w:bookmarkStart w:id="1005" w:name="_Toc414275300"/>
      <w:bookmarkStart w:id="1006" w:name="_Toc453677369"/>
      <w:bookmarkStart w:id="1007" w:name="_Toc453678561"/>
      <w:r>
        <w:rPr>
          <w:rFonts w:hint="eastAsia" w:ascii="宋体" w:hAnsi="宋体" w:eastAsia="宋体" w:cs="宋体"/>
          <w:color w:val="auto"/>
          <w:sz w:val="24"/>
          <w:szCs w:val="24"/>
        </w:rPr>
        <w:t>4.4 联合体</w:t>
      </w:r>
      <w:bookmarkEnd w:id="1000"/>
      <w:bookmarkEnd w:id="1001"/>
      <w:bookmarkEnd w:id="1002"/>
      <w:bookmarkEnd w:id="1003"/>
      <w:bookmarkEnd w:id="1004"/>
      <w:bookmarkEnd w:id="1005"/>
      <w:bookmarkEnd w:id="1006"/>
      <w:bookmarkEnd w:id="1007"/>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4.4.1 联合体各方应共同与发包人签订合同协议书。联合体各方应为履行合同承担连带责任。</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4.4.2 联合体协议经发包人确认后作为合同附件。在履行合同过程中，未经发包人同意，不得修改联合体协议。</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4.4.3 联合体牵头人负责与发包人和监理人联系，并接受指示，负责组织联合体各成员全面履行合同。</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008" w:name="_Toc434412235"/>
      <w:bookmarkStart w:id="1009" w:name="_Toc414368456"/>
      <w:bookmarkStart w:id="1010" w:name="_Toc439684220"/>
      <w:bookmarkStart w:id="1011" w:name="_Toc414351984"/>
      <w:bookmarkStart w:id="1012" w:name="_Toc453678562"/>
      <w:bookmarkStart w:id="1013" w:name="_Toc414275301"/>
      <w:bookmarkStart w:id="1014" w:name="_Toc453677370"/>
      <w:r>
        <w:rPr>
          <w:rFonts w:hint="eastAsia" w:ascii="宋体" w:hAnsi="宋体" w:eastAsia="宋体" w:cs="宋体"/>
          <w:color w:val="auto"/>
          <w:sz w:val="24"/>
          <w:szCs w:val="24"/>
        </w:rPr>
        <w:t>4.5 承包人项目经理</w:t>
      </w:r>
      <w:bookmarkEnd w:id="1008"/>
      <w:bookmarkEnd w:id="1009"/>
      <w:bookmarkEnd w:id="1010"/>
      <w:bookmarkEnd w:id="1011"/>
      <w:bookmarkEnd w:id="1012"/>
      <w:bookmarkEnd w:id="1013"/>
      <w:bookmarkEnd w:id="1014"/>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4.5.2 承包人项目经理应按合同约定以及监理人按第3.4款做出的指示，负责组织合同工程的实施。在情况紧急且无法与监理人取得联系时，可采取保证工程和人员生命财产安全的紧急措施，并在采取措施后24小时内向监理人提交书面报告。</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4.5.3 承包人为履行合同发出的一切函件均应盖有承包人授权的施工场地管理机构章，并由承包人项目经理或其授权代表签字。</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4.5.4 承包人项目经理可以授权其下属人员履行其某项职责，但事先应将这些人员的姓名和授权范围通知监理人。</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015" w:name="_Toc414351985"/>
      <w:bookmarkStart w:id="1016" w:name="_Toc439684221"/>
      <w:bookmarkStart w:id="1017" w:name="_Toc453678563"/>
      <w:bookmarkStart w:id="1018" w:name="_Toc453677371"/>
      <w:bookmarkStart w:id="1019" w:name="_Toc414368457"/>
      <w:bookmarkStart w:id="1020" w:name="_Toc434412236"/>
      <w:bookmarkStart w:id="1021" w:name="_Toc414275302"/>
      <w:r>
        <w:rPr>
          <w:rFonts w:hint="eastAsia" w:ascii="宋体" w:hAnsi="宋体" w:eastAsia="宋体" w:cs="宋体"/>
          <w:color w:val="auto"/>
          <w:sz w:val="24"/>
          <w:szCs w:val="24"/>
        </w:rPr>
        <w:t>4.6 承包人人员的管理</w:t>
      </w:r>
      <w:bookmarkEnd w:id="1015"/>
      <w:bookmarkEnd w:id="1016"/>
      <w:bookmarkEnd w:id="1017"/>
      <w:bookmarkEnd w:id="1018"/>
      <w:bookmarkEnd w:id="1019"/>
      <w:bookmarkEnd w:id="1020"/>
      <w:bookmarkEnd w:id="1021"/>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4.6.2 为完成合同约定的各项工作，承包人应向施工场地派遣或雇佣足够数量的下列人员：</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（1）具有相应资格的专业技工和合格的普工；</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（2）具有相应施工经验的技术人员；</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（3）具有相应岗位资格的各级管理人员。</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4.6.3 承包人安排在施工场地的主要管理人员和技术骨干应相对稳定。承包人更换主要管理人员和技术骨干时，应取得监理人的同意。</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4.6.4 特殊岗位的工作人员均应持有相应的资格证明，监理人有权随时检查。监理人认为有必要时，可进行现场考核。</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022" w:name="_Toc439684222"/>
      <w:bookmarkStart w:id="1023" w:name="_Toc414368458"/>
      <w:bookmarkStart w:id="1024" w:name="_Toc434412237"/>
      <w:bookmarkStart w:id="1025" w:name="_Toc453677372"/>
      <w:bookmarkStart w:id="1026" w:name="_Toc414351986"/>
      <w:bookmarkStart w:id="1027" w:name="_Toc414275303"/>
      <w:bookmarkStart w:id="1028" w:name="_Toc453678564"/>
      <w:r>
        <w:rPr>
          <w:rFonts w:hint="eastAsia" w:ascii="宋体" w:hAnsi="宋体" w:eastAsia="宋体" w:cs="宋体"/>
          <w:color w:val="auto"/>
          <w:sz w:val="24"/>
          <w:szCs w:val="24"/>
        </w:rPr>
        <w:t>4.7 撤换承包人项目经理和其他人员</w:t>
      </w:r>
      <w:bookmarkEnd w:id="1022"/>
      <w:bookmarkEnd w:id="1023"/>
      <w:bookmarkEnd w:id="1024"/>
      <w:bookmarkEnd w:id="1025"/>
      <w:bookmarkEnd w:id="1026"/>
      <w:bookmarkEnd w:id="1027"/>
      <w:bookmarkEnd w:id="1028"/>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承包人应对其项目经理和其他人员进行有效管理。监理人要求撤换不能胜任本职工作、行为不端或玩忽职守的承包人项目经理和其他人员的，承包人应予以撤换。</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029" w:name="_Toc434412238"/>
      <w:bookmarkStart w:id="1030" w:name="_Toc453678565"/>
      <w:bookmarkStart w:id="1031" w:name="_Toc414368459"/>
      <w:bookmarkStart w:id="1032" w:name="_Toc414275304"/>
      <w:bookmarkStart w:id="1033" w:name="_Toc439684223"/>
      <w:bookmarkStart w:id="1034" w:name="_Toc453677373"/>
      <w:bookmarkStart w:id="1035" w:name="_Toc414351987"/>
      <w:r>
        <w:rPr>
          <w:rFonts w:hint="eastAsia" w:ascii="宋体" w:hAnsi="宋体" w:eastAsia="宋体" w:cs="宋体"/>
          <w:color w:val="auto"/>
          <w:sz w:val="24"/>
          <w:szCs w:val="24"/>
        </w:rPr>
        <w:t>4.8 保障承包人人员的合法权益</w:t>
      </w:r>
      <w:bookmarkEnd w:id="1029"/>
      <w:bookmarkEnd w:id="1030"/>
      <w:bookmarkEnd w:id="1031"/>
      <w:bookmarkEnd w:id="1032"/>
      <w:bookmarkEnd w:id="1033"/>
      <w:bookmarkEnd w:id="1034"/>
      <w:bookmarkEnd w:id="1035"/>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4.8.1 承包人应与其雇佣的人员签订劳动合同，并按时发放工资。</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4.8.2 承包人应按劳动法的规定安排工作时间，保证其雇佣人员享有休息和休假的权利。因工程施工的特殊需要占用休假日或延长工作时间的，应不超过法律规定的限度，并按法律规定给予补休或付酬。</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4.8.3 承包人应为其雇佣人员提供必要的食宿条件，以及符合环境保护和卫生要求的生活环境，在远离城镇的施工场地，还应配备必要的伤病防治和急救的医务人员与医疗设施。</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4.8.5 承包人应按有关法律规定和合同约定，为其雇佣人员办理保险。</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4.8.6 承包人应负责处理其雇佣人员因工伤亡事故的善后事宜。</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036" w:name="_Toc453677374"/>
      <w:bookmarkStart w:id="1037" w:name="_Toc414275305"/>
      <w:bookmarkStart w:id="1038" w:name="_Toc439684224"/>
      <w:bookmarkStart w:id="1039" w:name="_Toc453678566"/>
      <w:bookmarkStart w:id="1040" w:name="_Toc414368460"/>
      <w:bookmarkStart w:id="1041" w:name="_Toc414351988"/>
      <w:bookmarkStart w:id="1042" w:name="_Toc434412239"/>
      <w:r>
        <w:rPr>
          <w:rFonts w:hint="eastAsia" w:ascii="宋体" w:hAnsi="宋体" w:eastAsia="宋体" w:cs="宋体"/>
          <w:color w:val="auto"/>
          <w:sz w:val="24"/>
          <w:szCs w:val="24"/>
        </w:rPr>
        <w:t>4.9 工程价款应专款专用</w:t>
      </w:r>
      <w:bookmarkEnd w:id="1036"/>
      <w:bookmarkEnd w:id="1037"/>
      <w:bookmarkEnd w:id="1038"/>
      <w:bookmarkEnd w:id="1039"/>
      <w:bookmarkEnd w:id="1040"/>
      <w:bookmarkEnd w:id="1041"/>
      <w:bookmarkEnd w:id="1042"/>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发包人按合同约定支付给承包人的各项价款应专用于合同工程。</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043" w:name="_Toc434412240"/>
      <w:bookmarkStart w:id="1044" w:name="_Toc453677375"/>
      <w:bookmarkStart w:id="1045" w:name="_Toc439684225"/>
      <w:bookmarkStart w:id="1046" w:name="_Toc414368461"/>
      <w:bookmarkStart w:id="1047" w:name="_Toc453678567"/>
      <w:bookmarkStart w:id="1048" w:name="_Toc414275306"/>
      <w:bookmarkStart w:id="1049" w:name="_Toc414351989"/>
      <w:r>
        <w:rPr>
          <w:rFonts w:hint="eastAsia" w:ascii="宋体" w:hAnsi="宋体" w:eastAsia="宋体" w:cs="宋体"/>
          <w:color w:val="auto"/>
          <w:sz w:val="24"/>
          <w:szCs w:val="24"/>
        </w:rPr>
        <w:t>4.10 承包人现场查勘</w:t>
      </w:r>
      <w:bookmarkEnd w:id="1043"/>
      <w:bookmarkEnd w:id="1044"/>
      <w:bookmarkEnd w:id="1045"/>
      <w:bookmarkEnd w:id="1046"/>
      <w:bookmarkEnd w:id="1047"/>
      <w:bookmarkEnd w:id="1048"/>
      <w:bookmarkEnd w:id="1049"/>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4.10.1 发包人应将其持有的现场地质勘探资料、水文气象资料提供给承包人，并对其准确胜负责。但承包人应对其阅读上述有关资料后所做出的解释和推断负责。</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050" w:name="_Toc414351990"/>
      <w:bookmarkStart w:id="1051" w:name="_Toc414275307"/>
      <w:bookmarkStart w:id="1052" w:name="_Toc439684226"/>
      <w:bookmarkStart w:id="1053" w:name="_Toc453677376"/>
      <w:bookmarkStart w:id="1054" w:name="_Toc434412241"/>
      <w:bookmarkStart w:id="1055" w:name="_Toc414368462"/>
      <w:bookmarkStart w:id="1056" w:name="_Toc453678568"/>
      <w:r>
        <w:rPr>
          <w:rFonts w:hint="eastAsia" w:ascii="宋体" w:hAnsi="宋体" w:eastAsia="宋体" w:cs="宋体"/>
          <w:color w:val="auto"/>
          <w:sz w:val="24"/>
          <w:szCs w:val="24"/>
        </w:rPr>
        <w:t>4.11 不利物质条件</w:t>
      </w:r>
      <w:bookmarkEnd w:id="1050"/>
      <w:bookmarkEnd w:id="1051"/>
      <w:bookmarkEnd w:id="1052"/>
      <w:bookmarkEnd w:id="1053"/>
      <w:bookmarkEnd w:id="1054"/>
      <w:bookmarkEnd w:id="1055"/>
      <w:bookmarkEnd w:id="1056"/>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4.11.1 除专用合同条款另有约定外，不利物质条件是指在施工中遭遇不可预见的外界障碍或自然条件造成施工受阻。</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4.11.2 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pPr>
        <w:pStyle w:val="146"/>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057" w:name="_Toc414275308"/>
      <w:bookmarkStart w:id="1058" w:name="_Toc184635102"/>
      <w:bookmarkStart w:id="1059" w:name="_Toc453677377"/>
      <w:bookmarkStart w:id="1060" w:name="_Toc439684227"/>
      <w:bookmarkStart w:id="1061" w:name="_Toc203758982"/>
      <w:bookmarkStart w:id="1062" w:name="_Toc414368463"/>
      <w:bookmarkStart w:id="1063" w:name="_Toc453678569"/>
      <w:bookmarkStart w:id="1064" w:name="_Toc414268878"/>
      <w:bookmarkStart w:id="1065" w:name="_Toc414351991"/>
      <w:bookmarkStart w:id="1066" w:name="_Toc434412242"/>
      <w:r>
        <w:rPr>
          <w:rFonts w:hint="eastAsia" w:ascii="宋体" w:hAnsi="宋体" w:eastAsia="宋体" w:cs="宋体"/>
          <w:color w:val="auto"/>
          <w:sz w:val="24"/>
          <w:szCs w:val="24"/>
        </w:rPr>
        <w:t>5．材料和工程设备</w:t>
      </w:r>
      <w:bookmarkEnd w:id="1057"/>
      <w:bookmarkEnd w:id="1058"/>
      <w:bookmarkEnd w:id="1059"/>
      <w:bookmarkEnd w:id="1060"/>
      <w:bookmarkEnd w:id="1061"/>
      <w:bookmarkEnd w:id="1062"/>
      <w:bookmarkEnd w:id="1063"/>
      <w:bookmarkEnd w:id="1064"/>
      <w:bookmarkEnd w:id="1065"/>
      <w:bookmarkEnd w:id="1066"/>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067" w:name="_Toc453677378"/>
      <w:bookmarkStart w:id="1068" w:name="_Toc414351992"/>
      <w:bookmarkStart w:id="1069" w:name="_Toc414275309"/>
      <w:bookmarkStart w:id="1070" w:name="_Toc453678570"/>
      <w:bookmarkStart w:id="1071" w:name="_Toc414368464"/>
      <w:bookmarkStart w:id="1072" w:name="_Toc434412243"/>
      <w:bookmarkStart w:id="1073" w:name="_Toc439684228"/>
      <w:r>
        <w:rPr>
          <w:rFonts w:hint="eastAsia" w:ascii="宋体" w:hAnsi="宋体" w:eastAsia="宋体" w:cs="宋体"/>
          <w:color w:val="auto"/>
          <w:sz w:val="24"/>
          <w:szCs w:val="24"/>
        </w:rPr>
        <w:t>5.1 承包人提供的材料和工程设备</w:t>
      </w:r>
      <w:bookmarkEnd w:id="1067"/>
      <w:bookmarkEnd w:id="1068"/>
      <w:bookmarkEnd w:id="1069"/>
      <w:bookmarkEnd w:id="1070"/>
      <w:bookmarkEnd w:id="1071"/>
      <w:bookmarkEnd w:id="1072"/>
      <w:bookmarkEnd w:id="1073"/>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5.1.1除第5.2款约定由发包人提供的材料和工程设备外，承包人负责采购、运输和保管完成本合同工作所需要的材料和工程设备。承包人应对其采购的材料和工程设备负责。</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074" w:name="_Toc414351993"/>
      <w:bookmarkStart w:id="1075" w:name="_Toc414368465"/>
      <w:bookmarkStart w:id="1076" w:name="_Toc453677379"/>
      <w:bookmarkStart w:id="1077" w:name="_Toc434412244"/>
      <w:bookmarkStart w:id="1078" w:name="_Toc453678571"/>
      <w:bookmarkStart w:id="1079" w:name="_Toc439684229"/>
      <w:bookmarkStart w:id="1080" w:name="_Toc414275310"/>
      <w:r>
        <w:rPr>
          <w:rFonts w:hint="eastAsia" w:ascii="宋体" w:hAnsi="宋体" w:eastAsia="宋体" w:cs="宋体"/>
          <w:color w:val="auto"/>
          <w:sz w:val="24"/>
          <w:szCs w:val="24"/>
        </w:rPr>
        <w:t>5.2 发包人提供的材料和工程设备</w:t>
      </w:r>
      <w:bookmarkEnd w:id="1074"/>
      <w:bookmarkEnd w:id="1075"/>
      <w:bookmarkEnd w:id="1076"/>
      <w:bookmarkEnd w:id="1077"/>
      <w:bookmarkEnd w:id="1078"/>
      <w:bookmarkEnd w:id="1079"/>
      <w:bookmarkEnd w:id="1080"/>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5.2.1 发包人提供的材料和工程设备，应在专用合同条款中写明材料和工程设备的名称、规格、数量、价格、交货方式、交货地点和计划交货日期等。</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5.2.2 承包人应根据合同进度计划的安排，向监理人报送要求发包人交货的日期计划。发包人应按照监理人与合同双方当事人商定的交货日期，向承包人提交材料和工程设备。</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5.2.3 发包人应在材料和工程设备到货7天前通知承包人，承包人应会同监理人在约定的时间内，赴交货地点共同进行验收。发包人提供的材料和工程设备运至交货地点验收后，由承包人负责接收、卸货、运输和保管。</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5.2.4 发包人要求向承包人提前交货的，承包人不得拒绝，但发包人应承担承包人由此增加的费用。</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5.2.5 承包人要求更改交货日期或地点的，应事先报请监理人批准。由于承包人要求更改交货时间或地点所增加的费用和（或）工期延误由承包人承担。</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081" w:name="_Toc434412245"/>
      <w:bookmarkStart w:id="1082" w:name="_Toc453678572"/>
      <w:bookmarkStart w:id="1083" w:name="_Toc414275311"/>
      <w:bookmarkStart w:id="1084" w:name="_Toc414368466"/>
      <w:bookmarkStart w:id="1085" w:name="_Toc414351994"/>
      <w:bookmarkStart w:id="1086" w:name="_Toc439684230"/>
      <w:bookmarkStart w:id="1087" w:name="_Toc453677380"/>
      <w:r>
        <w:rPr>
          <w:rFonts w:hint="eastAsia" w:ascii="宋体" w:hAnsi="宋体" w:eastAsia="宋体" w:cs="宋体"/>
          <w:color w:val="auto"/>
          <w:sz w:val="24"/>
          <w:szCs w:val="24"/>
        </w:rPr>
        <w:t>5.3 材料和工程设备专用于合同工程</w:t>
      </w:r>
      <w:bookmarkEnd w:id="1081"/>
      <w:bookmarkEnd w:id="1082"/>
      <w:bookmarkEnd w:id="1083"/>
      <w:bookmarkEnd w:id="1084"/>
      <w:bookmarkEnd w:id="1085"/>
      <w:bookmarkEnd w:id="1086"/>
      <w:bookmarkEnd w:id="1087"/>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5.3.1 运入施工场地的材料、工程设备，包括备品备件、安装专用工器具与随机资料，必须专用于合同工程，未经监理人同意，承包人不得运出施工场地或挪作他用。</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088" w:name="_Toc439684231"/>
      <w:bookmarkStart w:id="1089" w:name="_Toc453678573"/>
      <w:bookmarkStart w:id="1090" w:name="_Toc453677381"/>
      <w:bookmarkStart w:id="1091" w:name="_Toc434412246"/>
      <w:bookmarkStart w:id="1092" w:name="_Toc414275312"/>
      <w:bookmarkStart w:id="1093" w:name="_Toc414351995"/>
      <w:bookmarkStart w:id="1094" w:name="_Toc414368467"/>
      <w:r>
        <w:rPr>
          <w:rFonts w:hint="eastAsia" w:ascii="宋体" w:hAnsi="宋体" w:eastAsia="宋体" w:cs="宋体"/>
          <w:color w:val="auto"/>
          <w:sz w:val="24"/>
          <w:szCs w:val="24"/>
        </w:rPr>
        <w:t>5.4 禁止使用不合格的材料和工程设备</w:t>
      </w:r>
      <w:bookmarkEnd w:id="1088"/>
      <w:bookmarkEnd w:id="1089"/>
      <w:bookmarkEnd w:id="1090"/>
      <w:bookmarkEnd w:id="1091"/>
      <w:bookmarkEnd w:id="1092"/>
      <w:bookmarkEnd w:id="1093"/>
      <w:bookmarkEnd w:id="1094"/>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5.4.1 监理人有权拒绝承包人提供的不合格材料或工程设备，并要求承包人立即进行更换。监理人应在更换后再次进行检查和检验，由此增加的费用和（或）工期延误由承包人承担。</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5.4.2 监理人发现承包人使用了不合格的材料和工程设备，应即时发出指示要求承包人立即改正，并禁止在工程中继续使用不合格的材料和工程设备。</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5.4.3 发包人提供的材料或工程设备不符合合同要求的，承包人有权拒绝，并可要求发包人更换，由此增加的费用和（或）工期延误由发包人承担。</w:t>
      </w:r>
    </w:p>
    <w:p>
      <w:pPr>
        <w:pStyle w:val="146"/>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095" w:name="_Toc439684232"/>
      <w:bookmarkStart w:id="1096" w:name="_Toc414368468"/>
      <w:bookmarkStart w:id="1097" w:name="_Toc414351996"/>
      <w:bookmarkStart w:id="1098" w:name="_Toc203758983"/>
      <w:bookmarkStart w:id="1099" w:name="_Toc453677382"/>
      <w:bookmarkStart w:id="1100" w:name="_Toc453678574"/>
      <w:bookmarkStart w:id="1101" w:name="_Toc414268879"/>
      <w:bookmarkStart w:id="1102" w:name="_Toc434412247"/>
      <w:bookmarkStart w:id="1103" w:name="_Toc414275313"/>
      <w:bookmarkStart w:id="1104" w:name="_Toc184635103"/>
      <w:r>
        <w:rPr>
          <w:rFonts w:hint="eastAsia" w:ascii="宋体" w:hAnsi="宋体" w:eastAsia="宋体" w:cs="宋体"/>
          <w:color w:val="auto"/>
          <w:sz w:val="24"/>
          <w:szCs w:val="24"/>
        </w:rPr>
        <w:t>6．施工设备和临时设施</w:t>
      </w:r>
      <w:bookmarkEnd w:id="1095"/>
      <w:bookmarkEnd w:id="1096"/>
      <w:bookmarkEnd w:id="1097"/>
      <w:bookmarkEnd w:id="1098"/>
      <w:bookmarkEnd w:id="1099"/>
      <w:bookmarkEnd w:id="1100"/>
      <w:bookmarkEnd w:id="1101"/>
      <w:bookmarkEnd w:id="1102"/>
      <w:bookmarkEnd w:id="1103"/>
      <w:bookmarkEnd w:id="1104"/>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105" w:name="_Toc453677383"/>
      <w:bookmarkStart w:id="1106" w:name="_Toc453678575"/>
      <w:bookmarkStart w:id="1107" w:name="_Toc414275314"/>
      <w:bookmarkStart w:id="1108" w:name="_Toc414351997"/>
      <w:bookmarkStart w:id="1109" w:name="_Toc439684233"/>
      <w:bookmarkStart w:id="1110" w:name="_Toc434412248"/>
      <w:bookmarkStart w:id="1111" w:name="_Toc414368469"/>
      <w:r>
        <w:rPr>
          <w:rFonts w:hint="eastAsia" w:ascii="宋体" w:hAnsi="宋体" w:eastAsia="宋体" w:cs="宋体"/>
          <w:color w:val="auto"/>
          <w:sz w:val="24"/>
          <w:szCs w:val="24"/>
        </w:rPr>
        <w:t>6.1 承包人提供的施工设备和临时设施</w:t>
      </w:r>
      <w:bookmarkEnd w:id="1105"/>
      <w:bookmarkEnd w:id="1106"/>
      <w:bookmarkEnd w:id="1107"/>
      <w:bookmarkEnd w:id="1108"/>
      <w:bookmarkEnd w:id="1109"/>
      <w:bookmarkEnd w:id="1110"/>
      <w:bookmarkEnd w:id="1111"/>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6.1.1 承包人应按合同进度计划的要求，及时配置施工设备和修建临时设施。进入施工场地的承包人设备需经监理人核查后才能投入使用。承包人更换合同约定的承包人设备的，应报监理人批准。</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6.1.2 除专用合同条款另有约定外，承包人应自行承担修建临时设施的费用，需要临时占地的，应由发包人办理申请手续并承担相应费用。</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112" w:name="_Toc439684234"/>
      <w:bookmarkStart w:id="1113" w:name="_Toc414275315"/>
      <w:bookmarkStart w:id="1114" w:name="_Toc453678576"/>
      <w:bookmarkStart w:id="1115" w:name="_Toc414368470"/>
      <w:bookmarkStart w:id="1116" w:name="_Toc414351998"/>
      <w:bookmarkStart w:id="1117" w:name="_Toc453677384"/>
      <w:bookmarkStart w:id="1118" w:name="_Toc434412249"/>
      <w:r>
        <w:rPr>
          <w:rFonts w:hint="eastAsia" w:ascii="宋体" w:hAnsi="宋体" w:eastAsia="宋体" w:cs="宋体"/>
          <w:color w:val="auto"/>
          <w:sz w:val="24"/>
          <w:szCs w:val="24"/>
        </w:rPr>
        <w:t>6.2 发包人提供的施工设备和临时设施</w:t>
      </w:r>
      <w:bookmarkEnd w:id="1112"/>
      <w:bookmarkEnd w:id="1113"/>
      <w:bookmarkEnd w:id="1114"/>
      <w:bookmarkEnd w:id="1115"/>
      <w:bookmarkEnd w:id="1116"/>
      <w:bookmarkEnd w:id="1117"/>
      <w:bookmarkEnd w:id="1118"/>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发包人提供的施工设备或临时设施在专用合同条款中约定。</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119" w:name="_Toc453678577"/>
      <w:bookmarkStart w:id="1120" w:name="_Toc414275316"/>
      <w:bookmarkStart w:id="1121" w:name="_Toc439684235"/>
      <w:bookmarkStart w:id="1122" w:name="_Toc414351999"/>
      <w:bookmarkStart w:id="1123" w:name="_Toc414368471"/>
      <w:bookmarkStart w:id="1124" w:name="_Toc434412250"/>
      <w:bookmarkStart w:id="1125" w:name="_Toc453677385"/>
      <w:r>
        <w:rPr>
          <w:rFonts w:hint="eastAsia" w:ascii="宋体" w:hAnsi="宋体" w:eastAsia="宋体" w:cs="宋体"/>
          <w:color w:val="auto"/>
          <w:sz w:val="24"/>
          <w:szCs w:val="24"/>
        </w:rPr>
        <w:t>6.3 要求承包人增加或更换施工设备</w:t>
      </w:r>
      <w:bookmarkEnd w:id="1119"/>
      <w:bookmarkEnd w:id="1120"/>
      <w:bookmarkEnd w:id="1121"/>
      <w:bookmarkEnd w:id="1122"/>
      <w:bookmarkEnd w:id="1123"/>
      <w:bookmarkEnd w:id="1124"/>
      <w:bookmarkEnd w:id="1125"/>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承包人使用的施工设备不能满足合同进度计划和（或）质量要求时，监理人有权要求承包人增加或更换施工设备，承包人应及时增加或更换，由此增加的费用和（或）工期延误由承包人承担。</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126" w:name="_Toc434412251"/>
      <w:bookmarkStart w:id="1127" w:name="_Toc414275317"/>
      <w:bookmarkStart w:id="1128" w:name="_Toc414352000"/>
      <w:bookmarkStart w:id="1129" w:name="_Toc414368472"/>
      <w:bookmarkStart w:id="1130" w:name="_Toc453678578"/>
      <w:bookmarkStart w:id="1131" w:name="_Toc453677386"/>
      <w:bookmarkStart w:id="1132" w:name="_Toc439684236"/>
      <w:r>
        <w:rPr>
          <w:rFonts w:hint="eastAsia" w:ascii="宋体" w:hAnsi="宋体" w:eastAsia="宋体" w:cs="宋体"/>
          <w:color w:val="auto"/>
          <w:sz w:val="24"/>
          <w:szCs w:val="24"/>
        </w:rPr>
        <w:t>6.4 施工设备和临时设施专用于合同工程</w:t>
      </w:r>
      <w:bookmarkEnd w:id="1126"/>
      <w:bookmarkEnd w:id="1127"/>
      <w:bookmarkEnd w:id="1128"/>
      <w:bookmarkEnd w:id="1129"/>
      <w:bookmarkEnd w:id="1130"/>
      <w:bookmarkEnd w:id="1131"/>
      <w:bookmarkEnd w:id="1132"/>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6.4.1 除合同另有约定外，运入施工场地的所有施工设备以及在施工场地建设的临时设施应专用于合同工程。未经监理人同意，不得将上述施工设备和临时设施中的任何部分运出施工场地或挪作他用。</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6.4.2 经监理人同意，承包人可根据合同进度计划撤走闲置的施工设备。</w:t>
      </w:r>
    </w:p>
    <w:p>
      <w:pPr>
        <w:pStyle w:val="4"/>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133" w:name="_Toc434412252"/>
      <w:bookmarkStart w:id="1134" w:name="_Toc453678579"/>
      <w:bookmarkStart w:id="1135" w:name="_Toc414368473"/>
      <w:bookmarkStart w:id="1136" w:name="_Toc414352001"/>
      <w:bookmarkStart w:id="1137" w:name="_Toc439684237"/>
      <w:bookmarkStart w:id="1138" w:name="_Toc414268880"/>
      <w:bookmarkStart w:id="1139" w:name="_Toc414275318"/>
      <w:bookmarkStart w:id="1140" w:name="_Toc203758984"/>
      <w:bookmarkStart w:id="1141" w:name="_Toc184635104"/>
      <w:bookmarkStart w:id="1142" w:name="_Toc453677387"/>
      <w:r>
        <w:rPr>
          <w:rFonts w:hint="eastAsia" w:ascii="宋体" w:hAnsi="宋体" w:eastAsia="宋体" w:cs="宋体"/>
          <w:color w:val="auto"/>
          <w:sz w:val="24"/>
          <w:szCs w:val="24"/>
        </w:rPr>
        <w:t>7．交通运输</w:t>
      </w:r>
      <w:bookmarkEnd w:id="1133"/>
      <w:bookmarkEnd w:id="1134"/>
      <w:bookmarkEnd w:id="1135"/>
      <w:bookmarkEnd w:id="1136"/>
      <w:bookmarkEnd w:id="1137"/>
      <w:bookmarkEnd w:id="1138"/>
      <w:bookmarkEnd w:id="1139"/>
      <w:bookmarkEnd w:id="1140"/>
      <w:bookmarkEnd w:id="1141"/>
      <w:bookmarkEnd w:id="1142"/>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143" w:name="_Toc453677388"/>
      <w:bookmarkStart w:id="1144" w:name="_Toc414352002"/>
      <w:bookmarkStart w:id="1145" w:name="_Toc414368474"/>
      <w:bookmarkStart w:id="1146" w:name="_Toc453678580"/>
      <w:bookmarkStart w:id="1147" w:name="_Toc439684238"/>
      <w:bookmarkStart w:id="1148" w:name="_Toc414275319"/>
      <w:bookmarkStart w:id="1149" w:name="_Toc434412253"/>
      <w:r>
        <w:rPr>
          <w:rFonts w:hint="eastAsia" w:ascii="宋体" w:hAnsi="宋体" w:eastAsia="宋体" w:cs="宋体"/>
          <w:color w:val="auto"/>
          <w:sz w:val="24"/>
          <w:szCs w:val="24"/>
        </w:rPr>
        <w:t>7.1 道路通行权和场外设施</w:t>
      </w:r>
      <w:bookmarkEnd w:id="1143"/>
      <w:bookmarkEnd w:id="1144"/>
      <w:bookmarkEnd w:id="1145"/>
      <w:bookmarkEnd w:id="1146"/>
      <w:bookmarkEnd w:id="1147"/>
      <w:bookmarkEnd w:id="1148"/>
      <w:bookmarkEnd w:id="1149"/>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根据合同工程的施工需求，负责办理取得出入施工场地的专用和临时道路的通行权，以及取得为工程建设所需修建场外设施的权利，并承担相关费用。发包人应协助承包人办理上述手续。</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150" w:name="_Toc414368475"/>
      <w:bookmarkStart w:id="1151" w:name="_Toc453678581"/>
      <w:bookmarkStart w:id="1152" w:name="_Toc434412254"/>
      <w:bookmarkStart w:id="1153" w:name="_Toc414352003"/>
      <w:bookmarkStart w:id="1154" w:name="_Toc414275320"/>
      <w:bookmarkStart w:id="1155" w:name="_Toc453677389"/>
      <w:bookmarkStart w:id="1156" w:name="_Toc439684239"/>
      <w:r>
        <w:rPr>
          <w:rFonts w:hint="eastAsia" w:ascii="宋体" w:hAnsi="宋体" w:eastAsia="宋体" w:cs="宋体"/>
          <w:color w:val="auto"/>
          <w:sz w:val="24"/>
          <w:szCs w:val="24"/>
        </w:rPr>
        <w:t>7.2 场内施工道路</w:t>
      </w:r>
      <w:bookmarkEnd w:id="1150"/>
      <w:bookmarkEnd w:id="1151"/>
      <w:bookmarkEnd w:id="1152"/>
      <w:bookmarkEnd w:id="1153"/>
      <w:bookmarkEnd w:id="1154"/>
      <w:bookmarkEnd w:id="1155"/>
      <w:bookmarkEnd w:id="1156"/>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7.2.1 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7.2.2 承包人修建的临时道路和交通设施，应免费提供发包人、监理人以及与本合同有关的其他承包人使用。</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157" w:name="_Toc453678582"/>
      <w:bookmarkStart w:id="1158" w:name="_Toc439684240"/>
      <w:bookmarkStart w:id="1159" w:name="_Toc414368476"/>
      <w:bookmarkStart w:id="1160" w:name="_Toc453677390"/>
      <w:bookmarkStart w:id="1161" w:name="_Toc414275321"/>
      <w:bookmarkStart w:id="1162" w:name="_Toc414352004"/>
      <w:bookmarkStart w:id="1163" w:name="_Toc434412255"/>
      <w:r>
        <w:rPr>
          <w:rFonts w:hint="eastAsia" w:ascii="宋体" w:hAnsi="宋体" w:eastAsia="宋体" w:cs="宋体"/>
          <w:color w:val="auto"/>
          <w:sz w:val="24"/>
          <w:szCs w:val="24"/>
        </w:rPr>
        <w:t>7.3 场外交通</w:t>
      </w:r>
      <w:bookmarkEnd w:id="1157"/>
      <w:bookmarkEnd w:id="1158"/>
      <w:bookmarkEnd w:id="1159"/>
      <w:bookmarkEnd w:id="1160"/>
      <w:bookmarkEnd w:id="1161"/>
      <w:bookmarkEnd w:id="1162"/>
      <w:bookmarkEnd w:id="1163"/>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7.3.1 承包人车辆外出行驶所需的场外公共道路的通行费、养路费和税款等由承包人承担。</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7.3.2 承包人应遵守有关交通法规，严格按照道路和桥梁的限制荷重安全行驶，并服从交通管理部门的检查和监督。</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164" w:name="_Toc453677391"/>
      <w:bookmarkStart w:id="1165" w:name="_Toc414352005"/>
      <w:bookmarkStart w:id="1166" w:name="_Toc414275322"/>
      <w:bookmarkStart w:id="1167" w:name="_Toc439684241"/>
      <w:bookmarkStart w:id="1168" w:name="_Toc434412256"/>
      <w:bookmarkStart w:id="1169" w:name="_Toc453678583"/>
      <w:bookmarkStart w:id="1170" w:name="_Toc414368477"/>
      <w:r>
        <w:rPr>
          <w:rFonts w:hint="eastAsia" w:ascii="宋体" w:hAnsi="宋体" w:eastAsia="宋体" w:cs="宋体"/>
          <w:color w:val="auto"/>
          <w:sz w:val="24"/>
          <w:szCs w:val="24"/>
        </w:rPr>
        <w:t>7.4 超大件和超重件的运输</w:t>
      </w:r>
      <w:bookmarkEnd w:id="1164"/>
      <w:bookmarkEnd w:id="1165"/>
      <w:bookmarkEnd w:id="1166"/>
      <w:bookmarkEnd w:id="1167"/>
      <w:bookmarkEnd w:id="1168"/>
      <w:bookmarkEnd w:id="1169"/>
      <w:bookmarkEnd w:id="1170"/>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171" w:name="_Toc434412257"/>
      <w:bookmarkStart w:id="1172" w:name="_Toc414352006"/>
      <w:bookmarkStart w:id="1173" w:name="_Toc453677392"/>
      <w:bookmarkStart w:id="1174" w:name="_Toc414275323"/>
      <w:bookmarkStart w:id="1175" w:name="_Toc414368478"/>
      <w:bookmarkStart w:id="1176" w:name="_Toc453678584"/>
      <w:bookmarkStart w:id="1177" w:name="_Toc439684242"/>
      <w:r>
        <w:rPr>
          <w:rFonts w:hint="eastAsia" w:ascii="宋体" w:hAnsi="宋体" w:eastAsia="宋体" w:cs="宋体"/>
          <w:color w:val="auto"/>
          <w:sz w:val="24"/>
          <w:szCs w:val="24"/>
        </w:rPr>
        <w:t>7.5 道路和桥梁的损坏责任</w:t>
      </w:r>
      <w:bookmarkEnd w:id="1171"/>
      <w:bookmarkEnd w:id="1172"/>
      <w:bookmarkEnd w:id="1173"/>
      <w:bookmarkEnd w:id="1174"/>
      <w:bookmarkEnd w:id="1175"/>
      <w:bookmarkEnd w:id="1176"/>
      <w:bookmarkEnd w:id="1177"/>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因承包人运输造成施工场地内外公共道路和桥梁损坏的，由承包人承担修复损坏的全部费用和可能引起的赔偿。</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178" w:name="_Toc439684243"/>
      <w:bookmarkStart w:id="1179" w:name="_Toc414275324"/>
      <w:bookmarkStart w:id="1180" w:name="_Toc414368479"/>
      <w:bookmarkStart w:id="1181" w:name="_Toc414352007"/>
      <w:bookmarkStart w:id="1182" w:name="_Toc434412258"/>
      <w:bookmarkStart w:id="1183" w:name="_Toc453677393"/>
      <w:bookmarkStart w:id="1184" w:name="_Toc453678585"/>
      <w:r>
        <w:rPr>
          <w:rFonts w:hint="eastAsia" w:ascii="宋体" w:hAnsi="宋体" w:eastAsia="宋体" w:cs="宋体"/>
          <w:color w:val="auto"/>
          <w:sz w:val="24"/>
          <w:szCs w:val="24"/>
        </w:rPr>
        <w:t>7.6 水路和航空运输</w:t>
      </w:r>
      <w:bookmarkEnd w:id="1178"/>
      <w:bookmarkEnd w:id="1179"/>
      <w:bookmarkEnd w:id="1180"/>
      <w:bookmarkEnd w:id="1181"/>
      <w:bookmarkEnd w:id="1182"/>
      <w:bookmarkEnd w:id="1183"/>
      <w:bookmarkEnd w:id="1184"/>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本条上述各款的内容适用于水路运输和航空运输，其中“道路”一词的涵义包括河道、航线、船闸、机场、码头、堤防以及水路或航空运输中其他相似结构物；“车辆”一词的涵义包括船舶和飞机等。</w:t>
      </w:r>
    </w:p>
    <w:p>
      <w:pPr>
        <w:pStyle w:val="146"/>
        <w:keepLines w:val="0"/>
        <w:pageBreakBefore w:val="0"/>
        <w:widowControl w:val="0"/>
        <w:kinsoku/>
        <w:wordWrap/>
        <w:overflowPunct/>
        <w:topLinePunct w:val="0"/>
        <w:bidi w:val="0"/>
        <w:spacing w:line="420" w:lineRule="exact"/>
        <w:ind w:firstLine="480" w:firstLineChars="200"/>
        <w:jc w:val="left"/>
        <w:outlineLvl w:val="0"/>
        <w:rPr>
          <w:rFonts w:hint="eastAsia" w:ascii="宋体" w:hAnsi="宋体" w:eastAsia="宋体" w:cs="宋体"/>
          <w:color w:val="auto"/>
          <w:sz w:val="24"/>
          <w:szCs w:val="24"/>
        </w:rPr>
      </w:pPr>
      <w:bookmarkStart w:id="1185" w:name="_Toc414368480"/>
      <w:bookmarkStart w:id="1186" w:name="_Toc203758985"/>
      <w:bookmarkStart w:id="1187" w:name="_Toc184635105"/>
      <w:bookmarkStart w:id="1188" w:name="_Toc453677394"/>
      <w:bookmarkStart w:id="1189" w:name="_Toc414275325"/>
      <w:bookmarkStart w:id="1190" w:name="_Toc2230"/>
      <w:bookmarkStart w:id="1191" w:name="_Toc453678586"/>
      <w:bookmarkStart w:id="1192" w:name="_Toc14870"/>
      <w:bookmarkStart w:id="1193" w:name="_Toc439684244"/>
      <w:bookmarkStart w:id="1194" w:name="_Toc434412259"/>
      <w:bookmarkStart w:id="1195" w:name="_Toc414352008"/>
      <w:bookmarkStart w:id="1196" w:name="_Toc414268881"/>
      <w:r>
        <w:rPr>
          <w:rFonts w:hint="eastAsia" w:ascii="宋体" w:hAnsi="宋体" w:eastAsia="宋体" w:cs="宋体"/>
          <w:color w:val="auto"/>
          <w:sz w:val="24"/>
          <w:szCs w:val="24"/>
        </w:rPr>
        <w:t>8．测量放线</w:t>
      </w:r>
      <w:bookmarkEnd w:id="1185"/>
      <w:bookmarkEnd w:id="1186"/>
      <w:bookmarkEnd w:id="1187"/>
      <w:bookmarkEnd w:id="1188"/>
      <w:bookmarkEnd w:id="1189"/>
      <w:bookmarkEnd w:id="1190"/>
      <w:bookmarkEnd w:id="1191"/>
      <w:bookmarkEnd w:id="1192"/>
      <w:bookmarkEnd w:id="1193"/>
      <w:bookmarkEnd w:id="1194"/>
      <w:bookmarkEnd w:id="1195"/>
      <w:bookmarkEnd w:id="1196"/>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197" w:name="_Toc414275326"/>
      <w:bookmarkStart w:id="1198" w:name="_Toc434412260"/>
      <w:bookmarkStart w:id="1199" w:name="_Toc414368481"/>
      <w:bookmarkStart w:id="1200" w:name="_Toc439684245"/>
      <w:bookmarkStart w:id="1201" w:name="_Toc453678587"/>
      <w:bookmarkStart w:id="1202" w:name="_Toc453677395"/>
      <w:bookmarkStart w:id="1203" w:name="_Toc414352009"/>
      <w:r>
        <w:rPr>
          <w:rFonts w:hint="eastAsia" w:ascii="宋体" w:hAnsi="宋体" w:eastAsia="宋体" w:cs="宋体"/>
          <w:color w:val="auto"/>
          <w:sz w:val="24"/>
          <w:szCs w:val="24"/>
        </w:rPr>
        <w:t>8.1 施工控制网</w:t>
      </w:r>
      <w:bookmarkEnd w:id="1197"/>
      <w:bookmarkEnd w:id="1198"/>
      <w:bookmarkEnd w:id="1199"/>
      <w:bookmarkEnd w:id="1200"/>
      <w:bookmarkEnd w:id="1201"/>
      <w:bookmarkEnd w:id="1202"/>
      <w:bookmarkEnd w:id="1203"/>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8.1.1 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8.1.2 承包人应负责管理施工控制网点。施工控制网点丢失或损坏的，承包人应及时修复。承包人应承担施工控制网点的管理与修复费用，并在工程竣工后将施工控制网点移交发包人。</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204" w:name="_Toc453677396"/>
      <w:bookmarkStart w:id="1205" w:name="_Toc434412261"/>
      <w:bookmarkStart w:id="1206" w:name="_Toc414368482"/>
      <w:bookmarkStart w:id="1207" w:name="_Toc414275327"/>
      <w:bookmarkStart w:id="1208" w:name="_Toc439684246"/>
      <w:bookmarkStart w:id="1209" w:name="_Toc414352010"/>
      <w:bookmarkStart w:id="1210" w:name="_Toc453678588"/>
      <w:r>
        <w:rPr>
          <w:rFonts w:hint="eastAsia" w:ascii="宋体" w:hAnsi="宋体" w:eastAsia="宋体" w:cs="宋体"/>
          <w:color w:val="auto"/>
          <w:sz w:val="24"/>
          <w:szCs w:val="24"/>
        </w:rPr>
        <w:t>8.2 施工测量</w:t>
      </w:r>
      <w:bookmarkEnd w:id="1204"/>
      <w:bookmarkEnd w:id="1205"/>
      <w:bookmarkEnd w:id="1206"/>
      <w:bookmarkEnd w:id="1207"/>
      <w:bookmarkEnd w:id="1208"/>
      <w:bookmarkEnd w:id="1209"/>
      <w:bookmarkEnd w:id="1210"/>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8.2.1 承包人应负责施工过程中的全部施工测量放线工作，并配置合格的人员、仪器、设备和其他物品。</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8.2.2 监理人可以指示承包人进行抽样复测，当复测中发现错误或出现超过合同约定的误差时，承包人应按监理人指示进行修正或补测，并承担相应的复测费用。</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211" w:name="_Toc453677397"/>
      <w:bookmarkStart w:id="1212" w:name="_Toc439684247"/>
      <w:bookmarkStart w:id="1213" w:name="_Toc414368483"/>
      <w:bookmarkStart w:id="1214" w:name="_Toc414275328"/>
      <w:bookmarkStart w:id="1215" w:name="_Toc414352011"/>
      <w:bookmarkStart w:id="1216" w:name="_Toc434412262"/>
      <w:bookmarkStart w:id="1217" w:name="_Toc453678589"/>
      <w:r>
        <w:rPr>
          <w:rFonts w:hint="eastAsia" w:ascii="宋体" w:hAnsi="宋体" w:eastAsia="宋体" w:cs="宋体"/>
          <w:color w:val="auto"/>
          <w:sz w:val="24"/>
          <w:szCs w:val="24"/>
        </w:rPr>
        <w:t>8.3 基准资料错误的责任</w:t>
      </w:r>
      <w:bookmarkEnd w:id="1211"/>
      <w:bookmarkEnd w:id="1212"/>
      <w:bookmarkEnd w:id="1213"/>
      <w:bookmarkEnd w:id="1214"/>
      <w:bookmarkEnd w:id="1215"/>
      <w:bookmarkEnd w:id="1216"/>
      <w:bookmarkEnd w:id="1217"/>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218" w:name="_Toc439684248"/>
      <w:bookmarkStart w:id="1219" w:name="_Toc414275329"/>
      <w:bookmarkStart w:id="1220" w:name="_Toc414352012"/>
      <w:bookmarkStart w:id="1221" w:name="_Toc414368484"/>
      <w:bookmarkStart w:id="1222" w:name="_Toc453677398"/>
      <w:bookmarkStart w:id="1223" w:name="_Toc434412263"/>
      <w:bookmarkStart w:id="1224" w:name="_Toc453678590"/>
      <w:r>
        <w:rPr>
          <w:rFonts w:hint="eastAsia" w:ascii="宋体" w:hAnsi="宋体" w:eastAsia="宋体" w:cs="宋体"/>
          <w:color w:val="auto"/>
          <w:sz w:val="24"/>
          <w:szCs w:val="24"/>
        </w:rPr>
        <w:t>8.4 监理人使用施工控制网</w:t>
      </w:r>
      <w:bookmarkEnd w:id="1218"/>
      <w:bookmarkEnd w:id="1219"/>
      <w:bookmarkEnd w:id="1220"/>
      <w:bookmarkEnd w:id="1221"/>
      <w:bookmarkEnd w:id="1222"/>
      <w:bookmarkEnd w:id="1223"/>
      <w:bookmarkEnd w:id="1224"/>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监理人需要使用施工控制网的，承包人应提供必要的协助，发包人不再为此支付费用。</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225" w:name="_Toc439684249"/>
      <w:bookmarkStart w:id="1226" w:name="_Toc414275330"/>
      <w:bookmarkStart w:id="1227" w:name="_Toc453677399"/>
      <w:bookmarkStart w:id="1228" w:name="_Toc453678591"/>
      <w:bookmarkStart w:id="1229" w:name="_Toc434412264"/>
      <w:bookmarkStart w:id="1230" w:name="_Toc414352013"/>
      <w:bookmarkStart w:id="1231" w:name="_Toc414368485"/>
      <w:r>
        <w:rPr>
          <w:rFonts w:hint="eastAsia" w:ascii="宋体" w:hAnsi="宋体" w:eastAsia="宋体" w:cs="宋体"/>
          <w:color w:val="auto"/>
          <w:sz w:val="24"/>
          <w:szCs w:val="24"/>
        </w:rPr>
        <w:t>8.5 补充地质勘探</w:t>
      </w:r>
      <w:bookmarkEnd w:id="1225"/>
      <w:bookmarkEnd w:id="1226"/>
      <w:bookmarkEnd w:id="1227"/>
      <w:bookmarkEnd w:id="1228"/>
      <w:bookmarkEnd w:id="1229"/>
      <w:bookmarkEnd w:id="1230"/>
      <w:bookmarkEnd w:id="1231"/>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合同实施期间，监理人可以指示承包人进行必要的补充地质勘探并提供有关资料。承包人为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pPr>
        <w:pStyle w:val="4"/>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232" w:name="_Toc203758986"/>
      <w:bookmarkStart w:id="1233" w:name="_Toc414352014"/>
      <w:bookmarkStart w:id="1234" w:name="_Toc439684250"/>
      <w:bookmarkStart w:id="1235" w:name="_Toc453677400"/>
      <w:bookmarkStart w:id="1236" w:name="_Toc414275331"/>
      <w:bookmarkStart w:id="1237" w:name="_Toc414368486"/>
      <w:bookmarkStart w:id="1238" w:name="_Toc414268882"/>
      <w:bookmarkStart w:id="1239" w:name="_Toc434412265"/>
      <w:bookmarkStart w:id="1240" w:name="_Toc184635106"/>
      <w:bookmarkStart w:id="1241" w:name="_Toc453678592"/>
      <w:r>
        <w:rPr>
          <w:rFonts w:hint="eastAsia" w:ascii="宋体" w:hAnsi="宋体" w:eastAsia="宋体" w:cs="宋体"/>
          <w:color w:val="auto"/>
          <w:sz w:val="24"/>
          <w:szCs w:val="24"/>
        </w:rPr>
        <w:t>9．施工安全、治安保卫和环境保护</w:t>
      </w:r>
      <w:bookmarkEnd w:id="1232"/>
      <w:bookmarkEnd w:id="1233"/>
      <w:bookmarkEnd w:id="1234"/>
      <w:bookmarkEnd w:id="1235"/>
      <w:bookmarkEnd w:id="1236"/>
      <w:bookmarkEnd w:id="1237"/>
      <w:bookmarkEnd w:id="1238"/>
      <w:bookmarkEnd w:id="1239"/>
      <w:bookmarkEnd w:id="1240"/>
      <w:bookmarkEnd w:id="1241"/>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242" w:name="_Toc453677401"/>
      <w:bookmarkStart w:id="1243" w:name="_Toc414352015"/>
      <w:bookmarkStart w:id="1244" w:name="_Toc434412266"/>
      <w:bookmarkStart w:id="1245" w:name="_Toc414275332"/>
      <w:bookmarkStart w:id="1246" w:name="_Toc439684251"/>
      <w:bookmarkStart w:id="1247" w:name="_Toc414368487"/>
      <w:bookmarkStart w:id="1248" w:name="_Toc453678593"/>
      <w:r>
        <w:rPr>
          <w:rFonts w:hint="eastAsia" w:ascii="宋体" w:hAnsi="宋体" w:eastAsia="宋体" w:cs="宋体"/>
          <w:color w:val="auto"/>
          <w:sz w:val="24"/>
          <w:szCs w:val="24"/>
        </w:rPr>
        <w:t>9.1 发包人的施工安全责任</w:t>
      </w:r>
      <w:bookmarkEnd w:id="1242"/>
      <w:bookmarkEnd w:id="1243"/>
      <w:bookmarkEnd w:id="1244"/>
      <w:bookmarkEnd w:id="1245"/>
      <w:bookmarkEnd w:id="1246"/>
      <w:bookmarkEnd w:id="1247"/>
      <w:bookmarkEnd w:id="1248"/>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9.1.1发包人应按合同约定履行安全职责。发包人委托监理人根据国家有关安全的法律、法规、强制性标准以及部门规章，对承包人的安全责任履行情况进行监督和检查。监理人的监督检查不减轻承包人应负的安全责任。</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9.1.2 发包人应对其现场机构雇佣的全部人员的工伤事故承担责任，但由于承包人原因造成发包人人员工伤的，应由承包人承担责任。</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9.1.3 发包人应负责赔偿以下各种情况造成的第三者人身伤亡和财产损失：</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（l）工程或工程的任何部分对土地的占用所造成的第三者财产损失；</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（2）由于发包人原因在施工场地及其毗邻地带造成的第三者人身伤亡和财产损失。</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9.1.4 除专用合同条款另有预定外，发包人负责向承包人提供施工现场及施工可能影响的毗邻区域内供水、排水、供电、供气、供热、通信、广播电视等地下管线资料，气象和水文观测资料，拟建工程可能影响的相邻建筑地下工程的有关资料，并保证有关资料的真实、准确、完整，满足有关技术规程的要求。</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9.1.5 发包人按照已标价工程量清单所列金额和合同约定的计量支付规定，支付安全作业环境及安全施工措施所需费用。</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9.1.6发包人负责组织工程参建单位编制保证安全生产的措施方案。工程开工前，就落实保证安全生产的措施进行全面系统的布置，进一步明确承包人的安全生产责任。</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9.1.7 发包人负责在拆除工程和爆破工程施工14天前向有关部门或机构报送相关备案资料。</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249" w:name="_Toc414275333"/>
      <w:bookmarkStart w:id="1250" w:name="_Toc453678594"/>
      <w:bookmarkStart w:id="1251" w:name="_Toc434412267"/>
      <w:bookmarkStart w:id="1252" w:name="_Toc453677402"/>
      <w:bookmarkStart w:id="1253" w:name="_Toc439684252"/>
      <w:bookmarkStart w:id="1254" w:name="_Toc414352016"/>
      <w:bookmarkStart w:id="1255" w:name="_Toc414368488"/>
      <w:r>
        <w:rPr>
          <w:rFonts w:hint="eastAsia" w:ascii="宋体" w:hAnsi="宋体" w:eastAsia="宋体" w:cs="宋体"/>
          <w:color w:val="auto"/>
          <w:sz w:val="24"/>
          <w:szCs w:val="24"/>
        </w:rPr>
        <w:t>9.2 承包人的施工安全责任</w:t>
      </w:r>
      <w:bookmarkEnd w:id="1249"/>
      <w:bookmarkEnd w:id="1250"/>
      <w:bookmarkEnd w:id="1251"/>
      <w:bookmarkEnd w:id="1252"/>
      <w:bookmarkEnd w:id="1253"/>
      <w:bookmarkEnd w:id="1254"/>
      <w:bookmarkEnd w:id="1255"/>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9.2.2 承包人应加强施工作业安全管理，特别应加强易燃、易爆材料、火工器材、有毒与腐蚀性材料和其他危险品的管理，以及对爆破作业和地下工程施工等危险作业的管理。</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9.2.3 承包人应严格按照国家安全标准制定施工安全操作规程，配备必要的安全生产和劳动保护设施，加强对承包人人员的安全教育，并发放安全工作手册和劳动保护用具。</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9.2.4 承包人应按监理人的指示制定应对灾害的紧急预案，报送监理人审批。承包人还应按预案做好安全检查，配置必要的救助物资和器材，切实保护好有关人员的人身和财产安全。</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9.2.5 合同约定的安全作业环境及安全施工措施所需费用应遵守有关规定，并包括在相关工作的合同价格中。因采取合同未约定的安全作业环境及安全施工措施增加的费用，由监理人按第3.5款商定或确定。</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9.2.6 承包人应对其履行合同所雇佣的全部人员，包括分包人人员的工伤事故承担责任，但由于发包人原因造成承包人人员工伤事故的，应由发包人承担责任。</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9.2.7 由于承包人原因在施工场地内及其毗邻地带造成的第三者人员伤亡和财产损失，由承包人负责赔偿。</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9.2.8 承包人已标价工程量清单应包含工程安全作业环境及安全施工措施所需费用。</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9.2.9 承包人应建立健全安全生产责任制度和安全生产教育培训制度，指定安全生产规章制度和操作规程，保证本单位建立和完善安全生产条件所需资金的投入，对本工程进行定期和专项安全检查，并做好安全检查记录。</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9.2.10 承包人应设立安全生产管理机构，施工现场应有专职安全生产管理人员。</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9.2.11 承包人应负责对特种作业人员进行专门的安全作业培训，并保证特种作业人员持证上岗。</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9.2.12 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9.2.13 承包人在使用施工起重机械和整体提升脚手架、模板等自升式架设设施前，应组织有关单位进行验收。</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256" w:name="_Toc453678595"/>
      <w:bookmarkStart w:id="1257" w:name="_Toc414368489"/>
      <w:bookmarkStart w:id="1258" w:name="_Toc439684253"/>
      <w:bookmarkStart w:id="1259" w:name="_Toc453677403"/>
      <w:bookmarkStart w:id="1260" w:name="_Toc414352017"/>
      <w:bookmarkStart w:id="1261" w:name="_Toc414275334"/>
      <w:bookmarkStart w:id="1262" w:name="_Toc434412268"/>
      <w:r>
        <w:rPr>
          <w:rFonts w:hint="eastAsia" w:ascii="宋体" w:hAnsi="宋体" w:eastAsia="宋体" w:cs="宋体"/>
          <w:color w:val="auto"/>
          <w:sz w:val="24"/>
          <w:szCs w:val="24"/>
        </w:rPr>
        <w:t>9.3 治安保卫</w:t>
      </w:r>
      <w:bookmarkEnd w:id="1256"/>
      <w:bookmarkEnd w:id="1257"/>
      <w:bookmarkEnd w:id="1258"/>
      <w:bookmarkEnd w:id="1259"/>
      <w:bookmarkEnd w:id="1260"/>
      <w:bookmarkEnd w:id="1261"/>
      <w:bookmarkEnd w:id="1262"/>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9.3.1 除合同另有约定外，发包人应与当地公安部门协商，在现场建立治安管理机构或联防组织，统一管理施工场地的治安保卫事项，履行合同工程的治安保卫职责。</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9.3.2 发包人和承包人除应协助现场治安管理机构或联防组织维护施工场地的社会治安外，还应做好包括生活区在内的各自管辖区的治安保卫工作。</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263" w:name="_Toc453678596"/>
      <w:bookmarkStart w:id="1264" w:name="_Toc414368490"/>
      <w:bookmarkStart w:id="1265" w:name="_Toc414352018"/>
      <w:bookmarkStart w:id="1266" w:name="_Toc434412269"/>
      <w:bookmarkStart w:id="1267" w:name="_Toc453677404"/>
      <w:bookmarkStart w:id="1268" w:name="_Toc439684254"/>
      <w:bookmarkStart w:id="1269" w:name="_Toc414275335"/>
      <w:r>
        <w:rPr>
          <w:rFonts w:hint="eastAsia" w:ascii="宋体" w:hAnsi="宋体" w:eastAsia="宋体" w:cs="宋体"/>
          <w:color w:val="auto"/>
          <w:sz w:val="24"/>
          <w:szCs w:val="24"/>
        </w:rPr>
        <w:t>9.4 环境保护</w:t>
      </w:r>
      <w:bookmarkEnd w:id="1263"/>
      <w:bookmarkEnd w:id="1264"/>
      <w:bookmarkEnd w:id="1265"/>
      <w:bookmarkEnd w:id="1266"/>
      <w:bookmarkEnd w:id="1267"/>
      <w:bookmarkEnd w:id="1268"/>
      <w:bookmarkEnd w:id="1269"/>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9.4.1 承包人在施工过程中，应遵守有关环境保护的法律，履行合同约定的环境保护义务，并对违反法律和合同约定义务所造成的环境破坏、人身伤害和财产损失负责。</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9.4.2 承包人应按合同约定的环保工作内容，编制施工环保措施计划，报送监理人审批。</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9.4.4 承包人应按合同约定采取有效措施，对施工开挖的边坡及时进行支护，维护排水设施，并进行水土保护，避免因施工造成的地质灾害。</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9.4.5 承包人应按国家饮用水管理标准定期对饮用水源进行监测，防止施工活动污染饮用水源。</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9.4.6 承包人应按合同约定，加强对噪声、粉尘、废气、废水和废油的控制，努力降低噪声，控制粉尘和废气浓度，做好废水和废油的治理和排放。</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270" w:name="_Toc453677405"/>
      <w:bookmarkStart w:id="1271" w:name="_Toc414352019"/>
      <w:bookmarkStart w:id="1272" w:name="_Toc414368491"/>
      <w:bookmarkStart w:id="1273" w:name="_Toc414275336"/>
      <w:bookmarkStart w:id="1274" w:name="_Toc453678597"/>
      <w:bookmarkStart w:id="1275" w:name="_Toc434412270"/>
      <w:bookmarkStart w:id="1276" w:name="_Toc439684255"/>
      <w:r>
        <w:rPr>
          <w:rFonts w:hint="eastAsia" w:ascii="宋体" w:hAnsi="宋体" w:eastAsia="宋体" w:cs="宋体"/>
          <w:color w:val="auto"/>
          <w:sz w:val="24"/>
          <w:szCs w:val="24"/>
        </w:rPr>
        <w:t>9.5 事故处理</w:t>
      </w:r>
      <w:bookmarkEnd w:id="1270"/>
      <w:bookmarkEnd w:id="1271"/>
      <w:bookmarkEnd w:id="1272"/>
      <w:bookmarkEnd w:id="1273"/>
      <w:bookmarkEnd w:id="1274"/>
      <w:bookmarkEnd w:id="1275"/>
      <w:bookmarkEnd w:id="1276"/>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9.5.1发包人负责组织参建单位制定本工程的质量与安全事故应急预案，监理质量与安全事故应急处置指挥部。</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9.5.2承包人应对施工现场易发生重大事故的部位、环节进行监控，配备救援器材、设备，并定期组织演练。</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9.5.3 工程开工前，承包人应根据本工程的特点制定施工现场施工质量与安全事故应急预案，并报发包人备案。</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9.5.4 施工过程中发生事故时，发包人、承包人应立即启动应急预案。</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9.5.5 事故调查处理由发包人按相关规定履行手续，承包人应配合。</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277" w:name="_Toc439684256"/>
      <w:bookmarkStart w:id="1278" w:name="_Toc414275337"/>
      <w:bookmarkStart w:id="1279" w:name="_Toc414352020"/>
      <w:bookmarkStart w:id="1280" w:name="_Toc453678598"/>
      <w:bookmarkStart w:id="1281" w:name="_Toc453677406"/>
      <w:bookmarkStart w:id="1282" w:name="_Toc414368492"/>
      <w:bookmarkStart w:id="1283" w:name="_Toc434412271"/>
      <w:r>
        <w:rPr>
          <w:rFonts w:hint="eastAsia" w:ascii="宋体" w:hAnsi="宋体" w:eastAsia="宋体" w:cs="宋体"/>
          <w:color w:val="auto"/>
          <w:sz w:val="24"/>
          <w:szCs w:val="24"/>
        </w:rPr>
        <w:t>9.6 水土保持</w:t>
      </w:r>
      <w:bookmarkEnd w:id="1277"/>
      <w:bookmarkEnd w:id="1278"/>
      <w:bookmarkEnd w:id="1279"/>
      <w:bookmarkEnd w:id="1280"/>
      <w:bookmarkEnd w:id="1281"/>
      <w:bookmarkEnd w:id="1282"/>
      <w:bookmarkEnd w:id="1283"/>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9.6.1 发包人应及时向承包人提供水土保持方案。</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9.6.2 承包人在施工过程中，应遵守有关水土保持的法律法规和规章，履行合同约定的水土保持义务，并对其违反法律和合同约定义务所造成的水土流失灾害、人身伤害和财产损失负责。</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9.6.3 承包人的水土保持措施计划，应满足技术标准和要求（合同技术条款）约定的要求。</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284" w:name="_Toc414368493"/>
      <w:bookmarkStart w:id="1285" w:name="_Toc439684257"/>
      <w:bookmarkStart w:id="1286" w:name="_Toc434412272"/>
      <w:bookmarkStart w:id="1287" w:name="_Toc414352021"/>
      <w:bookmarkStart w:id="1288" w:name="_Toc414275338"/>
      <w:bookmarkStart w:id="1289" w:name="_Toc453677407"/>
      <w:bookmarkStart w:id="1290" w:name="_Toc453678599"/>
      <w:r>
        <w:rPr>
          <w:rFonts w:hint="eastAsia" w:ascii="宋体" w:hAnsi="宋体" w:eastAsia="宋体" w:cs="宋体"/>
          <w:color w:val="auto"/>
          <w:sz w:val="24"/>
          <w:szCs w:val="24"/>
        </w:rPr>
        <w:t>9.7 文明工地</w:t>
      </w:r>
      <w:bookmarkEnd w:id="1284"/>
      <w:bookmarkEnd w:id="1285"/>
      <w:bookmarkEnd w:id="1286"/>
      <w:bookmarkEnd w:id="1287"/>
      <w:bookmarkEnd w:id="1288"/>
      <w:bookmarkEnd w:id="1289"/>
      <w:bookmarkEnd w:id="1290"/>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9.7.1 发包人应按专用合同条款的约定，负责建立创建文明建设工地的组织机构，指定创建文明建设工地的规划和办法。</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9.7.2 承包人应按创建文明建设工地的规划和办法，履行职责，承担相应责任。所需费用应含在已标价工程量清单中。</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291" w:name="_Toc453677408"/>
      <w:bookmarkStart w:id="1292" w:name="_Toc414368494"/>
      <w:bookmarkStart w:id="1293" w:name="_Toc414352022"/>
      <w:bookmarkStart w:id="1294" w:name="_Toc434412273"/>
      <w:bookmarkStart w:id="1295" w:name="_Toc453678600"/>
      <w:bookmarkStart w:id="1296" w:name="_Toc414275339"/>
      <w:bookmarkStart w:id="1297" w:name="_Toc439684258"/>
      <w:r>
        <w:rPr>
          <w:rFonts w:hint="eastAsia" w:ascii="宋体" w:hAnsi="宋体" w:eastAsia="宋体" w:cs="宋体"/>
          <w:color w:val="auto"/>
          <w:sz w:val="24"/>
          <w:szCs w:val="24"/>
        </w:rPr>
        <w:t>9.8 防汛度汛</w:t>
      </w:r>
      <w:bookmarkEnd w:id="1291"/>
      <w:bookmarkEnd w:id="1292"/>
      <w:bookmarkEnd w:id="1293"/>
      <w:bookmarkEnd w:id="1294"/>
      <w:bookmarkEnd w:id="1295"/>
      <w:bookmarkEnd w:id="1296"/>
      <w:bookmarkEnd w:id="1297"/>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9.8.1 发包人负责组织工程参建单位编制工程的度汛方案和措施。</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9.8.2承包人应根据发包人编制的本工程度汛方案和措施，指定相应的度汛方案，报发包人批准后实施。</w:t>
      </w:r>
    </w:p>
    <w:p>
      <w:pPr>
        <w:pStyle w:val="4"/>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298" w:name="_Toc414268883"/>
      <w:bookmarkStart w:id="1299" w:name="_Toc439684259"/>
      <w:bookmarkStart w:id="1300" w:name="_Toc414368495"/>
      <w:bookmarkStart w:id="1301" w:name="_Toc414352023"/>
      <w:bookmarkStart w:id="1302" w:name="_Toc434412274"/>
      <w:bookmarkStart w:id="1303" w:name="_Toc414275340"/>
      <w:bookmarkStart w:id="1304" w:name="_Toc203758987"/>
      <w:bookmarkStart w:id="1305" w:name="_Toc184635107"/>
      <w:bookmarkStart w:id="1306" w:name="_Toc453678601"/>
      <w:bookmarkStart w:id="1307" w:name="_Toc453677409"/>
      <w:r>
        <w:rPr>
          <w:rFonts w:hint="eastAsia" w:ascii="宋体" w:hAnsi="宋体" w:eastAsia="宋体" w:cs="宋体"/>
          <w:color w:val="auto"/>
          <w:sz w:val="24"/>
          <w:szCs w:val="24"/>
        </w:rPr>
        <w:t>10．进度计划</w:t>
      </w:r>
      <w:bookmarkEnd w:id="1298"/>
      <w:bookmarkEnd w:id="1299"/>
      <w:bookmarkEnd w:id="1300"/>
      <w:bookmarkEnd w:id="1301"/>
      <w:bookmarkEnd w:id="1302"/>
      <w:bookmarkEnd w:id="1303"/>
      <w:bookmarkEnd w:id="1304"/>
      <w:bookmarkEnd w:id="1305"/>
      <w:bookmarkEnd w:id="1306"/>
      <w:bookmarkEnd w:id="1307"/>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308" w:name="_Toc414368496"/>
      <w:bookmarkStart w:id="1309" w:name="_Toc414352024"/>
      <w:bookmarkStart w:id="1310" w:name="_Toc414275341"/>
      <w:bookmarkStart w:id="1311" w:name="_Toc453677410"/>
      <w:bookmarkStart w:id="1312" w:name="_Toc439684260"/>
      <w:bookmarkStart w:id="1313" w:name="_Toc453678602"/>
      <w:bookmarkStart w:id="1314" w:name="_Toc434412275"/>
      <w:r>
        <w:rPr>
          <w:rFonts w:hint="eastAsia" w:ascii="宋体" w:hAnsi="宋体" w:eastAsia="宋体" w:cs="宋体"/>
          <w:color w:val="auto"/>
          <w:sz w:val="24"/>
          <w:szCs w:val="24"/>
        </w:rPr>
        <w:t>10.1 合同进度计划</w:t>
      </w:r>
      <w:bookmarkEnd w:id="1308"/>
      <w:bookmarkEnd w:id="1309"/>
      <w:bookmarkEnd w:id="1310"/>
      <w:bookmarkEnd w:id="1311"/>
      <w:bookmarkEnd w:id="1312"/>
      <w:bookmarkEnd w:id="1313"/>
      <w:bookmarkEnd w:id="1314"/>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按技术标准和要求（合同技术条款）约定的内容和期限以及监理人的指示，编制详细的施工总进度计划及其说明提交监理人审批。监理人应在技术标准和要求（合同技术条款）约定的期限内批复承包人，否则进度计划视为已得到批准。经监理人批准的施工进度计划称为合同进度计划，是控制合同工程进度的依据。承包人还应根据合同进度计划，编制更为详细的分阶段或单位工程进度计划，报监理人审批。</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315" w:name="_Toc414368497"/>
      <w:bookmarkStart w:id="1316" w:name="_Toc434412276"/>
      <w:bookmarkStart w:id="1317" w:name="_Toc414352025"/>
      <w:bookmarkStart w:id="1318" w:name="_Toc439684261"/>
      <w:bookmarkStart w:id="1319" w:name="_Toc453678603"/>
      <w:bookmarkStart w:id="1320" w:name="_Toc414275342"/>
      <w:bookmarkStart w:id="1321" w:name="_Toc453677411"/>
      <w:r>
        <w:rPr>
          <w:rFonts w:hint="eastAsia" w:ascii="宋体" w:hAnsi="宋体" w:eastAsia="宋体" w:cs="宋体"/>
          <w:color w:val="auto"/>
          <w:sz w:val="24"/>
          <w:szCs w:val="24"/>
        </w:rPr>
        <w:t>10.2 合同进度计划的修订</w:t>
      </w:r>
      <w:bookmarkEnd w:id="1315"/>
      <w:bookmarkEnd w:id="1316"/>
      <w:bookmarkEnd w:id="1317"/>
      <w:bookmarkEnd w:id="1318"/>
      <w:bookmarkEnd w:id="1319"/>
      <w:bookmarkEnd w:id="1320"/>
      <w:bookmarkEnd w:id="1321"/>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指示，在14天内向监理人提交修订的合同计划，并附调整计划的相关资料，提交监理人审批。监理人应在收到进度计划后的14天内批复。</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论何种原因造成施工进度延迟，承包人均应按监理人的指示，采取有效措施赶上进度。承包人应在向监理人提交修订合同进度计划的同时，编制一份赶工措施报告提交监理人审批。由发包人原因造成的施工进度延迟，应按第11.3款与诶的那个办理；由承包人原因造成施工进度延迟，应按第11.5款的约定办理。</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322" w:name="_Toc414275343"/>
      <w:bookmarkStart w:id="1323" w:name="_Toc414352026"/>
      <w:bookmarkStart w:id="1324" w:name="_Toc453677412"/>
      <w:bookmarkStart w:id="1325" w:name="_Toc414368498"/>
      <w:bookmarkStart w:id="1326" w:name="_Toc453678604"/>
      <w:bookmarkStart w:id="1327" w:name="_Toc434412277"/>
      <w:bookmarkStart w:id="1328" w:name="_Toc439684262"/>
      <w:r>
        <w:rPr>
          <w:rFonts w:hint="eastAsia" w:ascii="宋体" w:hAnsi="宋体" w:eastAsia="宋体" w:cs="宋体"/>
          <w:color w:val="auto"/>
          <w:sz w:val="24"/>
          <w:szCs w:val="24"/>
        </w:rPr>
        <w:t>10.3 单位工程进度计划</w:t>
      </w:r>
      <w:bookmarkEnd w:id="1322"/>
      <w:bookmarkEnd w:id="1323"/>
      <w:bookmarkEnd w:id="1324"/>
      <w:bookmarkEnd w:id="1325"/>
      <w:bookmarkEnd w:id="1326"/>
      <w:bookmarkEnd w:id="1327"/>
      <w:bookmarkEnd w:id="1328"/>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监理人认为有必要时，承包人应按监理人指示的内容和期限，并根据合同进度计划的进度控制要求，编制单位工程进度计划，提交监理人审批。</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329" w:name="_Toc453678605"/>
      <w:bookmarkStart w:id="1330" w:name="_Toc453677413"/>
      <w:bookmarkStart w:id="1331" w:name="_Toc414368499"/>
      <w:bookmarkStart w:id="1332" w:name="_Toc439684263"/>
      <w:bookmarkStart w:id="1333" w:name="_Toc414275344"/>
      <w:bookmarkStart w:id="1334" w:name="_Toc414352027"/>
      <w:bookmarkStart w:id="1335" w:name="_Toc434412278"/>
      <w:r>
        <w:rPr>
          <w:rFonts w:hint="eastAsia" w:ascii="宋体" w:hAnsi="宋体" w:eastAsia="宋体" w:cs="宋体"/>
          <w:color w:val="auto"/>
          <w:sz w:val="24"/>
          <w:szCs w:val="24"/>
        </w:rPr>
        <w:t>10.4 提交资金流估算表</w:t>
      </w:r>
      <w:bookmarkEnd w:id="1329"/>
      <w:bookmarkEnd w:id="1330"/>
      <w:bookmarkEnd w:id="1331"/>
      <w:bookmarkEnd w:id="1332"/>
      <w:bookmarkEnd w:id="1333"/>
      <w:bookmarkEnd w:id="1334"/>
      <w:bookmarkEnd w:id="1335"/>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资金流估算表（参考格式）           金额单位</w:t>
      </w:r>
    </w:p>
    <w:tbl>
      <w:tblPr>
        <w:tblStyle w:val="35"/>
        <w:tblW w:w="9180"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7"/>
        <w:gridCol w:w="450"/>
        <w:gridCol w:w="843"/>
        <w:gridCol w:w="1440"/>
        <w:gridCol w:w="1446"/>
        <w:gridCol w:w="1080"/>
        <w:gridCol w:w="1080"/>
        <w:gridCol w:w="540"/>
        <w:gridCol w:w="714"/>
        <w:gridCol w:w="10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507" w:type="dxa"/>
            <w:tcBorders>
              <w:top w:val="single" w:color="auto" w:sz="4" w:space="0"/>
            </w:tcBorders>
            <w:vAlign w:val="center"/>
          </w:tcPr>
          <w:p>
            <w:pPr>
              <w:keepLines w:val="0"/>
              <w:pageBreakBefore w:val="0"/>
              <w:widowControl w:val="0"/>
              <w:kinsoku/>
              <w:wordWrap/>
              <w:overflowPunct/>
              <w:topLinePunct w:val="0"/>
              <w:bidi w:val="0"/>
              <w:spacing w:line="42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年</w:t>
            </w:r>
          </w:p>
        </w:tc>
        <w:tc>
          <w:tcPr>
            <w:tcW w:w="450" w:type="dxa"/>
            <w:tcBorders>
              <w:top w:val="single" w:color="auto" w:sz="4" w:space="0"/>
            </w:tcBorders>
            <w:vAlign w:val="center"/>
          </w:tcPr>
          <w:p>
            <w:pPr>
              <w:keepLines w:val="0"/>
              <w:pageBreakBefore w:val="0"/>
              <w:widowControl w:val="0"/>
              <w:kinsoku/>
              <w:wordWrap/>
              <w:overflowPunct/>
              <w:topLinePunct w:val="0"/>
              <w:bidi w:val="0"/>
              <w:spacing w:line="42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月</w:t>
            </w:r>
          </w:p>
        </w:tc>
        <w:tc>
          <w:tcPr>
            <w:tcW w:w="843" w:type="dxa"/>
            <w:tcBorders>
              <w:top w:val="single" w:color="auto" w:sz="4" w:space="0"/>
            </w:tcBorders>
          </w:tcPr>
          <w:p>
            <w:pPr>
              <w:keepLines w:val="0"/>
              <w:pageBreakBefore w:val="0"/>
              <w:widowControl w:val="0"/>
              <w:kinsoku/>
              <w:wordWrap/>
              <w:overflowPunct/>
              <w:topLinePunct w:val="0"/>
              <w:bidi w:val="0"/>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工程预付款</w:t>
            </w:r>
          </w:p>
        </w:tc>
        <w:tc>
          <w:tcPr>
            <w:tcW w:w="1440" w:type="dxa"/>
            <w:tcBorders>
              <w:top w:val="single" w:color="auto" w:sz="4" w:space="0"/>
            </w:tcBorders>
          </w:tcPr>
          <w:p>
            <w:pPr>
              <w:keepLines w:val="0"/>
              <w:pageBreakBefore w:val="0"/>
              <w:widowControl w:val="0"/>
              <w:kinsoku/>
              <w:wordWrap/>
              <w:overflowPunct/>
              <w:topLinePunct w:val="0"/>
              <w:bidi w:val="0"/>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完成工作量付款</w:t>
            </w:r>
          </w:p>
        </w:tc>
        <w:tc>
          <w:tcPr>
            <w:tcW w:w="1446" w:type="dxa"/>
            <w:tcBorders>
              <w:top w:val="single" w:color="auto" w:sz="4" w:space="0"/>
            </w:tcBorders>
          </w:tcPr>
          <w:p>
            <w:pPr>
              <w:keepLines w:val="0"/>
              <w:pageBreakBefore w:val="0"/>
              <w:widowControl w:val="0"/>
              <w:kinsoku/>
              <w:wordWrap/>
              <w:overflowPunct/>
              <w:topLinePunct w:val="0"/>
              <w:bidi w:val="0"/>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质量保证金扣留</w:t>
            </w:r>
          </w:p>
        </w:tc>
        <w:tc>
          <w:tcPr>
            <w:tcW w:w="1080" w:type="dxa"/>
            <w:tcBorders>
              <w:top w:val="single" w:color="auto" w:sz="4" w:space="0"/>
            </w:tcBorders>
          </w:tcPr>
          <w:p>
            <w:pPr>
              <w:keepLines w:val="0"/>
              <w:pageBreakBefore w:val="0"/>
              <w:widowControl w:val="0"/>
              <w:kinsoku/>
              <w:wordWrap/>
              <w:overflowPunct/>
              <w:topLinePunct w:val="0"/>
              <w:bidi w:val="0"/>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材料款扣除</w:t>
            </w:r>
          </w:p>
        </w:tc>
        <w:tc>
          <w:tcPr>
            <w:tcW w:w="1080" w:type="dxa"/>
            <w:tcBorders>
              <w:top w:val="single" w:color="auto" w:sz="4" w:space="0"/>
            </w:tcBorders>
          </w:tcPr>
          <w:p>
            <w:pPr>
              <w:keepLines w:val="0"/>
              <w:pageBreakBefore w:val="0"/>
              <w:widowControl w:val="0"/>
              <w:kinsoku/>
              <w:wordWrap/>
              <w:overflowPunct/>
              <w:topLinePunct w:val="0"/>
              <w:bidi w:val="0"/>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预付款扣还</w:t>
            </w:r>
          </w:p>
        </w:tc>
        <w:tc>
          <w:tcPr>
            <w:tcW w:w="540" w:type="dxa"/>
            <w:tcBorders>
              <w:top w:val="single" w:color="auto" w:sz="4" w:space="0"/>
            </w:tcBorders>
          </w:tcPr>
          <w:p>
            <w:pPr>
              <w:keepLines w:val="0"/>
              <w:pageBreakBefore w:val="0"/>
              <w:widowControl w:val="0"/>
              <w:kinsoku/>
              <w:wordWrap/>
              <w:overflowPunct/>
              <w:topLinePunct w:val="0"/>
              <w:bidi w:val="0"/>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其它</w:t>
            </w:r>
          </w:p>
        </w:tc>
        <w:tc>
          <w:tcPr>
            <w:tcW w:w="714" w:type="dxa"/>
            <w:tcBorders>
              <w:top w:val="single" w:color="auto" w:sz="4" w:space="0"/>
            </w:tcBorders>
          </w:tcPr>
          <w:p>
            <w:pPr>
              <w:keepLines w:val="0"/>
              <w:pageBreakBefore w:val="0"/>
              <w:widowControl w:val="0"/>
              <w:kinsoku/>
              <w:wordWrap/>
              <w:overflowPunct/>
              <w:topLinePunct w:val="0"/>
              <w:bidi w:val="0"/>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应收款</w:t>
            </w:r>
          </w:p>
        </w:tc>
        <w:tc>
          <w:tcPr>
            <w:tcW w:w="1080" w:type="dxa"/>
            <w:tcBorders>
              <w:top w:val="single" w:color="auto" w:sz="4" w:space="0"/>
            </w:tcBorders>
          </w:tcPr>
          <w:p>
            <w:pPr>
              <w:keepLines w:val="0"/>
              <w:pageBreakBefore w:val="0"/>
              <w:widowControl w:val="0"/>
              <w:kinsoku/>
              <w:wordWrap/>
              <w:overflowPunct/>
              <w:topLinePunct w:val="0"/>
              <w:bidi w:val="0"/>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累计应收款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07" w:type="dxa"/>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450" w:type="dxa"/>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843" w:type="dxa"/>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1440" w:type="dxa"/>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1446" w:type="dxa"/>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1080" w:type="dxa"/>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1080" w:type="dxa"/>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540" w:type="dxa"/>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714" w:type="dxa"/>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1080" w:type="dxa"/>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07" w:type="dxa"/>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450" w:type="dxa"/>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843" w:type="dxa"/>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1440" w:type="dxa"/>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1446" w:type="dxa"/>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1080" w:type="dxa"/>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1080" w:type="dxa"/>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540" w:type="dxa"/>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714" w:type="dxa"/>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1080" w:type="dxa"/>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07" w:type="dxa"/>
            <w:tcBorders>
              <w:bottom w:val="single" w:color="auto" w:sz="4" w:space="0"/>
            </w:tcBorders>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450" w:type="dxa"/>
            <w:tcBorders>
              <w:bottom w:val="single" w:color="auto" w:sz="4" w:space="0"/>
            </w:tcBorders>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843" w:type="dxa"/>
            <w:tcBorders>
              <w:bottom w:val="single" w:color="auto" w:sz="4" w:space="0"/>
            </w:tcBorders>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1440" w:type="dxa"/>
            <w:tcBorders>
              <w:bottom w:val="single" w:color="auto" w:sz="4" w:space="0"/>
            </w:tcBorders>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1446" w:type="dxa"/>
            <w:tcBorders>
              <w:bottom w:val="single" w:color="auto" w:sz="4" w:space="0"/>
            </w:tcBorders>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1080" w:type="dxa"/>
            <w:tcBorders>
              <w:bottom w:val="single" w:color="auto" w:sz="4" w:space="0"/>
            </w:tcBorders>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1080" w:type="dxa"/>
            <w:tcBorders>
              <w:bottom w:val="single" w:color="auto" w:sz="4" w:space="0"/>
            </w:tcBorders>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540" w:type="dxa"/>
            <w:tcBorders>
              <w:bottom w:val="single" w:color="auto" w:sz="4" w:space="0"/>
            </w:tcBorders>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714" w:type="dxa"/>
            <w:tcBorders>
              <w:bottom w:val="single" w:color="auto" w:sz="4" w:space="0"/>
            </w:tcBorders>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1080" w:type="dxa"/>
            <w:tcBorders>
              <w:bottom w:val="single" w:color="auto" w:sz="4" w:space="0"/>
            </w:tcBorders>
          </w:tcPr>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r>
    </w:tbl>
    <w:p>
      <w:pPr>
        <w:pStyle w:val="146"/>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336" w:name="_Toc203758988"/>
      <w:bookmarkStart w:id="1337" w:name="_Toc184635108"/>
      <w:bookmarkStart w:id="1338" w:name="_Toc414268884"/>
      <w:bookmarkStart w:id="1339" w:name="_Toc414275345"/>
      <w:bookmarkStart w:id="1340" w:name="_Toc434412279"/>
      <w:bookmarkStart w:id="1341" w:name="_Toc453678606"/>
      <w:bookmarkStart w:id="1342" w:name="_Toc414368500"/>
      <w:bookmarkStart w:id="1343" w:name="_Toc439684264"/>
      <w:bookmarkStart w:id="1344" w:name="_Toc414352028"/>
      <w:bookmarkStart w:id="1345" w:name="_Toc453677414"/>
      <w:r>
        <w:rPr>
          <w:rFonts w:hint="eastAsia" w:ascii="宋体" w:hAnsi="宋体" w:eastAsia="宋体" w:cs="宋体"/>
          <w:color w:val="auto"/>
          <w:sz w:val="24"/>
          <w:szCs w:val="24"/>
        </w:rPr>
        <w:t>11．开工和竣工</w:t>
      </w:r>
      <w:bookmarkEnd w:id="1336"/>
      <w:bookmarkEnd w:id="1337"/>
      <w:r>
        <w:rPr>
          <w:rFonts w:hint="eastAsia" w:ascii="宋体" w:hAnsi="宋体" w:eastAsia="宋体" w:cs="宋体"/>
          <w:color w:val="auto"/>
          <w:sz w:val="24"/>
          <w:szCs w:val="24"/>
        </w:rPr>
        <w:t>（完工)</w:t>
      </w:r>
      <w:bookmarkEnd w:id="1338"/>
      <w:bookmarkEnd w:id="1339"/>
      <w:bookmarkEnd w:id="1340"/>
      <w:bookmarkEnd w:id="1341"/>
      <w:bookmarkEnd w:id="1342"/>
      <w:bookmarkEnd w:id="1343"/>
      <w:bookmarkEnd w:id="1344"/>
      <w:bookmarkEnd w:id="1345"/>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346" w:name="_Toc414275346"/>
      <w:bookmarkStart w:id="1347" w:name="_Toc414368501"/>
      <w:bookmarkStart w:id="1348" w:name="_Toc439684265"/>
      <w:bookmarkStart w:id="1349" w:name="_Toc434412280"/>
      <w:bookmarkStart w:id="1350" w:name="_Toc414352029"/>
      <w:bookmarkStart w:id="1351" w:name="_Toc453677415"/>
      <w:bookmarkStart w:id="1352" w:name="_Toc453678607"/>
      <w:r>
        <w:rPr>
          <w:rFonts w:hint="eastAsia" w:ascii="宋体" w:hAnsi="宋体" w:eastAsia="宋体" w:cs="宋体"/>
          <w:color w:val="auto"/>
          <w:sz w:val="24"/>
          <w:szCs w:val="24"/>
        </w:rPr>
        <w:t>11.1 开工</w:t>
      </w:r>
      <w:bookmarkEnd w:id="1346"/>
      <w:bookmarkEnd w:id="1347"/>
      <w:bookmarkEnd w:id="1348"/>
      <w:bookmarkEnd w:id="1349"/>
      <w:bookmarkEnd w:id="1350"/>
      <w:bookmarkEnd w:id="1351"/>
      <w:bookmarkEnd w:id="1352"/>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11.1.1 监理人应在开工日期7 天前向承包人发出开工通知。监理人在发出开工通知前应获得发包人同意。工期自监理人发出的开工通知中载明的开工日期起计算。承包人应在开工日期后尽快施工。</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11.1.3 若发包人未能按合同约定向承包人提供开工必要条件，承包人有权要求延长工期。监理人应在收到侧很难过保人的书面要求后，按第3.5款的约定，与合同双方商定或确定增加的费用和延长的工期。</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11.1.4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353" w:name="_Toc453677416"/>
      <w:bookmarkStart w:id="1354" w:name="_Toc414275347"/>
      <w:bookmarkStart w:id="1355" w:name="_Toc453678608"/>
      <w:bookmarkStart w:id="1356" w:name="_Toc434412281"/>
      <w:bookmarkStart w:id="1357" w:name="_Toc439684266"/>
      <w:bookmarkStart w:id="1358" w:name="_Toc414352030"/>
      <w:bookmarkStart w:id="1359" w:name="_Toc414368502"/>
      <w:r>
        <w:rPr>
          <w:rFonts w:hint="eastAsia" w:ascii="宋体" w:hAnsi="宋体" w:eastAsia="宋体" w:cs="宋体"/>
          <w:color w:val="auto"/>
          <w:sz w:val="24"/>
          <w:szCs w:val="24"/>
        </w:rPr>
        <w:t>11.2 竣工（完工)</w:t>
      </w:r>
      <w:bookmarkEnd w:id="1353"/>
      <w:bookmarkEnd w:id="1354"/>
      <w:bookmarkEnd w:id="1355"/>
      <w:bookmarkEnd w:id="1356"/>
      <w:bookmarkEnd w:id="1357"/>
      <w:bookmarkEnd w:id="1358"/>
      <w:bookmarkEnd w:id="1359"/>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承包人应在第1.1.4.3目约定的期限内完成合同工程。合同工程实际完工日期在合同工程完工证书中明确。</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360" w:name="_Toc414368503"/>
      <w:bookmarkStart w:id="1361" w:name="_Toc414275348"/>
      <w:bookmarkStart w:id="1362" w:name="_Toc434412282"/>
      <w:bookmarkStart w:id="1363" w:name="_Toc439684267"/>
      <w:bookmarkStart w:id="1364" w:name="_Toc453677417"/>
      <w:bookmarkStart w:id="1365" w:name="_Toc414352031"/>
      <w:bookmarkStart w:id="1366" w:name="_Toc453678609"/>
      <w:r>
        <w:rPr>
          <w:rFonts w:hint="eastAsia" w:ascii="宋体" w:hAnsi="宋体" w:eastAsia="宋体" w:cs="宋体"/>
          <w:color w:val="auto"/>
          <w:sz w:val="24"/>
          <w:szCs w:val="24"/>
        </w:rPr>
        <w:t>11.3 发包人的工期延误</w:t>
      </w:r>
      <w:bookmarkEnd w:id="1360"/>
      <w:bookmarkEnd w:id="1361"/>
      <w:bookmarkEnd w:id="1362"/>
      <w:bookmarkEnd w:id="1363"/>
      <w:bookmarkEnd w:id="1364"/>
      <w:bookmarkEnd w:id="1365"/>
      <w:bookmarkEnd w:id="1366"/>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在履行合同过程中，由于发包人的下列原因造成工期延误的，承包人有权要求发包人延长工期和（或）增加费用，并支付合理利润。需要修订合同进度计划的，按照第10.2款的约定办理。</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（l）增加合同工作内容；</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（2）改变合同中任何一项工作的质量要求或其他特性；</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（3）发包人迟延提供材料、工程设备或变更交货地点的；</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（4）因发包人原因导致的暂停施工；</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（5）提供图纸延误；</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（6）未按合同约定及时支付预付款、进度款；</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（7）发包人造成工期延误的其他原因。</w:t>
      </w:r>
    </w:p>
    <w:p>
      <w:pPr>
        <w:pStyle w:val="6"/>
        <w:keepLines w:val="0"/>
        <w:pageBreakBefore w:val="0"/>
        <w:widowControl w:val="0"/>
        <w:kinsoku/>
        <w:wordWrap/>
        <w:overflowPunct/>
        <w:topLinePunct w:val="0"/>
        <w:bidi w:val="0"/>
        <w:spacing w:line="420" w:lineRule="exact"/>
        <w:ind w:firstLine="720" w:firstLineChars="300"/>
        <w:rPr>
          <w:rFonts w:hint="eastAsia" w:ascii="宋体" w:hAnsi="宋体" w:eastAsia="宋体" w:cs="宋体"/>
          <w:color w:val="auto"/>
          <w:sz w:val="24"/>
          <w:szCs w:val="24"/>
        </w:rPr>
      </w:pPr>
      <w:bookmarkStart w:id="1367" w:name="_Toc434412283"/>
      <w:bookmarkStart w:id="1368" w:name="_Toc439684268"/>
      <w:bookmarkStart w:id="1369" w:name="_Toc414352032"/>
      <w:bookmarkStart w:id="1370" w:name="_Toc414275349"/>
      <w:bookmarkStart w:id="1371" w:name="_Toc414368504"/>
      <w:bookmarkStart w:id="1372" w:name="_Toc453678610"/>
      <w:bookmarkStart w:id="1373" w:name="_Toc453677418"/>
      <w:r>
        <w:rPr>
          <w:rFonts w:hint="eastAsia" w:ascii="宋体" w:hAnsi="宋体" w:eastAsia="宋体" w:cs="宋体"/>
          <w:color w:val="auto"/>
          <w:sz w:val="24"/>
          <w:szCs w:val="24"/>
        </w:rPr>
        <w:t>11.4 异常恶劣的气候条件</w:t>
      </w:r>
      <w:bookmarkEnd w:id="1367"/>
      <w:bookmarkEnd w:id="1368"/>
      <w:bookmarkEnd w:id="1369"/>
      <w:bookmarkEnd w:id="1370"/>
      <w:bookmarkEnd w:id="1371"/>
      <w:bookmarkEnd w:id="1372"/>
      <w:bookmarkEnd w:id="1373"/>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11.4.1 当工期所在地发生危机及施工安全的异常恶劣气候时，发包人和承包人应按本合同通用合同条款第12条的约定，及时采取暂停施工或部分暂停施工措施。异常恶劣气候条件解除后，承包人应及时安排复工。</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11.4.2 异常恶劣气候条件造成的工期延误和工程损坏，应由发包人与承包人参照本合同通用合同条款第21.3款的约定协商处理。</w:t>
      </w:r>
    </w:p>
    <w:p>
      <w:pPr>
        <w:keepLines w:val="0"/>
        <w:pageBreakBefore w:val="0"/>
        <w:widowControl w:val="0"/>
        <w:kinsoku/>
        <w:wordWrap/>
        <w:overflowPunct/>
        <w:topLinePunct w:val="0"/>
        <w:bidi w:val="0"/>
        <w:spacing w:line="420" w:lineRule="exact"/>
        <w:ind w:firstLine="480" w:firstLineChars="200"/>
        <w:outlineLvl w:val="0"/>
        <w:rPr>
          <w:rFonts w:hint="eastAsia" w:ascii="宋体" w:hAnsi="宋体" w:eastAsia="宋体" w:cs="宋体"/>
          <w:color w:val="auto"/>
          <w:sz w:val="24"/>
          <w:szCs w:val="24"/>
        </w:rPr>
      </w:pPr>
      <w:bookmarkStart w:id="1374" w:name="_Toc453677419"/>
      <w:bookmarkStart w:id="1375" w:name="_Toc20512"/>
      <w:bookmarkStart w:id="1376" w:name="_Toc29405"/>
      <w:bookmarkStart w:id="1377" w:name="_Toc453678611"/>
      <w:r>
        <w:rPr>
          <w:rFonts w:hint="eastAsia" w:ascii="宋体" w:hAnsi="宋体" w:eastAsia="宋体" w:cs="宋体"/>
          <w:color w:val="auto"/>
          <w:sz w:val="24"/>
          <w:szCs w:val="24"/>
        </w:rPr>
        <w:t>11.4.3 本合同工程界定异常恶劣气候条件的范围在专用合同条款中约定。</w:t>
      </w:r>
      <w:bookmarkEnd w:id="1374"/>
      <w:bookmarkEnd w:id="1375"/>
      <w:bookmarkEnd w:id="1376"/>
      <w:bookmarkEnd w:id="1377"/>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378" w:name="_Toc414352033"/>
      <w:bookmarkStart w:id="1379" w:name="_Toc439684269"/>
      <w:bookmarkStart w:id="1380" w:name="_Toc414275350"/>
      <w:bookmarkStart w:id="1381" w:name="_Toc434412284"/>
      <w:bookmarkStart w:id="1382" w:name="_Toc453678612"/>
      <w:bookmarkStart w:id="1383" w:name="_Toc453677420"/>
      <w:bookmarkStart w:id="1384" w:name="_Toc414368505"/>
      <w:r>
        <w:rPr>
          <w:rFonts w:hint="eastAsia" w:ascii="宋体" w:hAnsi="宋体" w:eastAsia="宋体" w:cs="宋体"/>
          <w:color w:val="auto"/>
          <w:sz w:val="24"/>
          <w:szCs w:val="24"/>
        </w:rPr>
        <w:t>11.5 承包人的工期延误</w:t>
      </w:r>
      <w:bookmarkEnd w:id="1378"/>
      <w:bookmarkEnd w:id="1379"/>
      <w:bookmarkEnd w:id="1380"/>
      <w:bookmarkEnd w:id="1381"/>
      <w:bookmarkEnd w:id="1382"/>
      <w:bookmarkEnd w:id="1383"/>
      <w:bookmarkEnd w:id="1384"/>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385" w:name="_Toc414275351"/>
      <w:bookmarkStart w:id="1386" w:name="_Toc434412285"/>
      <w:bookmarkStart w:id="1387" w:name="_Toc414368506"/>
      <w:bookmarkStart w:id="1388" w:name="_Toc414352034"/>
      <w:bookmarkStart w:id="1389" w:name="_Toc453678613"/>
      <w:bookmarkStart w:id="1390" w:name="_Toc439684270"/>
      <w:bookmarkStart w:id="1391" w:name="_Toc453677421"/>
      <w:r>
        <w:rPr>
          <w:rFonts w:hint="eastAsia" w:ascii="宋体" w:hAnsi="宋体" w:eastAsia="宋体" w:cs="宋体"/>
          <w:color w:val="auto"/>
          <w:sz w:val="24"/>
          <w:szCs w:val="24"/>
        </w:rPr>
        <w:t>11.6 工期提前</w:t>
      </w:r>
      <w:bookmarkEnd w:id="1385"/>
      <w:bookmarkEnd w:id="1386"/>
      <w:bookmarkEnd w:id="1387"/>
      <w:bookmarkEnd w:id="1388"/>
      <w:bookmarkEnd w:id="1389"/>
      <w:bookmarkEnd w:id="1390"/>
      <w:bookmarkEnd w:id="1391"/>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要求承包人提前完工，或承包人提出提前完工的建议能够发包人带来效益的，应由监理人与承包人共同协商采取加快工程进度的措施和修订合同进度计划。发包人应承担承包人由此增加的费用，并向承包人支付专用合同条款约定的相应奖金。</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发包人要求提前完工的，双方协商一致后签订提前完工协议，协议内容包括：</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（1）提前的时间和修订后的进度计划；</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（2）承包人的赶工措施；</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（3）发包人为赶工提供的条件；</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（4）赶工费用（包括利润和奖金）。</w:t>
      </w:r>
    </w:p>
    <w:p>
      <w:pPr>
        <w:pStyle w:val="4"/>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392" w:name="_Toc453677422"/>
      <w:bookmarkStart w:id="1393" w:name="_Toc414268885"/>
      <w:bookmarkStart w:id="1394" w:name="_Toc414368507"/>
      <w:bookmarkStart w:id="1395" w:name="_Toc453678614"/>
      <w:bookmarkStart w:id="1396" w:name="_Toc414275352"/>
      <w:bookmarkStart w:id="1397" w:name="_Toc184635109"/>
      <w:bookmarkStart w:id="1398" w:name="_Toc434412286"/>
      <w:bookmarkStart w:id="1399" w:name="_Toc203758989"/>
      <w:bookmarkStart w:id="1400" w:name="_Toc439684271"/>
      <w:bookmarkStart w:id="1401" w:name="_Toc414352035"/>
      <w:r>
        <w:rPr>
          <w:rFonts w:hint="eastAsia" w:ascii="宋体" w:hAnsi="宋体" w:eastAsia="宋体" w:cs="宋体"/>
          <w:color w:val="auto"/>
          <w:sz w:val="24"/>
          <w:szCs w:val="24"/>
        </w:rPr>
        <w:t>12．暂停施工</w:t>
      </w:r>
      <w:bookmarkEnd w:id="1392"/>
      <w:bookmarkEnd w:id="1393"/>
      <w:bookmarkEnd w:id="1394"/>
      <w:bookmarkEnd w:id="1395"/>
      <w:bookmarkEnd w:id="1396"/>
      <w:bookmarkEnd w:id="1397"/>
      <w:bookmarkEnd w:id="1398"/>
      <w:bookmarkEnd w:id="1399"/>
      <w:bookmarkEnd w:id="1400"/>
      <w:bookmarkEnd w:id="1401"/>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402" w:name="_Toc414275353"/>
      <w:bookmarkStart w:id="1403" w:name="_Toc439684272"/>
      <w:bookmarkStart w:id="1404" w:name="_Toc453677423"/>
      <w:bookmarkStart w:id="1405" w:name="_Toc414368508"/>
      <w:bookmarkStart w:id="1406" w:name="_Toc453678615"/>
      <w:bookmarkStart w:id="1407" w:name="_Toc414352036"/>
      <w:bookmarkStart w:id="1408" w:name="_Toc434412287"/>
      <w:r>
        <w:rPr>
          <w:rFonts w:hint="eastAsia" w:ascii="宋体" w:hAnsi="宋体" w:eastAsia="宋体" w:cs="宋体"/>
          <w:color w:val="auto"/>
          <w:sz w:val="24"/>
          <w:szCs w:val="24"/>
        </w:rPr>
        <w:t>12.1 承包人暂停施工的责任</w:t>
      </w:r>
      <w:bookmarkEnd w:id="1402"/>
      <w:bookmarkEnd w:id="1403"/>
      <w:bookmarkEnd w:id="1404"/>
      <w:bookmarkEnd w:id="1405"/>
      <w:bookmarkEnd w:id="1406"/>
      <w:bookmarkEnd w:id="1407"/>
      <w:bookmarkEnd w:id="1408"/>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因下列暂停施工增加的费用和（或）工期延误由承包人承担：</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（1）承包人违约引起的暂停施工；</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（2）由于承包人原因为工程合理施工和安全保障所必需的暂停施工；</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（3）承包人擅自暂停施工；</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（4）承包人其他原因引起的暂停施工；</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（5）专用合同条款约定由承包人承担的其他暂停施工。</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409" w:name="_Toc414368509"/>
      <w:bookmarkStart w:id="1410" w:name="_Toc453677424"/>
      <w:bookmarkStart w:id="1411" w:name="_Toc434412288"/>
      <w:bookmarkStart w:id="1412" w:name="_Toc414275354"/>
      <w:bookmarkStart w:id="1413" w:name="_Toc453678616"/>
      <w:bookmarkStart w:id="1414" w:name="_Toc439684273"/>
      <w:bookmarkStart w:id="1415" w:name="_Toc414352037"/>
      <w:r>
        <w:rPr>
          <w:rFonts w:hint="eastAsia" w:ascii="宋体" w:hAnsi="宋体" w:eastAsia="宋体" w:cs="宋体"/>
          <w:color w:val="auto"/>
          <w:sz w:val="24"/>
          <w:szCs w:val="24"/>
        </w:rPr>
        <w:t>12.2 发包人暂停施工的责任</w:t>
      </w:r>
      <w:bookmarkEnd w:id="1409"/>
      <w:bookmarkEnd w:id="1410"/>
      <w:bookmarkEnd w:id="1411"/>
      <w:bookmarkEnd w:id="1412"/>
      <w:bookmarkEnd w:id="1413"/>
      <w:bookmarkEnd w:id="1414"/>
      <w:bookmarkEnd w:id="1415"/>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由于发包人原因引起的暂停施工造成工期延误的，承包人有权要求发包人延长工期和（或）增加费用，并支付合理利润。</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属于下列任何一种情况引起的暂停施工，均为发包人的责任：</w:t>
      </w:r>
    </w:p>
    <w:p>
      <w:pPr>
        <w:keepLines w:val="0"/>
        <w:pageBreakBefore w:val="0"/>
        <w:widowControl w:val="0"/>
        <w:kinsoku/>
        <w:wordWrap/>
        <w:overflowPunct/>
        <w:topLinePunct w:val="0"/>
        <w:bidi w:val="0"/>
        <w:spacing w:line="420" w:lineRule="exact"/>
        <w:ind w:left="420" w:leftChars="200"/>
        <w:outlineLvl w:val="0"/>
        <w:rPr>
          <w:rFonts w:hint="eastAsia" w:ascii="宋体" w:hAnsi="宋体" w:eastAsia="宋体" w:cs="宋体"/>
          <w:color w:val="auto"/>
          <w:sz w:val="24"/>
          <w:szCs w:val="24"/>
        </w:rPr>
      </w:pPr>
      <w:bookmarkStart w:id="1416" w:name="_Toc1841"/>
      <w:bookmarkStart w:id="1417" w:name="_Toc2500"/>
      <w:bookmarkStart w:id="1418" w:name="_Toc453678617"/>
      <w:bookmarkStart w:id="1419" w:name="_Toc453677425"/>
      <w:r>
        <w:rPr>
          <w:rFonts w:hint="eastAsia" w:ascii="宋体" w:hAnsi="宋体" w:eastAsia="宋体" w:cs="宋体"/>
          <w:color w:val="auto"/>
          <w:sz w:val="24"/>
          <w:szCs w:val="24"/>
        </w:rPr>
        <w:t>（1）由于发包人违约引起的暂停施工；</w:t>
      </w:r>
      <w:bookmarkEnd w:id="1416"/>
      <w:bookmarkEnd w:id="1417"/>
      <w:bookmarkEnd w:id="1418"/>
      <w:bookmarkEnd w:id="1419"/>
    </w:p>
    <w:p>
      <w:pPr>
        <w:keepLines w:val="0"/>
        <w:pageBreakBefore w:val="0"/>
        <w:widowControl w:val="0"/>
        <w:kinsoku/>
        <w:wordWrap/>
        <w:overflowPunct/>
        <w:topLinePunct w:val="0"/>
        <w:bidi w:val="0"/>
        <w:spacing w:line="420" w:lineRule="exact"/>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（2）由于不可抗力的自然会社会因素引起的暂停施工；</w:t>
      </w:r>
    </w:p>
    <w:p>
      <w:pPr>
        <w:keepLines w:val="0"/>
        <w:pageBreakBefore w:val="0"/>
        <w:widowControl w:val="0"/>
        <w:kinsoku/>
        <w:wordWrap/>
        <w:overflowPunct/>
        <w:topLinePunct w:val="0"/>
        <w:bidi w:val="0"/>
        <w:spacing w:line="420" w:lineRule="exact"/>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（3）专用合同条款中约定的其它由于发包人原因引起的暂停施工。</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420" w:name="_Toc453677426"/>
      <w:bookmarkStart w:id="1421" w:name="_Toc414368510"/>
      <w:bookmarkStart w:id="1422" w:name="_Toc434412289"/>
      <w:bookmarkStart w:id="1423" w:name="_Toc414275355"/>
      <w:bookmarkStart w:id="1424" w:name="_Toc414352038"/>
      <w:bookmarkStart w:id="1425" w:name="_Toc453678618"/>
      <w:bookmarkStart w:id="1426" w:name="_Toc439684274"/>
      <w:r>
        <w:rPr>
          <w:rFonts w:hint="eastAsia" w:ascii="宋体" w:hAnsi="宋体" w:eastAsia="宋体" w:cs="宋体"/>
          <w:color w:val="auto"/>
          <w:sz w:val="24"/>
          <w:szCs w:val="24"/>
        </w:rPr>
        <w:t>12.3 监理人暂停施工指示</w:t>
      </w:r>
      <w:bookmarkEnd w:id="1420"/>
      <w:bookmarkEnd w:id="1421"/>
      <w:bookmarkEnd w:id="1422"/>
      <w:bookmarkEnd w:id="1423"/>
      <w:bookmarkEnd w:id="1424"/>
      <w:bookmarkEnd w:id="1425"/>
      <w:bookmarkEnd w:id="1426"/>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12.3.1 监理人认为有必要时，可向承包人做出暂停施工的指示，承包人应按监理人指示暂停施工。不论由于何种原因引起的暂停施工，暂停施工期间承包人应负责妥善保护工程并提供安全保障。</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427" w:name="_Toc414275356"/>
      <w:bookmarkStart w:id="1428" w:name="_Toc439684275"/>
      <w:bookmarkStart w:id="1429" w:name="_Toc453677427"/>
      <w:bookmarkStart w:id="1430" w:name="_Toc434412290"/>
      <w:bookmarkStart w:id="1431" w:name="_Toc414352039"/>
      <w:bookmarkStart w:id="1432" w:name="_Toc414368511"/>
      <w:bookmarkStart w:id="1433" w:name="_Toc453678619"/>
      <w:r>
        <w:rPr>
          <w:rFonts w:hint="eastAsia" w:ascii="宋体" w:hAnsi="宋体" w:eastAsia="宋体" w:cs="宋体"/>
          <w:color w:val="auto"/>
          <w:sz w:val="24"/>
          <w:szCs w:val="24"/>
        </w:rPr>
        <w:t>12.4 暂停施工后的复工</w:t>
      </w:r>
      <w:bookmarkEnd w:id="1427"/>
      <w:bookmarkEnd w:id="1428"/>
      <w:bookmarkEnd w:id="1429"/>
      <w:bookmarkEnd w:id="1430"/>
      <w:bookmarkEnd w:id="1431"/>
      <w:bookmarkEnd w:id="1432"/>
      <w:bookmarkEnd w:id="1433"/>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12.4.2 承包人无故拖延和拒绝复工的，由此增加的费用和工期延误由承包人承担；因发包人原因无法按时复工的，承包人有权要求发包人延长工期和（或）增加费用，并支付合理利润。</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434" w:name="_Toc414275357"/>
      <w:bookmarkStart w:id="1435" w:name="_Toc414352040"/>
      <w:bookmarkStart w:id="1436" w:name="_Toc453678620"/>
      <w:bookmarkStart w:id="1437" w:name="_Toc439684276"/>
      <w:bookmarkStart w:id="1438" w:name="_Toc453677428"/>
      <w:bookmarkStart w:id="1439" w:name="_Toc434412291"/>
      <w:bookmarkStart w:id="1440" w:name="_Toc414368512"/>
      <w:r>
        <w:rPr>
          <w:rFonts w:hint="eastAsia" w:ascii="宋体" w:hAnsi="宋体" w:eastAsia="宋体" w:cs="宋体"/>
          <w:color w:val="auto"/>
          <w:sz w:val="24"/>
          <w:szCs w:val="24"/>
        </w:rPr>
        <w:t>12.5 暂停施工持续56 天以上</w:t>
      </w:r>
      <w:bookmarkEnd w:id="1434"/>
      <w:bookmarkEnd w:id="1435"/>
      <w:bookmarkEnd w:id="1436"/>
      <w:bookmarkEnd w:id="1437"/>
      <w:bookmarkEnd w:id="1438"/>
      <w:bookmarkEnd w:id="1439"/>
      <w:bookmarkEnd w:id="1440"/>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l）项的可取消工作。如暂停施工影响到整个工程，可视为发包人违约，应按第22.2款的规定办理。</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12.5.2 由于承包人责任引起的暂停施工，如承包人在收到监理人暂停施工指示后56天内不认真采取有效的复工措施，造成工期延误，可视为承包人违约，应按第22.1款的规定办理。</w:t>
      </w:r>
    </w:p>
    <w:p>
      <w:pPr>
        <w:pStyle w:val="4"/>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441" w:name="_Toc439684277"/>
      <w:bookmarkStart w:id="1442" w:name="_Toc414268886"/>
      <w:bookmarkStart w:id="1443" w:name="_Toc203758990"/>
      <w:bookmarkStart w:id="1444" w:name="_Toc434412292"/>
      <w:bookmarkStart w:id="1445" w:name="_Toc453678621"/>
      <w:bookmarkStart w:id="1446" w:name="_Toc184635110"/>
      <w:bookmarkStart w:id="1447" w:name="_Toc414275358"/>
      <w:bookmarkStart w:id="1448" w:name="_Toc414352041"/>
      <w:bookmarkStart w:id="1449" w:name="_Toc414368513"/>
      <w:bookmarkStart w:id="1450" w:name="_Toc453677429"/>
      <w:r>
        <w:rPr>
          <w:rFonts w:hint="eastAsia" w:ascii="宋体" w:hAnsi="宋体" w:eastAsia="宋体" w:cs="宋体"/>
          <w:color w:val="auto"/>
          <w:sz w:val="24"/>
          <w:szCs w:val="24"/>
        </w:rPr>
        <w:t>13．工程质量</w:t>
      </w:r>
      <w:bookmarkEnd w:id="1441"/>
      <w:bookmarkEnd w:id="1442"/>
      <w:bookmarkEnd w:id="1443"/>
      <w:bookmarkEnd w:id="1444"/>
      <w:bookmarkEnd w:id="1445"/>
      <w:bookmarkEnd w:id="1446"/>
      <w:bookmarkEnd w:id="1447"/>
      <w:bookmarkEnd w:id="1448"/>
      <w:bookmarkEnd w:id="1449"/>
      <w:bookmarkEnd w:id="1450"/>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451" w:name="_Toc414368514"/>
      <w:bookmarkStart w:id="1452" w:name="_Toc414275359"/>
      <w:bookmarkStart w:id="1453" w:name="_Toc453677430"/>
      <w:bookmarkStart w:id="1454" w:name="_Toc414352042"/>
      <w:bookmarkStart w:id="1455" w:name="_Toc434412293"/>
      <w:bookmarkStart w:id="1456" w:name="_Toc453678622"/>
      <w:bookmarkStart w:id="1457" w:name="_Toc439684278"/>
      <w:r>
        <w:rPr>
          <w:rFonts w:hint="eastAsia" w:ascii="宋体" w:hAnsi="宋体" w:eastAsia="宋体" w:cs="宋体"/>
          <w:color w:val="auto"/>
          <w:sz w:val="24"/>
          <w:szCs w:val="24"/>
        </w:rPr>
        <w:t>13.1 工程质量要求</w:t>
      </w:r>
      <w:bookmarkEnd w:id="1451"/>
      <w:bookmarkEnd w:id="1452"/>
      <w:bookmarkEnd w:id="1453"/>
      <w:bookmarkEnd w:id="1454"/>
      <w:bookmarkEnd w:id="1455"/>
      <w:bookmarkEnd w:id="1456"/>
      <w:bookmarkEnd w:id="1457"/>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13.1.1 工程质量验收按合同约定验收标准执行。</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13.1.2 因承包人原因造成工程质量达不到合同约定验收标准的，监理人有权要求承包人返工直至符合合同要求为止，由此造成的费用增加和（或）工期延误由承包人承担。</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13.1.3 因发包人原因造成工程质量达不到合同约定验收标准的，发包人应承担由于承包人返工造成的费用增加和（或）工期延误，并支付承包人合理利润。</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458" w:name="_Toc453678623"/>
      <w:bookmarkStart w:id="1459" w:name="_Toc439684279"/>
      <w:bookmarkStart w:id="1460" w:name="_Toc414368515"/>
      <w:bookmarkStart w:id="1461" w:name="_Toc434412294"/>
      <w:bookmarkStart w:id="1462" w:name="_Toc414352043"/>
      <w:bookmarkStart w:id="1463" w:name="_Toc414275360"/>
      <w:bookmarkStart w:id="1464" w:name="_Toc453677431"/>
      <w:r>
        <w:rPr>
          <w:rFonts w:hint="eastAsia" w:ascii="宋体" w:hAnsi="宋体" w:eastAsia="宋体" w:cs="宋体"/>
          <w:color w:val="auto"/>
          <w:sz w:val="24"/>
          <w:szCs w:val="24"/>
        </w:rPr>
        <w:t>13.2 承包人的质量管理</w:t>
      </w:r>
      <w:bookmarkEnd w:id="1458"/>
      <w:bookmarkEnd w:id="1459"/>
      <w:bookmarkEnd w:id="1460"/>
      <w:bookmarkEnd w:id="1461"/>
      <w:bookmarkEnd w:id="1462"/>
      <w:bookmarkEnd w:id="1463"/>
      <w:bookmarkEnd w:id="1464"/>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13.2.1 承包人应在施工现场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13.2.2 承包人应加强对施工人员的质量教育和技术培训，定期考核施工人员的劳动技能，严格执行规范和操作规程。</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465" w:name="_Toc453677432"/>
      <w:bookmarkStart w:id="1466" w:name="_Toc453678624"/>
      <w:bookmarkStart w:id="1467" w:name="_Toc414352044"/>
      <w:bookmarkStart w:id="1468" w:name="_Toc434412295"/>
      <w:bookmarkStart w:id="1469" w:name="_Toc414275361"/>
      <w:bookmarkStart w:id="1470" w:name="_Toc414368516"/>
      <w:bookmarkStart w:id="1471" w:name="_Toc439684280"/>
      <w:r>
        <w:rPr>
          <w:rFonts w:hint="eastAsia" w:ascii="宋体" w:hAnsi="宋体" w:eastAsia="宋体" w:cs="宋体"/>
          <w:color w:val="auto"/>
          <w:sz w:val="24"/>
          <w:szCs w:val="24"/>
        </w:rPr>
        <w:t>13.3 承包人的质量检查</w:t>
      </w:r>
      <w:bookmarkEnd w:id="1465"/>
      <w:bookmarkEnd w:id="1466"/>
      <w:bookmarkEnd w:id="1467"/>
      <w:bookmarkEnd w:id="1468"/>
      <w:bookmarkEnd w:id="1469"/>
      <w:bookmarkEnd w:id="1470"/>
      <w:bookmarkEnd w:id="1471"/>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承包人应按合同约定对材料、工程设备以及工程的所有部位及其施工工艺进行全过程的质量检查和检验，并作详细记录，编制工程质量报表，报送监理人审查。</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472" w:name="_Toc453677433"/>
      <w:bookmarkStart w:id="1473" w:name="_Toc414275362"/>
      <w:bookmarkStart w:id="1474" w:name="_Toc414352045"/>
      <w:bookmarkStart w:id="1475" w:name="_Toc434412296"/>
      <w:bookmarkStart w:id="1476" w:name="_Toc414368517"/>
      <w:bookmarkStart w:id="1477" w:name="_Toc439684281"/>
      <w:bookmarkStart w:id="1478" w:name="_Toc453678625"/>
      <w:r>
        <w:rPr>
          <w:rFonts w:hint="eastAsia" w:ascii="宋体" w:hAnsi="宋体" w:eastAsia="宋体" w:cs="宋体"/>
          <w:color w:val="auto"/>
          <w:sz w:val="24"/>
          <w:szCs w:val="24"/>
        </w:rPr>
        <w:t>13.4 监理人的质量检查</w:t>
      </w:r>
      <w:bookmarkEnd w:id="1472"/>
      <w:bookmarkEnd w:id="1473"/>
      <w:bookmarkEnd w:id="1474"/>
      <w:bookmarkEnd w:id="1475"/>
      <w:bookmarkEnd w:id="1476"/>
      <w:bookmarkEnd w:id="1477"/>
      <w:bookmarkEnd w:id="1478"/>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479" w:name="_Toc453677434"/>
      <w:bookmarkStart w:id="1480" w:name="_Toc414368518"/>
      <w:bookmarkStart w:id="1481" w:name="_Toc414275363"/>
      <w:bookmarkStart w:id="1482" w:name="_Toc414352046"/>
      <w:bookmarkStart w:id="1483" w:name="_Toc434412297"/>
      <w:bookmarkStart w:id="1484" w:name="_Toc439684282"/>
      <w:bookmarkStart w:id="1485" w:name="_Toc453678626"/>
      <w:r>
        <w:rPr>
          <w:rFonts w:hint="eastAsia" w:ascii="宋体" w:hAnsi="宋体" w:eastAsia="宋体" w:cs="宋体"/>
          <w:color w:val="auto"/>
          <w:sz w:val="24"/>
          <w:szCs w:val="24"/>
        </w:rPr>
        <w:t>13.5 工程隐蔽部位覆盖前的检查</w:t>
      </w:r>
      <w:bookmarkEnd w:id="1479"/>
      <w:bookmarkEnd w:id="1480"/>
      <w:bookmarkEnd w:id="1481"/>
      <w:bookmarkEnd w:id="1482"/>
      <w:bookmarkEnd w:id="1483"/>
      <w:bookmarkEnd w:id="1484"/>
      <w:bookmarkEnd w:id="1485"/>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13.5.1 通知监理人检查</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13.5.2 监理人未到场检查</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监理人未按第13.5.l 项约定的时间进行检查的，除监理人另有指示外，承包人可自行完成覆盖工作，并作相应记录报送监理人，监理人应签字确认。监理人事后对检查记录有疑问的，可按第13.5.3项的约定重新检查。</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13.5.3 监理人重新检查</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13.5.4 承包人私自覆盖</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承包人未通知监理人到场检查，私自将工程隐蔽部位覆盖的，监理人有权指示承包人钻孔探测或揭开检查，由此增加的费用和（或）工期延误由承包人承担。</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486" w:name="_Toc434412298"/>
      <w:bookmarkStart w:id="1487" w:name="_Toc439684283"/>
      <w:bookmarkStart w:id="1488" w:name="_Toc414352047"/>
      <w:bookmarkStart w:id="1489" w:name="_Toc453677435"/>
      <w:bookmarkStart w:id="1490" w:name="_Toc453678627"/>
      <w:bookmarkStart w:id="1491" w:name="_Toc414275364"/>
      <w:bookmarkStart w:id="1492" w:name="_Toc414368519"/>
      <w:r>
        <w:rPr>
          <w:rFonts w:hint="eastAsia" w:ascii="宋体" w:hAnsi="宋体" w:eastAsia="宋体" w:cs="宋体"/>
          <w:color w:val="auto"/>
          <w:sz w:val="24"/>
          <w:szCs w:val="24"/>
        </w:rPr>
        <w:t>13.6 清除不合格工程</w:t>
      </w:r>
      <w:bookmarkEnd w:id="1486"/>
      <w:bookmarkEnd w:id="1487"/>
      <w:bookmarkEnd w:id="1488"/>
      <w:bookmarkEnd w:id="1489"/>
      <w:bookmarkEnd w:id="1490"/>
      <w:bookmarkEnd w:id="1491"/>
      <w:bookmarkEnd w:id="1492"/>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13.6.2 由于发包人提供的材料或工程设备不合格造成的工程不合格，需要承包人采取措施补救的，发包人应承担由此增加的费用和（或）工期延误，并支付承包人合理利润。</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493" w:name="_Toc414368520"/>
      <w:bookmarkStart w:id="1494" w:name="_Toc414275365"/>
      <w:bookmarkStart w:id="1495" w:name="_Toc453678628"/>
      <w:bookmarkStart w:id="1496" w:name="_Toc434412299"/>
      <w:bookmarkStart w:id="1497" w:name="_Toc453677436"/>
      <w:bookmarkStart w:id="1498" w:name="_Toc414352048"/>
      <w:bookmarkStart w:id="1499" w:name="_Toc439684284"/>
      <w:r>
        <w:rPr>
          <w:rFonts w:hint="eastAsia" w:ascii="宋体" w:hAnsi="宋体" w:eastAsia="宋体" w:cs="宋体"/>
          <w:color w:val="auto"/>
          <w:sz w:val="24"/>
          <w:szCs w:val="24"/>
        </w:rPr>
        <w:t>13.7 质量评定</w:t>
      </w:r>
      <w:bookmarkEnd w:id="1493"/>
      <w:bookmarkEnd w:id="1494"/>
      <w:bookmarkEnd w:id="1495"/>
      <w:bookmarkEnd w:id="1496"/>
      <w:bookmarkEnd w:id="1497"/>
      <w:bookmarkEnd w:id="1498"/>
      <w:bookmarkEnd w:id="1499"/>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13.7.1 发包人应组织承包人进行工程项目划分，并确定单位工程、主要分步工程、重要隐蔽单元工程和关键部位单元工程。</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13.7.2 工程实施过程中，单位工程、主要分部工程、重要隐蔽单元工程和关键部位单元工程的项目划分需要调整时，承包人应报发包人确认。</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13.7.3 承包人应在单元（工序）工程质量自评合格后，报监理人核定质量等级并签证认可。</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13.7.4 除专用合同条款另有约定外，承包人应在重要隐蔽单元工程和关键部位单元工程质量自评合格以及监理人抽检后，由监理人组织承包人等单位组成承包人等单位组成的联合小组，共同检查核定其质量等级填写签证表。发包人按有关规定完成质量结论报工程质量监督机构核备手续。</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13.7.5 承包人在分部工程质量自评合格后，报监理人复核和发包人认定。发包人负责按有关规定完成分部工程质量结论报工程质量监督机构核备（核定）手续。</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13.7.6 承包人应在单位工程质量自评合格后，报监理人复核和发包人认定。发包人负责按有关规定完成单位工程质量结论报工程质量监督机构核定手续。</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13.7.7 除专用合同条款另有约定外，工程质量等级分为合格和优良，应分别达到约定的标准。</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500" w:name="_Toc414352049"/>
      <w:bookmarkStart w:id="1501" w:name="_Toc453677437"/>
      <w:bookmarkStart w:id="1502" w:name="_Toc434412300"/>
      <w:bookmarkStart w:id="1503" w:name="_Toc453678629"/>
      <w:bookmarkStart w:id="1504" w:name="_Toc439684285"/>
      <w:bookmarkStart w:id="1505" w:name="_Toc414275366"/>
      <w:bookmarkStart w:id="1506" w:name="_Toc414368521"/>
      <w:r>
        <w:rPr>
          <w:rFonts w:hint="eastAsia" w:ascii="宋体" w:hAnsi="宋体" w:eastAsia="宋体" w:cs="宋体"/>
          <w:color w:val="auto"/>
          <w:sz w:val="24"/>
          <w:szCs w:val="24"/>
        </w:rPr>
        <w:t>13.8 质量事故处理</w:t>
      </w:r>
      <w:bookmarkEnd w:id="1500"/>
      <w:bookmarkEnd w:id="1501"/>
      <w:bookmarkEnd w:id="1502"/>
      <w:bookmarkEnd w:id="1503"/>
      <w:bookmarkEnd w:id="1504"/>
      <w:bookmarkEnd w:id="1505"/>
      <w:bookmarkEnd w:id="1506"/>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13.8.1 发生质量事故时，承包人应及时向发包人和监理人报告。</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13.8.2 质量事故调查处理由法伯人按相关规定履行手续，承包人应配合。</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13.8.3 承包人应对质量缺陷进行备案。发包人委托监理人对质量缺陷备案情况进行监督检查并履行相关手续。</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13.8.4 除专用合同条款另有约定外，工程竣工验收时，发包人负责向竣工验收委员会汇报并提交历次质量缺陷处理的备案资料。</w:t>
      </w:r>
    </w:p>
    <w:p>
      <w:pPr>
        <w:pStyle w:val="146"/>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507" w:name="_Toc453677438"/>
      <w:bookmarkStart w:id="1508" w:name="_Toc453678630"/>
      <w:bookmarkStart w:id="1509" w:name="_Toc414268887"/>
      <w:bookmarkStart w:id="1510" w:name="_Toc434412301"/>
      <w:bookmarkStart w:id="1511" w:name="_Toc414275367"/>
      <w:bookmarkStart w:id="1512" w:name="_Toc184635111"/>
      <w:bookmarkStart w:id="1513" w:name="_Toc203758991"/>
      <w:bookmarkStart w:id="1514" w:name="_Toc414352050"/>
      <w:bookmarkStart w:id="1515" w:name="_Toc439684286"/>
      <w:bookmarkStart w:id="1516" w:name="_Toc414368522"/>
      <w:r>
        <w:rPr>
          <w:rFonts w:hint="eastAsia" w:ascii="宋体" w:hAnsi="宋体" w:eastAsia="宋体" w:cs="宋体"/>
          <w:color w:val="auto"/>
          <w:sz w:val="24"/>
          <w:szCs w:val="24"/>
        </w:rPr>
        <w:t>14．试验和检验</w:t>
      </w:r>
      <w:bookmarkEnd w:id="1507"/>
      <w:bookmarkEnd w:id="1508"/>
      <w:bookmarkEnd w:id="1509"/>
      <w:bookmarkEnd w:id="1510"/>
      <w:bookmarkEnd w:id="1511"/>
      <w:bookmarkEnd w:id="1512"/>
      <w:bookmarkEnd w:id="1513"/>
      <w:bookmarkEnd w:id="1514"/>
      <w:bookmarkEnd w:id="1515"/>
      <w:bookmarkEnd w:id="1516"/>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517" w:name="_Toc434412302"/>
      <w:bookmarkStart w:id="1518" w:name="_Toc453677439"/>
      <w:bookmarkStart w:id="1519" w:name="_Toc439684287"/>
      <w:bookmarkStart w:id="1520" w:name="_Toc414368523"/>
      <w:bookmarkStart w:id="1521" w:name="_Toc414275368"/>
      <w:bookmarkStart w:id="1522" w:name="_Toc414352051"/>
      <w:bookmarkStart w:id="1523" w:name="_Toc453678631"/>
      <w:r>
        <w:rPr>
          <w:rFonts w:hint="eastAsia" w:ascii="宋体" w:hAnsi="宋体" w:eastAsia="宋体" w:cs="宋体"/>
          <w:color w:val="auto"/>
          <w:sz w:val="24"/>
          <w:szCs w:val="24"/>
        </w:rPr>
        <w:t>14.1 材料、工程设备和工程的试验和检验</w:t>
      </w:r>
      <w:bookmarkEnd w:id="1517"/>
      <w:bookmarkEnd w:id="1518"/>
      <w:bookmarkEnd w:id="1519"/>
      <w:bookmarkEnd w:id="1520"/>
      <w:bookmarkEnd w:id="1521"/>
      <w:bookmarkEnd w:id="1522"/>
      <w:bookmarkEnd w:id="1523"/>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14.1.2 监理人未按合同约定派员参加试验和检验的，除监理人另有指示外，承包人可自行试验和检验，并应立即将试验和检验结果报送监理人，监理人应签字确认。</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14.1.4 承包人应按相关规定和标准对水泥、钢材等原材料与中间产品质量进行检验，并报监理人复核。</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14.1.5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14.1.6 对专用合同条款约定的试块、试件及有关材料，监理人实行见证取样。见证取样资料由承包人制备，记录应真实齐全，监理人、承包人等与见证取样人员均应在相关文件上签字。</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524" w:name="_Toc434412303"/>
      <w:bookmarkStart w:id="1525" w:name="_Toc453677440"/>
      <w:bookmarkStart w:id="1526" w:name="_Toc414275369"/>
      <w:bookmarkStart w:id="1527" w:name="_Toc439684288"/>
      <w:bookmarkStart w:id="1528" w:name="_Toc414352052"/>
      <w:bookmarkStart w:id="1529" w:name="_Toc414368524"/>
      <w:bookmarkStart w:id="1530" w:name="_Toc453678632"/>
      <w:r>
        <w:rPr>
          <w:rFonts w:hint="eastAsia" w:ascii="宋体" w:hAnsi="宋体" w:eastAsia="宋体" w:cs="宋体"/>
          <w:color w:val="auto"/>
          <w:sz w:val="24"/>
          <w:szCs w:val="24"/>
        </w:rPr>
        <w:t>14.2 现场材料试验</w:t>
      </w:r>
      <w:bookmarkEnd w:id="1524"/>
      <w:bookmarkEnd w:id="1525"/>
      <w:bookmarkEnd w:id="1526"/>
      <w:bookmarkEnd w:id="1527"/>
      <w:bookmarkEnd w:id="1528"/>
      <w:bookmarkEnd w:id="1529"/>
      <w:bookmarkEnd w:id="1530"/>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14.2.1 承包人根据合同约定或监理人指示进行的现场材料试验，应由承包人提供试验场所、试验人员、试验设备器材以及其他必要的试验条件。</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14.2.2 监理人在必要时可以使用承包人的试验场所、试验设备器材以及其他试验条件，进行以工程质量检查为目的的复核性材料试验，承包人应予以协助。</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531" w:name="_Toc414275370"/>
      <w:bookmarkStart w:id="1532" w:name="_Toc439684289"/>
      <w:bookmarkStart w:id="1533" w:name="_Toc453677441"/>
      <w:bookmarkStart w:id="1534" w:name="_Toc434412304"/>
      <w:bookmarkStart w:id="1535" w:name="_Toc414352053"/>
      <w:bookmarkStart w:id="1536" w:name="_Toc414368525"/>
      <w:bookmarkStart w:id="1537" w:name="_Toc453678633"/>
      <w:r>
        <w:rPr>
          <w:rFonts w:hint="eastAsia" w:ascii="宋体" w:hAnsi="宋体" w:eastAsia="宋体" w:cs="宋体"/>
          <w:color w:val="auto"/>
          <w:sz w:val="24"/>
          <w:szCs w:val="24"/>
        </w:rPr>
        <w:t>14.3 现场工艺试验</w:t>
      </w:r>
      <w:bookmarkEnd w:id="1531"/>
      <w:bookmarkEnd w:id="1532"/>
      <w:bookmarkEnd w:id="1533"/>
      <w:bookmarkEnd w:id="1534"/>
      <w:bookmarkEnd w:id="1535"/>
      <w:bookmarkEnd w:id="1536"/>
      <w:bookmarkEnd w:id="1537"/>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承包人应按合同约定或监理人指示进行现场工艺试验。对大型的现场工艺试验，监理人认为必要时，应由承包人根据监理人提出的工艺试验要求，编制工艺试验措施计划，报送监理人审批。</w:t>
      </w:r>
    </w:p>
    <w:p>
      <w:pPr>
        <w:pStyle w:val="4"/>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538" w:name="_Toc414368526"/>
      <w:bookmarkStart w:id="1539" w:name="_Toc453678634"/>
      <w:bookmarkStart w:id="1540" w:name="_Toc439684290"/>
      <w:bookmarkStart w:id="1541" w:name="_Toc414352054"/>
      <w:bookmarkStart w:id="1542" w:name="_Toc453677442"/>
      <w:bookmarkStart w:id="1543" w:name="_Toc414275371"/>
      <w:bookmarkStart w:id="1544" w:name="_Toc184635112"/>
      <w:bookmarkStart w:id="1545" w:name="_Toc434412305"/>
      <w:bookmarkStart w:id="1546" w:name="_Toc414268888"/>
      <w:bookmarkStart w:id="1547" w:name="_Toc203758992"/>
      <w:r>
        <w:rPr>
          <w:rFonts w:hint="eastAsia" w:ascii="宋体" w:hAnsi="宋体" w:eastAsia="宋体" w:cs="宋体"/>
          <w:color w:val="auto"/>
          <w:sz w:val="24"/>
          <w:szCs w:val="24"/>
        </w:rPr>
        <w:t>15．变更</w:t>
      </w:r>
      <w:bookmarkEnd w:id="1538"/>
      <w:bookmarkEnd w:id="1539"/>
      <w:bookmarkEnd w:id="1540"/>
      <w:bookmarkEnd w:id="1541"/>
      <w:bookmarkEnd w:id="1542"/>
      <w:bookmarkEnd w:id="1543"/>
      <w:bookmarkEnd w:id="1544"/>
      <w:bookmarkEnd w:id="1545"/>
      <w:bookmarkEnd w:id="1546"/>
      <w:bookmarkEnd w:id="1547"/>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548" w:name="_Toc414368527"/>
      <w:bookmarkStart w:id="1549" w:name="_Toc434412306"/>
      <w:bookmarkStart w:id="1550" w:name="_Toc453678635"/>
      <w:bookmarkStart w:id="1551" w:name="_Toc439684291"/>
      <w:bookmarkStart w:id="1552" w:name="_Toc414352055"/>
      <w:bookmarkStart w:id="1553" w:name="_Toc414275372"/>
      <w:bookmarkStart w:id="1554" w:name="_Toc453677443"/>
      <w:r>
        <w:rPr>
          <w:rFonts w:hint="eastAsia" w:ascii="宋体" w:hAnsi="宋体" w:eastAsia="宋体" w:cs="宋体"/>
          <w:color w:val="auto"/>
          <w:sz w:val="24"/>
          <w:szCs w:val="24"/>
        </w:rPr>
        <w:t>15.1 变更的范围和内容</w:t>
      </w:r>
      <w:bookmarkEnd w:id="1548"/>
      <w:bookmarkEnd w:id="1549"/>
      <w:bookmarkEnd w:id="1550"/>
      <w:bookmarkEnd w:id="1551"/>
      <w:bookmarkEnd w:id="1552"/>
      <w:bookmarkEnd w:id="1553"/>
      <w:bookmarkEnd w:id="1554"/>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在履行合同中发生以下情形之一，应按照本款规定进行变更。</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（1）取消合同中任何一项工作，但被取消的工作不能转由发包人或其它人实施；</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（2）改变合同中任何一项工作的质量或其他特性；</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（3）改变合同工程的基线、标高、位置或尺寸；</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（4）改变合同中任何一项工作的施工时间或改变已批准的施工工艺或顺序；</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（5）为完成工程需要追加的额外工作。</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（6）增加或减少专用合同条款中约定的关键项目工程量超过其工程总量的一定数量百分比。</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上述第（1）～（6）目的变更内容引起工程施工组织和进度计划发生实质性变动和影响其原定的价格时，才予调整该项目的单价。第（6）目情形下单价调整方式在专用合同条款中约定。</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555" w:name="_Toc439684292"/>
      <w:bookmarkStart w:id="1556" w:name="_Toc414352056"/>
      <w:bookmarkStart w:id="1557" w:name="_Toc414275373"/>
      <w:bookmarkStart w:id="1558" w:name="_Toc414368528"/>
      <w:bookmarkStart w:id="1559" w:name="_Toc453677444"/>
      <w:bookmarkStart w:id="1560" w:name="_Toc453678636"/>
      <w:bookmarkStart w:id="1561" w:name="_Toc434412307"/>
      <w:r>
        <w:rPr>
          <w:rFonts w:hint="eastAsia" w:ascii="宋体" w:hAnsi="宋体" w:eastAsia="宋体" w:cs="宋体"/>
          <w:color w:val="auto"/>
          <w:sz w:val="24"/>
          <w:szCs w:val="24"/>
        </w:rPr>
        <w:t>15.2 变更权</w:t>
      </w:r>
      <w:bookmarkEnd w:id="1555"/>
      <w:bookmarkEnd w:id="1556"/>
      <w:bookmarkEnd w:id="1557"/>
      <w:bookmarkEnd w:id="1558"/>
      <w:bookmarkEnd w:id="1559"/>
      <w:bookmarkEnd w:id="1560"/>
      <w:bookmarkEnd w:id="1561"/>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在履行合同过程中，经发包人同意，监理人可按第15.3款约定的变更程序向承包人做出变更指示，承包人应遵照执行。没有监理人的变更指示，承包人不得擅自变更。</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562" w:name="_Toc453677445"/>
      <w:bookmarkStart w:id="1563" w:name="_Toc434412308"/>
      <w:bookmarkStart w:id="1564" w:name="_Toc453678637"/>
      <w:bookmarkStart w:id="1565" w:name="_Toc439684293"/>
      <w:bookmarkStart w:id="1566" w:name="_Toc414352057"/>
      <w:bookmarkStart w:id="1567" w:name="_Toc414275374"/>
      <w:bookmarkStart w:id="1568" w:name="_Toc414368529"/>
      <w:r>
        <w:rPr>
          <w:rFonts w:hint="eastAsia" w:ascii="宋体" w:hAnsi="宋体" w:eastAsia="宋体" w:cs="宋体"/>
          <w:color w:val="auto"/>
          <w:sz w:val="24"/>
          <w:szCs w:val="24"/>
        </w:rPr>
        <w:t>15.3 变更程序</w:t>
      </w:r>
      <w:bookmarkEnd w:id="1562"/>
      <w:bookmarkEnd w:id="1563"/>
      <w:bookmarkEnd w:id="1564"/>
      <w:bookmarkEnd w:id="1565"/>
      <w:bookmarkEnd w:id="1566"/>
      <w:bookmarkEnd w:id="1567"/>
      <w:bookmarkEnd w:id="1568"/>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15.3.1变更的提出</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pPr>
        <w:keepLines w:val="0"/>
        <w:pageBreakBefore w:val="0"/>
        <w:widowControl w:val="0"/>
        <w:kinsoku/>
        <w:wordWrap/>
        <w:overflowPunct/>
        <w:topLinePunct w:val="0"/>
        <w:bidi w:val="0"/>
        <w:spacing w:line="420" w:lineRule="exact"/>
        <w:ind w:left="479" w:leftChars="228"/>
        <w:rPr>
          <w:rFonts w:hint="eastAsia" w:ascii="宋体" w:hAnsi="宋体" w:eastAsia="宋体" w:cs="宋体"/>
          <w:color w:val="auto"/>
          <w:sz w:val="24"/>
          <w:szCs w:val="24"/>
        </w:rPr>
      </w:pPr>
      <w:r>
        <w:rPr>
          <w:rFonts w:hint="eastAsia" w:ascii="宋体" w:hAnsi="宋体" w:eastAsia="宋体" w:cs="宋体"/>
          <w:color w:val="auto"/>
          <w:sz w:val="24"/>
          <w:szCs w:val="24"/>
        </w:rPr>
        <w:t>（2）在合同履行过程中，发生第15.1 款约定情形的，监理人应按照第15.3.3项约定向承包人发出变更指示。</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做出变更指示。经研究后不同意作为变更的，应由监理人书面答复承包人。</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（4）若承包人收到监理人的变更意向书后认为难以实施此项变更，应立即通知监理人，说明原因并附详细依据。监理人与承包人和发包人协商后确定撤销、改变或不改变原变更意向书。</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15.3.2 变更估价</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（2）变更工作影响工期的，承包人应提出调整工期的具体细节。监理人认为有必要时，可要求承包人提交要求提前或延长工期的施工进度计划及相应施工措施等详细资料。</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（3）除专用合同条款对期限另有约定外，监理人收到承包人变更报价书后的14天内，根据第15.4款约定的估价原则，按照第3.5款商定或确定变更价格。</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15.3.3 变更指示</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（l）变更指示只能由监理人发出。</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（2）变更指示应说明变更的目的、范围、变更内容以及变更的工程量及其进度和技术要求，并附有关图纸和文件。承包人收到变更指示后，应按变更指示进行变更工作。</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569" w:name="_Toc434412309"/>
      <w:bookmarkStart w:id="1570" w:name="_Toc414368530"/>
      <w:bookmarkStart w:id="1571" w:name="_Toc453678638"/>
      <w:bookmarkStart w:id="1572" w:name="_Toc414275375"/>
      <w:bookmarkStart w:id="1573" w:name="_Toc414352058"/>
      <w:bookmarkStart w:id="1574" w:name="_Toc453677446"/>
      <w:bookmarkStart w:id="1575" w:name="_Toc439684294"/>
      <w:r>
        <w:rPr>
          <w:rFonts w:hint="eastAsia" w:ascii="宋体" w:hAnsi="宋体" w:eastAsia="宋体" w:cs="宋体"/>
          <w:color w:val="auto"/>
          <w:sz w:val="24"/>
          <w:szCs w:val="24"/>
        </w:rPr>
        <w:t>15.4 变更的估价原则</w:t>
      </w:r>
      <w:bookmarkEnd w:id="1569"/>
      <w:bookmarkEnd w:id="1570"/>
      <w:bookmarkEnd w:id="1571"/>
      <w:bookmarkEnd w:id="1572"/>
      <w:bookmarkEnd w:id="1573"/>
      <w:bookmarkEnd w:id="1574"/>
      <w:bookmarkEnd w:id="1575"/>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除专用合同条款另有约定外，因变更引起的价格调整按照本款约定处理。</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15.4.1已标价工程量清单中有适用于变更工作的子目的，采用该子目的单价。</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15.4.2 已标价工程量清单中无适用于变更工作的子目，但有类似子目的，可在合理范围内参照类似子目的单价，由监理人按第3.5款商定或确定变更工作的单价。</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15.4.3 已标价工程量清单中无适用或类似子目的单价，可按照成本加利润的原则，由监理人按第3.5款商定或确定变更工作的单价。</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576" w:name="_Toc414275376"/>
      <w:bookmarkStart w:id="1577" w:name="_Toc434412310"/>
      <w:bookmarkStart w:id="1578" w:name="_Toc414352059"/>
      <w:bookmarkStart w:id="1579" w:name="_Toc453677447"/>
      <w:bookmarkStart w:id="1580" w:name="_Toc414368531"/>
      <w:bookmarkStart w:id="1581" w:name="_Toc453678639"/>
      <w:bookmarkStart w:id="1582" w:name="_Toc439684295"/>
      <w:r>
        <w:rPr>
          <w:rFonts w:hint="eastAsia" w:ascii="宋体" w:hAnsi="宋体" w:eastAsia="宋体" w:cs="宋体"/>
          <w:color w:val="auto"/>
          <w:sz w:val="24"/>
          <w:szCs w:val="24"/>
        </w:rPr>
        <w:t>15.5 承包人的合理化建议</w:t>
      </w:r>
      <w:bookmarkEnd w:id="1576"/>
      <w:bookmarkEnd w:id="1577"/>
      <w:bookmarkEnd w:id="1578"/>
      <w:bookmarkEnd w:id="1579"/>
      <w:bookmarkEnd w:id="1580"/>
      <w:bookmarkEnd w:id="1581"/>
      <w:bookmarkEnd w:id="1582"/>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15.5.2 承包人提出的合理化建议降低了合同价格、缩短了工期或者提高了工程经济效益的，发包人可按国家有关规定在专用合同条款中约定给予奖励。</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583" w:name="_Toc434412311"/>
      <w:bookmarkStart w:id="1584" w:name="_Toc453678640"/>
      <w:bookmarkStart w:id="1585" w:name="_Toc414352060"/>
      <w:bookmarkStart w:id="1586" w:name="_Toc414368532"/>
      <w:bookmarkStart w:id="1587" w:name="_Toc439684296"/>
      <w:bookmarkStart w:id="1588" w:name="_Toc453677448"/>
      <w:bookmarkStart w:id="1589" w:name="_Toc414275377"/>
      <w:r>
        <w:rPr>
          <w:rFonts w:hint="eastAsia" w:ascii="宋体" w:hAnsi="宋体" w:eastAsia="宋体" w:cs="宋体"/>
          <w:color w:val="auto"/>
          <w:sz w:val="24"/>
          <w:szCs w:val="24"/>
        </w:rPr>
        <w:t>15.6 暂列金额</w:t>
      </w:r>
      <w:bookmarkEnd w:id="1583"/>
      <w:bookmarkEnd w:id="1584"/>
      <w:bookmarkEnd w:id="1585"/>
      <w:bookmarkEnd w:id="1586"/>
      <w:bookmarkEnd w:id="1587"/>
      <w:bookmarkEnd w:id="1588"/>
      <w:bookmarkEnd w:id="1589"/>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暂列金额只能按照监理人的指示使用，并对合同价格进行相应调整。</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590" w:name="_Toc434412312"/>
      <w:bookmarkStart w:id="1591" w:name="_Toc414368533"/>
      <w:bookmarkStart w:id="1592" w:name="_Toc414275378"/>
      <w:bookmarkStart w:id="1593" w:name="_Toc414352061"/>
      <w:bookmarkStart w:id="1594" w:name="_Toc453678641"/>
      <w:bookmarkStart w:id="1595" w:name="_Toc439684297"/>
      <w:bookmarkStart w:id="1596" w:name="_Toc453677449"/>
      <w:r>
        <w:rPr>
          <w:rFonts w:hint="eastAsia" w:ascii="宋体" w:hAnsi="宋体" w:eastAsia="宋体" w:cs="宋体"/>
          <w:color w:val="auto"/>
          <w:sz w:val="24"/>
          <w:szCs w:val="24"/>
        </w:rPr>
        <w:t>15.7 计日工</w:t>
      </w:r>
      <w:bookmarkEnd w:id="1590"/>
      <w:bookmarkEnd w:id="1591"/>
      <w:bookmarkEnd w:id="1592"/>
      <w:bookmarkEnd w:id="1593"/>
      <w:bookmarkEnd w:id="1594"/>
      <w:bookmarkEnd w:id="1595"/>
      <w:bookmarkEnd w:id="1596"/>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15.7.1 发包人认为有必要时，由监理人通知承包人以计日工方式实施变更的零星工作。其价款按列入已标价工程量清单中的计日工计价子目及其单价进行计算。</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15.7.2 采用计日工计价的任何一项变更工作，应从暂列金额中支付，承包人应在该项变更的实施过程中，每天提交以下报表和有关凭证报送监理人审批：</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（l）工作名称、内容和数量；</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（2）投入该工作所有人员的姓名、工种、级别和耗用工时；</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（3）投入该工作的材料类别和数量；</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（4）投入该工作的施工设备型号、台数和耗用台时；</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（5）监理人要求提交的其他资料和凭证。</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15.7.3 计日工由承包人汇总后，按第17.3 .2项的约定列入进度付款申请单，由监理人复核并经发包人同意后列入进度付款。</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597" w:name="_Toc414368534"/>
      <w:bookmarkStart w:id="1598" w:name="_Toc439684298"/>
      <w:bookmarkStart w:id="1599" w:name="_Toc414352062"/>
      <w:bookmarkStart w:id="1600" w:name="_Toc434412313"/>
      <w:bookmarkStart w:id="1601" w:name="_Toc414275379"/>
      <w:bookmarkStart w:id="1602" w:name="_Toc453678642"/>
      <w:bookmarkStart w:id="1603" w:name="_Toc453677450"/>
      <w:r>
        <w:rPr>
          <w:rFonts w:hint="eastAsia" w:ascii="宋体" w:hAnsi="宋体" w:eastAsia="宋体" w:cs="宋体"/>
          <w:color w:val="auto"/>
          <w:sz w:val="24"/>
          <w:szCs w:val="24"/>
        </w:rPr>
        <w:t>15.8 暂估价</w:t>
      </w:r>
      <w:bookmarkEnd w:id="1597"/>
      <w:bookmarkEnd w:id="1598"/>
      <w:bookmarkEnd w:id="1599"/>
      <w:bookmarkEnd w:id="1600"/>
      <w:bookmarkEnd w:id="1601"/>
      <w:bookmarkEnd w:id="1602"/>
      <w:bookmarkEnd w:id="1603"/>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15.8.1  发包人在工程量清单中给定暂估价的材料、工程设备和专业工程量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bookmarkStart w:id="1604" w:name="_Toc203758993"/>
      <w:bookmarkStart w:id="1605" w:name="_Toc184635113"/>
    </w:p>
    <w:p>
      <w:pPr>
        <w:pStyle w:val="146"/>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606" w:name="_Toc414368535"/>
      <w:bookmarkStart w:id="1607" w:name="_Toc414275380"/>
      <w:bookmarkStart w:id="1608" w:name="_Toc439684299"/>
      <w:bookmarkStart w:id="1609" w:name="_Toc453678643"/>
      <w:bookmarkStart w:id="1610" w:name="_Toc414352063"/>
      <w:bookmarkStart w:id="1611" w:name="_Toc453677451"/>
      <w:bookmarkStart w:id="1612" w:name="_Toc434412314"/>
      <w:r>
        <w:rPr>
          <w:rFonts w:hint="eastAsia" w:ascii="宋体" w:hAnsi="宋体" w:eastAsia="宋体" w:cs="宋体"/>
          <w:color w:val="auto"/>
          <w:sz w:val="24"/>
          <w:szCs w:val="24"/>
        </w:rPr>
        <w:t>16．价格调整</w:t>
      </w:r>
      <w:bookmarkEnd w:id="1604"/>
      <w:bookmarkEnd w:id="1605"/>
      <w:bookmarkEnd w:id="1606"/>
      <w:bookmarkEnd w:id="1607"/>
      <w:bookmarkEnd w:id="1608"/>
      <w:bookmarkEnd w:id="1609"/>
      <w:bookmarkEnd w:id="1610"/>
      <w:bookmarkEnd w:id="1611"/>
      <w:bookmarkEnd w:id="1612"/>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613" w:name="_Toc453677452"/>
      <w:bookmarkStart w:id="1614" w:name="_Toc414368536"/>
      <w:bookmarkStart w:id="1615" w:name="_Toc434412315"/>
      <w:bookmarkStart w:id="1616" w:name="_Toc414275381"/>
      <w:bookmarkStart w:id="1617" w:name="_Toc414352064"/>
      <w:bookmarkStart w:id="1618" w:name="_Toc453678644"/>
      <w:bookmarkStart w:id="1619" w:name="_Toc439684300"/>
      <w:r>
        <w:rPr>
          <w:rFonts w:hint="eastAsia" w:ascii="宋体" w:hAnsi="宋体" w:eastAsia="宋体" w:cs="宋体"/>
          <w:color w:val="auto"/>
          <w:sz w:val="24"/>
          <w:szCs w:val="24"/>
        </w:rPr>
        <w:t>16.1 物价波动引起的价格调整</w:t>
      </w:r>
      <w:bookmarkEnd w:id="1613"/>
      <w:bookmarkEnd w:id="1614"/>
      <w:bookmarkEnd w:id="1615"/>
      <w:bookmarkEnd w:id="1616"/>
      <w:bookmarkEnd w:id="1617"/>
      <w:bookmarkEnd w:id="1618"/>
      <w:bookmarkEnd w:id="1619"/>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除专用合同条款另有约定外，因物价波动引起的价格调整按照本款约定处理。</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16.1.1 采用价格指数调整价格差额</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16.1.1.1 价格调整公式</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因人工、材料和设备等价格波动影响合同价格时，根据投标函附录中的价格指数和权重表约定的数据，按以下公式计算差额并调整合同价格。</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pict>
          <v:shape id="Picture 22" o:spid="_x0000_s1027" o:spt="75" type="#_x0000_t75" style="position:absolute;left:0pt;margin-top:-0.05pt;height:17.2pt;width:9.15pt;mso-position-horizontal:left;mso-wrap-distance-bottom:0pt;mso-wrap-distance-left:9pt;mso-wrap-distance-right:9pt;mso-wrap-distance-top:0pt;z-index:251662336;mso-width-relative:page;mso-height-relative:page;" o:ole="t" filled="f" o:preferrelative="t" stroked="f" coordsize="21600,21600">
            <v:path/>
            <v:fill on="f" focussize="0,0"/>
            <v:stroke on="f" joinstyle="miter"/>
            <v:imagedata r:id="rId23" o:title=""/>
            <o:lock v:ext="edit" aspectratio="t"/>
            <w10:wrap type="square" side="right"/>
          </v:shape>
          <o:OLEObject Type="Embed" ProgID="Equation.3" ShapeID="Picture 22" DrawAspect="Content" ObjectID="_1468075725" r:id="rId22">
            <o:LockedField>false</o:LockedField>
          </o:OLEObject>
        </w:pict>
      </w:r>
      <w:r>
        <w:rPr>
          <w:rFonts w:hint="eastAsia" w:ascii="宋体" w:hAnsi="宋体" w:eastAsia="宋体" w:cs="宋体"/>
          <w:color w:val="auto"/>
          <w:sz w:val="24"/>
          <w:szCs w:val="24"/>
        </w:rPr>
        <w:t>△P=P</w:t>
      </w:r>
      <w:r>
        <w:rPr>
          <w:rFonts w:hint="eastAsia" w:ascii="宋体" w:hAnsi="宋体" w:eastAsia="宋体" w:cs="宋体"/>
          <w:color w:val="auto"/>
          <w:position w:val="-12"/>
          <w:sz w:val="24"/>
          <w:szCs w:val="24"/>
        </w:rPr>
        <w:object>
          <v:shape id="_x0000_i1025" o:spt="75" type="#_x0000_t75" style="height:18pt;width:6.75pt;" o:ole="t" filled="f" o:preferrelative="t" stroked="f" coordsize="21600,21600">
            <v:path/>
            <v:fill on="f" focussize="0,0"/>
            <v:stroke on="f" joinstyle="miter"/>
            <v:imagedata r:id="rId25" o:title=""/>
            <o:lock v:ext="edit" aspectratio="t"/>
            <w10:wrap type="none"/>
            <w10:anchorlock/>
          </v:shape>
          <o:OLEObject Type="Embed" ProgID="Equation.3" ShapeID="_x0000_i1025" DrawAspect="Content" ObjectID="_1468075726" r:id="rId24">
            <o:LockedField>false</o:LockedField>
          </o:OLEObject>
        </w:object>
      </w:r>
      <w:r>
        <w:rPr>
          <w:rFonts w:hint="eastAsia" w:ascii="宋体" w:hAnsi="宋体" w:eastAsia="宋体" w:cs="宋体"/>
          <w:color w:val="auto"/>
          <w:sz w:val="24"/>
          <w:szCs w:val="24"/>
        </w:rPr>
        <w:t>〔A+（B</w:t>
      </w:r>
      <w:r>
        <w:rPr>
          <w:rFonts w:hint="eastAsia" w:ascii="宋体" w:hAnsi="宋体" w:eastAsia="宋体" w:cs="宋体"/>
          <w:color w:val="auto"/>
          <w:position w:val="-10"/>
          <w:sz w:val="24"/>
          <w:szCs w:val="24"/>
        </w:rPr>
        <w:object>
          <v:shape id="_x0000_i1026" o:spt="75" type="#_x0000_t75" style="height:17.25pt;width:6pt;" o:ole="t" filled="f" o:preferrelative="t" stroked="f" coordsize="21600,21600">
            <v:path/>
            <v:fill on="f" focussize="0,0"/>
            <v:stroke on="f" joinstyle="miter"/>
            <v:imagedata r:id="rId27" o:title=""/>
            <o:lock v:ext="edit" aspectratio="t"/>
            <w10:wrap type="none"/>
            <w10:anchorlock/>
          </v:shape>
          <o:OLEObject Type="Embed" ProgID="Equation.3" ShapeID="_x0000_i1026" DrawAspect="Content" ObjectID="_1468075727" r:id="rId26">
            <o:LockedField>false</o:LockedField>
          </o:OLEObject>
        </w:object>
      </w:r>
      <w:r>
        <w:rPr>
          <w:rFonts w:hint="eastAsia" w:ascii="宋体" w:hAnsi="宋体" w:eastAsia="宋体" w:cs="宋体"/>
          <w:color w:val="auto"/>
          <w:sz w:val="24"/>
          <w:szCs w:val="24"/>
        </w:rPr>
        <w:t>×</w:t>
      </w:r>
      <w:r>
        <w:rPr>
          <w:rFonts w:hint="eastAsia" w:ascii="宋体" w:hAnsi="宋体" w:eastAsia="宋体" w:cs="宋体"/>
          <w:color w:val="auto"/>
          <w:position w:val="-28"/>
          <w:sz w:val="24"/>
          <w:szCs w:val="24"/>
        </w:rPr>
        <w:object>
          <v:shape id="_x0000_i1027" o:spt="75" type="#_x0000_t75" style="height:33.75pt;width:19.5pt;" o:ole="t" filled="f" o:preferrelative="t" stroked="f" coordsize="21600,21600">
            <v:path/>
            <v:fill on="f" focussize="0,0"/>
            <v:stroke on="f" joinstyle="miter"/>
            <v:imagedata r:id="rId29" o:title=""/>
            <o:lock v:ext="edit" aspectratio="t"/>
            <w10:wrap type="none"/>
            <w10:anchorlock/>
          </v:shape>
          <o:OLEObject Type="Embed" ProgID="Equation.3" ShapeID="_x0000_i1027" DrawAspect="Content" ObjectID="_1468075728" r:id="rId28">
            <o:LockedField>false</o:LockedField>
          </o:OLEObject>
        </w:object>
      </w:r>
      <w:r>
        <w:rPr>
          <w:rFonts w:hint="eastAsia" w:ascii="宋体" w:hAnsi="宋体" w:eastAsia="宋体" w:cs="宋体"/>
          <w:color w:val="auto"/>
          <w:sz w:val="24"/>
          <w:szCs w:val="24"/>
        </w:rPr>
        <w:t>+B</w:t>
      </w:r>
      <w:r>
        <w:rPr>
          <w:rFonts w:hint="eastAsia" w:ascii="宋体" w:hAnsi="宋体" w:eastAsia="宋体" w:cs="宋体"/>
          <w:color w:val="auto"/>
          <w:position w:val="-10"/>
          <w:sz w:val="24"/>
          <w:szCs w:val="24"/>
        </w:rPr>
        <w:object>
          <v:shape id="_x0000_i1028" o:spt="75" type="#_x0000_t75" style="height:17.25pt;width:8.25pt;" o:ole="t" filled="f" o:preferrelative="t" stroked="f" coordsize="21600,21600">
            <v:path/>
            <v:fill on="f" focussize="0,0"/>
            <v:stroke on="f" joinstyle="miter"/>
            <v:imagedata r:id="rId31" o:title=""/>
            <o:lock v:ext="edit" aspectratio="t"/>
            <w10:wrap type="none"/>
            <w10:anchorlock/>
          </v:shape>
          <o:OLEObject Type="Embed" ProgID="Equation.3" ShapeID="_x0000_i1028" DrawAspect="Content" ObjectID="_1468075729" r:id="rId30">
            <o:LockedField>false</o:LockedField>
          </o:OLEObject>
        </w:object>
      </w:r>
      <w:r>
        <w:rPr>
          <w:rFonts w:hint="eastAsia" w:ascii="宋体" w:hAnsi="宋体" w:eastAsia="宋体" w:cs="宋体"/>
          <w:color w:val="auto"/>
          <w:sz w:val="24"/>
          <w:szCs w:val="24"/>
        </w:rPr>
        <w:t>×</w:t>
      </w:r>
      <w:r>
        <w:rPr>
          <w:rFonts w:hint="eastAsia" w:ascii="宋体" w:hAnsi="宋体" w:eastAsia="宋体" w:cs="宋体"/>
          <w:color w:val="auto"/>
          <w:position w:val="-28"/>
          <w:sz w:val="24"/>
          <w:szCs w:val="24"/>
        </w:rPr>
        <w:object>
          <v:shape id="_x0000_i1029" o:spt="75" type="#_x0000_t75" style="height:33.75pt;width:21pt;" o:ole="t" filled="f" o:preferrelative="t" stroked="f" coordsize="21600,21600">
            <v:path/>
            <v:fill on="f" focussize="0,0"/>
            <v:stroke on="f" joinstyle="miter"/>
            <v:imagedata r:id="rId33" o:title=""/>
            <o:lock v:ext="edit" aspectratio="t"/>
            <w10:wrap type="none"/>
            <w10:anchorlock/>
          </v:shape>
          <o:OLEObject Type="Embed" ProgID="Equation.3" ShapeID="_x0000_i1029" DrawAspect="Content" ObjectID="_1468075730" r:id="rId32">
            <o:LockedField>false</o:LockedField>
          </o:OLEObject>
        </w:object>
      </w:r>
      <w:r>
        <w:rPr>
          <w:rFonts w:hint="eastAsia" w:ascii="宋体" w:hAnsi="宋体" w:eastAsia="宋体" w:cs="宋体"/>
          <w:color w:val="auto"/>
          <w:sz w:val="24"/>
          <w:szCs w:val="24"/>
        </w:rPr>
        <w:t>+B</w:t>
      </w:r>
      <w:r>
        <w:rPr>
          <w:rFonts w:hint="eastAsia" w:ascii="宋体" w:hAnsi="宋体" w:eastAsia="宋体" w:cs="宋体"/>
          <w:color w:val="auto"/>
          <w:position w:val="-12"/>
          <w:sz w:val="24"/>
          <w:szCs w:val="24"/>
        </w:rPr>
        <w:object>
          <v:shape id="_x0000_i1030" o:spt="75" type="#_x0000_t75" style="height:18pt;width:6.75pt;" o:ole="t" filled="f" o:preferrelative="t" stroked="f" coordsize="21600,21600">
            <v:path/>
            <v:fill on="f" focussize="0,0"/>
            <v:stroke on="f" joinstyle="miter"/>
            <v:imagedata r:id="rId35" o:title=""/>
            <o:lock v:ext="edit" aspectratio="t"/>
            <w10:wrap type="none"/>
            <w10:anchorlock/>
          </v:shape>
          <o:OLEObject Type="Embed" ProgID="Equation.3" ShapeID="_x0000_i1030" DrawAspect="Content" ObjectID="_1468075731" r:id="rId34">
            <o:LockedField>false</o:LockedField>
          </o:OLEObject>
        </w:object>
      </w:r>
      <w:r>
        <w:rPr>
          <w:rFonts w:hint="eastAsia" w:ascii="宋体" w:hAnsi="宋体" w:eastAsia="宋体" w:cs="宋体"/>
          <w:color w:val="auto"/>
          <w:sz w:val="24"/>
          <w:szCs w:val="24"/>
        </w:rPr>
        <w:t>×</w:t>
      </w:r>
      <w:r>
        <w:rPr>
          <w:rFonts w:hint="eastAsia" w:ascii="宋体" w:hAnsi="宋体" w:eastAsia="宋体" w:cs="宋体"/>
          <w:color w:val="auto"/>
          <w:position w:val="-28"/>
          <w:sz w:val="24"/>
          <w:szCs w:val="24"/>
        </w:rPr>
        <w:object>
          <v:shape id="_x0000_i1031" o:spt="75" type="#_x0000_t75" style="height:33.75pt;width:21pt;" o:ole="t" filled="f" o:preferrelative="t" stroked="f" coordsize="21600,21600">
            <v:path/>
            <v:fill on="f" focussize="0,0"/>
            <v:stroke on="f" joinstyle="miter"/>
            <v:imagedata r:id="rId37" o:title=""/>
            <o:lock v:ext="edit" aspectratio="t"/>
            <w10:wrap type="none"/>
            <w10:anchorlock/>
          </v:shape>
          <o:OLEObject Type="Embed" ProgID="Equation.3" ShapeID="_x0000_i1031" DrawAspect="Content" ObjectID="_1468075732" r:id="rId36">
            <o:LockedField>false</o:LockedField>
          </o:OLEObject>
        </w:object>
      </w:r>
      <w:r>
        <w:rPr>
          <w:rFonts w:hint="eastAsia" w:ascii="宋体" w:hAnsi="宋体" w:eastAsia="宋体" w:cs="宋体"/>
          <w:color w:val="auto"/>
          <w:sz w:val="24"/>
          <w:szCs w:val="24"/>
        </w:rPr>
        <w:t>+…+B</w:t>
      </w:r>
      <w:r>
        <w:rPr>
          <w:rFonts w:hint="eastAsia" w:ascii="宋体" w:hAnsi="宋体" w:eastAsia="宋体" w:cs="宋体"/>
          <w:color w:val="auto"/>
          <w:position w:val="-12"/>
          <w:sz w:val="24"/>
          <w:szCs w:val="24"/>
        </w:rPr>
        <w:object>
          <v:shape id="_x0000_i1032" o:spt="75" type="#_x0000_t75" style="height:18pt;width:8.25pt;" o:ole="t" filled="f" o:preferrelative="t" stroked="f" coordsize="21600,21600">
            <v:path/>
            <v:fill on="f" focussize="0,0"/>
            <v:stroke on="f" joinstyle="miter"/>
            <v:imagedata r:id="rId39" o:title=""/>
            <o:lock v:ext="edit" aspectratio="t"/>
            <w10:wrap type="none"/>
            <w10:anchorlock/>
          </v:shape>
          <o:OLEObject Type="Embed" ProgID="Equation.3" ShapeID="_x0000_i1032" DrawAspect="Content" ObjectID="_1468075733" r:id="rId38">
            <o:LockedField>false</o:LockedField>
          </o:OLEObject>
        </w:object>
      </w:r>
      <w:r>
        <w:rPr>
          <w:rFonts w:hint="eastAsia" w:ascii="宋体" w:hAnsi="宋体" w:eastAsia="宋体" w:cs="宋体"/>
          <w:color w:val="auto"/>
          <w:sz w:val="24"/>
          <w:szCs w:val="24"/>
        </w:rPr>
        <w:t>×</w:t>
      </w:r>
      <w:r>
        <w:rPr>
          <w:rFonts w:hint="eastAsia" w:ascii="宋体" w:hAnsi="宋体" w:eastAsia="宋体" w:cs="宋体"/>
          <w:color w:val="auto"/>
          <w:position w:val="-28"/>
          <w:sz w:val="24"/>
          <w:szCs w:val="24"/>
        </w:rPr>
        <w:object>
          <v:shape id="_x0000_i1033" o:spt="75" type="#_x0000_t75" style="height:33.75pt;width:21.75pt;" o:ole="t" filled="f" o:preferrelative="t" stroked="f" coordsize="21600,21600">
            <v:path/>
            <v:fill on="f" focussize="0,0"/>
            <v:stroke on="f" joinstyle="miter"/>
            <v:imagedata r:id="rId41" o:title=""/>
            <o:lock v:ext="edit" aspectratio="t"/>
            <w10:wrap type="none"/>
            <w10:anchorlock/>
          </v:shape>
          <o:OLEObject Type="Embed" ProgID="Equation.3" ShapeID="_x0000_i1033" DrawAspect="Content" ObjectID="_1468075734" r:id="rId40">
            <o:LockedField>false</o:LockedField>
          </o:OLEObject>
        </w:object>
      </w:r>
      <w:r>
        <w:rPr>
          <w:rFonts w:hint="eastAsia" w:ascii="宋体" w:hAnsi="宋体" w:eastAsia="宋体" w:cs="宋体"/>
          <w:color w:val="auto"/>
          <w:sz w:val="24"/>
          <w:szCs w:val="24"/>
        </w:rPr>
        <w:t>）-1〕</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式中：△P---需调整的价格差额；</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P</w:t>
      </w:r>
      <w:r>
        <w:rPr>
          <w:rFonts w:hint="eastAsia" w:ascii="宋体" w:hAnsi="宋体" w:eastAsia="宋体" w:cs="宋体"/>
          <w:color w:val="auto"/>
          <w:sz w:val="24"/>
          <w:szCs w:val="24"/>
          <w:vertAlign w:val="subscript"/>
        </w:rPr>
        <w:t>O</w:t>
      </w:r>
      <w:r>
        <w:rPr>
          <w:rFonts w:hint="eastAsia" w:ascii="宋体" w:hAnsi="宋体" w:eastAsia="宋体" w:cs="宋体"/>
          <w:color w:val="auto"/>
          <w:sz w:val="24"/>
          <w:szCs w:val="24"/>
        </w:rPr>
        <w:t>---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A---定值权重（即不调部分的权重）； </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vertAlign w:val="subscript"/>
        </w:rPr>
        <w:t>1</w:t>
      </w:r>
      <w:r>
        <w:rPr>
          <w:rFonts w:hint="eastAsia" w:ascii="宋体" w:hAnsi="宋体" w:eastAsia="宋体" w:cs="宋体"/>
          <w:color w:val="auto"/>
          <w:sz w:val="24"/>
          <w:szCs w:val="24"/>
        </w:rPr>
        <w:t>；B</w:t>
      </w:r>
      <w:r>
        <w:rPr>
          <w:rFonts w:hint="eastAsia" w:ascii="宋体" w:hAnsi="宋体" w:eastAsia="宋体" w:cs="宋体"/>
          <w:color w:val="auto"/>
          <w:sz w:val="24"/>
          <w:szCs w:val="24"/>
          <w:vertAlign w:val="subscript"/>
        </w:rPr>
        <w:t>2</w:t>
      </w:r>
      <w:r>
        <w:rPr>
          <w:rFonts w:hint="eastAsia" w:ascii="宋体" w:hAnsi="宋体" w:eastAsia="宋体" w:cs="宋体"/>
          <w:color w:val="auto"/>
          <w:sz w:val="24"/>
          <w:szCs w:val="24"/>
        </w:rPr>
        <w:t>；B</w:t>
      </w:r>
      <w:r>
        <w:rPr>
          <w:rFonts w:hint="eastAsia" w:ascii="宋体" w:hAnsi="宋体" w:eastAsia="宋体" w:cs="宋体"/>
          <w:color w:val="auto"/>
          <w:sz w:val="24"/>
          <w:szCs w:val="24"/>
          <w:vertAlign w:val="subscript"/>
        </w:rPr>
        <w:t>3</w:t>
      </w:r>
      <w:r>
        <w:rPr>
          <w:rFonts w:hint="eastAsia" w:ascii="宋体" w:hAnsi="宋体" w:eastAsia="宋体" w:cs="宋体"/>
          <w:color w:val="auto"/>
          <w:sz w:val="24"/>
          <w:szCs w:val="24"/>
        </w:rPr>
        <w:t>；……B</w:t>
      </w:r>
      <w:r>
        <w:rPr>
          <w:rFonts w:hint="eastAsia" w:ascii="宋体" w:hAnsi="宋体" w:eastAsia="宋体" w:cs="宋体"/>
          <w:color w:val="auto"/>
          <w:sz w:val="24"/>
          <w:szCs w:val="24"/>
          <w:vertAlign w:val="subscript"/>
        </w:rPr>
        <w:t>n</w:t>
      </w:r>
      <w:r>
        <w:rPr>
          <w:rFonts w:hint="eastAsia" w:ascii="宋体" w:hAnsi="宋体" w:eastAsia="宋体" w:cs="宋体"/>
          <w:color w:val="auto"/>
          <w:sz w:val="24"/>
          <w:szCs w:val="24"/>
        </w:rPr>
        <w:t xml:space="preserve"> ---各可调因子的变值权重（即可调部分的权重）为各可调因子在投标函投标总报价中所占的比例；</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F</w:t>
      </w:r>
      <w:r>
        <w:rPr>
          <w:rFonts w:hint="eastAsia" w:ascii="宋体" w:hAnsi="宋体" w:eastAsia="宋体" w:cs="宋体"/>
          <w:color w:val="auto"/>
          <w:sz w:val="24"/>
          <w:szCs w:val="24"/>
          <w:vertAlign w:val="subscript"/>
        </w:rPr>
        <w:t>t1</w:t>
      </w:r>
      <w:r>
        <w:rPr>
          <w:rFonts w:hint="eastAsia" w:ascii="宋体" w:hAnsi="宋体" w:eastAsia="宋体" w:cs="宋体"/>
          <w:color w:val="auto"/>
          <w:sz w:val="24"/>
          <w:szCs w:val="24"/>
        </w:rPr>
        <w:t>；F</w:t>
      </w:r>
      <w:r>
        <w:rPr>
          <w:rFonts w:hint="eastAsia" w:ascii="宋体" w:hAnsi="宋体" w:eastAsia="宋体" w:cs="宋体"/>
          <w:color w:val="auto"/>
          <w:sz w:val="24"/>
          <w:szCs w:val="24"/>
          <w:vertAlign w:val="subscript"/>
        </w:rPr>
        <w:t>t2</w:t>
      </w:r>
      <w:r>
        <w:rPr>
          <w:rFonts w:hint="eastAsia" w:ascii="宋体" w:hAnsi="宋体" w:eastAsia="宋体" w:cs="宋体"/>
          <w:color w:val="auto"/>
          <w:sz w:val="24"/>
          <w:szCs w:val="24"/>
        </w:rPr>
        <w:t>；F</w:t>
      </w:r>
      <w:r>
        <w:rPr>
          <w:rFonts w:hint="eastAsia" w:ascii="宋体" w:hAnsi="宋体" w:eastAsia="宋体" w:cs="宋体"/>
          <w:color w:val="auto"/>
          <w:sz w:val="24"/>
          <w:szCs w:val="24"/>
          <w:vertAlign w:val="subscript"/>
        </w:rPr>
        <w:t>t3</w:t>
      </w:r>
      <w:r>
        <w:rPr>
          <w:rFonts w:hint="eastAsia" w:ascii="宋体" w:hAnsi="宋体" w:eastAsia="宋体" w:cs="宋体"/>
          <w:color w:val="auto"/>
          <w:sz w:val="24"/>
          <w:szCs w:val="24"/>
        </w:rPr>
        <w:t>；……F</w:t>
      </w:r>
      <w:r>
        <w:rPr>
          <w:rFonts w:hint="eastAsia" w:ascii="宋体" w:hAnsi="宋体" w:eastAsia="宋体" w:cs="宋体"/>
          <w:color w:val="auto"/>
          <w:sz w:val="24"/>
          <w:szCs w:val="24"/>
          <w:vertAlign w:val="subscript"/>
        </w:rPr>
        <w:t>tn</w:t>
      </w:r>
      <w:r>
        <w:rPr>
          <w:rFonts w:hint="eastAsia" w:ascii="宋体" w:hAnsi="宋体" w:eastAsia="宋体" w:cs="宋体"/>
          <w:color w:val="auto"/>
          <w:sz w:val="24"/>
          <w:szCs w:val="24"/>
        </w:rPr>
        <w:t xml:space="preserve"> ---各可调因子的现行价格指数，指第17.3.3项、第17.5.2项和第17.6.2项约定的付款证书相关周期最后一天的前42天的各可调因子的价格指数；</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F</w:t>
      </w:r>
      <w:r>
        <w:rPr>
          <w:rFonts w:hint="eastAsia" w:ascii="宋体" w:hAnsi="宋体" w:eastAsia="宋体" w:cs="宋体"/>
          <w:color w:val="auto"/>
          <w:sz w:val="24"/>
          <w:szCs w:val="24"/>
          <w:vertAlign w:val="subscript"/>
        </w:rPr>
        <w:t>01</w:t>
      </w:r>
      <w:r>
        <w:rPr>
          <w:rFonts w:hint="eastAsia" w:ascii="宋体" w:hAnsi="宋体" w:eastAsia="宋体" w:cs="宋体"/>
          <w:color w:val="auto"/>
          <w:sz w:val="24"/>
          <w:szCs w:val="24"/>
        </w:rPr>
        <w:t>；F</w:t>
      </w:r>
      <w:r>
        <w:rPr>
          <w:rFonts w:hint="eastAsia" w:ascii="宋体" w:hAnsi="宋体" w:eastAsia="宋体" w:cs="宋体"/>
          <w:color w:val="auto"/>
          <w:sz w:val="24"/>
          <w:szCs w:val="24"/>
          <w:vertAlign w:val="subscript"/>
        </w:rPr>
        <w:t>02</w:t>
      </w:r>
      <w:r>
        <w:rPr>
          <w:rFonts w:hint="eastAsia" w:ascii="宋体" w:hAnsi="宋体" w:eastAsia="宋体" w:cs="宋体"/>
          <w:color w:val="auto"/>
          <w:sz w:val="24"/>
          <w:szCs w:val="24"/>
        </w:rPr>
        <w:t>；F</w:t>
      </w:r>
      <w:r>
        <w:rPr>
          <w:rFonts w:hint="eastAsia" w:ascii="宋体" w:hAnsi="宋体" w:eastAsia="宋体" w:cs="宋体"/>
          <w:color w:val="auto"/>
          <w:sz w:val="24"/>
          <w:szCs w:val="24"/>
          <w:vertAlign w:val="subscript"/>
        </w:rPr>
        <w:t>03</w:t>
      </w:r>
      <w:r>
        <w:rPr>
          <w:rFonts w:hint="eastAsia" w:ascii="宋体" w:hAnsi="宋体" w:eastAsia="宋体" w:cs="宋体"/>
          <w:color w:val="auto"/>
          <w:sz w:val="24"/>
          <w:szCs w:val="24"/>
        </w:rPr>
        <w:t>；……F</w:t>
      </w:r>
      <w:r>
        <w:rPr>
          <w:rFonts w:hint="eastAsia" w:ascii="宋体" w:hAnsi="宋体" w:eastAsia="宋体" w:cs="宋体"/>
          <w:color w:val="auto"/>
          <w:sz w:val="24"/>
          <w:szCs w:val="24"/>
          <w:vertAlign w:val="subscript"/>
        </w:rPr>
        <w:t>0n</w:t>
      </w:r>
      <w:r>
        <w:rPr>
          <w:rFonts w:hint="eastAsia" w:ascii="宋体" w:hAnsi="宋体" w:eastAsia="宋体" w:cs="宋体"/>
          <w:color w:val="auto"/>
          <w:sz w:val="24"/>
          <w:szCs w:val="24"/>
        </w:rPr>
        <w:t xml:space="preserve"> ---各可调因子的基本价格指数，指基准日期的各可调因子的价格指数。</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16.1.1.2 暂时确定调整差额</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在计算调整差额时得不到现行价格指数的，可暂用上一次价格指数计算，并在以后的付款中再按实际价格指数进行调整。</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16.1.1.3 权重的调整</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按第15.1 款约定的变更导致原定合同中的权重不合理时，由监理人与承包人和发包人协商后进行调整。</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16.1.1.4 承包人工期延误后的价格调整</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16.1.2 采用造价信息调整价格差额</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价格调整的材料，其单价和采购数应由监理人复核，监理人确认需调整的材料单价及数量，作为调整工程合同价格差额的依据。</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工程造价信息的来源以及价格调整的项目和系数在专用合同条款中约定。</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620" w:name="_Toc439684301"/>
      <w:bookmarkStart w:id="1621" w:name="_Toc453677453"/>
      <w:bookmarkStart w:id="1622" w:name="_Toc414352065"/>
      <w:bookmarkStart w:id="1623" w:name="_Toc453678645"/>
      <w:bookmarkStart w:id="1624" w:name="_Toc414275382"/>
      <w:bookmarkStart w:id="1625" w:name="_Toc434412316"/>
      <w:bookmarkStart w:id="1626" w:name="_Toc414368537"/>
      <w:r>
        <w:rPr>
          <w:rFonts w:hint="eastAsia" w:ascii="宋体" w:hAnsi="宋体" w:eastAsia="宋体" w:cs="宋体"/>
          <w:color w:val="auto"/>
          <w:sz w:val="24"/>
          <w:szCs w:val="24"/>
        </w:rPr>
        <w:t>16.2 法律变化引起的价格调整</w:t>
      </w:r>
      <w:bookmarkEnd w:id="1620"/>
      <w:bookmarkEnd w:id="1621"/>
      <w:bookmarkEnd w:id="1622"/>
      <w:bookmarkEnd w:id="1623"/>
      <w:bookmarkEnd w:id="1624"/>
      <w:bookmarkEnd w:id="1625"/>
      <w:bookmarkEnd w:id="1626"/>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4"/>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627" w:name="_Toc414268889"/>
      <w:bookmarkStart w:id="1628" w:name="_Toc203758994"/>
      <w:bookmarkStart w:id="1629" w:name="_Toc439684302"/>
      <w:bookmarkStart w:id="1630" w:name="_Toc184635114"/>
      <w:bookmarkStart w:id="1631" w:name="_Toc414352066"/>
      <w:bookmarkStart w:id="1632" w:name="_Toc453678646"/>
      <w:bookmarkStart w:id="1633" w:name="_Toc434412317"/>
      <w:bookmarkStart w:id="1634" w:name="_Toc414368538"/>
      <w:bookmarkStart w:id="1635" w:name="_Toc414275383"/>
      <w:bookmarkStart w:id="1636" w:name="_Toc453677454"/>
      <w:r>
        <w:rPr>
          <w:rFonts w:hint="eastAsia" w:ascii="宋体" w:hAnsi="宋体" w:eastAsia="宋体" w:cs="宋体"/>
          <w:color w:val="auto"/>
          <w:sz w:val="24"/>
          <w:szCs w:val="24"/>
        </w:rPr>
        <w:t>17．计量与支付</w:t>
      </w:r>
      <w:bookmarkEnd w:id="1627"/>
      <w:bookmarkEnd w:id="1628"/>
      <w:bookmarkEnd w:id="1629"/>
      <w:bookmarkEnd w:id="1630"/>
      <w:bookmarkEnd w:id="1631"/>
      <w:bookmarkEnd w:id="1632"/>
      <w:bookmarkEnd w:id="1633"/>
      <w:bookmarkEnd w:id="1634"/>
      <w:bookmarkEnd w:id="1635"/>
      <w:bookmarkEnd w:id="1636"/>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637" w:name="_Toc414275384"/>
      <w:bookmarkStart w:id="1638" w:name="_Toc453678647"/>
      <w:bookmarkStart w:id="1639" w:name="_Toc439684303"/>
      <w:bookmarkStart w:id="1640" w:name="_Toc453677455"/>
      <w:bookmarkStart w:id="1641" w:name="_Toc434412318"/>
      <w:bookmarkStart w:id="1642" w:name="_Toc414352067"/>
      <w:bookmarkStart w:id="1643" w:name="_Toc414368539"/>
      <w:r>
        <w:rPr>
          <w:rFonts w:hint="eastAsia" w:ascii="宋体" w:hAnsi="宋体" w:eastAsia="宋体" w:cs="宋体"/>
          <w:color w:val="auto"/>
          <w:sz w:val="24"/>
          <w:szCs w:val="24"/>
        </w:rPr>
        <w:t>17.1 计量</w:t>
      </w:r>
      <w:bookmarkEnd w:id="1637"/>
      <w:bookmarkEnd w:id="1638"/>
      <w:bookmarkEnd w:id="1639"/>
      <w:bookmarkEnd w:id="1640"/>
      <w:bookmarkEnd w:id="1641"/>
      <w:bookmarkEnd w:id="1642"/>
      <w:bookmarkEnd w:id="1643"/>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17.1.1 计量单位</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计量采用国家法定的计量单位。</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17.1.2 计量方法</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结算工程量应按工程量清单约定的方法计量。</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17.1.3 计量周期</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除专用合同条款另有约定外，单价子目已完成工程量按月计量，总价子目的计量周期按批准的支付分解报告确定。</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17.1.4 单价子目的计量</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（l）已标价工程量清单中的单价子目工程量为估算工程量。结算工程量是承包人实际完成的，并按合同约定的计量方法进行计量的工程量。</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（2）承包人对已完成的工程进行计量，向监理人提交进度付款申请单、已完成工程量报表和有关计量资料。</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（4）监理人认为有必要时，可通知承包人共同进行联合测量、计量，承包人应遵照执行。</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末按监理人要求派员参加的，监理人最终核实的工程量视为承包人完成该子目的准确工程量。</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（6）监理人应在收到承包人提交的工程量报表后的7天内进行复核，监理人未在约定时间内复核的，承包人提交的工程量报表中的工程量视为承包人实际完成的工程量，据此计算工程价款。</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17.1.5 总价子目的计量</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总价子目的分解和计量按照下述约定进行。</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（1）总价子目的计量和支付应以总价为基础，不因第16.1款中的因素而进行调整。承包人实际完成的工程量，是进行工程目标管理和控制进度支付的依据。</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要完成的工程量和有关计量资料。</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（3）监理人对承包人提交的上述资料进行复核，以确定分阶段实际完成的工程量和工程形象目标。对其有异议的，可要求承包人按第8.2款约定进行共同复核和抽样复测。</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（4）除按照第15条约定的变更外，总价子目的工程量是承包人用于结算的最终工程量。</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644" w:name="_Toc439684304"/>
      <w:bookmarkStart w:id="1645" w:name="_Toc414368540"/>
      <w:bookmarkStart w:id="1646" w:name="_Toc414352068"/>
      <w:bookmarkStart w:id="1647" w:name="_Toc453678648"/>
      <w:bookmarkStart w:id="1648" w:name="_Toc434412319"/>
      <w:bookmarkStart w:id="1649" w:name="_Toc414275385"/>
      <w:bookmarkStart w:id="1650" w:name="_Toc453677456"/>
      <w:r>
        <w:rPr>
          <w:rFonts w:hint="eastAsia" w:ascii="宋体" w:hAnsi="宋体" w:eastAsia="宋体" w:cs="宋体"/>
          <w:color w:val="auto"/>
          <w:sz w:val="24"/>
          <w:szCs w:val="24"/>
        </w:rPr>
        <w:t>17.2 预付款</w:t>
      </w:r>
      <w:bookmarkEnd w:id="1644"/>
      <w:bookmarkEnd w:id="1645"/>
      <w:bookmarkEnd w:id="1646"/>
      <w:bookmarkEnd w:id="1647"/>
      <w:bookmarkEnd w:id="1648"/>
      <w:bookmarkEnd w:id="1649"/>
      <w:bookmarkEnd w:id="1650"/>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17.2.1 预付款</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预付款用于承包人为合同工程购置材料、工程设备、修工设备、修建临时设施以及组织施工队伍进场等，分为工程预付款和工程材料预付款。预付款必须专用于合同工程。预付款的额度和预付办法在专用合同条款中约定。</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17.2.2 预付款保函（担保）</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（1）承包人应在收到第一次工程预付款的同时向发包人提交预付款担保，担保金额应与第一次工程预付款金额相同，工程预付款担保在第一次工程预付款被发包人扣回前一直有效。</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（2）工程材料预付款的担保在专用合同条款中约定。</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（3）预付款担保的担保金额可根据预付款扣回的金额相应递减。</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17.2.3 预付款的扣回与还清</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651" w:name="_Toc414275386"/>
      <w:bookmarkStart w:id="1652" w:name="_Toc453678649"/>
      <w:bookmarkStart w:id="1653" w:name="_Toc434412320"/>
      <w:bookmarkStart w:id="1654" w:name="_Toc414352069"/>
      <w:bookmarkStart w:id="1655" w:name="_Toc453677457"/>
      <w:bookmarkStart w:id="1656" w:name="_Toc439684305"/>
      <w:bookmarkStart w:id="1657" w:name="_Toc414368541"/>
      <w:r>
        <w:rPr>
          <w:rFonts w:hint="eastAsia" w:ascii="宋体" w:hAnsi="宋体" w:eastAsia="宋体" w:cs="宋体"/>
          <w:color w:val="auto"/>
          <w:sz w:val="24"/>
          <w:szCs w:val="24"/>
        </w:rPr>
        <w:t>17.3 工程进度付款</w:t>
      </w:r>
      <w:bookmarkEnd w:id="1651"/>
      <w:bookmarkEnd w:id="1652"/>
      <w:bookmarkEnd w:id="1653"/>
      <w:bookmarkEnd w:id="1654"/>
      <w:bookmarkEnd w:id="1655"/>
      <w:bookmarkEnd w:id="1656"/>
      <w:bookmarkEnd w:id="1657"/>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17.3.1 付款周期</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付款周期同计量周期。</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17.3.2 进度付款申请单</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（l）截至本次付款周期末已实施工程的价款；</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（2）根据第15条应增加和扣减的变更金额；</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（3）根据第23条应增加和扣减的索赔金额；</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（4）根据第17.2款约定应支付的预付款和扣减的返还预付款；</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（5）根据第17.4.1项约定应扣减的质量保证金；</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（6）根据合同应增加和扣减的其他金额。</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17.3.3 进度付款证书和支付时间</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（2）发包人应在监理人收到进度付款中请单后的28天内，将进度应付款支付给承包人。发包人不按期支付的，按专用合同条款的约定支付逾期付款违约金。</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（3）监理人出具进度付款证书，不应视为监理人已同意、批准或接受了承包人完成的该部分工作。</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（4）进度付款涉及政府投资资金的，按照国库集中支付等国家相关规定和专用合同条款的约定办理。</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17.3.4 工程进度付款的修正</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在对以往历次已签发的进度付款证书进行汇总和复核中发现错、漏或重复的，监理人有权予以修正，承包人也有权提出修正申请。经双方复核同意的修正，应在本次进度付款中支付或扣除。</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658" w:name="_Toc414368542"/>
      <w:bookmarkStart w:id="1659" w:name="_Toc439684306"/>
      <w:bookmarkStart w:id="1660" w:name="_Toc414352070"/>
      <w:bookmarkStart w:id="1661" w:name="_Toc453677458"/>
      <w:bookmarkStart w:id="1662" w:name="_Toc453678650"/>
      <w:bookmarkStart w:id="1663" w:name="_Toc414275387"/>
      <w:bookmarkStart w:id="1664" w:name="_Toc434412321"/>
      <w:r>
        <w:rPr>
          <w:rFonts w:hint="eastAsia" w:ascii="宋体" w:hAnsi="宋体" w:eastAsia="宋体" w:cs="宋体"/>
          <w:color w:val="auto"/>
          <w:sz w:val="24"/>
          <w:szCs w:val="24"/>
        </w:rPr>
        <w:t>17.4 质量保证金</w:t>
      </w:r>
      <w:bookmarkEnd w:id="1658"/>
      <w:bookmarkEnd w:id="1659"/>
      <w:bookmarkEnd w:id="1660"/>
      <w:bookmarkEnd w:id="1661"/>
      <w:bookmarkEnd w:id="1662"/>
      <w:bookmarkEnd w:id="1663"/>
      <w:bookmarkEnd w:id="1664"/>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17.4.1 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卫与扣回金额。</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17.4.2合同工程完工证书颁发后14天内，发包人将质量保证金总额的一半支付给承包人。 在第1.1.4.5目约定的缺陷责任期（工程质量保修期)满时,发包人将在30个工作日内会同承包人按照合同约定的内容核实承包人是否完成保修责任。如无异议，发包人应当在核实后将剩余的质量保证金支付给承包人。</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17.4.3 在第1.1.4.5 目约定的缺陷责任期满时，承包人没有完成缺陷责任的，发包人有权扣留与未履行责任剩余工作所需金额相应的质量保证金余额，并有权根据第19.3款约定</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要求延长缺陷责任期，直至完成剩余工作为止。</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665" w:name="_Toc453677459"/>
      <w:bookmarkStart w:id="1666" w:name="_Toc453678651"/>
      <w:bookmarkStart w:id="1667" w:name="_Toc414275388"/>
      <w:bookmarkStart w:id="1668" w:name="_Toc439684307"/>
      <w:bookmarkStart w:id="1669" w:name="_Toc434412322"/>
      <w:bookmarkStart w:id="1670" w:name="_Toc414368543"/>
      <w:bookmarkStart w:id="1671" w:name="_Toc414352071"/>
      <w:r>
        <w:rPr>
          <w:rFonts w:hint="eastAsia" w:ascii="宋体" w:hAnsi="宋体" w:eastAsia="宋体" w:cs="宋体"/>
          <w:color w:val="auto"/>
          <w:sz w:val="24"/>
          <w:szCs w:val="24"/>
        </w:rPr>
        <w:t>17.5 竣工结算（完工结算)</w:t>
      </w:r>
      <w:bookmarkEnd w:id="1665"/>
      <w:bookmarkEnd w:id="1666"/>
      <w:bookmarkEnd w:id="1667"/>
      <w:bookmarkEnd w:id="1668"/>
      <w:bookmarkEnd w:id="1669"/>
      <w:bookmarkEnd w:id="1670"/>
      <w:bookmarkEnd w:id="1671"/>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17.5.1 竣工付款申请单</w:t>
      </w:r>
    </w:p>
    <w:p>
      <w:pPr>
        <w:keepLines w:val="0"/>
        <w:pageBreakBefore w:val="0"/>
        <w:widowControl w:val="0"/>
        <w:kinsoku/>
        <w:wordWrap/>
        <w:overflowPunct/>
        <w:topLinePunct w:val="0"/>
        <w:bidi w:val="0"/>
        <w:spacing w:line="420" w:lineRule="exact"/>
        <w:ind w:left="216" w:leftChars="103"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款。</w:t>
      </w:r>
    </w:p>
    <w:p>
      <w:pPr>
        <w:keepLines w:val="0"/>
        <w:pageBreakBefore w:val="0"/>
        <w:widowControl w:val="0"/>
        <w:kinsoku/>
        <w:wordWrap/>
        <w:overflowPunct/>
        <w:topLinePunct w:val="0"/>
        <w:bidi w:val="0"/>
        <w:spacing w:line="420" w:lineRule="exact"/>
        <w:ind w:left="216" w:leftChars="103"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（2）监理人对完工付款申请单有异议的，有权要求承包人进行修正和提供补充资料。经监理人和承包人协商后，由承包人向监理人提交修正后的完工付款申请单。</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17.5.2 竣工（完工)付款证书及支付时间</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付给承包人的价款视为已经发包人同意。</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（2）发包人应在监理人出具完工付款证书后的14天内,将应支付款支付给承包人。发包人不按期支付的,按第17.3.3（2)目的约定,将逾期付款违约金支付给承包人.</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（3）承包人对发包人签认的完工付款证书有异议的,发包人可出具完工付款申请单中承包人已同意部分的临时付款证书。存在争议的部分,按第24条的约定办理。</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（4）完工付款涉及政府投资资金的，按第17.3.3（4)目的约定办理。</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672" w:name="_Toc434412323"/>
      <w:bookmarkStart w:id="1673" w:name="_Toc414352072"/>
      <w:bookmarkStart w:id="1674" w:name="_Toc414275389"/>
      <w:bookmarkStart w:id="1675" w:name="_Toc453678652"/>
      <w:bookmarkStart w:id="1676" w:name="_Toc453677460"/>
      <w:bookmarkStart w:id="1677" w:name="_Toc439684308"/>
      <w:bookmarkStart w:id="1678" w:name="_Toc414368544"/>
      <w:r>
        <w:rPr>
          <w:rFonts w:hint="eastAsia" w:ascii="宋体" w:hAnsi="宋体" w:eastAsia="宋体" w:cs="宋体"/>
          <w:color w:val="auto"/>
          <w:sz w:val="24"/>
          <w:szCs w:val="24"/>
        </w:rPr>
        <w:t>17.6 最终结清</w:t>
      </w:r>
      <w:bookmarkEnd w:id="1672"/>
      <w:bookmarkEnd w:id="1673"/>
      <w:bookmarkEnd w:id="1674"/>
      <w:bookmarkEnd w:id="1675"/>
      <w:bookmarkEnd w:id="1676"/>
      <w:bookmarkEnd w:id="1677"/>
      <w:bookmarkEnd w:id="1678"/>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17.6.1 最终结清申请单</w:t>
      </w:r>
    </w:p>
    <w:p>
      <w:pPr>
        <w:keepLines w:val="0"/>
        <w:pageBreakBefore w:val="0"/>
        <w:widowControl w:val="0"/>
        <w:kinsoku/>
        <w:wordWrap/>
        <w:overflowPunct/>
        <w:topLinePunct w:val="0"/>
        <w:bidi w:val="0"/>
        <w:spacing w:line="420" w:lineRule="exact"/>
        <w:ind w:left="216" w:leftChars="103"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（1）工程质量保修责任终止证书签发后,承包人应按监理人批准的格工提交最终结清申请单。提交最终结清申请单的份数在专用合同条款中约定。</w:t>
      </w:r>
    </w:p>
    <w:p>
      <w:pPr>
        <w:keepLines w:val="0"/>
        <w:pageBreakBefore w:val="0"/>
        <w:widowControl w:val="0"/>
        <w:kinsoku/>
        <w:wordWrap/>
        <w:overflowPunct/>
        <w:topLinePunct w:val="0"/>
        <w:bidi w:val="0"/>
        <w:spacing w:line="420" w:lineRule="exact"/>
        <w:ind w:left="216" w:leftChars="103"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（2）发包人对最终结清申请单内容有异议的, 有权要求承包人进行修正和提供补充资料,由承包人向监理人提交修正后的最终结清申请单。</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17.6.2 最终结清证书和支付时间</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（2）发包人应在监理人出具最终结清证书后的14天内，将应支付款支付给承包人。</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发包人不按期支付的，按第17.3.3（2）目的约定，将逾期付款违约金支付给承包人。</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（3）承包人对发包人签认的最终结清证书有异议的，按第24条的约定办理。</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（4）最终结清付款涉及政府投资资金的，按第17.3.3（4）目的约定办理。</w:t>
      </w:r>
    </w:p>
    <w:p>
      <w:pPr>
        <w:keepLines w:val="0"/>
        <w:pageBreakBefore w:val="0"/>
        <w:widowControl w:val="0"/>
        <w:kinsoku/>
        <w:wordWrap/>
        <w:overflowPunct/>
        <w:topLinePunct w:val="0"/>
        <w:bidi w:val="0"/>
        <w:spacing w:line="420" w:lineRule="exact"/>
        <w:ind w:left="216" w:leftChars="103"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17.6.3最终结清申请单</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（1)工程质量保修责任终止证书签发后,承包人应按监理人批准的格工提交最终结清申请单.提交最终结清申请单的份数在专用合同条款中约定.</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（2)发包人对最终结清申请单内容有异议的, 有权要求承包人进行修正和提供补充资料,由承包人向监理人提交修正后的最终结清申请单.</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679" w:name="_Toc434412324"/>
      <w:bookmarkStart w:id="1680" w:name="_Toc439684309"/>
      <w:bookmarkStart w:id="1681" w:name="_Toc414352073"/>
      <w:bookmarkStart w:id="1682" w:name="_Toc414275390"/>
      <w:bookmarkStart w:id="1683" w:name="_Toc453677461"/>
      <w:bookmarkStart w:id="1684" w:name="_Toc414368545"/>
      <w:bookmarkStart w:id="1685" w:name="_Toc453678653"/>
      <w:r>
        <w:rPr>
          <w:rFonts w:hint="eastAsia" w:ascii="宋体" w:hAnsi="宋体" w:eastAsia="宋体" w:cs="宋体"/>
          <w:color w:val="auto"/>
          <w:sz w:val="24"/>
          <w:szCs w:val="24"/>
        </w:rPr>
        <w:t>17.7 竣工财务决算</w:t>
      </w:r>
      <w:bookmarkEnd w:id="1679"/>
      <w:bookmarkEnd w:id="1680"/>
      <w:bookmarkEnd w:id="1681"/>
      <w:bookmarkEnd w:id="1682"/>
      <w:bookmarkEnd w:id="1683"/>
      <w:bookmarkEnd w:id="1684"/>
      <w:bookmarkEnd w:id="1685"/>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发包人负责编制本工程项目竣工财务决算,承包人应按专用合同条款的约定提供竣工财务决算编制所需的相关材料。</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686" w:name="_Toc453677462"/>
      <w:bookmarkStart w:id="1687" w:name="_Toc439684310"/>
      <w:bookmarkStart w:id="1688" w:name="_Toc453678654"/>
      <w:bookmarkStart w:id="1689" w:name="_Toc414368546"/>
      <w:bookmarkStart w:id="1690" w:name="_Toc414352074"/>
      <w:bookmarkStart w:id="1691" w:name="_Toc414275391"/>
      <w:bookmarkStart w:id="1692" w:name="_Toc434412325"/>
      <w:r>
        <w:rPr>
          <w:rFonts w:hint="eastAsia" w:ascii="宋体" w:hAnsi="宋体" w:eastAsia="宋体" w:cs="宋体"/>
          <w:color w:val="auto"/>
          <w:sz w:val="24"/>
          <w:szCs w:val="24"/>
        </w:rPr>
        <w:t>17.8 竣工审计</w:t>
      </w:r>
      <w:bookmarkEnd w:id="1686"/>
      <w:bookmarkEnd w:id="1687"/>
      <w:bookmarkEnd w:id="1688"/>
      <w:bookmarkEnd w:id="1689"/>
      <w:bookmarkEnd w:id="1690"/>
      <w:bookmarkEnd w:id="1691"/>
      <w:bookmarkEnd w:id="1692"/>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发包人负责完成本工程竣工审计手续，承包人应完成相关配合工作。</w:t>
      </w:r>
    </w:p>
    <w:p>
      <w:pPr>
        <w:pStyle w:val="4"/>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693" w:name="_Toc203758995"/>
      <w:bookmarkStart w:id="1694" w:name="_Toc184635115"/>
      <w:bookmarkStart w:id="1695" w:name="_Toc434412326"/>
      <w:bookmarkStart w:id="1696" w:name="_Toc439684311"/>
      <w:bookmarkStart w:id="1697" w:name="_Toc414275392"/>
      <w:bookmarkStart w:id="1698" w:name="_Toc414368547"/>
      <w:bookmarkStart w:id="1699" w:name="_Toc414352075"/>
      <w:bookmarkStart w:id="1700" w:name="_Toc414268890"/>
      <w:bookmarkStart w:id="1701" w:name="_Toc453677463"/>
      <w:bookmarkStart w:id="1702" w:name="_Toc453678655"/>
      <w:r>
        <w:rPr>
          <w:rFonts w:hint="eastAsia" w:ascii="宋体" w:hAnsi="宋体" w:eastAsia="宋体" w:cs="宋体"/>
          <w:color w:val="auto"/>
          <w:sz w:val="24"/>
          <w:szCs w:val="24"/>
        </w:rPr>
        <w:t>18．竣工验收</w:t>
      </w:r>
      <w:bookmarkEnd w:id="1693"/>
      <w:bookmarkEnd w:id="1694"/>
      <w:r>
        <w:rPr>
          <w:rFonts w:hint="eastAsia" w:ascii="宋体" w:hAnsi="宋体" w:eastAsia="宋体" w:cs="宋体"/>
          <w:color w:val="auto"/>
          <w:sz w:val="24"/>
          <w:szCs w:val="24"/>
        </w:rPr>
        <w:t>（验收）</w:t>
      </w:r>
      <w:bookmarkEnd w:id="1695"/>
      <w:bookmarkEnd w:id="1696"/>
      <w:bookmarkEnd w:id="1697"/>
      <w:bookmarkEnd w:id="1698"/>
      <w:bookmarkEnd w:id="1699"/>
      <w:bookmarkEnd w:id="1700"/>
      <w:bookmarkEnd w:id="1701"/>
      <w:bookmarkEnd w:id="1702"/>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703" w:name="_Toc414275393"/>
      <w:bookmarkStart w:id="1704" w:name="_Toc453677464"/>
      <w:bookmarkStart w:id="1705" w:name="_Toc453678656"/>
      <w:bookmarkStart w:id="1706" w:name="_Toc414368548"/>
      <w:bookmarkStart w:id="1707" w:name="_Toc439684312"/>
      <w:bookmarkStart w:id="1708" w:name="_Toc434412327"/>
      <w:bookmarkStart w:id="1709" w:name="_Toc414352076"/>
      <w:r>
        <w:rPr>
          <w:rFonts w:hint="eastAsia" w:ascii="宋体" w:hAnsi="宋体" w:eastAsia="宋体" w:cs="宋体"/>
          <w:color w:val="auto"/>
          <w:sz w:val="24"/>
          <w:szCs w:val="24"/>
        </w:rPr>
        <w:t>18.1 竣工验收的含义</w:t>
      </w:r>
      <w:bookmarkEnd w:id="1703"/>
      <w:bookmarkEnd w:id="1704"/>
      <w:bookmarkEnd w:id="1705"/>
      <w:bookmarkEnd w:id="1706"/>
      <w:bookmarkEnd w:id="1707"/>
      <w:bookmarkEnd w:id="1708"/>
      <w:bookmarkEnd w:id="1709"/>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的工程量清单中。</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710" w:name="_Toc434412328"/>
      <w:bookmarkStart w:id="1711" w:name="_Toc414368549"/>
      <w:bookmarkStart w:id="1712" w:name="_Toc453678657"/>
      <w:bookmarkStart w:id="1713" w:name="_Toc414275394"/>
      <w:bookmarkStart w:id="1714" w:name="_Toc439684313"/>
      <w:bookmarkStart w:id="1715" w:name="_Toc453677465"/>
      <w:bookmarkStart w:id="1716" w:name="_Toc414352077"/>
      <w:r>
        <w:rPr>
          <w:rFonts w:hint="eastAsia" w:ascii="宋体" w:hAnsi="宋体" w:eastAsia="宋体" w:cs="宋体"/>
          <w:color w:val="auto"/>
          <w:sz w:val="24"/>
          <w:szCs w:val="24"/>
        </w:rPr>
        <w:t>18.2 分包工程验收</w:t>
      </w:r>
      <w:bookmarkEnd w:id="1710"/>
      <w:bookmarkEnd w:id="1711"/>
      <w:bookmarkEnd w:id="1712"/>
      <w:bookmarkEnd w:id="1713"/>
      <w:bookmarkEnd w:id="1714"/>
      <w:bookmarkEnd w:id="1715"/>
      <w:bookmarkEnd w:id="1716"/>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18.2.1分部工程具备验收条件时，承包人应向发包人提交验收申请报告,发包人应在收到验收申请报告之日起10个工作日内决定是否同意进行验收。</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18.2.2  除专用合同条款另有约定外，监理人主持分部工程验收，承包人应派符合条件的代表参加验收工作组。</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18.2.3  分部工程验收通过后，发包人向承包人发送分部工程验收鉴定书。承包人应及时完成分部工程验收鉴定书载明应由承包人处理的遗留问题。</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717" w:name="_Toc414352078"/>
      <w:bookmarkStart w:id="1718" w:name="_Toc453678658"/>
      <w:bookmarkStart w:id="1719" w:name="_Toc414275395"/>
      <w:bookmarkStart w:id="1720" w:name="_Toc434412329"/>
      <w:bookmarkStart w:id="1721" w:name="_Toc414368550"/>
      <w:bookmarkStart w:id="1722" w:name="_Toc439684314"/>
      <w:bookmarkStart w:id="1723" w:name="_Toc453677466"/>
      <w:r>
        <w:rPr>
          <w:rFonts w:hint="eastAsia" w:ascii="宋体" w:hAnsi="宋体" w:eastAsia="宋体" w:cs="宋体"/>
          <w:color w:val="auto"/>
          <w:sz w:val="24"/>
          <w:szCs w:val="24"/>
        </w:rPr>
        <w:t>18.3 单位工程验收</w:t>
      </w:r>
      <w:bookmarkEnd w:id="1717"/>
      <w:bookmarkEnd w:id="1718"/>
      <w:bookmarkEnd w:id="1719"/>
      <w:bookmarkEnd w:id="1720"/>
      <w:bookmarkEnd w:id="1721"/>
      <w:bookmarkEnd w:id="1722"/>
      <w:bookmarkEnd w:id="1723"/>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监理人收到承包人按第18.2款约定提交的竣工验收申请报告后，应审查中请报告的各项内容，并按以下不同情况进行处理。</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18.3.1 单位工程具备验收条件时,承包人应向发包人提交验收申请报告,发包人应在收到验收申请报告之是起10个工作日内决定是否同意进行验收。</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18.3.2 发包人主持单位工程验收，承包人应派符条件的代表参加验收工作组。</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18.3.3 单位工程验收通过后,发包人向承包人发送单位工程验收鉴定书。承包人应及时完成单位工程验收鉴定书载明应由承包人处理的遗留问题。</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18.3.4  需提前投入使用的单位工程专用合同条款中明确。</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18.3.5 除专用合同条款另有约定外，经验收合格工程的实际竣工日期，以提交竣工验收申请报告的日期为准，并在工程接收证书中写明。</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18.3.6 发包人在收到承包人竣工验收申请报告56天后未进行验收的，视为验收合格，实际竣工日期以提交竣工验收申请报告的日期为准，但发包人由于不可抗力不能进行验收的除外。</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724" w:name="_Toc434412330"/>
      <w:bookmarkStart w:id="1725" w:name="_Toc453677467"/>
      <w:bookmarkStart w:id="1726" w:name="_Toc439684315"/>
      <w:bookmarkStart w:id="1727" w:name="_Toc414275396"/>
      <w:bookmarkStart w:id="1728" w:name="_Toc414368551"/>
      <w:bookmarkStart w:id="1729" w:name="_Toc453678659"/>
      <w:bookmarkStart w:id="1730" w:name="_Toc414352079"/>
      <w:r>
        <w:rPr>
          <w:rFonts w:hint="eastAsia" w:ascii="宋体" w:hAnsi="宋体" w:eastAsia="宋体" w:cs="宋体"/>
          <w:color w:val="auto"/>
          <w:sz w:val="24"/>
          <w:szCs w:val="24"/>
        </w:rPr>
        <w:t>18.4 合同工程完工验收</w:t>
      </w:r>
      <w:bookmarkEnd w:id="1724"/>
      <w:bookmarkEnd w:id="1725"/>
      <w:bookmarkEnd w:id="1726"/>
      <w:bookmarkEnd w:id="1727"/>
      <w:bookmarkEnd w:id="1728"/>
      <w:bookmarkEnd w:id="1729"/>
      <w:bookmarkEnd w:id="1730"/>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18.4.1  合同工程具备验收条件时,承包人应向发包人提交验收申请报告,发包人应在收到验收申请报告之日起20个工作日决定是否同意进行验收。</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18.4.2  发包人主持合同工程完工验收,承包人应派代表参加验收工作组。</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18.4.3 合同工程完工验收通过后，发包人向承包人发送合同工程完工验收鉴定书。承包人应及时完成合同工程完工验收鉴定书载明应由承包人处理的遗留问题。</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18.4.4 合同工程完工验收通过后,发包人与承包人应在30个工作日内组织专人负责工程交接,双方交接负责人应在交接记录上鉴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731" w:name="_Toc414368552"/>
      <w:bookmarkStart w:id="1732" w:name="_Toc414352080"/>
      <w:bookmarkStart w:id="1733" w:name="_Toc453677468"/>
      <w:bookmarkStart w:id="1734" w:name="_Toc439684316"/>
      <w:bookmarkStart w:id="1735" w:name="_Toc414275397"/>
      <w:bookmarkStart w:id="1736" w:name="_Toc453678660"/>
      <w:bookmarkStart w:id="1737" w:name="_Toc434412331"/>
      <w:r>
        <w:rPr>
          <w:rFonts w:hint="eastAsia" w:ascii="宋体" w:hAnsi="宋体" w:eastAsia="宋体" w:cs="宋体"/>
          <w:color w:val="auto"/>
          <w:sz w:val="24"/>
          <w:szCs w:val="24"/>
        </w:rPr>
        <w:t>18.5 阶段验收</w:t>
      </w:r>
      <w:bookmarkEnd w:id="1731"/>
      <w:bookmarkEnd w:id="1732"/>
      <w:bookmarkEnd w:id="1733"/>
      <w:bookmarkEnd w:id="1734"/>
      <w:bookmarkEnd w:id="1735"/>
      <w:bookmarkEnd w:id="1736"/>
      <w:bookmarkEnd w:id="1737"/>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18.5.1 工程建设具备阶段验收条件时，发包人负责提出阶段验收申请报告。承包人应派代表参加阶段验收，并作为被验收单位鉴定书上签字。阶段验收的具体类别在专用合同条款中约定。</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18.5.2 承包人应及时完成阶段验收鉴定书载明应由承包人处理的遗留问题。</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738" w:name="_Toc414368553"/>
      <w:bookmarkStart w:id="1739" w:name="_Toc453677469"/>
      <w:bookmarkStart w:id="1740" w:name="_Toc439684317"/>
      <w:bookmarkStart w:id="1741" w:name="_Toc434412332"/>
      <w:bookmarkStart w:id="1742" w:name="_Toc414352081"/>
      <w:bookmarkStart w:id="1743" w:name="_Toc453678661"/>
      <w:bookmarkStart w:id="1744" w:name="_Toc414275398"/>
      <w:r>
        <w:rPr>
          <w:rFonts w:hint="eastAsia" w:ascii="宋体" w:hAnsi="宋体" w:eastAsia="宋体" w:cs="宋体"/>
          <w:color w:val="auto"/>
          <w:sz w:val="24"/>
          <w:szCs w:val="24"/>
        </w:rPr>
        <w:t>18.6 专项验收</w:t>
      </w:r>
      <w:bookmarkEnd w:id="1738"/>
      <w:bookmarkEnd w:id="1739"/>
      <w:bookmarkEnd w:id="1740"/>
      <w:bookmarkEnd w:id="1741"/>
      <w:bookmarkEnd w:id="1742"/>
      <w:bookmarkEnd w:id="1743"/>
      <w:bookmarkEnd w:id="1744"/>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18.6.1 发包人负责提出专项验收申请报告。承包人应按专项验收的相关规定参加专项验收。专项验收的具体类别在专用合同条款中约定。</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18.6.2 承包人应及时完成专项验收成果性文件载明应由承包人处理的遗留问题目。</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745" w:name="_Toc414275399"/>
      <w:bookmarkStart w:id="1746" w:name="_Toc414368554"/>
      <w:bookmarkStart w:id="1747" w:name="_Toc434412333"/>
      <w:bookmarkStart w:id="1748" w:name="_Toc453678662"/>
      <w:bookmarkStart w:id="1749" w:name="_Toc453677470"/>
      <w:bookmarkStart w:id="1750" w:name="_Toc439684318"/>
      <w:bookmarkStart w:id="1751" w:name="_Toc414352082"/>
      <w:r>
        <w:rPr>
          <w:rFonts w:hint="eastAsia" w:ascii="宋体" w:hAnsi="宋体" w:eastAsia="宋体" w:cs="宋体"/>
          <w:color w:val="auto"/>
          <w:sz w:val="24"/>
          <w:szCs w:val="24"/>
        </w:rPr>
        <w:t>18.7 竣工验收</w:t>
      </w:r>
      <w:bookmarkEnd w:id="1745"/>
      <w:bookmarkEnd w:id="1746"/>
      <w:bookmarkEnd w:id="1747"/>
      <w:bookmarkEnd w:id="1748"/>
      <w:bookmarkEnd w:id="1749"/>
      <w:bookmarkEnd w:id="1750"/>
      <w:bookmarkEnd w:id="1751"/>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18.7.1 申请竣工验收前，发包人组织竣工验收自查，承包人应派代表参加。</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18.7.2 竣工验收分为竣工技术预验收和竣工验收两个阶段。发包人应通知承包人派代表参加技术预验收和竣工验收。</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18.7.3 专用合同条款约定工程需要进行技术鉴定的，承包人应提交有关资料并完成配合工作。</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18.7.4 竣工验收需要进行质量检测的，所需费用由发包人承担，但因承包人原因造成质量不合格的除外。</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18.7.5 工程质量保修期满以及竣工验收遗留问题和尾工处理完成并通过验收的，发包人负责将处理情况和验收成果报送竣工验收主持单位，申请领取工程竣工证书，并发送承包人。</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752" w:name="_Toc414368555"/>
      <w:bookmarkStart w:id="1753" w:name="_Toc434412334"/>
      <w:bookmarkStart w:id="1754" w:name="_Toc453678663"/>
      <w:bookmarkStart w:id="1755" w:name="_Toc439684319"/>
      <w:bookmarkStart w:id="1756" w:name="_Toc453677471"/>
      <w:bookmarkStart w:id="1757" w:name="_Toc414275400"/>
      <w:bookmarkStart w:id="1758" w:name="_Toc414352083"/>
      <w:r>
        <w:rPr>
          <w:rFonts w:hint="eastAsia" w:ascii="宋体" w:hAnsi="宋体" w:eastAsia="宋体" w:cs="宋体"/>
          <w:color w:val="auto"/>
          <w:sz w:val="24"/>
          <w:szCs w:val="24"/>
        </w:rPr>
        <w:t>18.8 施工期运行</w:t>
      </w:r>
      <w:bookmarkEnd w:id="1752"/>
      <w:bookmarkEnd w:id="1753"/>
      <w:bookmarkEnd w:id="1754"/>
      <w:bookmarkEnd w:id="1755"/>
      <w:bookmarkEnd w:id="1756"/>
      <w:bookmarkEnd w:id="1757"/>
      <w:bookmarkEnd w:id="1758"/>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bookmarkStart w:id="1759" w:name="_Toc184635116"/>
      <w:bookmarkStart w:id="1760" w:name="_Toc203758996"/>
      <w:r>
        <w:rPr>
          <w:rFonts w:hint="eastAsia" w:ascii="宋体" w:hAnsi="宋体" w:eastAsia="宋体" w:cs="宋体"/>
          <w:color w:val="auto"/>
          <w:sz w:val="24"/>
          <w:szCs w:val="24"/>
        </w:rPr>
        <w:t>18.8.1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18.8.2　在施工期运行中发现工程或工程设备损坏或存在缺陷的，由承包人按第19.2款约定进行修复。</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761" w:name="_Toc414352084"/>
      <w:bookmarkStart w:id="1762" w:name="_Toc439684320"/>
      <w:bookmarkStart w:id="1763" w:name="_Toc453677472"/>
      <w:bookmarkStart w:id="1764" w:name="_Toc414368556"/>
      <w:bookmarkStart w:id="1765" w:name="_Toc414275401"/>
      <w:bookmarkStart w:id="1766" w:name="_Toc453678664"/>
      <w:bookmarkStart w:id="1767" w:name="_Toc434412335"/>
      <w:r>
        <w:rPr>
          <w:rFonts w:hint="eastAsia" w:ascii="宋体" w:hAnsi="宋体" w:eastAsia="宋体" w:cs="宋体"/>
          <w:color w:val="auto"/>
          <w:sz w:val="24"/>
          <w:szCs w:val="24"/>
        </w:rPr>
        <w:t>18.9 试运行</w:t>
      </w:r>
      <w:bookmarkEnd w:id="1761"/>
      <w:bookmarkEnd w:id="1762"/>
      <w:bookmarkEnd w:id="1763"/>
      <w:bookmarkEnd w:id="1764"/>
      <w:bookmarkEnd w:id="1765"/>
      <w:bookmarkEnd w:id="1766"/>
      <w:bookmarkEnd w:id="1767"/>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18.9.1 除专用合同条款另有约定外，承包人应按规定进行工程及工程设备试运行，负责提供试运行所需的人员、器材和必要的条件，并承担全部试运行费用。</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18.9.2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768" w:name="_Toc439684321"/>
      <w:bookmarkStart w:id="1769" w:name="_Toc414368557"/>
      <w:bookmarkStart w:id="1770" w:name="_Toc414352085"/>
      <w:bookmarkStart w:id="1771" w:name="_Toc414275402"/>
      <w:bookmarkStart w:id="1772" w:name="_Toc453678665"/>
      <w:bookmarkStart w:id="1773" w:name="_Toc453677473"/>
      <w:bookmarkStart w:id="1774" w:name="_Toc434412336"/>
      <w:r>
        <w:rPr>
          <w:rFonts w:hint="eastAsia" w:ascii="宋体" w:hAnsi="宋体" w:eastAsia="宋体" w:cs="宋体"/>
          <w:color w:val="auto"/>
          <w:sz w:val="24"/>
          <w:szCs w:val="24"/>
        </w:rPr>
        <w:t>18.10 竣工（完工）清场</w:t>
      </w:r>
      <w:bookmarkEnd w:id="1768"/>
      <w:bookmarkEnd w:id="1769"/>
      <w:bookmarkEnd w:id="1770"/>
      <w:bookmarkEnd w:id="1771"/>
      <w:bookmarkEnd w:id="1772"/>
      <w:bookmarkEnd w:id="1773"/>
      <w:bookmarkEnd w:id="1774"/>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18.10.1　工程项目竣工 （ 完工）清场的工作范围和内容在技术标准和要求 （ 合同技术条款）中约定。</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18.10.2　承包人未按监理人的要求恢复临时占地，或者场地清理未达到合同约定的，发包人有权委托其它人恢复或清理，所发生的金额从拟支付给承包人的款项中扣除。</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775" w:name="_Toc414368558"/>
      <w:bookmarkStart w:id="1776" w:name="_Toc414275403"/>
      <w:bookmarkStart w:id="1777" w:name="_Toc434412337"/>
      <w:bookmarkStart w:id="1778" w:name="_Toc453678666"/>
      <w:bookmarkStart w:id="1779" w:name="_Toc439684322"/>
      <w:bookmarkStart w:id="1780" w:name="_Toc453677474"/>
      <w:bookmarkStart w:id="1781" w:name="_Toc414352086"/>
      <w:r>
        <w:rPr>
          <w:rFonts w:hint="eastAsia" w:ascii="宋体" w:hAnsi="宋体" w:eastAsia="宋体" w:cs="宋体"/>
          <w:color w:val="auto"/>
          <w:sz w:val="24"/>
          <w:szCs w:val="24"/>
        </w:rPr>
        <w:t>18.11 施工队伍的撤离</w:t>
      </w:r>
      <w:bookmarkEnd w:id="1775"/>
      <w:bookmarkEnd w:id="1776"/>
      <w:bookmarkEnd w:id="1777"/>
      <w:bookmarkEnd w:id="1778"/>
      <w:bookmarkEnd w:id="1779"/>
      <w:bookmarkEnd w:id="1780"/>
      <w:bookmarkEnd w:id="1781"/>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合同工程完工证书颁发后的56天内，除了经监理人同意需在缺陷责任期 （ 工程质量保修期）内继续工作和使用的人员、施工设备和临时工程外，其余的人员、施工设备和临时工程均应撤离施工场地或拆除。除合同另有约定外，缺陷责任期 （ 工程质量保修期）满时，承包人的人员和施工设备应全部撤离施工场地。        </w:t>
      </w:r>
    </w:p>
    <w:p>
      <w:pPr>
        <w:pStyle w:val="4"/>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782" w:name="_Toc453677475"/>
      <w:bookmarkStart w:id="1783" w:name="_Toc453678667"/>
      <w:bookmarkStart w:id="1784" w:name="_Toc414352087"/>
      <w:bookmarkStart w:id="1785" w:name="_Toc414268891"/>
      <w:bookmarkStart w:id="1786" w:name="_Toc439684323"/>
      <w:bookmarkStart w:id="1787" w:name="_Toc414275404"/>
      <w:bookmarkStart w:id="1788" w:name="_Toc434412338"/>
      <w:bookmarkStart w:id="1789" w:name="_Toc414368559"/>
      <w:r>
        <w:rPr>
          <w:rFonts w:hint="eastAsia" w:ascii="宋体" w:hAnsi="宋体" w:eastAsia="宋体" w:cs="宋体"/>
          <w:color w:val="auto"/>
          <w:sz w:val="24"/>
          <w:szCs w:val="24"/>
        </w:rPr>
        <w:t>19．缺陷责任与保修责任</w:t>
      </w:r>
      <w:bookmarkEnd w:id="1759"/>
      <w:bookmarkEnd w:id="1760"/>
      <w:bookmarkEnd w:id="1782"/>
      <w:bookmarkEnd w:id="1783"/>
      <w:bookmarkEnd w:id="1784"/>
      <w:bookmarkEnd w:id="1785"/>
      <w:bookmarkEnd w:id="1786"/>
      <w:bookmarkEnd w:id="1787"/>
      <w:bookmarkEnd w:id="1788"/>
      <w:bookmarkEnd w:id="1789"/>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790" w:name="_Toc414275405"/>
      <w:bookmarkStart w:id="1791" w:name="_Toc434412339"/>
      <w:bookmarkStart w:id="1792" w:name="_Toc414368560"/>
      <w:bookmarkStart w:id="1793" w:name="_Toc439684324"/>
      <w:bookmarkStart w:id="1794" w:name="_Toc414352088"/>
      <w:bookmarkStart w:id="1795" w:name="_Toc453677476"/>
      <w:bookmarkStart w:id="1796" w:name="_Toc453678668"/>
      <w:r>
        <w:rPr>
          <w:rFonts w:hint="eastAsia" w:ascii="宋体" w:hAnsi="宋体" w:eastAsia="宋体" w:cs="宋体"/>
          <w:color w:val="auto"/>
          <w:sz w:val="24"/>
          <w:szCs w:val="24"/>
        </w:rPr>
        <w:t>19.1 缺陷责任期（工程质量保修期）的起算时间</w:t>
      </w:r>
      <w:bookmarkEnd w:id="1790"/>
      <w:bookmarkEnd w:id="1791"/>
      <w:bookmarkEnd w:id="1792"/>
      <w:bookmarkEnd w:id="1793"/>
      <w:bookmarkEnd w:id="1794"/>
      <w:bookmarkEnd w:id="1795"/>
      <w:bookmarkEnd w:id="1796"/>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除专用合同条款另有约定外，缺陷责任期（ 工程质量保修期）从工程通过合同工程完工验收后开始计算。在合同工程完工验收前，已经发包人提前验收的单位工程或部分工程，若未投入使用，其缺陷责任期 （ 工程质量保修期）亦从工程通过合同工程完工验收后开始计算；若已投入使用，其缺陷责任期 （ 工程质量保修期）从通过单位工程或部分工程投入使用验收后开始计算。缺陷责任期 （ 工程质量保修期）的期限在专用合同条款中约定。</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797" w:name="_Toc414352089"/>
      <w:bookmarkStart w:id="1798" w:name="_Toc414275406"/>
      <w:bookmarkStart w:id="1799" w:name="_Toc434412340"/>
      <w:bookmarkStart w:id="1800" w:name="_Toc453678669"/>
      <w:bookmarkStart w:id="1801" w:name="_Toc453677477"/>
      <w:bookmarkStart w:id="1802" w:name="_Toc414368561"/>
      <w:bookmarkStart w:id="1803" w:name="_Toc439684325"/>
      <w:r>
        <w:rPr>
          <w:rFonts w:hint="eastAsia" w:ascii="宋体" w:hAnsi="宋体" w:eastAsia="宋体" w:cs="宋体"/>
          <w:color w:val="auto"/>
          <w:sz w:val="24"/>
          <w:szCs w:val="24"/>
        </w:rPr>
        <w:t>19.2 缺陷责任</w:t>
      </w:r>
      <w:bookmarkEnd w:id="1797"/>
      <w:bookmarkEnd w:id="1798"/>
      <w:bookmarkEnd w:id="1799"/>
      <w:bookmarkEnd w:id="1800"/>
      <w:bookmarkEnd w:id="1801"/>
      <w:bookmarkEnd w:id="1802"/>
      <w:bookmarkEnd w:id="1803"/>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19.2.1 承包人应在缺陷责任期内对已交付使用的工程承担缺陷责任。</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19.2.2 缺陷责任期内，发包人对已接收使用的工程负责日常维护工作。发包人在使用过程中，发现已接收的工程存在新的缺陷或已修复的缺陷部位或部件又遭损坏的，承包人应负责修复，直至检验合格为止。</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19.2.4 承包人不能在合理时间内修复缺陷的，发包人可自行修复或委托其他人修复，所需费用和利润的承担，按第19.2.3项约定办理。</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804" w:name="_Toc414275407"/>
      <w:bookmarkStart w:id="1805" w:name="_Toc453678670"/>
      <w:bookmarkStart w:id="1806" w:name="_Toc434412341"/>
      <w:bookmarkStart w:id="1807" w:name="_Toc414368562"/>
      <w:bookmarkStart w:id="1808" w:name="_Toc414352090"/>
      <w:bookmarkStart w:id="1809" w:name="_Toc453677478"/>
      <w:bookmarkStart w:id="1810" w:name="_Toc439684326"/>
      <w:r>
        <w:rPr>
          <w:rFonts w:hint="eastAsia" w:ascii="宋体" w:hAnsi="宋体" w:eastAsia="宋体" w:cs="宋体"/>
          <w:color w:val="auto"/>
          <w:sz w:val="24"/>
          <w:szCs w:val="24"/>
        </w:rPr>
        <w:t>19.3 缺陷责任期的延长</w:t>
      </w:r>
      <w:bookmarkEnd w:id="1804"/>
      <w:bookmarkEnd w:id="1805"/>
      <w:bookmarkEnd w:id="1806"/>
      <w:bookmarkEnd w:id="1807"/>
      <w:bookmarkEnd w:id="1808"/>
      <w:bookmarkEnd w:id="1809"/>
      <w:bookmarkEnd w:id="1810"/>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由于承包人原因造成某项缺陷或损坏使某项工程或工程设备不能按原．定目标使用而需要再次检查、检验和修复的，发包人有权要求承包人相应延长缺陷责任期，但缺陷责任期最长不超过2年。</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811" w:name="_Toc439684327"/>
      <w:bookmarkStart w:id="1812" w:name="_Toc434412342"/>
      <w:bookmarkStart w:id="1813" w:name="_Toc453677479"/>
      <w:bookmarkStart w:id="1814" w:name="_Toc414275408"/>
      <w:bookmarkStart w:id="1815" w:name="_Toc453678671"/>
      <w:bookmarkStart w:id="1816" w:name="_Toc414352091"/>
      <w:bookmarkStart w:id="1817" w:name="_Toc414368563"/>
      <w:r>
        <w:rPr>
          <w:rFonts w:hint="eastAsia" w:ascii="宋体" w:hAnsi="宋体" w:eastAsia="宋体" w:cs="宋体"/>
          <w:color w:val="auto"/>
          <w:sz w:val="24"/>
          <w:szCs w:val="24"/>
        </w:rPr>
        <w:t>19.4 进一步试验和试运行</w:t>
      </w:r>
      <w:bookmarkEnd w:id="1811"/>
      <w:bookmarkEnd w:id="1812"/>
      <w:bookmarkEnd w:id="1813"/>
      <w:bookmarkEnd w:id="1814"/>
      <w:bookmarkEnd w:id="1815"/>
      <w:bookmarkEnd w:id="1816"/>
      <w:bookmarkEnd w:id="1817"/>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任何一项缺陷或损坏修复后，经检查证明其影响了工程或工程设备的使用性能，承包人应重新进行合同约定的试验和试运行，试验和试运行的全部费用应由责任方承担。</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818" w:name="_Toc453677480"/>
      <w:bookmarkStart w:id="1819" w:name="_Toc414275409"/>
      <w:bookmarkStart w:id="1820" w:name="_Toc439684328"/>
      <w:bookmarkStart w:id="1821" w:name="_Toc414368564"/>
      <w:bookmarkStart w:id="1822" w:name="_Toc453678672"/>
      <w:bookmarkStart w:id="1823" w:name="_Toc414352092"/>
      <w:bookmarkStart w:id="1824" w:name="_Toc434412343"/>
      <w:r>
        <w:rPr>
          <w:rFonts w:hint="eastAsia" w:ascii="宋体" w:hAnsi="宋体" w:eastAsia="宋体" w:cs="宋体"/>
          <w:color w:val="auto"/>
          <w:sz w:val="24"/>
          <w:szCs w:val="24"/>
        </w:rPr>
        <w:t>19.5 承包人的进入权</w:t>
      </w:r>
      <w:bookmarkEnd w:id="1818"/>
      <w:bookmarkEnd w:id="1819"/>
      <w:bookmarkEnd w:id="1820"/>
      <w:bookmarkEnd w:id="1821"/>
      <w:bookmarkEnd w:id="1822"/>
      <w:bookmarkEnd w:id="1823"/>
      <w:bookmarkEnd w:id="1824"/>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缺陷责任期内承包人为缺陷修复工作需要，有权进入工程现场，但应遵守发包人的保安和保密规定。</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825" w:name="_Toc414368565"/>
      <w:bookmarkStart w:id="1826" w:name="_Toc414352093"/>
      <w:bookmarkStart w:id="1827" w:name="_Toc453677481"/>
      <w:bookmarkStart w:id="1828" w:name="_Toc434412344"/>
      <w:bookmarkStart w:id="1829" w:name="_Toc439684329"/>
      <w:bookmarkStart w:id="1830" w:name="_Toc414275410"/>
      <w:bookmarkStart w:id="1831" w:name="_Toc453678673"/>
      <w:r>
        <w:rPr>
          <w:rFonts w:hint="eastAsia" w:ascii="宋体" w:hAnsi="宋体" w:eastAsia="宋体" w:cs="宋体"/>
          <w:color w:val="auto"/>
          <w:sz w:val="24"/>
          <w:szCs w:val="24"/>
        </w:rPr>
        <w:t>19.6 缺陷责任期终止证书（工程质量保修责任终止证书)</w:t>
      </w:r>
      <w:bookmarkEnd w:id="1825"/>
      <w:bookmarkEnd w:id="1826"/>
      <w:bookmarkEnd w:id="1827"/>
      <w:bookmarkEnd w:id="1828"/>
      <w:bookmarkEnd w:id="1829"/>
      <w:bookmarkEnd w:id="1830"/>
      <w:bookmarkEnd w:id="1831"/>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合同工程完工验收或投入使用验收后，发包人与承包人应办理工程交接手续，承包人应向发包人递交工程质量保修书。</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缺陷责任期 （ 工程质量保修期）满后30个工作日内，发包人应向承包人颁发工程质量保修责任终止证书，并退还剩余的质量保证金，但保修责任范围内的质量缺陷未处理完成的应除外。</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832" w:name="_Toc453677482"/>
      <w:bookmarkStart w:id="1833" w:name="_Toc453678674"/>
      <w:bookmarkStart w:id="1834" w:name="_Toc414275411"/>
      <w:bookmarkStart w:id="1835" w:name="_Toc414368566"/>
      <w:bookmarkStart w:id="1836" w:name="_Toc439684330"/>
      <w:bookmarkStart w:id="1837" w:name="_Toc434412345"/>
      <w:bookmarkStart w:id="1838" w:name="_Toc414352094"/>
      <w:r>
        <w:rPr>
          <w:rFonts w:hint="eastAsia" w:ascii="宋体" w:hAnsi="宋体" w:eastAsia="宋体" w:cs="宋体"/>
          <w:color w:val="auto"/>
          <w:sz w:val="24"/>
          <w:szCs w:val="24"/>
        </w:rPr>
        <w:t>19.7 保修责任</w:t>
      </w:r>
      <w:bookmarkEnd w:id="1832"/>
      <w:bookmarkEnd w:id="1833"/>
      <w:bookmarkEnd w:id="1834"/>
      <w:bookmarkEnd w:id="1835"/>
      <w:bookmarkEnd w:id="1836"/>
      <w:bookmarkEnd w:id="1837"/>
      <w:bookmarkEnd w:id="1838"/>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4"/>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839" w:name="_Toc414368567"/>
      <w:bookmarkStart w:id="1840" w:name="_Toc453678675"/>
      <w:bookmarkStart w:id="1841" w:name="_Toc414352095"/>
      <w:bookmarkStart w:id="1842" w:name="_Toc434412346"/>
      <w:bookmarkStart w:id="1843" w:name="_Toc439684331"/>
      <w:bookmarkStart w:id="1844" w:name="_Toc414268892"/>
      <w:bookmarkStart w:id="1845" w:name="_Toc184635117"/>
      <w:bookmarkStart w:id="1846" w:name="_Toc453677483"/>
      <w:bookmarkStart w:id="1847" w:name="_Toc203758997"/>
      <w:bookmarkStart w:id="1848" w:name="_Toc414275412"/>
      <w:r>
        <w:rPr>
          <w:rFonts w:hint="eastAsia" w:ascii="宋体" w:hAnsi="宋体" w:eastAsia="宋体" w:cs="宋体"/>
          <w:color w:val="auto"/>
          <w:sz w:val="24"/>
          <w:szCs w:val="24"/>
        </w:rPr>
        <w:t>20．保险</w:t>
      </w:r>
      <w:bookmarkEnd w:id="1839"/>
      <w:bookmarkEnd w:id="1840"/>
      <w:bookmarkEnd w:id="1841"/>
      <w:bookmarkEnd w:id="1842"/>
      <w:bookmarkEnd w:id="1843"/>
      <w:bookmarkEnd w:id="1844"/>
      <w:bookmarkEnd w:id="1845"/>
      <w:bookmarkEnd w:id="1846"/>
      <w:bookmarkEnd w:id="1847"/>
      <w:bookmarkEnd w:id="1848"/>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849" w:name="_Toc439684332"/>
      <w:bookmarkStart w:id="1850" w:name="_Toc453678676"/>
      <w:bookmarkStart w:id="1851" w:name="_Toc453677484"/>
      <w:bookmarkStart w:id="1852" w:name="_Toc414352096"/>
      <w:bookmarkStart w:id="1853" w:name="_Toc414275413"/>
      <w:bookmarkStart w:id="1854" w:name="_Toc414368568"/>
      <w:bookmarkStart w:id="1855" w:name="_Toc434412347"/>
      <w:r>
        <w:rPr>
          <w:rFonts w:hint="eastAsia" w:ascii="宋体" w:hAnsi="宋体" w:eastAsia="宋体" w:cs="宋体"/>
          <w:color w:val="auto"/>
          <w:sz w:val="24"/>
          <w:szCs w:val="24"/>
        </w:rPr>
        <w:t>20.1 工程保险</w:t>
      </w:r>
      <w:bookmarkEnd w:id="1849"/>
      <w:bookmarkEnd w:id="1850"/>
      <w:bookmarkEnd w:id="1851"/>
      <w:bookmarkEnd w:id="1852"/>
      <w:bookmarkEnd w:id="1853"/>
      <w:bookmarkEnd w:id="1854"/>
      <w:bookmarkEnd w:id="1855"/>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856" w:name="_Toc414275414"/>
      <w:bookmarkStart w:id="1857" w:name="_Toc434412348"/>
      <w:bookmarkStart w:id="1858" w:name="_Toc453677485"/>
      <w:bookmarkStart w:id="1859" w:name="_Toc414368569"/>
      <w:bookmarkStart w:id="1860" w:name="_Toc414352097"/>
      <w:bookmarkStart w:id="1861" w:name="_Toc439684333"/>
      <w:bookmarkStart w:id="1862" w:name="_Toc453678677"/>
      <w:r>
        <w:rPr>
          <w:rFonts w:hint="eastAsia" w:ascii="宋体" w:hAnsi="宋体" w:eastAsia="宋体" w:cs="宋体"/>
          <w:color w:val="auto"/>
          <w:sz w:val="24"/>
          <w:szCs w:val="24"/>
        </w:rPr>
        <w:t>20.2 人员工伤事故的保险</w:t>
      </w:r>
      <w:bookmarkEnd w:id="1856"/>
      <w:bookmarkEnd w:id="1857"/>
      <w:bookmarkEnd w:id="1858"/>
      <w:bookmarkEnd w:id="1859"/>
      <w:bookmarkEnd w:id="1860"/>
      <w:bookmarkEnd w:id="1861"/>
      <w:bookmarkEnd w:id="1862"/>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20.2.1 承包人员工伤事故的保险</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承包人应依照有关法律规定参加工伤保险，为其履行合同所雇佣的全部人员，缴纳工伤保险费，并要求其分包人也进行此项保险。</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20.2.2 发包人员工伤事故的保险</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发包人应依照有关法律规定参加工伤保险，为其现场机构雇佣的全部人员，缴纳工伤保险费，并要求其监理人也进行此项保险。</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863" w:name="_Toc434412349"/>
      <w:bookmarkStart w:id="1864" w:name="_Toc414368570"/>
      <w:bookmarkStart w:id="1865" w:name="_Toc453677486"/>
      <w:bookmarkStart w:id="1866" w:name="_Toc453678678"/>
      <w:bookmarkStart w:id="1867" w:name="_Toc414352098"/>
      <w:bookmarkStart w:id="1868" w:name="_Toc414275415"/>
      <w:bookmarkStart w:id="1869" w:name="_Toc439684334"/>
      <w:r>
        <w:rPr>
          <w:rFonts w:hint="eastAsia" w:ascii="宋体" w:hAnsi="宋体" w:eastAsia="宋体" w:cs="宋体"/>
          <w:color w:val="auto"/>
          <w:sz w:val="24"/>
          <w:szCs w:val="24"/>
        </w:rPr>
        <w:t>20.3 人身意外伤害险</w:t>
      </w:r>
      <w:bookmarkEnd w:id="1863"/>
      <w:bookmarkEnd w:id="1864"/>
      <w:bookmarkEnd w:id="1865"/>
      <w:bookmarkEnd w:id="1866"/>
      <w:bookmarkEnd w:id="1867"/>
      <w:bookmarkEnd w:id="1868"/>
      <w:bookmarkEnd w:id="1869"/>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20.3.1 发包人应在整个施工期间为其现场机构雇用的全部人员，投保人身意外伤害险，缴纳保险费，并要求其监理人也进行此项保险。</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20.3.2 承包人应在整个施工期间为其现场机构雇用的全部人员，投保人身意外伤害险，缴纳保险费，并要求其分包人也进行此项保险。</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870" w:name="_Toc453677487"/>
      <w:bookmarkStart w:id="1871" w:name="_Toc453678679"/>
      <w:bookmarkStart w:id="1872" w:name="_Toc414275416"/>
      <w:bookmarkStart w:id="1873" w:name="_Toc434412350"/>
      <w:bookmarkStart w:id="1874" w:name="_Toc414368571"/>
      <w:bookmarkStart w:id="1875" w:name="_Toc414352099"/>
      <w:bookmarkStart w:id="1876" w:name="_Toc439684335"/>
      <w:r>
        <w:rPr>
          <w:rFonts w:hint="eastAsia" w:ascii="宋体" w:hAnsi="宋体" w:eastAsia="宋体" w:cs="宋体"/>
          <w:color w:val="auto"/>
          <w:sz w:val="24"/>
          <w:szCs w:val="24"/>
        </w:rPr>
        <w:t>20.4 第三者责任险</w:t>
      </w:r>
      <w:bookmarkEnd w:id="1870"/>
      <w:bookmarkEnd w:id="1871"/>
      <w:bookmarkEnd w:id="1872"/>
      <w:bookmarkEnd w:id="1873"/>
      <w:bookmarkEnd w:id="1874"/>
      <w:bookmarkEnd w:id="1875"/>
      <w:bookmarkEnd w:id="1876"/>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20.4.2 在缺陷责任期终止证书颁发前，承包人应以承包人和发包人的共同名义，投保第20.4.1项约定的第三者责任险，其保险费率、保险金额等有关内容在专用合同条款中约定。</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877" w:name="_Toc439684336"/>
      <w:bookmarkStart w:id="1878" w:name="_Toc414352100"/>
      <w:bookmarkStart w:id="1879" w:name="_Toc453677488"/>
      <w:bookmarkStart w:id="1880" w:name="_Toc453678680"/>
      <w:bookmarkStart w:id="1881" w:name="_Toc414368572"/>
      <w:bookmarkStart w:id="1882" w:name="_Toc414275417"/>
      <w:bookmarkStart w:id="1883" w:name="_Toc434412351"/>
      <w:r>
        <w:rPr>
          <w:rFonts w:hint="eastAsia" w:ascii="宋体" w:hAnsi="宋体" w:eastAsia="宋体" w:cs="宋体"/>
          <w:color w:val="auto"/>
          <w:sz w:val="24"/>
          <w:szCs w:val="24"/>
        </w:rPr>
        <w:t>20.5 其他保险</w:t>
      </w:r>
      <w:bookmarkEnd w:id="1877"/>
      <w:bookmarkEnd w:id="1878"/>
      <w:bookmarkEnd w:id="1879"/>
      <w:bookmarkEnd w:id="1880"/>
      <w:bookmarkEnd w:id="1881"/>
      <w:bookmarkEnd w:id="1882"/>
      <w:bookmarkEnd w:id="1883"/>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除专用合同条款另有约定外，承包人应为其施工设备、进场的材料和工程设备等办理保险。</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884" w:name="_Toc414275418"/>
      <w:bookmarkStart w:id="1885" w:name="_Toc453678681"/>
      <w:bookmarkStart w:id="1886" w:name="_Toc414352101"/>
      <w:bookmarkStart w:id="1887" w:name="_Toc414368573"/>
      <w:bookmarkStart w:id="1888" w:name="_Toc453677489"/>
      <w:bookmarkStart w:id="1889" w:name="_Toc439684337"/>
      <w:bookmarkStart w:id="1890" w:name="_Toc434412352"/>
      <w:r>
        <w:rPr>
          <w:rFonts w:hint="eastAsia" w:ascii="宋体" w:hAnsi="宋体" w:eastAsia="宋体" w:cs="宋体"/>
          <w:color w:val="auto"/>
          <w:sz w:val="24"/>
          <w:szCs w:val="24"/>
        </w:rPr>
        <w:t>20.6 对各项保险的一般要求</w:t>
      </w:r>
      <w:bookmarkEnd w:id="1884"/>
      <w:bookmarkEnd w:id="1885"/>
      <w:bookmarkEnd w:id="1886"/>
      <w:bookmarkEnd w:id="1887"/>
      <w:bookmarkEnd w:id="1888"/>
      <w:bookmarkEnd w:id="1889"/>
      <w:bookmarkEnd w:id="1890"/>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20.6.1 保险凭证</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承包人应在专用合同条款约定的期限内向发包人提交各项保险生效的证据和保险单副本，保险单必须与专用合同条款约定的条件保持一致。</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20.6.2 保险合同条款的变动</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承包人需要变动保险合同条款时，应事先征得发包人同意，并通知监理人。保险人做出变动的，承包人应在收到保险人通知后立即通知发包人和监理人。</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20.6.3 持续保险</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承包人应与保险人保持联系，使保险人能够随时了解工程实施中的变动，并确保按保险合同条款要求持续保险。</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20.6.4 保险金不足的补偿</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保险金不足以补偿损失的，应由承包人和发包人各自负责补偿的范围和金额在专用合同条款中约定。</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20.6.5 未按约定投保的补救</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（l）由于负有投保义务的一方当事人未按合同约定办理保险，或未能使保险持续有效的，另一方当事人可代为办理，所需费用由对方当事人承担。</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（2）由于负有投保义务的一方当事人未按合同约定办理某项保险，导致受益人未能得到保险人的赔偿，原应从该项保险得到的保险金应由负有投保义务的一方当事人支付。</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20.6.6 报告义务</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当保险事故发生时，投保人应按照保险单规定的条件和期限及时向保险人报告。</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891" w:name="_Toc414352102"/>
      <w:bookmarkStart w:id="1892" w:name="_Toc414368574"/>
      <w:bookmarkStart w:id="1893" w:name="_Toc453678682"/>
      <w:bookmarkStart w:id="1894" w:name="_Toc453677490"/>
      <w:bookmarkStart w:id="1895" w:name="_Toc439684338"/>
      <w:bookmarkStart w:id="1896" w:name="_Toc434412353"/>
      <w:bookmarkStart w:id="1897" w:name="_Toc414275419"/>
      <w:r>
        <w:rPr>
          <w:rFonts w:hint="eastAsia" w:ascii="宋体" w:hAnsi="宋体" w:eastAsia="宋体" w:cs="宋体"/>
          <w:color w:val="auto"/>
          <w:sz w:val="24"/>
          <w:szCs w:val="24"/>
        </w:rPr>
        <w:t>20.7 风险责任的转移</w:t>
      </w:r>
      <w:bookmarkEnd w:id="1891"/>
      <w:bookmarkEnd w:id="1892"/>
      <w:bookmarkEnd w:id="1893"/>
      <w:bookmarkEnd w:id="1894"/>
      <w:bookmarkEnd w:id="1895"/>
      <w:bookmarkEnd w:id="1896"/>
      <w:bookmarkEnd w:id="1897"/>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工程通过合同工程完工验收并移交给发包人后，原由承包人应承担的风险责任，以及保险的责任、权利和义务同时转移给发包人，但承包人在缺陷责任期 （ 工程质量保修期）前造成损失和损坏情形除外。</w:t>
      </w:r>
    </w:p>
    <w:p>
      <w:pPr>
        <w:pStyle w:val="4"/>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898" w:name="_Toc414368575"/>
      <w:bookmarkStart w:id="1899" w:name="_Toc439684339"/>
      <w:bookmarkStart w:id="1900" w:name="_Toc434412354"/>
      <w:bookmarkStart w:id="1901" w:name="_Toc414268893"/>
      <w:bookmarkStart w:id="1902" w:name="_Toc453678683"/>
      <w:bookmarkStart w:id="1903" w:name="_Toc453677491"/>
      <w:bookmarkStart w:id="1904" w:name="_Toc203758998"/>
      <w:bookmarkStart w:id="1905" w:name="_Toc414352103"/>
      <w:bookmarkStart w:id="1906" w:name="_Toc414275420"/>
      <w:bookmarkStart w:id="1907" w:name="_Toc184635118"/>
      <w:r>
        <w:rPr>
          <w:rFonts w:hint="eastAsia" w:ascii="宋体" w:hAnsi="宋体" w:eastAsia="宋体" w:cs="宋体"/>
          <w:color w:val="auto"/>
          <w:sz w:val="24"/>
          <w:szCs w:val="24"/>
        </w:rPr>
        <w:t>21．不可抗力</w:t>
      </w:r>
      <w:bookmarkEnd w:id="1898"/>
      <w:bookmarkEnd w:id="1899"/>
      <w:bookmarkEnd w:id="1900"/>
      <w:bookmarkEnd w:id="1901"/>
      <w:bookmarkEnd w:id="1902"/>
      <w:bookmarkEnd w:id="1903"/>
      <w:bookmarkEnd w:id="1904"/>
      <w:bookmarkEnd w:id="1905"/>
      <w:bookmarkEnd w:id="1906"/>
      <w:bookmarkEnd w:id="1907"/>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908" w:name="_Toc434412355"/>
      <w:bookmarkStart w:id="1909" w:name="_Toc414352104"/>
      <w:bookmarkStart w:id="1910" w:name="_Toc439684340"/>
      <w:bookmarkStart w:id="1911" w:name="_Toc414275421"/>
      <w:bookmarkStart w:id="1912" w:name="_Toc453678684"/>
      <w:bookmarkStart w:id="1913" w:name="_Toc414368576"/>
      <w:bookmarkStart w:id="1914" w:name="_Toc453677492"/>
      <w:r>
        <w:rPr>
          <w:rFonts w:hint="eastAsia" w:ascii="宋体" w:hAnsi="宋体" w:eastAsia="宋体" w:cs="宋体"/>
          <w:color w:val="auto"/>
          <w:sz w:val="24"/>
          <w:szCs w:val="24"/>
        </w:rPr>
        <w:t>21.1 不可抗力的确认</w:t>
      </w:r>
      <w:bookmarkEnd w:id="1908"/>
      <w:bookmarkEnd w:id="1909"/>
      <w:bookmarkEnd w:id="1910"/>
      <w:bookmarkEnd w:id="1911"/>
      <w:bookmarkEnd w:id="1912"/>
      <w:bookmarkEnd w:id="1913"/>
      <w:bookmarkEnd w:id="1914"/>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915" w:name="_Toc414368577"/>
      <w:bookmarkStart w:id="1916" w:name="_Toc434412356"/>
      <w:bookmarkStart w:id="1917" w:name="_Toc414275422"/>
      <w:bookmarkStart w:id="1918" w:name="_Toc414352105"/>
      <w:bookmarkStart w:id="1919" w:name="_Toc453678685"/>
      <w:bookmarkStart w:id="1920" w:name="_Toc439684341"/>
      <w:bookmarkStart w:id="1921" w:name="_Toc453677493"/>
      <w:r>
        <w:rPr>
          <w:rFonts w:hint="eastAsia" w:ascii="宋体" w:hAnsi="宋体" w:eastAsia="宋体" w:cs="宋体"/>
          <w:color w:val="auto"/>
          <w:sz w:val="24"/>
          <w:szCs w:val="24"/>
        </w:rPr>
        <w:t>21.2 不可抗力的通知</w:t>
      </w:r>
      <w:bookmarkEnd w:id="1915"/>
      <w:bookmarkEnd w:id="1916"/>
      <w:bookmarkEnd w:id="1917"/>
      <w:bookmarkEnd w:id="1918"/>
      <w:bookmarkEnd w:id="1919"/>
      <w:bookmarkEnd w:id="1920"/>
      <w:bookmarkEnd w:id="1921"/>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21.2.1 合同一方当事人遇到不可抗力事件，使其履行合同义务受到阻碍时，应立即通知合同另一方当事人和监理人，书面说明不可抗力和受阻碍的详细情况，并提供必要的证明。</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21.2.2 如不可抗力持续发生，合同一方当事人应及时向合同另一方当事人和监理人提交中间报告，说明不可抗力和履行合同受阻的情况，并于不可抗力事件结束后28天内提交最终报告及有关资料。</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922" w:name="_Toc453677494"/>
      <w:bookmarkStart w:id="1923" w:name="_Toc414368578"/>
      <w:bookmarkStart w:id="1924" w:name="_Toc453678686"/>
      <w:bookmarkStart w:id="1925" w:name="_Toc434412357"/>
      <w:bookmarkStart w:id="1926" w:name="_Toc439684342"/>
      <w:bookmarkStart w:id="1927" w:name="_Toc414275423"/>
      <w:bookmarkStart w:id="1928" w:name="_Toc414352106"/>
      <w:r>
        <w:rPr>
          <w:rFonts w:hint="eastAsia" w:ascii="宋体" w:hAnsi="宋体" w:eastAsia="宋体" w:cs="宋体"/>
          <w:color w:val="auto"/>
          <w:sz w:val="24"/>
          <w:szCs w:val="24"/>
        </w:rPr>
        <w:t>21.3 不可抗力后果及其处理</w:t>
      </w:r>
      <w:bookmarkEnd w:id="1922"/>
      <w:bookmarkEnd w:id="1923"/>
      <w:bookmarkEnd w:id="1924"/>
      <w:bookmarkEnd w:id="1925"/>
      <w:bookmarkEnd w:id="1926"/>
      <w:bookmarkEnd w:id="1927"/>
      <w:bookmarkEnd w:id="1928"/>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21.3.1 不可抗力造成损害的责任</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除专用合同条款另有约定外，不可抗力导致的人员伤亡、财产损失、费用增加和（或）工期延误等后果，由合同双方按以下原则承担：</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（1）永久工程，包括已运至施工场地的材料和工程设备的损害，以及因工程损害造成的第三者人员伤亡和财产损失由发包人承担；</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（2）承包人设备的损坏由承包人承担；</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（3）发包人和承包人各自承担其人员伤亡和其他财产损失及其相关费用；</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（4）承包人的停工损失由承包人承担，但停工期间应监理人要求照管工程和清理、修复工程的金额由发包人承担；</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（5）不能按期竣工的，应合理延长工期，承包人不需支付逾期竣工违约金。发包人要求赶工的，承包人应采取赶工措施，赶工费用由发包人承担。</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21.3.2 延迟履行期间发生的不可抗力</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合同一方当事人延迟履行，在延迟履行期间发生不可抗力的，不免除其责任。</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21.3.3 避免和减少不可抗力损失</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不可抗力发生后，发包人和承包人均应采取措施尽量避免和减少损失的扩大，任何一方没有采取有效措施导致损失扩大的，应对扩大的损失承担责任。</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21.3.4 因不可抗力解除合同</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4"/>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929" w:name="_Toc453677495"/>
      <w:bookmarkStart w:id="1930" w:name="_Toc203758999"/>
      <w:bookmarkStart w:id="1931" w:name="_Toc414352107"/>
      <w:bookmarkStart w:id="1932" w:name="_Toc453678687"/>
      <w:bookmarkStart w:id="1933" w:name="_Toc414368579"/>
      <w:bookmarkStart w:id="1934" w:name="_Toc434412358"/>
      <w:bookmarkStart w:id="1935" w:name="_Toc414268894"/>
      <w:bookmarkStart w:id="1936" w:name="_Toc439684343"/>
      <w:bookmarkStart w:id="1937" w:name="_Toc414275424"/>
      <w:bookmarkStart w:id="1938" w:name="_Toc184635119"/>
      <w:r>
        <w:rPr>
          <w:rFonts w:hint="eastAsia" w:ascii="宋体" w:hAnsi="宋体" w:eastAsia="宋体" w:cs="宋体"/>
          <w:color w:val="auto"/>
          <w:sz w:val="24"/>
          <w:szCs w:val="24"/>
        </w:rPr>
        <w:t>22．违约</w:t>
      </w:r>
      <w:bookmarkEnd w:id="1929"/>
      <w:bookmarkEnd w:id="1930"/>
      <w:bookmarkEnd w:id="1931"/>
      <w:bookmarkEnd w:id="1932"/>
      <w:bookmarkEnd w:id="1933"/>
      <w:bookmarkEnd w:id="1934"/>
      <w:bookmarkEnd w:id="1935"/>
      <w:bookmarkEnd w:id="1936"/>
      <w:bookmarkEnd w:id="1937"/>
      <w:bookmarkEnd w:id="1938"/>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939" w:name="_Toc414352108"/>
      <w:bookmarkStart w:id="1940" w:name="_Toc414275425"/>
      <w:bookmarkStart w:id="1941" w:name="_Toc434412359"/>
      <w:bookmarkStart w:id="1942" w:name="_Toc414368580"/>
      <w:bookmarkStart w:id="1943" w:name="_Toc439684344"/>
      <w:bookmarkStart w:id="1944" w:name="_Toc453678688"/>
      <w:bookmarkStart w:id="1945" w:name="_Toc453677496"/>
      <w:r>
        <w:rPr>
          <w:rFonts w:hint="eastAsia" w:ascii="宋体" w:hAnsi="宋体" w:eastAsia="宋体" w:cs="宋体"/>
          <w:color w:val="auto"/>
          <w:sz w:val="24"/>
          <w:szCs w:val="24"/>
        </w:rPr>
        <w:t>22.1 承包人违约</w:t>
      </w:r>
      <w:bookmarkEnd w:id="1939"/>
      <w:bookmarkEnd w:id="1940"/>
      <w:bookmarkEnd w:id="1941"/>
      <w:bookmarkEnd w:id="1942"/>
      <w:bookmarkEnd w:id="1943"/>
      <w:bookmarkEnd w:id="1944"/>
      <w:bookmarkEnd w:id="1945"/>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22.1.1 承包人违约的情形</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在履行合同过程中发生的下列情况属承包人违约：</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（1）承包人违反第1.8款或第4.3款的约定，私自将合同的全部或部分权利转让给其他人，或私自将合同的全部或部分义务转移给其他人；</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（2）承包人违反第5.3款或第6.4款的约定，未经监理人批准，私自将已按合同约定进入施工场地的施工设备、临时设施或材料撤离施工场地；</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（3）承包人违反第5.4款的约定使用了不合格材料或工程设备，工程质量达不到标准要求，又拒绝清除不合格工程；</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（4）承包人未能按合同进度计划及时完成合同约定的工作，已造成或预期造成工期延误；</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（5）承包人在缺陷责任期 （ 工程质量保修期）内，未能对合同工程完工验收鉴定书所列的缺陷清单的内容或缺陷责任期 （ 工程质量保修期）内发生的缺陷进行修复，而又拒绝按监理人指示再进行修补；</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（6）承包人无法继续履行或明确表示不履行或实质上已停止履行合同；</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（7）承包人不按合同约定履行义务的其它情况。</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22.1.2 对承包人违约的处理</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（l）承包人发生第22.1.1（6）目约定的违约情况时，发包人可通知承包人立即解除合同，并按有关法律处理。</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（2）承包人发生除第22.1.1（6）目约定以外的其他违约情况时，监理人可向承包人发出整改通知，要求其在指定的期限内改正。承包人应承担其违约所引起的费用增加和（或）工期延误。</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（3）经检查证明承包人已采取了有效措施纠正违约行为，具备复工条件的，可由监理人签发复工通知复工。</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22.1.3 承包人违约解除合同</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22.1.4 合同解除后的估价、付款和结清</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（1）合同解除后，监理人按第3.5款商定或确定承包人实际完成工作的价值，以及承包人已提供的材料、施工设备、工程设备和临时工程等的价值。</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（2）合同解除后，发包人应暂停对承包人的一切付款，查清各项付款和已扣款金额，包括承包人应支付的违约金。</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（3）合同解除后，发包人应按第23.4款的约定向承包人索赔由于解除合同给发包人造成的损失。</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（4）合同双方确认上述往来款项后，出具最终结清付款证书，结清全部合同款项。</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（5）发包人和承包人未能就解除合同后的结清达成一致而形成争议的，按第24条的约定办理。</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22.1.5 协议利益的转让</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因承包人违约解除合同的，发包人有权要求承包人将其为实施合同而签订的材料和设备的订货协议或任何服务协议利益转让给发包人，并在解除合同后的14天内，依法办理转让手续。</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22.1.6 紧急情况下无能力或不愿进行抢救</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946" w:name="_Toc414352109"/>
      <w:bookmarkStart w:id="1947" w:name="_Toc414275426"/>
      <w:bookmarkStart w:id="1948" w:name="_Toc453677497"/>
      <w:bookmarkStart w:id="1949" w:name="_Toc453678689"/>
      <w:bookmarkStart w:id="1950" w:name="_Toc434412360"/>
      <w:bookmarkStart w:id="1951" w:name="_Toc414368581"/>
      <w:bookmarkStart w:id="1952" w:name="_Toc439684345"/>
      <w:r>
        <w:rPr>
          <w:rFonts w:hint="eastAsia" w:ascii="宋体" w:hAnsi="宋体" w:eastAsia="宋体" w:cs="宋体"/>
          <w:color w:val="auto"/>
          <w:sz w:val="24"/>
          <w:szCs w:val="24"/>
        </w:rPr>
        <w:t>22.2 发包人违约</w:t>
      </w:r>
      <w:bookmarkEnd w:id="1946"/>
      <w:bookmarkEnd w:id="1947"/>
      <w:bookmarkEnd w:id="1948"/>
      <w:bookmarkEnd w:id="1949"/>
      <w:bookmarkEnd w:id="1950"/>
      <w:bookmarkEnd w:id="1951"/>
      <w:bookmarkEnd w:id="1952"/>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22.2.1 发包人违约的情形</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在履行合同过程中发生的下列情形，属发包人违约：</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（l）发包人未能按合同约定支付预付款或合同价款，或拖延、拒绝批准付款申请和支付凭证，导致付款延误的；</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（2）发包人原因造成停工的；</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（3）监理人无正当理由没有在约定期限内发出复工指示，导致承包人无法复工的；</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（4）发包人无法继续履行或明确表示不履行或实质上已停止履行合同的；</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（5）发包人不履行合同约定其他义务的。</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22.2.2 承包人有权暂停施工</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22.2.3 发包人违约解除合同</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（1）发生第22.2.1（4）目的违约情况时，承包人可书面通知发包人解除合同。</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（2）承包人按22.2.2 项暂停施工28天后，发包人仍不纠正违约行为的，承包人可向发包人发出解除合同通知。但承包人的这一行动不免除发包人承担的违约责任，也不影响承包人根据合同约定享有的索赔权利。</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22.2.4 解除合同后的付款</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因发包人违约解除合同的，发包人应在解除合同后28天内向承包人支付下列金额，承包人应在此期限内及时向发包人提交要求支付下列金额的有关资料和凭证：</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（l）合同解除日以前所完成工作的价款；</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（2）承包人为该工程施工订购并已付款的材料、工程设备和其他物品的金额。发包人付还后，该材料、工程设备和其他物品归发包人所有；</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（3）承包人为完成工程所发生的，而发包人未支付的金额；</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（4）承包人撤离施工场地以及遣散承包人人员的金额；</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（5）由于解除合同应赔偿的承包人损失；</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（6）按合同约定在合同解除日前应支付给承包人的其他金额。</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发包人应按本项约定支付上述金额并退还质量保证金和履约担保，但有权要求承包人支付应偿还给发包人的各项金额。</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22.2.5 解除合同后的承包人撤离</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因发包人违约而解除合同后，承包人应妥善做好已竣工工程和已购材料、设备的保护和移交工作，按发包人要求将承包人设备和人员撤出施工场地。承包人撤出施工场地应遵守第</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22.2.6 项的约定，发包人应为承包人撤出提供必要条件。</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953" w:name="_Toc453677498"/>
      <w:bookmarkStart w:id="1954" w:name="_Toc439684346"/>
      <w:bookmarkStart w:id="1955" w:name="_Toc453678690"/>
      <w:bookmarkStart w:id="1956" w:name="_Toc434412361"/>
      <w:bookmarkStart w:id="1957" w:name="_Toc414368582"/>
      <w:bookmarkStart w:id="1958" w:name="_Toc414352110"/>
      <w:bookmarkStart w:id="1959" w:name="_Toc414275427"/>
      <w:r>
        <w:rPr>
          <w:rFonts w:hint="eastAsia" w:ascii="宋体" w:hAnsi="宋体" w:eastAsia="宋体" w:cs="宋体"/>
          <w:color w:val="auto"/>
          <w:sz w:val="24"/>
          <w:szCs w:val="24"/>
        </w:rPr>
        <w:t>22.3 第三人造成的违约</w:t>
      </w:r>
      <w:bookmarkEnd w:id="1953"/>
      <w:bookmarkEnd w:id="1954"/>
      <w:bookmarkEnd w:id="1955"/>
      <w:bookmarkEnd w:id="1956"/>
      <w:bookmarkEnd w:id="1957"/>
      <w:bookmarkEnd w:id="1958"/>
      <w:bookmarkEnd w:id="1959"/>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在履行合同过程中，一方当事人因第三人的原因造成违约的，应当向对方当事人承担违约责任。一方当事人和第三人之间的纠纷，依照法律规定或者按照约定解决。</w:t>
      </w:r>
    </w:p>
    <w:p>
      <w:pPr>
        <w:pStyle w:val="4"/>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960" w:name="_Toc453677499"/>
      <w:bookmarkStart w:id="1961" w:name="_Toc439684347"/>
      <w:bookmarkStart w:id="1962" w:name="_Toc414368583"/>
      <w:bookmarkStart w:id="1963" w:name="_Toc414352111"/>
      <w:bookmarkStart w:id="1964" w:name="_Toc414275428"/>
      <w:bookmarkStart w:id="1965" w:name="_Toc414268895"/>
      <w:bookmarkStart w:id="1966" w:name="_Toc453678691"/>
      <w:bookmarkStart w:id="1967" w:name="_Toc434412362"/>
      <w:bookmarkStart w:id="1968" w:name="_Toc184635120"/>
      <w:bookmarkStart w:id="1969" w:name="_Toc203759000"/>
      <w:r>
        <w:rPr>
          <w:rFonts w:hint="eastAsia" w:ascii="宋体" w:hAnsi="宋体" w:eastAsia="宋体" w:cs="宋体"/>
          <w:color w:val="auto"/>
          <w:sz w:val="24"/>
          <w:szCs w:val="24"/>
        </w:rPr>
        <w:t>23．索赔</w:t>
      </w:r>
      <w:bookmarkEnd w:id="1960"/>
      <w:bookmarkEnd w:id="1961"/>
      <w:bookmarkEnd w:id="1962"/>
      <w:bookmarkEnd w:id="1963"/>
      <w:bookmarkEnd w:id="1964"/>
      <w:bookmarkEnd w:id="1965"/>
      <w:bookmarkEnd w:id="1966"/>
      <w:bookmarkEnd w:id="1967"/>
      <w:bookmarkEnd w:id="1968"/>
      <w:bookmarkEnd w:id="1969"/>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970" w:name="_Toc453678692"/>
      <w:bookmarkStart w:id="1971" w:name="_Toc453677500"/>
      <w:bookmarkStart w:id="1972" w:name="_Toc434412363"/>
      <w:bookmarkStart w:id="1973" w:name="_Toc414368584"/>
      <w:bookmarkStart w:id="1974" w:name="_Toc439684348"/>
      <w:bookmarkStart w:id="1975" w:name="_Toc414275429"/>
      <w:bookmarkStart w:id="1976" w:name="_Toc414352112"/>
      <w:r>
        <w:rPr>
          <w:rFonts w:hint="eastAsia" w:ascii="宋体" w:hAnsi="宋体" w:eastAsia="宋体" w:cs="宋体"/>
          <w:color w:val="auto"/>
          <w:sz w:val="24"/>
          <w:szCs w:val="24"/>
        </w:rPr>
        <w:t>23.1 承包人索赔的提出</w:t>
      </w:r>
      <w:bookmarkEnd w:id="1970"/>
      <w:bookmarkEnd w:id="1971"/>
      <w:bookmarkEnd w:id="1972"/>
      <w:bookmarkEnd w:id="1973"/>
      <w:bookmarkEnd w:id="1974"/>
      <w:bookmarkEnd w:id="1975"/>
      <w:bookmarkEnd w:id="1976"/>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根据合同约定，承包人认为有权得到追加付款和（或）延长工期的，应按以下程序向发包人提出索赔：</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（l）承包人应在知道或应当知道索赔事件发生后28天内，向监理人递交索赔意向通知书，并说明发生索赔事件的事由。承包人未在前述28天内发出索赔意向通知书的，丧失要求追加付款和（或）延长工期的权利：</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（2）承包人应在发出索赔意向通知书后28天内，向监理人正式递交索赔通知书。索赔通知书应详细说明索赔理由以及要求追加的付款金额和（或）延长的工期，并附必要的记录和证明材料；</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（3）索赔事件具有连续影响的，承包人应按合理时间间隔继续递交延续索赔通知，说明连续影响的实际情况和记录，列出累计的追加付款金额和（或）工期延长天数；</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（4）在索赔事件影响结束后的28天内，承包人应向监理人递交最终索赔通知书，说明最终要求索赔的追加付款金额和延长的工期，并附必要的记录和证明材料。</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977" w:name="_Toc414368585"/>
      <w:bookmarkStart w:id="1978" w:name="_Toc414352113"/>
      <w:bookmarkStart w:id="1979" w:name="_Toc434412364"/>
      <w:bookmarkStart w:id="1980" w:name="_Toc414275430"/>
      <w:bookmarkStart w:id="1981" w:name="_Toc453678693"/>
      <w:bookmarkStart w:id="1982" w:name="_Toc453677501"/>
      <w:bookmarkStart w:id="1983" w:name="_Toc439684349"/>
      <w:r>
        <w:rPr>
          <w:rFonts w:hint="eastAsia" w:ascii="宋体" w:hAnsi="宋体" w:eastAsia="宋体" w:cs="宋体"/>
          <w:color w:val="auto"/>
          <w:sz w:val="24"/>
          <w:szCs w:val="24"/>
        </w:rPr>
        <w:t>23.2 承包人索赔处理程序</w:t>
      </w:r>
      <w:bookmarkEnd w:id="1977"/>
      <w:bookmarkEnd w:id="1978"/>
      <w:bookmarkEnd w:id="1979"/>
      <w:bookmarkEnd w:id="1980"/>
      <w:bookmarkEnd w:id="1981"/>
      <w:bookmarkEnd w:id="1982"/>
      <w:bookmarkEnd w:id="1983"/>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（1）监理人收到承包人提交的索赔通知书后，应及时审查索赔通知书的内容、查验承包人的记录和证明材料，必要时监理人可要求承包人提交全部原始记录副本。</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（2）监理人应按第3.5款商定或确定追加的付款和（或）延长的工期，并在收到上述索赔通知书或有关索赔的进一步证明材料后的42天内，将索赔处理结果答复承包人。</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（3）承包人接受索赔处理结果的，发包人应在做出索赔处理结果答复后28天内完成赔付。承包人不接受索赔处理结果的，按第24条的约定办理。</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984" w:name="_Toc434412365"/>
      <w:bookmarkStart w:id="1985" w:name="_Toc453678694"/>
      <w:bookmarkStart w:id="1986" w:name="_Toc414368586"/>
      <w:bookmarkStart w:id="1987" w:name="_Toc439684350"/>
      <w:bookmarkStart w:id="1988" w:name="_Toc453677502"/>
      <w:bookmarkStart w:id="1989" w:name="_Toc414275431"/>
      <w:bookmarkStart w:id="1990" w:name="_Toc414352114"/>
      <w:r>
        <w:rPr>
          <w:rFonts w:hint="eastAsia" w:ascii="宋体" w:hAnsi="宋体" w:eastAsia="宋体" w:cs="宋体"/>
          <w:color w:val="auto"/>
          <w:sz w:val="24"/>
          <w:szCs w:val="24"/>
        </w:rPr>
        <w:t>23.3 承包人提出索赔的期限</w:t>
      </w:r>
      <w:bookmarkEnd w:id="1984"/>
      <w:bookmarkEnd w:id="1985"/>
      <w:bookmarkEnd w:id="1986"/>
      <w:bookmarkEnd w:id="1987"/>
      <w:bookmarkEnd w:id="1988"/>
      <w:bookmarkEnd w:id="1989"/>
      <w:bookmarkEnd w:id="1990"/>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23.3.1　承包人按第17.5款的约定接受了完工付款证书后，应被认为已无权再提出在合同工程完工证书颁发前所发生的任何索赔。</w:t>
      </w:r>
    </w:p>
    <w:p>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23.3.2　承包人按第17.6款的约定提交的最终结清申请单中，只限于提出合同工程完工证书颁发后发生的索赔。提出索赔的期限自接受最终结清证书时终止。</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991" w:name="_Toc453677503"/>
      <w:bookmarkStart w:id="1992" w:name="_Toc439684351"/>
      <w:bookmarkStart w:id="1993" w:name="_Toc414352115"/>
      <w:bookmarkStart w:id="1994" w:name="_Toc434412366"/>
      <w:bookmarkStart w:id="1995" w:name="_Toc453678695"/>
      <w:bookmarkStart w:id="1996" w:name="_Toc414368587"/>
      <w:bookmarkStart w:id="1997" w:name="_Toc414275432"/>
      <w:r>
        <w:rPr>
          <w:rFonts w:hint="eastAsia" w:ascii="宋体" w:hAnsi="宋体" w:eastAsia="宋体" w:cs="宋体"/>
          <w:color w:val="auto"/>
          <w:sz w:val="24"/>
          <w:szCs w:val="24"/>
        </w:rPr>
        <w:t>23.4 发包人的索赔</w:t>
      </w:r>
      <w:bookmarkEnd w:id="1991"/>
      <w:bookmarkEnd w:id="1992"/>
      <w:bookmarkEnd w:id="1993"/>
      <w:bookmarkEnd w:id="1994"/>
      <w:bookmarkEnd w:id="1995"/>
      <w:bookmarkEnd w:id="1996"/>
      <w:bookmarkEnd w:id="1997"/>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23.4.2 监理人按第3.5款商定或确定发包人从承包人处得到赔付的金额和（或）缺陷责任期的延长期。承包人应付给发包人的金额可从拟支付给承包人的合同价款中扣除，或由承包人以其他方式支付给发包人。</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pPr>
        <w:pStyle w:val="146"/>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998" w:name="_Toc184635121"/>
      <w:bookmarkStart w:id="1999" w:name="_Toc203759001"/>
      <w:bookmarkStart w:id="2000" w:name="_Toc414268896"/>
      <w:bookmarkStart w:id="2001" w:name="_Toc434412367"/>
      <w:bookmarkStart w:id="2002" w:name="_Toc453678696"/>
      <w:bookmarkStart w:id="2003" w:name="_Toc453677504"/>
      <w:bookmarkStart w:id="2004" w:name="_Toc439684352"/>
      <w:bookmarkStart w:id="2005" w:name="_Toc414368588"/>
      <w:bookmarkStart w:id="2006" w:name="_Toc414275433"/>
      <w:bookmarkStart w:id="2007" w:name="_Toc414352116"/>
      <w:r>
        <w:rPr>
          <w:rFonts w:hint="eastAsia" w:ascii="宋体" w:hAnsi="宋体" w:eastAsia="宋体" w:cs="宋体"/>
          <w:color w:val="auto"/>
          <w:sz w:val="24"/>
          <w:szCs w:val="24"/>
        </w:rPr>
        <w:t>24．争议的解决</w:t>
      </w:r>
      <w:bookmarkEnd w:id="1998"/>
      <w:bookmarkEnd w:id="1999"/>
      <w:bookmarkEnd w:id="2000"/>
      <w:bookmarkEnd w:id="2001"/>
      <w:bookmarkEnd w:id="2002"/>
      <w:bookmarkEnd w:id="2003"/>
      <w:bookmarkEnd w:id="2004"/>
      <w:bookmarkEnd w:id="2005"/>
      <w:bookmarkEnd w:id="2006"/>
      <w:bookmarkEnd w:id="2007"/>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2008" w:name="_Toc414275434"/>
      <w:bookmarkStart w:id="2009" w:name="_Toc414352117"/>
      <w:bookmarkStart w:id="2010" w:name="_Toc414368589"/>
      <w:bookmarkStart w:id="2011" w:name="_Toc453678697"/>
      <w:bookmarkStart w:id="2012" w:name="_Toc439684353"/>
      <w:bookmarkStart w:id="2013" w:name="_Toc453677505"/>
      <w:bookmarkStart w:id="2014" w:name="_Toc434412368"/>
      <w:r>
        <w:rPr>
          <w:rFonts w:hint="eastAsia" w:ascii="宋体" w:hAnsi="宋体" w:eastAsia="宋体" w:cs="宋体"/>
          <w:color w:val="auto"/>
          <w:sz w:val="24"/>
          <w:szCs w:val="24"/>
        </w:rPr>
        <w:t>24.1 争议的解决方式</w:t>
      </w:r>
      <w:bookmarkEnd w:id="2008"/>
      <w:bookmarkEnd w:id="2009"/>
      <w:bookmarkEnd w:id="2010"/>
      <w:bookmarkEnd w:id="2011"/>
      <w:bookmarkEnd w:id="2012"/>
      <w:bookmarkEnd w:id="2013"/>
      <w:bookmarkEnd w:id="2014"/>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（l）向约定的仲裁委员会申请仲裁；</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（2）向有管辖权的人民法院提起诉讼。</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2015" w:name="_Toc414352118"/>
      <w:bookmarkStart w:id="2016" w:name="_Toc414275435"/>
      <w:bookmarkStart w:id="2017" w:name="_Toc453678698"/>
      <w:bookmarkStart w:id="2018" w:name="_Toc434412369"/>
      <w:bookmarkStart w:id="2019" w:name="_Toc439684354"/>
      <w:bookmarkStart w:id="2020" w:name="_Toc453677506"/>
      <w:bookmarkStart w:id="2021" w:name="_Toc414368590"/>
      <w:r>
        <w:rPr>
          <w:rFonts w:hint="eastAsia" w:ascii="宋体" w:hAnsi="宋体" w:eastAsia="宋体" w:cs="宋体"/>
          <w:color w:val="auto"/>
          <w:sz w:val="24"/>
          <w:szCs w:val="24"/>
        </w:rPr>
        <w:t>24.2 友好解决</w:t>
      </w:r>
      <w:bookmarkEnd w:id="2015"/>
      <w:bookmarkEnd w:id="2016"/>
      <w:bookmarkEnd w:id="2017"/>
      <w:bookmarkEnd w:id="2018"/>
      <w:bookmarkEnd w:id="2019"/>
      <w:bookmarkEnd w:id="2020"/>
      <w:bookmarkEnd w:id="2021"/>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在提请争议评审、仲裁或者诉讼前，以及在争议评审、仲裁或诉讼过程中，发包人和承包人均可共同努力友好协商解决争议。</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2022" w:name="_Toc434412370"/>
      <w:bookmarkStart w:id="2023" w:name="_Toc453678699"/>
      <w:bookmarkStart w:id="2024" w:name="_Toc414352119"/>
      <w:bookmarkStart w:id="2025" w:name="_Toc414368591"/>
      <w:bookmarkStart w:id="2026" w:name="_Toc453677507"/>
      <w:bookmarkStart w:id="2027" w:name="_Toc414275436"/>
      <w:bookmarkStart w:id="2028" w:name="_Toc439684355"/>
      <w:r>
        <w:rPr>
          <w:rFonts w:hint="eastAsia" w:ascii="宋体" w:hAnsi="宋体" w:eastAsia="宋体" w:cs="宋体"/>
          <w:color w:val="auto"/>
          <w:sz w:val="24"/>
          <w:szCs w:val="24"/>
        </w:rPr>
        <w:t>24.3 争议评审</w:t>
      </w:r>
      <w:bookmarkEnd w:id="2022"/>
      <w:bookmarkEnd w:id="2023"/>
      <w:bookmarkEnd w:id="2024"/>
      <w:bookmarkEnd w:id="2025"/>
      <w:bookmarkEnd w:id="2026"/>
      <w:bookmarkEnd w:id="2027"/>
      <w:bookmarkEnd w:id="2028"/>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24.3.1 采用争议评审的，发包人和承包人应在开工日后的28天内或在争议发生后，协商成立争议评审组。争议评审组由有合同管理和工程实践经验的专家组成。</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24.3.2 合同双方的争议，应首先由申请人向争议评审组提交一份详细的评审申请报告，并附必要的文件、图纸和证明材料，申请人还应将上述报告的副本同时提交给被申请人和监理人。</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24.3.3 被申请人在收到申请人评审申请报告副本后的28天内，向争议评审组提交一份答辩报告，并附证明材料。被申请人应将答辩报告的副本同时提交给申请人和监理人。</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24.3.4 除专用合同条款另有约定外，争议评审组在收到合同双方报告后的14天内，邀请双方代表和有关人员举行调查会，向双方调查争议细节；必要时争议评审组可要求双方进一步提供补充材料。</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24.3.6 发包人和承包人接受评审意见的，由监理人根据评审意见拟定执行协议，经争议双方签字后作为合同的补充文件，并遵照执行。</w:t>
      </w:r>
    </w:p>
    <w:p>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24.3.7 发包人或承包人不接受评审意见，并要求提交仲裁或提起诉讼的，应在收到评审意见后的14 天内将仲裁或起诉意向书面通知另一方，并抄送监理人，但在仲裁或诉讼结束前应暂按总监理工程师的确定执行。</w:t>
      </w:r>
    </w:p>
    <w:p>
      <w:pPr>
        <w:pStyle w:val="6"/>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2029" w:name="_Toc414352120"/>
      <w:bookmarkStart w:id="2030" w:name="_Toc439684356"/>
      <w:bookmarkStart w:id="2031" w:name="_Toc453677508"/>
      <w:bookmarkStart w:id="2032" w:name="_Toc453678700"/>
      <w:bookmarkStart w:id="2033" w:name="_Toc434412371"/>
      <w:bookmarkStart w:id="2034" w:name="_Toc414368592"/>
      <w:bookmarkStart w:id="2035" w:name="_Toc414275437"/>
      <w:r>
        <w:rPr>
          <w:rFonts w:hint="eastAsia" w:ascii="宋体" w:hAnsi="宋体" w:eastAsia="宋体" w:cs="宋体"/>
          <w:color w:val="auto"/>
          <w:sz w:val="24"/>
          <w:szCs w:val="24"/>
        </w:rPr>
        <w:t>24.4 仲裁</w:t>
      </w:r>
      <w:bookmarkEnd w:id="2029"/>
      <w:bookmarkEnd w:id="2030"/>
      <w:bookmarkEnd w:id="2031"/>
      <w:bookmarkEnd w:id="2032"/>
      <w:bookmarkEnd w:id="2033"/>
      <w:bookmarkEnd w:id="2034"/>
      <w:bookmarkEnd w:id="2035"/>
    </w:p>
    <w:p>
      <w:pPr>
        <w:keepLines w:val="0"/>
        <w:pageBreakBefore w:val="0"/>
        <w:widowControl w:val="0"/>
        <w:kinsoku/>
        <w:wordWrap/>
        <w:overflowPunct/>
        <w:topLinePunct w:val="0"/>
        <w:autoSpaceDE w:val="0"/>
        <w:autoSpaceDN w:val="0"/>
        <w:bidi w:val="0"/>
        <w:adjustRightInd w:val="0"/>
        <w:spacing w:line="420" w:lineRule="exact"/>
        <w:ind w:firstLine="480" w:firstLineChars="200"/>
        <w:outlineLvl w:val="0"/>
        <w:rPr>
          <w:rFonts w:hint="eastAsia" w:ascii="宋体" w:hAnsi="宋体" w:eastAsia="宋体" w:cs="宋体"/>
          <w:color w:val="auto"/>
          <w:sz w:val="24"/>
          <w:szCs w:val="24"/>
        </w:rPr>
      </w:pPr>
      <w:bookmarkStart w:id="2036" w:name="_Toc434937681"/>
      <w:bookmarkStart w:id="2037" w:name="_Toc439685534"/>
      <w:bookmarkStart w:id="2038" w:name="_Toc4297"/>
      <w:bookmarkStart w:id="2039" w:name="_Toc453677509"/>
      <w:bookmarkStart w:id="2040" w:name="_Toc453678701"/>
      <w:bookmarkStart w:id="2041" w:name="_Toc1793"/>
      <w:bookmarkStart w:id="2042" w:name="_Toc439684357"/>
      <w:r>
        <w:rPr>
          <w:rFonts w:hint="eastAsia" w:ascii="宋体" w:hAnsi="宋体" w:eastAsia="宋体" w:cs="宋体"/>
          <w:color w:val="auto"/>
          <w:sz w:val="24"/>
          <w:szCs w:val="24"/>
        </w:rPr>
        <w:t>24.4.1　若合同双方商定直接向仲裁机构申请仲裁，应签订仲裁协议并约定仲裁机构。</w:t>
      </w:r>
      <w:bookmarkEnd w:id="2036"/>
      <w:bookmarkEnd w:id="2037"/>
      <w:bookmarkEnd w:id="2038"/>
      <w:bookmarkEnd w:id="2039"/>
      <w:bookmarkEnd w:id="2040"/>
      <w:bookmarkEnd w:id="2041"/>
      <w:bookmarkEnd w:id="2042"/>
    </w:p>
    <w:p>
      <w:pPr>
        <w:pStyle w:val="33"/>
        <w:keepLines w:val="0"/>
        <w:pageBreakBefore w:val="0"/>
        <w:widowControl w:val="0"/>
        <w:kinsoku/>
        <w:wordWrap/>
        <w:overflowPunct/>
        <w:topLinePunct w:val="0"/>
        <w:bidi w:val="0"/>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24.4.2若合同双方未能达成仲裁协议，则本合同的仲裁条款无效，任一方均有权向人民法院提起诉讼。</w:t>
      </w:r>
    </w:p>
    <w:p>
      <w:pPr>
        <w:pStyle w:val="33"/>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pPr>
        <w:keepLines w:val="0"/>
        <w:pageBreakBefore w:val="0"/>
        <w:widowControl/>
        <w:kinsoku/>
        <w:wordWrap/>
        <w:overflowPunct/>
        <w:topLinePunct w:val="0"/>
        <w:bidi w:val="0"/>
        <w:spacing w:line="420" w:lineRule="exact"/>
        <w:rPr>
          <w:rFonts w:hint="eastAsia" w:ascii="宋体" w:hAnsi="宋体" w:cs="宋体"/>
          <w:color w:val="auto"/>
          <w:sz w:val="24"/>
          <w:szCs w:val="24"/>
        </w:rPr>
      </w:pPr>
      <w:r>
        <w:rPr>
          <w:rFonts w:hint="eastAsia" w:ascii="宋体" w:hAnsi="宋体" w:cs="宋体"/>
          <w:color w:val="auto"/>
          <w:kern w:val="0"/>
          <w:sz w:val="24"/>
          <w:szCs w:val="24"/>
        </w:rPr>
        <w:t>附件</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工程质量保修书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tabs>
          <w:tab w:val="left" w:pos="7273"/>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为保证</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在合理使用期限内正常使用，发包人、承包人协商一致签订工程质量保修书。承包人在质量保修期内按照有关管理规定及双方约定承担工程质量保修责任。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一、工程质量保修范围和内容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质量保修范围包括本工程范围内的所有工程和双方约定的其他土建工程。具体质量保修内容双方约定如下：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全部工程范围。</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二、质量保修期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质量保修期自工程竣工验收合格之日起计算1年。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三、质量保修责任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1、属于保修范围和内容的项目，承包人应在接到修理通知之日后7天内派人修理。承包人不在约定期限内派人修理，发包人可委托其他人员修理，保修费用从质量保修金内扣除。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2、发生须紧急抢修事故，承包人接到事故通知后，应立即到达事故现场抢修。非承包人施工质量引起的事故，抢修费用由发包人承担。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3、在国家规定的工程合理使用期限内，承包人确保地基基础工程和主体结构的质量。因承包人原因致使工程在合理使用期限内造成人身和财产损害的，承包人应承担损害赔偿责任。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四、工程质量保修费用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工程质量保修费用及相关损害责任由造成质量问题的责任方承担。</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五、质量保修金的支付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工程质量保修金一般不超过施工合同价款的3%，本工程约定的工程质量保修金为施工合同价款的</w:t>
      </w:r>
      <w:r>
        <w:rPr>
          <w:rFonts w:hint="eastAsia" w:ascii="宋体" w:hAnsi="宋体" w:eastAsia="宋体" w:cs="宋体"/>
          <w:color w:val="auto"/>
          <w:sz w:val="24"/>
          <w:szCs w:val="24"/>
          <w:u w:val="single"/>
        </w:rPr>
        <w:t>3%。</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rPr>
        <w:t>本工程双方约定承包人向发包人支付工程质量保修金金额为（大写）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元）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六、质量保修金的返还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发包人在质量保修期满后14天内，将剩余保修金和利息返还承包人。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七、其他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双方约定的其他工程质量保修事项：</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本工程质量保修作书为施工合同的附件，由施工合同发包人、承包人双方共同签订。</w:t>
      </w:r>
    </w:p>
    <w:p>
      <w:pPr>
        <w:keepNext w:val="0"/>
        <w:keepLines w:val="0"/>
        <w:pageBreakBefore w:val="0"/>
        <w:widowControl w:val="0"/>
        <w:kinsoku/>
        <w:wordWrap/>
        <w:overflowPunct/>
        <w:topLinePunct w:val="0"/>
        <w:autoSpaceDE/>
        <w:autoSpaceDN/>
        <w:bidi w:val="0"/>
        <w:adjustRightInd/>
        <w:snapToGrid/>
        <w:spacing w:line="420" w:lineRule="exact"/>
        <w:ind w:firstLine="240" w:firstLineChars="1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240" w:firstLineChars="100"/>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发 包 人（公章）：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承 包 人（公章）：</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法定代表人（签字）：</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p>
    <w:p>
      <w:pPr>
        <w:keepLines w:val="0"/>
        <w:pageBreakBefore w:val="0"/>
        <w:kinsoku/>
        <w:wordWrap/>
        <w:overflowPunct/>
        <w:topLinePunct w:val="0"/>
        <w:bidi w:val="0"/>
        <w:spacing w:line="420" w:lineRule="exact"/>
        <w:jc w:val="center"/>
        <w:rPr>
          <w:rFonts w:hint="eastAsia" w:ascii="仿宋" w:hAnsi="仿宋" w:eastAsia="仿宋" w:cs="仿宋"/>
          <w:b/>
          <w:bCs/>
          <w:color w:val="auto"/>
          <w:sz w:val="24"/>
          <w:szCs w:val="24"/>
        </w:rPr>
      </w:pPr>
    </w:p>
    <w:p>
      <w:pPr>
        <w:keepLines w:val="0"/>
        <w:pageBreakBefore w:val="0"/>
        <w:kinsoku/>
        <w:wordWrap/>
        <w:overflowPunct/>
        <w:topLinePunct w:val="0"/>
        <w:bidi w:val="0"/>
        <w:spacing w:line="420" w:lineRule="exact"/>
        <w:rPr>
          <w:rFonts w:hint="eastAsia" w:ascii="宋体" w:hAnsi="宋体" w:cs="宋体"/>
          <w:bCs/>
          <w:color w:val="auto"/>
          <w:sz w:val="24"/>
          <w:szCs w:val="24"/>
        </w:rPr>
      </w:pPr>
    </w:p>
    <w:p>
      <w:pPr>
        <w:pStyle w:val="33"/>
        <w:keepLines w:val="0"/>
        <w:pageBreakBefore w:val="0"/>
        <w:kinsoku/>
        <w:wordWrap/>
        <w:overflowPunct/>
        <w:topLinePunct w:val="0"/>
        <w:bidi w:val="0"/>
        <w:spacing w:line="420" w:lineRule="exact"/>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rPr>
          <w:rFonts w:hint="eastAsia" w:ascii="宋体" w:hAnsi="宋体" w:eastAsia="宋体" w:cs="宋体"/>
          <w:color w:val="auto"/>
          <w:sz w:val="24"/>
          <w:szCs w:val="24"/>
        </w:rPr>
      </w:pPr>
    </w:p>
    <w:p>
      <w:pPr>
        <w:pStyle w:val="33"/>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pPr>
        <w:keepLines w:val="0"/>
        <w:pageBreakBefore w:val="0"/>
        <w:kinsoku/>
        <w:wordWrap/>
        <w:overflowPunct/>
        <w:topLinePunct w:val="0"/>
        <w:bidi w:val="0"/>
        <w:adjustRightInd w:val="0"/>
        <w:snapToGrid w:val="0"/>
        <w:spacing w:line="420" w:lineRule="exact"/>
        <w:rPr>
          <w:rFonts w:hint="eastAsia" w:ascii="宋体" w:hAnsi="宋体" w:cs="宋体"/>
          <w:b/>
          <w:color w:val="auto"/>
          <w:kern w:val="0"/>
          <w:sz w:val="24"/>
          <w:szCs w:val="24"/>
        </w:rPr>
      </w:pPr>
      <w:r>
        <w:rPr>
          <w:rFonts w:hint="eastAsia" w:ascii="宋体" w:hAnsi="宋体" w:cs="宋体"/>
          <w:color w:val="auto"/>
          <w:sz w:val="24"/>
          <w:szCs w:val="24"/>
        </w:rPr>
        <w:t>附件</w:t>
      </w:r>
      <w:r>
        <w:rPr>
          <w:rFonts w:hint="eastAsia" w:ascii="宋体" w:hAnsi="宋体" w:cs="宋体"/>
          <w:color w:val="auto"/>
          <w:sz w:val="24"/>
          <w:szCs w:val="24"/>
          <w:lang w:val="en-US" w:eastAsia="zh-CN"/>
        </w:rPr>
        <w:t>2:</w:t>
      </w:r>
      <w:r>
        <w:rPr>
          <w:rFonts w:hint="eastAsia" w:ascii="宋体" w:hAnsi="宋体" w:cs="宋体"/>
          <w:color w:val="auto"/>
          <w:sz w:val="24"/>
          <w:szCs w:val="24"/>
        </w:rPr>
        <w:t>施工安全生产协议格式</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cs="宋体"/>
          <w:b/>
          <w:color w:val="auto"/>
          <w:sz w:val="24"/>
          <w:szCs w:val="24"/>
        </w:rPr>
      </w:pPr>
      <w:r>
        <w:rPr>
          <w:rFonts w:hint="eastAsia" w:ascii="宋体" w:hAnsi="宋体" w:cs="宋体"/>
          <w:b/>
          <w:color w:val="auto"/>
          <w:sz w:val="24"/>
          <w:szCs w:val="24"/>
        </w:rPr>
        <w:t>安全生产协议</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发包人（甲方）：</w:t>
      </w:r>
      <w:r>
        <w:rPr>
          <w:rFonts w:hint="eastAsia" w:ascii="宋体" w:hAnsi="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承包人（乙方）：</w:t>
      </w:r>
      <w:r>
        <w:rPr>
          <w:rFonts w:hint="eastAsia" w:ascii="宋体" w:hAnsi="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 xml:space="preserve">为加强建设工程安全生产管理，落实安全生产责任，防止和减少生产安全事故，经甲乙双方在平等、自愿的基础上协商一致，根据《中华人民共和国安全生产法》、《建设工程安全生产管理条例》及相关法律、法规的规定，达成《安全生产协议》如下： </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一、承包工程项目：</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u w:val="single"/>
        </w:rPr>
      </w:pPr>
      <w:r>
        <w:rPr>
          <w:rFonts w:hint="eastAsia" w:ascii="宋体" w:hAnsi="宋体" w:cs="宋体"/>
          <w:color w:val="auto"/>
          <w:sz w:val="24"/>
          <w:szCs w:val="24"/>
        </w:rPr>
        <w:t>1、工程项目名称：</w:t>
      </w:r>
      <w:r>
        <w:rPr>
          <w:rFonts w:hint="eastAsia" w:ascii="宋体" w:hAnsi="宋体" w:cs="宋体"/>
          <w:color w:val="auto"/>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 xml:space="preserve">2、工 程 地 址： </w:t>
      </w:r>
      <w:r>
        <w:rPr>
          <w:rFonts w:hint="eastAsia" w:ascii="宋体" w:hAnsi="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3、承 包 范 围：</w:t>
      </w:r>
      <w:r>
        <w:rPr>
          <w:rFonts w:hint="eastAsia" w:ascii="宋体" w:hAnsi="宋体" w:cs="宋体"/>
          <w:color w:val="auto"/>
          <w:sz w:val="24"/>
          <w:szCs w:val="24"/>
          <w:u w:val="single"/>
        </w:rPr>
        <w:t>见协议书</w:t>
      </w:r>
      <w:r>
        <w:rPr>
          <w:rFonts w:hint="eastAsia" w:ascii="宋体" w:hAnsi="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4、承 包 方 式：</w:t>
      </w:r>
      <w:r>
        <w:rPr>
          <w:rFonts w:hint="eastAsia" w:ascii="宋体" w:hAnsi="宋体" w:cs="宋体"/>
          <w:color w:val="auto"/>
          <w:sz w:val="24"/>
          <w:szCs w:val="24"/>
          <w:u w:val="single"/>
        </w:rPr>
        <w:t>见协议书</w:t>
      </w:r>
      <w:r>
        <w:rPr>
          <w:rFonts w:hint="eastAsia" w:ascii="宋体" w:hAnsi="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二、建设工程安全生产管理目标及必须达到安全事故控制指标</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遵守《建设工程安全生产管理条例》的规定，实现安全生产管理目标：无重伤、无死亡、无施工坍塌、无高处坠落、无滑坡、无火灾、无用电事故、无重大机械事故等各类安全生产事故。即：</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1、因工死亡率为零；</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2、因工重伤率为零；</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3、因工轻伤事故频率不高于15%；</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4、不发生2万元以上的机械、设备、交通和火灾事故。</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三、本协议有效期限</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自承包人入驻施工场地之日起，至工程竣工验收合格交付发包人使用时止（同施工合同期限）。</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四、甲方的安全生产管理权利</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1、监督检查乙方的各项安全生产工作，对建筑工地现场实施日常检查和定期、不定期的巡查。</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2、在实施检查、巡查过程中，发现建设工程存在安全事故隐患的，有权要求乙方暂时停止施工进行整改，直至消除安全事故隐患。</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3、根据本协议约定，甲方享有对乙方违反安全生产约定的经济处罚权。</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4、查阅与检查、巡查事项有关的文件、资料。并可根据实际情况，对施工现场进行检测、拍照、录音、摄像等。</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五、甲方的安全生产管理义务</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1、甲方不得对乙方提出不符合建设工程安全生产法律、法规和强制性标准的要求。</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2、甲方不得明示或暗示乙方购买、租赁、使用不符合安全施工要求的安全防护用具、机械设备、施工机具及配件、消防设施和器材。</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3、对乙方施工现场采取的安全施工技术措施，根据乙方的请求，提供必要的协助。</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六、乙方的安全生产责任与义务</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1、乙方应当在其资质等级许可范围内，并具备安全生产许可证的条件下承揽工程。</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乙方应当严格按照建设工程安全生产的法律、法规、规章及安全生产的标准、规程的有关规定，组织工程施工，并对工程建设施工的安全生产工作全面负责。因乙方安全生产措施不力造成事故的责任和因此而发生的费用由乙方承担。</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3、建立、健全与落实安全生产责任制度、安全生产教育培训制度、安全生产规章制度和操作规程。</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4、设立安全生产管理机构，配备专职安全生产管理人员。</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5、根据工程特点组织制定安全施工措施，消除安全事故隐患。强化对基坑开挖、起重吊装、模板工程等危险性较大的工程施工的监控和安全防护措施的落实，严防高空坠落、施工坍塌等安全事故的发生。</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6、随时接受甲方实施的安全检查、巡查、并按照甲方的要求进行整改，消除安全事故隐患，确保安全生产。</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7、乙方应当在施工现场入口处、施工起重机械、临时用电设施、脚手架、出入通道口、基坑边沿等危险部位，设置明显的安全警示标志，安全警示标志必须符合国家标准。</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8、乙方应根据不同施工阶段和周围环境及季节、气候气象的变化，在施工现场采取相应的安全施工措施。确保雨季等特殊气候气象情况下的施工安全。</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9、对建设工程施工进行定期和专项安全自检，并做好安全检查记录，及时发现并消除安全生产事故隐患。</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10、在施工现场建立消防安全责任制度，确定消防安全责任人，制定用火、用电等各项消防安全管理制度和操作规程。</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11、制定实施工程现场生产安全事故应急救援预案，并定期组织演练。</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12、根据安全生产法律、法规规章，标准、规程的规定，乙方应承担的其它责任与义务。</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七、现场停工整改约定</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甲方在乙方施工现场检查、巡查过程中，发现存在安全事故隐患，认为必须暂停施工的，应以书面形式下达停工整改通知。乙方对甲方的停工整改通知应予以执行，并按照甲方要求停止施工进行整改，妥善保护已完工程。</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2、乙方进行整改后，经甲方检查已消除安全事故隐患的，可以进行复工。</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3、若在一个月内由于乙方出现安全事故隐患，被甲方下达停工整改通知累计两次的，则乙方同意甲方暂停支付其当月的工程进度款，该扣款延期至工程竣工验收合格后再行支付。</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八、安全生产奖励约定</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若乙方在本安全生产期间，全面实现建设工程安全生产管理目标，无安全生产事故发生，并且未违反本协议约定，未被甲方发出停工整改通知单与经济处罚的，甲方应当给予乙方安全生产奖励。奖励标准为：无。奖励金额为：无。</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九、安全生产处罚约定</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1、若乙方未能实现本协议约定的安全生产管理目标，发生安全生产事故的，乙方同意，甲方将其缴纳的安全生产保证金予以扣除，扣除金额不再向乙方返还。具体扣除办法由下款约定。乙方对此不持异议。</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甲方在进行安全生产检查与巡查过程中，若乙方违反本协议约定，甲方有权要求乙方支付违约金。甲方可根据乙方违约的事实、性质、情节，就安全生产的危害程度要求支付违约金。违约金金额一次性最高不超过5000元。</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3、甲方要求乙方支付违约金，应当以书面形式通知乙方。其中：</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（1）乙方有下列行为之一的，违约金金额为50000元。</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①发生人员死亡的生产安全事故；</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②发生人员重伤的生产安全事故。</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（2）乙方有下列行为之一的，违约金金额为3000元。</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①发生人员轻伤的生产安全事故超过三次或一个月内连续发生两次；</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②发生2万元以上的机械、设备、交通和火灾生产安全事故一次的。</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4、甲方按本协议约定要求乙方支付违约金，并不能免除乙方应承担的有关国家机关行政处罚与民事赔偿责任，以及应负的其他法律责任。</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十、附则</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1、本协议与双方签订的《合同》具有同等法律效力。《合同合同》中没有约定或约定与本协议冲突的，均以本协议约定为准。</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2、本协议自双方签字盖章后生效。</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3、本协议一式拾份，甲方执伍份，乙方执伍份，具有同等法律效力。</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甲方：                                        乙 方：</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法定代表人（或授权代表人）：                  法定代表人（或授权代表人）</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hAnsi="宋体" w:cs="仿宋"/>
          <w:bCs/>
          <w:color w:val="auto"/>
          <w:sz w:val="24"/>
        </w:rPr>
      </w:pPr>
      <w:r>
        <w:rPr>
          <w:rFonts w:hint="eastAsia" w:ascii="宋体" w:hAnsi="宋体" w:cs="宋体"/>
          <w:color w:val="auto"/>
          <w:sz w:val="24"/>
          <w:szCs w:val="24"/>
        </w:rPr>
        <w:t>签订日期：   年   月   日                     签订日期：   年   月   日</w:t>
      </w:r>
    </w:p>
    <w:p>
      <w:pPr>
        <w:pStyle w:val="3"/>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w:t>
      </w:r>
      <w:r>
        <w:rPr>
          <w:rFonts w:hint="eastAsia" w:ascii="宋体" w:hAnsi="宋体" w:eastAsia="宋体" w:cs="宋体"/>
          <w:b/>
          <w:bCs/>
          <w:color w:val="auto"/>
          <w:sz w:val="32"/>
          <w:szCs w:val="32"/>
        </w:rPr>
        <w:t>八</w:t>
      </w:r>
      <w:r>
        <w:rPr>
          <w:rFonts w:hint="eastAsia" w:ascii="宋体" w:hAnsi="宋体" w:eastAsia="宋体" w:cs="宋体"/>
          <w:b/>
          <w:bCs/>
          <w:color w:val="auto"/>
          <w:sz w:val="32"/>
          <w:szCs w:val="32"/>
          <w:lang w:val="zh-CN"/>
        </w:rPr>
        <w:t>章  响应文件格式</w:t>
      </w:r>
      <w:bookmarkEnd w:id="45"/>
    </w:p>
    <w:p>
      <w:pPr>
        <w:autoSpaceDE w:val="0"/>
        <w:autoSpaceDN w:val="0"/>
        <w:adjustRightInd w:val="0"/>
        <w:snapToGrid w:val="0"/>
        <w:spacing w:line="360" w:lineRule="auto"/>
        <w:jc w:val="right"/>
        <w:rPr>
          <w:rFonts w:ascii="宋体" w:hAnsi="宋体" w:cs="宋体"/>
          <w:b/>
          <w:bCs/>
          <w:color w:val="auto"/>
          <w:sz w:val="28"/>
          <w:szCs w:val="28"/>
          <w:lang w:val="zh-CN"/>
        </w:rPr>
      </w:pPr>
    </w:p>
    <w:p>
      <w:pPr>
        <w:spacing w:line="560" w:lineRule="exact"/>
        <w:ind w:firstLine="470" w:firstLineChars="196"/>
        <w:rPr>
          <w:rFonts w:ascii="宋体" w:hAnsi="宋体" w:cs="宋体"/>
          <w:color w:val="auto"/>
          <w:sz w:val="24"/>
          <w:szCs w:val="24"/>
        </w:rPr>
      </w:pPr>
      <w:r>
        <w:rPr>
          <w:rFonts w:hint="eastAsia" w:ascii="宋体" w:hAnsi="宋体" w:cs="宋体"/>
          <w:color w:val="auto"/>
          <w:sz w:val="24"/>
          <w:szCs w:val="24"/>
        </w:rPr>
        <w:t>竞争性磋商响应文件格式是磋商供应商的部分磋商响应文件格式，磋商供应商应按照这些格式编制磋商响应文件。编制磋商响应文件前，请详细阅读竞争性磋商采购文件，理解文件中的每一项要求，逐一做出实质性响应，认为有必要，可做补充说明。</w:t>
      </w:r>
    </w:p>
    <w:p>
      <w:pPr>
        <w:rPr>
          <w:rFonts w:ascii="宋体" w:hAnsi="宋体" w:cs="宋体"/>
          <w:color w:val="auto"/>
          <w:sz w:val="24"/>
          <w:szCs w:val="24"/>
          <w:lang w:val="zh-CN"/>
        </w:rPr>
      </w:pPr>
    </w:p>
    <w:p>
      <w:pPr>
        <w:autoSpaceDE w:val="0"/>
        <w:autoSpaceDN w:val="0"/>
        <w:adjustRightInd w:val="0"/>
        <w:snapToGrid w:val="0"/>
        <w:spacing w:line="360" w:lineRule="auto"/>
        <w:jc w:val="right"/>
        <w:rPr>
          <w:rFonts w:ascii="宋体" w:hAnsi="宋体" w:cs="宋体"/>
          <w:b/>
          <w:bCs/>
          <w:color w:val="auto"/>
          <w:sz w:val="28"/>
          <w:szCs w:val="28"/>
          <w:lang w:val="zh-CN"/>
        </w:rPr>
      </w:pPr>
    </w:p>
    <w:p>
      <w:pPr>
        <w:spacing w:line="560" w:lineRule="exact"/>
        <w:ind w:firstLine="472" w:firstLineChars="196"/>
        <w:rPr>
          <w:rFonts w:ascii="宋体" w:hAnsi="宋体" w:cs="宋体"/>
          <w:b/>
          <w:bCs/>
          <w:color w:val="auto"/>
          <w:sz w:val="24"/>
          <w:szCs w:val="24"/>
          <w:lang w:val="zh-CN"/>
        </w:rPr>
      </w:pPr>
      <w:r>
        <w:rPr>
          <w:rFonts w:hint="eastAsia" w:ascii="宋体" w:hAnsi="宋体" w:cs="宋体"/>
          <w:b/>
          <w:bCs/>
          <w:color w:val="auto"/>
          <w:sz w:val="24"/>
          <w:szCs w:val="24"/>
          <w:lang w:val="zh-CN"/>
        </w:rPr>
        <w:t>注:非独立企业法人参与本次磋商的，竞争性磋商响应文件内涉及到法人签字盖章的部分均可由负责人签字盖章，授权书格式参照法人代表授权书。</w:t>
      </w:r>
    </w:p>
    <w:p>
      <w:pPr>
        <w:autoSpaceDE w:val="0"/>
        <w:autoSpaceDN w:val="0"/>
        <w:adjustRightInd w:val="0"/>
        <w:snapToGrid w:val="0"/>
        <w:spacing w:line="360" w:lineRule="auto"/>
        <w:jc w:val="right"/>
        <w:rPr>
          <w:rFonts w:ascii="宋体" w:hAnsi="宋体" w:cs="宋体"/>
          <w:b/>
          <w:bCs/>
          <w:color w:val="auto"/>
          <w:sz w:val="28"/>
          <w:szCs w:val="28"/>
          <w:lang w:val="zh-CN"/>
        </w:rPr>
      </w:pPr>
    </w:p>
    <w:p>
      <w:pPr>
        <w:autoSpaceDE w:val="0"/>
        <w:autoSpaceDN w:val="0"/>
        <w:adjustRightInd w:val="0"/>
        <w:snapToGrid w:val="0"/>
        <w:spacing w:line="360" w:lineRule="auto"/>
        <w:jc w:val="right"/>
        <w:rPr>
          <w:rFonts w:ascii="宋体" w:hAnsi="宋体" w:cs="宋体"/>
          <w:b/>
          <w:bCs/>
          <w:color w:val="auto"/>
          <w:sz w:val="28"/>
          <w:szCs w:val="28"/>
          <w:lang w:val="zh-CN"/>
        </w:rPr>
      </w:pPr>
    </w:p>
    <w:p>
      <w:pPr>
        <w:autoSpaceDE w:val="0"/>
        <w:autoSpaceDN w:val="0"/>
        <w:adjustRightInd w:val="0"/>
        <w:snapToGrid w:val="0"/>
        <w:spacing w:line="360" w:lineRule="auto"/>
        <w:jc w:val="right"/>
        <w:rPr>
          <w:rFonts w:ascii="宋体" w:hAnsi="宋体" w:cs="宋体"/>
          <w:b/>
          <w:bCs/>
          <w:color w:val="auto"/>
          <w:sz w:val="28"/>
          <w:szCs w:val="28"/>
          <w:lang w:val="zh-CN"/>
        </w:rPr>
      </w:pPr>
    </w:p>
    <w:p>
      <w:pPr>
        <w:autoSpaceDE w:val="0"/>
        <w:autoSpaceDN w:val="0"/>
        <w:adjustRightInd w:val="0"/>
        <w:snapToGrid w:val="0"/>
        <w:spacing w:line="360" w:lineRule="auto"/>
        <w:jc w:val="right"/>
        <w:rPr>
          <w:rFonts w:ascii="宋体" w:hAnsi="宋体" w:cs="宋体"/>
          <w:b/>
          <w:bCs/>
          <w:color w:val="auto"/>
          <w:sz w:val="28"/>
          <w:szCs w:val="28"/>
          <w:lang w:val="zh-CN"/>
        </w:rPr>
      </w:pPr>
    </w:p>
    <w:p>
      <w:pPr>
        <w:autoSpaceDE w:val="0"/>
        <w:autoSpaceDN w:val="0"/>
        <w:adjustRightInd w:val="0"/>
        <w:snapToGrid w:val="0"/>
        <w:spacing w:line="360" w:lineRule="auto"/>
        <w:jc w:val="right"/>
        <w:rPr>
          <w:rFonts w:ascii="宋体" w:hAnsi="宋体" w:cs="宋体"/>
          <w:b/>
          <w:bCs/>
          <w:color w:val="auto"/>
          <w:sz w:val="28"/>
          <w:szCs w:val="28"/>
          <w:lang w:val="zh-CN"/>
        </w:rPr>
      </w:pPr>
    </w:p>
    <w:p>
      <w:pPr>
        <w:autoSpaceDE w:val="0"/>
        <w:autoSpaceDN w:val="0"/>
        <w:adjustRightInd w:val="0"/>
        <w:snapToGrid w:val="0"/>
        <w:spacing w:line="360" w:lineRule="auto"/>
        <w:jc w:val="right"/>
        <w:rPr>
          <w:rFonts w:ascii="宋体" w:hAnsi="宋体" w:cs="宋体"/>
          <w:b/>
          <w:bCs/>
          <w:color w:val="auto"/>
          <w:sz w:val="28"/>
          <w:szCs w:val="28"/>
          <w:lang w:val="zh-CN"/>
        </w:rPr>
      </w:pPr>
    </w:p>
    <w:p>
      <w:pPr>
        <w:autoSpaceDE w:val="0"/>
        <w:autoSpaceDN w:val="0"/>
        <w:adjustRightInd w:val="0"/>
        <w:snapToGrid w:val="0"/>
        <w:spacing w:line="360" w:lineRule="auto"/>
        <w:jc w:val="right"/>
        <w:rPr>
          <w:rFonts w:ascii="宋体" w:hAnsi="宋体" w:cs="宋体"/>
          <w:b/>
          <w:bCs/>
          <w:color w:val="auto"/>
          <w:sz w:val="28"/>
          <w:szCs w:val="28"/>
          <w:lang w:val="zh-CN"/>
        </w:rPr>
      </w:pPr>
    </w:p>
    <w:p>
      <w:pPr>
        <w:autoSpaceDE w:val="0"/>
        <w:autoSpaceDN w:val="0"/>
        <w:adjustRightInd w:val="0"/>
        <w:snapToGrid w:val="0"/>
        <w:spacing w:line="360" w:lineRule="auto"/>
        <w:jc w:val="right"/>
        <w:rPr>
          <w:rFonts w:ascii="宋体" w:hAnsi="宋体" w:cs="宋体"/>
          <w:b/>
          <w:bCs/>
          <w:color w:val="auto"/>
          <w:sz w:val="28"/>
          <w:szCs w:val="28"/>
          <w:lang w:val="zh-CN"/>
        </w:rPr>
      </w:pPr>
    </w:p>
    <w:p>
      <w:pPr>
        <w:autoSpaceDE w:val="0"/>
        <w:autoSpaceDN w:val="0"/>
        <w:adjustRightInd w:val="0"/>
        <w:snapToGrid w:val="0"/>
        <w:spacing w:line="360" w:lineRule="auto"/>
        <w:jc w:val="right"/>
        <w:rPr>
          <w:rFonts w:ascii="宋体" w:hAnsi="宋体" w:cs="宋体"/>
          <w:b/>
          <w:bCs/>
          <w:color w:val="auto"/>
          <w:sz w:val="28"/>
          <w:szCs w:val="28"/>
          <w:lang w:val="zh-CN"/>
        </w:rPr>
      </w:pPr>
    </w:p>
    <w:p>
      <w:pPr>
        <w:autoSpaceDE w:val="0"/>
        <w:autoSpaceDN w:val="0"/>
        <w:adjustRightInd w:val="0"/>
        <w:snapToGrid w:val="0"/>
        <w:spacing w:line="360" w:lineRule="auto"/>
        <w:jc w:val="right"/>
        <w:rPr>
          <w:rFonts w:ascii="宋体" w:hAnsi="宋体" w:cs="宋体"/>
          <w:b/>
          <w:bCs/>
          <w:color w:val="auto"/>
          <w:sz w:val="28"/>
          <w:szCs w:val="28"/>
          <w:lang w:val="zh-CN"/>
        </w:rPr>
      </w:pPr>
    </w:p>
    <w:p>
      <w:pPr>
        <w:autoSpaceDE w:val="0"/>
        <w:autoSpaceDN w:val="0"/>
        <w:adjustRightInd w:val="0"/>
        <w:snapToGrid w:val="0"/>
        <w:spacing w:line="360" w:lineRule="auto"/>
        <w:jc w:val="right"/>
        <w:rPr>
          <w:rFonts w:ascii="宋体" w:hAnsi="宋体" w:cs="宋体"/>
          <w:b/>
          <w:bCs/>
          <w:color w:val="auto"/>
          <w:sz w:val="28"/>
          <w:szCs w:val="28"/>
          <w:lang w:val="zh-CN"/>
        </w:rPr>
      </w:pPr>
    </w:p>
    <w:p>
      <w:pPr>
        <w:autoSpaceDE w:val="0"/>
        <w:autoSpaceDN w:val="0"/>
        <w:adjustRightInd w:val="0"/>
        <w:snapToGrid w:val="0"/>
        <w:spacing w:line="360" w:lineRule="auto"/>
        <w:jc w:val="right"/>
        <w:rPr>
          <w:rFonts w:ascii="宋体" w:hAnsi="宋体" w:cs="宋体"/>
          <w:b/>
          <w:bCs/>
          <w:color w:val="auto"/>
          <w:sz w:val="28"/>
          <w:szCs w:val="28"/>
          <w:lang w:val="zh-CN"/>
        </w:rPr>
      </w:pPr>
    </w:p>
    <w:p>
      <w:pPr>
        <w:autoSpaceDE w:val="0"/>
        <w:autoSpaceDN w:val="0"/>
        <w:adjustRightInd w:val="0"/>
        <w:snapToGrid w:val="0"/>
        <w:spacing w:line="360" w:lineRule="auto"/>
        <w:jc w:val="right"/>
        <w:rPr>
          <w:rFonts w:ascii="宋体" w:hAnsi="宋体" w:cs="宋体"/>
          <w:b/>
          <w:bCs/>
          <w:color w:val="auto"/>
          <w:sz w:val="28"/>
          <w:szCs w:val="28"/>
          <w:lang w:val="zh-CN"/>
        </w:rPr>
      </w:pPr>
    </w:p>
    <w:p>
      <w:pPr>
        <w:autoSpaceDE w:val="0"/>
        <w:autoSpaceDN w:val="0"/>
        <w:adjustRightInd w:val="0"/>
        <w:snapToGrid w:val="0"/>
        <w:spacing w:line="360" w:lineRule="auto"/>
        <w:jc w:val="right"/>
        <w:rPr>
          <w:rFonts w:ascii="宋体" w:hAnsi="宋体" w:cs="宋体"/>
          <w:b/>
          <w:bCs/>
          <w:color w:val="auto"/>
          <w:sz w:val="28"/>
          <w:szCs w:val="28"/>
          <w:lang w:val="zh-CN"/>
        </w:rPr>
      </w:pPr>
    </w:p>
    <w:p>
      <w:pPr>
        <w:autoSpaceDE w:val="0"/>
        <w:autoSpaceDN w:val="0"/>
        <w:adjustRightInd w:val="0"/>
        <w:snapToGrid w:val="0"/>
        <w:spacing w:line="360" w:lineRule="auto"/>
        <w:jc w:val="right"/>
        <w:rPr>
          <w:rFonts w:ascii="宋体" w:hAnsi="宋体" w:cs="宋体"/>
          <w:b/>
          <w:bCs/>
          <w:color w:val="auto"/>
          <w:sz w:val="28"/>
          <w:szCs w:val="28"/>
          <w:lang w:val="zh-CN"/>
        </w:rPr>
      </w:pPr>
    </w:p>
    <w:p>
      <w:pPr>
        <w:autoSpaceDE w:val="0"/>
        <w:autoSpaceDN w:val="0"/>
        <w:adjustRightInd w:val="0"/>
        <w:snapToGrid w:val="0"/>
        <w:spacing w:line="360" w:lineRule="auto"/>
        <w:jc w:val="right"/>
        <w:rPr>
          <w:rFonts w:ascii="宋体" w:hAnsi="宋体" w:cs="宋体"/>
          <w:b/>
          <w:bCs/>
          <w:color w:val="auto"/>
          <w:sz w:val="28"/>
          <w:szCs w:val="28"/>
          <w:lang w:val="zh-CN"/>
        </w:rPr>
      </w:pPr>
    </w:p>
    <w:p>
      <w:pPr>
        <w:autoSpaceDE w:val="0"/>
        <w:autoSpaceDN w:val="0"/>
        <w:adjustRightInd w:val="0"/>
        <w:snapToGrid w:val="0"/>
        <w:spacing w:line="360" w:lineRule="auto"/>
        <w:rPr>
          <w:rFonts w:ascii="宋体" w:hAnsi="宋体" w:cs="宋体"/>
          <w:b/>
          <w:bCs/>
          <w:color w:val="auto"/>
          <w:sz w:val="36"/>
          <w:szCs w:val="36"/>
          <w:lang w:val="zh-CN"/>
        </w:rPr>
      </w:pPr>
    </w:p>
    <w:p>
      <w:pPr>
        <w:autoSpaceDE w:val="0"/>
        <w:autoSpaceDN w:val="0"/>
        <w:adjustRightInd w:val="0"/>
        <w:snapToGrid w:val="0"/>
        <w:spacing w:line="360" w:lineRule="auto"/>
        <w:jc w:val="right"/>
        <w:rPr>
          <w:rFonts w:ascii="宋体" w:hAnsi="宋体" w:cs="宋体"/>
          <w:b/>
          <w:bCs/>
          <w:color w:val="auto"/>
          <w:sz w:val="36"/>
          <w:szCs w:val="36"/>
          <w:lang w:val="zh-CN"/>
        </w:rPr>
      </w:pPr>
      <w:r>
        <w:rPr>
          <w:rFonts w:hint="eastAsia" w:ascii="宋体" w:hAnsi="宋体" w:cs="宋体"/>
          <w:b/>
          <w:bCs/>
          <w:color w:val="auto"/>
          <w:sz w:val="36"/>
          <w:szCs w:val="36"/>
          <w:lang w:val="zh-CN"/>
        </w:rPr>
        <w:t>正本/副本</w:t>
      </w:r>
    </w:p>
    <w:p>
      <w:pPr>
        <w:pStyle w:val="2"/>
        <w:rPr>
          <w:color w:val="auto"/>
          <w:lang w:val="zh-CN"/>
        </w:rPr>
      </w:pPr>
    </w:p>
    <w:p>
      <w:pPr>
        <w:autoSpaceDE w:val="0"/>
        <w:autoSpaceDN w:val="0"/>
        <w:adjustRightInd w:val="0"/>
        <w:snapToGrid w:val="0"/>
        <w:spacing w:line="360" w:lineRule="auto"/>
        <w:jc w:val="left"/>
        <w:rPr>
          <w:rFonts w:ascii="宋体" w:hAnsi="宋体" w:cs="宋体"/>
          <w:b/>
          <w:bCs/>
          <w:color w:val="auto"/>
          <w:sz w:val="32"/>
          <w:szCs w:val="32"/>
          <w:lang w:val="zh-CN"/>
        </w:rPr>
      </w:pPr>
      <w:r>
        <w:rPr>
          <w:rFonts w:hint="eastAsia" w:ascii="宋体" w:hAnsi="宋体" w:cs="宋体"/>
          <w:b/>
          <w:bCs/>
          <w:color w:val="auto"/>
          <w:sz w:val="32"/>
          <w:szCs w:val="32"/>
          <w:lang w:val="zh-CN"/>
        </w:rPr>
        <w:t xml:space="preserve">政府采购项目                      </w:t>
      </w:r>
    </w:p>
    <w:p>
      <w:pPr>
        <w:spacing w:line="100" w:lineRule="atLeast"/>
        <w:rPr>
          <w:rFonts w:ascii="宋体" w:hAnsi="宋体" w:cs="宋体"/>
          <w:b/>
          <w:bCs/>
          <w:color w:val="auto"/>
          <w:sz w:val="28"/>
          <w:szCs w:val="28"/>
        </w:rPr>
      </w:pPr>
    </w:p>
    <w:p>
      <w:pPr>
        <w:spacing w:line="100" w:lineRule="atLeast"/>
        <w:rPr>
          <w:rFonts w:hint="default" w:ascii="宋体" w:hAnsi="宋体" w:eastAsia="宋体" w:cs="宋体"/>
          <w:b/>
          <w:color w:val="auto"/>
          <w:sz w:val="28"/>
          <w:szCs w:val="28"/>
          <w:lang w:val="en-US" w:eastAsia="zh-CN"/>
        </w:rPr>
      </w:pPr>
      <w:r>
        <w:rPr>
          <w:rFonts w:hint="eastAsia" w:ascii="宋体" w:hAnsi="宋体" w:cs="宋体"/>
          <w:b/>
          <w:bCs/>
          <w:color w:val="auto"/>
          <w:sz w:val="28"/>
          <w:szCs w:val="28"/>
        </w:rPr>
        <w:t>项目编号：SSJY-CG（</w:t>
      </w:r>
      <w:r>
        <w:rPr>
          <w:rFonts w:hint="eastAsia" w:ascii="宋体" w:hAnsi="宋体" w:cs="宋体"/>
          <w:b/>
          <w:bCs/>
          <w:color w:val="auto"/>
          <w:sz w:val="28"/>
          <w:szCs w:val="28"/>
          <w:lang w:val="en-US" w:eastAsia="zh-CN"/>
        </w:rPr>
        <w:t>G</w:t>
      </w:r>
      <w:r>
        <w:rPr>
          <w:rFonts w:hint="eastAsia" w:ascii="宋体" w:hAnsi="宋体" w:cs="宋体"/>
          <w:b/>
          <w:bCs/>
          <w:color w:val="auto"/>
          <w:sz w:val="28"/>
          <w:szCs w:val="28"/>
        </w:rPr>
        <w:t>）-20220</w:t>
      </w:r>
      <w:r>
        <w:rPr>
          <w:rFonts w:hint="eastAsia" w:ascii="宋体" w:hAnsi="宋体" w:cs="宋体"/>
          <w:b/>
          <w:bCs/>
          <w:color w:val="auto"/>
          <w:sz w:val="28"/>
          <w:szCs w:val="28"/>
          <w:lang w:val="en-US" w:eastAsia="zh-CN"/>
        </w:rPr>
        <w:t>13</w:t>
      </w:r>
    </w:p>
    <w:p>
      <w:pPr>
        <w:spacing w:line="100" w:lineRule="atLeast"/>
        <w:rPr>
          <w:rFonts w:ascii="宋体" w:hAnsi="宋体" w:cs="宋体"/>
          <w:b/>
          <w:color w:val="auto"/>
          <w:sz w:val="28"/>
          <w:szCs w:val="28"/>
          <w:u w:val="single"/>
        </w:rPr>
      </w:pPr>
    </w:p>
    <w:p>
      <w:pPr>
        <w:rPr>
          <w:rFonts w:hint="eastAsia" w:ascii="宋体" w:hAnsi="宋体" w:eastAsia="宋体" w:cs="宋体"/>
          <w:b/>
          <w:bCs/>
          <w:color w:val="auto"/>
          <w:sz w:val="56"/>
          <w:szCs w:val="52"/>
        </w:rPr>
      </w:pPr>
    </w:p>
    <w:p>
      <w:pPr>
        <w:jc w:val="center"/>
        <w:rPr>
          <w:rFonts w:hint="eastAsia" w:ascii="宋体" w:hAnsi="宋体" w:eastAsia="宋体" w:cs="宋体"/>
          <w:b/>
          <w:bCs/>
          <w:color w:val="auto"/>
          <w:sz w:val="52"/>
          <w:szCs w:val="48"/>
        </w:rPr>
      </w:pPr>
    </w:p>
    <w:p>
      <w:pPr>
        <w:jc w:val="center"/>
        <w:rPr>
          <w:rFonts w:hint="eastAsia" w:ascii="宋体" w:hAnsi="宋体" w:cs="宋体"/>
          <w:b/>
          <w:bCs/>
          <w:color w:val="auto"/>
          <w:sz w:val="44"/>
          <w:szCs w:val="40"/>
          <w:lang w:eastAsia="zh-CN"/>
        </w:rPr>
      </w:pPr>
      <w:r>
        <w:rPr>
          <w:rFonts w:hint="eastAsia" w:ascii="宋体" w:hAnsi="宋体" w:cs="宋体"/>
          <w:b/>
          <w:bCs/>
          <w:color w:val="auto"/>
          <w:sz w:val="44"/>
          <w:szCs w:val="40"/>
          <w:lang w:eastAsia="zh-CN"/>
        </w:rPr>
        <w:t>2022年省级水利发展资金水土保持项目</w:t>
      </w:r>
    </w:p>
    <w:p>
      <w:pPr>
        <w:jc w:val="center"/>
        <w:rPr>
          <w:rFonts w:hint="eastAsia" w:ascii="宋体" w:hAnsi="宋体" w:eastAsia="宋体" w:cs="宋体"/>
          <w:b/>
          <w:bCs/>
          <w:color w:val="auto"/>
          <w:sz w:val="44"/>
          <w:szCs w:val="40"/>
          <w:lang w:eastAsia="zh-CN"/>
        </w:rPr>
      </w:pPr>
      <w:r>
        <w:rPr>
          <w:rFonts w:hint="eastAsia" w:ascii="宋体" w:hAnsi="宋体" w:cs="宋体"/>
          <w:b/>
          <w:bCs/>
          <w:color w:val="auto"/>
          <w:sz w:val="44"/>
          <w:szCs w:val="40"/>
          <w:lang w:eastAsia="zh-CN"/>
        </w:rPr>
        <w:t>泾阳县清河水保生态小流域治理工程</w:t>
      </w:r>
    </w:p>
    <w:p>
      <w:pPr>
        <w:rPr>
          <w:rFonts w:hint="eastAsia" w:ascii="宋体" w:hAnsi="宋体" w:eastAsia="宋体" w:cs="宋体"/>
          <w:b/>
          <w:bCs/>
          <w:color w:val="auto"/>
          <w:sz w:val="56"/>
          <w:szCs w:val="52"/>
        </w:rPr>
      </w:pPr>
    </w:p>
    <w:p>
      <w:pPr>
        <w:rPr>
          <w:rFonts w:hint="eastAsia" w:ascii="宋体" w:hAnsi="宋体" w:eastAsia="宋体" w:cs="宋体"/>
          <w:b/>
          <w:bCs/>
          <w:color w:val="auto"/>
          <w:sz w:val="56"/>
          <w:szCs w:val="52"/>
        </w:rPr>
      </w:pPr>
    </w:p>
    <w:p>
      <w:pPr>
        <w:rPr>
          <w:color w:val="auto"/>
        </w:rPr>
      </w:pPr>
    </w:p>
    <w:p>
      <w:pPr>
        <w:tabs>
          <w:tab w:val="left" w:pos="5670"/>
        </w:tabs>
        <w:autoSpaceDE w:val="0"/>
        <w:autoSpaceDN w:val="0"/>
        <w:adjustRightInd w:val="0"/>
        <w:snapToGrid w:val="0"/>
        <w:spacing w:line="360" w:lineRule="auto"/>
        <w:jc w:val="center"/>
        <w:rPr>
          <w:rFonts w:ascii="宋体" w:hAnsi="宋体" w:cs="宋体"/>
          <w:b/>
          <w:bCs/>
          <w:color w:val="auto"/>
          <w:sz w:val="52"/>
          <w:szCs w:val="52"/>
          <w:lang w:val="zh-CN"/>
        </w:rPr>
      </w:pPr>
      <w:r>
        <w:rPr>
          <w:rFonts w:hint="eastAsia" w:ascii="宋体" w:hAnsi="宋体" w:cs="宋体"/>
          <w:b/>
          <w:bCs/>
          <w:color w:val="auto"/>
          <w:sz w:val="52"/>
          <w:szCs w:val="52"/>
          <w:lang w:val="zh-CN"/>
        </w:rPr>
        <w:t>竞争性磋商响应文件</w:t>
      </w:r>
    </w:p>
    <w:p>
      <w:pPr>
        <w:tabs>
          <w:tab w:val="left" w:pos="5670"/>
        </w:tabs>
        <w:autoSpaceDE w:val="0"/>
        <w:autoSpaceDN w:val="0"/>
        <w:adjustRightInd w:val="0"/>
        <w:snapToGrid w:val="0"/>
        <w:spacing w:line="360" w:lineRule="auto"/>
        <w:rPr>
          <w:rFonts w:ascii="宋体" w:hAnsi="宋体" w:cs="宋体"/>
          <w:color w:val="auto"/>
          <w:sz w:val="28"/>
          <w:szCs w:val="28"/>
        </w:rPr>
      </w:pPr>
    </w:p>
    <w:p>
      <w:pPr>
        <w:pStyle w:val="2"/>
        <w:rPr>
          <w:color w:val="auto"/>
        </w:rPr>
      </w:pPr>
    </w:p>
    <w:p>
      <w:pPr>
        <w:tabs>
          <w:tab w:val="left" w:pos="5670"/>
        </w:tabs>
        <w:autoSpaceDE w:val="0"/>
        <w:autoSpaceDN w:val="0"/>
        <w:adjustRightInd w:val="0"/>
        <w:snapToGrid w:val="0"/>
        <w:spacing w:line="360" w:lineRule="auto"/>
        <w:jc w:val="center"/>
        <w:rPr>
          <w:rFonts w:ascii="宋体" w:hAnsi="宋体" w:cs="宋体"/>
          <w:color w:val="auto"/>
          <w:sz w:val="28"/>
          <w:szCs w:val="28"/>
        </w:rPr>
      </w:pPr>
    </w:p>
    <w:p>
      <w:pPr>
        <w:pStyle w:val="2"/>
        <w:rPr>
          <w:color w:val="auto"/>
        </w:rPr>
      </w:pPr>
    </w:p>
    <w:p>
      <w:pPr>
        <w:autoSpaceDE w:val="0"/>
        <w:autoSpaceDN w:val="0"/>
        <w:adjustRightInd w:val="0"/>
        <w:snapToGrid w:val="0"/>
        <w:spacing w:line="360" w:lineRule="auto"/>
        <w:rPr>
          <w:rFonts w:ascii="宋体" w:hAnsi="宋体" w:cs="宋体"/>
          <w:color w:val="auto"/>
          <w:sz w:val="28"/>
          <w:szCs w:val="28"/>
          <w:u w:val="single"/>
        </w:rPr>
      </w:pPr>
    </w:p>
    <w:p>
      <w:pPr>
        <w:autoSpaceDE w:val="0"/>
        <w:autoSpaceDN w:val="0"/>
        <w:adjustRightInd w:val="0"/>
        <w:snapToGrid w:val="0"/>
        <w:spacing w:line="360" w:lineRule="auto"/>
        <w:ind w:firstLine="869" w:firstLineChars="309"/>
        <w:rPr>
          <w:rFonts w:ascii="宋体" w:hAnsi="宋体" w:cs="宋体"/>
          <w:b/>
          <w:bCs/>
          <w:color w:val="auto"/>
          <w:sz w:val="28"/>
          <w:szCs w:val="28"/>
          <w:u w:val="single"/>
        </w:rPr>
      </w:pPr>
      <w:r>
        <w:rPr>
          <w:rFonts w:hint="eastAsia" w:ascii="宋体" w:hAnsi="宋体" w:cs="宋体"/>
          <w:b/>
          <w:bCs/>
          <w:color w:val="auto"/>
          <w:sz w:val="28"/>
          <w:szCs w:val="28"/>
          <w:lang w:val="zh-CN"/>
        </w:rPr>
        <w:t>磋商供应商：</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rPr>
        <w:t>（单位盖章）</w:t>
      </w:r>
    </w:p>
    <w:p>
      <w:pPr>
        <w:autoSpaceDE w:val="0"/>
        <w:autoSpaceDN w:val="0"/>
        <w:adjustRightInd w:val="0"/>
        <w:snapToGrid w:val="0"/>
        <w:spacing w:line="360" w:lineRule="auto"/>
        <w:ind w:firstLine="869" w:firstLineChars="309"/>
        <w:jc w:val="left"/>
        <w:rPr>
          <w:rFonts w:ascii="宋体" w:hAnsi="宋体" w:cs="宋体"/>
          <w:b/>
          <w:bCs/>
          <w:color w:val="auto"/>
          <w:sz w:val="28"/>
          <w:szCs w:val="28"/>
          <w:u w:val="single"/>
        </w:rPr>
      </w:pPr>
      <w:r>
        <w:rPr>
          <w:rFonts w:hint="eastAsia" w:ascii="宋体" w:hAnsi="宋体" w:cs="宋体"/>
          <w:b/>
          <w:bCs/>
          <w:color w:val="auto"/>
          <w:sz w:val="28"/>
          <w:szCs w:val="28"/>
        </w:rPr>
        <w:t>法定代表人或其授权代表：</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rPr>
        <w:t>（签字或盖章）</w:t>
      </w:r>
    </w:p>
    <w:p>
      <w:pPr>
        <w:autoSpaceDE w:val="0"/>
        <w:autoSpaceDN w:val="0"/>
        <w:adjustRightInd w:val="0"/>
        <w:snapToGrid w:val="0"/>
        <w:spacing w:line="360" w:lineRule="auto"/>
        <w:ind w:firstLine="869" w:firstLineChars="309"/>
        <w:rPr>
          <w:rFonts w:ascii="宋体" w:hAnsi="宋体" w:cs="宋体"/>
          <w:bCs/>
          <w:color w:val="auto"/>
          <w:sz w:val="28"/>
          <w:szCs w:val="28"/>
        </w:rPr>
      </w:pPr>
      <w:r>
        <w:rPr>
          <w:rFonts w:hint="eastAsia" w:ascii="宋体" w:hAnsi="宋体" w:cs="宋体"/>
          <w:b/>
          <w:bCs/>
          <w:color w:val="auto"/>
          <w:sz w:val="28"/>
          <w:szCs w:val="28"/>
          <w:lang w:val="zh-CN"/>
        </w:rPr>
        <w:t>时  间：</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rPr>
        <w:t xml:space="preserve">      </w:t>
      </w:r>
      <w:r>
        <w:rPr>
          <w:rFonts w:hint="eastAsia" w:ascii="宋体" w:hAnsi="宋体" w:cs="宋体"/>
          <w:bCs/>
          <w:color w:val="auto"/>
          <w:sz w:val="28"/>
          <w:szCs w:val="28"/>
        </w:rPr>
        <w:t xml:space="preserve">     </w:t>
      </w:r>
    </w:p>
    <w:p>
      <w:pPr>
        <w:autoSpaceDE w:val="0"/>
        <w:autoSpaceDN w:val="0"/>
        <w:adjustRightInd w:val="0"/>
        <w:snapToGrid w:val="0"/>
        <w:spacing w:line="360" w:lineRule="auto"/>
        <w:rPr>
          <w:rFonts w:ascii="宋体" w:hAnsi="宋体" w:cs="宋体"/>
          <w:b/>
          <w:bCs/>
          <w:color w:val="auto"/>
          <w:sz w:val="28"/>
          <w:szCs w:val="28"/>
          <w:lang w:val="zh-CN"/>
        </w:rPr>
        <w:sectPr>
          <w:headerReference r:id="rId16" w:type="default"/>
          <w:footerReference r:id="rId17" w:type="default"/>
          <w:pgSz w:w="11906" w:h="16838"/>
          <w:pgMar w:top="1418" w:right="1418" w:bottom="1418" w:left="1418" w:header="851" w:footer="992" w:gutter="0"/>
          <w:pgNumType w:fmt="decimal"/>
          <w:cols w:space="425" w:num="1"/>
          <w:docGrid w:linePitch="312" w:charSpace="0"/>
        </w:sectPr>
      </w:pPr>
    </w:p>
    <w:p>
      <w:pPr>
        <w:autoSpaceDE w:val="0"/>
        <w:autoSpaceDN w:val="0"/>
        <w:adjustRightInd w:val="0"/>
        <w:snapToGrid w:val="0"/>
        <w:spacing w:line="360" w:lineRule="auto"/>
        <w:jc w:val="center"/>
        <w:rPr>
          <w:rFonts w:ascii="宋体" w:hAnsi="宋体" w:cs="宋体"/>
          <w:b/>
          <w:bCs/>
          <w:color w:val="auto"/>
          <w:sz w:val="28"/>
          <w:szCs w:val="28"/>
          <w:lang w:val="zh-CN"/>
        </w:rPr>
      </w:pPr>
    </w:p>
    <w:p>
      <w:pPr>
        <w:autoSpaceDE w:val="0"/>
        <w:autoSpaceDN w:val="0"/>
        <w:adjustRightInd w:val="0"/>
        <w:snapToGrid w:val="0"/>
        <w:spacing w:line="500" w:lineRule="exact"/>
        <w:jc w:val="center"/>
        <w:rPr>
          <w:rFonts w:ascii="宋体" w:hAnsi="宋体" w:cs="宋体"/>
          <w:b/>
          <w:bCs/>
          <w:color w:val="auto"/>
          <w:sz w:val="28"/>
          <w:szCs w:val="28"/>
          <w:lang w:val="zh-CN"/>
        </w:rPr>
      </w:pPr>
      <w:r>
        <w:rPr>
          <w:rFonts w:hint="eastAsia" w:ascii="宋体" w:hAnsi="宋体" w:cs="宋体"/>
          <w:b/>
          <w:bCs/>
          <w:color w:val="auto"/>
          <w:sz w:val="28"/>
          <w:szCs w:val="28"/>
          <w:lang w:val="zh-CN"/>
        </w:rPr>
        <w:t>目   录</w:t>
      </w:r>
    </w:p>
    <w:p>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ascii="宋体" w:hAnsi="宋体" w:cs="宋体"/>
          <w:b/>
          <w:bCs/>
          <w:color w:val="auto"/>
          <w:sz w:val="24"/>
          <w:szCs w:val="24"/>
          <w:lang w:val="zh-CN"/>
        </w:rPr>
      </w:pPr>
    </w:p>
    <w:p>
      <w:pPr>
        <w:keepNext w:val="0"/>
        <w:keepLines w:val="0"/>
        <w:pageBreakBefore w:val="0"/>
        <w:widowControl w:val="0"/>
        <w:kinsoku/>
        <w:wordWrap/>
        <w:overflowPunct/>
        <w:topLinePunct w:val="0"/>
        <w:autoSpaceDE w:val="0"/>
        <w:autoSpaceDN w:val="0"/>
        <w:bidi w:val="0"/>
        <w:adjustRightInd w:val="0"/>
        <w:spacing w:line="520" w:lineRule="exact"/>
        <w:jc w:val="left"/>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zh-CN" w:eastAsia="zh-CN"/>
        </w:rPr>
        <w:t>第一部分 磋商响应函及响应函附录</w:t>
      </w:r>
    </w:p>
    <w:p>
      <w:pPr>
        <w:keepNext w:val="0"/>
        <w:keepLines w:val="0"/>
        <w:pageBreakBefore w:val="0"/>
        <w:widowControl w:val="0"/>
        <w:kinsoku/>
        <w:wordWrap/>
        <w:overflowPunct/>
        <w:topLinePunct w:val="0"/>
        <w:autoSpaceDE w:val="0"/>
        <w:autoSpaceDN w:val="0"/>
        <w:bidi w:val="0"/>
        <w:adjustRightInd w:val="0"/>
        <w:spacing w:line="520" w:lineRule="exact"/>
        <w:jc w:val="left"/>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zh-CN" w:eastAsia="zh-CN"/>
        </w:rPr>
        <w:t>第二部分 第一次磋商报价表</w:t>
      </w:r>
    </w:p>
    <w:p>
      <w:pPr>
        <w:keepNext w:val="0"/>
        <w:keepLines w:val="0"/>
        <w:pageBreakBefore w:val="0"/>
        <w:widowControl w:val="0"/>
        <w:kinsoku/>
        <w:wordWrap/>
        <w:overflowPunct/>
        <w:topLinePunct w:val="0"/>
        <w:autoSpaceDE w:val="0"/>
        <w:autoSpaceDN w:val="0"/>
        <w:bidi w:val="0"/>
        <w:adjustRightInd w:val="0"/>
        <w:spacing w:line="520" w:lineRule="exact"/>
        <w:jc w:val="left"/>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zh-CN" w:eastAsia="zh-CN"/>
        </w:rPr>
        <w:t>第三部分 已标价工程量清单</w:t>
      </w:r>
    </w:p>
    <w:p>
      <w:pPr>
        <w:keepNext w:val="0"/>
        <w:keepLines w:val="0"/>
        <w:pageBreakBefore w:val="0"/>
        <w:widowControl w:val="0"/>
        <w:kinsoku/>
        <w:wordWrap/>
        <w:overflowPunct/>
        <w:topLinePunct w:val="0"/>
        <w:autoSpaceDE w:val="0"/>
        <w:autoSpaceDN w:val="0"/>
        <w:bidi w:val="0"/>
        <w:adjustRightInd w:val="0"/>
        <w:spacing w:line="520" w:lineRule="exact"/>
        <w:jc w:val="left"/>
        <w:textAlignment w:val="auto"/>
        <w:rPr>
          <w:rFonts w:hint="eastAsia" w:ascii="宋体" w:hAnsi="宋体" w:cs="宋体"/>
          <w:b w:val="0"/>
          <w:bCs w:val="0"/>
          <w:color w:val="auto"/>
          <w:sz w:val="24"/>
          <w:szCs w:val="24"/>
          <w:lang w:val="zh-CN"/>
        </w:rPr>
      </w:pPr>
      <w:r>
        <w:rPr>
          <w:rFonts w:hint="eastAsia" w:ascii="宋体" w:hAnsi="宋体" w:cs="宋体"/>
          <w:b w:val="0"/>
          <w:bCs w:val="0"/>
          <w:color w:val="auto"/>
          <w:sz w:val="24"/>
          <w:szCs w:val="24"/>
          <w:lang w:val="zh-CN" w:eastAsia="zh-CN"/>
        </w:rPr>
        <w:t>第四部分 技术方案</w:t>
      </w:r>
    </w:p>
    <w:p>
      <w:pPr>
        <w:keepNext w:val="0"/>
        <w:keepLines w:val="0"/>
        <w:pageBreakBefore w:val="0"/>
        <w:widowControl w:val="0"/>
        <w:kinsoku/>
        <w:wordWrap/>
        <w:overflowPunct/>
        <w:topLinePunct w:val="0"/>
        <w:autoSpaceDE w:val="0"/>
        <w:autoSpaceDN w:val="0"/>
        <w:bidi w:val="0"/>
        <w:adjustRightInd w:val="0"/>
        <w:spacing w:line="520" w:lineRule="exact"/>
        <w:jc w:val="left"/>
        <w:textAlignment w:val="auto"/>
        <w:rPr>
          <w:rFonts w:hint="eastAsia" w:ascii="宋体" w:hAnsi="宋体" w:cs="宋体"/>
          <w:b w:val="0"/>
          <w:bCs w:val="0"/>
          <w:color w:val="auto"/>
          <w:sz w:val="24"/>
          <w:szCs w:val="24"/>
          <w:lang w:val="zh-CN"/>
        </w:rPr>
      </w:pPr>
      <w:r>
        <w:rPr>
          <w:rFonts w:hint="eastAsia" w:ascii="宋体" w:hAnsi="宋体" w:cs="宋体"/>
          <w:b w:val="0"/>
          <w:bCs w:val="0"/>
          <w:color w:val="auto"/>
          <w:sz w:val="24"/>
          <w:szCs w:val="24"/>
          <w:lang w:val="zh-CN"/>
        </w:rPr>
        <w:t>第</w:t>
      </w:r>
      <w:r>
        <w:rPr>
          <w:rFonts w:hint="eastAsia" w:ascii="宋体" w:hAnsi="宋体" w:cs="宋体"/>
          <w:b w:val="0"/>
          <w:bCs w:val="0"/>
          <w:color w:val="auto"/>
          <w:sz w:val="24"/>
          <w:szCs w:val="24"/>
          <w:lang w:val="zh-CN" w:eastAsia="zh-CN"/>
        </w:rPr>
        <w:t>五</w:t>
      </w:r>
      <w:r>
        <w:rPr>
          <w:rFonts w:hint="eastAsia" w:ascii="宋体" w:hAnsi="宋体" w:cs="宋体"/>
          <w:b w:val="0"/>
          <w:bCs w:val="0"/>
          <w:color w:val="auto"/>
          <w:sz w:val="24"/>
          <w:szCs w:val="24"/>
          <w:lang w:val="zh-CN"/>
        </w:rPr>
        <w:t>部分</w:t>
      </w:r>
      <w:r>
        <w:rPr>
          <w:rFonts w:hint="eastAsia" w:ascii="宋体" w:hAnsi="宋体" w:cs="宋体"/>
          <w:b w:val="0"/>
          <w:bCs w:val="0"/>
          <w:color w:val="auto"/>
          <w:sz w:val="24"/>
          <w:szCs w:val="24"/>
          <w:lang w:val="zh-CN" w:eastAsia="zh-CN"/>
        </w:rPr>
        <w:t xml:space="preserve"> 供应商近三年类似项目业绩一览表</w:t>
      </w:r>
    </w:p>
    <w:p>
      <w:pPr>
        <w:keepNext w:val="0"/>
        <w:keepLines w:val="0"/>
        <w:pageBreakBefore w:val="0"/>
        <w:widowControl w:val="0"/>
        <w:kinsoku/>
        <w:wordWrap/>
        <w:overflowPunct/>
        <w:topLinePunct w:val="0"/>
        <w:autoSpaceDE w:val="0"/>
        <w:autoSpaceDN w:val="0"/>
        <w:bidi w:val="0"/>
        <w:adjustRightInd w:val="0"/>
        <w:spacing w:line="520" w:lineRule="exact"/>
        <w:jc w:val="left"/>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zh-CN" w:eastAsia="zh-CN"/>
        </w:rPr>
        <w:t xml:space="preserve">第六部分 </w:t>
      </w:r>
      <w:r>
        <w:rPr>
          <w:rFonts w:hint="eastAsia" w:ascii="宋体" w:hAnsi="宋体" w:cs="宋体"/>
          <w:b w:val="0"/>
          <w:bCs w:val="0"/>
          <w:color w:val="auto"/>
          <w:sz w:val="24"/>
          <w:szCs w:val="24"/>
          <w:lang w:val="zh-CN"/>
        </w:rPr>
        <w:t>供应商承诺书</w:t>
      </w:r>
    </w:p>
    <w:p>
      <w:pPr>
        <w:keepNext w:val="0"/>
        <w:keepLines w:val="0"/>
        <w:pageBreakBefore w:val="0"/>
        <w:widowControl w:val="0"/>
        <w:kinsoku/>
        <w:wordWrap/>
        <w:overflowPunct/>
        <w:topLinePunct w:val="0"/>
        <w:autoSpaceDE w:val="0"/>
        <w:autoSpaceDN w:val="0"/>
        <w:bidi w:val="0"/>
        <w:adjustRightInd w:val="0"/>
        <w:spacing w:line="520" w:lineRule="exact"/>
        <w:jc w:val="left"/>
        <w:textAlignment w:val="auto"/>
        <w:rPr>
          <w:rFonts w:ascii="宋体" w:hAnsi="宋体" w:cs="宋体"/>
          <w:b w:val="0"/>
          <w:bCs w:val="0"/>
          <w:color w:val="auto"/>
          <w:sz w:val="24"/>
          <w:szCs w:val="24"/>
          <w:lang w:val="zh-CN"/>
        </w:rPr>
      </w:pPr>
      <w:r>
        <w:rPr>
          <w:rFonts w:hint="eastAsia" w:ascii="宋体" w:hAnsi="宋体" w:cs="宋体"/>
          <w:b w:val="0"/>
          <w:bCs w:val="0"/>
          <w:color w:val="auto"/>
          <w:sz w:val="24"/>
          <w:szCs w:val="24"/>
          <w:lang w:val="zh-CN" w:eastAsia="zh-CN"/>
        </w:rPr>
        <w:t>第</w:t>
      </w:r>
      <w:r>
        <w:rPr>
          <w:rFonts w:hint="eastAsia" w:ascii="宋体" w:hAnsi="宋体" w:cs="宋体"/>
          <w:b w:val="0"/>
          <w:bCs w:val="0"/>
          <w:color w:val="auto"/>
          <w:sz w:val="24"/>
          <w:szCs w:val="24"/>
          <w:lang w:val="en-US" w:eastAsia="zh-CN"/>
        </w:rPr>
        <w:t>七</w:t>
      </w:r>
      <w:r>
        <w:rPr>
          <w:rFonts w:hint="eastAsia" w:ascii="宋体" w:hAnsi="宋体" w:cs="宋体"/>
          <w:b w:val="0"/>
          <w:bCs w:val="0"/>
          <w:color w:val="auto"/>
          <w:sz w:val="24"/>
          <w:szCs w:val="24"/>
          <w:lang w:val="zh-CN" w:eastAsia="zh-CN"/>
        </w:rPr>
        <w:t xml:space="preserve">部分 </w:t>
      </w:r>
      <w:r>
        <w:rPr>
          <w:rFonts w:hint="eastAsia" w:ascii="宋体" w:hAnsi="宋体" w:cs="宋体"/>
          <w:b w:val="0"/>
          <w:bCs w:val="0"/>
          <w:color w:val="auto"/>
          <w:sz w:val="24"/>
          <w:szCs w:val="24"/>
          <w:lang w:val="zh-CN"/>
        </w:rPr>
        <w:t>供应商资质证明文件</w:t>
      </w:r>
    </w:p>
    <w:p>
      <w:pPr>
        <w:keepNext w:val="0"/>
        <w:keepLines w:val="0"/>
        <w:pageBreakBefore w:val="0"/>
        <w:widowControl w:val="0"/>
        <w:kinsoku/>
        <w:wordWrap/>
        <w:overflowPunct/>
        <w:topLinePunct w:val="0"/>
        <w:autoSpaceDE w:val="0"/>
        <w:autoSpaceDN w:val="0"/>
        <w:bidi w:val="0"/>
        <w:adjustRightInd w:val="0"/>
        <w:spacing w:line="520" w:lineRule="exact"/>
        <w:jc w:val="left"/>
        <w:textAlignment w:val="auto"/>
        <w:rPr>
          <w:rFonts w:ascii="宋体" w:hAnsi="宋体" w:cs="宋体"/>
          <w:b w:val="0"/>
          <w:bCs w:val="0"/>
          <w:color w:val="auto"/>
          <w:sz w:val="24"/>
          <w:szCs w:val="24"/>
          <w:lang w:val="zh-CN"/>
        </w:rPr>
      </w:pPr>
      <w:r>
        <w:rPr>
          <w:rFonts w:hint="eastAsia" w:ascii="宋体" w:hAnsi="宋体" w:cs="宋体"/>
          <w:b w:val="0"/>
          <w:bCs w:val="0"/>
          <w:color w:val="auto"/>
          <w:sz w:val="24"/>
          <w:szCs w:val="24"/>
          <w:lang w:val="zh-CN" w:eastAsia="zh-CN"/>
        </w:rPr>
        <w:t>第</w:t>
      </w:r>
      <w:r>
        <w:rPr>
          <w:rFonts w:hint="eastAsia" w:ascii="宋体" w:hAnsi="宋体" w:cs="宋体"/>
          <w:b w:val="0"/>
          <w:bCs w:val="0"/>
          <w:color w:val="auto"/>
          <w:sz w:val="24"/>
          <w:szCs w:val="24"/>
          <w:lang w:val="en-US" w:eastAsia="zh-CN"/>
        </w:rPr>
        <w:t>八</w:t>
      </w:r>
      <w:r>
        <w:rPr>
          <w:rFonts w:hint="eastAsia" w:ascii="宋体" w:hAnsi="宋体" w:cs="宋体"/>
          <w:b w:val="0"/>
          <w:bCs w:val="0"/>
          <w:color w:val="auto"/>
          <w:sz w:val="24"/>
          <w:szCs w:val="24"/>
          <w:lang w:val="zh-CN" w:eastAsia="zh-CN"/>
        </w:rPr>
        <w:t xml:space="preserve">部分 </w:t>
      </w:r>
      <w:r>
        <w:rPr>
          <w:rFonts w:hint="eastAsia" w:ascii="宋体" w:hAnsi="宋体" w:cs="宋体"/>
          <w:b w:val="0"/>
          <w:bCs w:val="0"/>
          <w:color w:val="auto"/>
          <w:sz w:val="24"/>
          <w:szCs w:val="24"/>
          <w:lang w:val="zh-CN"/>
        </w:rPr>
        <w:t>其他资料</w:t>
      </w:r>
    </w:p>
    <w:p>
      <w:pPr>
        <w:keepNext w:val="0"/>
        <w:keepLines w:val="0"/>
        <w:pageBreakBefore w:val="0"/>
        <w:widowControl w:val="0"/>
        <w:kinsoku/>
        <w:wordWrap/>
        <w:overflowPunct/>
        <w:topLinePunct w:val="0"/>
        <w:autoSpaceDE w:val="0"/>
        <w:autoSpaceDN w:val="0"/>
        <w:bidi w:val="0"/>
        <w:adjustRightInd w:val="0"/>
        <w:spacing w:line="520" w:lineRule="exact"/>
        <w:jc w:val="left"/>
        <w:textAlignment w:val="auto"/>
        <w:rPr>
          <w:rFonts w:ascii="宋体" w:hAnsi="宋体" w:cs="宋体"/>
          <w:b w:val="0"/>
          <w:bCs w:val="0"/>
          <w:color w:val="auto"/>
          <w:sz w:val="24"/>
          <w:szCs w:val="24"/>
          <w:lang w:val="zh-CN"/>
        </w:rPr>
      </w:pPr>
      <w:r>
        <w:rPr>
          <w:rFonts w:hint="eastAsia" w:ascii="宋体" w:hAnsi="宋体" w:cs="宋体"/>
          <w:b w:val="0"/>
          <w:bCs w:val="0"/>
          <w:color w:val="auto"/>
          <w:sz w:val="24"/>
          <w:szCs w:val="24"/>
          <w:lang w:val="zh-CN" w:eastAsia="zh-CN"/>
        </w:rPr>
        <w:t xml:space="preserve"> </w:t>
      </w:r>
    </w:p>
    <w:p>
      <w:pPr>
        <w:autoSpaceDE w:val="0"/>
        <w:autoSpaceDN w:val="0"/>
        <w:adjustRightInd w:val="0"/>
        <w:spacing w:line="500" w:lineRule="exact"/>
        <w:jc w:val="left"/>
        <w:rPr>
          <w:rFonts w:ascii="宋体" w:hAnsi="宋体" w:cs="宋体"/>
          <w:b/>
          <w:bCs/>
          <w:color w:val="auto"/>
          <w:sz w:val="28"/>
          <w:szCs w:val="28"/>
          <w:lang w:val="zh-CN"/>
        </w:rPr>
      </w:pPr>
    </w:p>
    <w:p>
      <w:pPr>
        <w:autoSpaceDE w:val="0"/>
        <w:autoSpaceDN w:val="0"/>
        <w:adjustRightInd w:val="0"/>
        <w:spacing w:line="500" w:lineRule="exact"/>
        <w:jc w:val="left"/>
        <w:rPr>
          <w:rFonts w:ascii="宋体" w:hAnsi="宋体" w:cs="宋体"/>
          <w:b/>
          <w:bCs/>
          <w:color w:val="auto"/>
          <w:sz w:val="28"/>
          <w:szCs w:val="28"/>
          <w:lang w:val="zh-CN"/>
        </w:rPr>
      </w:pPr>
    </w:p>
    <w:p>
      <w:pPr>
        <w:autoSpaceDE w:val="0"/>
        <w:autoSpaceDN w:val="0"/>
        <w:adjustRightInd w:val="0"/>
        <w:spacing w:line="500" w:lineRule="exact"/>
        <w:jc w:val="left"/>
        <w:rPr>
          <w:rFonts w:ascii="宋体" w:hAnsi="宋体" w:cs="宋体"/>
          <w:b/>
          <w:bCs/>
          <w:color w:val="auto"/>
          <w:sz w:val="28"/>
          <w:szCs w:val="28"/>
          <w:lang w:val="zh-CN"/>
        </w:rPr>
      </w:pPr>
    </w:p>
    <w:p>
      <w:pPr>
        <w:autoSpaceDE w:val="0"/>
        <w:autoSpaceDN w:val="0"/>
        <w:adjustRightInd w:val="0"/>
        <w:spacing w:line="500" w:lineRule="exact"/>
        <w:jc w:val="left"/>
        <w:rPr>
          <w:rFonts w:ascii="宋体" w:hAnsi="宋体" w:cs="宋体"/>
          <w:b/>
          <w:bCs/>
          <w:color w:val="auto"/>
          <w:sz w:val="28"/>
          <w:szCs w:val="28"/>
          <w:lang w:val="zh-CN"/>
        </w:rPr>
      </w:pPr>
    </w:p>
    <w:p>
      <w:pPr>
        <w:autoSpaceDE w:val="0"/>
        <w:autoSpaceDN w:val="0"/>
        <w:adjustRightInd w:val="0"/>
        <w:spacing w:line="500" w:lineRule="exact"/>
        <w:jc w:val="left"/>
        <w:rPr>
          <w:rFonts w:ascii="宋体" w:hAnsi="宋体" w:cs="宋体"/>
          <w:b/>
          <w:bCs/>
          <w:color w:val="auto"/>
          <w:sz w:val="28"/>
          <w:szCs w:val="28"/>
          <w:lang w:val="zh-CN"/>
        </w:rPr>
      </w:pPr>
    </w:p>
    <w:p>
      <w:pPr>
        <w:autoSpaceDE w:val="0"/>
        <w:autoSpaceDN w:val="0"/>
        <w:adjustRightInd w:val="0"/>
        <w:spacing w:line="500" w:lineRule="exact"/>
        <w:jc w:val="left"/>
        <w:rPr>
          <w:rFonts w:ascii="宋体" w:hAnsi="宋体" w:cs="宋体"/>
          <w:b/>
          <w:bCs/>
          <w:color w:val="auto"/>
          <w:sz w:val="28"/>
          <w:szCs w:val="28"/>
          <w:lang w:val="zh-CN"/>
        </w:rPr>
      </w:pPr>
    </w:p>
    <w:p>
      <w:pPr>
        <w:autoSpaceDE w:val="0"/>
        <w:autoSpaceDN w:val="0"/>
        <w:adjustRightInd w:val="0"/>
        <w:spacing w:line="500" w:lineRule="exact"/>
        <w:jc w:val="left"/>
        <w:rPr>
          <w:rFonts w:ascii="宋体" w:hAnsi="宋体" w:cs="宋体"/>
          <w:b/>
          <w:bCs/>
          <w:color w:val="auto"/>
          <w:sz w:val="28"/>
          <w:szCs w:val="28"/>
          <w:lang w:val="zh-CN"/>
        </w:rPr>
      </w:pPr>
    </w:p>
    <w:p>
      <w:pPr>
        <w:autoSpaceDE w:val="0"/>
        <w:autoSpaceDN w:val="0"/>
        <w:adjustRightInd w:val="0"/>
        <w:spacing w:line="500" w:lineRule="exact"/>
        <w:jc w:val="center"/>
        <w:rPr>
          <w:rFonts w:ascii="宋体" w:hAnsi="宋体" w:cs="宋体"/>
          <w:b/>
          <w:bCs/>
          <w:color w:val="auto"/>
          <w:sz w:val="28"/>
          <w:szCs w:val="28"/>
          <w:lang w:val="zh-CN"/>
        </w:rPr>
        <w:sectPr>
          <w:pgSz w:w="11906" w:h="16838"/>
          <w:pgMar w:top="1418" w:right="1418" w:bottom="1418" w:left="1418" w:header="851" w:footer="992" w:gutter="0"/>
          <w:pgNumType w:fmt="decimal"/>
          <w:cols w:space="425" w:num="1"/>
          <w:docGrid w:linePitch="312" w:charSpace="0"/>
        </w:sectPr>
      </w:pPr>
    </w:p>
    <w:p>
      <w:pPr>
        <w:pStyle w:val="4"/>
        <w:numPr>
          <w:ilvl w:val="0"/>
          <w:numId w:val="0"/>
        </w:numPr>
        <w:spacing w:line="500" w:lineRule="exact"/>
        <w:ind w:leftChars="0"/>
        <w:jc w:val="center"/>
        <w:rPr>
          <w:rFonts w:hint="eastAsia" w:ascii="宋体" w:hAnsi="宋体" w:eastAsia="宋体" w:cs="宋体"/>
          <w:b/>
          <w:bCs/>
          <w:color w:val="auto"/>
          <w:szCs w:val="28"/>
          <w:lang w:val="zh-CN" w:eastAsia="zh-CN"/>
        </w:rPr>
      </w:pPr>
      <w:r>
        <w:rPr>
          <w:rFonts w:hint="eastAsia" w:ascii="宋体" w:hAnsi="宋体" w:eastAsia="宋体" w:cs="宋体"/>
          <w:b/>
          <w:bCs/>
          <w:color w:val="auto"/>
          <w:szCs w:val="28"/>
          <w:lang w:val="zh-CN" w:eastAsia="zh-CN"/>
        </w:rPr>
        <w:t>第一部分  磋商响应函及响应函附录</w:t>
      </w:r>
    </w:p>
    <w:p>
      <w:pPr>
        <w:rPr>
          <w:rFonts w:hint="eastAsia"/>
          <w:color w:val="auto"/>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color w:val="auto"/>
          <w:sz w:val="24"/>
          <w:szCs w:val="24"/>
        </w:rPr>
      </w:pPr>
      <w:r>
        <w:rPr>
          <w:rFonts w:hint="eastAsia" w:ascii="宋体" w:hAnsi="宋体" w:eastAsia="宋体" w:cs="宋体"/>
          <w:b/>
          <w:bCs/>
          <w:color w:val="auto"/>
          <w:sz w:val="28"/>
          <w:szCs w:val="28"/>
          <w:lang w:val="zh-CN"/>
        </w:rPr>
        <w:t>（一）磋商响应函</w:t>
      </w:r>
    </w:p>
    <w:p>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（采购人名称）： </w:t>
      </w:r>
    </w:p>
    <w:p>
      <w:pPr>
        <w:keepNext w:val="0"/>
        <w:keepLines w:val="0"/>
        <w:pageBreakBefore w:val="0"/>
        <w:widowControl w:val="0"/>
        <w:kinsoku/>
        <w:wordWrap/>
        <w:autoSpaceDE/>
        <w:autoSpaceDN/>
        <w:bidi w:val="0"/>
        <w:adjustRightInd/>
        <w:spacing w:line="52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1、我方已仔细研究了</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（项目名称）磋商文件的全部内容，愿意以第一次报价为</w:t>
      </w:r>
      <w:r>
        <w:rPr>
          <w:rFonts w:hint="eastAsia" w:ascii="宋体" w:hAnsi="宋体" w:eastAsia="宋体" w:cs="宋体"/>
          <w:color w:val="auto"/>
          <w:sz w:val="24"/>
        </w:rPr>
        <w:t>：</w:t>
      </w:r>
      <w:r>
        <w:rPr>
          <w:rFonts w:hint="eastAsia" w:ascii="宋体" w:hAnsi="宋体" w:eastAsia="宋体" w:cs="宋体"/>
          <w:color w:val="auto"/>
          <w:sz w:val="24"/>
          <w:u w:val="single"/>
        </w:rPr>
        <w:t xml:space="preserve">     （大写金额）</w:t>
      </w:r>
      <w:r>
        <w:rPr>
          <w:rFonts w:hint="eastAsia" w:ascii="宋体" w:hAnsi="宋体" w:eastAsia="宋体" w:cs="宋体"/>
          <w:color w:val="auto"/>
          <w:sz w:val="24"/>
          <w:u w:val="none"/>
        </w:rPr>
        <w:t>元</w:t>
      </w:r>
      <w:r>
        <w:rPr>
          <w:rFonts w:hint="eastAsia" w:ascii="宋体" w:hAnsi="宋体" w:eastAsia="宋体" w:cs="宋体"/>
          <w:color w:val="auto"/>
          <w:sz w:val="24"/>
        </w:rPr>
        <w:t>，</w:t>
      </w:r>
      <w:r>
        <w:rPr>
          <w:rFonts w:hint="eastAsia" w:ascii="宋体" w:hAnsi="宋体" w:eastAsia="宋体" w:cs="宋体"/>
          <w:color w:val="auto"/>
          <w:sz w:val="24"/>
          <w:u w:val="single"/>
        </w:rPr>
        <w:t xml:space="preserve">       （小写金额）</w:t>
      </w:r>
      <w:r>
        <w:rPr>
          <w:rFonts w:hint="eastAsia" w:ascii="宋体" w:hAnsi="宋体" w:eastAsia="宋体" w:cs="宋体"/>
          <w:color w:val="auto"/>
          <w:sz w:val="24"/>
          <w:u w:val="none"/>
        </w:rPr>
        <w:t>元</w:t>
      </w:r>
      <w:r>
        <w:rPr>
          <w:rFonts w:hint="eastAsia" w:ascii="宋体" w:hAnsi="宋体" w:eastAsia="宋体" w:cs="宋体"/>
          <w:bCs/>
          <w:color w:val="auto"/>
          <w:sz w:val="24"/>
          <w:szCs w:val="24"/>
        </w:rPr>
        <w:t>，</w:t>
      </w:r>
      <w:r>
        <w:rPr>
          <w:rFonts w:hint="eastAsia" w:ascii="宋体" w:hAnsi="宋体" w:eastAsia="宋体" w:cs="宋体"/>
          <w:bCs/>
          <w:color w:val="auto"/>
          <w:sz w:val="24"/>
          <w:szCs w:val="24"/>
          <w:u w:val="none"/>
        </w:rPr>
        <w:t>工期：</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，质量目标：</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，并按合同约定的工期及质量实施和完成全部项目。</w:t>
      </w:r>
    </w:p>
    <w:p>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2、我方承诺自响应截止之日起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日历天（同响应文件有效期）不补充、修改、替代或者撤回本响应性文件。</w:t>
      </w:r>
    </w:p>
    <w:p>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 xml:space="preserve">、如我方成交： </w:t>
      </w:r>
    </w:p>
    <w:p>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（1）我方承诺在收到成交通知书后，在规定的期限内与采购人签订合同。</w:t>
      </w:r>
    </w:p>
    <w:p>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（2）本磋商函属于合同文件的组成部分。 </w:t>
      </w:r>
    </w:p>
    <w:p>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（3）我方承诺按照磋商文件规定向你方提供要求的任何证据、资料。 </w:t>
      </w:r>
    </w:p>
    <w:p>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（4）我方承诺在合同约定的期限内完成并移交全部合同项目。 </w:t>
      </w:r>
    </w:p>
    <w:p>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 xml:space="preserve">、我方在此声明，所递交的磋商响应文件及有关资料内容完整、真实和准确，并愿承担法律责任。 </w:t>
      </w:r>
    </w:p>
    <w:p>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、（其他承诺事项）：</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 </w:t>
      </w:r>
    </w:p>
    <w:p>
      <w:pPr>
        <w:keepNext w:val="0"/>
        <w:keepLines w:val="0"/>
        <w:pageBreakBefore w:val="0"/>
        <w:widowControl w:val="0"/>
        <w:kinsoku/>
        <w:wordWrap/>
        <w:overflowPunct w:val="0"/>
        <w:topLinePunct/>
        <w:autoSpaceDE/>
        <w:autoSpaceDN/>
        <w:bidi w:val="0"/>
        <w:adjustRightInd/>
        <w:spacing w:line="520" w:lineRule="exact"/>
        <w:ind w:firstLine="3360" w:firstLineChars="14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keepNext w:val="0"/>
        <w:keepLines w:val="0"/>
        <w:pageBreakBefore w:val="0"/>
        <w:widowControl w:val="0"/>
        <w:kinsoku/>
        <w:wordWrap/>
        <w:overflowPunct w:val="0"/>
        <w:topLinePunct/>
        <w:autoSpaceDE/>
        <w:autoSpaceDN/>
        <w:bidi w:val="0"/>
        <w:adjustRightInd/>
        <w:snapToGrid w:val="0"/>
        <w:spacing w:line="520" w:lineRule="exact"/>
        <w:ind w:firstLine="3360" w:firstLineChars="14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（盖单位章） </w:t>
      </w:r>
    </w:p>
    <w:p>
      <w:pPr>
        <w:keepNext w:val="0"/>
        <w:keepLines w:val="0"/>
        <w:pageBreakBefore w:val="0"/>
        <w:widowControl w:val="0"/>
        <w:kinsoku/>
        <w:wordWrap/>
        <w:overflowPunct w:val="0"/>
        <w:topLinePunct/>
        <w:autoSpaceDE/>
        <w:autoSpaceDN/>
        <w:bidi w:val="0"/>
        <w:adjustRightInd/>
        <w:snapToGrid w:val="0"/>
        <w:spacing w:line="520" w:lineRule="exact"/>
        <w:ind w:firstLine="3360" w:firstLineChars="14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（签字或签章）</w:t>
      </w:r>
      <w:r>
        <w:rPr>
          <w:rFonts w:hint="eastAsia" w:ascii="宋体" w:hAnsi="宋体" w:eastAsia="宋体" w:cs="宋体"/>
          <w:b/>
          <w:color w:val="auto"/>
          <w:sz w:val="24"/>
          <w:szCs w:val="24"/>
        </w:rPr>
        <w:t xml:space="preserve"> </w:t>
      </w:r>
    </w:p>
    <w:p>
      <w:pPr>
        <w:keepNext w:val="0"/>
        <w:keepLines w:val="0"/>
        <w:pageBreakBefore w:val="0"/>
        <w:widowControl w:val="0"/>
        <w:kinsoku/>
        <w:wordWrap/>
        <w:overflowPunct w:val="0"/>
        <w:topLinePunct/>
        <w:autoSpaceDE/>
        <w:autoSpaceDN/>
        <w:bidi w:val="0"/>
        <w:adjustRightInd/>
        <w:snapToGrid w:val="0"/>
        <w:spacing w:line="520" w:lineRule="exact"/>
        <w:ind w:firstLine="3480" w:firstLineChars="145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val="0"/>
        <w:topLinePunct/>
        <w:autoSpaceDE/>
        <w:autoSpaceDN/>
        <w:bidi w:val="0"/>
        <w:adjustRightInd/>
        <w:snapToGrid w:val="0"/>
        <w:spacing w:line="520" w:lineRule="exact"/>
        <w:ind w:firstLine="3360" w:firstLineChars="140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电    话：</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val="0"/>
        <w:topLinePunct/>
        <w:autoSpaceDE/>
        <w:autoSpaceDN/>
        <w:bidi w:val="0"/>
        <w:adjustRightInd/>
        <w:snapToGrid w:val="0"/>
        <w:spacing w:line="520" w:lineRule="exact"/>
        <w:ind w:firstLine="3360" w:firstLineChars="140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传    真：</w:t>
      </w:r>
      <w:r>
        <w:rPr>
          <w:rFonts w:hint="eastAsia" w:ascii="宋体" w:hAnsi="宋体" w:eastAsia="宋体" w:cs="宋体"/>
          <w:color w:val="auto"/>
          <w:sz w:val="24"/>
          <w:szCs w:val="24"/>
          <w:u w:val="single"/>
        </w:rPr>
        <w:t xml:space="preserve">                               </w:t>
      </w:r>
    </w:p>
    <w:p>
      <w:pPr>
        <w:keepNext w:val="0"/>
        <w:keepLines w:val="0"/>
        <w:pageBreakBefore w:val="0"/>
        <w:widowControl w:val="0"/>
        <w:tabs>
          <w:tab w:val="left" w:pos="210"/>
        </w:tabs>
        <w:kinsoku/>
        <w:wordWrap/>
        <w:autoSpaceDE/>
        <w:autoSpaceDN/>
        <w:bidi w:val="0"/>
        <w:adjustRightInd/>
        <w:snapToGrid w:val="0"/>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autoSpaceDE w:val="0"/>
        <w:autoSpaceDN w:val="0"/>
        <w:adjustRightInd w:val="0"/>
        <w:spacing w:line="500" w:lineRule="exact"/>
        <w:rPr>
          <w:rFonts w:ascii="宋体" w:hAnsi="宋体" w:cs="宋体"/>
          <w:b/>
          <w:bCs/>
          <w:color w:val="auto"/>
          <w:sz w:val="24"/>
          <w:szCs w:val="24"/>
          <w:lang w:val="zh-CN"/>
        </w:rPr>
      </w:pPr>
    </w:p>
    <w:p>
      <w:pPr>
        <w:pStyle w:val="2"/>
        <w:rPr>
          <w:rFonts w:ascii="宋体" w:hAnsi="宋体" w:cs="宋体"/>
          <w:b/>
          <w:bCs/>
          <w:color w:val="auto"/>
          <w:sz w:val="24"/>
          <w:szCs w:val="24"/>
          <w:lang w:val="zh-CN"/>
        </w:rPr>
      </w:pPr>
    </w:p>
    <w:p>
      <w:pPr>
        <w:rPr>
          <w:rFonts w:ascii="宋体" w:hAnsi="宋体" w:cs="宋体"/>
          <w:b/>
          <w:bCs/>
          <w:color w:val="auto"/>
          <w:sz w:val="24"/>
          <w:szCs w:val="24"/>
          <w:lang w:val="zh-CN"/>
        </w:rPr>
      </w:pPr>
    </w:p>
    <w:p>
      <w:pPr>
        <w:pStyle w:val="2"/>
        <w:rPr>
          <w:rFonts w:ascii="宋体" w:hAnsi="宋体" w:cs="宋体"/>
          <w:b/>
          <w:bCs/>
          <w:color w:val="auto"/>
          <w:sz w:val="24"/>
          <w:szCs w:val="24"/>
          <w:lang w:val="zh-CN"/>
        </w:rPr>
      </w:pPr>
    </w:p>
    <w:p>
      <w:pPr>
        <w:rPr>
          <w:rFonts w:ascii="宋体" w:hAnsi="宋体" w:cs="宋体"/>
          <w:b/>
          <w:bCs/>
          <w:color w:val="auto"/>
          <w:sz w:val="24"/>
          <w:szCs w:val="24"/>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8"/>
          <w:szCs w:val="28"/>
        </w:rPr>
      </w:pPr>
      <w:r>
        <w:rPr>
          <w:rFonts w:hint="eastAsia" w:ascii="宋体" w:hAnsi="宋体" w:eastAsia="宋体" w:cs="宋体"/>
          <w:b/>
          <w:bCs/>
          <w:color w:val="auto"/>
          <w:sz w:val="28"/>
          <w:szCs w:val="28"/>
          <w:lang w:val="zh-CN"/>
        </w:rPr>
        <w:t>（二）响应函附录</w:t>
      </w:r>
    </w:p>
    <w:tbl>
      <w:tblPr>
        <w:tblStyle w:val="35"/>
        <w:tblW w:w="8820"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080"/>
        <w:gridCol w:w="2361"/>
        <w:gridCol w:w="1779"/>
        <w:gridCol w:w="2190"/>
        <w:gridCol w:w="141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5" w:hRule="atLeast"/>
        </w:trPr>
        <w:tc>
          <w:tcPr>
            <w:tcW w:w="1080" w:type="dxa"/>
            <w:tcBorders>
              <w:top w:val="single" w:color="auto" w:sz="12" w:space="0"/>
            </w:tcBorders>
            <w:vAlign w:val="center"/>
          </w:tcPr>
          <w:p>
            <w:pPr>
              <w:spacing w:line="400" w:lineRule="exact"/>
              <w:ind w:left="18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361" w:type="dxa"/>
            <w:tcBorders>
              <w:top w:val="single" w:color="auto" w:sz="12" w:space="0"/>
            </w:tcBorders>
            <w:vAlign w:val="center"/>
          </w:tcPr>
          <w:p>
            <w:pPr>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条款名称</w:t>
            </w:r>
          </w:p>
        </w:tc>
        <w:tc>
          <w:tcPr>
            <w:tcW w:w="1779" w:type="dxa"/>
            <w:tcBorders>
              <w:top w:val="single" w:color="auto" w:sz="12" w:space="0"/>
            </w:tcBorders>
            <w:vAlign w:val="center"/>
          </w:tcPr>
          <w:p>
            <w:pPr>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合同条款号</w:t>
            </w:r>
          </w:p>
        </w:tc>
        <w:tc>
          <w:tcPr>
            <w:tcW w:w="2190" w:type="dxa"/>
            <w:tcBorders>
              <w:top w:val="single" w:color="auto" w:sz="12" w:space="0"/>
            </w:tcBorders>
            <w:vAlign w:val="center"/>
          </w:tcPr>
          <w:p>
            <w:pPr>
              <w:spacing w:line="400" w:lineRule="exact"/>
              <w:ind w:left="180" w:firstLine="241" w:firstLineChars="10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约定内容</w:t>
            </w:r>
          </w:p>
        </w:tc>
        <w:tc>
          <w:tcPr>
            <w:tcW w:w="1410" w:type="dxa"/>
            <w:tcBorders>
              <w:top w:val="single" w:color="auto" w:sz="12" w:space="0"/>
            </w:tcBorders>
            <w:vAlign w:val="center"/>
          </w:tcPr>
          <w:p>
            <w:pPr>
              <w:spacing w:line="400" w:lineRule="exact"/>
              <w:ind w:left="180" w:firstLine="241" w:firstLineChars="10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1" w:hRule="atLeast"/>
        </w:trPr>
        <w:tc>
          <w:tcPr>
            <w:tcW w:w="1080" w:type="dxa"/>
            <w:vAlign w:val="center"/>
          </w:tcPr>
          <w:p>
            <w:pPr>
              <w:spacing w:line="400" w:lineRule="exact"/>
              <w:ind w:left="18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361" w:type="dxa"/>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项目经理</w:t>
            </w:r>
          </w:p>
        </w:tc>
        <w:tc>
          <w:tcPr>
            <w:tcW w:w="1779" w:type="dxa"/>
            <w:vAlign w:val="center"/>
          </w:tcPr>
          <w:p>
            <w:pPr>
              <w:spacing w:line="400" w:lineRule="exact"/>
              <w:ind w:left="18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1.1.2.4</w:t>
            </w:r>
          </w:p>
        </w:tc>
        <w:tc>
          <w:tcPr>
            <w:tcW w:w="2190" w:type="dxa"/>
            <w:vAlign w:val="center"/>
          </w:tcPr>
          <w:p>
            <w:pPr>
              <w:spacing w:line="400" w:lineRule="exact"/>
              <w:jc w:val="both"/>
              <w:rPr>
                <w:rFonts w:hint="eastAsia" w:ascii="宋体" w:hAnsi="宋体" w:eastAsia="宋体" w:cs="宋体"/>
                <w:color w:val="auto"/>
                <w:sz w:val="24"/>
                <w:szCs w:val="24"/>
                <w:u w:val="single"/>
              </w:rPr>
            </w:pPr>
          </w:p>
        </w:tc>
        <w:tc>
          <w:tcPr>
            <w:tcW w:w="1410" w:type="dxa"/>
          </w:tcPr>
          <w:p>
            <w:pPr>
              <w:spacing w:line="400" w:lineRule="exact"/>
              <w:ind w:left="180" w:firstLine="240" w:firstLineChars="100"/>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2" w:hRule="atLeast"/>
        </w:trPr>
        <w:tc>
          <w:tcPr>
            <w:tcW w:w="1080" w:type="dxa"/>
            <w:vAlign w:val="center"/>
          </w:tcPr>
          <w:p>
            <w:pPr>
              <w:spacing w:line="400" w:lineRule="exact"/>
              <w:ind w:left="18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361" w:type="dxa"/>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工期</w:t>
            </w:r>
          </w:p>
        </w:tc>
        <w:tc>
          <w:tcPr>
            <w:tcW w:w="1779" w:type="dxa"/>
            <w:vAlign w:val="center"/>
          </w:tcPr>
          <w:p>
            <w:pPr>
              <w:spacing w:line="400" w:lineRule="exact"/>
              <w:ind w:left="18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1.1.4.3</w:t>
            </w:r>
          </w:p>
        </w:tc>
        <w:tc>
          <w:tcPr>
            <w:tcW w:w="2190" w:type="dxa"/>
            <w:vAlign w:val="center"/>
          </w:tcPr>
          <w:p>
            <w:pPr>
              <w:spacing w:line="400" w:lineRule="exact"/>
              <w:jc w:val="both"/>
              <w:rPr>
                <w:rFonts w:hint="eastAsia" w:ascii="宋体" w:hAnsi="宋体" w:eastAsia="宋体" w:cs="宋体"/>
                <w:color w:val="auto"/>
                <w:sz w:val="24"/>
                <w:szCs w:val="24"/>
              </w:rPr>
            </w:pPr>
          </w:p>
        </w:tc>
        <w:tc>
          <w:tcPr>
            <w:tcW w:w="1410" w:type="dxa"/>
          </w:tcPr>
          <w:p>
            <w:pPr>
              <w:spacing w:line="400" w:lineRule="exact"/>
              <w:ind w:left="180" w:firstLine="240" w:firstLineChars="100"/>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0" w:hRule="atLeast"/>
        </w:trPr>
        <w:tc>
          <w:tcPr>
            <w:tcW w:w="1080" w:type="dxa"/>
            <w:vAlign w:val="center"/>
          </w:tcPr>
          <w:p>
            <w:pPr>
              <w:spacing w:line="400" w:lineRule="exact"/>
              <w:ind w:left="18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361" w:type="dxa"/>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缺陷责任期</w:t>
            </w:r>
          </w:p>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（工程质量保修期)</w:t>
            </w:r>
          </w:p>
        </w:tc>
        <w:tc>
          <w:tcPr>
            <w:tcW w:w="1779" w:type="dxa"/>
            <w:vAlign w:val="center"/>
          </w:tcPr>
          <w:p>
            <w:pPr>
              <w:spacing w:line="400" w:lineRule="exact"/>
              <w:ind w:left="18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1.1.4.5</w:t>
            </w:r>
          </w:p>
        </w:tc>
        <w:tc>
          <w:tcPr>
            <w:tcW w:w="2190" w:type="dxa"/>
            <w:vAlign w:val="center"/>
          </w:tcPr>
          <w:p>
            <w:pPr>
              <w:spacing w:line="400" w:lineRule="exact"/>
              <w:jc w:val="center"/>
              <w:rPr>
                <w:rFonts w:hint="eastAsia" w:ascii="宋体" w:hAnsi="宋体" w:eastAsia="宋体" w:cs="宋体"/>
                <w:color w:val="auto"/>
                <w:sz w:val="24"/>
                <w:szCs w:val="24"/>
              </w:rPr>
            </w:pPr>
          </w:p>
          <w:p>
            <w:pPr>
              <w:spacing w:line="400" w:lineRule="exact"/>
              <w:jc w:val="center"/>
              <w:rPr>
                <w:rFonts w:hint="eastAsia" w:ascii="宋体" w:hAnsi="宋体" w:eastAsia="宋体" w:cs="宋体"/>
                <w:color w:val="auto"/>
                <w:sz w:val="24"/>
                <w:szCs w:val="24"/>
              </w:rPr>
            </w:pPr>
          </w:p>
        </w:tc>
        <w:tc>
          <w:tcPr>
            <w:tcW w:w="1410" w:type="dxa"/>
          </w:tcPr>
          <w:p>
            <w:pPr>
              <w:spacing w:line="400" w:lineRule="exact"/>
              <w:ind w:left="180" w:firstLine="240" w:firstLineChars="100"/>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0" w:type="dxa"/>
            <w:vAlign w:val="center"/>
          </w:tcPr>
          <w:p>
            <w:pPr>
              <w:spacing w:line="400" w:lineRule="exact"/>
              <w:ind w:left="18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361" w:type="dxa"/>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质量保证金</w:t>
            </w:r>
          </w:p>
        </w:tc>
        <w:tc>
          <w:tcPr>
            <w:tcW w:w="1779" w:type="dxa"/>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17.4</w:t>
            </w:r>
          </w:p>
        </w:tc>
        <w:tc>
          <w:tcPr>
            <w:tcW w:w="2190" w:type="dxa"/>
            <w:vAlign w:val="center"/>
          </w:tcPr>
          <w:p>
            <w:pPr>
              <w:spacing w:line="400" w:lineRule="exact"/>
              <w:jc w:val="center"/>
              <w:rPr>
                <w:rFonts w:hint="eastAsia" w:ascii="宋体" w:hAnsi="宋体" w:eastAsia="宋体" w:cs="宋体"/>
                <w:color w:val="auto"/>
                <w:sz w:val="24"/>
                <w:szCs w:val="24"/>
              </w:rPr>
            </w:pPr>
          </w:p>
        </w:tc>
        <w:tc>
          <w:tcPr>
            <w:tcW w:w="1410" w:type="dxa"/>
          </w:tcPr>
          <w:p>
            <w:pPr>
              <w:spacing w:line="400" w:lineRule="exact"/>
              <w:ind w:left="180" w:firstLine="240" w:firstLineChars="100"/>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80" w:type="dxa"/>
            <w:vAlign w:val="center"/>
          </w:tcPr>
          <w:p>
            <w:pPr>
              <w:spacing w:line="400" w:lineRule="exact"/>
              <w:ind w:left="18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361" w:type="dxa"/>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分包</w:t>
            </w:r>
          </w:p>
        </w:tc>
        <w:tc>
          <w:tcPr>
            <w:tcW w:w="1779" w:type="dxa"/>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4.3</w:t>
            </w:r>
          </w:p>
        </w:tc>
        <w:tc>
          <w:tcPr>
            <w:tcW w:w="2190" w:type="dxa"/>
            <w:vAlign w:val="center"/>
          </w:tcPr>
          <w:p>
            <w:pPr>
              <w:spacing w:line="400" w:lineRule="exact"/>
              <w:jc w:val="center"/>
              <w:rPr>
                <w:rFonts w:hint="eastAsia" w:ascii="宋体" w:hAnsi="宋体" w:eastAsia="宋体" w:cs="宋体"/>
                <w:color w:val="auto"/>
                <w:sz w:val="24"/>
                <w:szCs w:val="24"/>
              </w:rPr>
            </w:pPr>
          </w:p>
        </w:tc>
        <w:tc>
          <w:tcPr>
            <w:tcW w:w="1410" w:type="dxa"/>
          </w:tcPr>
          <w:p>
            <w:pPr>
              <w:spacing w:line="400" w:lineRule="exact"/>
              <w:ind w:left="180" w:firstLine="240" w:firstLineChars="100"/>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1" w:hRule="atLeast"/>
        </w:trPr>
        <w:tc>
          <w:tcPr>
            <w:tcW w:w="1080" w:type="dxa"/>
            <w:vAlign w:val="center"/>
          </w:tcPr>
          <w:p>
            <w:pPr>
              <w:spacing w:line="400" w:lineRule="exact"/>
              <w:ind w:firstLine="241" w:firstLineChars="10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w:t>
            </w:r>
          </w:p>
        </w:tc>
        <w:tc>
          <w:tcPr>
            <w:tcW w:w="2361" w:type="dxa"/>
            <w:vAlign w:val="center"/>
          </w:tcPr>
          <w:p>
            <w:pPr>
              <w:spacing w:line="400" w:lineRule="exact"/>
              <w:ind w:firstLine="241" w:firstLineChars="10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w:t>
            </w:r>
          </w:p>
        </w:tc>
        <w:tc>
          <w:tcPr>
            <w:tcW w:w="1779" w:type="dxa"/>
            <w:vAlign w:val="center"/>
          </w:tcPr>
          <w:p>
            <w:pPr>
              <w:spacing w:line="400" w:lineRule="exact"/>
              <w:ind w:firstLine="595" w:firstLineChars="247"/>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w:t>
            </w:r>
          </w:p>
        </w:tc>
        <w:tc>
          <w:tcPr>
            <w:tcW w:w="2190" w:type="dxa"/>
            <w:vAlign w:val="center"/>
          </w:tcPr>
          <w:p>
            <w:pPr>
              <w:spacing w:line="400" w:lineRule="exact"/>
              <w:ind w:firstLine="595" w:firstLineChars="247"/>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w:t>
            </w:r>
          </w:p>
        </w:tc>
        <w:tc>
          <w:tcPr>
            <w:tcW w:w="1410" w:type="dxa"/>
          </w:tcPr>
          <w:p>
            <w:pPr>
              <w:spacing w:line="400" w:lineRule="exact"/>
              <w:ind w:left="180" w:firstLine="240" w:firstLineChars="100"/>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1" w:hRule="atLeast"/>
        </w:trPr>
        <w:tc>
          <w:tcPr>
            <w:tcW w:w="1080" w:type="dxa"/>
            <w:tcBorders>
              <w:bottom w:val="single" w:color="auto" w:sz="12" w:space="0"/>
            </w:tcBorders>
            <w:vAlign w:val="center"/>
          </w:tcPr>
          <w:p>
            <w:pPr>
              <w:spacing w:line="400" w:lineRule="exact"/>
              <w:ind w:firstLine="241" w:firstLineChars="10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w:t>
            </w:r>
          </w:p>
        </w:tc>
        <w:tc>
          <w:tcPr>
            <w:tcW w:w="2361" w:type="dxa"/>
            <w:tcBorders>
              <w:bottom w:val="single" w:color="auto" w:sz="12" w:space="0"/>
            </w:tcBorders>
            <w:vAlign w:val="center"/>
          </w:tcPr>
          <w:p>
            <w:pPr>
              <w:spacing w:line="400" w:lineRule="exact"/>
              <w:ind w:firstLine="241" w:firstLineChars="10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w:t>
            </w:r>
          </w:p>
        </w:tc>
        <w:tc>
          <w:tcPr>
            <w:tcW w:w="1779" w:type="dxa"/>
            <w:tcBorders>
              <w:bottom w:val="single" w:color="auto" w:sz="12" w:space="0"/>
            </w:tcBorders>
            <w:vAlign w:val="center"/>
          </w:tcPr>
          <w:p>
            <w:pPr>
              <w:spacing w:line="400" w:lineRule="exact"/>
              <w:ind w:firstLine="595" w:firstLineChars="247"/>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w:t>
            </w:r>
          </w:p>
        </w:tc>
        <w:tc>
          <w:tcPr>
            <w:tcW w:w="2190" w:type="dxa"/>
            <w:tcBorders>
              <w:bottom w:val="single" w:color="auto" w:sz="12" w:space="0"/>
            </w:tcBorders>
            <w:vAlign w:val="center"/>
          </w:tcPr>
          <w:p>
            <w:pPr>
              <w:spacing w:line="400" w:lineRule="exact"/>
              <w:ind w:firstLine="595" w:firstLineChars="247"/>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w:t>
            </w:r>
          </w:p>
        </w:tc>
        <w:tc>
          <w:tcPr>
            <w:tcW w:w="1410" w:type="dxa"/>
            <w:tcBorders>
              <w:bottom w:val="single" w:color="auto" w:sz="12" w:space="0"/>
            </w:tcBorders>
          </w:tcPr>
          <w:p>
            <w:pPr>
              <w:spacing w:line="400" w:lineRule="exact"/>
              <w:ind w:left="180" w:firstLine="240" w:firstLineChars="100"/>
              <w:rPr>
                <w:rFonts w:hint="eastAsia" w:ascii="宋体" w:hAnsi="宋体" w:eastAsia="宋体" w:cs="宋体"/>
                <w:color w:val="auto"/>
                <w:sz w:val="24"/>
                <w:szCs w:val="24"/>
              </w:rPr>
            </w:pPr>
          </w:p>
        </w:tc>
      </w:tr>
    </w:tbl>
    <w:p>
      <w:pPr>
        <w:tabs>
          <w:tab w:val="left" w:pos="210"/>
        </w:tabs>
        <w:snapToGrid w:val="0"/>
        <w:spacing w:line="480" w:lineRule="exact"/>
        <w:rPr>
          <w:rFonts w:hint="eastAsia" w:ascii="宋体" w:hAnsi="宋体" w:eastAsia="宋体" w:cs="宋体"/>
          <w:color w:val="auto"/>
          <w:sz w:val="24"/>
          <w:szCs w:val="24"/>
        </w:rPr>
      </w:pPr>
    </w:p>
    <w:p>
      <w:pPr>
        <w:tabs>
          <w:tab w:val="left" w:pos="210"/>
        </w:tabs>
        <w:snapToGrid w:val="0"/>
        <w:spacing w:line="480" w:lineRule="exact"/>
        <w:rPr>
          <w:rFonts w:hint="eastAsia" w:ascii="宋体" w:hAnsi="宋体" w:eastAsia="宋体" w:cs="宋体"/>
          <w:color w:val="auto"/>
          <w:sz w:val="24"/>
          <w:szCs w:val="24"/>
        </w:rPr>
      </w:pPr>
    </w:p>
    <w:p>
      <w:pPr>
        <w:tabs>
          <w:tab w:val="left" w:pos="210"/>
        </w:tabs>
        <w:snapToGrid w:val="0"/>
        <w:spacing w:line="480" w:lineRule="exact"/>
        <w:rPr>
          <w:rFonts w:hint="eastAsia" w:ascii="宋体" w:hAnsi="宋体" w:eastAsia="宋体" w:cs="宋体"/>
          <w:color w:val="auto"/>
          <w:sz w:val="24"/>
          <w:szCs w:val="24"/>
        </w:rPr>
      </w:pPr>
    </w:p>
    <w:p>
      <w:pPr>
        <w:tabs>
          <w:tab w:val="left" w:pos="210"/>
        </w:tabs>
        <w:snapToGrid w:val="0"/>
        <w:spacing w:line="480" w:lineRule="exact"/>
        <w:rPr>
          <w:rFonts w:hint="eastAsia" w:ascii="宋体" w:hAnsi="宋体" w:eastAsia="宋体" w:cs="宋体"/>
          <w:color w:val="auto"/>
          <w:sz w:val="24"/>
          <w:szCs w:val="24"/>
        </w:rPr>
      </w:pPr>
    </w:p>
    <w:p>
      <w:pPr>
        <w:tabs>
          <w:tab w:val="left" w:pos="210"/>
        </w:tabs>
        <w:snapToGrid w:val="0"/>
        <w:spacing w:line="480" w:lineRule="exact"/>
        <w:rPr>
          <w:rFonts w:hint="eastAsia" w:ascii="宋体" w:hAnsi="宋体" w:eastAsia="宋体" w:cs="宋体"/>
          <w:color w:val="auto"/>
          <w:sz w:val="24"/>
          <w:szCs w:val="24"/>
        </w:rPr>
      </w:pPr>
    </w:p>
    <w:p>
      <w:pPr>
        <w:overflowPunct w:val="0"/>
        <w:topLinePunct/>
        <w:snapToGrid w:val="0"/>
        <w:spacing w:line="480" w:lineRule="exact"/>
        <w:ind w:firstLine="3360" w:firstLineChars="1400"/>
        <w:jc w:val="both"/>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（盖单位章） </w:t>
      </w:r>
    </w:p>
    <w:p>
      <w:pPr>
        <w:overflowPunct w:val="0"/>
        <w:topLinePunct/>
        <w:snapToGrid w:val="0"/>
        <w:spacing w:line="480" w:lineRule="exact"/>
        <w:ind w:firstLine="3360" w:firstLineChars="1400"/>
        <w:jc w:val="both"/>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（签字或签章）</w:t>
      </w:r>
      <w:r>
        <w:rPr>
          <w:rFonts w:hint="eastAsia" w:ascii="宋体" w:hAnsi="宋体" w:eastAsia="宋体" w:cs="宋体"/>
          <w:b/>
          <w:color w:val="auto"/>
          <w:sz w:val="24"/>
          <w:szCs w:val="24"/>
        </w:rPr>
        <w:t xml:space="preserve"> </w:t>
      </w:r>
    </w:p>
    <w:p>
      <w:pPr>
        <w:tabs>
          <w:tab w:val="left" w:pos="210"/>
        </w:tabs>
        <w:snapToGrid w:val="0"/>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2"/>
        <w:rPr>
          <w:color w:val="auto"/>
          <w:lang w:val="zh-CN"/>
        </w:rPr>
        <w:sectPr>
          <w:pgSz w:w="11906" w:h="16838"/>
          <w:pgMar w:top="1418" w:right="1418" w:bottom="1418" w:left="1418" w:header="851" w:footer="992" w:gutter="0"/>
          <w:pgNumType w:fmt="decimal"/>
          <w:cols w:space="425" w:num="1"/>
          <w:docGrid w:linePitch="312" w:charSpace="0"/>
        </w:sectPr>
      </w:pPr>
    </w:p>
    <w:p>
      <w:pPr>
        <w:pStyle w:val="4"/>
        <w:numPr>
          <w:ilvl w:val="0"/>
          <w:numId w:val="0"/>
        </w:numPr>
        <w:spacing w:line="500" w:lineRule="exact"/>
        <w:jc w:val="center"/>
        <w:rPr>
          <w:rFonts w:hint="eastAsia" w:ascii="宋体" w:hAnsi="宋体" w:eastAsia="宋体" w:cs="宋体"/>
          <w:b/>
          <w:bCs/>
          <w:color w:val="auto"/>
          <w:szCs w:val="28"/>
          <w:lang w:val="zh-CN" w:eastAsia="zh-CN"/>
        </w:rPr>
      </w:pPr>
      <w:r>
        <w:rPr>
          <w:rFonts w:hint="eastAsia" w:ascii="宋体" w:hAnsi="宋体" w:eastAsia="宋体" w:cs="宋体"/>
          <w:b/>
          <w:bCs/>
          <w:color w:val="auto"/>
          <w:szCs w:val="28"/>
          <w:lang w:val="zh-CN" w:eastAsia="zh-CN"/>
        </w:rPr>
        <w:t>第二部分 第一次磋商报价表</w:t>
      </w:r>
    </w:p>
    <w:p>
      <w:pPr>
        <w:autoSpaceDE w:val="0"/>
        <w:autoSpaceDN w:val="0"/>
        <w:adjustRightInd w:val="0"/>
        <w:rPr>
          <w:rFonts w:hint="eastAsia" w:ascii="宋体" w:hAnsi="宋体" w:eastAsia="宋体" w:cs="宋体"/>
          <w:bCs/>
          <w:color w:val="auto"/>
          <w:sz w:val="28"/>
          <w:szCs w:val="28"/>
          <w:lang w:val="zh-CN"/>
        </w:rPr>
      </w:pPr>
    </w:p>
    <w:p>
      <w:pPr>
        <w:keepNext w:val="0"/>
        <w:keepLines w:val="0"/>
        <w:pageBreakBefore w:val="0"/>
        <w:kinsoku/>
        <w:wordWrap/>
        <w:overflowPunct/>
        <w:topLinePunct w:val="0"/>
        <w:autoSpaceDE w:val="0"/>
        <w:autoSpaceDN w:val="0"/>
        <w:bidi w:val="0"/>
        <w:adjustRightInd w:val="0"/>
        <w:snapToGrid w:val="0"/>
        <w:spacing w:line="520" w:lineRule="exact"/>
        <w:ind w:right="1280"/>
        <w:textAlignment w:val="auto"/>
        <w:rPr>
          <w:rFonts w:hint="eastAsia" w:ascii="宋体" w:hAnsi="宋体" w:eastAsia="宋体" w:cs="宋体"/>
          <w:color w:val="auto"/>
          <w:sz w:val="24"/>
          <w:szCs w:val="24"/>
          <w:lang w:val="zh-CN"/>
        </w:rPr>
      </w:pPr>
      <w:r>
        <w:rPr>
          <w:rFonts w:hint="eastAsia" w:ascii="宋体" w:hAnsi="宋体" w:eastAsia="宋体" w:cs="宋体"/>
          <w:bCs/>
          <w:color w:val="auto"/>
          <w:kern w:val="0"/>
          <w:sz w:val="24"/>
          <w:szCs w:val="24"/>
        </w:rPr>
        <w:t>磋商项目编号：</w:t>
      </w:r>
      <w:r>
        <w:rPr>
          <w:rFonts w:hint="eastAsia" w:ascii="宋体" w:hAnsi="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 xml:space="preserve">    </w:t>
      </w:r>
      <w:r>
        <w:rPr>
          <w:rFonts w:hint="eastAsia" w:ascii="宋体" w:hAnsi="宋体" w:cs="宋体"/>
          <w:bCs/>
          <w:color w:val="auto"/>
          <w:kern w:val="0"/>
          <w:sz w:val="24"/>
          <w:szCs w:val="24"/>
          <w:lang w:val="en-US" w:eastAsia="zh-CN"/>
        </w:rPr>
        <w:t xml:space="preserve">      </w:t>
      </w:r>
    </w:p>
    <w:tbl>
      <w:tblPr>
        <w:tblStyle w:val="35"/>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56"/>
        <w:gridCol w:w="6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Align w:val="center"/>
          </w:tcPr>
          <w:p>
            <w:pPr>
              <w:jc w:val="center"/>
              <w:rPr>
                <w:rFonts w:hint="eastAsia" w:ascii="宋体" w:hAnsi="宋体" w:eastAsia="宋体" w:cs="宋体"/>
                <w:b/>
                <w:bCs/>
                <w:color w:val="auto"/>
                <w:sz w:val="24"/>
                <w:szCs w:val="24"/>
              </w:rPr>
            </w:pPr>
            <w:bookmarkStart w:id="2043" w:name="_Toc375125038"/>
            <w:bookmarkStart w:id="2044" w:name="_Toc363558512"/>
            <w:bookmarkStart w:id="2045" w:name="_Toc443639914"/>
            <w:bookmarkStart w:id="2046" w:name="_Toc443640378"/>
            <w:bookmarkStart w:id="2047" w:name="_Toc443640468"/>
            <w:r>
              <w:rPr>
                <w:rFonts w:hint="eastAsia" w:ascii="宋体" w:hAnsi="宋体" w:eastAsia="宋体" w:cs="宋体"/>
                <w:b/>
                <w:bCs/>
                <w:color w:val="auto"/>
                <w:sz w:val="24"/>
                <w:szCs w:val="24"/>
              </w:rPr>
              <w:t>序号</w:t>
            </w:r>
            <w:bookmarkEnd w:id="2043"/>
            <w:bookmarkEnd w:id="2044"/>
            <w:bookmarkEnd w:id="2045"/>
            <w:bookmarkEnd w:id="2046"/>
            <w:bookmarkEnd w:id="2047"/>
          </w:p>
        </w:tc>
        <w:tc>
          <w:tcPr>
            <w:tcW w:w="2056" w:type="dxa"/>
            <w:vAlign w:val="center"/>
          </w:tcPr>
          <w:p>
            <w:pPr>
              <w:jc w:val="center"/>
              <w:rPr>
                <w:rFonts w:hint="eastAsia" w:ascii="宋体" w:hAnsi="宋体" w:eastAsia="宋体" w:cs="宋体"/>
                <w:b/>
                <w:bCs/>
                <w:color w:val="auto"/>
                <w:sz w:val="24"/>
                <w:szCs w:val="24"/>
              </w:rPr>
            </w:pPr>
            <w:bookmarkStart w:id="2048" w:name="_Toc363558513"/>
            <w:bookmarkStart w:id="2049" w:name="_Toc443640379"/>
            <w:bookmarkStart w:id="2050" w:name="_Toc443640469"/>
            <w:bookmarkStart w:id="2051" w:name="_Toc443639915"/>
            <w:bookmarkStart w:id="2052" w:name="_Toc375125039"/>
            <w:r>
              <w:rPr>
                <w:rFonts w:hint="eastAsia" w:ascii="宋体" w:hAnsi="宋体" w:eastAsia="宋体" w:cs="宋体"/>
                <w:b/>
                <w:bCs/>
                <w:color w:val="auto"/>
                <w:sz w:val="24"/>
                <w:szCs w:val="24"/>
              </w:rPr>
              <w:t>名   称</w:t>
            </w:r>
            <w:bookmarkEnd w:id="2048"/>
            <w:bookmarkEnd w:id="2049"/>
            <w:bookmarkEnd w:id="2050"/>
            <w:bookmarkEnd w:id="2051"/>
            <w:bookmarkEnd w:id="2052"/>
          </w:p>
        </w:tc>
        <w:tc>
          <w:tcPr>
            <w:tcW w:w="6717" w:type="dxa"/>
            <w:vAlign w:val="center"/>
          </w:tcPr>
          <w:p>
            <w:pPr>
              <w:jc w:val="center"/>
              <w:rPr>
                <w:rFonts w:hint="eastAsia" w:ascii="宋体" w:hAnsi="宋体" w:eastAsia="宋体" w:cs="宋体"/>
                <w:b/>
                <w:bCs/>
                <w:color w:val="auto"/>
                <w:sz w:val="24"/>
                <w:szCs w:val="24"/>
              </w:rPr>
            </w:pPr>
            <w:bookmarkStart w:id="2053" w:name="_Toc363558514"/>
            <w:bookmarkStart w:id="2054" w:name="_Toc443640380"/>
            <w:bookmarkStart w:id="2055" w:name="_Toc375125040"/>
            <w:bookmarkStart w:id="2056" w:name="_Toc443640470"/>
            <w:bookmarkStart w:id="2057" w:name="_Toc443639916"/>
            <w:r>
              <w:rPr>
                <w:rFonts w:hint="eastAsia" w:ascii="宋体" w:hAnsi="宋体" w:eastAsia="宋体" w:cs="宋体"/>
                <w:b/>
                <w:bCs/>
                <w:color w:val="auto"/>
                <w:sz w:val="24"/>
                <w:szCs w:val="24"/>
              </w:rPr>
              <w:t>内    容</w:t>
            </w:r>
            <w:bookmarkEnd w:id="2053"/>
            <w:bookmarkEnd w:id="2054"/>
            <w:bookmarkEnd w:id="2055"/>
            <w:bookmarkEnd w:id="2056"/>
            <w:bookmarkEnd w:id="20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97" w:type="dxa"/>
            <w:vAlign w:val="center"/>
          </w:tcPr>
          <w:p>
            <w:pPr>
              <w:jc w:val="center"/>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1</w:t>
            </w:r>
          </w:p>
        </w:tc>
        <w:tc>
          <w:tcPr>
            <w:tcW w:w="2056" w:type="dxa"/>
            <w:vAlign w:val="center"/>
          </w:tcPr>
          <w:p>
            <w:pPr>
              <w:jc w:val="center"/>
              <w:rPr>
                <w:rFonts w:hint="eastAsia" w:ascii="宋体" w:hAnsi="宋体" w:eastAsia="宋体" w:cs="宋体"/>
                <w:b/>
                <w:bCs/>
                <w:color w:val="auto"/>
                <w:sz w:val="24"/>
                <w:szCs w:val="24"/>
              </w:rPr>
            </w:pPr>
            <w:bookmarkStart w:id="2058" w:name="_Toc375125046"/>
            <w:bookmarkStart w:id="2059" w:name="_Toc443640476"/>
            <w:bookmarkStart w:id="2060" w:name="_Toc363558520"/>
            <w:bookmarkStart w:id="2061" w:name="_Toc443640386"/>
            <w:bookmarkStart w:id="2062" w:name="_Toc443639922"/>
            <w:r>
              <w:rPr>
                <w:rFonts w:hint="eastAsia" w:ascii="宋体" w:hAnsi="宋体" w:eastAsia="宋体" w:cs="宋体"/>
                <w:b/>
                <w:bCs/>
                <w:color w:val="auto"/>
                <w:sz w:val="24"/>
                <w:szCs w:val="24"/>
              </w:rPr>
              <w:t>第一次报价</w:t>
            </w:r>
            <w:bookmarkEnd w:id="2058"/>
            <w:bookmarkEnd w:id="2059"/>
            <w:bookmarkEnd w:id="2060"/>
            <w:bookmarkEnd w:id="2061"/>
            <w:bookmarkEnd w:id="2062"/>
          </w:p>
        </w:tc>
        <w:tc>
          <w:tcPr>
            <w:tcW w:w="6717" w:type="dxa"/>
            <w:vAlign w:val="center"/>
          </w:tcPr>
          <w:p>
            <w:pPr>
              <w:spacing w:line="480" w:lineRule="auto"/>
              <w:jc w:val="both"/>
              <w:rPr>
                <w:rFonts w:hint="eastAsia" w:ascii="宋体" w:hAnsi="宋体" w:eastAsia="宋体" w:cs="宋体"/>
                <w:i w:val="0"/>
                <w:color w:val="auto"/>
                <w:sz w:val="24"/>
                <w:szCs w:val="24"/>
                <w:u w:val="none"/>
                <w:lang w:val="en-US" w:eastAsia="zh-CN"/>
              </w:rPr>
            </w:pPr>
          </w:p>
          <w:p>
            <w:pPr>
              <w:spacing w:line="480" w:lineRule="auto"/>
              <w:jc w:val="both"/>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大写：</w:t>
            </w:r>
            <w:r>
              <w:rPr>
                <w:rFonts w:hint="eastAsia" w:ascii="宋体" w:hAnsi="宋体" w:eastAsia="宋体" w:cs="宋体"/>
                <w:i w:val="0"/>
                <w:color w:val="auto"/>
                <w:sz w:val="24"/>
                <w:szCs w:val="24"/>
                <w:u w:val="single"/>
                <w:lang w:val="en-US" w:eastAsia="zh-CN"/>
              </w:rPr>
              <w:t xml:space="preserve">                      </w:t>
            </w:r>
            <w:r>
              <w:rPr>
                <w:rFonts w:hint="eastAsia" w:ascii="宋体" w:hAnsi="宋体" w:eastAsia="宋体" w:cs="宋体"/>
                <w:i w:val="0"/>
                <w:color w:val="auto"/>
                <w:sz w:val="24"/>
                <w:szCs w:val="24"/>
                <w:u w:val="none"/>
                <w:lang w:val="en-US" w:eastAsia="zh-CN"/>
              </w:rPr>
              <w:t xml:space="preserve"> </w:t>
            </w:r>
          </w:p>
          <w:p>
            <w:pPr>
              <w:spacing w:line="480" w:lineRule="auto"/>
              <w:jc w:val="both"/>
              <w:rPr>
                <w:rFonts w:hint="eastAsia" w:ascii="宋体" w:hAnsi="宋体" w:eastAsia="宋体" w:cs="宋体"/>
                <w:color w:val="auto"/>
                <w:sz w:val="24"/>
                <w:szCs w:val="24"/>
                <w:lang w:val="en-US" w:eastAsia="zh-CN"/>
              </w:rPr>
            </w:pPr>
            <w:r>
              <w:rPr>
                <w:rFonts w:hint="eastAsia" w:ascii="宋体" w:hAnsi="宋体" w:eastAsia="宋体" w:cs="宋体"/>
                <w:i w:val="0"/>
                <w:color w:val="auto"/>
                <w:sz w:val="24"/>
                <w:szCs w:val="24"/>
                <w:u w:val="none"/>
                <w:lang w:val="en-US" w:eastAsia="zh-CN"/>
              </w:rPr>
              <w:t>小写：</w:t>
            </w:r>
            <w:r>
              <w:rPr>
                <w:rFonts w:hint="eastAsia" w:ascii="宋体" w:hAnsi="宋体" w:eastAsia="宋体" w:cs="宋体"/>
                <w:i w:val="0"/>
                <w:color w:val="auto"/>
                <w:sz w:val="24"/>
                <w:szCs w:val="24"/>
                <w:u w:val="single"/>
                <w:lang w:val="en-US" w:eastAsia="zh-CN"/>
              </w:rPr>
              <w:t xml:space="preserve">                       </w:t>
            </w:r>
            <w:r>
              <w:rPr>
                <w:rFonts w:hint="eastAsia" w:ascii="宋体" w:hAnsi="宋体" w:eastAsia="宋体" w:cs="宋体"/>
                <w:i w:val="0"/>
                <w:color w:val="auto"/>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97" w:type="dxa"/>
            <w:vAlign w:val="center"/>
          </w:tcPr>
          <w:p>
            <w:pPr>
              <w:jc w:val="center"/>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2</w:t>
            </w:r>
          </w:p>
        </w:tc>
        <w:tc>
          <w:tcPr>
            <w:tcW w:w="2056" w:type="dxa"/>
            <w:vAlign w:val="center"/>
          </w:tcPr>
          <w:p>
            <w:pPr>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工期</w:t>
            </w:r>
          </w:p>
        </w:tc>
        <w:tc>
          <w:tcPr>
            <w:tcW w:w="6717" w:type="dxa"/>
            <w:vAlign w:val="center"/>
          </w:tcPr>
          <w:p>
            <w:pPr>
              <w:jc w:val="center"/>
              <w:rPr>
                <w:rFonts w:hint="eastAsia" w:ascii="宋体" w:hAnsi="宋体" w:eastAsia="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97" w:type="dxa"/>
            <w:vAlign w:val="center"/>
          </w:tcPr>
          <w:p>
            <w:pPr>
              <w:jc w:val="center"/>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3</w:t>
            </w:r>
          </w:p>
        </w:tc>
        <w:tc>
          <w:tcPr>
            <w:tcW w:w="2056" w:type="dxa"/>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缺陷责任期</w:t>
            </w:r>
          </w:p>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（工程质量保修期)</w:t>
            </w:r>
          </w:p>
        </w:tc>
        <w:tc>
          <w:tcPr>
            <w:tcW w:w="6717" w:type="dxa"/>
            <w:vAlign w:val="center"/>
          </w:tcPr>
          <w:p>
            <w:pPr>
              <w:jc w:val="center"/>
              <w:rPr>
                <w:rFonts w:hint="eastAsia" w:ascii="宋体" w:hAnsi="宋体" w:eastAsia="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97" w:type="dxa"/>
            <w:vAlign w:val="center"/>
          </w:tcPr>
          <w:p>
            <w:pPr>
              <w:jc w:val="center"/>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4</w:t>
            </w:r>
          </w:p>
        </w:tc>
        <w:tc>
          <w:tcPr>
            <w:tcW w:w="2056" w:type="dxa"/>
            <w:vAlign w:val="center"/>
          </w:tcPr>
          <w:p>
            <w:pPr>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质量标准</w:t>
            </w:r>
          </w:p>
        </w:tc>
        <w:tc>
          <w:tcPr>
            <w:tcW w:w="6717" w:type="dxa"/>
            <w:vAlign w:val="center"/>
          </w:tcPr>
          <w:p>
            <w:pPr>
              <w:jc w:val="center"/>
              <w:rPr>
                <w:rFonts w:hint="eastAsia" w:ascii="宋体" w:hAnsi="宋体" w:eastAsia="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97" w:type="dxa"/>
            <w:vAlign w:val="center"/>
          </w:tcPr>
          <w:p>
            <w:pPr>
              <w:jc w:val="center"/>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5</w:t>
            </w:r>
          </w:p>
        </w:tc>
        <w:tc>
          <w:tcPr>
            <w:tcW w:w="2056" w:type="dxa"/>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c>
          <w:tcPr>
            <w:tcW w:w="6717" w:type="dxa"/>
            <w:vAlign w:val="center"/>
          </w:tcPr>
          <w:p>
            <w:pPr>
              <w:jc w:val="center"/>
              <w:rPr>
                <w:rFonts w:hint="eastAsia" w:ascii="宋体" w:hAnsi="宋体" w:eastAsia="宋体" w:cs="宋体"/>
                <w:b/>
                <w:bCs/>
                <w:color w:val="auto"/>
                <w:sz w:val="24"/>
                <w:szCs w:val="24"/>
              </w:rPr>
            </w:pPr>
          </w:p>
        </w:tc>
      </w:tr>
    </w:tbl>
    <w:p>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ascii="宋体" w:hAnsi="宋体" w:eastAsia="宋体" w:cs="宋体"/>
          <w:b/>
          <w:bCs/>
          <w:color w:val="auto"/>
          <w:sz w:val="28"/>
          <w:szCs w:val="28"/>
        </w:rPr>
      </w:pPr>
    </w:p>
    <w:p>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ascii="宋体" w:hAnsi="宋体" w:cs="宋体"/>
          <w:b w:val="0"/>
          <w:bCs w:val="0"/>
          <w:color w:val="auto"/>
          <w:sz w:val="21"/>
          <w:szCs w:val="21"/>
          <w:lang w:eastAsia="zh-CN"/>
        </w:rPr>
      </w:pPr>
      <w:r>
        <w:rPr>
          <w:rFonts w:hint="eastAsia" w:ascii="宋体" w:hAnsi="宋体" w:eastAsia="宋体" w:cs="宋体"/>
          <w:b w:val="0"/>
          <w:bCs w:val="0"/>
          <w:color w:val="auto"/>
          <w:sz w:val="21"/>
          <w:szCs w:val="21"/>
        </w:rPr>
        <w:t xml:space="preserve">  注：</w:t>
      </w:r>
      <w:r>
        <w:rPr>
          <w:rFonts w:hint="eastAsia" w:ascii="宋体" w:hAnsi="宋体" w:cs="宋体"/>
          <w:b w:val="0"/>
          <w:bCs w:val="0"/>
          <w:color w:val="auto"/>
          <w:sz w:val="21"/>
          <w:szCs w:val="21"/>
          <w:lang w:val="en-US" w:eastAsia="zh-CN"/>
        </w:rPr>
        <w:t>1、</w:t>
      </w:r>
      <w:r>
        <w:rPr>
          <w:rFonts w:hint="eastAsia" w:ascii="宋体" w:hAnsi="宋体" w:eastAsia="宋体" w:cs="宋体"/>
          <w:b w:val="0"/>
          <w:bCs w:val="0"/>
          <w:color w:val="auto"/>
          <w:sz w:val="21"/>
          <w:szCs w:val="21"/>
        </w:rPr>
        <w:t>报价应按磋商总价填写，最多保留小数点后两位，大小写不一致时，以大写为准</w:t>
      </w:r>
      <w:r>
        <w:rPr>
          <w:rFonts w:hint="eastAsia" w:ascii="宋体" w:hAnsi="宋体" w:cs="宋体"/>
          <w:b w:val="0"/>
          <w:bCs w:val="0"/>
          <w:color w:val="auto"/>
          <w:sz w:val="21"/>
          <w:szCs w:val="21"/>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leftChars="0" w:firstLine="420" w:firstLineChars="200"/>
        <w:textAlignment w:val="auto"/>
        <w:rPr>
          <w:rFonts w:hint="eastAsia" w:ascii="宋体" w:hAnsi="宋体" w:eastAsia="宋体" w:cs="宋体"/>
          <w:b w:val="0"/>
          <w:bCs w:val="0"/>
          <w:color w:val="auto"/>
          <w:sz w:val="21"/>
          <w:szCs w:val="21"/>
        </w:rPr>
      </w:pP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rPr>
        <w:t>各供应商必须严格按照上表要求填写。</w:t>
      </w:r>
    </w:p>
    <w:p>
      <w:pPr>
        <w:autoSpaceDE w:val="0"/>
        <w:autoSpaceDN w:val="0"/>
        <w:adjustRightInd w:val="0"/>
        <w:snapToGrid w:val="0"/>
        <w:spacing w:line="360" w:lineRule="auto"/>
        <w:rPr>
          <w:rFonts w:hint="eastAsia" w:ascii="宋体" w:hAnsi="宋体" w:eastAsia="宋体" w:cs="宋体"/>
          <w:b/>
          <w:bCs/>
          <w:color w:val="auto"/>
          <w:sz w:val="24"/>
          <w:szCs w:val="24"/>
        </w:rPr>
      </w:pPr>
    </w:p>
    <w:p>
      <w:pPr>
        <w:autoSpaceDE w:val="0"/>
        <w:autoSpaceDN w:val="0"/>
        <w:adjustRightInd w:val="0"/>
        <w:snapToGrid w:val="0"/>
        <w:spacing w:line="360" w:lineRule="auto"/>
        <w:rPr>
          <w:rFonts w:hint="eastAsia" w:ascii="宋体" w:hAnsi="宋体" w:eastAsia="宋体" w:cs="宋体"/>
          <w:b/>
          <w:color w:val="auto"/>
          <w:sz w:val="24"/>
          <w:szCs w:val="24"/>
          <w:lang w:val="zh-CN"/>
        </w:rPr>
      </w:pPr>
      <w:r>
        <w:rPr>
          <w:rFonts w:hint="eastAsia" w:ascii="宋体" w:hAnsi="宋体" w:eastAsia="宋体" w:cs="宋体"/>
          <w:b/>
          <w:bCs/>
          <w:color w:val="auto"/>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供应商名称（单位公章）：</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240" w:firstLineChars="1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法定代表人或授权代表（签名或盖章）：</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zh-CN"/>
        </w:rPr>
        <w:t>日期：</w:t>
      </w:r>
    </w:p>
    <w:p>
      <w:pPr>
        <w:autoSpaceDE w:val="0"/>
        <w:autoSpaceDN w:val="0"/>
        <w:adjustRightInd w:val="0"/>
        <w:snapToGrid w:val="0"/>
        <w:spacing w:line="560" w:lineRule="exact"/>
        <w:ind w:firstLine="1820" w:firstLineChars="650"/>
        <w:rPr>
          <w:rFonts w:hint="eastAsia" w:ascii="宋体" w:hAnsi="宋体" w:eastAsia="宋体" w:cs="宋体"/>
          <w:color w:val="auto"/>
          <w:sz w:val="28"/>
          <w:szCs w:val="28"/>
          <w:lang w:val="zh-CN"/>
        </w:rPr>
      </w:pPr>
    </w:p>
    <w:p>
      <w:pPr>
        <w:autoSpaceDE w:val="0"/>
        <w:autoSpaceDN w:val="0"/>
        <w:adjustRightInd w:val="0"/>
        <w:snapToGrid w:val="0"/>
        <w:spacing w:line="560" w:lineRule="exact"/>
        <w:rPr>
          <w:rFonts w:hint="eastAsia" w:ascii="宋体" w:hAnsi="宋体" w:eastAsia="宋体" w:cs="宋体"/>
          <w:color w:val="auto"/>
          <w:sz w:val="28"/>
          <w:szCs w:val="28"/>
          <w:lang w:val="zh-CN"/>
        </w:rPr>
      </w:pPr>
    </w:p>
    <w:p>
      <w:pPr>
        <w:pStyle w:val="2"/>
        <w:rPr>
          <w:rFonts w:hint="eastAsia" w:ascii="宋体" w:hAnsi="宋体" w:eastAsia="宋体" w:cs="宋体"/>
          <w:color w:val="auto"/>
          <w:sz w:val="28"/>
          <w:szCs w:val="28"/>
          <w:lang w:val="zh-CN"/>
        </w:rPr>
      </w:pPr>
    </w:p>
    <w:p>
      <w:pPr>
        <w:pStyle w:val="20"/>
        <w:spacing w:line="360" w:lineRule="auto"/>
        <w:jc w:val="left"/>
        <w:outlineLvl w:val="9"/>
        <w:rPr>
          <w:rFonts w:hint="eastAsia" w:ascii="宋体" w:hAnsi="宋体" w:eastAsia="宋体" w:cs="宋体"/>
          <w:b w:val="0"/>
          <w:bCs w:val="0"/>
          <w:color w:val="auto"/>
          <w:sz w:val="24"/>
          <w:szCs w:val="24"/>
          <w:highlight w:val="none"/>
        </w:rPr>
      </w:pPr>
    </w:p>
    <w:p>
      <w:pPr>
        <w:pStyle w:val="4"/>
        <w:numPr>
          <w:ilvl w:val="0"/>
          <w:numId w:val="0"/>
        </w:numPr>
        <w:spacing w:line="500" w:lineRule="exact"/>
        <w:jc w:val="center"/>
        <w:rPr>
          <w:rFonts w:hint="eastAsia" w:ascii="宋体" w:hAnsi="宋体" w:eastAsia="宋体" w:cs="宋体"/>
          <w:b/>
          <w:bCs/>
          <w:color w:val="auto"/>
          <w:szCs w:val="28"/>
          <w:lang w:val="zh-CN" w:eastAsia="zh-CN"/>
        </w:rPr>
      </w:pPr>
      <w:r>
        <w:rPr>
          <w:rFonts w:hint="eastAsia" w:ascii="宋体" w:hAnsi="宋体" w:eastAsia="宋体" w:cs="宋体"/>
          <w:b/>
          <w:bCs/>
          <w:color w:val="auto"/>
          <w:szCs w:val="28"/>
          <w:lang w:val="zh-CN" w:eastAsia="zh-CN"/>
        </w:rPr>
        <w:t>第</w:t>
      </w:r>
      <w:r>
        <w:rPr>
          <w:rFonts w:hint="eastAsia" w:ascii="宋体" w:hAnsi="宋体" w:eastAsia="宋体" w:cs="宋体"/>
          <w:b/>
          <w:bCs/>
          <w:color w:val="auto"/>
          <w:szCs w:val="28"/>
          <w:lang w:val="en-US" w:eastAsia="zh-CN"/>
        </w:rPr>
        <w:t>三</w:t>
      </w:r>
      <w:r>
        <w:rPr>
          <w:rFonts w:hint="eastAsia" w:ascii="宋体" w:hAnsi="宋体" w:eastAsia="宋体" w:cs="宋体"/>
          <w:b/>
          <w:bCs/>
          <w:color w:val="auto"/>
          <w:szCs w:val="28"/>
          <w:lang w:val="zh-CN" w:eastAsia="zh-CN"/>
        </w:rPr>
        <w:t xml:space="preserve">部分 </w:t>
      </w:r>
      <w:bookmarkStart w:id="2063" w:name="_Toc44955246"/>
      <w:r>
        <w:rPr>
          <w:rFonts w:hint="eastAsia" w:ascii="宋体" w:hAnsi="宋体" w:eastAsia="宋体" w:cs="宋体"/>
          <w:b/>
          <w:bCs/>
          <w:color w:val="auto"/>
          <w:szCs w:val="28"/>
          <w:lang w:val="zh-CN" w:eastAsia="zh-CN"/>
        </w:rPr>
        <w:t>已标价工程量清单</w:t>
      </w:r>
      <w:bookmarkEnd w:id="2063"/>
    </w:p>
    <w:p>
      <w:pPr>
        <w:autoSpaceDE w:val="0"/>
        <w:autoSpaceDN w:val="0"/>
        <w:adjustRightInd w:val="0"/>
        <w:snapToGrid w:val="0"/>
        <w:spacing w:line="560" w:lineRule="exact"/>
        <w:jc w:val="center"/>
        <w:rPr>
          <w:rFonts w:hint="eastAsia" w:ascii="宋体" w:hAnsi="宋体" w:eastAsia="宋体" w:cs="宋体"/>
          <w:b/>
          <w:color w:val="auto"/>
          <w:sz w:val="36"/>
          <w:szCs w:val="36"/>
        </w:rPr>
      </w:pPr>
    </w:p>
    <w:p>
      <w:pPr>
        <w:pStyle w:val="2"/>
        <w:rPr>
          <w:rFonts w:hint="eastAsia" w:ascii="宋体" w:hAnsi="宋体" w:eastAsia="宋体" w:cs="宋体"/>
          <w:color w:val="auto"/>
        </w:rPr>
      </w:pPr>
    </w:p>
    <w:p>
      <w:pPr>
        <w:spacing w:line="440" w:lineRule="exact"/>
        <w:jc w:val="center"/>
        <w:rPr>
          <w:rFonts w:ascii="宋体" w:hAnsi="宋体" w:eastAsia="宋体"/>
          <w:b/>
          <w:bCs/>
          <w:color w:val="auto"/>
          <w:spacing w:val="4"/>
          <w:sz w:val="28"/>
          <w:szCs w:val="28"/>
          <w:highlight w:val="none"/>
        </w:rPr>
      </w:pPr>
      <w:r>
        <w:rPr>
          <w:rFonts w:hint="eastAsia" w:ascii="宋体" w:hAnsi="宋体" w:eastAsia="宋体"/>
          <w:b/>
          <w:bCs/>
          <w:color w:val="auto"/>
          <w:spacing w:val="4"/>
          <w:sz w:val="28"/>
          <w:szCs w:val="28"/>
          <w:highlight w:val="none"/>
        </w:rPr>
        <w:t>编制说明</w:t>
      </w:r>
    </w:p>
    <w:p>
      <w:pPr>
        <w:spacing w:line="440" w:lineRule="exact"/>
        <w:jc w:val="center"/>
        <w:rPr>
          <w:rFonts w:ascii="宋体" w:hAnsi="宋体" w:eastAsia="宋体"/>
          <w:b/>
          <w:bCs/>
          <w:color w:val="auto"/>
          <w:spacing w:val="4"/>
          <w:sz w:val="44"/>
          <w:szCs w:val="44"/>
          <w:highlight w:val="none"/>
        </w:rPr>
      </w:pPr>
    </w:p>
    <w:p>
      <w:pPr>
        <w:numPr>
          <w:ilvl w:val="0"/>
          <w:numId w:val="7"/>
        </w:numPr>
        <w:spacing w:line="5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本报价依据本招标文件及合同文件的有关条款进行编制。</w:t>
      </w:r>
    </w:p>
    <w:p>
      <w:pPr>
        <w:numPr>
          <w:ilvl w:val="0"/>
          <w:numId w:val="7"/>
        </w:numPr>
        <w:spacing w:line="5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工程量清单报价表中所填入的综合单价与合价，均包括人工费、材料费、机械费、管理费、利润、税金以及采用固定价格的工程所测算的风险金等全部费用。</w:t>
      </w:r>
    </w:p>
    <w:p>
      <w:pPr>
        <w:numPr>
          <w:ilvl w:val="0"/>
          <w:numId w:val="7"/>
        </w:numPr>
        <w:spacing w:line="5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措施项目报价表中所填入的措施项目报价，包括采用的各种措施的费用。</w:t>
      </w:r>
    </w:p>
    <w:p>
      <w:pPr>
        <w:numPr>
          <w:ilvl w:val="0"/>
          <w:numId w:val="7"/>
        </w:numPr>
        <w:spacing w:line="5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其他项目报价表中所填入的其他项目报价，包括工程量清单报价表和措施项目报价表以外的、为完成本工程项目的施工所必须发生的其他费用。</w:t>
      </w:r>
    </w:p>
    <w:p>
      <w:pPr>
        <w:numPr>
          <w:ilvl w:val="0"/>
          <w:numId w:val="7"/>
        </w:numPr>
        <w:spacing w:line="5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本工程量清单报价表中的每一单项均应填写单价与合价，对没有填写单价与合价的项目费用，视为已包括在工程量清单的其他单价或合价之中。</w:t>
      </w:r>
    </w:p>
    <w:p>
      <w:pPr>
        <w:numPr>
          <w:ilvl w:val="0"/>
          <w:numId w:val="7"/>
        </w:numPr>
        <w:spacing w:line="5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本报价的币种为人民币。</w:t>
      </w:r>
    </w:p>
    <w:p>
      <w:pPr>
        <w:numPr>
          <w:ilvl w:val="0"/>
          <w:numId w:val="7"/>
        </w:numPr>
        <w:spacing w:line="5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投标人应将投标报价需要说明的事项，用文字书写与投标报价表一并报送。</w:t>
      </w:r>
    </w:p>
    <w:p>
      <w:pPr>
        <w:pStyle w:val="29"/>
        <w:rPr>
          <w:rFonts w:hint="eastAsia" w:ascii="宋体" w:hAnsi="宋体" w:eastAsia="宋体" w:cs="宋体"/>
          <w:color w:val="auto"/>
        </w:rPr>
      </w:pPr>
    </w:p>
    <w:p>
      <w:pPr>
        <w:pStyle w:val="29"/>
        <w:rPr>
          <w:rFonts w:hint="eastAsia" w:ascii="宋体" w:hAnsi="宋体" w:eastAsia="宋体" w:cs="宋体"/>
          <w:color w:val="auto"/>
        </w:rPr>
      </w:pPr>
    </w:p>
    <w:p>
      <w:pPr>
        <w:pStyle w:val="5"/>
        <w:ind w:firstLine="0"/>
        <w:rPr>
          <w:rFonts w:hint="eastAsia" w:ascii="宋体" w:hAnsi="宋体" w:eastAsia="宋体" w:cs="宋体"/>
          <w:color w:val="auto"/>
          <w:highlight w:val="yellow"/>
          <w:lang w:val="zh-CN"/>
        </w:rPr>
        <w:sectPr>
          <w:footerReference r:id="rId18" w:type="even"/>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pPr>
        <w:pStyle w:val="4"/>
        <w:numPr>
          <w:ilvl w:val="0"/>
          <w:numId w:val="0"/>
        </w:numPr>
        <w:spacing w:line="500" w:lineRule="exact"/>
        <w:jc w:val="center"/>
        <w:rPr>
          <w:rFonts w:hint="eastAsia" w:ascii="宋体" w:hAnsi="宋体" w:eastAsia="宋体" w:cs="宋体"/>
          <w:b/>
          <w:bCs/>
          <w:color w:val="auto"/>
          <w:szCs w:val="28"/>
          <w:lang w:val="zh-CN"/>
        </w:rPr>
      </w:pPr>
      <w:r>
        <w:rPr>
          <w:rFonts w:hint="eastAsia" w:ascii="宋体" w:hAnsi="宋体" w:eastAsia="宋体" w:cs="宋体"/>
          <w:b/>
          <w:bCs/>
          <w:color w:val="auto"/>
          <w:szCs w:val="28"/>
          <w:lang w:val="en-US" w:eastAsia="zh-CN"/>
        </w:rPr>
        <w:t>第四部分 技术方案</w:t>
      </w:r>
    </w:p>
    <w:p>
      <w:pPr>
        <w:jc w:val="center"/>
        <w:rPr>
          <w:rFonts w:hint="eastAsia" w:ascii="宋体" w:hAnsi="宋体" w:cs="宋体"/>
          <w:color w:val="auto"/>
          <w:sz w:val="24"/>
          <w:szCs w:val="24"/>
          <w:lang w:eastAsia="zh-CN"/>
        </w:rPr>
      </w:pPr>
    </w:p>
    <w:p>
      <w:pPr>
        <w:pStyle w:val="2"/>
        <w:rPr>
          <w:rFonts w:hint="eastAsia"/>
          <w:color w:val="auto"/>
          <w:lang w:eastAsia="zh-CN"/>
        </w:rPr>
      </w:pPr>
    </w:p>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格式自拟</w:t>
      </w:r>
      <w:r>
        <w:rPr>
          <w:rFonts w:hint="eastAsia" w:ascii="宋体" w:hAnsi="宋体" w:cs="宋体"/>
          <w:color w:val="auto"/>
          <w:sz w:val="24"/>
          <w:szCs w:val="24"/>
          <w:lang w:eastAsia="zh-CN"/>
        </w:rPr>
        <w:t>）</w:t>
      </w:r>
    </w:p>
    <w:p>
      <w:pPr>
        <w:pStyle w:val="2"/>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5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注意：</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1、内容不限于此，供应商可补充；</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jc w:val="left"/>
        <w:textAlignment w:val="auto"/>
        <w:rPr>
          <w:rFonts w:hint="eastAsia" w:ascii="宋体" w:hAnsi="宋体" w:eastAsia="宋体" w:cs="宋体"/>
          <w:b/>
          <w:bCs/>
          <w:color w:val="auto"/>
          <w:sz w:val="21"/>
          <w:szCs w:val="21"/>
          <w:highlight w:val="none"/>
          <w:lang w:val="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磋商方案是磋商小组对磋商响应文件进行评分的重要依据，请结合本项目竞争性磋商采购文件中关于采购项目要求及磋商办法进行认真编制。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9"/>
        <w:rPr>
          <w:rFonts w:hint="eastAsia" w:ascii="宋体" w:hAnsi="宋体" w:eastAsia="宋体" w:cs="宋体"/>
          <w:color w:val="auto"/>
          <w:sz w:val="24"/>
          <w:szCs w:val="24"/>
        </w:rPr>
      </w:pPr>
    </w:p>
    <w:p>
      <w:pPr>
        <w:pStyle w:val="29"/>
        <w:rPr>
          <w:rFonts w:hint="eastAsia" w:ascii="宋体" w:hAnsi="宋体" w:eastAsia="宋体" w:cs="宋体"/>
          <w:color w:val="auto"/>
          <w:sz w:val="24"/>
          <w:szCs w:val="24"/>
        </w:rPr>
      </w:pPr>
    </w:p>
    <w:p>
      <w:pPr>
        <w:pStyle w:val="29"/>
        <w:rPr>
          <w:rFonts w:hint="eastAsia" w:ascii="宋体" w:hAnsi="宋体" w:eastAsia="宋体" w:cs="宋体"/>
          <w:color w:val="auto"/>
          <w:sz w:val="24"/>
          <w:szCs w:val="24"/>
        </w:rPr>
      </w:pPr>
    </w:p>
    <w:p>
      <w:pPr>
        <w:pStyle w:val="29"/>
        <w:rPr>
          <w:rFonts w:hint="eastAsia" w:ascii="宋体" w:hAnsi="宋体" w:eastAsia="宋体" w:cs="宋体"/>
          <w:color w:val="auto"/>
          <w:sz w:val="24"/>
          <w:szCs w:val="24"/>
        </w:rPr>
      </w:pPr>
    </w:p>
    <w:p>
      <w:pPr>
        <w:pStyle w:val="29"/>
        <w:rPr>
          <w:rFonts w:hint="eastAsia" w:ascii="宋体" w:hAnsi="宋体" w:eastAsia="宋体" w:cs="宋体"/>
          <w:color w:val="auto"/>
          <w:sz w:val="24"/>
          <w:szCs w:val="24"/>
        </w:rPr>
      </w:pPr>
    </w:p>
    <w:p>
      <w:pPr>
        <w:pStyle w:val="29"/>
        <w:rPr>
          <w:rFonts w:hint="eastAsia" w:ascii="宋体" w:hAnsi="宋体" w:eastAsia="宋体" w:cs="宋体"/>
          <w:color w:val="auto"/>
          <w:sz w:val="24"/>
          <w:szCs w:val="24"/>
        </w:rPr>
      </w:pPr>
    </w:p>
    <w:p>
      <w:pPr>
        <w:pStyle w:val="29"/>
        <w:rPr>
          <w:rFonts w:hint="eastAsia" w:ascii="宋体" w:hAnsi="宋体" w:eastAsia="宋体" w:cs="宋体"/>
          <w:color w:val="auto"/>
          <w:sz w:val="24"/>
          <w:szCs w:val="24"/>
        </w:rPr>
      </w:pPr>
    </w:p>
    <w:p>
      <w:pPr>
        <w:pStyle w:val="29"/>
        <w:rPr>
          <w:rFonts w:hint="eastAsia" w:ascii="宋体" w:hAnsi="宋体" w:eastAsia="宋体" w:cs="宋体"/>
          <w:color w:val="auto"/>
          <w:sz w:val="24"/>
          <w:szCs w:val="24"/>
        </w:rPr>
      </w:pPr>
    </w:p>
    <w:p>
      <w:pPr>
        <w:pStyle w:val="29"/>
        <w:rPr>
          <w:rFonts w:hint="eastAsia" w:ascii="宋体" w:hAnsi="宋体" w:eastAsia="宋体" w:cs="宋体"/>
          <w:color w:val="auto"/>
          <w:sz w:val="24"/>
          <w:szCs w:val="24"/>
        </w:rPr>
      </w:pPr>
    </w:p>
    <w:p>
      <w:pPr>
        <w:pStyle w:val="29"/>
        <w:rPr>
          <w:rFonts w:hint="eastAsia" w:ascii="宋体" w:hAnsi="宋体" w:eastAsia="宋体" w:cs="宋体"/>
          <w:color w:val="auto"/>
          <w:sz w:val="24"/>
          <w:szCs w:val="24"/>
        </w:rPr>
      </w:pPr>
    </w:p>
    <w:p>
      <w:pPr>
        <w:pStyle w:val="29"/>
        <w:rPr>
          <w:rFonts w:hint="eastAsia" w:ascii="宋体" w:hAnsi="宋体" w:eastAsia="宋体" w:cs="宋体"/>
          <w:color w:val="auto"/>
          <w:sz w:val="24"/>
          <w:szCs w:val="24"/>
        </w:rPr>
      </w:pPr>
    </w:p>
    <w:p>
      <w:pPr>
        <w:pStyle w:val="29"/>
        <w:rPr>
          <w:rFonts w:hint="eastAsia" w:ascii="宋体" w:hAnsi="宋体" w:eastAsia="宋体" w:cs="宋体"/>
          <w:color w:val="auto"/>
          <w:sz w:val="24"/>
          <w:szCs w:val="24"/>
        </w:rPr>
      </w:pPr>
    </w:p>
    <w:p>
      <w:pPr>
        <w:pStyle w:val="29"/>
        <w:rPr>
          <w:rFonts w:hint="eastAsia" w:ascii="宋体" w:hAnsi="宋体" w:eastAsia="宋体" w:cs="宋体"/>
          <w:color w:val="auto"/>
          <w:sz w:val="24"/>
          <w:szCs w:val="24"/>
        </w:rPr>
      </w:pPr>
    </w:p>
    <w:p>
      <w:pPr>
        <w:pStyle w:val="29"/>
        <w:rPr>
          <w:rFonts w:hint="eastAsia" w:ascii="宋体" w:hAnsi="宋体" w:eastAsia="宋体" w:cs="宋体"/>
          <w:color w:val="auto"/>
          <w:sz w:val="24"/>
          <w:szCs w:val="24"/>
        </w:rPr>
      </w:pPr>
    </w:p>
    <w:p>
      <w:pPr>
        <w:pStyle w:val="29"/>
        <w:rPr>
          <w:rFonts w:hint="eastAsia" w:ascii="宋体" w:hAnsi="宋体" w:eastAsia="宋体" w:cs="宋体"/>
          <w:color w:val="auto"/>
          <w:sz w:val="24"/>
          <w:szCs w:val="24"/>
        </w:rPr>
      </w:pPr>
    </w:p>
    <w:p>
      <w:pPr>
        <w:pStyle w:val="29"/>
        <w:rPr>
          <w:rFonts w:hint="eastAsia" w:ascii="宋体" w:hAnsi="宋体" w:eastAsia="宋体" w:cs="宋体"/>
          <w:color w:val="auto"/>
          <w:sz w:val="24"/>
          <w:szCs w:val="24"/>
        </w:rPr>
      </w:pPr>
    </w:p>
    <w:p>
      <w:pPr>
        <w:pStyle w:val="29"/>
        <w:rPr>
          <w:rFonts w:hint="eastAsia" w:ascii="宋体" w:hAnsi="宋体" w:eastAsia="宋体" w:cs="宋体"/>
          <w:color w:val="auto"/>
          <w:sz w:val="24"/>
          <w:szCs w:val="24"/>
        </w:rPr>
      </w:pPr>
    </w:p>
    <w:p>
      <w:pPr>
        <w:pStyle w:val="29"/>
        <w:rPr>
          <w:rFonts w:hint="eastAsia" w:ascii="宋体" w:hAnsi="宋体" w:eastAsia="宋体" w:cs="宋体"/>
          <w:color w:val="auto"/>
          <w:sz w:val="24"/>
          <w:szCs w:val="24"/>
        </w:rPr>
      </w:pPr>
    </w:p>
    <w:p>
      <w:pPr>
        <w:pStyle w:val="29"/>
        <w:rPr>
          <w:rFonts w:hint="eastAsia" w:ascii="宋体" w:hAnsi="宋体" w:eastAsia="宋体" w:cs="宋体"/>
          <w:color w:val="auto"/>
          <w:sz w:val="24"/>
          <w:szCs w:val="24"/>
        </w:rPr>
      </w:pPr>
    </w:p>
    <w:p>
      <w:pPr>
        <w:pStyle w:val="29"/>
        <w:rPr>
          <w:rFonts w:hint="eastAsia" w:ascii="宋体" w:hAnsi="宋体" w:eastAsia="宋体" w:cs="宋体"/>
          <w:color w:val="auto"/>
          <w:sz w:val="24"/>
          <w:szCs w:val="24"/>
        </w:rPr>
      </w:pPr>
    </w:p>
    <w:p>
      <w:pPr>
        <w:pStyle w:val="29"/>
        <w:rPr>
          <w:rFonts w:hint="eastAsia" w:ascii="宋体" w:hAnsi="宋体" w:eastAsia="宋体" w:cs="宋体"/>
          <w:color w:val="auto"/>
          <w:sz w:val="24"/>
          <w:szCs w:val="24"/>
        </w:rPr>
      </w:pPr>
    </w:p>
    <w:p>
      <w:pPr>
        <w:pStyle w:val="29"/>
        <w:rPr>
          <w:rFonts w:hint="eastAsia" w:ascii="宋体" w:hAnsi="宋体" w:eastAsia="宋体" w:cs="宋体"/>
          <w:color w:val="auto"/>
          <w:sz w:val="24"/>
          <w:szCs w:val="24"/>
        </w:rPr>
      </w:pPr>
    </w:p>
    <w:p>
      <w:pPr>
        <w:pStyle w:val="29"/>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147"/>
        <w:spacing w:line="360" w:lineRule="auto"/>
        <w:rPr>
          <w:rFonts w:hint="eastAsia" w:ascii="宋体" w:hAnsi="宋体" w:eastAsia="宋体" w:cs="宋体"/>
          <w:color w:val="auto"/>
          <w:sz w:val="24"/>
          <w:szCs w:val="24"/>
        </w:rPr>
      </w:pPr>
      <w:bookmarkStart w:id="2064" w:name="_Toc22454"/>
      <w:bookmarkStart w:id="2065" w:name="_Toc44245293"/>
      <w:bookmarkStart w:id="2066" w:name="_Toc2623"/>
      <w:r>
        <w:rPr>
          <w:rFonts w:hint="eastAsia" w:ascii="宋体" w:hAnsi="宋体" w:eastAsia="宋体" w:cs="宋体"/>
          <w:color w:val="auto"/>
          <w:sz w:val="24"/>
          <w:szCs w:val="24"/>
        </w:rPr>
        <w:t>附表一：拟投入本标段的主要施工设备表</w:t>
      </w:r>
      <w:bookmarkEnd w:id="2064"/>
      <w:bookmarkEnd w:id="2065"/>
      <w:bookmarkEnd w:id="2066"/>
    </w:p>
    <w:tbl>
      <w:tblPr>
        <w:tblStyle w:val="35"/>
        <w:tblW w:w="513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183"/>
        <w:gridCol w:w="829"/>
        <w:gridCol w:w="1078"/>
        <w:gridCol w:w="732"/>
        <w:gridCol w:w="804"/>
        <w:gridCol w:w="1320"/>
        <w:gridCol w:w="953"/>
        <w:gridCol w:w="1149"/>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center"/>
          </w:tcPr>
          <w:p>
            <w:pPr>
              <w:adjustRightInd w:val="0"/>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21"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设备名称</w:t>
            </w:r>
          </w:p>
        </w:tc>
        <w:tc>
          <w:tcPr>
            <w:tcW w:w="435"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型号</w:t>
            </w:r>
          </w:p>
          <w:p>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566"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384"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国别</w:t>
            </w:r>
          </w:p>
          <w:p>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产地</w:t>
            </w:r>
          </w:p>
        </w:tc>
        <w:tc>
          <w:tcPr>
            <w:tcW w:w="422"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制造</w:t>
            </w:r>
          </w:p>
          <w:p>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年份</w:t>
            </w:r>
          </w:p>
        </w:tc>
        <w:tc>
          <w:tcPr>
            <w:tcW w:w="693"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额定功率（KW）</w:t>
            </w:r>
          </w:p>
        </w:tc>
        <w:tc>
          <w:tcPr>
            <w:tcW w:w="500"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生产</w:t>
            </w:r>
          </w:p>
          <w:p>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能力</w:t>
            </w:r>
          </w:p>
        </w:tc>
        <w:tc>
          <w:tcPr>
            <w:tcW w:w="603"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用于施工部位</w:t>
            </w:r>
          </w:p>
        </w:tc>
        <w:tc>
          <w:tcPr>
            <w:tcW w:w="395"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1"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6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8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2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00"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0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bl>
    <w:p>
      <w:pPr>
        <w:spacing w:line="360" w:lineRule="auto"/>
        <w:rPr>
          <w:rFonts w:hint="eastAsia" w:ascii="宋体" w:hAnsi="宋体" w:eastAsia="宋体" w:cs="宋体"/>
          <w:color w:val="auto"/>
          <w:sz w:val="24"/>
          <w:szCs w:val="24"/>
        </w:rPr>
      </w:pPr>
    </w:p>
    <w:p>
      <w:pPr>
        <w:pStyle w:val="14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br w:type="page"/>
      </w:r>
      <w:bookmarkStart w:id="2067" w:name="_Toc44245294"/>
      <w:bookmarkStart w:id="2068" w:name="_Toc23094"/>
      <w:bookmarkStart w:id="2069" w:name="_Toc152042587"/>
      <w:bookmarkStart w:id="2070" w:name="_Toc144974866"/>
      <w:bookmarkStart w:id="2071" w:name="_Toc10304"/>
      <w:bookmarkStart w:id="2072" w:name="_Toc42008303"/>
      <w:bookmarkStart w:id="2073" w:name="_Toc152045798"/>
      <w:bookmarkStart w:id="2074" w:name="_Toc4217"/>
      <w:r>
        <w:rPr>
          <w:rFonts w:hint="eastAsia" w:ascii="宋体" w:hAnsi="宋体" w:eastAsia="宋体" w:cs="宋体"/>
          <w:color w:val="auto"/>
          <w:sz w:val="24"/>
          <w:szCs w:val="24"/>
        </w:rPr>
        <w:t>附表二：拟配备本标段的试验和检测仪器设备表</w:t>
      </w:r>
      <w:bookmarkEnd w:id="2067"/>
      <w:bookmarkEnd w:id="2068"/>
      <w:bookmarkEnd w:id="2069"/>
      <w:bookmarkEnd w:id="2070"/>
      <w:bookmarkEnd w:id="2071"/>
      <w:bookmarkEnd w:id="2072"/>
      <w:bookmarkEnd w:id="2073"/>
      <w:bookmarkEnd w:id="2074"/>
    </w:p>
    <w:p>
      <w:pPr>
        <w:spacing w:line="360" w:lineRule="auto"/>
        <w:rPr>
          <w:rFonts w:hint="eastAsia" w:ascii="宋体" w:hAnsi="宋体" w:eastAsia="宋体" w:cs="宋体"/>
          <w:color w:val="auto"/>
          <w:sz w:val="24"/>
          <w:szCs w:val="24"/>
        </w:rPr>
      </w:pPr>
    </w:p>
    <w:tbl>
      <w:tblPr>
        <w:tblStyle w:val="35"/>
        <w:tblW w:w="496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185"/>
        <w:gridCol w:w="829"/>
        <w:gridCol w:w="1080"/>
        <w:gridCol w:w="733"/>
        <w:gridCol w:w="805"/>
        <w:gridCol w:w="1321"/>
        <w:gridCol w:w="1801"/>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center"/>
          </w:tcPr>
          <w:p>
            <w:pPr>
              <w:adjustRightInd w:val="0"/>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42"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仪器设备名称</w:t>
            </w:r>
          </w:p>
        </w:tc>
        <w:tc>
          <w:tcPr>
            <w:tcW w:w="449"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型号</w:t>
            </w:r>
          </w:p>
          <w:p>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585"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397"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国别</w:t>
            </w:r>
          </w:p>
          <w:p>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产地</w:t>
            </w:r>
          </w:p>
        </w:tc>
        <w:tc>
          <w:tcPr>
            <w:tcW w:w="436"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制造</w:t>
            </w:r>
          </w:p>
          <w:p>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年份</w:t>
            </w:r>
          </w:p>
        </w:tc>
        <w:tc>
          <w:tcPr>
            <w:tcW w:w="716"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已使用台时数</w:t>
            </w:r>
          </w:p>
        </w:tc>
        <w:tc>
          <w:tcPr>
            <w:tcW w:w="976"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用途</w:t>
            </w:r>
          </w:p>
        </w:tc>
        <w:tc>
          <w:tcPr>
            <w:tcW w:w="408"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642"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449"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585"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397"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436"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716"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976"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408"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642"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449"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585"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397"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436"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716"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976"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408"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4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49"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8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7"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1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97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08"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4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49"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8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7"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1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97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08"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4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49"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8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7"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1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97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08"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4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49"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8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7"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1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97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08"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4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49"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8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7"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1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97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08"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4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49"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8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7"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1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97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08"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4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49"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8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7"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1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97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08"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4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49"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8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7"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1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97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08"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4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49"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8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7"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1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97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08"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4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49"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8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7"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1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97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08"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4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49"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8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7"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1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97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08"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4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49"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8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7"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1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97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08"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4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49"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8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7"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1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97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08"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4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49"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8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7"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1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97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08"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4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49"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8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7"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1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97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08"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4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49"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8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7"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1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97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08"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4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49"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8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7"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1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97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08"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4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49"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8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7"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1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97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08"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4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49"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8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7"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1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97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08"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4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49"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8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7"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1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97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08"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42"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49"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58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397"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3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1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97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408"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bl>
    <w:p>
      <w:pPr>
        <w:pStyle w:val="14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br w:type="page"/>
      </w:r>
      <w:bookmarkStart w:id="2075" w:name="_Toc152042588"/>
      <w:bookmarkStart w:id="2076" w:name="_Toc15069"/>
      <w:bookmarkStart w:id="2077" w:name="_Toc8186"/>
      <w:bookmarkStart w:id="2078" w:name="_Toc8597"/>
      <w:bookmarkStart w:id="2079" w:name="_Toc144974867"/>
      <w:bookmarkStart w:id="2080" w:name="_Toc42008304"/>
      <w:bookmarkStart w:id="2081" w:name="_Toc44245295"/>
      <w:bookmarkStart w:id="2082" w:name="_Toc152045799"/>
      <w:r>
        <w:rPr>
          <w:rFonts w:hint="eastAsia" w:ascii="宋体" w:hAnsi="宋体" w:eastAsia="宋体" w:cs="宋体"/>
          <w:color w:val="auto"/>
          <w:sz w:val="24"/>
          <w:szCs w:val="24"/>
        </w:rPr>
        <w:t>附表三：劳动力计划表</w:t>
      </w:r>
      <w:bookmarkEnd w:id="2075"/>
      <w:bookmarkEnd w:id="2076"/>
      <w:bookmarkEnd w:id="2077"/>
      <w:bookmarkEnd w:id="2078"/>
      <w:bookmarkEnd w:id="2079"/>
      <w:bookmarkEnd w:id="2080"/>
      <w:bookmarkEnd w:id="2081"/>
      <w:bookmarkEnd w:id="2082"/>
    </w:p>
    <w:p>
      <w:pPr>
        <w:spacing w:line="360" w:lineRule="auto"/>
        <w:ind w:right="200"/>
        <w:jc w:val="right"/>
        <w:rPr>
          <w:rFonts w:hint="eastAsia" w:ascii="宋体" w:hAnsi="宋体" w:eastAsia="宋体" w:cs="宋体"/>
          <w:color w:val="auto"/>
          <w:sz w:val="24"/>
          <w:szCs w:val="24"/>
        </w:rPr>
      </w:pPr>
      <w:r>
        <w:rPr>
          <w:rFonts w:hint="eastAsia" w:ascii="宋体" w:hAnsi="宋体" w:eastAsia="宋体" w:cs="宋体"/>
          <w:color w:val="auto"/>
          <w:sz w:val="24"/>
          <w:szCs w:val="24"/>
        </w:rPr>
        <w:t>单位：人</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420"/>
        <w:gridCol w:w="1161"/>
        <w:gridCol w:w="1161"/>
        <w:gridCol w:w="1161"/>
        <w:gridCol w:w="1161"/>
        <w:gridCol w:w="1161"/>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工种</w:t>
            </w:r>
          </w:p>
        </w:tc>
        <w:tc>
          <w:tcPr>
            <w:tcW w:w="4514" w:type="pct"/>
            <w:gridSpan w:val="7"/>
            <w:noWrap w:val="0"/>
            <w:vAlign w:val="center"/>
          </w:tcPr>
          <w:p>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center"/>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76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5"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c>
          <w:tcPr>
            <w:tcW w:w="624" w:type="pct"/>
            <w:noWrap w:val="0"/>
            <w:vAlign w:val="top"/>
          </w:tcPr>
          <w:p>
            <w:pPr>
              <w:adjustRightInd w:val="0"/>
              <w:spacing w:line="360" w:lineRule="auto"/>
              <w:jc w:val="center"/>
              <w:textAlignment w:val="baseline"/>
              <w:rPr>
                <w:rFonts w:hint="eastAsia" w:ascii="宋体" w:hAnsi="宋体" w:eastAsia="宋体" w:cs="宋体"/>
                <w:color w:val="auto"/>
                <w:sz w:val="24"/>
                <w:szCs w:val="24"/>
              </w:rPr>
            </w:pPr>
          </w:p>
        </w:tc>
      </w:tr>
    </w:tbl>
    <w:p>
      <w:pPr>
        <w:rPr>
          <w:rFonts w:hint="eastAsia"/>
          <w:color w:val="auto"/>
          <w:sz w:val="24"/>
          <w:szCs w:val="24"/>
        </w:rPr>
      </w:pPr>
      <w:bookmarkStart w:id="2083" w:name="_Toc152042589"/>
      <w:bookmarkStart w:id="2084" w:name="_Toc144974868"/>
      <w:bookmarkStart w:id="2085" w:name="_Toc44245296"/>
      <w:bookmarkStart w:id="2086" w:name="_Toc6041"/>
      <w:bookmarkStart w:id="2087" w:name="_Toc24296"/>
      <w:bookmarkStart w:id="2088" w:name="_Toc25787"/>
      <w:bookmarkStart w:id="2089" w:name="_Toc152045800"/>
      <w:bookmarkStart w:id="2090" w:name="_Toc42008305"/>
    </w:p>
    <w:p>
      <w:pPr>
        <w:pStyle w:val="2"/>
        <w:rPr>
          <w:rFonts w:hint="eastAsia"/>
          <w:color w:val="auto"/>
          <w:sz w:val="24"/>
          <w:szCs w:val="24"/>
        </w:rPr>
      </w:pPr>
    </w:p>
    <w:p>
      <w:pPr>
        <w:pStyle w:val="14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附表四：计划开、竣工日期和施工进度网络图</w:t>
      </w:r>
      <w:bookmarkEnd w:id="2083"/>
      <w:bookmarkEnd w:id="2084"/>
      <w:bookmarkEnd w:id="2085"/>
      <w:bookmarkEnd w:id="2086"/>
      <w:bookmarkEnd w:id="2087"/>
      <w:bookmarkEnd w:id="2088"/>
      <w:bookmarkEnd w:id="2089"/>
      <w:bookmarkEnd w:id="2090"/>
    </w:p>
    <w:p>
      <w:pPr>
        <w:spacing w:line="360" w:lineRule="auto"/>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投标人应递交施工进度网络图或施工进度表，说明按</w:t>
      </w:r>
      <w:r>
        <w:rPr>
          <w:rFonts w:hint="eastAsia" w:ascii="宋体" w:hAnsi="宋体" w:cs="宋体"/>
          <w:color w:val="auto"/>
          <w:sz w:val="24"/>
          <w:szCs w:val="24"/>
          <w:lang w:val="en-US" w:eastAsia="zh-CN"/>
        </w:rPr>
        <w:t>磋商采购文件</w:t>
      </w:r>
      <w:r>
        <w:rPr>
          <w:rFonts w:hint="eastAsia" w:ascii="宋体" w:hAnsi="宋体" w:eastAsia="宋体" w:cs="宋体"/>
          <w:color w:val="auto"/>
          <w:sz w:val="24"/>
          <w:szCs w:val="24"/>
        </w:rPr>
        <w:t>要求的计划工期进行施工的各个关键日期。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施工进度表可采用网络图（或横道图）表示。</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0"/>
          <w:szCs w:val="20"/>
        </w:rPr>
      </w:pPr>
    </w:p>
    <w:p>
      <w:pPr>
        <w:pStyle w:val="3"/>
        <w:spacing w:before="0" w:after="0" w:line="360" w:lineRule="auto"/>
        <w:jc w:val="center"/>
        <w:rPr>
          <w:rFonts w:hint="eastAsia" w:ascii="宋体" w:hAnsi="宋体" w:eastAsia="宋体" w:cs="宋体"/>
          <w:color w:val="auto"/>
          <w:sz w:val="20"/>
        </w:rPr>
      </w:pPr>
    </w:p>
    <w:p>
      <w:pPr>
        <w:rPr>
          <w:rFonts w:hint="eastAsia" w:ascii="宋体" w:hAnsi="宋体" w:eastAsia="宋体" w:cs="宋体"/>
          <w:color w:val="auto"/>
          <w:sz w:val="20"/>
        </w:rPr>
      </w:pPr>
    </w:p>
    <w:p>
      <w:pPr>
        <w:pStyle w:val="2"/>
        <w:rPr>
          <w:rFonts w:hint="eastAsia" w:ascii="宋体" w:hAnsi="宋体" w:eastAsia="宋体" w:cs="宋体"/>
          <w:color w:val="auto"/>
          <w:sz w:val="20"/>
        </w:rPr>
      </w:pPr>
    </w:p>
    <w:p>
      <w:pPr>
        <w:rPr>
          <w:rFonts w:hint="eastAsia" w:ascii="宋体" w:hAnsi="宋体" w:eastAsia="宋体" w:cs="宋体"/>
          <w:color w:val="auto"/>
          <w:sz w:val="20"/>
        </w:rPr>
      </w:pPr>
    </w:p>
    <w:p>
      <w:pPr>
        <w:pStyle w:val="2"/>
        <w:rPr>
          <w:rFonts w:hint="eastAsia" w:ascii="宋体" w:hAnsi="宋体" w:eastAsia="宋体" w:cs="宋体"/>
          <w:color w:val="auto"/>
          <w:sz w:val="20"/>
        </w:rPr>
      </w:pPr>
    </w:p>
    <w:p>
      <w:pPr>
        <w:rPr>
          <w:rFonts w:hint="eastAsia" w:ascii="宋体" w:hAnsi="宋体" w:eastAsia="宋体" w:cs="宋体"/>
          <w:color w:val="auto"/>
          <w:sz w:val="20"/>
        </w:rPr>
      </w:pPr>
    </w:p>
    <w:p>
      <w:pPr>
        <w:pStyle w:val="2"/>
        <w:rPr>
          <w:rFonts w:hint="eastAsia" w:ascii="宋体" w:hAnsi="宋体" w:eastAsia="宋体" w:cs="宋体"/>
          <w:color w:val="auto"/>
          <w:sz w:val="20"/>
        </w:rPr>
      </w:pPr>
    </w:p>
    <w:p>
      <w:pPr>
        <w:rPr>
          <w:rFonts w:hint="eastAsia" w:ascii="宋体" w:hAnsi="宋体" w:eastAsia="宋体" w:cs="宋体"/>
          <w:color w:val="auto"/>
          <w:sz w:val="20"/>
        </w:rPr>
      </w:pPr>
    </w:p>
    <w:p>
      <w:pPr>
        <w:pStyle w:val="2"/>
        <w:rPr>
          <w:rFonts w:hint="eastAsia" w:ascii="宋体" w:hAnsi="宋体" w:eastAsia="宋体" w:cs="宋体"/>
          <w:color w:val="auto"/>
          <w:sz w:val="20"/>
        </w:rPr>
      </w:pPr>
    </w:p>
    <w:p>
      <w:pPr>
        <w:rPr>
          <w:rFonts w:hint="eastAsia" w:ascii="宋体" w:hAnsi="宋体" w:eastAsia="宋体" w:cs="宋体"/>
          <w:color w:val="auto"/>
          <w:sz w:val="20"/>
        </w:rPr>
      </w:pPr>
    </w:p>
    <w:p>
      <w:pPr>
        <w:pStyle w:val="2"/>
        <w:rPr>
          <w:rFonts w:hint="eastAsia" w:ascii="宋体" w:hAnsi="宋体" w:eastAsia="宋体" w:cs="宋体"/>
          <w:color w:val="auto"/>
          <w:sz w:val="20"/>
        </w:rPr>
      </w:pPr>
    </w:p>
    <w:p>
      <w:pPr>
        <w:rPr>
          <w:rFonts w:hint="eastAsia" w:ascii="宋体" w:hAnsi="宋体" w:eastAsia="宋体" w:cs="宋体"/>
          <w:color w:val="auto"/>
          <w:sz w:val="20"/>
        </w:rPr>
      </w:pPr>
    </w:p>
    <w:p>
      <w:pPr>
        <w:pStyle w:val="2"/>
        <w:rPr>
          <w:rFonts w:hint="eastAsia" w:ascii="宋体" w:hAnsi="宋体" w:eastAsia="宋体" w:cs="宋体"/>
          <w:color w:val="auto"/>
          <w:sz w:val="20"/>
        </w:rPr>
      </w:pPr>
    </w:p>
    <w:p>
      <w:pPr>
        <w:rPr>
          <w:rFonts w:hint="eastAsia" w:ascii="宋体" w:hAnsi="宋体" w:eastAsia="宋体" w:cs="宋体"/>
          <w:color w:val="auto"/>
          <w:sz w:val="20"/>
        </w:rPr>
      </w:pPr>
    </w:p>
    <w:p>
      <w:pPr>
        <w:pStyle w:val="2"/>
        <w:rPr>
          <w:rFonts w:hint="eastAsia" w:ascii="宋体" w:hAnsi="宋体" w:eastAsia="宋体" w:cs="宋体"/>
          <w:color w:val="auto"/>
          <w:sz w:val="20"/>
        </w:rPr>
      </w:pPr>
    </w:p>
    <w:p>
      <w:pPr>
        <w:rPr>
          <w:rFonts w:hint="eastAsia" w:ascii="宋体" w:hAnsi="宋体" w:eastAsia="宋体" w:cs="宋体"/>
          <w:color w:val="auto"/>
          <w:sz w:val="20"/>
        </w:rPr>
      </w:pPr>
    </w:p>
    <w:p>
      <w:pPr>
        <w:pStyle w:val="2"/>
        <w:rPr>
          <w:rFonts w:hint="eastAsia" w:ascii="宋体" w:hAnsi="宋体" w:eastAsia="宋体" w:cs="宋体"/>
          <w:color w:val="auto"/>
          <w:sz w:val="20"/>
        </w:rPr>
      </w:pPr>
    </w:p>
    <w:p>
      <w:pPr>
        <w:rPr>
          <w:rFonts w:hint="eastAsia" w:ascii="宋体" w:hAnsi="宋体" w:eastAsia="宋体" w:cs="宋体"/>
          <w:color w:val="auto"/>
          <w:sz w:val="20"/>
        </w:rPr>
      </w:pPr>
    </w:p>
    <w:p>
      <w:pPr>
        <w:pStyle w:val="2"/>
        <w:rPr>
          <w:rFonts w:hint="eastAsia" w:ascii="宋体" w:hAnsi="宋体" w:eastAsia="宋体" w:cs="宋体"/>
          <w:color w:val="auto"/>
          <w:sz w:val="20"/>
        </w:rPr>
      </w:pPr>
    </w:p>
    <w:p>
      <w:pPr>
        <w:rPr>
          <w:rFonts w:hint="eastAsia" w:ascii="宋体" w:hAnsi="宋体" w:eastAsia="宋体" w:cs="宋体"/>
          <w:color w:val="auto"/>
          <w:sz w:val="20"/>
        </w:rPr>
      </w:pPr>
    </w:p>
    <w:p>
      <w:pPr>
        <w:pStyle w:val="2"/>
        <w:rPr>
          <w:rFonts w:hint="eastAsia" w:ascii="宋体" w:hAnsi="宋体" w:eastAsia="宋体" w:cs="宋体"/>
          <w:color w:val="auto"/>
          <w:sz w:val="20"/>
        </w:rPr>
      </w:pPr>
    </w:p>
    <w:p>
      <w:pPr>
        <w:rPr>
          <w:rFonts w:hint="eastAsia" w:ascii="宋体" w:hAnsi="宋体" w:eastAsia="宋体" w:cs="宋体"/>
          <w:color w:val="auto"/>
          <w:sz w:val="20"/>
        </w:rPr>
      </w:pPr>
    </w:p>
    <w:p>
      <w:pPr>
        <w:pStyle w:val="2"/>
        <w:rPr>
          <w:rFonts w:hint="eastAsia" w:ascii="宋体" w:hAnsi="宋体" w:eastAsia="宋体" w:cs="宋体"/>
          <w:color w:val="auto"/>
          <w:sz w:val="20"/>
        </w:rPr>
      </w:pPr>
    </w:p>
    <w:p>
      <w:pPr>
        <w:rPr>
          <w:rFonts w:hint="eastAsia" w:ascii="宋体" w:hAnsi="宋体" w:eastAsia="宋体" w:cs="宋体"/>
          <w:color w:val="auto"/>
          <w:sz w:val="20"/>
        </w:rPr>
      </w:pPr>
    </w:p>
    <w:p>
      <w:pPr>
        <w:pStyle w:val="2"/>
        <w:rPr>
          <w:rFonts w:hint="eastAsia" w:ascii="宋体" w:hAnsi="宋体" w:eastAsia="宋体" w:cs="宋体"/>
          <w:color w:val="auto"/>
          <w:sz w:val="20"/>
        </w:rPr>
      </w:pPr>
    </w:p>
    <w:p>
      <w:pPr>
        <w:rPr>
          <w:rFonts w:hint="eastAsia" w:ascii="宋体" w:hAnsi="宋体" w:eastAsia="宋体" w:cs="宋体"/>
          <w:color w:val="auto"/>
          <w:sz w:val="20"/>
        </w:rPr>
      </w:pPr>
    </w:p>
    <w:p>
      <w:pPr>
        <w:pStyle w:val="2"/>
        <w:rPr>
          <w:rFonts w:hint="eastAsia" w:ascii="宋体" w:hAnsi="宋体" w:eastAsia="宋体" w:cs="宋体"/>
          <w:color w:val="auto"/>
          <w:sz w:val="20"/>
        </w:rPr>
      </w:pPr>
    </w:p>
    <w:p>
      <w:pPr>
        <w:rPr>
          <w:rFonts w:hint="eastAsia" w:ascii="宋体" w:hAnsi="宋体" w:eastAsia="宋体" w:cs="宋体"/>
          <w:color w:val="auto"/>
          <w:sz w:val="20"/>
        </w:rPr>
      </w:pPr>
    </w:p>
    <w:p>
      <w:pPr>
        <w:pStyle w:val="2"/>
        <w:rPr>
          <w:rFonts w:hint="eastAsia" w:ascii="宋体" w:hAnsi="宋体" w:eastAsia="宋体" w:cs="宋体"/>
          <w:color w:val="auto"/>
          <w:sz w:val="20"/>
        </w:rPr>
      </w:pPr>
    </w:p>
    <w:p>
      <w:pPr>
        <w:rPr>
          <w:rFonts w:hint="eastAsia" w:ascii="宋体" w:hAnsi="宋体" w:eastAsia="宋体" w:cs="宋体"/>
          <w:color w:val="auto"/>
          <w:sz w:val="20"/>
        </w:rPr>
      </w:pPr>
    </w:p>
    <w:p>
      <w:pPr>
        <w:pStyle w:val="2"/>
        <w:rPr>
          <w:rFonts w:hint="eastAsia" w:ascii="宋体" w:hAnsi="宋体" w:eastAsia="宋体" w:cs="宋体"/>
          <w:color w:val="auto"/>
          <w:sz w:val="20"/>
        </w:rPr>
      </w:pPr>
    </w:p>
    <w:p>
      <w:pPr>
        <w:rPr>
          <w:rFonts w:hint="eastAsia" w:ascii="宋体" w:hAnsi="宋体" w:eastAsia="宋体" w:cs="宋体"/>
          <w:color w:val="auto"/>
          <w:sz w:val="20"/>
        </w:rPr>
      </w:pPr>
    </w:p>
    <w:p>
      <w:pPr>
        <w:pStyle w:val="2"/>
        <w:rPr>
          <w:rFonts w:hint="eastAsia" w:ascii="宋体" w:hAnsi="宋体" w:eastAsia="宋体" w:cs="宋体"/>
          <w:color w:val="auto"/>
          <w:sz w:val="20"/>
        </w:rPr>
      </w:pPr>
    </w:p>
    <w:p>
      <w:pPr>
        <w:rPr>
          <w:rFonts w:hint="eastAsia" w:ascii="宋体" w:hAnsi="宋体" w:eastAsia="宋体" w:cs="宋体"/>
          <w:color w:val="auto"/>
          <w:sz w:val="20"/>
        </w:rPr>
      </w:pPr>
    </w:p>
    <w:p>
      <w:pPr>
        <w:pStyle w:val="2"/>
        <w:rPr>
          <w:rFonts w:hint="eastAsia" w:ascii="宋体" w:hAnsi="宋体" w:eastAsia="宋体" w:cs="宋体"/>
          <w:color w:val="auto"/>
          <w:sz w:val="20"/>
        </w:rPr>
      </w:pPr>
    </w:p>
    <w:p>
      <w:pPr>
        <w:rPr>
          <w:rFonts w:hint="eastAsia" w:ascii="宋体" w:hAnsi="宋体" w:eastAsia="宋体" w:cs="宋体"/>
          <w:color w:val="auto"/>
          <w:sz w:val="20"/>
        </w:rPr>
      </w:pPr>
    </w:p>
    <w:p>
      <w:pPr>
        <w:pStyle w:val="2"/>
        <w:rPr>
          <w:rFonts w:hint="eastAsia" w:ascii="宋体" w:hAnsi="宋体" w:eastAsia="宋体" w:cs="宋体"/>
          <w:color w:val="auto"/>
          <w:sz w:val="20"/>
        </w:rPr>
      </w:pPr>
    </w:p>
    <w:p>
      <w:pPr>
        <w:rPr>
          <w:rFonts w:hint="eastAsia" w:ascii="宋体" w:hAnsi="宋体" w:eastAsia="宋体" w:cs="宋体"/>
          <w:color w:val="auto"/>
          <w:sz w:val="20"/>
        </w:rPr>
      </w:pPr>
    </w:p>
    <w:p>
      <w:pPr>
        <w:pStyle w:val="2"/>
        <w:rPr>
          <w:rFonts w:hint="eastAsia" w:ascii="宋体" w:hAnsi="宋体" w:eastAsia="宋体" w:cs="宋体"/>
          <w:color w:val="auto"/>
          <w:sz w:val="20"/>
        </w:rPr>
      </w:pPr>
    </w:p>
    <w:p>
      <w:pPr>
        <w:rPr>
          <w:rFonts w:hint="eastAsia" w:ascii="宋体" w:hAnsi="宋体" w:eastAsia="宋体" w:cs="宋体"/>
          <w:color w:val="auto"/>
          <w:sz w:val="20"/>
        </w:rPr>
      </w:pPr>
    </w:p>
    <w:p>
      <w:pPr>
        <w:pStyle w:val="2"/>
        <w:rPr>
          <w:rFonts w:hint="eastAsia" w:ascii="宋体" w:hAnsi="宋体" w:eastAsia="宋体" w:cs="宋体"/>
          <w:color w:val="auto"/>
          <w:sz w:val="20"/>
        </w:rPr>
      </w:pPr>
    </w:p>
    <w:p>
      <w:pPr>
        <w:pStyle w:val="4"/>
        <w:spacing w:line="500" w:lineRule="exact"/>
        <w:jc w:val="center"/>
        <w:rPr>
          <w:rFonts w:ascii="宋体" w:hAnsi="宋体" w:eastAsia="宋体" w:cs="宋体"/>
          <w:b/>
          <w:bCs/>
          <w:color w:val="auto"/>
          <w:kern w:val="0"/>
          <w:szCs w:val="28"/>
        </w:rPr>
      </w:pPr>
      <w:r>
        <w:rPr>
          <w:rFonts w:hint="eastAsia" w:ascii="宋体" w:hAnsi="宋体" w:eastAsia="宋体" w:cs="宋体"/>
          <w:b/>
          <w:bCs/>
          <w:color w:val="auto"/>
          <w:szCs w:val="28"/>
          <w:lang w:val="zh-CN"/>
        </w:rPr>
        <w:t>第</w:t>
      </w:r>
      <w:r>
        <w:rPr>
          <w:rFonts w:hint="eastAsia" w:ascii="宋体" w:hAnsi="宋体" w:eastAsia="宋体" w:cs="宋体"/>
          <w:b/>
          <w:bCs/>
          <w:color w:val="auto"/>
          <w:szCs w:val="28"/>
          <w:lang w:val="en-US" w:eastAsia="zh-CN"/>
        </w:rPr>
        <w:t>五</w:t>
      </w:r>
      <w:r>
        <w:rPr>
          <w:rFonts w:hint="eastAsia" w:ascii="宋体" w:hAnsi="宋体" w:eastAsia="宋体" w:cs="宋体"/>
          <w:b/>
          <w:bCs/>
          <w:color w:val="auto"/>
          <w:szCs w:val="28"/>
          <w:lang w:val="zh-CN"/>
        </w:rPr>
        <w:t>部分</w:t>
      </w:r>
      <w:r>
        <w:rPr>
          <w:rFonts w:hint="eastAsia" w:ascii="宋体" w:hAnsi="宋体" w:eastAsia="宋体" w:cs="宋体"/>
          <w:b/>
          <w:bCs/>
          <w:color w:val="auto"/>
          <w:szCs w:val="28"/>
          <w:lang w:val="en-US" w:eastAsia="zh-CN"/>
        </w:rPr>
        <w:t xml:space="preserve"> </w:t>
      </w:r>
      <w:r>
        <w:rPr>
          <w:rFonts w:hint="eastAsia" w:ascii="宋体" w:hAnsi="宋体" w:eastAsia="宋体" w:cs="宋体"/>
          <w:b/>
          <w:bCs/>
          <w:color w:val="auto"/>
          <w:kern w:val="0"/>
          <w:szCs w:val="28"/>
        </w:rPr>
        <w:t>供应商近三年类似项目业绩一览表</w:t>
      </w:r>
    </w:p>
    <w:p>
      <w:pPr>
        <w:pStyle w:val="50"/>
        <w:spacing w:line="500" w:lineRule="exact"/>
        <w:rPr>
          <w:color w:val="auto"/>
        </w:rPr>
      </w:pPr>
    </w:p>
    <w:p>
      <w:pPr>
        <w:pStyle w:val="50"/>
        <w:spacing w:line="500" w:lineRule="exact"/>
        <w:ind w:firstLine="480"/>
        <w:rPr>
          <w:color w:val="auto"/>
          <w:sz w:val="24"/>
          <w:szCs w:val="24"/>
        </w:rPr>
      </w:pPr>
      <w:r>
        <w:rPr>
          <w:rFonts w:hint="eastAsia"/>
          <w:color w:val="auto"/>
          <w:sz w:val="24"/>
          <w:szCs w:val="24"/>
        </w:rPr>
        <w:t>供应商名称：                                           单位：万元</w:t>
      </w:r>
    </w:p>
    <w:tbl>
      <w:tblPr>
        <w:tblStyle w:val="35"/>
        <w:tblW w:w="93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932"/>
        <w:gridCol w:w="2006"/>
        <w:gridCol w:w="1950"/>
        <w:gridCol w:w="1513"/>
        <w:gridCol w:w="8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03" w:hRule="atLeast"/>
          <w:jc w:val="center"/>
        </w:trPr>
        <w:tc>
          <w:tcPr>
            <w:tcW w:w="1106" w:type="dxa"/>
            <w:vAlign w:val="center"/>
          </w:tcPr>
          <w:p>
            <w:pPr>
              <w:pStyle w:val="5"/>
              <w:spacing w:line="500" w:lineRule="exact"/>
              <w:ind w:firstLine="0"/>
              <w:jc w:val="center"/>
              <w:rPr>
                <w:rFonts w:ascii="宋体" w:hAnsi="宋体" w:cs="宋体"/>
                <w:b/>
                <w:color w:val="auto"/>
                <w:sz w:val="24"/>
                <w:szCs w:val="24"/>
              </w:rPr>
            </w:pPr>
            <w:r>
              <w:rPr>
                <w:rFonts w:hint="eastAsia" w:ascii="宋体" w:hAnsi="宋体" w:cs="宋体"/>
                <w:b/>
                <w:color w:val="auto"/>
                <w:sz w:val="24"/>
                <w:szCs w:val="24"/>
              </w:rPr>
              <w:t>年份</w:t>
            </w:r>
          </w:p>
        </w:tc>
        <w:tc>
          <w:tcPr>
            <w:tcW w:w="1932" w:type="dxa"/>
            <w:vAlign w:val="center"/>
          </w:tcPr>
          <w:p>
            <w:pPr>
              <w:pStyle w:val="5"/>
              <w:spacing w:line="500" w:lineRule="exact"/>
              <w:ind w:firstLine="0"/>
              <w:jc w:val="center"/>
              <w:rPr>
                <w:rFonts w:ascii="宋体" w:hAnsi="宋体" w:cs="宋体"/>
                <w:b/>
                <w:color w:val="auto"/>
                <w:sz w:val="24"/>
                <w:szCs w:val="24"/>
              </w:rPr>
            </w:pPr>
            <w:r>
              <w:rPr>
                <w:rFonts w:hint="eastAsia" w:ascii="宋体" w:hAnsi="宋体" w:cs="宋体"/>
                <w:b/>
                <w:color w:val="auto"/>
                <w:sz w:val="24"/>
                <w:szCs w:val="24"/>
              </w:rPr>
              <w:t>用户名称</w:t>
            </w:r>
          </w:p>
        </w:tc>
        <w:tc>
          <w:tcPr>
            <w:tcW w:w="2006" w:type="dxa"/>
            <w:vAlign w:val="center"/>
          </w:tcPr>
          <w:p>
            <w:pPr>
              <w:pStyle w:val="5"/>
              <w:spacing w:line="500" w:lineRule="exact"/>
              <w:ind w:firstLine="0"/>
              <w:jc w:val="center"/>
              <w:rPr>
                <w:rFonts w:ascii="宋体" w:hAnsi="宋体" w:cs="宋体"/>
                <w:b/>
                <w:color w:val="auto"/>
                <w:sz w:val="24"/>
                <w:szCs w:val="24"/>
              </w:rPr>
            </w:pPr>
            <w:r>
              <w:rPr>
                <w:rFonts w:hint="eastAsia" w:ascii="宋体" w:hAnsi="宋体" w:cs="宋体"/>
                <w:b/>
                <w:color w:val="auto"/>
                <w:sz w:val="24"/>
                <w:szCs w:val="24"/>
              </w:rPr>
              <w:t>项目名称</w:t>
            </w:r>
          </w:p>
        </w:tc>
        <w:tc>
          <w:tcPr>
            <w:tcW w:w="1950" w:type="dxa"/>
            <w:vAlign w:val="center"/>
          </w:tcPr>
          <w:p>
            <w:pPr>
              <w:pStyle w:val="5"/>
              <w:spacing w:line="500" w:lineRule="exact"/>
              <w:ind w:firstLine="0"/>
              <w:jc w:val="center"/>
              <w:rPr>
                <w:rFonts w:ascii="宋体" w:hAnsi="宋体" w:cs="宋体"/>
                <w:b/>
                <w:color w:val="auto"/>
                <w:sz w:val="24"/>
                <w:szCs w:val="24"/>
              </w:rPr>
            </w:pPr>
            <w:r>
              <w:rPr>
                <w:rFonts w:hint="eastAsia" w:ascii="宋体" w:hAnsi="宋体" w:cs="宋体"/>
                <w:b/>
                <w:color w:val="auto"/>
                <w:sz w:val="24"/>
                <w:szCs w:val="24"/>
              </w:rPr>
              <w:t>合同金额</w:t>
            </w:r>
          </w:p>
        </w:tc>
        <w:tc>
          <w:tcPr>
            <w:tcW w:w="1513" w:type="dxa"/>
            <w:vAlign w:val="center"/>
          </w:tcPr>
          <w:p>
            <w:pPr>
              <w:pStyle w:val="5"/>
              <w:spacing w:line="500" w:lineRule="exact"/>
              <w:ind w:firstLine="0"/>
              <w:jc w:val="center"/>
              <w:rPr>
                <w:rFonts w:ascii="宋体" w:hAnsi="宋体" w:cs="宋体"/>
                <w:b/>
                <w:color w:val="auto"/>
                <w:sz w:val="24"/>
                <w:szCs w:val="24"/>
              </w:rPr>
            </w:pPr>
            <w:r>
              <w:rPr>
                <w:rFonts w:hint="eastAsia" w:ascii="宋体" w:hAnsi="宋体" w:cs="宋体"/>
                <w:b/>
                <w:color w:val="auto"/>
                <w:sz w:val="24"/>
                <w:szCs w:val="24"/>
              </w:rPr>
              <w:t>完成质量</w:t>
            </w:r>
          </w:p>
        </w:tc>
        <w:tc>
          <w:tcPr>
            <w:tcW w:w="858" w:type="dxa"/>
            <w:vAlign w:val="center"/>
          </w:tcPr>
          <w:p>
            <w:pPr>
              <w:pStyle w:val="5"/>
              <w:spacing w:line="500" w:lineRule="exact"/>
              <w:ind w:firstLine="0"/>
              <w:jc w:val="center"/>
              <w:rPr>
                <w:rFonts w:ascii="宋体" w:hAnsi="宋体" w:cs="宋体"/>
                <w:b/>
                <w:color w:val="auto"/>
                <w:sz w:val="24"/>
                <w:szCs w:val="24"/>
              </w:rPr>
            </w:pPr>
            <w:r>
              <w:rPr>
                <w:rFonts w:hint="eastAsia" w:ascii="宋体" w:hAnsi="宋体" w:cs="宋体"/>
                <w:b/>
                <w:color w:val="auto"/>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54" w:hRule="atLeast"/>
          <w:jc w:val="center"/>
        </w:trPr>
        <w:tc>
          <w:tcPr>
            <w:tcW w:w="1106" w:type="dxa"/>
          </w:tcPr>
          <w:p>
            <w:pPr>
              <w:pStyle w:val="5"/>
              <w:spacing w:line="500" w:lineRule="exact"/>
              <w:ind w:firstLine="0"/>
              <w:rPr>
                <w:rFonts w:ascii="宋体" w:hAnsi="宋体" w:cs="宋体"/>
                <w:color w:val="auto"/>
                <w:sz w:val="24"/>
                <w:szCs w:val="24"/>
              </w:rPr>
            </w:pPr>
          </w:p>
        </w:tc>
        <w:tc>
          <w:tcPr>
            <w:tcW w:w="1932" w:type="dxa"/>
          </w:tcPr>
          <w:p>
            <w:pPr>
              <w:pStyle w:val="5"/>
              <w:spacing w:line="500" w:lineRule="exact"/>
              <w:ind w:firstLine="0"/>
              <w:rPr>
                <w:rFonts w:ascii="宋体" w:hAnsi="宋体" w:cs="宋体"/>
                <w:color w:val="auto"/>
                <w:sz w:val="24"/>
                <w:szCs w:val="24"/>
              </w:rPr>
            </w:pPr>
          </w:p>
        </w:tc>
        <w:tc>
          <w:tcPr>
            <w:tcW w:w="2006" w:type="dxa"/>
          </w:tcPr>
          <w:p>
            <w:pPr>
              <w:pStyle w:val="5"/>
              <w:spacing w:line="500" w:lineRule="exact"/>
              <w:ind w:firstLine="0"/>
              <w:rPr>
                <w:rFonts w:ascii="宋体" w:hAnsi="宋体" w:cs="宋体"/>
                <w:color w:val="auto"/>
                <w:sz w:val="24"/>
                <w:szCs w:val="24"/>
              </w:rPr>
            </w:pPr>
          </w:p>
        </w:tc>
        <w:tc>
          <w:tcPr>
            <w:tcW w:w="1950" w:type="dxa"/>
          </w:tcPr>
          <w:p>
            <w:pPr>
              <w:pStyle w:val="5"/>
              <w:spacing w:line="500" w:lineRule="exact"/>
              <w:ind w:firstLine="0"/>
              <w:rPr>
                <w:rFonts w:ascii="宋体" w:hAnsi="宋体" w:cs="宋体"/>
                <w:color w:val="auto"/>
                <w:sz w:val="24"/>
                <w:szCs w:val="24"/>
              </w:rPr>
            </w:pPr>
          </w:p>
        </w:tc>
        <w:tc>
          <w:tcPr>
            <w:tcW w:w="1513" w:type="dxa"/>
          </w:tcPr>
          <w:p>
            <w:pPr>
              <w:pStyle w:val="5"/>
              <w:spacing w:line="500" w:lineRule="exact"/>
              <w:ind w:firstLine="0"/>
              <w:rPr>
                <w:rFonts w:ascii="宋体" w:hAnsi="宋体" w:cs="宋体"/>
                <w:color w:val="auto"/>
                <w:sz w:val="24"/>
                <w:szCs w:val="24"/>
              </w:rPr>
            </w:pPr>
          </w:p>
        </w:tc>
        <w:tc>
          <w:tcPr>
            <w:tcW w:w="858" w:type="dxa"/>
          </w:tcPr>
          <w:p>
            <w:pPr>
              <w:pStyle w:val="5"/>
              <w:spacing w:line="500" w:lineRule="exact"/>
              <w:ind w:firstLine="0"/>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06" w:type="dxa"/>
          </w:tcPr>
          <w:p>
            <w:pPr>
              <w:pStyle w:val="5"/>
              <w:spacing w:line="500" w:lineRule="exact"/>
              <w:ind w:firstLine="0"/>
              <w:rPr>
                <w:rFonts w:ascii="宋体" w:hAnsi="宋体" w:cs="宋体"/>
                <w:color w:val="auto"/>
                <w:sz w:val="24"/>
                <w:szCs w:val="24"/>
              </w:rPr>
            </w:pPr>
          </w:p>
        </w:tc>
        <w:tc>
          <w:tcPr>
            <w:tcW w:w="1932" w:type="dxa"/>
          </w:tcPr>
          <w:p>
            <w:pPr>
              <w:pStyle w:val="5"/>
              <w:spacing w:line="500" w:lineRule="exact"/>
              <w:ind w:firstLine="0"/>
              <w:rPr>
                <w:rFonts w:ascii="宋体" w:hAnsi="宋体" w:cs="宋体"/>
                <w:color w:val="auto"/>
                <w:sz w:val="24"/>
                <w:szCs w:val="24"/>
              </w:rPr>
            </w:pPr>
          </w:p>
        </w:tc>
        <w:tc>
          <w:tcPr>
            <w:tcW w:w="2006" w:type="dxa"/>
          </w:tcPr>
          <w:p>
            <w:pPr>
              <w:pStyle w:val="5"/>
              <w:spacing w:line="500" w:lineRule="exact"/>
              <w:ind w:firstLine="0"/>
              <w:rPr>
                <w:rFonts w:ascii="宋体" w:hAnsi="宋体" w:cs="宋体"/>
                <w:color w:val="auto"/>
                <w:sz w:val="24"/>
                <w:szCs w:val="24"/>
              </w:rPr>
            </w:pPr>
          </w:p>
        </w:tc>
        <w:tc>
          <w:tcPr>
            <w:tcW w:w="1950" w:type="dxa"/>
          </w:tcPr>
          <w:p>
            <w:pPr>
              <w:pStyle w:val="5"/>
              <w:spacing w:line="500" w:lineRule="exact"/>
              <w:ind w:firstLine="0"/>
              <w:rPr>
                <w:rFonts w:ascii="宋体" w:hAnsi="宋体" w:cs="宋体"/>
                <w:color w:val="auto"/>
                <w:sz w:val="24"/>
                <w:szCs w:val="24"/>
              </w:rPr>
            </w:pPr>
          </w:p>
        </w:tc>
        <w:tc>
          <w:tcPr>
            <w:tcW w:w="1513" w:type="dxa"/>
          </w:tcPr>
          <w:p>
            <w:pPr>
              <w:pStyle w:val="5"/>
              <w:spacing w:line="500" w:lineRule="exact"/>
              <w:ind w:firstLine="0"/>
              <w:rPr>
                <w:rFonts w:ascii="宋体" w:hAnsi="宋体" w:cs="宋体"/>
                <w:color w:val="auto"/>
                <w:sz w:val="24"/>
                <w:szCs w:val="24"/>
              </w:rPr>
            </w:pPr>
          </w:p>
        </w:tc>
        <w:tc>
          <w:tcPr>
            <w:tcW w:w="858" w:type="dxa"/>
          </w:tcPr>
          <w:p>
            <w:pPr>
              <w:pStyle w:val="5"/>
              <w:spacing w:line="500" w:lineRule="exact"/>
              <w:ind w:firstLine="0"/>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06" w:type="dxa"/>
          </w:tcPr>
          <w:p>
            <w:pPr>
              <w:pStyle w:val="5"/>
              <w:spacing w:line="500" w:lineRule="exact"/>
              <w:ind w:firstLine="0"/>
              <w:rPr>
                <w:rFonts w:ascii="宋体" w:hAnsi="宋体" w:cs="宋体"/>
                <w:color w:val="auto"/>
                <w:sz w:val="24"/>
                <w:szCs w:val="24"/>
              </w:rPr>
            </w:pPr>
          </w:p>
        </w:tc>
        <w:tc>
          <w:tcPr>
            <w:tcW w:w="1932" w:type="dxa"/>
          </w:tcPr>
          <w:p>
            <w:pPr>
              <w:pStyle w:val="5"/>
              <w:spacing w:line="500" w:lineRule="exact"/>
              <w:ind w:firstLine="0"/>
              <w:rPr>
                <w:rFonts w:ascii="宋体" w:hAnsi="宋体" w:cs="宋体"/>
                <w:color w:val="auto"/>
                <w:sz w:val="24"/>
                <w:szCs w:val="24"/>
              </w:rPr>
            </w:pPr>
          </w:p>
        </w:tc>
        <w:tc>
          <w:tcPr>
            <w:tcW w:w="2006" w:type="dxa"/>
          </w:tcPr>
          <w:p>
            <w:pPr>
              <w:pStyle w:val="5"/>
              <w:spacing w:line="500" w:lineRule="exact"/>
              <w:ind w:firstLine="0"/>
              <w:rPr>
                <w:rFonts w:ascii="宋体" w:hAnsi="宋体" w:cs="宋体"/>
                <w:color w:val="auto"/>
                <w:sz w:val="24"/>
                <w:szCs w:val="24"/>
              </w:rPr>
            </w:pPr>
          </w:p>
        </w:tc>
        <w:tc>
          <w:tcPr>
            <w:tcW w:w="1950" w:type="dxa"/>
          </w:tcPr>
          <w:p>
            <w:pPr>
              <w:pStyle w:val="5"/>
              <w:spacing w:line="500" w:lineRule="exact"/>
              <w:ind w:firstLine="0"/>
              <w:rPr>
                <w:rFonts w:ascii="宋体" w:hAnsi="宋体" w:cs="宋体"/>
                <w:color w:val="auto"/>
                <w:sz w:val="24"/>
                <w:szCs w:val="24"/>
              </w:rPr>
            </w:pPr>
          </w:p>
        </w:tc>
        <w:tc>
          <w:tcPr>
            <w:tcW w:w="1513" w:type="dxa"/>
          </w:tcPr>
          <w:p>
            <w:pPr>
              <w:pStyle w:val="5"/>
              <w:spacing w:line="500" w:lineRule="exact"/>
              <w:ind w:firstLine="0"/>
              <w:rPr>
                <w:rFonts w:ascii="宋体" w:hAnsi="宋体" w:cs="宋体"/>
                <w:color w:val="auto"/>
                <w:sz w:val="24"/>
                <w:szCs w:val="24"/>
              </w:rPr>
            </w:pPr>
          </w:p>
        </w:tc>
        <w:tc>
          <w:tcPr>
            <w:tcW w:w="858" w:type="dxa"/>
          </w:tcPr>
          <w:p>
            <w:pPr>
              <w:pStyle w:val="5"/>
              <w:spacing w:line="500" w:lineRule="exact"/>
              <w:ind w:firstLine="0"/>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54" w:hRule="atLeast"/>
          <w:jc w:val="center"/>
        </w:trPr>
        <w:tc>
          <w:tcPr>
            <w:tcW w:w="1106" w:type="dxa"/>
          </w:tcPr>
          <w:p>
            <w:pPr>
              <w:pStyle w:val="5"/>
              <w:spacing w:line="500" w:lineRule="exact"/>
              <w:ind w:firstLine="0"/>
              <w:rPr>
                <w:rFonts w:ascii="宋体" w:hAnsi="宋体" w:cs="宋体"/>
                <w:color w:val="auto"/>
                <w:sz w:val="24"/>
                <w:szCs w:val="24"/>
              </w:rPr>
            </w:pPr>
          </w:p>
        </w:tc>
        <w:tc>
          <w:tcPr>
            <w:tcW w:w="1932" w:type="dxa"/>
          </w:tcPr>
          <w:p>
            <w:pPr>
              <w:pStyle w:val="5"/>
              <w:spacing w:line="500" w:lineRule="exact"/>
              <w:ind w:firstLine="0"/>
              <w:rPr>
                <w:rFonts w:ascii="宋体" w:hAnsi="宋体" w:cs="宋体"/>
                <w:color w:val="auto"/>
                <w:sz w:val="24"/>
                <w:szCs w:val="24"/>
              </w:rPr>
            </w:pPr>
          </w:p>
        </w:tc>
        <w:tc>
          <w:tcPr>
            <w:tcW w:w="2006" w:type="dxa"/>
          </w:tcPr>
          <w:p>
            <w:pPr>
              <w:pStyle w:val="5"/>
              <w:spacing w:line="500" w:lineRule="exact"/>
              <w:ind w:firstLine="0"/>
              <w:rPr>
                <w:rFonts w:ascii="宋体" w:hAnsi="宋体" w:cs="宋体"/>
                <w:color w:val="auto"/>
                <w:sz w:val="24"/>
                <w:szCs w:val="24"/>
              </w:rPr>
            </w:pPr>
          </w:p>
        </w:tc>
        <w:tc>
          <w:tcPr>
            <w:tcW w:w="1950" w:type="dxa"/>
          </w:tcPr>
          <w:p>
            <w:pPr>
              <w:pStyle w:val="5"/>
              <w:spacing w:line="500" w:lineRule="exact"/>
              <w:ind w:firstLine="0"/>
              <w:rPr>
                <w:rFonts w:ascii="宋体" w:hAnsi="宋体" w:cs="宋体"/>
                <w:color w:val="auto"/>
                <w:sz w:val="24"/>
                <w:szCs w:val="24"/>
              </w:rPr>
            </w:pPr>
          </w:p>
        </w:tc>
        <w:tc>
          <w:tcPr>
            <w:tcW w:w="1513" w:type="dxa"/>
          </w:tcPr>
          <w:p>
            <w:pPr>
              <w:pStyle w:val="5"/>
              <w:spacing w:line="500" w:lineRule="exact"/>
              <w:ind w:firstLine="0"/>
              <w:rPr>
                <w:rFonts w:ascii="宋体" w:hAnsi="宋体" w:cs="宋体"/>
                <w:color w:val="auto"/>
                <w:sz w:val="24"/>
                <w:szCs w:val="24"/>
              </w:rPr>
            </w:pPr>
          </w:p>
        </w:tc>
        <w:tc>
          <w:tcPr>
            <w:tcW w:w="858" w:type="dxa"/>
          </w:tcPr>
          <w:p>
            <w:pPr>
              <w:pStyle w:val="5"/>
              <w:spacing w:line="500" w:lineRule="exact"/>
              <w:ind w:firstLine="0"/>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06" w:type="dxa"/>
          </w:tcPr>
          <w:p>
            <w:pPr>
              <w:pStyle w:val="5"/>
              <w:spacing w:line="500" w:lineRule="exact"/>
              <w:ind w:firstLine="0"/>
              <w:rPr>
                <w:rFonts w:ascii="宋体" w:hAnsi="宋体" w:cs="宋体"/>
                <w:color w:val="auto"/>
                <w:sz w:val="24"/>
                <w:szCs w:val="24"/>
              </w:rPr>
            </w:pPr>
          </w:p>
        </w:tc>
        <w:tc>
          <w:tcPr>
            <w:tcW w:w="1932" w:type="dxa"/>
          </w:tcPr>
          <w:p>
            <w:pPr>
              <w:pStyle w:val="5"/>
              <w:spacing w:line="500" w:lineRule="exact"/>
              <w:ind w:firstLine="0"/>
              <w:rPr>
                <w:rFonts w:ascii="宋体" w:hAnsi="宋体" w:cs="宋体"/>
                <w:color w:val="auto"/>
                <w:sz w:val="24"/>
                <w:szCs w:val="24"/>
              </w:rPr>
            </w:pPr>
          </w:p>
        </w:tc>
        <w:tc>
          <w:tcPr>
            <w:tcW w:w="2006" w:type="dxa"/>
          </w:tcPr>
          <w:p>
            <w:pPr>
              <w:pStyle w:val="5"/>
              <w:spacing w:line="500" w:lineRule="exact"/>
              <w:ind w:firstLine="0"/>
              <w:rPr>
                <w:rFonts w:ascii="宋体" w:hAnsi="宋体" w:cs="宋体"/>
                <w:color w:val="auto"/>
                <w:sz w:val="24"/>
                <w:szCs w:val="24"/>
              </w:rPr>
            </w:pPr>
          </w:p>
        </w:tc>
        <w:tc>
          <w:tcPr>
            <w:tcW w:w="1950" w:type="dxa"/>
          </w:tcPr>
          <w:p>
            <w:pPr>
              <w:pStyle w:val="5"/>
              <w:spacing w:line="500" w:lineRule="exact"/>
              <w:ind w:firstLine="0"/>
              <w:rPr>
                <w:rFonts w:ascii="宋体" w:hAnsi="宋体" w:cs="宋体"/>
                <w:color w:val="auto"/>
                <w:sz w:val="24"/>
                <w:szCs w:val="24"/>
              </w:rPr>
            </w:pPr>
          </w:p>
        </w:tc>
        <w:tc>
          <w:tcPr>
            <w:tcW w:w="1513" w:type="dxa"/>
          </w:tcPr>
          <w:p>
            <w:pPr>
              <w:pStyle w:val="5"/>
              <w:spacing w:line="500" w:lineRule="exact"/>
              <w:ind w:firstLine="0"/>
              <w:rPr>
                <w:rFonts w:ascii="宋体" w:hAnsi="宋体" w:cs="宋体"/>
                <w:color w:val="auto"/>
                <w:sz w:val="24"/>
                <w:szCs w:val="24"/>
              </w:rPr>
            </w:pPr>
          </w:p>
        </w:tc>
        <w:tc>
          <w:tcPr>
            <w:tcW w:w="858" w:type="dxa"/>
          </w:tcPr>
          <w:p>
            <w:pPr>
              <w:pStyle w:val="5"/>
              <w:spacing w:line="500" w:lineRule="exact"/>
              <w:ind w:firstLine="0"/>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06" w:type="dxa"/>
          </w:tcPr>
          <w:p>
            <w:pPr>
              <w:pStyle w:val="5"/>
              <w:spacing w:line="500" w:lineRule="exact"/>
              <w:ind w:firstLine="0"/>
              <w:rPr>
                <w:rFonts w:ascii="宋体" w:hAnsi="宋体" w:cs="宋体"/>
                <w:color w:val="auto"/>
                <w:sz w:val="24"/>
                <w:szCs w:val="24"/>
              </w:rPr>
            </w:pPr>
          </w:p>
        </w:tc>
        <w:tc>
          <w:tcPr>
            <w:tcW w:w="1932" w:type="dxa"/>
          </w:tcPr>
          <w:p>
            <w:pPr>
              <w:pStyle w:val="5"/>
              <w:spacing w:line="500" w:lineRule="exact"/>
              <w:ind w:firstLine="0"/>
              <w:rPr>
                <w:rFonts w:ascii="宋体" w:hAnsi="宋体" w:cs="宋体"/>
                <w:color w:val="auto"/>
                <w:sz w:val="24"/>
                <w:szCs w:val="24"/>
              </w:rPr>
            </w:pPr>
          </w:p>
        </w:tc>
        <w:tc>
          <w:tcPr>
            <w:tcW w:w="2006" w:type="dxa"/>
          </w:tcPr>
          <w:p>
            <w:pPr>
              <w:pStyle w:val="5"/>
              <w:spacing w:line="500" w:lineRule="exact"/>
              <w:ind w:firstLine="0"/>
              <w:rPr>
                <w:rFonts w:ascii="宋体" w:hAnsi="宋体" w:cs="宋体"/>
                <w:color w:val="auto"/>
                <w:sz w:val="24"/>
                <w:szCs w:val="24"/>
              </w:rPr>
            </w:pPr>
          </w:p>
        </w:tc>
        <w:tc>
          <w:tcPr>
            <w:tcW w:w="1950" w:type="dxa"/>
          </w:tcPr>
          <w:p>
            <w:pPr>
              <w:pStyle w:val="5"/>
              <w:spacing w:line="500" w:lineRule="exact"/>
              <w:ind w:firstLine="0"/>
              <w:rPr>
                <w:rFonts w:ascii="宋体" w:hAnsi="宋体" w:cs="宋体"/>
                <w:color w:val="auto"/>
                <w:sz w:val="24"/>
                <w:szCs w:val="24"/>
              </w:rPr>
            </w:pPr>
          </w:p>
        </w:tc>
        <w:tc>
          <w:tcPr>
            <w:tcW w:w="1513" w:type="dxa"/>
          </w:tcPr>
          <w:p>
            <w:pPr>
              <w:pStyle w:val="5"/>
              <w:spacing w:line="500" w:lineRule="exact"/>
              <w:ind w:firstLine="0"/>
              <w:rPr>
                <w:rFonts w:ascii="宋体" w:hAnsi="宋体" w:cs="宋体"/>
                <w:color w:val="auto"/>
                <w:sz w:val="24"/>
                <w:szCs w:val="24"/>
              </w:rPr>
            </w:pPr>
          </w:p>
        </w:tc>
        <w:tc>
          <w:tcPr>
            <w:tcW w:w="858" w:type="dxa"/>
          </w:tcPr>
          <w:p>
            <w:pPr>
              <w:pStyle w:val="5"/>
              <w:spacing w:line="500" w:lineRule="exact"/>
              <w:ind w:firstLine="0"/>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06" w:type="dxa"/>
          </w:tcPr>
          <w:p>
            <w:pPr>
              <w:pStyle w:val="5"/>
              <w:spacing w:line="500" w:lineRule="exact"/>
              <w:ind w:firstLine="0"/>
              <w:rPr>
                <w:rFonts w:ascii="宋体" w:hAnsi="宋体" w:cs="宋体"/>
                <w:color w:val="auto"/>
                <w:sz w:val="24"/>
                <w:szCs w:val="24"/>
              </w:rPr>
            </w:pPr>
          </w:p>
        </w:tc>
        <w:tc>
          <w:tcPr>
            <w:tcW w:w="1932" w:type="dxa"/>
          </w:tcPr>
          <w:p>
            <w:pPr>
              <w:pStyle w:val="5"/>
              <w:spacing w:line="500" w:lineRule="exact"/>
              <w:ind w:firstLine="0"/>
              <w:rPr>
                <w:rFonts w:ascii="宋体" w:hAnsi="宋体" w:cs="宋体"/>
                <w:color w:val="auto"/>
                <w:sz w:val="24"/>
                <w:szCs w:val="24"/>
              </w:rPr>
            </w:pPr>
          </w:p>
        </w:tc>
        <w:tc>
          <w:tcPr>
            <w:tcW w:w="2006" w:type="dxa"/>
          </w:tcPr>
          <w:p>
            <w:pPr>
              <w:pStyle w:val="5"/>
              <w:spacing w:line="500" w:lineRule="exact"/>
              <w:ind w:firstLine="0"/>
              <w:rPr>
                <w:rFonts w:ascii="宋体" w:hAnsi="宋体" w:cs="宋体"/>
                <w:color w:val="auto"/>
                <w:sz w:val="24"/>
                <w:szCs w:val="24"/>
              </w:rPr>
            </w:pPr>
          </w:p>
        </w:tc>
        <w:tc>
          <w:tcPr>
            <w:tcW w:w="1950" w:type="dxa"/>
          </w:tcPr>
          <w:p>
            <w:pPr>
              <w:pStyle w:val="5"/>
              <w:spacing w:line="500" w:lineRule="exact"/>
              <w:ind w:firstLine="0"/>
              <w:rPr>
                <w:rFonts w:ascii="宋体" w:hAnsi="宋体" w:cs="宋体"/>
                <w:color w:val="auto"/>
                <w:sz w:val="24"/>
                <w:szCs w:val="24"/>
              </w:rPr>
            </w:pPr>
          </w:p>
        </w:tc>
        <w:tc>
          <w:tcPr>
            <w:tcW w:w="1513" w:type="dxa"/>
          </w:tcPr>
          <w:p>
            <w:pPr>
              <w:pStyle w:val="5"/>
              <w:spacing w:line="500" w:lineRule="exact"/>
              <w:ind w:firstLine="0"/>
              <w:rPr>
                <w:rFonts w:ascii="宋体" w:hAnsi="宋体" w:cs="宋体"/>
                <w:color w:val="auto"/>
                <w:sz w:val="24"/>
                <w:szCs w:val="24"/>
              </w:rPr>
            </w:pPr>
          </w:p>
        </w:tc>
        <w:tc>
          <w:tcPr>
            <w:tcW w:w="858" w:type="dxa"/>
          </w:tcPr>
          <w:p>
            <w:pPr>
              <w:pStyle w:val="5"/>
              <w:spacing w:line="500" w:lineRule="exact"/>
              <w:ind w:firstLine="0"/>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06" w:type="dxa"/>
          </w:tcPr>
          <w:p>
            <w:pPr>
              <w:pStyle w:val="5"/>
              <w:spacing w:line="500" w:lineRule="exact"/>
              <w:ind w:firstLine="0"/>
              <w:rPr>
                <w:rFonts w:ascii="宋体" w:hAnsi="宋体" w:cs="宋体"/>
                <w:color w:val="auto"/>
                <w:sz w:val="24"/>
                <w:szCs w:val="24"/>
              </w:rPr>
            </w:pPr>
          </w:p>
        </w:tc>
        <w:tc>
          <w:tcPr>
            <w:tcW w:w="1932" w:type="dxa"/>
          </w:tcPr>
          <w:p>
            <w:pPr>
              <w:pStyle w:val="5"/>
              <w:spacing w:line="500" w:lineRule="exact"/>
              <w:ind w:firstLine="0"/>
              <w:rPr>
                <w:rFonts w:ascii="宋体" w:hAnsi="宋体" w:cs="宋体"/>
                <w:color w:val="auto"/>
                <w:sz w:val="24"/>
                <w:szCs w:val="24"/>
              </w:rPr>
            </w:pPr>
          </w:p>
        </w:tc>
        <w:tc>
          <w:tcPr>
            <w:tcW w:w="2006" w:type="dxa"/>
          </w:tcPr>
          <w:p>
            <w:pPr>
              <w:pStyle w:val="5"/>
              <w:spacing w:line="500" w:lineRule="exact"/>
              <w:ind w:firstLine="0"/>
              <w:rPr>
                <w:rFonts w:ascii="宋体" w:hAnsi="宋体" w:cs="宋体"/>
                <w:color w:val="auto"/>
                <w:sz w:val="24"/>
                <w:szCs w:val="24"/>
              </w:rPr>
            </w:pPr>
          </w:p>
        </w:tc>
        <w:tc>
          <w:tcPr>
            <w:tcW w:w="1950" w:type="dxa"/>
          </w:tcPr>
          <w:p>
            <w:pPr>
              <w:pStyle w:val="5"/>
              <w:spacing w:line="500" w:lineRule="exact"/>
              <w:ind w:firstLine="0"/>
              <w:rPr>
                <w:rFonts w:ascii="宋体" w:hAnsi="宋体" w:cs="宋体"/>
                <w:color w:val="auto"/>
                <w:sz w:val="24"/>
                <w:szCs w:val="24"/>
              </w:rPr>
            </w:pPr>
          </w:p>
        </w:tc>
        <w:tc>
          <w:tcPr>
            <w:tcW w:w="1513" w:type="dxa"/>
          </w:tcPr>
          <w:p>
            <w:pPr>
              <w:pStyle w:val="5"/>
              <w:spacing w:line="500" w:lineRule="exact"/>
              <w:ind w:firstLine="0"/>
              <w:rPr>
                <w:rFonts w:ascii="宋体" w:hAnsi="宋体" w:cs="宋体"/>
                <w:color w:val="auto"/>
                <w:sz w:val="24"/>
                <w:szCs w:val="24"/>
              </w:rPr>
            </w:pPr>
          </w:p>
        </w:tc>
        <w:tc>
          <w:tcPr>
            <w:tcW w:w="858" w:type="dxa"/>
          </w:tcPr>
          <w:p>
            <w:pPr>
              <w:pStyle w:val="5"/>
              <w:spacing w:line="500" w:lineRule="exact"/>
              <w:ind w:firstLine="0"/>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54" w:hRule="atLeast"/>
          <w:jc w:val="center"/>
        </w:trPr>
        <w:tc>
          <w:tcPr>
            <w:tcW w:w="1106" w:type="dxa"/>
          </w:tcPr>
          <w:p>
            <w:pPr>
              <w:pStyle w:val="5"/>
              <w:spacing w:line="500" w:lineRule="exact"/>
              <w:ind w:firstLine="0"/>
              <w:rPr>
                <w:rFonts w:ascii="宋体" w:hAnsi="宋体" w:cs="宋体"/>
                <w:color w:val="auto"/>
                <w:sz w:val="24"/>
                <w:szCs w:val="24"/>
              </w:rPr>
            </w:pPr>
          </w:p>
        </w:tc>
        <w:tc>
          <w:tcPr>
            <w:tcW w:w="1932" w:type="dxa"/>
          </w:tcPr>
          <w:p>
            <w:pPr>
              <w:pStyle w:val="5"/>
              <w:spacing w:line="500" w:lineRule="exact"/>
              <w:ind w:firstLine="0"/>
              <w:rPr>
                <w:rFonts w:ascii="宋体" w:hAnsi="宋体" w:cs="宋体"/>
                <w:color w:val="auto"/>
                <w:sz w:val="24"/>
                <w:szCs w:val="24"/>
              </w:rPr>
            </w:pPr>
          </w:p>
        </w:tc>
        <w:tc>
          <w:tcPr>
            <w:tcW w:w="2006" w:type="dxa"/>
          </w:tcPr>
          <w:p>
            <w:pPr>
              <w:pStyle w:val="5"/>
              <w:spacing w:line="500" w:lineRule="exact"/>
              <w:ind w:firstLine="0"/>
              <w:rPr>
                <w:rFonts w:ascii="宋体" w:hAnsi="宋体" w:cs="宋体"/>
                <w:color w:val="auto"/>
                <w:sz w:val="24"/>
                <w:szCs w:val="24"/>
              </w:rPr>
            </w:pPr>
          </w:p>
        </w:tc>
        <w:tc>
          <w:tcPr>
            <w:tcW w:w="1950" w:type="dxa"/>
          </w:tcPr>
          <w:p>
            <w:pPr>
              <w:pStyle w:val="5"/>
              <w:spacing w:line="500" w:lineRule="exact"/>
              <w:ind w:firstLine="0"/>
              <w:rPr>
                <w:rFonts w:ascii="宋体" w:hAnsi="宋体" w:cs="宋体"/>
                <w:color w:val="auto"/>
                <w:sz w:val="24"/>
                <w:szCs w:val="24"/>
              </w:rPr>
            </w:pPr>
          </w:p>
        </w:tc>
        <w:tc>
          <w:tcPr>
            <w:tcW w:w="1513" w:type="dxa"/>
          </w:tcPr>
          <w:p>
            <w:pPr>
              <w:pStyle w:val="5"/>
              <w:spacing w:line="500" w:lineRule="exact"/>
              <w:ind w:firstLine="0"/>
              <w:rPr>
                <w:rFonts w:ascii="宋体" w:hAnsi="宋体" w:cs="宋体"/>
                <w:color w:val="auto"/>
                <w:sz w:val="24"/>
                <w:szCs w:val="24"/>
              </w:rPr>
            </w:pPr>
          </w:p>
        </w:tc>
        <w:tc>
          <w:tcPr>
            <w:tcW w:w="858" w:type="dxa"/>
          </w:tcPr>
          <w:p>
            <w:pPr>
              <w:pStyle w:val="5"/>
              <w:spacing w:line="500" w:lineRule="exact"/>
              <w:ind w:firstLine="0"/>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06" w:type="dxa"/>
          </w:tcPr>
          <w:p>
            <w:pPr>
              <w:pStyle w:val="5"/>
              <w:spacing w:line="500" w:lineRule="exact"/>
              <w:ind w:firstLine="0"/>
              <w:rPr>
                <w:rFonts w:ascii="宋体" w:hAnsi="宋体" w:cs="宋体"/>
                <w:color w:val="auto"/>
                <w:sz w:val="24"/>
                <w:szCs w:val="24"/>
              </w:rPr>
            </w:pPr>
          </w:p>
        </w:tc>
        <w:tc>
          <w:tcPr>
            <w:tcW w:w="1932" w:type="dxa"/>
          </w:tcPr>
          <w:p>
            <w:pPr>
              <w:pStyle w:val="5"/>
              <w:spacing w:line="500" w:lineRule="exact"/>
              <w:ind w:firstLine="0"/>
              <w:rPr>
                <w:rFonts w:ascii="宋体" w:hAnsi="宋体" w:cs="宋体"/>
                <w:color w:val="auto"/>
                <w:sz w:val="24"/>
                <w:szCs w:val="24"/>
              </w:rPr>
            </w:pPr>
          </w:p>
        </w:tc>
        <w:tc>
          <w:tcPr>
            <w:tcW w:w="2006" w:type="dxa"/>
          </w:tcPr>
          <w:p>
            <w:pPr>
              <w:pStyle w:val="5"/>
              <w:spacing w:line="500" w:lineRule="exact"/>
              <w:ind w:firstLine="0"/>
              <w:rPr>
                <w:rFonts w:ascii="宋体" w:hAnsi="宋体" w:cs="宋体"/>
                <w:color w:val="auto"/>
                <w:sz w:val="24"/>
                <w:szCs w:val="24"/>
              </w:rPr>
            </w:pPr>
          </w:p>
        </w:tc>
        <w:tc>
          <w:tcPr>
            <w:tcW w:w="1950" w:type="dxa"/>
          </w:tcPr>
          <w:p>
            <w:pPr>
              <w:pStyle w:val="5"/>
              <w:spacing w:line="500" w:lineRule="exact"/>
              <w:ind w:firstLine="0"/>
              <w:rPr>
                <w:rFonts w:ascii="宋体" w:hAnsi="宋体" w:cs="宋体"/>
                <w:color w:val="auto"/>
                <w:sz w:val="24"/>
                <w:szCs w:val="24"/>
              </w:rPr>
            </w:pPr>
          </w:p>
        </w:tc>
        <w:tc>
          <w:tcPr>
            <w:tcW w:w="1513" w:type="dxa"/>
          </w:tcPr>
          <w:p>
            <w:pPr>
              <w:pStyle w:val="5"/>
              <w:spacing w:line="500" w:lineRule="exact"/>
              <w:ind w:firstLine="0"/>
              <w:rPr>
                <w:rFonts w:ascii="宋体" w:hAnsi="宋体" w:cs="宋体"/>
                <w:color w:val="auto"/>
                <w:sz w:val="24"/>
                <w:szCs w:val="24"/>
              </w:rPr>
            </w:pPr>
          </w:p>
        </w:tc>
        <w:tc>
          <w:tcPr>
            <w:tcW w:w="858" w:type="dxa"/>
          </w:tcPr>
          <w:p>
            <w:pPr>
              <w:pStyle w:val="5"/>
              <w:spacing w:line="500" w:lineRule="exact"/>
              <w:ind w:firstLine="0"/>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54" w:hRule="atLeast"/>
          <w:jc w:val="center"/>
        </w:trPr>
        <w:tc>
          <w:tcPr>
            <w:tcW w:w="1106" w:type="dxa"/>
          </w:tcPr>
          <w:p>
            <w:pPr>
              <w:pStyle w:val="5"/>
              <w:spacing w:line="500" w:lineRule="exact"/>
              <w:ind w:firstLine="0"/>
              <w:rPr>
                <w:rFonts w:ascii="宋体" w:hAnsi="宋体" w:cs="宋体"/>
                <w:color w:val="auto"/>
                <w:sz w:val="24"/>
                <w:szCs w:val="24"/>
              </w:rPr>
            </w:pPr>
          </w:p>
        </w:tc>
        <w:tc>
          <w:tcPr>
            <w:tcW w:w="1932" w:type="dxa"/>
          </w:tcPr>
          <w:p>
            <w:pPr>
              <w:pStyle w:val="5"/>
              <w:spacing w:line="500" w:lineRule="exact"/>
              <w:ind w:firstLine="0"/>
              <w:rPr>
                <w:rFonts w:ascii="宋体" w:hAnsi="宋体" w:cs="宋体"/>
                <w:color w:val="auto"/>
                <w:sz w:val="24"/>
                <w:szCs w:val="24"/>
              </w:rPr>
            </w:pPr>
          </w:p>
        </w:tc>
        <w:tc>
          <w:tcPr>
            <w:tcW w:w="2006" w:type="dxa"/>
          </w:tcPr>
          <w:p>
            <w:pPr>
              <w:pStyle w:val="5"/>
              <w:spacing w:line="500" w:lineRule="exact"/>
              <w:ind w:firstLine="0"/>
              <w:rPr>
                <w:rFonts w:ascii="宋体" w:hAnsi="宋体" w:cs="宋体"/>
                <w:color w:val="auto"/>
                <w:sz w:val="24"/>
                <w:szCs w:val="24"/>
              </w:rPr>
            </w:pPr>
          </w:p>
        </w:tc>
        <w:tc>
          <w:tcPr>
            <w:tcW w:w="1950" w:type="dxa"/>
          </w:tcPr>
          <w:p>
            <w:pPr>
              <w:pStyle w:val="5"/>
              <w:spacing w:line="500" w:lineRule="exact"/>
              <w:ind w:firstLine="0"/>
              <w:rPr>
                <w:rFonts w:ascii="宋体" w:hAnsi="宋体" w:cs="宋体"/>
                <w:color w:val="auto"/>
                <w:sz w:val="24"/>
                <w:szCs w:val="24"/>
              </w:rPr>
            </w:pPr>
          </w:p>
        </w:tc>
        <w:tc>
          <w:tcPr>
            <w:tcW w:w="1513" w:type="dxa"/>
          </w:tcPr>
          <w:p>
            <w:pPr>
              <w:pStyle w:val="5"/>
              <w:spacing w:line="500" w:lineRule="exact"/>
              <w:ind w:firstLine="0"/>
              <w:rPr>
                <w:rFonts w:ascii="宋体" w:hAnsi="宋体" w:cs="宋体"/>
                <w:color w:val="auto"/>
                <w:sz w:val="24"/>
                <w:szCs w:val="24"/>
              </w:rPr>
            </w:pPr>
          </w:p>
        </w:tc>
        <w:tc>
          <w:tcPr>
            <w:tcW w:w="858" w:type="dxa"/>
          </w:tcPr>
          <w:p>
            <w:pPr>
              <w:pStyle w:val="5"/>
              <w:spacing w:line="500" w:lineRule="exact"/>
              <w:ind w:firstLine="0"/>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06" w:type="dxa"/>
          </w:tcPr>
          <w:p>
            <w:pPr>
              <w:pStyle w:val="5"/>
              <w:spacing w:line="500" w:lineRule="exact"/>
              <w:ind w:firstLine="0"/>
              <w:rPr>
                <w:rFonts w:ascii="宋体" w:hAnsi="宋体" w:cs="宋体"/>
                <w:color w:val="auto"/>
                <w:sz w:val="24"/>
                <w:szCs w:val="24"/>
              </w:rPr>
            </w:pPr>
          </w:p>
        </w:tc>
        <w:tc>
          <w:tcPr>
            <w:tcW w:w="1932" w:type="dxa"/>
          </w:tcPr>
          <w:p>
            <w:pPr>
              <w:pStyle w:val="5"/>
              <w:spacing w:line="500" w:lineRule="exact"/>
              <w:ind w:firstLine="0"/>
              <w:rPr>
                <w:rFonts w:ascii="宋体" w:hAnsi="宋体" w:cs="宋体"/>
                <w:color w:val="auto"/>
                <w:sz w:val="24"/>
                <w:szCs w:val="24"/>
              </w:rPr>
            </w:pPr>
          </w:p>
        </w:tc>
        <w:tc>
          <w:tcPr>
            <w:tcW w:w="2006" w:type="dxa"/>
          </w:tcPr>
          <w:p>
            <w:pPr>
              <w:pStyle w:val="5"/>
              <w:spacing w:line="500" w:lineRule="exact"/>
              <w:ind w:firstLine="0"/>
              <w:rPr>
                <w:rFonts w:ascii="宋体" w:hAnsi="宋体" w:cs="宋体"/>
                <w:color w:val="auto"/>
                <w:sz w:val="24"/>
                <w:szCs w:val="24"/>
              </w:rPr>
            </w:pPr>
          </w:p>
        </w:tc>
        <w:tc>
          <w:tcPr>
            <w:tcW w:w="1950" w:type="dxa"/>
          </w:tcPr>
          <w:p>
            <w:pPr>
              <w:pStyle w:val="5"/>
              <w:spacing w:line="500" w:lineRule="exact"/>
              <w:ind w:firstLine="0"/>
              <w:rPr>
                <w:rFonts w:ascii="宋体" w:hAnsi="宋体" w:cs="宋体"/>
                <w:color w:val="auto"/>
                <w:sz w:val="24"/>
                <w:szCs w:val="24"/>
              </w:rPr>
            </w:pPr>
          </w:p>
        </w:tc>
        <w:tc>
          <w:tcPr>
            <w:tcW w:w="1513" w:type="dxa"/>
          </w:tcPr>
          <w:p>
            <w:pPr>
              <w:pStyle w:val="5"/>
              <w:spacing w:line="500" w:lineRule="exact"/>
              <w:ind w:firstLine="0"/>
              <w:rPr>
                <w:rFonts w:ascii="宋体" w:hAnsi="宋体" w:cs="宋体"/>
                <w:color w:val="auto"/>
                <w:sz w:val="24"/>
                <w:szCs w:val="24"/>
              </w:rPr>
            </w:pPr>
          </w:p>
        </w:tc>
        <w:tc>
          <w:tcPr>
            <w:tcW w:w="858" w:type="dxa"/>
          </w:tcPr>
          <w:p>
            <w:pPr>
              <w:pStyle w:val="5"/>
              <w:spacing w:line="500" w:lineRule="exact"/>
              <w:ind w:firstLine="0"/>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106" w:type="dxa"/>
          </w:tcPr>
          <w:p>
            <w:pPr>
              <w:pStyle w:val="5"/>
              <w:spacing w:line="500" w:lineRule="exact"/>
              <w:ind w:firstLine="0"/>
              <w:rPr>
                <w:rFonts w:ascii="宋体" w:hAnsi="宋体" w:cs="宋体"/>
                <w:color w:val="auto"/>
                <w:sz w:val="24"/>
                <w:szCs w:val="24"/>
              </w:rPr>
            </w:pPr>
          </w:p>
        </w:tc>
        <w:tc>
          <w:tcPr>
            <w:tcW w:w="1932" w:type="dxa"/>
          </w:tcPr>
          <w:p>
            <w:pPr>
              <w:pStyle w:val="5"/>
              <w:spacing w:line="500" w:lineRule="exact"/>
              <w:ind w:firstLine="0"/>
              <w:rPr>
                <w:rFonts w:ascii="宋体" w:hAnsi="宋体" w:cs="宋体"/>
                <w:color w:val="auto"/>
                <w:sz w:val="24"/>
                <w:szCs w:val="24"/>
              </w:rPr>
            </w:pPr>
          </w:p>
        </w:tc>
        <w:tc>
          <w:tcPr>
            <w:tcW w:w="2006" w:type="dxa"/>
          </w:tcPr>
          <w:p>
            <w:pPr>
              <w:pStyle w:val="5"/>
              <w:spacing w:line="500" w:lineRule="exact"/>
              <w:ind w:firstLine="0"/>
              <w:rPr>
                <w:rFonts w:ascii="宋体" w:hAnsi="宋体" w:cs="宋体"/>
                <w:color w:val="auto"/>
                <w:sz w:val="24"/>
                <w:szCs w:val="24"/>
              </w:rPr>
            </w:pPr>
          </w:p>
        </w:tc>
        <w:tc>
          <w:tcPr>
            <w:tcW w:w="1950" w:type="dxa"/>
          </w:tcPr>
          <w:p>
            <w:pPr>
              <w:pStyle w:val="5"/>
              <w:spacing w:line="500" w:lineRule="exact"/>
              <w:ind w:firstLine="0"/>
              <w:rPr>
                <w:rFonts w:ascii="宋体" w:hAnsi="宋体" w:cs="宋体"/>
                <w:color w:val="auto"/>
                <w:sz w:val="24"/>
                <w:szCs w:val="24"/>
              </w:rPr>
            </w:pPr>
          </w:p>
        </w:tc>
        <w:tc>
          <w:tcPr>
            <w:tcW w:w="1513" w:type="dxa"/>
          </w:tcPr>
          <w:p>
            <w:pPr>
              <w:pStyle w:val="5"/>
              <w:spacing w:line="500" w:lineRule="exact"/>
              <w:ind w:firstLine="0"/>
              <w:rPr>
                <w:rFonts w:ascii="宋体" w:hAnsi="宋体" w:cs="宋体"/>
                <w:color w:val="auto"/>
                <w:sz w:val="24"/>
                <w:szCs w:val="24"/>
              </w:rPr>
            </w:pPr>
          </w:p>
        </w:tc>
        <w:tc>
          <w:tcPr>
            <w:tcW w:w="858" w:type="dxa"/>
          </w:tcPr>
          <w:p>
            <w:pPr>
              <w:pStyle w:val="5"/>
              <w:spacing w:line="500" w:lineRule="exact"/>
              <w:ind w:firstLine="0"/>
              <w:rPr>
                <w:rFonts w:ascii="宋体" w:hAnsi="宋体" w:cs="宋体"/>
                <w:color w:val="auto"/>
                <w:sz w:val="24"/>
                <w:szCs w:val="24"/>
              </w:rPr>
            </w:pPr>
          </w:p>
        </w:tc>
      </w:tr>
    </w:tbl>
    <w:p>
      <w:pPr>
        <w:pStyle w:val="5"/>
        <w:spacing w:line="500" w:lineRule="exact"/>
        <w:rPr>
          <w:rFonts w:ascii="宋体" w:hAnsi="宋体" w:cs="宋体"/>
          <w:color w:val="auto"/>
        </w:rPr>
      </w:pPr>
    </w:p>
    <w:p>
      <w:pPr>
        <w:tabs>
          <w:tab w:val="left" w:pos="555"/>
          <w:tab w:val="left" w:pos="2214"/>
          <w:tab w:val="left" w:pos="3774"/>
          <w:tab w:val="left" w:pos="4854"/>
          <w:tab w:val="left" w:pos="5934"/>
          <w:tab w:val="left" w:pos="7014"/>
          <w:tab w:val="left" w:pos="8214"/>
          <w:tab w:val="left" w:pos="10134"/>
          <w:tab w:val="left" w:pos="11124"/>
        </w:tabs>
        <w:spacing w:line="500" w:lineRule="exact"/>
        <w:ind w:left="440" w:hanging="440" w:hangingChars="200"/>
        <w:rPr>
          <w:rFonts w:ascii="宋体" w:hAnsi="宋体" w:cs="宋体"/>
          <w:color w:val="auto"/>
          <w:sz w:val="22"/>
          <w:szCs w:val="18"/>
        </w:rPr>
      </w:pPr>
      <w:r>
        <w:rPr>
          <w:rFonts w:hint="eastAsia" w:ascii="宋体" w:hAnsi="宋体" w:cs="宋体"/>
          <w:color w:val="auto"/>
          <w:sz w:val="22"/>
          <w:szCs w:val="18"/>
        </w:rPr>
        <w:t>注：1、“合同金额”需提供合同复印件。</w:t>
      </w:r>
    </w:p>
    <w:p>
      <w:pPr>
        <w:tabs>
          <w:tab w:val="left" w:pos="555"/>
          <w:tab w:val="left" w:pos="2214"/>
          <w:tab w:val="left" w:pos="3774"/>
          <w:tab w:val="left" w:pos="4854"/>
          <w:tab w:val="left" w:pos="5934"/>
          <w:tab w:val="left" w:pos="7014"/>
          <w:tab w:val="left" w:pos="8214"/>
          <w:tab w:val="left" w:pos="10134"/>
          <w:tab w:val="left" w:pos="11124"/>
        </w:tabs>
        <w:spacing w:line="500" w:lineRule="exact"/>
        <w:rPr>
          <w:rFonts w:ascii="宋体" w:hAnsi="宋体" w:cs="宋体"/>
          <w:color w:val="auto"/>
          <w:sz w:val="22"/>
          <w:szCs w:val="18"/>
        </w:rPr>
      </w:pPr>
      <w:r>
        <w:rPr>
          <w:rFonts w:hint="eastAsia" w:ascii="宋体" w:hAnsi="宋体" w:cs="宋体"/>
          <w:color w:val="auto"/>
          <w:sz w:val="22"/>
          <w:szCs w:val="18"/>
        </w:rPr>
        <w:t xml:space="preserve">    2、供应商应如实列出以上情况，如有隐瞒，一经查实将导致其磋商申请被拒绝。</w:t>
      </w:r>
    </w:p>
    <w:p>
      <w:pPr>
        <w:spacing w:line="500" w:lineRule="exact"/>
        <w:ind w:left="360"/>
        <w:jc w:val="center"/>
        <w:rPr>
          <w:rFonts w:ascii="宋体" w:hAnsi="宋体" w:cs="宋体"/>
          <w:color w:val="auto"/>
          <w:sz w:val="24"/>
        </w:rPr>
      </w:pPr>
    </w:p>
    <w:p>
      <w:pPr>
        <w:spacing w:line="500" w:lineRule="exact"/>
        <w:ind w:left="360"/>
        <w:jc w:val="center"/>
        <w:rPr>
          <w:rFonts w:ascii="宋体" w:hAnsi="宋体" w:cs="宋体"/>
          <w:color w:val="auto"/>
          <w:sz w:val="24"/>
        </w:rPr>
      </w:pPr>
    </w:p>
    <w:p>
      <w:pPr>
        <w:adjustRightInd w:val="0"/>
        <w:spacing w:line="500" w:lineRule="exact"/>
        <w:jc w:val="left"/>
        <w:rPr>
          <w:rFonts w:ascii="宋体" w:hAnsi="宋体" w:cs="宋体"/>
          <w:color w:val="auto"/>
          <w:sz w:val="24"/>
        </w:rPr>
      </w:pPr>
      <w:r>
        <w:rPr>
          <w:rFonts w:hint="eastAsia" w:ascii="宋体" w:hAnsi="宋体" w:cs="宋体"/>
          <w:color w:val="auto"/>
          <w:sz w:val="24"/>
        </w:rPr>
        <w:t>供应商名称：         （盖章）</w:t>
      </w:r>
    </w:p>
    <w:p>
      <w:pPr>
        <w:autoSpaceDE w:val="0"/>
        <w:autoSpaceDN w:val="0"/>
        <w:adjustRightInd w:val="0"/>
        <w:spacing w:line="500" w:lineRule="exact"/>
        <w:rPr>
          <w:rFonts w:ascii="宋体" w:hAnsi="宋体" w:cs="宋体"/>
          <w:b/>
          <w:bCs/>
          <w:color w:val="auto"/>
          <w:sz w:val="28"/>
          <w:szCs w:val="28"/>
          <w:lang w:val="zh-CN"/>
        </w:rPr>
      </w:pPr>
      <w:r>
        <w:rPr>
          <w:rFonts w:hint="eastAsia" w:ascii="宋体" w:hAnsi="宋体" w:cs="宋体"/>
          <w:color w:val="auto"/>
          <w:sz w:val="24"/>
        </w:rPr>
        <w:t>法定代表人或授权代表（签名或盖章）</w:t>
      </w:r>
      <w:r>
        <w:rPr>
          <w:rFonts w:hint="eastAsia" w:ascii="宋体" w:hAnsi="宋体" w:cs="宋体"/>
          <w:bCs/>
          <w:color w:val="auto"/>
          <w:sz w:val="24"/>
        </w:rPr>
        <w:t xml:space="preserve">：               日期: </w:t>
      </w:r>
    </w:p>
    <w:p>
      <w:pPr>
        <w:pStyle w:val="4"/>
        <w:numPr>
          <w:ilvl w:val="0"/>
          <w:numId w:val="0"/>
        </w:numPr>
        <w:spacing w:line="500" w:lineRule="exact"/>
        <w:jc w:val="center"/>
        <w:rPr>
          <w:rFonts w:ascii="宋体" w:hAnsi="宋体" w:eastAsia="宋体" w:cs="宋体"/>
          <w:b/>
          <w:bCs/>
          <w:color w:val="auto"/>
          <w:szCs w:val="28"/>
          <w:lang w:val="zh-CN"/>
        </w:rPr>
      </w:pPr>
      <w:r>
        <w:rPr>
          <w:rFonts w:hint="eastAsia" w:ascii="宋体" w:hAnsi="宋体" w:eastAsia="宋体" w:cs="宋体"/>
          <w:b/>
          <w:bCs/>
          <w:color w:val="auto"/>
          <w:szCs w:val="28"/>
          <w:lang w:val="en-US" w:eastAsia="zh-CN"/>
        </w:rPr>
        <w:t xml:space="preserve">第六部分 </w:t>
      </w:r>
      <w:r>
        <w:rPr>
          <w:rFonts w:hint="eastAsia" w:ascii="宋体" w:hAnsi="宋体" w:eastAsia="宋体" w:cs="宋体"/>
          <w:b/>
          <w:bCs/>
          <w:color w:val="auto"/>
          <w:szCs w:val="28"/>
          <w:lang w:val="zh-CN"/>
        </w:rPr>
        <w:t>供应商</w:t>
      </w:r>
      <w:r>
        <w:rPr>
          <w:rFonts w:hint="eastAsia" w:ascii="宋体" w:hAnsi="宋体" w:eastAsia="宋体" w:cs="宋体"/>
          <w:b/>
          <w:bCs/>
          <w:color w:val="auto"/>
          <w:szCs w:val="28"/>
        </w:rPr>
        <w:t>承诺书</w:t>
      </w:r>
    </w:p>
    <w:p>
      <w:pPr>
        <w:autoSpaceDE w:val="0"/>
        <w:autoSpaceDN w:val="0"/>
        <w:adjustRightInd w:val="0"/>
        <w:spacing w:line="500" w:lineRule="exact"/>
        <w:jc w:val="center"/>
        <w:rPr>
          <w:rFonts w:ascii="宋体" w:hAnsi="宋体" w:cs="宋体"/>
          <w:b/>
          <w:bCs/>
          <w:color w:val="auto"/>
          <w:sz w:val="24"/>
          <w:szCs w:val="24"/>
          <w:lang w:val="zh-CN"/>
        </w:rPr>
      </w:pPr>
      <w:r>
        <w:rPr>
          <w:rFonts w:hint="eastAsia" w:ascii="宋体" w:hAnsi="宋体" w:cs="宋体"/>
          <w:b/>
          <w:bCs/>
          <w:color w:val="auto"/>
          <w:sz w:val="24"/>
          <w:szCs w:val="24"/>
          <w:lang w:val="en-US" w:eastAsia="zh-CN"/>
        </w:rPr>
        <w:t>6</w:t>
      </w:r>
      <w:r>
        <w:rPr>
          <w:rFonts w:hint="eastAsia" w:ascii="宋体" w:hAnsi="宋体" w:cs="宋体"/>
          <w:b/>
          <w:bCs/>
          <w:color w:val="auto"/>
          <w:sz w:val="24"/>
          <w:szCs w:val="24"/>
        </w:rPr>
        <w:t xml:space="preserve">.1 </w:t>
      </w:r>
      <w:r>
        <w:rPr>
          <w:rFonts w:hint="eastAsia" w:ascii="宋体" w:hAnsi="宋体" w:cs="宋体"/>
          <w:b/>
          <w:bCs/>
          <w:color w:val="auto"/>
          <w:sz w:val="24"/>
          <w:szCs w:val="24"/>
          <w:lang w:val="zh-CN"/>
        </w:rPr>
        <w:t>政府采购供应商拒绝政府采购领域商业贿赂承诺书</w:t>
      </w:r>
    </w:p>
    <w:p>
      <w:pPr>
        <w:spacing w:line="5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为响应党中央、国务院关于治理政府采购领域商业贿赂行为的号召，我单位在此庄严承诺：</w:t>
      </w:r>
    </w:p>
    <w:p>
      <w:pPr>
        <w:numPr>
          <w:ilvl w:val="0"/>
          <w:numId w:val="7"/>
        </w:numPr>
        <w:spacing w:line="5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在参与政府采购活动中遵纪守法、诚信经营、公平竞标。</w:t>
      </w:r>
    </w:p>
    <w:p>
      <w:pPr>
        <w:numPr>
          <w:ilvl w:val="0"/>
          <w:numId w:val="7"/>
        </w:numPr>
        <w:spacing w:line="5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不向采购人、采购代理机构和政府采购评审专家进行任何形式的商业贿赂以谋取交易机会。</w:t>
      </w:r>
    </w:p>
    <w:p>
      <w:pPr>
        <w:numPr>
          <w:ilvl w:val="0"/>
          <w:numId w:val="7"/>
        </w:numPr>
        <w:spacing w:line="5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不向采购代理机构和采购人提供虚假资质文件或采用虚假应标方式参与政府采购市场竞争并谋取成交、成交。</w:t>
      </w:r>
    </w:p>
    <w:p>
      <w:pPr>
        <w:numPr>
          <w:ilvl w:val="0"/>
          <w:numId w:val="7"/>
        </w:numPr>
        <w:spacing w:line="5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不采取“围标、陪标”等商业欺诈手段获得政府采购定单。</w:t>
      </w:r>
    </w:p>
    <w:p>
      <w:pPr>
        <w:numPr>
          <w:ilvl w:val="0"/>
          <w:numId w:val="7"/>
        </w:numPr>
        <w:spacing w:line="5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不采取不正当手段低毁、排挤其他供应商。</w:t>
      </w:r>
    </w:p>
    <w:p>
      <w:pPr>
        <w:numPr>
          <w:ilvl w:val="0"/>
          <w:numId w:val="7"/>
        </w:numPr>
        <w:spacing w:line="5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不在提供商品和服务时“偷梁换柱、以次充好”损害采购人的合法权益。</w:t>
      </w:r>
    </w:p>
    <w:p>
      <w:pPr>
        <w:numPr>
          <w:ilvl w:val="0"/>
          <w:numId w:val="7"/>
        </w:numPr>
        <w:spacing w:line="5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不与采购人、采购代理机构、政府采购评审专家或其它供应商恶意串通，进行质疑和投诉，维护政府采购市场秩序。</w:t>
      </w:r>
    </w:p>
    <w:p>
      <w:pPr>
        <w:numPr>
          <w:ilvl w:val="0"/>
          <w:numId w:val="7"/>
        </w:numPr>
        <w:spacing w:line="5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尊重和接受政府采购监督管理部门的监督和采购代理机构的招标要求，承担因违约行为给采购人造成的损失。</w:t>
      </w:r>
    </w:p>
    <w:p>
      <w:pPr>
        <w:spacing w:line="500" w:lineRule="exact"/>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9、不发生其他有悖于政府采购公开、公平、公正和诚信原则的行为。</w:t>
      </w:r>
    </w:p>
    <w:p>
      <w:pPr>
        <w:pStyle w:val="115"/>
        <w:spacing w:line="500" w:lineRule="exact"/>
        <w:ind w:left="200" w:firstLine="0" w:firstLineChars="0"/>
        <w:rPr>
          <w:rFonts w:ascii="宋体" w:hAnsi="宋体" w:cs="宋体"/>
          <w:color w:val="auto"/>
          <w:sz w:val="24"/>
        </w:rPr>
      </w:pPr>
    </w:p>
    <w:p>
      <w:pPr>
        <w:widowControl/>
        <w:tabs>
          <w:tab w:val="left" w:pos="2394"/>
        </w:tabs>
        <w:spacing w:line="5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承诺单位：                  （公      章）</w:t>
      </w:r>
    </w:p>
    <w:p>
      <w:pPr>
        <w:widowControl/>
        <w:tabs>
          <w:tab w:val="left" w:pos="2394"/>
        </w:tabs>
        <w:spacing w:line="5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法定代表人或授权代表：      （签字或盖章）</w:t>
      </w:r>
    </w:p>
    <w:p>
      <w:pPr>
        <w:widowControl/>
        <w:tabs>
          <w:tab w:val="left" w:pos="2394"/>
        </w:tabs>
        <w:spacing w:line="5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 xml:space="preserve">地    址：                               </w:t>
      </w:r>
    </w:p>
    <w:p>
      <w:pPr>
        <w:widowControl/>
        <w:tabs>
          <w:tab w:val="left" w:pos="2394"/>
        </w:tabs>
        <w:spacing w:line="5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 xml:space="preserve">邮    编：                               </w:t>
      </w:r>
    </w:p>
    <w:p>
      <w:pPr>
        <w:tabs>
          <w:tab w:val="left" w:pos="5580"/>
        </w:tabs>
        <w:adjustRightInd w:val="0"/>
        <w:spacing w:line="5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电    话：</w:t>
      </w:r>
    </w:p>
    <w:p>
      <w:pPr>
        <w:tabs>
          <w:tab w:val="left" w:pos="5580"/>
        </w:tabs>
        <w:adjustRightInd w:val="0"/>
        <w:spacing w:line="5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日    期：</w:t>
      </w:r>
    </w:p>
    <w:p>
      <w:pPr>
        <w:autoSpaceDE w:val="0"/>
        <w:autoSpaceDN w:val="0"/>
        <w:adjustRightInd w:val="0"/>
        <w:spacing w:line="500" w:lineRule="exact"/>
        <w:jc w:val="center"/>
        <w:rPr>
          <w:rFonts w:ascii="宋体" w:hAnsi="宋体" w:cs="宋体"/>
          <w:b/>
          <w:bCs/>
          <w:color w:val="auto"/>
          <w:sz w:val="28"/>
          <w:szCs w:val="28"/>
          <w:lang w:val="zh-CN"/>
        </w:rPr>
      </w:pPr>
    </w:p>
    <w:p>
      <w:pPr>
        <w:pStyle w:val="2"/>
        <w:spacing w:line="500" w:lineRule="exact"/>
        <w:rPr>
          <w:rFonts w:ascii="宋体" w:hAnsi="宋体" w:cs="宋体"/>
          <w:b/>
          <w:bCs/>
          <w:color w:val="auto"/>
          <w:szCs w:val="28"/>
          <w:lang w:val="zh-CN"/>
        </w:rPr>
      </w:pPr>
    </w:p>
    <w:p>
      <w:pPr>
        <w:spacing w:line="500" w:lineRule="exact"/>
        <w:rPr>
          <w:rFonts w:ascii="宋体" w:hAnsi="宋体" w:cs="宋体"/>
          <w:b/>
          <w:bCs/>
          <w:color w:val="auto"/>
          <w:sz w:val="28"/>
          <w:szCs w:val="28"/>
          <w:lang w:val="zh-CN"/>
        </w:rPr>
      </w:pPr>
    </w:p>
    <w:p>
      <w:pPr>
        <w:spacing w:line="500" w:lineRule="exact"/>
        <w:rPr>
          <w:rFonts w:ascii="宋体" w:hAnsi="宋体" w:cs="宋体"/>
          <w:b/>
          <w:bCs/>
          <w:color w:val="auto"/>
          <w:sz w:val="28"/>
          <w:szCs w:val="28"/>
          <w:lang w:val="zh-CN"/>
        </w:rPr>
      </w:pPr>
    </w:p>
    <w:p>
      <w:pPr>
        <w:pStyle w:val="4"/>
        <w:spacing w:line="500" w:lineRule="exact"/>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供应商书面声明</w:t>
      </w:r>
    </w:p>
    <w:p>
      <w:pPr>
        <w:autoSpaceDE w:val="0"/>
        <w:autoSpaceDN w:val="0"/>
        <w:adjustRightInd w:val="0"/>
        <w:spacing w:line="500" w:lineRule="exact"/>
        <w:jc w:val="center"/>
        <w:rPr>
          <w:rFonts w:ascii="宋体" w:hAnsi="宋体" w:cs="宋体"/>
          <w:b/>
          <w:bCs/>
          <w:color w:val="auto"/>
          <w:sz w:val="28"/>
          <w:szCs w:val="28"/>
          <w:lang w:val="zh-CN"/>
        </w:rPr>
      </w:pPr>
    </w:p>
    <w:p>
      <w:pPr>
        <w:pStyle w:val="2"/>
        <w:spacing w:line="500" w:lineRule="exact"/>
        <w:rPr>
          <w:rFonts w:ascii="宋体" w:hAnsi="宋体" w:cs="宋体"/>
          <w:b/>
          <w:color w:val="auto"/>
          <w:sz w:val="24"/>
          <w:szCs w:val="24"/>
        </w:rPr>
      </w:pPr>
      <w:r>
        <w:rPr>
          <w:rFonts w:hint="eastAsia" w:ascii="宋体" w:hAnsi="宋体" w:cs="宋体"/>
          <w:color w:val="auto"/>
          <w:sz w:val="24"/>
          <w:szCs w:val="24"/>
        </w:rPr>
        <w:t>陕西盛仕骄阳项目管理有限公司：</w:t>
      </w:r>
    </w:p>
    <w:p>
      <w:pPr>
        <w:autoSpaceDE w:val="0"/>
        <w:autoSpaceDN w:val="0"/>
        <w:adjustRightIn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作为参加贵单位组织的</w:t>
      </w:r>
      <w:r>
        <w:rPr>
          <w:rFonts w:hint="eastAsia" w:ascii="宋体" w:hAnsi="宋体" w:cs="宋体"/>
          <w:color w:val="auto"/>
          <w:sz w:val="24"/>
          <w:szCs w:val="24"/>
          <w:u w:val="single"/>
        </w:rPr>
        <w:t xml:space="preserve">                </w:t>
      </w:r>
      <w:r>
        <w:rPr>
          <w:rFonts w:hint="eastAsia" w:ascii="宋体" w:hAnsi="宋体" w:cs="宋体"/>
          <w:color w:val="auto"/>
          <w:sz w:val="24"/>
          <w:szCs w:val="24"/>
        </w:rPr>
        <w:t>的供应商，本公司郑重承诺：</w:t>
      </w:r>
    </w:p>
    <w:p>
      <w:pPr>
        <w:autoSpaceDE w:val="0"/>
        <w:autoSpaceDN w:val="0"/>
        <w:adjustRightIn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1、在参加本项目磋商之前不存在被依法禁止经营行为、财产被接管或冻结的情况，如有隐瞒实情，愿承担一切责任及后果。</w:t>
      </w:r>
    </w:p>
    <w:p>
      <w:pPr>
        <w:autoSpaceDE w:val="0"/>
        <w:autoSpaceDN w:val="0"/>
        <w:adjustRightIn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2、近三年受到有关行政主管部门的行政处理、不良行为记录为</w:t>
      </w:r>
      <w:r>
        <w:rPr>
          <w:rFonts w:hint="eastAsia" w:ascii="宋体" w:hAnsi="宋体" w:cs="宋体"/>
          <w:color w:val="auto"/>
          <w:sz w:val="24"/>
          <w:szCs w:val="24"/>
          <w:u w:val="single"/>
        </w:rPr>
        <w:t xml:space="preserve">    </w:t>
      </w:r>
      <w:r>
        <w:rPr>
          <w:rFonts w:hint="eastAsia" w:ascii="宋体" w:hAnsi="宋体" w:cs="宋体"/>
          <w:color w:val="auto"/>
          <w:sz w:val="24"/>
          <w:szCs w:val="24"/>
        </w:rPr>
        <w:t>次（没有填零），如有隐瞒实情，愿承担一切责任及后果。</w:t>
      </w:r>
    </w:p>
    <w:p>
      <w:pPr>
        <w:autoSpaceDE w:val="0"/>
        <w:autoSpaceDN w:val="0"/>
        <w:adjustRightIn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3、参加本次磋商提交的所有资质证明文件及业绩证明文件是真实的、有效的，如有隐瞒实情，愿承担一切责任及后果。</w:t>
      </w:r>
    </w:p>
    <w:p>
      <w:pPr>
        <w:autoSpaceDE w:val="0"/>
        <w:autoSpaceDN w:val="0"/>
        <w:adjustRightInd w:val="0"/>
        <w:spacing w:line="500" w:lineRule="exact"/>
        <w:ind w:firstLine="482" w:firstLineChars="200"/>
        <w:rPr>
          <w:rFonts w:ascii="宋体" w:hAnsi="宋体" w:cs="宋体"/>
          <w:b/>
          <w:color w:val="auto"/>
          <w:sz w:val="24"/>
          <w:szCs w:val="24"/>
        </w:rPr>
      </w:pPr>
    </w:p>
    <w:p>
      <w:pPr>
        <w:autoSpaceDE w:val="0"/>
        <w:autoSpaceDN w:val="0"/>
        <w:adjustRightInd w:val="0"/>
        <w:spacing w:line="500" w:lineRule="exact"/>
        <w:jc w:val="center"/>
        <w:rPr>
          <w:rFonts w:ascii="宋体" w:hAnsi="宋体" w:cs="宋体"/>
          <w:b/>
          <w:color w:val="auto"/>
          <w:sz w:val="24"/>
          <w:szCs w:val="24"/>
        </w:rPr>
      </w:pPr>
    </w:p>
    <w:p>
      <w:pPr>
        <w:pStyle w:val="14"/>
        <w:spacing w:before="0" w:line="500" w:lineRule="exact"/>
        <w:rPr>
          <w:color w:val="auto"/>
        </w:rPr>
      </w:pPr>
    </w:p>
    <w:p>
      <w:pPr>
        <w:adjustRightInd w:val="0"/>
        <w:snapToGrid w:val="0"/>
        <w:spacing w:line="500" w:lineRule="exact"/>
        <w:ind w:firstLine="360" w:firstLineChars="150"/>
        <w:rPr>
          <w:rFonts w:ascii="宋体" w:hAnsi="宋体" w:cs="宋体"/>
          <w:color w:val="auto"/>
          <w:sz w:val="24"/>
          <w:szCs w:val="24"/>
        </w:rPr>
      </w:pPr>
      <w:r>
        <w:rPr>
          <w:rFonts w:hint="eastAsia" w:ascii="宋体" w:hAnsi="宋体" w:cs="宋体"/>
          <w:color w:val="auto"/>
          <w:sz w:val="24"/>
          <w:szCs w:val="24"/>
        </w:rPr>
        <w:t>供应商                           法定代表人/委托代理人</w:t>
      </w:r>
    </w:p>
    <w:p>
      <w:pPr>
        <w:adjustRightInd w:val="0"/>
        <w:snapToGrid w:val="0"/>
        <w:spacing w:line="500" w:lineRule="exact"/>
        <w:ind w:firstLine="240" w:firstLineChars="100"/>
        <w:rPr>
          <w:rFonts w:ascii="宋体" w:hAnsi="宋体" w:cs="宋体"/>
          <w:color w:val="auto"/>
          <w:sz w:val="24"/>
          <w:szCs w:val="24"/>
        </w:rPr>
      </w:pPr>
      <w:r>
        <w:rPr>
          <w:rFonts w:hint="eastAsia" w:ascii="宋体" w:hAnsi="宋体" w:cs="宋体"/>
          <w:color w:val="auto"/>
          <w:sz w:val="24"/>
          <w:szCs w:val="24"/>
        </w:rPr>
        <w:t>（单位公章）：                             （签字或盖章）：</w:t>
      </w:r>
    </w:p>
    <w:p>
      <w:pPr>
        <w:adjustRightInd w:val="0"/>
        <w:snapToGrid w:val="0"/>
        <w:spacing w:line="500" w:lineRule="exact"/>
        <w:ind w:firstLine="240" w:firstLineChars="100"/>
        <w:rPr>
          <w:rFonts w:ascii="宋体" w:hAnsi="宋体" w:cs="宋体"/>
          <w:color w:val="auto"/>
          <w:sz w:val="24"/>
          <w:szCs w:val="24"/>
        </w:rPr>
      </w:pPr>
    </w:p>
    <w:p>
      <w:pPr>
        <w:adjustRightInd w:val="0"/>
        <w:snapToGrid w:val="0"/>
        <w:spacing w:line="500" w:lineRule="exact"/>
        <w:ind w:firstLine="4920" w:firstLineChars="2050"/>
        <w:jc w:val="left"/>
        <w:rPr>
          <w:rFonts w:ascii="宋体" w:hAnsi="宋体" w:cs="宋体"/>
          <w:color w:val="auto"/>
          <w:sz w:val="24"/>
          <w:szCs w:val="24"/>
          <w:u w:val="single"/>
        </w:rPr>
      </w:pPr>
      <w:r>
        <w:rPr>
          <w:rFonts w:hint="eastAsia" w:ascii="宋体" w:hAnsi="宋体" w:cs="宋体"/>
          <w:color w:val="auto"/>
          <w:sz w:val="24"/>
          <w:szCs w:val="24"/>
        </w:rPr>
        <w:t>_____年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pPr>
        <w:spacing w:line="500" w:lineRule="exact"/>
        <w:rPr>
          <w:color w:val="auto"/>
          <w:highlight w:val="yellow"/>
        </w:rPr>
        <w:sectPr>
          <w:headerReference r:id="rId19" w:type="default"/>
          <w:pgSz w:w="11906" w:h="16838"/>
          <w:pgMar w:top="1418" w:right="1418" w:bottom="1418" w:left="1418" w:header="851" w:footer="992" w:gutter="0"/>
          <w:pgNumType w:fmt="decimal"/>
          <w:cols w:space="425" w:num="1"/>
          <w:docGrid w:linePitch="312" w:charSpace="0"/>
        </w:sectPr>
      </w:pPr>
    </w:p>
    <w:p>
      <w:pPr>
        <w:pStyle w:val="4"/>
        <w:keepLines w:val="0"/>
        <w:pageBreakBefore w:val="0"/>
        <w:numPr>
          <w:ilvl w:val="0"/>
          <w:numId w:val="0"/>
        </w:numPr>
        <w:kinsoku/>
        <w:wordWrap/>
        <w:overflowPunct/>
        <w:topLinePunct w:val="0"/>
        <w:bidi w:val="0"/>
        <w:snapToGrid/>
        <w:spacing w:line="420" w:lineRule="exact"/>
        <w:jc w:val="center"/>
        <w:textAlignment w:val="auto"/>
        <w:rPr>
          <w:rFonts w:ascii="宋体" w:hAnsi="宋体" w:eastAsia="宋体" w:cs="宋体"/>
          <w:b/>
          <w:bCs/>
          <w:color w:val="auto"/>
          <w:szCs w:val="28"/>
          <w:lang w:val="zh-CN"/>
        </w:rPr>
      </w:pPr>
      <w:r>
        <w:rPr>
          <w:rFonts w:hint="eastAsia" w:ascii="宋体" w:hAnsi="宋体" w:eastAsia="宋体" w:cs="宋体"/>
          <w:b/>
          <w:bCs/>
          <w:color w:val="auto"/>
          <w:szCs w:val="28"/>
          <w:lang w:val="en-US" w:eastAsia="zh-CN"/>
        </w:rPr>
        <w:t xml:space="preserve">第七部分 </w:t>
      </w:r>
      <w:r>
        <w:rPr>
          <w:rFonts w:hint="eastAsia" w:ascii="宋体" w:hAnsi="宋体" w:eastAsia="宋体" w:cs="宋体"/>
          <w:b/>
          <w:bCs/>
          <w:color w:val="auto"/>
          <w:szCs w:val="28"/>
          <w:lang w:val="zh-CN"/>
        </w:rPr>
        <w:t>供应商资质证明文件</w:t>
      </w:r>
    </w:p>
    <w:p>
      <w:pPr>
        <w:pStyle w:val="85"/>
        <w:keepLines w:val="0"/>
        <w:pageBreakBefore w:val="0"/>
        <w:kinsoku/>
        <w:wordWrap/>
        <w:overflowPunct/>
        <w:topLinePunct w:val="0"/>
        <w:bidi w:val="0"/>
        <w:snapToGrid/>
        <w:spacing w:line="420" w:lineRule="exact"/>
        <w:textAlignment w:val="auto"/>
        <w:rPr>
          <w:rFonts w:ascii="宋体" w:hAnsi="宋体" w:cs="宋体"/>
          <w:b/>
          <w:color w:val="auto"/>
        </w:rPr>
      </w:pPr>
      <w:r>
        <w:rPr>
          <w:rFonts w:hint="eastAsia" w:ascii="宋体" w:hAnsi="宋体" w:cs="宋体"/>
          <w:b/>
          <w:color w:val="auto"/>
        </w:rPr>
        <w:t>1、磋商供应商基本情况表；（详见附件1）</w:t>
      </w:r>
    </w:p>
    <w:p>
      <w:pPr>
        <w:pStyle w:val="85"/>
        <w:keepLines w:val="0"/>
        <w:pageBreakBefore w:val="0"/>
        <w:kinsoku/>
        <w:wordWrap/>
        <w:overflowPunct/>
        <w:topLinePunct w:val="0"/>
        <w:bidi w:val="0"/>
        <w:snapToGrid/>
        <w:spacing w:line="420" w:lineRule="exact"/>
        <w:textAlignment w:val="auto"/>
        <w:rPr>
          <w:rFonts w:ascii="宋体" w:hAnsi="宋体" w:cs="宋体"/>
          <w:b/>
          <w:color w:val="auto"/>
        </w:rPr>
      </w:pPr>
      <w:r>
        <w:rPr>
          <w:rFonts w:hint="eastAsia" w:ascii="宋体" w:hAnsi="宋体" w:cs="宋体"/>
          <w:b/>
          <w:color w:val="auto"/>
        </w:rPr>
        <w:t>2、基本资格条件：符合《中华人民共和国政府采购法》第二十二条的规定：</w:t>
      </w:r>
    </w:p>
    <w:p>
      <w:pPr>
        <w:keepLines w:val="0"/>
        <w:pageBreakBefore w:val="0"/>
        <w:tabs>
          <w:tab w:val="left" w:pos="1710"/>
        </w:tabs>
        <w:kinsoku/>
        <w:wordWrap/>
        <w:overflowPunct/>
        <w:topLinePunct w:val="0"/>
        <w:autoSpaceDE w:val="0"/>
        <w:autoSpaceDN w:val="0"/>
        <w:bidi w:val="0"/>
        <w:adjustRightInd w:val="0"/>
        <w:snapToGrid/>
        <w:spacing w:line="420" w:lineRule="exact"/>
        <w:textAlignment w:val="auto"/>
        <w:rPr>
          <w:rFonts w:hint="eastAsia" w:ascii="宋体" w:hAnsi="宋体" w:cs="宋体"/>
          <w:color w:val="auto"/>
          <w:sz w:val="24"/>
          <w:szCs w:val="24"/>
        </w:rPr>
      </w:pPr>
      <w:r>
        <w:rPr>
          <w:rFonts w:hint="eastAsia" w:ascii="宋体" w:hAnsi="宋体" w:cs="宋体"/>
          <w:color w:val="auto"/>
          <w:sz w:val="24"/>
          <w:szCs w:val="24"/>
        </w:rPr>
        <w:t>（1）具有独立承担民事责任能力的法人、其他组织或自然人，并出具合法有效的营业执照或事业单位法人证书等国家规定的相关证明，自然人参与的提供其身份证明；</w:t>
      </w:r>
    </w:p>
    <w:p>
      <w:pPr>
        <w:keepLines w:val="0"/>
        <w:pageBreakBefore w:val="0"/>
        <w:tabs>
          <w:tab w:val="left" w:pos="1710"/>
        </w:tabs>
        <w:kinsoku/>
        <w:wordWrap/>
        <w:overflowPunct/>
        <w:topLinePunct w:val="0"/>
        <w:autoSpaceDE w:val="0"/>
        <w:autoSpaceDN w:val="0"/>
        <w:bidi w:val="0"/>
        <w:adjustRightInd w:val="0"/>
        <w:snapToGrid/>
        <w:spacing w:line="420" w:lineRule="exact"/>
        <w:textAlignment w:val="auto"/>
        <w:rPr>
          <w:rFonts w:ascii="宋体" w:hAnsi="宋体" w:cs="宋体"/>
          <w:color w:val="auto"/>
          <w:sz w:val="24"/>
          <w:szCs w:val="24"/>
        </w:rPr>
      </w:pPr>
      <w:r>
        <w:rPr>
          <w:rFonts w:hint="eastAsia" w:ascii="宋体" w:hAnsi="宋体" w:cs="宋体"/>
          <w:color w:val="auto"/>
          <w:sz w:val="24"/>
          <w:szCs w:val="24"/>
        </w:rPr>
        <w:t>（2）财务状况报告：提供具有财务审计资质单位出具的2020年或2021年任意一年年度财务报告（成立时间至开标时间不足一年的可提供成立后任意时段的资产负债表）或开标前六个月内其基本账户银行出具的资信证明（附开户许可证）或政府采购信用担保机构出具的投标担保函；</w:t>
      </w:r>
    </w:p>
    <w:p>
      <w:pPr>
        <w:keepLines w:val="0"/>
        <w:pageBreakBefore w:val="0"/>
        <w:tabs>
          <w:tab w:val="left" w:pos="1710"/>
        </w:tabs>
        <w:kinsoku/>
        <w:wordWrap/>
        <w:overflowPunct/>
        <w:topLinePunct w:val="0"/>
        <w:autoSpaceDE w:val="0"/>
        <w:autoSpaceDN w:val="0"/>
        <w:bidi w:val="0"/>
        <w:adjustRightInd w:val="0"/>
        <w:snapToGrid/>
        <w:spacing w:line="420" w:lineRule="exact"/>
        <w:textAlignment w:val="auto"/>
        <w:rPr>
          <w:rFonts w:ascii="宋体" w:hAnsi="宋体" w:cs="宋体"/>
          <w:color w:val="auto"/>
          <w:sz w:val="24"/>
          <w:szCs w:val="24"/>
        </w:rPr>
      </w:pPr>
      <w:r>
        <w:rPr>
          <w:rFonts w:hint="eastAsia" w:ascii="宋体" w:hAnsi="宋体" w:cs="宋体"/>
          <w:color w:val="auto"/>
          <w:sz w:val="24"/>
          <w:szCs w:val="24"/>
        </w:rPr>
        <w:t xml:space="preserve">（3）税收缴纳证明：提供开标前六个月内任意一个月已缴纳完税凭证或税务机关开具的完税证明（任意税种）；依法免税的应提供相关文件证明； </w:t>
      </w:r>
    </w:p>
    <w:p>
      <w:pPr>
        <w:keepLines w:val="0"/>
        <w:pageBreakBefore w:val="0"/>
        <w:tabs>
          <w:tab w:val="left" w:pos="1710"/>
        </w:tabs>
        <w:kinsoku/>
        <w:wordWrap/>
        <w:overflowPunct/>
        <w:topLinePunct w:val="0"/>
        <w:autoSpaceDE w:val="0"/>
        <w:autoSpaceDN w:val="0"/>
        <w:bidi w:val="0"/>
        <w:adjustRightInd w:val="0"/>
        <w:snapToGrid/>
        <w:spacing w:line="420" w:lineRule="exact"/>
        <w:textAlignment w:val="auto"/>
        <w:rPr>
          <w:rFonts w:ascii="宋体" w:hAnsi="宋体" w:cs="宋体"/>
          <w:color w:val="auto"/>
          <w:sz w:val="24"/>
          <w:szCs w:val="24"/>
        </w:rPr>
      </w:pPr>
      <w:r>
        <w:rPr>
          <w:rFonts w:hint="eastAsia" w:ascii="宋体" w:hAnsi="宋体" w:cs="宋体"/>
          <w:color w:val="auto"/>
          <w:sz w:val="24"/>
          <w:szCs w:val="24"/>
        </w:rPr>
        <w:t>（4）社会保障资金缴纳证明：提供开标前六个月内任意一个月已缴纳的社会保障资金缴存单据或社保机构开具的社会保险参保缴费情况证明（依法不需要缴纳社会保障资金的投标人应提供相关证明）</w:t>
      </w:r>
    </w:p>
    <w:p>
      <w:pPr>
        <w:keepLines w:val="0"/>
        <w:pageBreakBefore w:val="0"/>
        <w:tabs>
          <w:tab w:val="left" w:pos="1710"/>
        </w:tabs>
        <w:kinsoku/>
        <w:wordWrap/>
        <w:overflowPunct/>
        <w:topLinePunct w:val="0"/>
        <w:autoSpaceDE w:val="0"/>
        <w:autoSpaceDN w:val="0"/>
        <w:bidi w:val="0"/>
        <w:adjustRightInd w:val="0"/>
        <w:snapToGrid/>
        <w:spacing w:line="420" w:lineRule="exact"/>
        <w:textAlignment w:val="auto"/>
        <w:rPr>
          <w:rFonts w:ascii="宋体" w:hAnsi="宋体" w:cs="宋体"/>
          <w:color w:val="auto"/>
          <w:sz w:val="24"/>
          <w:szCs w:val="24"/>
        </w:rPr>
      </w:pPr>
      <w:r>
        <w:rPr>
          <w:rFonts w:hint="eastAsia" w:ascii="宋体" w:hAnsi="宋体" w:cs="宋体"/>
          <w:color w:val="auto"/>
          <w:sz w:val="24"/>
          <w:szCs w:val="24"/>
        </w:rPr>
        <w:t>（5）具备履行合同所必需的设备和专业技术能力的证明材料(由供应商根据项目需求提供说明材料或者承诺)；（格式自拟）</w:t>
      </w:r>
    </w:p>
    <w:p>
      <w:pPr>
        <w:keepLines w:val="0"/>
        <w:pageBreakBefore w:val="0"/>
        <w:tabs>
          <w:tab w:val="left" w:pos="1710"/>
        </w:tabs>
        <w:kinsoku/>
        <w:wordWrap/>
        <w:overflowPunct/>
        <w:topLinePunct w:val="0"/>
        <w:autoSpaceDE w:val="0"/>
        <w:autoSpaceDN w:val="0"/>
        <w:bidi w:val="0"/>
        <w:adjustRightInd w:val="0"/>
        <w:snapToGrid/>
        <w:spacing w:line="420" w:lineRule="exact"/>
        <w:textAlignment w:val="auto"/>
        <w:rPr>
          <w:rFonts w:ascii="宋体" w:hAnsi="宋体" w:cs="宋体"/>
          <w:color w:val="auto"/>
          <w:sz w:val="24"/>
          <w:szCs w:val="24"/>
        </w:rPr>
      </w:pPr>
      <w:r>
        <w:rPr>
          <w:rFonts w:hint="eastAsia" w:ascii="宋体" w:hAnsi="宋体" w:cs="宋体"/>
          <w:color w:val="auto"/>
          <w:sz w:val="24"/>
          <w:szCs w:val="24"/>
        </w:rPr>
        <w:t>（6）提供参加政府采购活动前三年内在经营活动中没有重大违法记录的书面声明；（格式自拟）</w:t>
      </w:r>
    </w:p>
    <w:p>
      <w:pPr>
        <w:pStyle w:val="85"/>
        <w:keepLines w:val="0"/>
        <w:pageBreakBefore w:val="0"/>
        <w:kinsoku/>
        <w:wordWrap/>
        <w:overflowPunct/>
        <w:topLinePunct w:val="0"/>
        <w:bidi w:val="0"/>
        <w:snapToGrid/>
        <w:spacing w:line="420" w:lineRule="exact"/>
        <w:textAlignment w:val="auto"/>
        <w:rPr>
          <w:rFonts w:ascii="宋体" w:hAnsi="宋体" w:cs="宋体"/>
          <w:color w:val="auto"/>
        </w:rPr>
      </w:pPr>
      <w:r>
        <w:rPr>
          <w:rFonts w:hint="eastAsia" w:ascii="宋体" w:hAnsi="宋体" w:cs="宋体"/>
          <w:b/>
          <w:color w:val="auto"/>
        </w:rPr>
        <w:t>3、特定资格条件：</w:t>
      </w:r>
    </w:p>
    <w:p>
      <w:pPr>
        <w:pStyle w:val="30"/>
        <w:keepLines w:val="0"/>
        <w:pageBreakBefore w:val="0"/>
        <w:kinsoku/>
        <w:wordWrap/>
        <w:overflowPunct/>
        <w:topLinePunct w:val="0"/>
        <w:bidi w:val="0"/>
        <w:snapToGrid/>
        <w:spacing w:before="0" w:beforeAutospacing="0" w:after="0" w:afterAutospacing="0" w:line="420" w:lineRule="exact"/>
        <w:textAlignment w:val="auto"/>
        <w:rPr>
          <w:rFonts w:hint="eastAsia" w:eastAsia="宋体" w:cs="Times New Roman"/>
          <w:color w:val="auto"/>
          <w:kern w:val="2"/>
          <w:lang w:eastAsia="zh-CN"/>
        </w:rPr>
      </w:pPr>
      <w:r>
        <w:rPr>
          <w:rFonts w:hint="eastAsia" w:cs="Times New Roman"/>
          <w:color w:val="auto"/>
          <w:kern w:val="2"/>
        </w:rPr>
        <w:t>（</w:t>
      </w:r>
      <w:r>
        <w:rPr>
          <w:rFonts w:hint="eastAsia" w:cs="Times New Roman"/>
          <w:color w:val="auto"/>
          <w:kern w:val="2"/>
          <w:lang w:val="en-US" w:eastAsia="zh-CN"/>
        </w:rPr>
        <w:t>1</w:t>
      </w:r>
      <w:r>
        <w:rPr>
          <w:rFonts w:hint="eastAsia" w:cs="Times New Roman"/>
          <w:color w:val="auto"/>
          <w:kern w:val="2"/>
        </w:rPr>
        <w:t>）供应商应授权合法的人员参加磋商全过程，其中法定代表人直接参加磋商的，须出具法定代表人身份证明及法人身份证原件及复印件，法定代表人授权代表参加磋商的，须出具法定代表人授权书及授权代表身份证原件及复印件；</w:t>
      </w:r>
      <w:r>
        <w:rPr>
          <w:rFonts w:hint="eastAsia" w:cs="Times New Roman"/>
          <w:b/>
          <w:bCs/>
          <w:color w:val="auto"/>
          <w:kern w:val="2"/>
          <w:lang w:eastAsia="zh-CN"/>
        </w:rPr>
        <w:t>（</w:t>
      </w:r>
      <w:r>
        <w:rPr>
          <w:rFonts w:hint="eastAsia" w:cs="Times New Roman"/>
          <w:b/>
          <w:bCs/>
          <w:color w:val="auto"/>
          <w:kern w:val="2"/>
          <w:lang w:val="en-US" w:eastAsia="zh-CN"/>
        </w:rPr>
        <w:t>详见附件2</w:t>
      </w:r>
      <w:r>
        <w:rPr>
          <w:rFonts w:hint="eastAsia" w:cs="Times New Roman"/>
          <w:b/>
          <w:bCs/>
          <w:color w:val="auto"/>
          <w:kern w:val="2"/>
          <w:lang w:eastAsia="zh-CN"/>
        </w:rPr>
        <w:t>）</w:t>
      </w:r>
    </w:p>
    <w:p>
      <w:pPr>
        <w:pStyle w:val="30"/>
        <w:keepLines w:val="0"/>
        <w:pageBreakBefore w:val="0"/>
        <w:kinsoku/>
        <w:wordWrap/>
        <w:overflowPunct/>
        <w:topLinePunct w:val="0"/>
        <w:autoSpaceDE/>
        <w:autoSpaceDN/>
        <w:bidi w:val="0"/>
        <w:adjustRightInd/>
        <w:snapToGrid/>
        <w:spacing w:before="0" w:beforeAutospacing="0" w:after="0" w:afterAutospacing="0" w:line="420" w:lineRule="exact"/>
        <w:textAlignment w:val="auto"/>
        <w:rPr>
          <w:rFonts w:hint="eastAsia" w:cs="Times New Roman"/>
          <w:color w:val="auto"/>
          <w:kern w:val="2"/>
        </w:rPr>
      </w:pPr>
      <w:r>
        <w:rPr>
          <w:rFonts w:hint="eastAsia" w:cs="Times New Roman"/>
          <w:color w:val="auto"/>
          <w:kern w:val="2"/>
          <w:highlight w:val="none"/>
        </w:rPr>
        <w:t>（</w:t>
      </w:r>
      <w:r>
        <w:rPr>
          <w:rFonts w:hint="eastAsia" w:cs="Times New Roman"/>
          <w:color w:val="auto"/>
          <w:kern w:val="2"/>
          <w:highlight w:val="none"/>
          <w:lang w:val="en-US" w:eastAsia="zh-CN"/>
        </w:rPr>
        <w:t>2</w:t>
      </w:r>
      <w:r>
        <w:rPr>
          <w:rFonts w:hint="eastAsia" w:cs="Times New Roman"/>
          <w:color w:val="auto"/>
          <w:kern w:val="2"/>
          <w:highlight w:val="none"/>
        </w:rPr>
        <w:t>）</w:t>
      </w:r>
      <w:r>
        <w:rPr>
          <w:rFonts w:hint="eastAsia" w:cs="Times New Roman"/>
          <w:color w:val="auto"/>
          <w:kern w:val="2"/>
        </w:rPr>
        <w:t>供应商</w:t>
      </w:r>
      <w:r>
        <w:rPr>
          <w:rFonts w:hint="eastAsia" w:cs="Times New Roman"/>
          <w:color w:val="auto"/>
          <w:kern w:val="2"/>
          <w:lang w:val="en-US" w:eastAsia="zh-CN"/>
        </w:rPr>
        <w:t>须</w:t>
      </w:r>
      <w:r>
        <w:rPr>
          <w:rFonts w:hint="eastAsia" w:cs="Times New Roman"/>
          <w:color w:val="auto"/>
          <w:kern w:val="2"/>
          <w:lang w:eastAsia="zh-CN"/>
        </w:rPr>
        <w:t>具备建设行政主管部门颁发的水利水电工程施工总承包</w:t>
      </w:r>
      <w:r>
        <w:rPr>
          <w:rFonts w:hint="eastAsia" w:cs="Times New Roman"/>
          <w:color w:val="auto"/>
          <w:kern w:val="2"/>
          <w:lang w:val="en-US" w:eastAsia="zh-CN"/>
        </w:rPr>
        <w:t>叁级（含叁级）以上资质</w:t>
      </w:r>
      <w:r>
        <w:rPr>
          <w:rFonts w:hint="eastAsia" w:cs="Times New Roman"/>
          <w:color w:val="auto"/>
          <w:kern w:val="2"/>
          <w:lang w:eastAsia="zh-CN"/>
        </w:rPr>
        <w:t>，同时具有合格有效的安全生产许可证</w:t>
      </w:r>
      <w:r>
        <w:rPr>
          <w:rFonts w:hint="eastAsia" w:cs="Times New Roman"/>
          <w:color w:val="auto"/>
          <w:kern w:val="2"/>
        </w:rPr>
        <w:t>；</w:t>
      </w:r>
    </w:p>
    <w:p>
      <w:pPr>
        <w:pStyle w:val="30"/>
        <w:keepLines w:val="0"/>
        <w:pageBreakBefore w:val="0"/>
        <w:kinsoku/>
        <w:wordWrap/>
        <w:overflowPunct/>
        <w:topLinePunct w:val="0"/>
        <w:bidi w:val="0"/>
        <w:snapToGrid/>
        <w:spacing w:before="0" w:beforeAutospacing="0" w:after="0" w:afterAutospacing="0" w:line="420" w:lineRule="exact"/>
        <w:textAlignment w:val="auto"/>
        <w:rPr>
          <w:rFonts w:hint="eastAsia" w:ascii="宋体" w:hAnsi="宋体" w:eastAsia="宋体" w:cs="Times New Roman"/>
          <w:color w:val="auto"/>
          <w:kern w:val="2"/>
          <w:lang w:eastAsia="zh-CN"/>
        </w:rPr>
      </w:pPr>
      <w:r>
        <w:rPr>
          <w:rFonts w:hint="eastAsia" w:ascii="宋体" w:hAnsi="宋体" w:eastAsia="宋体" w:cs="Times New Roman"/>
          <w:color w:val="auto"/>
          <w:kern w:val="2"/>
          <w:lang w:eastAsia="zh-CN"/>
        </w:rPr>
        <w:t>（</w:t>
      </w:r>
      <w:r>
        <w:rPr>
          <w:rFonts w:hint="eastAsia" w:ascii="宋体" w:hAnsi="宋体" w:eastAsia="宋体" w:cs="Times New Roman"/>
          <w:color w:val="auto"/>
          <w:kern w:val="2"/>
          <w:lang w:val="en-US" w:eastAsia="zh-CN"/>
        </w:rPr>
        <w:t>3</w:t>
      </w:r>
      <w:r>
        <w:rPr>
          <w:rFonts w:hint="eastAsia" w:ascii="宋体" w:hAnsi="宋体" w:eastAsia="宋体" w:cs="Times New Roman"/>
          <w:color w:val="auto"/>
          <w:kern w:val="2"/>
          <w:lang w:eastAsia="zh-CN"/>
        </w:rPr>
        <w:t>）拟派项目经理须具有水利水电工程专业</w:t>
      </w:r>
      <w:r>
        <w:rPr>
          <w:rFonts w:hint="eastAsia" w:ascii="宋体" w:hAnsi="宋体" w:eastAsia="宋体" w:cs="Times New Roman"/>
          <w:color w:val="auto"/>
          <w:kern w:val="2"/>
          <w:lang w:val="en-US" w:eastAsia="zh-CN"/>
        </w:rPr>
        <w:t>贰级（含贰级）以上</w:t>
      </w:r>
      <w:r>
        <w:rPr>
          <w:rFonts w:hint="eastAsia" w:ascii="宋体" w:hAnsi="宋体" w:eastAsia="宋体" w:cs="Times New Roman"/>
          <w:color w:val="auto"/>
          <w:kern w:val="2"/>
          <w:lang w:eastAsia="zh-CN"/>
        </w:rPr>
        <w:t>注册建造师证书和有效的安全生产考核证书（B证）</w:t>
      </w:r>
      <w:r>
        <w:rPr>
          <w:rFonts w:hint="eastAsia" w:ascii="宋体" w:hAnsi="宋体" w:eastAsia="宋体" w:cs="Times New Roman"/>
          <w:color w:val="auto"/>
          <w:kern w:val="2"/>
          <w:lang w:val="en-US" w:eastAsia="zh-CN"/>
        </w:rPr>
        <w:t>，且未担任其他在建工程项目的项目经理（需提供企业书面承诺等证明材料）；</w:t>
      </w:r>
      <w:r>
        <w:rPr>
          <w:rFonts w:hint="eastAsia" w:ascii="宋体" w:hAnsi="宋体" w:cs="宋体"/>
          <w:b/>
          <w:bCs/>
          <w:color w:val="auto"/>
          <w:sz w:val="24"/>
          <w:szCs w:val="24"/>
        </w:rPr>
        <w:t>（详见附件</w:t>
      </w:r>
      <w:r>
        <w:rPr>
          <w:rFonts w:hint="eastAsia" w:ascii="宋体" w:hAnsi="宋体" w:cs="宋体"/>
          <w:b/>
          <w:bCs/>
          <w:color w:val="auto"/>
          <w:sz w:val="24"/>
          <w:szCs w:val="24"/>
          <w:lang w:val="en-US" w:eastAsia="zh-CN"/>
        </w:rPr>
        <w:t>3</w:t>
      </w:r>
      <w:r>
        <w:rPr>
          <w:rFonts w:hint="eastAsia" w:ascii="宋体" w:hAnsi="宋体" w:cs="宋体"/>
          <w:b/>
          <w:bCs/>
          <w:color w:val="auto"/>
          <w:sz w:val="24"/>
          <w:szCs w:val="24"/>
        </w:rPr>
        <w:t>）</w:t>
      </w:r>
    </w:p>
    <w:p>
      <w:pPr>
        <w:pStyle w:val="30"/>
        <w:keepLines w:val="0"/>
        <w:pageBreakBefore w:val="0"/>
        <w:kinsoku/>
        <w:wordWrap/>
        <w:overflowPunct/>
        <w:topLinePunct w:val="0"/>
        <w:bidi w:val="0"/>
        <w:snapToGrid/>
        <w:spacing w:before="0" w:beforeAutospacing="0" w:after="0" w:afterAutospacing="0" w:line="420" w:lineRule="exact"/>
        <w:textAlignment w:val="auto"/>
        <w:rPr>
          <w:rFonts w:hint="eastAsia" w:cs="Times New Roman"/>
          <w:color w:val="auto"/>
          <w:kern w:val="2"/>
        </w:rPr>
      </w:pPr>
      <w:r>
        <w:rPr>
          <w:rFonts w:hint="eastAsia" w:cs="Times New Roman"/>
          <w:color w:val="auto"/>
          <w:kern w:val="2"/>
        </w:rPr>
        <w:t>（</w:t>
      </w:r>
      <w:r>
        <w:rPr>
          <w:rFonts w:hint="eastAsia" w:cs="Times New Roman"/>
          <w:color w:val="auto"/>
          <w:kern w:val="2"/>
          <w:lang w:val="en-US" w:eastAsia="zh-CN"/>
        </w:rPr>
        <w:t>4</w:t>
      </w:r>
      <w:r>
        <w:rPr>
          <w:rFonts w:hint="eastAsia" w:cs="Times New Roman"/>
          <w:color w:val="auto"/>
          <w:kern w:val="2"/>
        </w:rPr>
        <w:t>）供应商不得为列入信用中国(www.creditchina.gov.cn)记录失信被执行人或重大税收违法案件当事人名单或中国政府采购网(www.ccgp.gov.cn)的政府采购严重违法失信行为记录名单；</w:t>
      </w:r>
    </w:p>
    <w:p>
      <w:pPr>
        <w:pStyle w:val="30"/>
        <w:spacing w:before="0" w:beforeAutospacing="0" w:after="0" w:afterAutospacing="0" w:line="360" w:lineRule="auto"/>
        <w:rPr>
          <w:rFonts w:hint="eastAsia" w:eastAsia="宋体" w:cs="Times New Roman"/>
          <w:color w:val="auto"/>
          <w:kern w:val="2"/>
          <w:lang w:val="en-US" w:eastAsia="zh-CN"/>
        </w:rPr>
      </w:pPr>
      <w:r>
        <w:rPr>
          <w:rFonts w:hint="eastAsia" w:cs="Times New Roman"/>
          <w:color w:val="auto"/>
          <w:kern w:val="2"/>
        </w:rPr>
        <w:t>（5）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r>
        <w:rPr>
          <w:rFonts w:hint="eastAsia" w:ascii="宋体" w:hAnsi="宋体" w:cs="宋体"/>
          <w:b/>
          <w:bCs/>
          <w:color w:val="auto"/>
          <w:sz w:val="24"/>
          <w:szCs w:val="24"/>
        </w:rPr>
        <w:t>（详见附件</w:t>
      </w:r>
      <w:r>
        <w:rPr>
          <w:rFonts w:hint="eastAsia" w:cs="宋体"/>
          <w:b/>
          <w:bCs/>
          <w:color w:val="auto"/>
          <w:sz w:val="24"/>
          <w:szCs w:val="24"/>
          <w:lang w:val="en-US" w:eastAsia="zh-CN"/>
        </w:rPr>
        <w:t>5</w:t>
      </w:r>
      <w:r>
        <w:rPr>
          <w:rFonts w:hint="eastAsia" w:ascii="宋体" w:hAnsi="宋体" w:cs="宋体"/>
          <w:b/>
          <w:bCs/>
          <w:color w:val="auto"/>
          <w:sz w:val="24"/>
          <w:szCs w:val="24"/>
        </w:rPr>
        <w:t>）</w:t>
      </w:r>
    </w:p>
    <w:p>
      <w:pPr>
        <w:keepLines w:val="0"/>
        <w:pageBreakBefore w:val="0"/>
        <w:tabs>
          <w:tab w:val="left" w:pos="1710"/>
        </w:tabs>
        <w:kinsoku/>
        <w:wordWrap/>
        <w:overflowPunct/>
        <w:topLinePunct w:val="0"/>
        <w:autoSpaceDE w:val="0"/>
        <w:autoSpaceDN w:val="0"/>
        <w:bidi w:val="0"/>
        <w:adjustRightInd w:val="0"/>
        <w:snapToGrid/>
        <w:spacing w:line="420" w:lineRule="exact"/>
        <w:textAlignment w:val="auto"/>
        <w:rPr>
          <w:rFonts w:ascii="宋体" w:hAnsi="宋体" w:cs="宋体"/>
          <w:b/>
          <w:bCs/>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6</w:t>
      </w:r>
      <w:r>
        <w:rPr>
          <w:rFonts w:hint="eastAsia" w:ascii="宋体" w:hAnsi="宋体" w:cs="宋体"/>
          <w:color w:val="auto"/>
          <w:sz w:val="24"/>
          <w:szCs w:val="24"/>
        </w:rPr>
        <w:t>）与招标人存在利害关系可能影响招标公正性的单位，不得参加投标、单位负责人为同一人或存在控股、管理关系的不同单位，不得参加同一标段投标，否则，相关投标均无效；本次招标不接受联合体投标。</w:t>
      </w:r>
      <w:r>
        <w:rPr>
          <w:rFonts w:hint="eastAsia" w:ascii="宋体" w:hAnsi="宋体" w:cs="宋体"/>
          <w:b/>
          <w:bCs/>
          <w:color w:val="auto"/>
          <w:sz w:val="24"/>
          <w:szCs w:val="24"/>
        </w:rPr>
        <w:t>（详见附件</w:t>
      </w:r>
      <w:r>
        <w:rPr>
          <w:rFonts w:hint="eastAsia" w:ascii="宋体" w:hAnsi="宋体" w:cs="宋体"/>
          <w:b/>
          <w:bCs/>
          <w:color w:val="auto"/>
          <w:sz w:val="24"/>
          <w:szCs w:val="24"/>
          <w:lang w:val="en-US" w:eastAsia="zh-CN"/>
        </w:rPr>
        <w:t>4</w:t>
      </w:r>
      <w:r>
        <w:rPr>
          <w:rFonts w:hint="eastAsia" w:ascii="宋体" w:hAnsi="宋体" w:cs="宋体"/>
          <w:b/>
          <w:bCs/>
          <w:color w:val="auto"/>
          <w:sz w:val="24"/>
          <w:szCs w:val="24"/>
        </w:rPr>
        <w:t>）</w:t>
      </w:r>
    </w:p>
    <w:p>
      <w:pPr>
        <w:keepLines w:val="0"/>
        <w:pageBreakBefore w:val="0"/>
        <w:kinsoku/>
        <w:wordWrap/>
        <w:overflowPunct/>
        <w:topLinePunct w:val="0"/>
        <w:bidi w:val="0"/>
        <w:snapToGrid/>
        <w:spacing w:line="420" w:lineRule="exact"/>
        <w:textAlignment w:val="auto"/>
        <w:rPr>
          <w:rFonts w:ascii="宋体" w:hAnsi="宋体" w:cs="宋体"/>
          <w:b/>
          <w:bCs/>
          <w:color w:val="auto"/>
          <w:sz w:val="24"/>
          <w:szCs w:val="24"/>
        </w:rPr>
      </w:pPr>
      <w:r>
        <w:rPr>
          <w:rFonts w:hint="eastAsia" w:ascii="宋体" w:hAnsi="宋体" w:cs="宋体"/>
          <w:b/>
          <w:bCs/>
          <w:color w:val="auto"/>
          <w:sz w:val="24"/>
          <w:szCs w:val="24"/>
        </w:rPr>
        <w:t>注：供应商按以上序号顺序提供相关资格证明文件的复印件或扫描件，并逐页加盖单位公章。</w:t>
      </w:r>
    </w:p>
    <w:p>
      <w:pPr>
        <w:pStyle w:val="2"/>
        <w:spacing w:line="500" w:lineRule="exact"/>
        <w:rPr>
          <w:color w:val="auto"/>
        </w:rPr>
      </w:pPr>
    </w:p>
    <w:p>
      <w:pPr>
        <w:spacing w:line="500" w:lineRule="exact"/>
        <w:rPr>
          <w:color w:val="auto"/>
        </w:rPr>
      </w:pPr>
    </w:p>
    <w:p>
      <w:pPr>
        <w:pStyle w:val="2"/>
        <w:spacing w:line="500" w:lineRule="exact"/>
        <w:rPr>
          <w:color w:val="auto"/>
        </w:rPr>
      </w:pPr>
    </w:p>
    <w:p>
      <w:pPr>
        <w:spacing w:line="500" w:lineRule="exact"/>
        <w:rPr>
          <w:color w:val="auto"/>
        </w:rPr>
      </w:pPr>
    </w:p>
    <w:p>
      <w:pPr>
        <w:pStyle w:val="2"/>
        <w:spacing w:line="500" w:lineRule="exact"/>
        <w:rPr>
          <w:color w:val="auto"/>
        </w:rPr>
      </w:pPr>
    </w:p>
    <w:p>
      <w:pPr>
        <w:rPr>
          <w:color w:val="auto"/>
        </w:rPr>
      </w:pPr>
    </w:p>
    <w:p>
      <w:pPr>
        <w:spacing w:line="500" w:lineRule="exact"/>
        <w:rPr>
          <w:color w:val="auto"/>
        </w:rPr>
      </w:pPr>
    </w:p>
    <w:p>
      <w:pPr>
        <w:pStyle w:val="2"/>
        <w:spacing w:line="500" w:lineRule="exact"/>
        <w:rPr>
          <w:color w:val="auto"/>
        </w:rPr>
      </w:pPr>
    </w:p>
    <w:p>
      <w:pPr>
        <w:spacing w:line="500" w:lineRule="exact"/>
        <w:rPr>
          <w:color w:val="auto"/>
        </w:rPr>
      </w:pPr>
    </w:p>
    <w:p>
      <w:pPr>
        <w:pStyle w:val="2"/>
        <w:spacing w:line="500" w:lineRule="exact"/>
        <w:rPr>
          <w:color w:val="auto"/>
        </w:rPr>
      </w:pPr>
    </w:p>
    <w:p>
      <w:pPr>
        <w:spacing w:line="500" w:lineRule="exact"/>
        <w:rPr>
          <w:color w:val="auto"/>
        </w:rPr>
      </w:pPr>
    </w:p>
    <w:p>
      <w:pPr>
        <w:pStyle w:val="2"/>
        <w:spacing w:line="500" w:lineRule="exact"/>
        <w:rPr>
          <w:color w:val="auto"/>
        </w:rPr>
      </w:pPr>
    </w:p>
    <w:p>
      <w:pPr>
        <w:spacing w:line="500" w:lineRule="exact"/>
        <w:rPr>
          <w:color w:val="auto"/>
        </w:rPr>
      </w:pPr>
    </w:p>
    <w:p>
      <w:pPr>
        <w:pStyle w:val="2"/>
        <w:spacing w:line="500" w:lineRule="exact"/>
        <w:rPr>
          <w:color w:val="auto"/>
        </w:rPr>
      </w:pPr>
    </w:p>
    <w:p>
      <w:pPr>
        <w:spacing w:line="500" w:lineRule="exact"/>
        <w:rPr>
          <w:color w:val="auto"/>
        </w:rPr>
      </w:pPr>
    </w:p>
    <w:p>
      <w:pPr>
        <w:pStyle w:val="2"/>
        <w:spacing w:line="500" w:lineRule="exact"/>
        <w:rPr>
          <w:color w:val="auto"/>
        </w:rPr>
      </w:pPr>
    </w:p>
    <w:p>
      <w:pPr>
        <w:spacing w:line="500" w:lineRule="exact"/>
        <w:rPr>
          <w:color w:val="auto"/>
        </w:rPr>
      </w:pPr>
    </w:p>
    <w:p>
      <w:pPr>
        <w:pStyle w:val="2"/>
        <w:rPr>
          <w:color w:val="auto"/>
        </w:rPr>
      </w:pPr>
    </w:p>
    <w:p>
      <w:pPr>
        <w:rPr>
          <w:color w:val="auto"/>
        </w:rPr>
      </w:pPr>
    </w:p>
    <w:p>
      <w:pPr>
        <w:pStyle w:val="2"/>
        <w:rPr>
          <w:color w:val="auto"/>
        </w:rPr>
      </w:pPr>
    </w:p>
    <w:p>
      <w:pPr>
        <w:rPr>
          <w:color w:val="auto"/>
        </w:rPr>
      </w:pPr>
    </w:p>
    <w:p>
      <w:pPr>
        <w:spacing w:line="500" w:lineRule="exact"/>
        <w:rPr>
          <w:color w:val="auto"/>
        </w:rPr>
      </w:pPr>
    </w:p>
    <w:p>
      <w:pPr>
        <w:pStyle w:val="4"/>
        <w:keepLines w:val="0"/>
        <w:pageBreakBefore w:val="0"/>
        <w:kinsoku/>
        <w:wordWrap/>
        <w:overflowPunct/>
        <w:topLinePunct w:val="0"/>
        <w:bidi w:val="0"/>
        <w:spacing w:line="420" w:lineRule="exact"/>
        <w:rPr>
          <w:rFonts w:ascii="宋体" w:hAnsi="宋体" w:eastAsia="宋体" w:cs="宋体"/>
          <w:b/>
          <w:bCs/>
          <w:color w:val="auto"/>
          <w:kern w:val="0"/>
          <w:szCs w:val="28"/>
        </w:rPr>
      </w:pPr>
      <w:r>
        <w:rPr>
          <w:rFonts w:hint="eastAsia" w:ascii="宋体" w:hAnsi="宋体" w:eastAsia="宋体" w:cs="宋体"/>
          <w:b/>
          <w:bCs/>
          <w:color w:val="auto"/>
          <w:kern w:val="0"/>
          <w:szCs w:val="28"/>
        </w:rPr>
        <w:t>附件1：</w:t>
      </w:r>
    </w:p>
    <w:p>
      <w:pPr>
        <w:pStyle w:val="4"/>
        <w:keepLines w:val="0"/>
        <w:pageBreakBefore w:val="0"/>
        <w:kinsoku/>
        <w:wordWrap/>
        <w:overflowPunct/>
        <w:topLinePunct w:val="0"/>
        <w:bidi w:val="0"/>
        <w:spacing w:line="420" w:lineRule="exact"/>
        <w:jc w:val="center"/>
        <w:rPr>
          <w:rFonts w:ascii="宋体" w:hAnsi="宋体" w:eastAsia="宋体" w:cs="宋体"/>
          <w:b/>
          <w:bCs/>
          <w:color w:val="auto"/>
          <w:kern w:val="0"/>
          <w:szCs w:val="28"/>
        </w:rPr>
      </w:pPr>
      <w:r>
        <w:rPr>
          <w:rFonts w:hint="eastAsia" w:ascii="宋体" w:hAnsi="宋体" w:eastAsia="宋体" w:cs="宋体"/>
          <w:b/>
          <w:bCs/>
          <w:color w:val="auto"/>
          <w:kern w:val="0"/>
          <w:szCs w:val="28"/>
        </w:rPr>
        <w:t>磋商供应商基本情况表</w:t>
      </w:r>
    </w:p>
    <w:tbl>
      <w:tblPr>
        <w:tblStyle w:val="35"/>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697"/>
        <w:gridCol w:w="1117"/>
        <w:gridCol w:w="1333"/>
        <w:gridCol w:w="1250"/>
        <w:gridCol w:w="1484"/>
        <w:gridCol w:w="1023"/>
        <w:gridCol w:w="1163"/>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462" w:hRule="atLeast"/>
        </w:trPr>
        <w:tc>
          <w:tcPr>
            <w:tcW w:w="1697" w:type="dxa"/>
            <w:tcBorders>
              <w:top w:val="single" w:color="auto" w:sz="12" w:space="0"/>
              <w:left w:val="single" w:color="auto" w:sz="12"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磋商供应商 名称</w:t>
            </w:r>
          </w:p>
        </w:tc>
        <w:tc>
          <w:tcPr>
            <w:tcW w:w="7370" w:type="dxa"/>
            <w:gridSpan w:val="6"/>
            <w:tcBorders>
              <w:top w:val="single" w:color="auto" w:sz="12" w:space="0"/>
              <w:left w:val="single" w:color="auto" w:sz="6" w:space="0"/>
              <w:bottom w:val="single" w:color="auto" w:sz="6" w:space="0"/>
              <w:right w:val="single" w:color="auto" w:sz="12"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注册地址</w:t>
            </w:r>
          </w:p>
        </w:tc>
        <w:tc>
          <w:tcPr>
            <w:tcW w:w="3700" w:type="dxa"/>
            <w:gridSpan w:val="3"/>
            <w:tcBorders>
              <w:top w:val="single" w:color="auto" w:sz="6" w:space="0"/>
              <w:left w:val="single" w:color="auto" w:sz="6"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c>
          <w:tcPr>
            <w:tcW w:w="1484" w:type="dxa"/>
            <w:tcBorders>
              <w:top w:val="single" w:color="auto" w:sz="6" w:space="0"/>
              <w:left w:val="single" w:color="auto" w:sz="6"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邮政编码</w:t>
            </w:r>
          </w:p>
        </w:tc>
        <w:tc>
          <w:tcPr>
            <w:tcW w:w="2186" w:type="dxa"/>
            <w:gridSpan w:val="2"/>
            <w:tcBorders>
              <w:top w:val="single" w:color="auto" w:sz="6" w:space="0"/>
              <w:left w:val="single" w:color="auto" w:sz="6" w:space="0"/>
              <w:bottom w:val="single" w:color="auto" w:sz="6" w:space="0"/>
              <w:right w:val="single" w:color="auto" w:sz="12"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vMerge w:val="restart"/>
            <w:tcBorders>
              <w:top w:val="single" w:color="auto" w:sz="6" w:space="0"/>
              <w:left w:val="single" w:color="auto" w:sz="12"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联系方式</w:t>
            </w:r>
          </w:p>
        </w:tc>
        <w:tc>
          <w:tcPr>
            <w:tcW w:w="1117" w:type="dxa"/>
            <w:tcBorders>
              <w:top w:val="single" w:color="auto" w:sz="6" w:space="0"/>
              <w:left w:val="single" w:color="auto" w:sz="6"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联系人</w:t>
            </w:r>
          </w:p>
        </w:tc>
        <w:tc>
          <w:tcPr>
            <w:tcW w:w="2583" w:type="dxa"/>
            <w:gridSpan w:val="2"/>
            <w:tcBorders>
              <w:top w:val="single" w:color="auto" w:sz="6" w:space="0"/>
              <w:left w:val="single" w:color="auto" w:sz="6"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c>
          <w:tcPr>
            <w:tcW w:w="1484" w:type="dxa"/>
            <w:tcBorders>
              <w:top w:val="single" w:color="auto" w:sz="6" w:space="0"/>
              <w:left w:val="single" w:color="auto" w:sz="6"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电话</w:t>
            </w:r>
          </w:p>
        </w:tc>
        <w:tc>
          <w:tcPr>
            <w:tcW w:w="2186" w:type="dxa"/>
            <w:gridSpan w:val="2"/>
            <w:tcBorders>
              <w:top w:val="single" w:color="auto" w:sz="6" w:space="0"/>
              <w:left w:val="single" w:color="auto" w:sz="6" w:space="0"/>
              <w:bottom w:val="single" w:color="auto" w:sz="6" w:space="0"/>
              <w:right w:val="single" w:color="auto" w:sz="12"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97" w:type="dxa"/>
            <w:vMerge w:val="continue"/>
            <w:tcBorders>
              <w:top w:val="single" w:color="auto" w:sz="6" w:space="0"/>
              <w:left w:val="single" w:color="auto" w:sz="12" w:space="0"/>
              <w:bottom w:val="single" w:color="auto" w:sz="6" w:space="0"/>
              <w:right w:val="single" w:color="auto" w:sz="6" w:space="0"/>
            </w:tcBorders>
            <w:vAlign w:val="center"/>
          </w:tcPr>
          <w:p>
            <w:pPr>
              <w:keepLines w:val="0"/>
              <w:pageBreakBefore w:val="0"/>
              <w:widowControl/>
              <w:kinsoku/>
              <w:wordWrap/>
              <w:overflowPunct/>
              <w:topLinePunct w:val="0"/>
              <w:bidi w:val="0"/>
              <w:spacing w:line="420" w:lineRule="exact"/>
              <w:jc w:val="left"/>
              <w:rPr>
                <w:rFonts w:ascii="宋体" w:hAnsi="宋体" w:cs="宋体"/>
                <w:color w:val="auto"/>
                <w:kern w:val="0"/>
                <w:sz w:val="24"/>
                <w:szCs w:val="24"/>
              </w:rPr>
            </w:pPr>
          </w:p>
        </w:tc>
        <w:tc>
          <w:tcPr>
            <w:tcW w:w="1117" w:type="dxa"/>
            <w:tcBorders>
              <w:top w:val="single" w:color="auto" w:sz="6" w:space="0"/>
              <w:left w:val="single" w:color="auto" w:sz="6"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传真</w:t>
            </w:r>
          </w:p>
        </w:tc>
        <w:tc>
          <w:tcPr>
            <w:tcW w:w="2583" w:type="dxa"/>
            <w:gridSpan w:val="2"/>
            <w:tcBorders>
              <w:top w:val="single" w:color="auto" w:sz="6" w:space="0"/>
              <w:left w:val="single" w:color="auto" w:sz="6"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c>
          <w:tcPr>
            <w:tcW w:w="1484" w:type="dxa"/>
            <w:tcBorders>
              <w:top w:val="single" w:color="auto" w:sz="6" w:space="0"/>
              <w:left w:val="single" w:color="auto" w:sz="6"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网址</w:t>
            </w:r>
          </w:p>
        </w:tc>
        <w:tc>
          <w:tcPr>
            <w:tcW w:w="2186" w:type="dxa"/>
            <w:gridSpan w:val="2"/>
            <w:tcBorders>
              <w:top w:val="single" w:color="auto" w:sz="6" w:space="0"/>
              <w:left w:val="single" w:color="auto" w:sz="6" w:space="0"/>
              <w:bottom w:val="single" w:color="auto" w:sz="6" w:space="0"/>
              <w:right w:val="single" w:color="auto" w:sz="12"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单位性质</w:t>
            </w:r>
          </w:p>
        </w:tc>
        <w:tc>
          <w:tcPr>
            <w:tcW w:w="7370" w:type="dxa"/>
            <w:gridSpan w:val="6"/>
            <w:tcBorders>
              <w:top w:val="single" w:color="auto" w:sz="6" w:space="0"/>
              <w:left w:val="single" w:color="auto" w:sz="6" w:space="0"/>
              <w:bottom w:val="single" w:color="auto" w:sz="6" w:space="0"/>
              <w:right w:val="single" w:color="auto" w:sz="12"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7" w:type="dxa"/>
            <w:tcBorders>
              <w:top w:val="single" w:color="auto" w:sz="6" w:space="0"/>
              <w:left w:val="single" w:color="auto" w:sz="12"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法定代表人</w:t>
            </w:r>
          </w:p>
        </w:tc>
        <w:tc>
          <w:tcPr>
            <w:tcW w:w="1117" w:type="dxa"/>
            <w:tcBorders>
              <w:top w:val="single" w:color="auto" w:sz="6" w:space="0"/>
              <w:left w:val="single" w:color="auto" w:sz="6"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姓名</w:t>
            </w:r>
          </w:p>
        </w:tc>
        <w:tc>
          <w:tcPr>
            <w:tcW w:w="1333" w:type="dxa"/>
            <w:tcBorders>
              <w:top w:val="single" w:color="auto" w:sz="6" w:space="0"/>
              <w:left w:val="single" w:color="auto" w:sz="6"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c>
          <w:tcPr>
            <w:tcW w:w="1250" w:type="dxa"/>
            <w:tcBorders>
              <w:top w:val="single" w:color="auto" w:sz="6" w:space="0"/>
              <w:left w:val="single" w:color="auto" w:sz="6"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技术职称</w:t>
            </w:r>
          </w:p>
        </w:tc>
        <w:tc>
          <w:tcPr>
            <w:tcW w:w="1484" w:type="dxa"/>
            <w:tcBorders>
              <w:top w:val="single" w:color="auto" w:sz="6" w:space="0"/>
              <w:left w:val="single" w:color="auto" w:sz="6"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c>
          <w:tcPr>
            <w:tcW w:w="1023" w:type="dxa"/>
            <w:tcBorders>
              <w:top w:val="single" w:color="auto" w:sz="6" w:space="0"/>
              <w:left w:val="single" w:color="auto" w:sz="6"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电话</w:t>
            </w:r>
          </w:p>
        </w:tc>
        <w:tc>
          <w:tcPr>
            <w:tcW w:w="1163" w:type="dxa"/>
            <w:tcBorders>
              <w:top w:val="single" w:color="auto" w:sz="6" w:space="0"/>
              <w:left w:val="single" w:color="auto" w:sz="6" w:space="0"/>
              <w:bottom w:val="single" w:color="auto" w:sz="6" w:space="0"/>
              <w:right w:val="single" w:color="auto" w:sz="12"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7" w:type="dxa"/>
            <w:tcBorders>
              <w:top w:val="single" w:color="auto" w:sz="6" w:space="0"/>
              <w:left w:val="single" w:color="auto" w:sz="12"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技术负责人</w:t>
            </w:r>
          </w:p>
        </w:tc>
        <w:tc>
          <w:tcPr>
            <w:tcW w:w="1117" w:type="dxa"/>
            <w:tcBorders>
              <w:top w:val="single" w:color="auto" w:sz="6" w:space="0"/>
              <w:left w:val="single" w:color="auto" w:sz="6" w:space="0"/>
              <w:bottom w:val="single" w:color="auto" w:sz="4"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姓名</w:t>
            </w:r>
          </w:p>
        </w:tc>
        <w:tc>
          <w:tcPr>
            <w:tcW w:w="1333" w:type="dxa"/>
            <w:tcBorders>
              <w:top w:val="single" w:color="auto" w:sz="6" w:space="0"/>
              <w:left w:val="single" w:color="auto" w:sz="6" w:space="0"/>
              <w:bottom w:val="single" w:color="auto" w:sz="4"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c>
          <w:tcPr>
            <w:tcW w:w="1250" w:type="dxa"/>
            <w:tcBorders>
              <w:top w:val="single" w:color="auto" w:sz="6" w:space="0"/>
              <w:left w:val="single" w:color="auto" w:sz="6" w:space="0"/>
              <w:bottom w:val="single" w:color="auto" w:sz="4"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技术职称</w:t>
            </w:r>
          </w:p>
        </w:tc>
        <w:tc>
          <w:tcPr>
            <w:tcW w:w="1484" w:type="dxa"/>
            <w:tcBorders>
              <w:top w:val="single" w:color="auto" w:sz="6" w:space="0"/>
              <w:left w:val="single" w:color="auto" w:sz="6"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c>
          <w:tcPr>
            <w:tcW w:w="1023" w:type="dxa"/>
            <w:tcBorders>
              <w:top w:val="single" w:color="auto" w:sz="6" w:space="0"/>
              <w:left w:val="single" w:color="auto" w:sz="6"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电话</w:t>
            </w:r>
          </w:p>
        </w:tc>
        <w:tc>
          <w:tcPr>
            <w:tcW w:w="1163" w:type="dxa"/>
            <w:tcBorders>
              <w:top w:val="single" w:color="auto" w:sz="6" w:space="0"/>
              <w:left w:val="single" w:color="auto" w:sz="6" w:space="0"/>
              <w:bottom w:val="single" w:color="auto" w:sz="6" w:space="0"/>
              <w:right w:val="single" w:color="auto" w:sz="12"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4"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企业资质等级</w:t>
            </w:r>
          </w:p>
        </w:tc>
        <w:tc>
          <w:tcPr>
            <w:tcW w:w="2450" w:type="dxa"/>
            <w:gridSpan w:val="2"/>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bCs/>
                <w:color w:val="auto"/>
                <w:kern w:val="0"/>
                <w:sz w:val="24"/>
                <w:szCs w:val="24"/>
              </w:rPr>
            </w:pPr>
          </w:p>
        </w:tc>
        <w:tc>
          <w:tcPr>
            <w:tcW w:w="1250"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bCs/>
                <w:color w:val="auto"/>
                <w:kern w:val="0"/>
                <w:sz w:val="24"/>
                <w:szCs w:val="24"/>
              </w:rPr>
            </w:pPr>
            <w:r>
              <w:rPr>
                <w:rFonts w:hint="eastAsia" w:ascii="宋体" w:hAnsi="宋体" w:cs="宋体"/>
                <w:color w:val="auto"/>
                <w:kern w:val="0"/>
                <w:sz w:val="24"/>
                <w:szCs w:val="24"/>
              </w:rPr>
              <w:t>成立时间</w:t>
            </w:r>
          </w:p>
        </w:tc>
        <w:tc>
          <w:tcPr>
            <w:tcW w:w="3670" w:type="dxa"/>
            <w:gridSpan w:val="3"/>
            <w:tcBorders>
              <w:top w:val="single" w:color="auto" w:sz="6" w:space="0"/>
              <w:left w:val="single" w:color="auto" w:sz="4" w:space="0"/>
              <w:right w:val="single" w:color="auto" w:sz="12"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注册资金</w:t>
            </w:r>
          </w:p>
        </w:tc>
        <w:tc>
          <w:tcPr>
            <w:tcW w:w="2450" w:type="dxa"/>
            <w:gridSpan w:val="2"/>
            <w:tcBorders>
              <w:top w:val="single" w:color="auto" w:sz="4" w:space="0"/>
              <w:left w:val="single" w:color="auto" w:sz="6"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right"/>
              <w:rPr>
                <w:rFonts w:ascii="宋体" w:hAnsi="宋体" w:cs="宋体"/>
                <w:color w:val="auto"/>
                <w:kern w:val="0"/>
                <w:sz w:val="24"/>
                <w:szCs w:val="24"/>
              </w:rPr>
            </w:pPr>
            <w:r>
              <w:rPr>
                <w:rFonts w:hint="eastAsia" w:ascii="宋体" w:hAnsi="宋体" w:cs="宋体"/>
                <w:color w:val="auto"/>
                <w:kern w:val="0"/>
                <w:sz w:val="24"/>
                <w:szCs w:val="24"/>
              </w:rPr>
              <w:t>万元</w:t>
            </w:r>
          </w:p>
        </w:tc>
        <w:tc>
          <w:tcPr>
            <w:tcW w:w="1250" w:type="dxa"/>
            <w:vMerge w:val="restart"/>
            <w:tcBorders>
              <w:top w:val="single" w:color="auto" w:sz="4" w:space="0"/>
              <w:left w:val="single" w:color="auto" w:sz="6" w:space="0"/>
              <w:right w:val="single" w:color="auto" w:sz="6" w:space="0"/>
            </w:tcBorders>
            <w:vAlign w:val="center"/>
          </w:tcPr>
          <w:p>
            <w:pPr>
              <w:keepLines w:val="0"/>
              <w:pageBreakBefore w:val="0"/>
              <w:widowControl/>
              <w:kinsoku/>
              <w:wordWrap/>
              <w:overflowPunct/>
              <w:topLinePunct w:val="0"/>
              <w:bidi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固定资产</w:t>
            </w:r>
          </w:p>
        </w:tc>
        <w:tc>
          <w:tcPr>
            <w:tcW w:w="1484" w:type="dxa"/>
            <w:tcBorders>
              <w:top w:val="single" w:color="auto" w:sz="6" w:space="0"/>
              <w:left w:val="single" w:color="auto" w:sz="6"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原值</w:t>
            </w:r>
          </w:p>
        </w:tc>
        <w:tc>
          <w:tcPr>
            <w:tcW w:w="2186" w:type="dxa"/>
            <w:gridSpan w:val="2"/>
            <w:tcBorders>
              <w:top w:val="single" w:color="auto" w:sz="6" w:space="0"/>
              <w:left w:val="single" w:color="auto" w:sz="6" w:space="0"/>
              <w:bottom w:val="single" w:color="auto" w:sz="6" w:space="0"/>
              <w:right w:val="single" w:color="auto" w:sz="12" w:space="0"/>
            </w:tcBorders>
            <w:vAlign w:val="center"/>
          </w:tcPr>
          <w:p>
            <w:pPr>
              <w:keepLines w:val="0"/>
              <w:pageBreakBefore w:val="0"/>
              <w:kinsoku/>
              <w:wordWrap/>
              <w:overflowPunct/>
              <w:topLinePunct w:val="0"/>
              <w:autoSpaceDE w:val="0"/>
              <w:autoSpaceDN w:val="0"/>
              <w:bidi w:val="0"/>
              <w:adjustRightInd w:val="0"/>
              <w:spacing w:line="420" w:lineRule="exact"/>
              <w:jc w:val="right"/>
              <w:rPr>
                <w:rFonts w:ascii="宋体" w:hAnsi="宋体" w:cs="宋体"/>
                <w:bCs/>
                <w:color w:val="auto"/>
                <w:kern w:val="0"/>
                <w:sz w:val="24"/>
                <w:szCs w:val="24"/>
              </w:rPr>
            </w:pPr>
            <w:r>
              <w:rPr>
                <w:rFonts w:hint="eastAsia" w:ascii="宋体" w:hAnsi="宋体" w:cs="宋体"/>
                <w:bCs/>
                <w:color w:val="auto"/>
                <w:kern w:val="0"/>
                <w:sz w:val="24"/>
                <w:szCs w:val="24"/>
              </w:rPr>
              <w:t>万元</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流动资金</w:t>
            </w:r>
          </w:p>
        </w:tc>
        <w:tc>
          <w:tcPr>
            <w:tcW w:w="2450" w:type="dxa"/>
            <w:gridSpan w:val="2"/>
            <w:tcBorders>
              <w:top w:val="single" w:color="auto" w:sz="6" w:space="0"/>
              <w:left w:val="single" w:color="auto" w:sz="6"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right"/>
              <w:rPr>
                <w:rFonts w:ascii="宋体" w:hAnsi="宋体" w:cs="宋体"/>
                <w:color w:val="auto"/>
                <w:kern w:val="0"/>
                <w:sz w:val="24"/>
                <w:szCs w:val="24"/>
              </w:rPr>
            </w:pPr>
            <w:r>
              <w:rPr>
                <w:rFonts w:hint="eastAsia" w:ascii="宋体" w:hAnsi="宋体" w:cs="宋体"/>
                <w:color w:val="auto"/>
                <w:kern w:val="0"/>
                <w:sz w:val="24"/>
                <w:szCs w:val="24"/>
              </w:rPr>
              <w:t xml:space="preserve">         万元</w:t>
            </w:r>
          </w:p>
        </w:tc>
        <w:tc>
          <w:tcPr>
            <w:tcW w:w="1250" w:type="dxa"/>
            <w:vMerge w:val="continue"/>
            <w:tcBorders>
              <w:left w:val="single" w:color="auto" w:sz="6" w:space="0"/>
              <w:bottom w:val="single" w:color="auto" w:sz="6" w:space="0"/>
              <w:right w:val="single" w:color="auto" w:sz="6" w:space="0"/>
            </w:tcBorders>
            <w:vAlign w:val="center"/>
          </w:tcPr>
          <w:p>
            <w:pPr>
              <w:keepLines w:val="0"/>
              <w:pageBreakBefore w:val="0"/>
              <w:widowControl/>
              <w:kinsoku/>
              <w:wordWrap/>
              <w:overflowPunct/>
              <w:topLinePunct w:val="0"/>
              <w:bidi w:val="0"/>
              <w:spacing w:line="420" w:lineRule="exact"/>
              <w:jc w:val="left"/>
              <w:rPr>
                <w:rFonts w:ascii="宋体" w:hAnsi="宋体" w:cs="宋体"/>
                <w:color w:val="auto"/>
                <w:kern w:val="0"/>
                <w:sz w:val="24"/>
                <w:szCs w:val="24"/>
              </w:rPr>
            </w:pPr>
          </w:p>
        </w:tc>
        <w:tc>
          <w:tcPr>
            <w:tcW w:w="1484" w:type="dxa"/>
            <w:tcBorders>
              <w:top w:val="single" w:color="auto" w:sz="6" w:space="0"/>
              <w:left w:val="single" w:color="auto" w:sz="6"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净值</w:t>
            </w:r>
          </w:p>
        </w:tc>
        <w:tc>
          <w:tcPr>
            <w:tcW w:w="2186" w:type="dxa"/>
            <w:gridSpan w:val="2"/>
            <w:tcBorders>
              <w:top w:val="single" w:color="auto" w:sz="6" w:space="0"/>
              <w:left w:val="single" w:color="auto" w:sz="6" w:space="0"/>
              <w:bottom w:val="single" w:color="auto" w:sz="6" w:space="0"/>
              <w:right w:val="single" w:color="auto" w:sz="12" w:space="0"/>
            </w:tcBorders>
            <w:vAlign w:val="center"/>
          </w:tcPr>
          <w:p>
            <w:pPr>
              <w:keepLines w:val="0"/>
              <w:pageBreakBefore w:val="0"/>
              <w:kinsoku/>
              <w:wordWrap/>
              <w:overflowPunct/>
              <w:topLinePunct w:val="0"/>
              <w:autoSpaceDE w:val="0"/>
              <w:autoSpaceDN w:val="0"/>
              <w:bidi w:val="0"/>
              <w:adjustRightInd w:val="0"/>
              <w:spacing w:line="420" w:lineRule="exact"/>
              <w:jc w:val="right"/>
              <w:rPr>
                <w:rFonts w:ascii="宋体" w:hAnsi="宋体" w:cs="宋体"/>
                <w:bCs/>
                <w:color w:val="auto"/>
                <w:kern w:val="0"/>
                <w:sz w:val="24"/>
                <w:szCs w:val="24"/>
              </w:rPr>
            </w:pPr>
            <w:r>
              <w:rPr>
                <w:rFonts w:hint="eastAsia" w:ascii="宋体" w:hAnsi="宋体" w:cs="宋体"/>
                <w:bCs/>
                <w:color w:val="auto"/>
                <w:kern w:val="0"/>
                <w:sz w:val="24"/>
                <w:szCs w:val="24"/>
              </w:rPr>
              <w:t>万元</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开户银行</w:t>
            </w:r>
          </w:p>
        </w:tc>
        <w:tc>
          <w:tcPr>
            <w:tcW w:w="2450" w:type="dxa"/>
            <w:gridSpan w:val="2"/>
            <w:tcBorders>
              <w:top w:val="single" w:color="auto" w:sz="6" w:space="0"/>
              <w:left w:val="single" w:color="auto" w:sz="6"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c>
          <w:tcPr>
            <w:tcW w:w="1250" w:type="dxa"/>
            <w:vMerge w:val="restart"/>
            <w:tcBorders>
              <w:top w:val="single" w:color="auto" w:sz="6" w:space="0"/>
              <w:left w:val="single" w:color="auto" w:sz="6" w:space="0"/>
              <w:right w:val="single" w:color="auto" w:sz="6" w:space="0"/>
            </w:tcBorders>
            <w:vAlign w:val="center"/>
          </w:tcPr>
          <w:p>
            <w:pPr>
              <w:keepLines w:val="0"/>
              <w:pageBreakBefore w:val="0"/>
              <w:widowControl/>
              <w:kinsoku/>
              <w:wordWrap/>
              <w:overflowPunct/>
              <w:topLinePunct w:val="0"/>
              <w:bidi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职工总数  XX人</w:t>
            </w:r>
          </w:p>
        </w:tc>
        <w:tc>
          <w:tcPr>
            <w:tcW w:w="1484" w:type="dxa"/>
            <w:tcBorders>
              <w:top w:val="single" w:color="auto" w:sz="6" w:space="0"/>
              <w:left w:val="single" w:color="auto" w:sz="6"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生产工人</w:t>
            </w:r>
          </w:p>
        </w:tc>
        <w:tc>
          <w:tcPr>
            <w:tcW w:w="2186" w:type="dxa"/>
            <w:gridSpan w:val="2"/>
            <w:tcBorders>
              <w:top w:val="single" w:color="auto" w:sz="6" w:space="0"/>
              <w:left w:val="single" w:color="auto" w:sz="6" w:space="0"/>
              <w:bottom w:val="single" w:color="auto" w:sz="6" w:space="0"/>
              <w:right w:val="single" w:color="auto" w:sz="12" w:space="0"/>
            </w:tcBorders>
            <w:vAlign w:val="center"/>
          </w:tcPr>
          <w:p>
            <w:pPr>
              <w:keepLines w:val="0"/>
              <w:pageBreakBefore w:val="0"/>
              <w:kinsoku/>
              <w:wordWrap/>
              <w:overflowPunct/>
              <w:topLinePunct w:val="0"/>
              <w:autoSpaceDE w:val="0"/>
              <w:autoSpaceDN w:val="0"/>
              <w:bidi w:val="0"/>
              <w:adjustRightInd w:val="0"/>
              <w:spacing w:line="420" w:lineRule="exact"/>
              <w:jc w:val="right"/>
              <w:rPr>
                <w:rFonts w:ascii="宋体" w:hAnsi="宋体" w:cs="宋体"/>
                <w:bCs/>
                <w:color w:val="auto"/>
                <w:kern w:val="0"/>
                <w:sz w:val="24"/>
                <w:szCs w:val="24"/>
              </w:rPr>
            </w:pPr>
            <w:r>
              <w:rPr>
                <w:rFonts w:hint="eastAsia" w:ascii="宋体" w:hAnsi="宋体" w:cs="宋体"/>
                <w:bCs/>
                <w:color w:val="auto"/>
                <w:kern w:val="0"/>
                <w:sz w:val="24"/>
                <w:szCs w:val="24"/>
              </w:rPr>
              <w:t>人</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基本银行账号</w:t>
            </w:r>
          </w:p>
        </w:tc>
        <w:tc>
          <w:tcPr>
            <w:tcW w:w="2450" w:type="dxa"/>
            <w:gridSpan w:val="2"/>
            <w:tcBorders>
              <w:top w:val="single" w:color="auto" w:sz="6" w:space="0"/>
              <w:left w:val="single" w:color="auto" w:sz="6"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c>
          <w:tcPr>
            <w:tcW w:w="1250" w:type="dxa"/>
            <w:vMerge w:val="continue"/>
            <w:tcBorders>
              <w:left w:val="single" w:color="auto" w:sz="6" w:space="0"/>
              <w:bottom w:val="single" w:color="auto" w:sz="6" w:space="0"/>
              <w:right w:val="single" w:color="auto" w:sz="6" w:space="0"/>
            </w:tcBorders>
            <w:vAlign w:val="center"/>
          </w:tcPr>
          <w:p>
            <w:pPr>
              <w:keepLines w:val="0"/>
              <w:pageBreakBefore w:val="0"/>
              <w:widowControl/>
              <w:kinsoku/>
              <w:wordWrap/>
              <w:overflowPunct/>
              <w:topLinePunct w:val="0"/>
              <w:bidi w:val="0"/>
              <w:spacing w:line="420" w:lineRule="exact"/>
              <w:jc w:val="left"/>
              <w:rPr>
                <w:rFonts w:ascii="宋体" w:hAnsi="宋体" w:cs="宋体"/>
                <w:color w:val="auto"/>
                <w:kern w:val="0"/>
                <w:sz w:val="24"/>
                <w:szCs w:val="24"/>
              </w:rPr>
            </w:pPr>
          </w:p>
        </w:tc>
        <w:tc>
          <w:tcPr>
            <w:tcW w:w="1484" w:type="dxa"/>
            <w:tcBorders>
              <w:top w:val="single" w:color="auto" w:sz="6" w:space="0"/>
              <w:left w:val="single" w:color="auto" w:sz="6"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技术人员</w:t>
            </w:r>
          </w:p>
        </w:tc>
        <w:tc>
          <w:tcPr>
            <w:tcW w:w="2186" w:type="dxa"/>
            <w:gridSpan w:val="2"/>
            <w:tcBorders>
              <w:top w:val="single" w:color="auto" w:sz="6" w:space="0"/>
              <w:left w:val="single" w:color="auto" w:sz="6" w:space="0"/>
              <w:bottom w:val="single" w:color="auto" w:sz="6" w:space="0"/>
              <w:right w:val="single" w:color="auto" w:sz="12" w:space="0"/>
            </w:tcBorders>
            <w:vAlign w:val="center"/>
          </w:tcPr>
          <w:p>
            <w:pPr>
              <w:keepLines w:val="0"/>
              <w:pageBreakBefore w:val="0"/>
              <w:kinsoku/>
              <w:wordWrap/>
              <w:overflowPunct/>
              <w:topLinePunct w:val="0"/>
              <w:autoSpaceDE w:val="0"/>
              <w:autoSpaceDN w:val="0"/>
              <w:bidi w:val="0"/>
              <w:adjustRightInd w:val="0"/>
              <w:spacing w:line="420" w:lineRule="exact"/>
              <w:jc w:val="right"/>
              <w:rPr>
                <w:rFonts w:ascii="宋体" w:hAnsi="宋体" w:cs="宋体"/>
                <w:bCs/>
                <w:color w:val="auto"/>
                <w:kern w:val="0"/>
                <w:sz w:val="24"/>
                <w:szCs w:val="24"/>
              </w:rPr>
            </w:pPr>
            <w:r>
              <w:rPr>
                <w:rFonts w:hint="eastAsia" w:ascii="宋体" w:hAnsi="宋体" w:cs="宋体"/>
                <w:bCs/>
                <w:color w:val="auto"/>
                <w:kern w:val="0"/>
                <w:sz w:val="24"/>
                <w:szCs w:val="24"/>
              </w:rPr>
              <w:t>人</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242" w:hRule="atLeast"/>
        </w:trPr>
        <w:tc>
          <w:tcPr>
            <w:tcW w:w="1697" w:type="dxa"/>
            <w:tcBorders>
              <w:top w:val="single" w:color="auto" w:sz="6" w:space="0"/>
              <w:left w:val="single" w:color="auto" w:sz="12" w:space="0"/>
              <w:bottom w:val="single" w:color="auto" w:sz="6" w:space="0"/>
              <w:right w:val="single" w:color="auto" w:sz="4"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经营范围</w:t>
            </w:r>
          </w:p>
        </w:tc>
        <w:tc>
          <w:tcPr>
            <w:tcW w:w="7370" w:type="dxa"/>
            <w:gridSpan w:val="6"/>
            <w:tcBorders>
              <w:top w:val="single" w:color="auto" w:sz="4" w:space="0"/>
              <w:left w:val="single" w:color="auto" w:sz="4" w:space="0"/>
              <w:bottom w:val="single" w:color="auto" w:sz="4" w:space="0"/>
              <w:right w:val="single" w:color="auto" w:sz="12" w:space="0"/>
            </w:tcBorders>
            <w:vAlign w:val="center"/>
          </w:tcPr>
          <w:p>
            <w:pPr>
              <w:keepLines w:val="0"/>
              <w:pageBreakBefore w:val="0"/>
              <w:kinsoku/>
              <w:wordWrap/>
              <w:overflowPunct/>
              <w:topLinePunct w:val="0"/>
              <w:autoSpaceDE w:val="0"/>
              <w:autoSpaceDN w:val="0"/>
              <w:bidi w:val="0"/>
              <w:adjustRightInd w:val="0"/>
              <w:spacing w:line="420" w:lineRule="exact"/>
              <w:rPr>
                <w:rFonts w:ascii="宋体" w:hAnsi="宋体" w:cs="宋体"/>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25" w:hRule="atLeast"/>
        </w:trPr>
        <w:tc>
          <w:tcPr>
            <w:tcW w:w="1697" w:type="dxa"/>
            <w:tcBorders>
              <w:top w:val="single" w:color="auto" w:sz="6" w:space="0"/>
              <w:left w:val="single" w:color="auto" w:sz="12" w:space="0"/>
              <w:bottom w:val="single" w:color="auto" w:sz="12"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备注</w:t>
            </w:r>
          </w:p>
        </w:tc>
        <w:tc>
          <w:tcPr>
            <w:tcW w:w="7370" w:type="dxa"/>
            <w:gridSpan w:val="6"/>
            <w:tcBorders>
              <w:top w:val="single" w:color="auto" w:sz="6" w:space="0"/>
              <w:left w:val="single" w:color="auto" w:sz="6" w:space="0"/>
              <w:bottom w:val="single" w:color="auto" w:sz="12" w:space="0"/>
              <w:right w:val="single" w:color="auto" w:sz="12" w:space="0"/>
            </w:tcBorders>
          </w:tcPr>
          <w:p>
            <w:pPr>
              <w:keepLines w:val="0"/>
              <w:pageBreakBefore w:val="0"/>
              <w:kinsoku/>
              <w:wordWrap/>
              <w:overflowPunct/>
              <w:topLinePunct w:val="0"/>
              <w:autoSpaceDE w:val="0"/>
              <w:autoSpaceDN w:val="0"/>
              <w:bidi w:val="0"/>
              <w:adjustRightInd w:val="0"/>
              <w:spacing w:line="420" w:lineRule="exact"/>
              <w:jc w:val="left"/>
              <w:rPr>
                <w:rFonts w:ascii="宋体" w:hAnsi="宋体" w:cs="宋体"/>
                <w:color w:val="auto"/>
                <w:kern w:val="0"/>
                <w:sz w:val="24"/>
                <w:szCs w:val="24"/>
              </w:rPr>
            </w:pPr>
          </w:p>
        </w:tc>
      </w:tr>
    </w:tbl>
    <w:p>
      <w:pPr>
        <w:keepLines w:val="0"/>
        <w:pageBreakBefore w:val="0"/>
        <w:kinsoku/>
        <w:wordWrap/>
        <w:overflowPunct/>
        <w:topLinePunct w:val="0"/>
        <w:bidi w:val="0"/>
        <w:adjustRightInd w:val="0"/>
        <w:spacing w:line="420" w:lineRule="exact"/>
        <w:jc w:val="left"/>
        <w:rPr>
          <w:rFonts w:ascii="宋体" w:hAnsi="宋体" w:cs="宋体"/>
          <w:color w:val="auto"/>
          <w:sz w:val="24"/>
        </w:rPr>
      </w:pPr>
      <w:r>
        <w:rPr>
          <w:rFonts w:hint="eastAsia" w:ascii="宋体" w:hAnsi="宋体" w:cs="宋体"/>
          <w:color w:val="auto"/>
          <w:sz w:val="24"/>
        </w:rPr>
        <w:t>供应商名称：         （盖章）</w:t>
      </w:r>
    </w:p>
    <w:p>
      <w:pPr>
        <w:keepLines w:val="0"/>
        <w:pageBreakBefore w:val="0"/>
        <w:kinsoku/>
        <w:wordWrap/>
        <w:overflowPunct/>
        <w:topLinePunct w:val="0"/>
        <w:autoSpaceDE w:val="0"/>
        <w:autoSpaceDN w:val="0"/>
        <w:bidi w:val="0"/>
        <w:adjustRightInd w:val="0"/>
        <w:spacing w:line="420" w:lineRule="exact"/>
        <w:rPr>
          <w:rFonts w:hint="eastAsia" w:ascii="宋体" w:hAnsi="宋体" w:cs="宋体"/>
          <w:bCs/>
          <w:color w:val="auto"/>
          <w:sz w:val="24"/>
        </w:rPr>
      </w:pPr>
      <w:r>
        <w:rPr>
          <w:rFonts w:hint="eastAsia" w:ascii="宋体" w:hAnsi="宋体" w:cs="宋体"/>
          <w:color w:val="auto"/>
          <w:sz w:val="24"/>
        </w:rPr>
        <w:t>法定代表人或授权代表（签名或盖章）</w:t>
      </w:r>
      <w:r>
        <w:rPr>
          <w:rFonts w:hint="eastAsia" w:ascii="宋体" w:hAnsi="宋体" w:cs="宋体"/>
          <w:bCs/>
          <w:color w:val="auto"/>
          <w:sz w:val="24"/>
        </w:rPr>
        <w:t xml:space="preserve">：               日期: </w:t>
      </w:r>
    </w:p>
    <w:p>
      <w:pPr>
        <w:pStyle w:val="2"/>
        <w:rPr>
          <w:color w:val="auto"/>
        </w:rPr>
      </w:pPr>
    </w:p>
    <w:p>
      <w:pPr>
        <w:rPr>
          <w:color w:val="auto"/>
        </w:rPr>
      </w:pPr>
    </w:p>
    <w:p>
      <w:pPr>
        <w:pStyle w:val="4"/>
        <w:keepLines w:val="0"/>
        <w:pageBreakBefore w:val="0"/>
        <w:kinsoku/>
        <w:wordWrap/>
        <w:overflowPunct/>
        <w:topLinePunct w:val="0"/>
        <w:bidi w:val="0"/>
        <w:spacing w:line="420" w:lineRule="exact"/>
        <w:rPr>
          <w:rFonts w:ascii="宋体" w:hAnsi="宋体" w:eastAsia="宋体" w:cs="宋体"/>
          <w:b/>
          <w:bCs/>
          <w:color w:val="auto"/>
          <w:kern w:val="0"/>
          <w:szCs w:val="28"/>
        </w:rPr>
      </w:pPr>
      <w:r>
        <w:rPr>
          <w:rFonts w:hint="eastAsia" w:ascii="宋体" w:hAnsi="宋体" w:eastAsia="宋体" w:cs="宋体"/>
          <w:b/>
          <w:bCs/>
          <w:color w:val="auto"/>
          <w:kern w:val="0"/>
          <w:szCs w:val="28"/>
        </w:rPr>
        <w:t>附件2：</w:t>
      </w:r>
    </w:p>
    <w:p>
      <w:pPr>
        <w:pStyle w:val="4"/>
        <w:keepLines w:val="0"/>
        <w:pageBreakBefore w:val="0"/>
        <w:kinsoku/>
        <w:wordWrap/>
        <w:overflowPunct/>
        <w:topLinePunct w:val="0"/>
        <w:bidi w:val="0"/>
        <w:spacing w:line="420" w:lineRule="exact"/>
        <w:rPr>
          <w:rFonts w:ascii="宋体" w:hAnsi="宋体" w:eastAsia="宋体" w:cs="宋体"/>
          <w:b/>
          <w:bCs/>
          <w:color w:val="auto"/>
          <w:szCs w:val="28"/>
          <w:lang w:val="zh-CN"/>
        </w:rPr>
      </w:pPr>
      <w:r>
        <w:rPr>
          <w:rFonts w:hint="eastAsia" w:ascii="宋体" w:hAnsi="宋体" w:eastAsia="宋体" w:cs="宋体"/>
          <w:b/>
          <w:bCs/>
          <w:color w:val="auto"/>
          <w:szCs w:val="28"/>
          <w:lang w:val="zh-CN"/>
        </w:rPr>
        <w:t>法定代表人直接参加磋商的，须出具法定代表人身份证明及法人身份证原件及复印件，法定代表人授权代表参加磋商的，须出具法定代表人授权书及授权代表身份证原件及复印件；</w:t>
      </w:r>
    </w:p>
    <w:p>
      <w:pPr>
        <w:keepLines w:val="0"/>
        <w:pageBreakBefore w:val="0"/>
        <w:kinsoku/>
        <w:wordWrap/>
        <w:overflowPunct/>
        <w:topLinePunct w:val="0"/>
        <w:autoSpaceDE w:val="0"/>
        <w:autoSpaceDN w:val="0"/>
        <w:bidi w:val="0"/>
        <w:adjustRightInd w:val="0"/>
        <w:spacing w:line="420" w:lineRule="exact"/>
        <w:jc w:val="center"/>
        <w:rPr>
          <w:color w:val="auto"/>
          <w:lang w:val="zh-CN"/>
        </w:rPr>
      </w:pPr>
      <w:r>
        <w:rPr>
          <w:rFonts w:hint="eastAsia" w:ascii="宋体" w:hAnsi="宋体" w:cs="宋体"/>
          <w:b/>
          <w:color w:val="auto"/>
          <w:sz w:val="28"/>
          <w:szCs w:val="28"/>
        </w:rPr>
        <w:t>2.1 法定代表人身份证明</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945"/>
        <w:gridCol w:w="1965"/>
        <w:gridCol w:w="1336"/>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736" w:type="dxa"/>
            <w:gridSpan w:val="5"/>
          </w:tcPr>
          <w:p>
            <w:pPr>
              <w:keepLines w:val="0"/>
              <w:pageBreakBefore w:val="0"/>
              <w:kinsoku/>
              <w:wordWrap/>
              <w:overflowPunct/>
              <w:topLinePunct w:val="0"/>
              <w:autoSpaceDE w:val="0"/>
              <w:autoSpaceDN w:val="0"/>
              <w:bidi w:val="0"/>
              <w:adjustRightInd w:val="0"/>
              <w:spacing w:line="420" w:lineRule="exact"/>
              <w:jc w:val="lef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致：</w:t>
            </w:r>
            <w:r>
              <w:rPr>
                <w:rFonts w:hint="eastAsia" w:ascii="宋体" w:hAnsi="宋体" w:cs="宋体"/>
                <w:color w:val="auto"/>
                <w:kern w:val="0"/>
                <w:sz w:val="24"/>
                <w:szCs w:val="24"/>
                <w:lang w:val="en-US" w:eastAsia="zh-CN"/>
              </w:rPr>
              <w:t>陕西盛仕骄阳项目管理有限公司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15" w:type="dxa"/>
            <w:vMerge w:val="restart"/>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企</w:t>
            </w:r>
          </w:p>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业</w:t>
            </w:r>
          </w:p>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法</w:t>
            </w:r>
          </w:p>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人</w:t>
            </w:r>
          </w:p>
        </w:tc>
        <w:tc>
          <w:tcPr>
            <w:tcW w:w="1945" w:type="dxa"/>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 xml:space="preserve">企 业 名 称 </w:t>
            </w:r>
          </w:p>
        </w:tc>
        <w:tc>
          <w:tcPr>
            <w:tcW w:w="5676" w:type="dxa"/>
            <w:gridSpan w:val="3"/>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15" w:type="dxa"/>
            <w:vMerge w:val="continue"/>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c>
          <w:tcPr>
            <w:tcW w:w="1945" w:type="dxa"/>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法 定 地 址</w:t>
            </w:r>
          </w:p>
        </w:tc>
        <w:tc>
          <w:tcPr>
            <w:tcW w:w="5676" w:type="dxa"/>
            <w:gridSpan w:val="3"/>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15" w:type="dxa"/>
            <w:vMerge w:val="continue"/>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c>
          <w:tcPr>
            <w:tcW w:w="1945" w:type="dxa"/>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邮 政 编 码</w:t>
            </w:r>
          </w:p>
        </w:tc>
        <w:tc>
          <w:tcPr>
            <w:tcW w:w="5676" w:type="dxa"/>
            <w:gridSpan w:val="3"/>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15" w:type="dxa"/>
            <w:vMerge w:val="continue"/>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c>
          <w:tcPr>
            <w:tcW w:w="1945" w:type="dxa"/>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网       址</w:t>
            </w:r>
          </w:p>
        </w:tc>
        <w:tc>
          <w:tcPr>
            <w:tcW w:w="5676" w:type="dxa"/>
            <w:gridSpan w:val="3"/>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15" w:type="dxa"/>
            <w:vMerge w:val="continue"/>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c>
          <w:tcPr>
            <w:tcW w:w="1945" w:type="dxa"/>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工商登记机关</w:t>
            </w:r>
          </w:p>
        </w:tc>
        <w:tc>
          <w:tcPr>
            <w:tcW w:w="5676" w:type="dxa"/>
            <w:gridSpan w:val="3"/>
            <w:vAlign w:val="center"/>
          </w:tcPr>
          <w:p>
            <w:pPr>
              <w:keepLines w:val="0"/>
              <w:pageBreakBefore w:val="0"/>
              <w:kinsoku/>
              <w:wordWrap/>
              <w:overflowPunct/>
              <w:topLinePunct w:val="0"/>
              <w:autoSpaceDE w:val="0"/>
              <w:autoSpaceDN w:val="0"/>
              <w:bidi w:val="0"/>
              <w:adjustRightInd w:val="0"/>
              <w:spacing w:line="420" w:lineRule="exact"/>
              <w:ind w:firstLine="2400" w:firstLineChars="1000"/>
              <w:jc w:val="center"/>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15" w:type="dxa"/>
            <w:vMerge w:val="continue"/>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c>
          <w:tcPr>
            <w:tcW w:w="1945" w:type="dxa"/>
            <w:vMerge w:val="restart"/>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税务登记机关</w:t>
            </w:r>
          </w:p>
        </w:tc>
        <w:tc>
          <w:tcPr>
            <w:tcW w:w="5676" w:type="dxa"/>
            <w:gridSpan w:val="3"/>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（国税）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15" w:type="dxa"/>
            <w:vMerge w:val="continue"/>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c>
          <w:tcPr>
            <w:tcW w:w="1945" w:type="dxa"/>
            <w:vMerge w:val="continue"/>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c>
          <w:tcPr>
            <w:tcW w:w="5676" w:type="dxa"/>
            <w:gridSpan w:val="3"/>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（地税）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15" w:type="dxa"/>
            <w:vMerge w:val="restart"/>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法</w:t>
            </w:r>
          </w:p>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定</w:t>
            </w:r>
          </w:p>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代</w:t>
            </w:r>
          </w:p>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表</w:t>
            </w:r>
          </w:p>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人</w:t>
            </w:r>
          </w:p>
        </w:tc>
        <w:tc>
          <w:tcPr>
            <w:tcW w:w="1945" w:type="dxa"/>
            <w:vAlign w:val="center"/>
          </w:tcPr>
          <w:p>
            <w:pPr>
              <w:keepLines w:val="0"/>
              <w:pageBreakBefore w:val="0"/>
              <w:kinsoku/>
              <w:wordWrap/>
              <w:overflowPunct/>
              <w:topLinePunct w:val="0"/>
              <w:autoSpaceDE w:val="0"/>
              <w:autoSpaceDN w:val="0"/>
              <w:bidi w:val="0"/>
              <w:adjustRightInd w:val="0"/>
              <w:spacing w:line="420" w:lineRule="exact"/>
              <w:ind w:firstLine="240" w:firstLineChars="100"/>
              <w:jc w:val="center"/>
              <w:rPr>
                <w:rFonts w:ascii="宋体" w:hAnsi="宋体" w:cs="宋体"/>
                <w:color w:val="auto"/>
                <w:kern w:val="0"/>
                <w:sz w:val="24"/>
                <w:szCs w:val="24"/>
              </w:rPr>
            </w:pPr>
            <w:r>
              <w:rPr>
                <w:rFonts w:hint="eastAsia" w:ascii="宋体" w:hAnsi="宋体" w:cs="宋体"/>
                <w:color w:val="auto"/>
                <w:kern w:val="0"/>
                <w:sz w:val="24"/>
                <w:szCs w:val="24"/>
              </w:rPr>
              <w:t>姓    名</w:t>
            </w:r>
          </w:p>
        </w:tc>
        <w:tc>
          <w:tcPr>
            <w:tcW w:w="1965" w:type="dxa"/>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c>
          <w:tcPr>
            <w:tcW w:w="1336" w:type="dxa"/>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性    别</w:t>
            </w:r>
          </w:p>
        </w:tc>
        <w:tc>
          <w:tcPr>
            <w:tcW w:w="2375" w:type="dxa"/>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115" w:type="dxa"/>
            <w:vMerge w:val="continue"/>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c>
          <w:tcPr>
            <w:tcW w:w="1945" w:type="dxa"/>
            <w:vAlign w:val="center"/>
          </w:tcPr>
          <w:p>
            <w:pPr>
              <w:keepLines w:val="0"/>
              <w:pageBreakBefore w:val="0"/>
              <w:kinsoku/>
              <w:wordWrap/>
              <w:overflowPunct/>
              <w:topLinePunct w:val="0"/>
              <w:autoSpaceDE w:val="0"/>
              <w:autoSpaceDN w:val="0"/>
              <w:bidi w:val="0"/>
              <w:adjustRightInd w:val="0"/>
              <w:spacing w:line="420" w:lineRule="exact"/>
              <w:ind w:firstLine="240" w:firstLineChars="100"/>
              <w:jc w:val="center"/>
              <w:rPr>
                <w:rFonts w:ascii="宋体" w:hAnsi="宋体" w:cs="宋体"/>
                <w:color w:val="auto"/>
                <w:kern w:val="0"/>
                <w:sz w:val="24"/>
                <w:szCs w:val="24"/>
              </w:rPr>
            </w:pPr>
            <w:r>
              <w:rPr>
                <w:rFonts w:hint="eastAsia" w:ascii="宋体" w:hAnsi="宋体" w:cs="宋体"/>
                <w:color w:val="auto"/>
                <w:kern w:val="0"/>
                <w:sz w:val="24"/>
                <w:szCs w:val="24"/>
              </w:rPr>
              <w:t>职    务</w:t>
            </w:r>
          </w:p>
        </w:tc>
        <w:tc>
          <w:tcPr>
            <w:tcW w:w="1965" w:type="dxa"/>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c>
          <w:tcPr>
            <w:tcW w:w="1336" w:type="dxa"/>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联系电话</w:t>
            </w:r>
          </w:p>
        </w:tc>
        <w:tc>
          <w:tcPr>
            <w:tcW w:w="2375" w:type="dxa"/>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115" w:type="dxa"/>
            <w:vMerge w:val="continue"/>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c>
          <w:tcPr>
            <w:tcW w:w="1945" w:type="dxa"/>
            <w:vAlign w:val="center"/>
          </w:tcPr>
          <w:p>
            <w:pPr>
              <w:keepLines w:val="0"/>
              <w:pageBreakBefore w:val="0"/>
              <w:kinsoku/>
              <w:wordWrap/>
              <w:overflowPunct/>
              <w:topLinePunct w:val="0"/>
              <w:autoSpaceDE w:val="0"/>
              <w:autoSpaceDN w:val="0"/>
              <w:bidi w:val="0"/>
              <w:adjustRightInd w:val="0"/>
              <w:spacing w:line="420" w:lineRule="exact"/>
              <w:ind w:firstLine="240" w:firstLineChars="100"/>
              <w:jc w:val="center"/>
              <w:rPr>
                <w:rFonts w:ascii="宋体" w:hAnsi="宋体" w:cs="宋体"/>
                <w:color w:val="auto"/>
                <w:kern w:val="0"/>
                <w:sz w:val="24"/>
                <w:szCs w:val="24"/>
              </w:rPr>
            </w:pPr>
            <w:r>
              <w:rPr>
                <w:rFonts w:hint="eastAsia" w:ascii="宋体" w:hAnsi="宋体" w:cs="宋体"/>
                <w:color w:val="auto"/>
                <w:kern w:val="0"/>
                <w:sz w:val="24"/>
                <w:szCs w:val="24"/>
              </w:rPr>
              <w:t>传    真</w:t>
            </w:r>
          </w:p>
        </w:tc>
        <w:tc>
          <w:tcPr>
            <w:tcW w:w="5676" w:type="dxa"/>
            <w:gridSpan w:val="3"/>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jc w:val="center"/>
        </w:trPr>
        <w:tc>
          <w:tcPr>
            <w:tcW w:w="1115" w:type="dxa"/>
            <w:vMerge w:val="restart"/>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sz w:val="24"/>
                <w:szCs w:val="24"/>
                <w:lang w:val="zh-CN"/>
              </w:rPr>
              <w:t>法定代表人身份证复印件（正反面）</w:t>
            </w:r>
          </w:p>
        </w:tc>
        <w:tc>
          <w:tcPr>
            <w:tcW w:w="3910" w:type="dxa"/>
            <w:gridSpan w:val="2"/>
            <w:vMerge w:val="restart"/>
            <w:vAlign w:val="center"/>
          </w:tcPr>
          <w:p>
            <w:pPr>
              <w:keepLines w:val="0"/>
              <w:pageBreakBefore w:val="0"/>
              <w:kinsoku/>
              <w:wordWrap/>
              <w:overflowPunct/>
              <w:topLinePunct w:val="0"/>
              <w:autoSpaceDE w:val="0"/>
              <w:autoSpaceDN w:val="0"/>
              <w:bidi w:val="0"/>
              <w:adjustRightInd w:val="0"/>
              <w:spacing w:line="420" w:lineRule="exact"/>
              <w:rPr>
                <w:rFonts w:ascii="宋体" w:hAnsi="宋体" w:cs="宋体"/>
                <w:color w:val="auto"/>
                <w:kern w:val="0"/>
                <w:sz w:val="24"/>
                <w:szCs w:val="24"/>
              </w:rPr>
            </w:pPr>
            <w:r>
              <w:rPr>
                <w:rFonts w:hint="eastAsia" w:ascii="宋体" w:hAnsi="宋体" w:cs="宋体"/>
                <w:color w:val="auto"/>
                <w:kern w:val="0"/>
                <w:sz w:val="24"/>
                <w:szCs w:val="24"/>
              </w:rPr>
              <w:t>二代身份证正、反两面都需复印</w:t>
            </w:r>
          </w:p>
        </w:tc>
        <w:tc>
          <w:tcPr>
            <w:tcW w:w="3711" w:type="dxa"/>
            <w:gridSpan w:val="2"/>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 xml:space="preserve">  </w:t>
            </w:r>
          </w:p>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 xml:space="preserve"> （法定代表人签字）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jc w:val="center"/>
        </w:trPr>
        <w:tc>
          <w:tcPr>
            <w:tcW w:w="1115" w:type="dxa"/>
            <w:vMerge w:val="continue"/>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c>
          <w:tcPr>
            <w:tcW w:w="3910" w:type="dxa"/>
            <w:gridSpan w:val="2"/>
            <w:vMerge w:val="continue"/>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tc>
        <w:tc>
          <w:tcPr>
            <w:tcW w:w="3711" w:type="dxa"/>
            <w:gridSpan w:val="2"/>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p>
          <w:p>
            <w:pPr>
              <w:keepLines w:val="0"/>
              <w:pageBreakBefore w:val="0"/>
              <w:kinsoku/>
              <w:wordWrap/>
              <w:overflowPunct/>
              <w:topLinePunct w:val="0"/>
              <w:autoSpaceDE w:val="0"/>
              <w:autoSpaceDN w:val="0"/>
              <w:bidi w:val="0"/>
              <w:adjustRightInd w:val="0"/>
              <w:spacing w:line="420" w:lineRule="exact"/>
              <w:ind w:firstLine="120" w:firstLineChars="50"/>
              <w:jc w:val="center"/>
              <w:rPr>
                <w:rFonts w:ascii="宋体" w:hAnsi="宋体" w:cs="宋体"/>
                <w:color w:val="auto"/>
                <w:kern w:val="0"/>
                <w:sz w:val="24"/>
                <w:szCs w:val="24"/>
              </w:rPr>
            </w:pPr>
            <w:r>
              <w:rPr>
                <w:rFonts w:hint="eastAsia" w:ascii="宋体" w:hAnsi="宋体" w:cs="宋体"/>
                <w:color w:val="auto"/>
                <w:kern w:val="0"/>
                <w:sz w:val="24"/>
                <w:szCs w:val="24"/>
              </w:rPr>
              <w:t>（企业公章）</w:t>
            </w:r>
          </w:p>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 xml:space="preserve">    </w:t>
            </w:r>
          </w:p>
          <w:p>
            <w:pPr>
              <w:keepLines w:val="0"/>
              <w:pageBreakBefore w:val="0"/>
              <w:kinsoku/>
              <w:wordWrap/>
              <w:overflowPunct/>
              <w:topLinePunct w:val="0"/>
              <w:autoSpaceDE w:val="0"/>
              <w:autoSpaceDN w:val="0"/>
              <w:bidi w:val="0"/>
              <w:adjustRightInd w:val="0"/>
              <w:spacing w:line="420" w:lineRule="exact"/>
              <w:ind w:firstLine="1440" w:firstLineChars="600"/>
              <w:jc w:val="center"/>
              <w:rPr>
                <w:rFonts w:ascii="宋体" w:hAnsi="宋体" w:cs="宋体"/>
                <w:color w:val="auto"/>
                <w:kern w:val="0"/>
                <w:sz w:val="24"/>
                <w:szCs w:val="24"/>
              </w:rPr>
            </w:pPr>
            <w:r>
              <w:rPr>
                <w:rFonts w:hint="eastAsia" w:ascii="宋体" w:hAnsi="宋体" w:cs="宋体"/>
                <w:color w:val="auto"/>
                <w:kern w:val="0"/>
                <w:sz w:val="24"/>
                <w:szCs w:val="24"/>
              </w:rPr>
              <w:t>年  月  日</w:t>
            </w:r>
          </w:p>
        </w:tc>
      </w:tr>
    </w:tbl>
    <w:p>
      <w:pPr>
        <w:keepLines w:val="0"/>
        <w:pageBreakBefore w:val="0"/>
        <w:kinsoku/>
        <w:wordWrap/>
        <w:overflowPunct/>
        <w:topLinePunct w:val="0"/>
        <w:autoSpaceDE w:val="0"/>
        <w:autoSpaceDN w:val="0"/>
        <w:bidi w:val="0"/>
        <w:adjustRightInd w:val="0"/>
        <w:spacing w:line="420" w:lineRule="exact"/>
        <w:jc w:val="center"/>
        <w:rPr>
          <w:rFonts w:hint="eastAsia" w:ascii="宋体" w:hAnsi="宋体" w:cs="宋体"/>
          <w:b/>
          <w:color w:val="auto"/>
          <w:sz w:val="28"/>
          <w:szCs w:val="28"/>
        </w:rPr>
      </w:pPr>
    </w:p>
    <w:p>
      <w:pPr>
        <w:pStyle w:val="2"/>
        <w:rPr>
          <w:rFonts w:hint="eastAsia"/>
          <w:color w:val="auto"/>
        </w:rPr>
      </w:pPr>
    </w:p>
    <w:p>
      <w:pPr>
        <w:keepLines w:val="0"/>
        <w:pageBreakBefore w:val="0"/>
        <w:kinsoku/>
        <w:wordWrap/>
        <w:overflowPunct/>
        <w:topLinePunct w:val="0"/>
        <w:autoSpaceDE w:val="0"/>
        <w:autoSpaceDN w:val="0"/>
        <w:bidi w:val="0"/>
        <w:adjustRightInd w:val="0"/>
        <w:spacing w:line="420" w:lineRule="exact"/>
        <w:jc w:val="center"/>
        <w:rPr>
          <w:rFonts w:ascii="宋体" w:hAnsi="宋体" w:cs="宋体"/>
          <w:b/>
          <w:color w:val="auto"/>
          <w:sz w:val="28"/>
          <w:szCs w:val="28"/>
        </w:rPr>
      </w:pPr>
      <w:r>
        <w:rPr>
          <w:rFonts w:hint="eastAsia" w:ascii="宋体" w:hAnsi="宋体" w:cs="宋体"/>
          <w:b/>
          <w:color w:val="auto"/>
          <w:sz w:val="28"/>
          <w:szCs w:val="28"/>
        </w:rPr>
        <w:t>2.</w:t>
      </w:r>
      <w:r>
        <w:rPr>
          <w:rFonts w:hint="eastAsia" w:ascii="宋体" w:hAnsi="宋体" w:cs="宋体"/>
          <w:b/>
          <w:color w:val="auto"/>
          <w:sz w:val="28"/>
          <w:szCs w:val="28"/>
          <w:lang w:val="zh-CN"/>
        </w:rPr>
        <w:t>2</w:t>
      </w:r>
      <w:r>
        <w:rPr>
          <w:rFonts w:hint="eastAsia" w:ascii="宋体" w:hAnsi="宋体" w:cs="宋体"/>
          <w:b/>
          <w:color w:val="auto"/>
          <w:sz w:val="28"/>
          <w:szCs w:val="28"/>
        </w:rPr>
        <w:t xml:space="preserve"> </w:t>
      </w:r>
      <w:r>
        <w:rPr>
          <w:rFonts w:hint="eastAsia" w:ascii="宋体" w:hAnsi="宋体" w:cs="宋体"/>
          <w:b/>
          <w:color w:val="auto"/>
          <w:sz w:val="28"/>
          <w:szCs w:val="28"/>
          <w:lang w:val="zh-CN"/>
        </w:rPr>
        <w:t>法定代表人授权委托书</w:t>
      </w:r>
    </w:p>
    <w:p>
      <w:pPr>
        <w:keepLines w:val="0"/>
        <w:pageBreakBefore w:val="0"/>
        <w:kinsoku/>
        <w:wordWrap/>
        <w:overflowPunct/>
        <w:topLinePunct w:val="0"/>
        <w:autoSpaceDE w:val="0"/>
        <w:autoSpaceDN w:val="0"/>
        <w:bidi w:val="0"/>
        <w:adjustRightInd w:val="0"/>
        <w:spacing w:line="420" w:lineRule="exact"/>
        <w:rPr>
          <w:rFonts w:ascii="宋体" w:hAnsi="宋体" w:cs="宋体"/>
          <w:b/>
          <w:color w:val="auto"/>
          <w:sz w:val="24"/>
          <w:szCs w:val="24"/>
        </w:rPr>
      </w:pPr>
      <w:r>
        <w:rPr>
          <w:rFonts w:hint="eastAsia" w:ascii="宋体" w:hAnsi="宋体" w:cs="宋体"/>
          <w:color w:val="auto"/>
          <w:sz w:val="24"/>
          <w:szCs w:val="24"/>
        </w:rPr>
        <w:t>陕西盛仕骄阳项目管理有限公司：</w:t>
      </w:r>
    </w:p>
    <w:p>
      <w:pPr>
        <w:keepLines w:val="0"/>
        <w:pageBreakBefore w:val="0"/>
        <w:kinsoku/>
        <w:wordWrap/>
        <w:overflowPunct/>
        <w:topLinePunct w:val="0"/>
        <w:autoSpaceDE w:val="0"/>
        <w:autoSpaceDN w:val="0"/>
        <w:bidi w:val="0"/>
        <w:adjustRightInd w:val="0"/>
        <w:spacing w:line="420" w:lineRule="exact"/>
        <w:ind w:firstLine="640"/>
        <w:rPr>
          <w:rFonts w:ascii="宋体" w:hAnsi="宋体" w:cs="宋体"/>
          <w:color w:val="auto"/>
          <w:sz w:val="24"/>
          <w:szCs w:val="24"/>
        </w:rPr>
      </w:pPr>
      <w:r>
        <w:rPr>
          <w:rFonts w:hint="eastAsia" w:ascii="宋体" w:hAnsi="宋体" w:cs="宋体"/>
          <w:color w:val="auto"/>
          <w:sz w:val="24"/>
          <w:szCs w:val="24"/>
          <w:lang w:val="zh-CN"/>
        </w:rPr>
        <w:t>注册于</w:t>
      </w:r>
      <w:r>
        <w:rPr>
          <w:rFonts w:hint="eastAsia" w:ascii="宋体" w:hAnsi="宋体" w:cs="宋体"/>
          <w:color w:val="auto"/>
          <w:sz w:val="24"/>
          <w:szCs w:val="24"/>
          <w:u w:val="single"/>
          <w:lang w:val="zh-CN"/>
        </w:rPr>
        <w:t>（工商行政管理局名称）</w:t>
      </w:r>
      <w:r>
        <w:rPr>
          <w:rFonts w:hint="eastAsia" w:ascii="宋体" w:hAnsi="宋体" w:cs="宋体"/>
          <w:color w:val="auto"/>
          <w:sz w:val="24"/>
          <w:szCs w:val="24"/>
          <w:lang w:val="zh-CN"/>
        </w:rPr>
        <w:t>之</w:t>
      </w:r>
      <w:r>
        <w:rPr>
          <w:rFonts w:hint="eastAsia" w:ascii="宋体" w:hAnsi="宋体" w:cs="宋体"/>
          <w:color w:val="auto"/>
          <w:sz w:val="24"/>
          <w:szCs w:val="24"/>
          <w:u w:val="single"/>
          <w:lang w:val="zh-CN"/>
        </w:rPr>
        <w:t>（供应商全称）</w:t>
      </w:r>
      <w:r>
        <w:rPr>
          <w:rFonts w:hint="eastAsia" w:ascii="宋体" w:hAnsi="宋体" w:cs="宋体"/>
          <w:color w:val="auto"/>
          <w:sz w:val="24"/>
          <w:szCs w:val="24"/>
          <w:lang w:val="zh-CN"/>
        </w:rPr>
        <w:t>法人代表</w:t>
      </w:r>
      <w:r>
        <w:rPr>
          <w:rFonts w:hint="eastAsia" w:ascii="宋体" w:hAnsi="宋体" w:cs="宋体"/>
          <w:color w:val="auto"/>
          <w:sz w:val="24"/>
          <w:szCs w:val="24"/>
          <w:u w:val="single"/>
          <w:lang w:val="zh-CN"/>
        </w:rPr>
        <w:t>（姓名、职务）</w:t>
      </w:r>
      <w:r>
        <w:rPr>
          <w:rFonts w:hint="eastAsia" w:ascii="宋体" w:hAnsi="宋体" w:cs="宋体"/>
          <w:color w:val="auto"/>
          <w:sz w:val="24"/>
          <w:szCs w:val="24"/>
          <w:lang w:val="zh-CN"/>
        </w:rPr>
        <w:t>授权</w:t>
      </w:r>
      <w:r>
        <w:rPr>
          <w:rFonts w:hint="eastAsia" w:ascii="宋体" w:hAnsi="宋体" w:cs="宋体"/>
          <w:color w:val="auto"/>
          <w:sz w:val="24"/>
          <w:szCs w:val="24"/>
          <w:u w:val="single"/>
          <w:lang w:val="zh-CN"/>
        </w:rPr>
        <w:t>（被授权人姓名、职务）</w:t>
      </w:r>
      <w:r>
        <w:rPr>
          <w:rFonts w:hint="eastAsia" w:ascii="宋体" w:hAnsi="宋体" w:cs="宋体"/>
          <w:color w:val="auto"/>
          <w:sz w:val="24"/>
          <w:szCs w:val="24"/>
          <w:lang w:val="zh-CN"/>
        </w:rPr>
        <w:t>为本公司的合法代理人，就</w:t>
      </w:r>
      <w:r>
        <w:rPr>
          <w:rFonts w:hint="eastAsia" w:ascii="宋体" w:hAnsi="宋体" w:cs="宋体"/>
          <w:color w:val="auto"/>
          <w:sz w:val="24"/>
          <w:szCs w:val="24"/>
          <w:u w:val="single"/>
          <w:lang w:val="zh-CN"/>
        </w:rPr>
        <w:t>（项目名称）</w:t>
      </w:r>
      <w:r>
        <w:rPr>
          <w:rFonts w:hint="eastAsia" w:ascii="宋体" w:hAnsi="宋体" w:cs="宋体"/>
          <w:color w:val="auto"/>
          <w:sz w:val="24"/>
          <w:szCs w:val="24"/>
          <w:lang w:val="zh-CN"/>
        </w:rPr>
        <w:t>的磋商及合同的执行和完成，以本公司的名义处理一切与之有关的事宜。</w:t>
      </w:r>
    </w:p>
    <w:p>
      <w:pPr>
        <w:keepLines w:val="0"/>
        <w:pageBreakBefore w:val="0"/>
        <w:kinsoku/>
        <w:wordWrap/>
        <w:overflowPunct/>
        <w:topLinePunct w:val="0"/>
        <w:autoSpaceDE w:val="0"/>
        <w:autoSpaceDN w:val="0"/>
        <w:bidi w:val="0"/>
        <w:adjustRightInd w:val="0"/>
        <w:spacing w:line="42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 xml:space="preserve"> 委托期限：</w:t>
      </w:r>
      <w:r>
        <w:rPr>
          <w:rFonts w:hint="eastAsia" w:ascii="宋体" w:hAnsi="宋体" w:cs="宋体"/>
          <w:color w:val="auto"/>
          <w:sz w:val="24"/>
          <w:szCs w:val="24"/>
          <w:u w:val="single"/>
          <w:lang w:val="zh-CN"/>
        </w:rPr>
        <w:t xml:space="preserve">             </w:t>
      </w:r>
      <w:r>
        <w:rPr>
          <w:rFonts w:hint="eastAsia" w:ascii="宋体" w:hAnsi="宋体" w:cs="宋体"/>
          <w:color w:val="auto"/>
          <w:sz w:val="24"/>
          <w:szCs w:val="24"/>
          <w:lang w:val="zh-CN"/>
        </w:rPr>
        <w:t>。</w:t>
      </w:r>
    </w:p>
    <w:p>
      <w:pPr>
        <w:keepLines w:val="0"/>
        <w:pageBreakBefore w:val="0"/>
        <w:kinsoku/>
        <w:wordWrap/>
        <w:overflowPunct/>
        <w:topLinePunct w:val="0"/>
        <w:autoSpaceDE w:val="0"/>
        <w:autoSpaceDN w:val="0"/>
        <w:bidi w:val="0"/>
        <w:adjustRightInd w:val="0"/>
        <w:spacing w:line="420" w:lineRule="exact"/>
        <w:ind w:firstLine="720" w:firstLineChars="300"/>
        <w:rPr>
          <w:rFonts w:ascii="宋体" w:hAnsi="宋体" w:cs="宋体"/>
          <w:color w:val="auto"/>
          <w:sz w:val="24"/>
          <w:szCs w:val="24"/>
          <w:lang w:val="zh-CN"/>
        </w:rPr>
      </w:pPr>
      <w:r>
        <w:rPr>
          <w:rFonts w:hint="eastAsia" w:ascii="宋体" w:hAnsi="宋体" w:cs="宋体"/>
          <w:color w:val="auto"/>
          <w:sz w:val="24"/>
          <w:szCs w:val="24"/>
          <w:lang w:val="zh-CN"/>
        </w:rPr>
        <w:t>代理人无转委托权。</w:t>
      </w:r>
    </w:p>
    <w:p>
      <w:pPr>
        <w:pStyle w:val="34"/>
        <w:keepLines w:val="0"/>
        <w:pageBreakBefore w:val="0"/>
        <w:kinsoku/>
        <w:wordWrap/>
        <w:overflowPunct/>
        <w:topLinePunct w:val="0"/>
        <w:bidi w:val="0"/>
        <w:spacing w:line="420" w:lineRule="exact"/>
        <w:rPr>
          <w:color w:val="auto"/>
          <w:sz w:val="13"/>
          <w:szCs w:val="4"/>
          <w:lang w:val="zh-CN"/>
        </w:rPr>
      </w:pPr>
    </w:p>
    <w:p>
      <w:pPr>
        <w:keepLines w:val="0"/>
        <w:pageBreakBefore w:val="0"/>
        <w:kinsoku/>
        <w:wordWrap/>
        <w:overflowPunct/>
        <w:topLinePunct w:val="0"/>
        <w:autoSpaceDE w:val="0"/>
        <w:autoSpaceDN w:val="0"/>
        <w:bidi w:val="0"/>
        <w:adjustRightInd w:val="0"/>
        <w:spacing w:line="420" w:lineRule="exact"/>
        <w:rPr>
          <w:rFonts w:ascii="宋体" w:hAnsi="宋体" w:cs="宋体"/>
          <w:color w:val="auto"/>
          <w:sz w:val="24"/>
          <w:szCs w:val="24"/>
          <w:u w:val="single"/>
        </w:rPr>
      </w:pPr>
      <w:r>
        <w:rPr>
          <w:rFonts w:hint="eastAsia" w:ascii="宋体" w:hAnsi="宋体" w:cs="宋体"/>
          <w:color w:val="auto"/>
          <w:sz w:val="24"/>
          <w:szCs w:val="24"/>
          <w:lang w:val="zh-CN"/>
        </w:rPr>
        <w:t>附：全权代表姓名：</w:t>
      </w:r>
      <w:r>
        <w:rPr>
          <w:rFonts w:hint="eastAsia" w:ascii="宋体" w:hAnsi="宋体" w:cs="宋体"/>
          <w:color w:val="auto"/>
          <w:sz w:val="24"/>
          <w:szCs w:val="24"/>
          <w:u w:val="single"/>
        </w:rPr>
        <w:t xml:space="preserve">         </w:t>
      </w:r>
      <w:r>
        <w:rPr>
          <w:rFonts w:hint="eastAsia" w:ascii="宋体" w:hAnsi="宋体" w:cs="宋体"/>
          <w:color w:val="auto"/>
          <w:sz w:val="24"/>
          <w:szCs w:val="24"/>
          <w:lang w:val="zh-CN"/>
        </w:rPr>
        <w:t>性别：</w:t>
      </w:r>
      <w:r>
        <w:rPr>
          <w:rFonts w:hint="eastAsia" w:ascii="宋体" w:hAnsi="宋体" w:cs="宋体"/>
          <w:color w:val="auto"/>
          <w:sz w:val="24"/>
          <w:szCs w:val="24"/>
          <w:u w:val="single"/>
        </w:rPr>
        <w:t xml:space="preserve">       </w:t>
      </w:r>
      <w:r>
        <w:rPr>
          <w:rFonts w:hint="eastAsia" w:ascii="宋体" w:hAnsi="宋体" w:cs="宋体"/>
          <w:color w:val="auto"/>
          <w:sz w:val="24"/>
          <w:szCs w:val="24"/>
          <w:lang w:val="zh-CN"/>
        </w:rPr>
        <w:t>年龄：</w:t>
      </w:r>
      <w:r>
        <w:rPr>
          <w:rFonts w:hint="eastAsia" w:ascii="宋体" w:hAnsi="宋体" w:cs="宋体"/>
          <w:color w:val="auto"/>
          <w:sz w:val="24"/>
          <w:szCs w:val="24"/>
          <w:u w:val="single"/>
        </w:rPr>
        <w:t xml:space="preserve">        </w:t>
      </w:r>
    </w:p>
    <w:p>
      <w:pPr>
        <w:keepLines w:val="0"/>
        <w:pageBreakBefore w:val="0"/>
        <w:kinsoku/>
        <w:wordWrap/>
        <w:overflowPunct/>
        <w:topLinePunct w:val="0"/>
        <w:autoSpaceDE w:val="0"/>
        <w:autoSpaceDN w:val="0"/>
        <w:bidi w:val="0"/>
        <w:adjustRightInd w:val="0"/>
        <w:spacing w:line="420" w:lineRule="exact"/>
        <w:ind w:firstLine="630"/>
        <w:rPr>
          <w:rFonts w:ascii="宋体" w:hAnsi="宋体" w:cs="宋体"/>
          <w:color w:val="auto"/>
          <w:sz w:val="24"/>
          <w:szCs w:val="24"/>
          <w:u w:val="single"/>
        </w:rPr>
      </w:pPr>
      <w:r>
        <w:rPr>
          <w:rFonts w:hint="eastAsia" w:ascii="宋体" w:hAnsi="宋体" w:cs="宋体"/>
          <w:color w:val="auto"/>
          <w:sz w:val="24"/>
          <w:szCs w:val="24"/>
          <w:lang w:val="zh-CN"/>
        </w:rPr>
        <w:t>职</w:t>
      </w:r>
      <w:r>
        <w:rPr>
          <w:rFonts w:hint="eastAsia" w:ascii="宋体" w:hAnsi="宋体" w:cs="宋体"/>
          <w:color w:val="auto"/>
          <w:sz w:val="24"/>
          <w:szCs w:val="24"/>
        </w:rPr>
        <w:t xml:space="preserve">    </w:t>
      </w:r>
      <w:r>
        <w:rPr>
          <w:rFonts w:hint="eastAsia" w:ascii="宋体" w:hAnsi="宋体" w:cs="宋体"/>
          <w:color w:val="auto"/>
          <w:sz w:val="24"/>
          <w:szCs w:val="24"/>
          <w:lang w:val="zh-CN"/>
        </w:rPr>
        <w:t>务：</w:t>
      </w:r>
      <w:r>
        <w:rPr>
          <w:rFonts w:hint="eastAsia" w:ascii="宋体" w:hAnsi="宋体" w:cs="宋体"/>
          <w:color w:val="auto"/>
          <w:sz w:val="24"/>
          <w:szCs w:val="24"/>
          <w:u w:val="single"/>
        </w:rPr>
        <w:t xml:space="preserve">                                       </w:t>
      </w:r>
    </w:p>
    <w:p>
      <w:pPr>
        <w:keepLines w:val="0"/>
        <w:pageBreakBefore w:val="0"/>
        <w:kinsoku/>
        <w:wordWrap/>
        <w:overflowPunct/>
        <w:topLinePunct w:val="0"/>
        <w:autoSpaceDE w:val="0"/>
        <w:autoSpaceDN w:val="0"/>
        <w:bidi w:val="0"/>
        <w:adjustRightInd w:val="0"/>
        <w:spacing w:line="420" w:lineRule="exact"/>
        <w:ind w:firstLine="630"/>
        <w:rPr>
          <w:rFonts w:ascii="宋体" w:hAnsi="宋体" w:cs="宋体"/>
          <w:color w:val="auto"/>
          <w:sz w:val="24"/>
          <w:szCs w:val="24"/>
        </w:rPr>
      </w:pPr>
      <w:r>
        <w:rPr>
          <w:rFonts w:hint="eastAsia" w:ascii="宋体" w:hAnsi="宋体" w:cs="宋体"/>
          <w:color w:val="auto"/>
          <w:sz w:val="24"/>
          <w:szCs w:val="24"/>
          <w:lang w:val="zh-CN"/>
        </w:rPr>
        <w:t>身份证号码：</w:t>
      </w:r>
      <w:r>
        <w:rPr>
          <w:rFonts w:hint="eastAsia" w:ascii="宋体" w:hAnsi="宋体" w:cs="宋体"/>
          <w:color w:val="auto"/>
          <w:sz w:val="24"/>
          <w:szCs w:val="24"/>
          <w:u w:val="single"/>
        </w:rPr>
        <w:t xml:space="preserve">                                     </w:t>
      </w:r>
    </w:p>
    <w:p>
      <w:pPr>
        <w:keepLines w:val="0"/>
        <w:pageBreakBefore w:val="0"/>
        <w:kinsoku/>
        <w:wordWrap/>
        <w:overflowPunct/>
        <w:topLinePunct w:val="0"/>
        <w:autoSpaceDE w:val="0"/>
        <w:autoSpaceDN w:val="0"/>
        <w:bidi w:val="0"/>
        <w:adjustRightInd w:val="0"/>
        <w:spacing w:line="420" w:lineRule="exact"/>
        <w:ind w:firstLine="630"/>
        <w:rPr>
          <w:rFonts w:ascii="宋体" w:hAnsi="宋体" w:cs="宋体"/>
          <w:color w:val="auto"/>
          <w:sz w:val="24"/>
          <w:szCs w:val="24"/>
          <w:u w:val="single"/>
        </w:rPr>
      </w:pPr>
      <w:r>
        <w:rPr>
          <w:rFonts w:hint="eastAsia" w:ascii="宋体" w:hAnsi="宋体" w:cs="宋体"/>
          <w:color w:val="auto"/>
          <w:sz w:val="24"/>
          <w:szCs w:val="24"/>
          <w:lang w:val="zh-CN"/>
        </w:rPr>
        <w:t>通讯地址：</w:t>
      </w:r>
      <w:r>
        <w:rPr>
          <w:rFonts w:hint="eastAsia" w:ascii="宋体" w:hAnsi="宋体" w:cs="宋体"/>
          <w:color w:val="auto"/>
          <w:sz w:val="24"/>
          <w:szCs w:val="24"/>
          <w:u w:val="single"/>
        </w:rPr>
        <w:t xml:space="preserve">                                       </w:t>
      </w:r>
    </w:p>
    <w:p>
      <w:pPr>
        <w:keepLines w:val="0"/>
        <w:pageBreakBefore w:val="0"/>
        <w:kinsoku/>
        <w:wordWrap/>
        <w:overflowPunct/>
        <w:topLinePunct w:val="0"/>
        <w:autoSpaceDE w:val="0"/>
        <w:autoSpaceDN w:val="0"/>
        <w:bidi w:val="0"/>
        <w:adjustRightInd w:val="0"/>
        <w:spacing w:line="420" w:lineRule="exact"/>
        <w:ind w:firstLine="630"/>
        <w:rPr>
          <w:rFonts w:ascii="宋体" w:hAnsi="宋体" w:cs="宋体"/>
          <w:color w:val="auto"/>
          <w:sz w:val="24"/>
          <w:szCs w:val="24"/>
          <w:u w:val="single"/>
        </w:rPr>
      </w:pPr>
      <w:r>
        <w:rPr>
          <w:rFonts w:hint="eastAsia" w:ascii="宋体" w:hAnsi="宋体" w:cs="宋体"/>
          <w:color w:val="auto"/>
          <w:sz w:val="24"/>
          <w:szCs w:val="24"/>
          <w:lang w:val="zh-CN"/>
        </w:rPr>
        <w:t>邮政编码：</w:t>
      </w:r>
      <w:r>
        <w:rPr>
          <w:rFonts w:hint="eastAsia" w:ascii="宋体" w:hAnsi="宋体" w:cs="宋体"/>
          <w:color w:val="auto"/>
          <w:sz w:val="24"/>
          <w:szCs w:val="24"/>
          <w:u w:val="single"/>
        </w:rPr>
        <w:t xml:space="preserve">                                       </w:t>
      </w:r>
    </w:p>
    <w:p>
      <w:pPr>
        <w:keepLines w:val="0"/>
        <w:pageBreakBefore w:val="0"/>
        <w:kinsoku/>
        <w:wordWrap/>
        <w:overflowPunct/>
        <w:topLinePunct w:val="0"/>
        <w:autoSpaceDE w:val="0"/>
        <w:autoSpaceDN w:val="0"/>
        <w:bidi w:val="0"/>
        <w:adjustRightInd w:val="0"/>
        <w:spacing w:line="420" w:lineRule="exact"/>
        <w:ind w:firstLine="630"/>
        <w:rPr>
          <w:rFonts w:ascii="宋体" w:hAnsi="宋体" w:cs="宋体"/>
          <w:color w:val="auto"/>
          <w:sz w:val="24"/>
          <w:szCs w:val="24"/>
          <w:u w:val="single"/>
        </w:rPr>
      </w:pPr>
      <w:r>
        <w:rPr>
          <w:rFonts w:hint="eastAsia" w:ascii="宋体" w:hAnsi="宋体" w:cs="宋体"/>
          <w:color w:val="auto"/>
          <w:sz w:val="24"/>
          <w:szCs w:val="24"/>
          <w:lang w:val="zh-CN"/>
        </w:rPr>
        <w:t>电</w:t>
      </w:r>
      <w:r>
        <w:rPr>
          <w:rFonts w:hint="eastAsia" w:ascii="宋体" w:hAnsi="宋体" w:cs="宋体"/>
          <w:color w:val="auto"/>
          <w:sz w:val="24"/>
          <w:szCs w:val="24"/>
        </w:rPr>
        <w:t xml:space="preserve">    </w:t>
      </w:r>
      <w:r>
        <w:rPr>
          <w:rFonts w:hint="eastAsia" w:ascii="宋体" w:hAnsi="宋体" w:cs="宋体"/>
          <w:color w:val="auto"/>
          <w:sz w:val="24"/>
          <w:szCs w:val="24"/>
          <w:lang w:val="zh-CN"/>
        </w:rPr>
        <w:t>话：</w:t>
      </w:r>
      <w:r>
        <w:rPr>
          <w:rFonts w:hint="eastAsia" w:ascii="宋体" w:hAnsi="宋体" w:cs="宋体"/>
          <w:color w:val="auto"/>
          <w:sz w:val="24"/>
          <w:szCs w:val="24"/>
          <w:u w:val="single"/>
        </w:rPr>
        <w:t xml:space="preserve">                                       </w:t>
      </w:r>
    </w:p>
    <w:p>
      <w:pPr>
        <w:keepLines w:val="0"/>
        <w:pageBreakBefore w:val="0"/>
        <w:kinsoku/>
        <w:wordWrap/>
        <w:overflowPunct/>
        <w:topLinePunct w:val="0"/>
        <w:autoSpaceDE w:val="0"/>
        <w:autoSpaceDN w:val="0"/>
        <w:bidi w:val="0"/>
        <w:adjustRightInd w:val="0"/>
        <w:spacing w:line="42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法定代表人</w:t>
      </w:r>
      <w:r>
        <w:rPr>
          <w:rFonts w:hint="eastAsia" w:ascii="宋体" w:hAnsi="宋体" w:cs="宋体"/>
          <w:color w:val="auto"/>
          <w:sz w:val="24"/>
          <w:szCs w:val="24"/>
        </w:rPr>
        <w:t>、</w:t>
      </w:r>
      <w:r>
        <w:rPr>
          <w:rFonts w:hint="eastAsia" w:ascii="宋体" w:hAnsi="宋体" w:cs="宋体"/>
          <w:color w:val="auto"/>
          <w:sz w:val="24"/>
          <w:szCs w:val="24"/>
          <w:lang w:val="zh-CN"/>
        </w:rPr>
        <w:t>授权代表身份证复印件（正反面）</w:t>
      </w:r>
    </w:p>
    <w:tbl>
      <w:tblPr>
        <w:tblStyle w:val="35"/>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99" w:hRule="atLeast"/>
        </w:trPr>
        <w:tc>
          <w:tcPr>
            <w:tcW w:w="4049"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sz w:val="24"/>
                <w:szCs w:val="24"/>
                <w:lang w:val="zh-CN"/>
              </w:rPr>
            </w:pPr>
            <w:r>
              <w:rPr>
                <w:rFonts w:hint="eastAsia" w:ascii="宋体" w:hAnsi="宋体" w:cs="宋体"/>
                <w:color w:val="auto"/>
                <w:sz w:val="24"/>
                <w:szCs w:val="24"/>
                <w:lang w:val="zh-CN"/>
              </w:rPr>
              <w:t>法定代表人身份证复印件</w:t>
            </w:r>
          </w:p>
        </w:tc>
        <w:tc>
          <w:tcPr>
            <w:tcW w:w="3885" w:type="dxa"/>
            <w:tcBorders>
              <w:top w:val="single" w:color="auto" w:sz="6" w:space="0"/>
              <w:left w:val="single" w:color="auto" w:sz="4" w:space="0"/>
              <w:bottom w:val="single" w:color="auto" w:sz="6" w:space="0"/>
              <w:right w:val="single" w:color="auto" w:sz="6" w:space="0"/>
            </w:tcBorders>
            <w:vAlign w:val="center"/>
          </w:tcPr>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sz w:val="24"/>
                <w:szCs w:val="24"/>
                <w:lang w:val="zh-CN"/>
              </w:rPr>
            </w:pPr>
            <w:r>
              <w:rPr>
                <w:rFonts w:hint="eastAsia" w:ascii="宋体" w:hAnsi="宋体" w:cs="宋体"/>
                <w:color w:val="auto"/>
                <w:sz w:val="24"/>
                <w:szCs w:val="24"/>
                <w:lang w:val="zh-CN"/>
              </w:rPr>
              <w:t>授权代表身份证复印件</w:t>
            </w:r>
          </w:p>
        </w:tc>
      </w:tr>
    </w:tbl>
    <w:p>
      <w:pPr>
        <w:keepLines w:val="0"/>
        <w:pageBreakBefore w:val="0"/>
        <w:kinsoku/>
        <w:wordWrap/>
        <w:overflowPunct/>
        <w:topLinePunct w:val="0"/>
        <w:autoSpaceDE w:val="0"/>
        <w:autoSpaceDN w:val="0"/>
        <w:bidi w:val="0"/>
        <w:adjustRightInd w:val="0"/>
        <w:spacing w:line="420" w:lineRule="exact"/>
        <w:ind w:firstLine="720" w:firstLineChars="300"/>
        <w:rPr>
          <w:rFonts w:ascii="宋体" w:hAnsi="宋体" w:cs="宋体"/>
          <w:color w:val="auto"/>
          <w:sz w:val="24"/>
          <w:szCs w:val="24"/>
        </w:rPr>
      </w:pPr>
      <w:r>
        <w:rPr>
          <w:rFonts w:hint="eastAsia" w:ascii="宋体" w:hAnsi="宋体" w:cs="宋体"/>
          <w:color w:val="auto"/>
          <w:sz w:val="24"/>
          <w:szCs w:val="24"/>
          <w:lang w:val="zh-CN"/>
        </w:rPr>
        <w:t>供应商名称（公章）：           法定代表人（</w:t>
      </w:r>
      <w:r>
        <w:rPr>
          <w:rFonts w:hint="eastAsia" w:ascii="宋体" w:hAnsi="宋体" w:cs="宋体"/>
          <w:color w:val="auto"/>
          <w:sz w:val="24"/>
          <w:szCs w:val="24"/>
        </w:rPr>
        <w:t>签字</w:t>
      </w:r>
      <w:r>
        <w:rPr>
          <w:rFonts w:hint="eastAsia" w:ascii="宋体" w:hAnsi="宋体" w:cs="宋体"/>
          <w:color w:val="auto"/>
          <w:sz w:val="24"/>
          <w:szCs w:val="24"/>
          <w:lang w:val="zh-CN"/>
        </w:rPr>
        <w:t>）：</w:t>
      </w:r>
      <w:r>
        <w:rPr>
          <w:rFonts w:hint="eastAsia" w:ascii="宋体" w:hAnsi="宋体" w:cs="宋体"/>
          <w:color w:val="auto"/>
          <w:sz w:val="24"/>
          <w:szCs w:val="24"/>
        </w:rPr>
        <w:t xml:space="preserve"> </w:t>
      </w:r>
    </w:p>
    <w:p>
      <w:pPr>
        <w:keepLines w:val="0"/>
        <w:pageBreakBefore w:val="0"/>
        <w:kinsoku/>
        <w:wordWrap/>
        <w:overflowPunct/>
        <w:topLinePunct w:val="0"/>
        <w:autoSpaceDE w:val="0"/>
        <w:autoSpaceDN w:val="0"/>
        <w:bidi w:val="0"/>
        <w:adjustRightInd w:val="0"/>
        <w:spacing w:line="420" w:lineRule="exact"/>
        <w:ind w:firstLine="720" w:firstLineChars="300"/>
        <w:rPr>
          <w:rFonts w:ascii="宋体" w:hAnsi="宋体" w:cs="宋体"/>
          <w:color w:val="auto"/>
          <w:sz w:val="24"/>
          <w:szCs w:val="24"/>
        </w:rPr>
      </w:pPr>
      <w:r>
        <w:rPr>
          <w:rFonts w:hint="eastAsia" w:ascii="宋体" w:hAnsi="宋体" w:cs="宋体"/>
          <w:color w:val="auto"/>
          <w:sz w:val="24"/>
          <w:szCs w:val="24"/>
        </w:rPr>
        <w:t xml:space="preserve">被授权人：（签字）             授权日期： </w:t>
      </w:r>
    </w:p>
    <w:p>
      <w:pPr>
        <w:keepLines w:val="0"/>
        <w:pageBreakBefore w:val="0"/>
        <w:kinsoku/>
        <w:wordWrap/>
        <w:overflowPunct/>
        <w:topLinePunct w:val="0"/>
        <w:autoSpaceDE w:val="0"/>
        <w:autoSpaceDN w:val="0"/>
        <w:bidi w:val="0"/>
        <w:adjustRightInd w:val="0"/>
        <w:spacing w:line="420" w:lineRule="exact"/>
        <w:ind w:firstLine="720" w:firstLineChars="300"/>
        <w:rPr>
          <w:rFonts w:ascii="宋体" w:hAnsi="宋体" w:cs="宋体"/>
          <w:b/>
          <w:bCs/>
          <w:color w:val="auto"/>
          <w:sz w:val="22"/>
          <w:szCs w:val="18"/>
          <w:lang w:val="zh-CN"/>
        </w:rPr>
      </w:pPr>
      <w:r>
        <w:rPr>
          <w:rFonts w:hint="eastAsia" w:ascii="宋体" w:hAnsi="宋体" w:cs="宋体"/>
          <w:color w:val="auto"/>
          <w:sz w:val="24"/>
          <w:szCs w:val="24"/>
          <w:lang w:val="zh-CN"/>
        </w:rPr>
        <w:t>本授权有效期：</w:t>
      </w:r>
      <w:r>
        <w:rPr>
          <w:rFonts w:hint="eastAsia" w:ascii="宋体" w:hAnsi="宋体" w:cs="宋体"/>
          <w:color w:val="auto"/>
          <w:sz w:val="24"/>
          <w:szCs w:val="24"/>
        </w:rPr>
        <w:t>自本委托书签署之日起至投标有效期满。</w:t>
      </w:r>
    </w:p>
    <w:p>
      <w:pPr>
        <w:keepLines w:val="0"/>
        <w:pageBreakBefore w:val="0"/>
        <w:kinsoku/>
        <w:wordWrap/>
        <w:overflowPunct/>
        <w:topLinePunct w:val="0"/>
        <w:bidi w:val="0"/>
        <w:snapToGrid w:val="0"/>
        <w:spacing w:line="420" w:lineRule="exact"/>
        <w:rPr>
          <w:rFonts w:ascii="宋体" w:hAnsi="宋体" w:cs="宋体"/>
          <w:b/>
          <w:bCs/>
          <w:color w:val="auto"/>
          <w:sz w:val="22"/>
          <w:szCs w:val="18"/>
          <w:lang w:val="zh-CN"/>
        </w:rPr>
      </w:pPr>
    </w:p>
    <w:p>
      <w:pPr>
        <w:keepLines w:val="0"/>
        <w:pageBreakBefore w:val="0"/>
        <w:kinsoku/>
        <w:wordWrap/>
        <w:overflowPunct/>
        <w:topLinePunct w:val="0"/>
        <w:bidi w:val="0"/>
        <w:snapToGrid w:val="0"/>
        <w:spacing w:line="420" w:lineRule="exact"/>
        <w:ind w:firstLine="883" w:firstLineChars="400"/>
        <w:rPr>
          <w:rFonts w:ascii="宋体" w:hAnsi="宋体" w:cs="宋体"/>
          <w:b/>
          <w:color w:val="auto"/>
          <w:sz w:val="22"/>
          <w:szCs w:val="18"/>
          <w:lang w:val="zh-CN"/>
        </w:rPr>
      </w:pPr>
      <w:r>
        <w:rPr>
          <w:rFonts w:hint="eastAsia" w:ascii="宋体" w:hAnsi="宋体" w:cs="宋体"/>
          <w:b/>
          <w:bCs/>
          <w:color w:val="auto"/>
          <w:sz w:val="22"/>
          <w:szCs w:val="18"/>
          <w:lang w:val="zh-CN"/>
        </w:rPr>
        <w:t>注：1、</w:t>
      </w:r>
      <w:r>
        <w:rPr>
          <w:rFonts w:hint="eastAsia" w:ascii="宋体" w:hAnsi="宋体" w:cs="宋体"/>
          <w:b/>
          <w:color w:val="auto"/>
          <w:sz w:val="22"/>
          <w:szCs w:val="18"/>
        </w:rPr>
        <w:t>法定代表人直接参与，可不填</w:t>
      </w:r>
      <w:r>
        <w:rPr>
          <w:rFonts w:hint="eastAsia" w:ascii="宋体" w:hAnsi="宋体" w:cs="宋体"/>
          <w:b/>
          <w:color w:val="auto"/>
          <w:sz w:val="22"/>
          <w:szCs w:val="18"/>
          <w:lang w:val="zh-CN"/>
        </w:rPr>
        <w:t>法定代表人授权委托书。</w:t>
      </w:r>
    </w:p>
    <w:p>
      <w:pPr>
        <w:pStyle w:val="2"/>
        <w:keepLines w:val="0"/>
        <w:pageBreakBefore w:val="0"/>
        <w:kinsoku/>
        <w:wordWrap/>
        <w:overflowPunct/>
        <w:topLinePunct w:val="0"/>
        <w:bidi w:val="0"/>
        <w:spacing w:line="420" w:lineRule="exact"/>
        <w:rPr>
          <w:color w:val="auto"/>
          <w:lang w:val="zh-CN"/>
        </w:rPr>
      </w:pPr>
    </w:p>
    <w:p>
      <w:pPr>
        <w:keepLines w:val="0"/>
        <w:pageBreakBefore w:val="0"/>
        <w:kinsoku/>
        <w:wordWrap/>
        <w:overflowPunct/>
        <w:topLinePunct w:val="0"/>
        <w:bidi w:val="0"/>
        <w:spacing w:line="420" w:lineRule="exact"/>
        <w:rPr>
          <w:color w:val="auto"/>
        </w:rPr>
      </w:pPr>
    </w:p>
    <w:p>
      <w:pPr>
        <w:pStyle w:val="2"/>
        <w:rPr>
          <w:color w:val="auto"/>
        </w:rPr>
      </w:pPr>
    </w:p>
    <w:p>
      <w:pPr>
        <w:rPr>
          <w:color w:val="auto"/>
        </w:rPr>
      </w:pPr>
    </w:p>
    <w:p>
      <w:pPr>
        <w:pStyle w:val="2"/>
        <w:rPr>
          <w:color w:val="auto"/>
        </w:rPr>
      </w:pPr>
    </w:p>
    <w:p>
      <w:pPr>
        <w:spacing w:line="420" w:lineRule="exact"/>
        <w:rPr>
          <w:rFonts w:hint="eastAsia" w:ascii="宋体" w:hAnsi="宋体"/>
          <w:color w:val="auto"/>
          <w:sz w:val="24"/>
          <w:szCs w:val="24"/>
        </w:rPr>
      </w:pPr>
      <w:r>
        <w:rPr>
          <w:rFonts w:hint="eastAsia" w:ascii="宋体" w:hAnsi="宋体" w:cs="宋体"/>
          <w:b/>
          <w:color w:val="auto"/>
          <w:sz w:val="28"/>
          <w:szCs w:val="28"/>
        </w:rPr>
        <w:t>附件</w:t>
      </w:r>
      <w:r>
        <w:rPr>
          <w:rFonts w:hint="eastAsia" w:ascii="宋体" w:hAnsi="宋体" w:cs="宋体"/>
          <w:b/>
          <w:color w:val="auto"/>
          <w:sz w:val="28"/>
          <w:szCs w:val="28"/>
          <w:lang w:val="en-US" w:eastAsia="zh-CN"/>
        </w:rPr>
        <w:t>3：</w:t>
      </w:r>
    </w:p>
    <w:p>
      <w:pPr>
        <w:spacing w:before="312" w:beforeLines="100" w:after="312" w:afterLines="100"/>
        <w:jc w:val="center"/>
        <w:rPr>
          <w:rFonts w:hint="eastAsia" w:ascii="宋体" w:hAnsi="宋体"/>
          <w:b/>
          <w:color w:val="auto"/>
          <w:sz w:val="24"/>
          <w:szCs w:val="24"/>
        </w:rPr>
      </w:pPr>
      <w:r>
        <w:rPr>
          <w:rFonts w:hint="eastAsia" w:ascii="宋体" w:hAnsi="宋体"/>
          <w:b/>
          <w:color w:val="auto"/>
          <w:sz w:val="24"/>
          <w:szCs w:val="24"/>
        </w:rPr>
        <w:t>承 诺 书</w:t>
      </w:r>
    </w:p>
    <w:p>
      <w:pPr>
        <w:spacing w:after="312" w:afterLines="100" w:line="440" w:lineRule="exact"/>
        <w:rPr>
          <w:rFonts w:hint="eastAsia" w:ascii="宋体" w:hAnsi="宋体"/>
          <w:color w:val="auto"/>
          <w:sz w:val="24"/>
          <w:szCs w:val="24"/>
        </w:rPr>
      </w:pPr>
      <w:r>
        <w:rPr>
          <w:rFonts w:hint="eastAsia" w:ascii="宋体" w:hAnsi="宋体"/>
          <w:color w:val="auto"/>
          <w:sz w:val="24"/>
          <w:szCs w:val="24"/>
          <w:u w:val="single"/>
        </w:rPr>
        <w:t xml:space="preserve">          </w:t>
      </w:r>
      <w:r>
        <w:rPr>
          <w:rFonts w:hint="eastAsia" w:ascii="宋体" w:hAnsi="宋体"/>
          <w:color w:val="auto"/>
          <w:sz w:val="24"/>
          <w:szCs w:val="24"/>
        </w:rPr>
        <w:t>（招标人名称）：</w:t>
      </w:r>
    </w:p>
    <w:p>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我方在此声明，我方拟派往</w:t>
      </w:r>
      <w:r>
        <w:rPr>
          <w:rFonts w:hint="eastAsia" w:ascii="宋体" w:hAnsi="宋体"/>
          <w:color w:val="auto"/>
          <w:sz w:val="24"/>
          <w:szCs w:val="24"/>
          <w:u w:val="single"/>
        </w:rPr>
        <w:t xml:space="preserve">        </w:t>
      </w:r>
      <w:r>
        <w:rPr>
          <w:rFonts w:hint="eastAsia" w:ascii="宋体" w:hAnsi="宋体"/>
          <w:color w:val="auto"/>
          <w:sz w:val="24"/>
          <w:szCs w:val="24"/>
        </w:rPr>
        <w:t>（项目名称）（以下简称“本工程”）的项目经理</w:t>
      </w:r>
      <w:r>
        <w:rPr>
          <w:rFonts w:hint="eastAsia" w:ascii="宋体" w:hAnsi="宋体"/>
          <w:color w:val="auto"/>
          <w:sz w:val="24"/>
          <w:szCs w:val="24"/>
          <w:u w:val="single"/>
        </w:rPr>
        <w:t xml:space="preserve">           </w:t>
      </w:r>
      <w:r>
        <w:rPr>
          <w:rFonts w:hint="eastAsia" w:ascii="宋体" w:hAnsi="宋体"/>
          <w:color w:val="auto"/>
          <w:sz w:val="24"/>
          <w:szCs w:val="24"/>
        </w:rPr>
        <w:t>（项目经理姓名）现阶段没有担任任何在施建设工程项目的项目经理。</w:t>
      </w:r>
    </w:p>
    <w:p>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我方保证上述信息的真实和准确，并愿意承担因我方就此弄虚作假所引起的一切法律后果。</w:t>
      </w:r>
    </w:p>
    <w:p>
      <w:pPr>
        <w:spacing w:line="440" w:lineRule="exact"/>
        <w:ind w:firstLine="480" w:firstLineChars="200"/>
        <w:rPr>
          <w:rFonts w:hint="eastAsia" w:ascii="宋体" w:hAnsi="宋体"/>
          <w:color w:val="auto"/>
          <w:sz w:val="24"/>
          <w:szCs w:val="24"/>
        </w:rPr>
      </w:pPr>
    </w:p>
    <w:p>
      <w:pPr>
        <w:spacing w:line="440" w:lineRule="exact"/>
        <w:ind w:firstLine="480" w:firstLineChars="200"/>
        <w:rPr>
          <w:rFonts w:hint="eastAsia" w:ascii="宋体" w:hAnsi="宋体"/>
          <w:color w:val="auto"/>
          <w:sz w:val="24"/>
          <w:szCs w:val="24"/>
        </w:rPr>
      </w:pPr>
    </w:p>
    <w:p>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特此承诺</w:t>
      </w:r>
    </w:p>
    <w:p>
      <w:pPr>
        <w:spacing w:line="440" w:lineRule="exact"/>
        <w:ind w:firstLine="480" w:firstLineChars="200"/>
        <w:rPr>
          <w:rFonts w:hint="eastAsia" w:ascii="宋体" w:hAnsi="宋体"/>
          <w:color w:val="auto"/>
          <w:sz w:val="24"/>
          <w:szCs w:val="24"/>
        </w:rPr>
      </w:pPr>
    </w:p>
    <w:p>
      <w:pPr>
        <w:spacing w:line="440" w:lineRule="exact"/>
        <w:ind w:firstLine="480" w:firstLineChars="200"/>
        <w:rPr>
          <w:rFonts w:hint="eastAsia" w:ascii="宋体" w:hAnsi="宋体"/>
          <w:color w:val="auto"/>
          <w:sz w:val="24"/>
          <w:szCs w:val="24"/>
        </w:rPr>
      </w:pPr>
    </w:p>
    <w:p>
      <w:pPr>
        <w:spacing w:line="440" w:lineRule="exact"/>
        <w:ind w:firstLine="480" w:firstLineChars="200"/>
        <w:rPr>
          <w:rFonts w:hint="eastAsia" w:ascii="宋体" w:hAnsi="宋体"/>
          <w:color w:val="auto"/>
          <w:sz w:val="24"/>
          <w:szCs w:val="24"/>
        </w:rPr>
      </w:pPr>
    </w:p>
    <w:p>
      <w:pPr>
        <w:spacing w:line="440" w:lineRule="exact"/>
        <w:rPr>
          <w:rFonts w:hint="eastAsia" w:ascii="宋体" w:hAnsi="宋体"/>
          <w:color w:val="auto"/>
          <w:sz w:val="24"/>
          <w:szCs w:val="24"/>
        </w:rPr>
      </w:pPr>
    </w:p>
    <w:p>
      <w:pPr>
        <w:spacing w:line="480" w:lineRule="exact"/>
        <w:ind w:firstLine="3840" w:firstLineChars="1600"/>
        <w:rPr>
          <w:rFonts w:hint="eastAsia" w:ascii="宋体" w:hAnsi="宋体"/>
          <w:bCs/>
          <w:color w:val="auto"/>
          <w:sz w:val="24"/>
          <w:szCs w:val="24"/>
          <w:u w:val="single"/>
        </w:rPr>
      </w:pPr>
      <w:r>
        <w:rPr>
          <w:rFonts w:hint="eastAsia" w:ascii="宋体" w:hAnsi="宋体"/>
          <w:bCs/>
          <w:color w:val="auto"/>
          <w:sz w:val="24"/>
          <w:szCs w:val="24"/>
        </w:rPr>
        <w:t>投标人（盖章）：</w:t>
      </w:r>
      <w:r>
        <w:rPr>
          <w:rFonts w:hint="eastAsia" w:ascii="宋体" w:hAnsi="宋体"/>
          <w:bCs/>
          <w:color w:val="auto"/>
          <w:sz w:val="24"/>
          <w:szCs w:val="24"/>
          <w:u w:val="single"/>
        </w:rPr>
        <w:t xml:space="preserve">                               </w:t>
      </w:r>
    </w:p>
    <w:p>
      <w:pPr>
        <w:spacing w:line="480" w:lineRule="exact"/>
        <w:ind w:firstLine="3840" w:firstLineChars="1600"/>
        <w:rPr>
          <w:rFonts w:hint="eastAsia" w:ascii="宋体" w:hAnsi="宋体"/>
          <w:bCs/>
          <w:color w:val="auto"/>
          <w:sz w:val="24"/>
          <w:szCs w:val="24"/>
          <w:u w:val="single"/>
        </w:rPr>
      </w:pPr>
      <w:r>
        <w:rPr>
          <w:rFonts w:hint="eastAsia" w:ascii="宋体" w:hAnsi="宋体"/>
          <w:bCs/>
          <w:color w:val="auto"/>
          <w:sz w:val="24"/>
          <w:szCs w:val="24"/>
        </w:rPr>
        <w:t>法人代表或委托代理人（签字或盖章）：</w:t>
      </w:r>
      <w:r>
        <w:rPr>
          <w:rFonts w:hint="eastAsia" w:ascii="宋体" w:hAnsi="宋体"/>
          <w:bCs/>
          <w:color w:val="auto"/>
          <w:sz w:val="24"/>
          <w:szCs w:val="24"/>
          <w:u w:val="single"/>
        </w:rPr>
        <w:t xml:space="preserve">           </w:t>
      </w:r>
    </w:p>
    <w:p>
      <w:pPr>
        <w:spacing w:line="480" w:lineRule="exact"/>
        <w:ind w:firstLine="3840" w:firstLineChars="1600"/>
        <w:rPr>
          <w:rFonts w:hint="eastAsia" w:ascii="宋体" w:hAnsi="宋体"/>
          <w:bCs/>
          <w:color w:val="auto"/>
          <w:sz w:val="24"/>
          <w:szCs w:val="24"/>
        </w:rPr>
      </w:pPr>
      <w:r>
        <w:rPr>
          <w:rFonts w:hint="eastAsia" w:ascii="宋体" w:hAnsi="宋体"/>
          <w:bCs/>
          <w:color w:val="auto"/>
          <w:sz w:val="24"/>
          <w:szCs w:val="24"/>
        </w:rPr>
        <w:t>日        期：</w:t>
      </w:r>
      <w:r>
        <w:rPr>
          <w:rFonts w:hint="eastAsia" w:ascii="宋体" w:hAnsi="宋体"/>
          <w:bCs/>
          <w:color w:val="auto"/>
          <w:sz w:val="24"/>
          <w:szCs w:val="24"/>
          <w:u w:val="single"/>
        </w:rPr>
        <w:t xml:space="preserve">    </w:t>
      </w:r>
      <w:r>
        <w:rPr>
          <w:rFonts w:hint="eastAsia" w:ascii="宋体" w:hAnsi="宋体"/>
          <w:bCs/>
          <w:color w:val="auto"/>
          <w:sz w:val="24"/>
          <w:szCs w:val="24"/>
        </w:rPr>
        <w:t>年</w:t>
      </w:r>
      <w:r>
        <w:rPr>
          <w:rFonts w:hint="eastAsia" w:ascii="宋体" w:hAnsi="宋体"/>
          <w:bCs/>
          <w:color w:val="auto"/>
          <w:sz w:val="24"/>
          <w:szCs w:val="24"/>
          <w:u w:val="single"/>
        </w:rPr>
        <w:t xml:space="preserve">      </w:t>
      </w:r>
      <w:r>
        <w:rPr>
          <w:rFonts w:hint="eastAsia" w:ascii="宋体" w:hAnsi="宋体"/>
          <w:bCs/>
          <w:color w:val="auto"/>
          <w:sz w:val="24"/>
          <w:szCs w:val="24"/>
        </w:rPr>
        <w:t>月</w:t>
      </w:r>
      <w:r>
        <w:rPr>
          <w:rFonts w:hint="eastAsia" w:ascii="宋体" w:hAnsi="宋体"/>
          <w:bCs/>
          <w:color w:val="auto"/>
          <w:sz w:val="24"/>
          <w:szCs w:val="24"/>
          <w:u w:val="single"/>
        </w:rPr>
        <w:t xml:space="preserve">      </w:t>
      </w:r>
      <w:r>
        <w:rPr>
          <w:rFonts w:hint="eastAsia" w:ascii="宋体" w:hAnsi="宋体"/>
          <w:bCs/>
          <w:color w:val="auto"/>
          <w:sz w:val="24"/>
          <w:szCs w:val="24"/>
        </w:rPr>
        <w:t>日</w:t>
      </w:r>
    </w:p>
    <w:p>
      <w:pPr>
        <w:pStyle w:val="2"/>
        <w:rPr>
          <w:rFonts w:hint="eastAsia" w:ascii="宋体" w:hAnsi="宋体"/>
          <w:bCs/>
          <w:color w:val="auto"/>
          <w:sz w:val="24"/>
          <w:szCs w:val="24"/>
        </w:rPr>
      </w:pPr>
    </w:p>
    <w:p>
      <w:pPr>
        <w:rPr>
          <w:rFonts w:hint="eastAsia" w:ascii="宋体" w:hAnsi="宋体"/>
          <w:bCs/>
          <w:color w:val="auto"/>
          <w:sz w:val="24"/>
          <w:szCs w:val="24"/>
        </w:rPr>
      </w:pPr>
    </w:p>
    <w:p>
      <w:pPr>
        <w:pStyle w:val="2"/>
        <w:rPr>
          <w:rFonts w:hint="eastAsia" w:ascii="宋体" w:hAnsi="宋体"/>
          <w:bCs/>
          <w:color w:val="auto"/>
          <w:sz w:val="24"/>
          <w:szCs w:val="24"/>
        </w:rPr>
      </w:pPr>
    </w:p>
    <w:p>
      <w:pPr>
        <w:rPr>
          <w:rFonts w:hint="eastAsia" w:ascii="宋体" w:hAnsi="宋体"/>
          <w:bCs/>
          <w:color w:val="auto"/>
          <w:sz w:val="24"/>
          <w:szCs w:val="24"/>
        </w:rPr>
      </w:pPr>
    </w:p>
    <w:p>
      <w:pPr>
        <w:pStyle w:val="2"/>
        <w:rPr>
          <w:rFonts w:hint="eastAsia" w:ascii="宋体" w:hAnsi="宋体"/>
          <w:bCs/>
          <w:color w:val="auto"/>
          <w:sz w:val="24"/>
          <w:szCs w:val="24"/>
        </w:rPr>
      </w:pPr>
    </w:p>
    <w:p>
      <w:pPr>
        <w:rPr>
          <w:rFonts w:hint="eastAsia" w:ascii="宋体" w:hAnsi="宋体"/>
          <w:bCs/>
          <w:color w:val="auto"/>
          <w:sz w:val="24"/>
          <w:szCs w:val="24"/>
        </w:rPr>
      </w:pPr>
    </w:p>
    <w:p>
      <w:pPr>
        <w:pStyle w:val="2"/>
        <w:rPr>
          <w:rFonts w:hint="eastAsia" w:ascii="宋体" w:hAnsi="宋体"/>
          <w:bCs/>
          <w:color w:val="auto"/>
          <w:sz w:val="24"/>
          <w:szCs w:val="24"/>
        </w:rPr>
      </w:pPr>
    </w:p>
    <w:p>
      <w:pPr>
        <w:rPr>
          <w:rFonts w:hint="eastAsia" w:ascii="宋体" w:hAnsi="宋体"/>
          <w:bCs/>
          <w:color w:val="auto"/>
          <w:sz w:val="24"/>
          <w:szCs w:val="24"/>
        </w:rPr>
      </w:pPr>
    </w:p>
    <w:p>
      <w:pPr>
        <w:pStyle w:val="2"/>
        <w:rPr>
          <w:rFonts w:hint="eastAsia" w:ascii="宋体" w:hAnsi="宋体"/>
          <w:bCs/>
          <w:color w:val="auto"/>
          <w:sz w:val="24"/>
          <w:szCs w:val="24"/>
        </w:rPr>
      </w:pPr>
    </w:p>
    <w:p>
      <w:pPr>
        <w:rPr>
          <w:rFonts w:hint="eastAsia" w:ascii="宋体" w:hAnsi="宋体"/>
          <w:bCs/>
          <w:color w:val="auto"/>
          <w:sz w:val="24"/>
          <w:szCs w:val="24"/>
        </w:rPr>
      </w:pPr>
    </w:p>
    <w:p>
      <w:pPr>
        <w:pStyle w:val="2"/>
        <w:rPr>
          <w:rFonts w:hint="eastAsia" w:ascii="宋体" w:hAnsi="宋体"/>
          <w:bCs/>
          <w:color w:val="auto"/>
          <w:sz w:val="24"/>
          <w:szCs w:val="24"/>
        </w:rPr>
      </w:pPr>
    </w:p>
    <w:p>
      <w:pPr>
        <w:rPr>
          <w:rFonts w:hint="eastAsia" w:ascii="宋体" w:hAnsi="宋体"/>
          <w:bCs/>
          <w:color w:val="auto"/>
          <w:sz w:val="24"/>
          <w:szCs w:val="24"/>
        </w:rPr>
      </w:pPr>
    </w:p>
    <w:p>
      <w:pPr>
        <w:pStyle w:val="2"/>
        <w:rPr>
          <w:rFonts w:hint="eastAsia" w:ascii="宋体" w:hAnsi="宋体"/>
          <w:bCs/>
          <w:color w:val="auto"/>
          <w:sz w:val="24"/>
          <w:szCs w:val="24"/>
        </w:rPr>
      </w:pPr>
    </w:p>
    <w:p>
      <w:pPr>
        <w:rPr>
          <w:rFonts w:hint="eastAsia" w:ascii="宋体" w:hAnsi="宋体"/>
          <w:bCs/>
          <w:color w:val="auto"/>
          <w:sz w:val="24"/>
          <w:szCs w:val="24"/>
        </w:rPr>
      </w:pPr>
    </w:p>
    <w:p>
      <w:pPr>
        <w:pStyle w:val="2"/>
        <w:rPr>
          <w:rFonts w:hint="eastAsia"/>
          <w:color w:val="auto"/>
        </w:rPr>
      </w:pPr>
    </w:p>
    <w:p>
      <w:pPr>
        <w:keepLines w:val="0"/>
        <w:pageBreakBefore w:val="0"/>
        <w:kinsoku/>
        <w:wordWrap/>
        <w:overflowPunct/>
        <w:topLinePunct w:val="0"/>
        <w:bidi w:val="0"/>
        <w:spacing w:line="420" w:lineRule="exact"/>
        <w:rPr>
          <w:rFonts w:hint="eastAsia" w:ascii="宋体" w:hAnsi="宋体" w:cs="宋体"/>
          <w:b/>
          <w:color w:val="auto"/>
          <w:sz w:val="28"/>
          <w:szCs w:val="28"/>
        </w:rPr>
      </w:pPr>
    </w:p>
    <w:p>
      <w:pPr>
        <w:keepLines w:val="0"/>
        <w:pageBreakBefore w:val="0"/>
        <w:kinsoku/>
        <w:wordWrap/>
        <w:overflowPunct/>
        <w:topLinePunct w:val="0"/>
        <w:bidi w:val="0"/>
        <w:spacing w:line="420" w:lineRule="exact"/>
        <w:rPr>
          <w:rFonts w:ascii="宋体" w:hAnsi="宋体" w:cs="宋体"/>
          <w:b/>
          <w:bCs/>
          <w:color w:val="auto"/>
          <w:sz w:val="24"/>
          <w:szCs w:val="24"/>
        </w:rPr>
      </w:pPr>
      <w:r>
        <w:rPr>
          <w:rFonts w:hint="eastAsia" w:ascii="宋体" w:hAnsi="宋体" w:cs="宋体"/>
          <w:b/>
          <w:color w:val="auto"/>
          <w:sz w:val="28"/>
          <w:szCs w:val="28"/>
        </w:rPr>
        <w:t>附件</w:t>
      </w:r>
      <w:r>
        <w:rPr>
          <w:rFonts w:hint="eastAsia" w:ascii="宋体" w:hAnsi="宋体" w:cs="宋体"/>
          <w:b/>
          <w:color w:val="auto"/>
          <w:sz w:val="28"/>
          <w:szCs w:val="28"/>
          <w:lang w:val="en-US" w:eastAsia="zh-CN"/>
        </w:rPr>
        <w:t>4</w:t>
      </w:r>
      <w:r>
        <w:rPr>
          <w:rFonts w:hint="eastAsia" w:ascii="宋体" w:hAnsi="宋体" w:cs="宋体"/>
          <w:b/>
          <w:color w:val="auto"/>
          <w:sz w:val="28"/>
          <w:szCs w:val="28"/>
        </w:rPr>
        <w:t>：</w:t>
      </w:r>
    </w:p>
    <w:p>
      <w:pPr>
        <w:keepLines w:val="0"/>
        <w:pageBreakBefore w:val="0"/>
        <w:kinsoku/>
        <w:wordWrap/>
        <w:overflowPunct/>
        <w:topLinePunct w:val="0"/>
        <w:autoSpaceDE w:val="0"/>
        <w:autoSpaceDN w:val="0"/>
        <w:bidi w:val="0"/>
        <w:adjustRightInd w:val="0"/>
        <w:spacing w:line="420" w:lineRule="exact"/>
        <w:jc w:val="center"/>
        <w:rPr>
          <w:color w:val="auto"/>
          <w:sz w:val="24"/>
          <w:szCs w:val="24"/>
          <w:lang w:val="zh-CN"/>
        </w:rPr>
      </w:pPr>
      <w:r>
        <w:rPr>
          <w:rFonts w:hint="eastAsia" w:ascii="宋体" w:hAnsi="宋体" w:cs="宋体"/>
          <w:b/>
          <w:bCs/>
          <w:color w:val="auto"/>
          <w:sz w:val="24"/>
          <w:szCs w:val="24"/>
          <w:lang w:val="zh-CN"/>
        </w:rPr>
        <w:t>供应商企业关系关联承诺书</w:t>
      </w:r>
    </w:p>
    <w:p>
      <w:pPr>
        <w:keepLines w:val="0"/>
        <w:pageBreakBefore w:val="0"/>
        <w:numPr>
          <w:ilvl w:val="0"/>
          <w:numId w:val="8"/>
        </w:numPr>
        <w:kinsoku/>
        <w:wordWrap/>
        <w:overflowPunct/>
        <w:topLinePunct w:val="0"/>
        <w:bidi w:val="0"/>
        <w:spacing w:line="420" w:lineRule="exact"/>
        <w:ind w:firstLine="241" w:firstLineChars="100"/>
        <w:rPr>
          <w:rFonts w:ascii="宋体" w:hAnsi="宋体" w:cs="宋体"/>
          <w:b/>
          <w:bCs/>
          <w:color w:val="auto"/>
          <w:sz w:val="24"/>
          <w:szCs w:val="24"/>
        </w:rPr>
      </w:pPr>
      <w:r>
        <w:rPr>
          <w:rFonts w:hint="eastAsia" w:ascii="宋体" w:hAnsi="宋体" w:cs="宋体"/>
          <w:b/>
          <w:bCs/>
          <w:color w:val="auto"/>
          <w:sz w:val="24"/>
          <w:szCs w:val="24"/>
        </w:rPr>
        <w:t>投标人股东及股权证明。（提供国家企业信用信息公示系统的网页截图）。</w:t>
      </w:r>
    </w:p>
    <w:p>
      <w:pPr>
        <w:keepLines w:val="0"/>
        <w:pageBreakBefore w:val="0"/>
        <w:kinsoku/>
        <w:wordWrap/>
        <w:overflowPunct/>
        <w:topLinePunct w:val="0"/>
        <w:bidi w:val="0"/>
        <w:spacing w:line="420" w:lineRule="exact"/>
        <w:ind w:firstLine="240" w:firstLineChars="100"/>
        <w:rPr>
          <w:rFonts w:ascii="宋体" w:hAnsi="宋体" w:cs="宋体"/>
          <w:color w:val="auto"/>
          <w:sz w:val="24"/>
          <w:szCs w:val="24"/>
        </w:rPr>
      </w:pPr>
      <w:r>
        <w:rPr>
          <w:rFonts w:hint="eastAsia" w:ascii="宋体" w:hAnsi="宋体" w:cs="宋体"/>
          <w:color w:val="auto"/>
          <w:sz w:val="24"/>
          <w:szCs w:val="24"/>
        </w:rPr>
        <w:t>2、供应商在本项目投标中，不存在与其它供应商负责人为同一人，有控股、管理等关联关系承诺：</w:t>
      </w:r>
    </w:p>
    <w:p>
      <w:pPr>
        <w:keepLines w:val="0"/>
        <w:pageBreakBefore w:val="0"/>
        <w:kinsoku/>
        <w:wordWrap/>
        <w:overflowPunct/>
        <w:topLinePunct w:val="0"/>
        <w:bidi w:val="0"/>
        <w:spacing w:line="420" w:lineRule="exact"/>
        <w:ind w:firstLine="240" w:firstLineChars="100"/>
        <w:rPr>
          <w:rFonts w:ascii="宋体" w:hAnsi="宋体" w:cs="宋体"/>
          <w:color w:val="auto"/>
          <w:sz w:val="24"/>
          <w:szCs w:val="24"/>
        </w:rPr>
      </w:pPr>
      <w:r>
        <w:rPr>
          <w:rFonts w:hint="eastAsia" w:ascii="宋体" w:hAnsi="宋体" w:cs="宋体"/>
          <w:color w:val="auto"/>
          <w:sz w:val="24"/>
          <w:szCs w:val="24"/>
        </w:rPr>
        <w:t>2.1管理关系说明：</w:t>
      </w:r>
    </w:p>
    <w:p>
      <w:pPr>
        <w:keepLines w:val="0"/>
        <w:pageBreakBefore w:val="0"/>
        <w:kinsoku/>
        <w:wordWrap/>
        <w:overflowPunct/>
        <w:topLinePunct w:val="0"/>
        <w:bidi w:val="0"/>
        <w:spacing w:line="420" w:lineRule="exact"/>
        <w:ind w:firstLine="240" w:firstLineChars="100"/>
        <w:rPr>
          <w:rFonts w:ascii="宋体" w:hAnsi="宋体" w:cs="宋体"/>
          <w:color w:val="auto"/>
          <w:sz w:val="24"/>
          <w:szCs w:val="24"/>
        </w:rPr>
      </w:pPr>
      <w:r>
        <w:rPr>
          <w:rFonts w:hint="eastAsia" w:ascii="宋体" w:hAnsi="宋体" w:cs="宋体"/>
          <w:color w:val="auto"/>
          <w:sz w:val="24"/>
          <w:szCs w:val="24"/>
        </w:rPr>
        <w:t>我单位管理的具有独立法人的下属单位有</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keepLines w:val="0"/>
        <w:pageBreakBefore w:val="0"/>
        <w:kinsoku/>
        <w:wordWrap/>
        <w:overflowPunct/>
        <w:topLinePunct w:val="0"/>
        <w:bidi w:val="0"/>
        <w:spacing w:line="420" w:lineRule="exact"/>
        <w:ind w:firstLine="240" w:firstLineChars="100"/>
        <w:rPr>
          <w:rFonts w:ascii="宋体" w:hAnsi="宋体" w:cs="宋体"/>
          <w:color w:val="auto"/>
          <w:sz w:val="24"/>
          <w:szCs w:val="24"/>
        </w:rPr>
      </w:pPr>
      <w:r>
        <w:rPr>
          <w:rFonts w:hint="eastAsia" w:ascii="宋体" w:hAnsi="宋体" w:cs="宋体"/>
          <w:color w:val="auto"/>
          <w:sz w:val="24"/>
          <w:szCs w:val="24"/>
        </w:rPr>
        <w:t>我单位的上级管理单位有</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keepLines w:val="0"/>
        <w:pageBreakBefore w:val="0"/>
        <w:kinsoku/>
        <w:wordWrap/>
        <w:overflowPunct/>
        <w:topLinePunct w:val="0"/>
        <w:bidi w:val="0"/>
        <w:spacing w:line="420" w:lineRule="exact"/>
        <w:ind w:firstLine="240" w:firstLineChars="100"/>
        <w:rPr>
          <w:rFonts w:ascii="宋体" w:hAnsi="宋体" w:cs="宋体"/>
          <w:color w:val="auto"/>
          <w:sz w:val="24"/>
          <w:szCs w:val="24"/>
        </w:rPr>
      </w:pPr>
      <w:r>
        <w:rPr>
          <w:rFonts w:hint="eastAsia" w:ascii="宋体" w:hAnsi="宋体" w:cs="宋体"/>
          <w:color w:val="auto"/>
          <w:sz w:val="24"/>
          <w:szCs w:val="24"/>
        </w:rPr>
        <w:t>2.2股权关系说明：</w:t>
      </w:r>
    </w:p>
    <w:p>
      <w:pPr>
        <w:keepLines w:val="0"/>
        <w:pageBreakBefore w:val="0"/>
        <w:kinsoku/>
        <w:wordWrap/>
        <w:overflowPunct/>
        <w:topLinePunct w:val="0"/>
        <w:bidi w:val="0"/>
        <w:spacing w:line="420" w:lineRule="exact"/>
        <w:ind w:firstLine="240" w:firstLineChars="100"/>
        <w:rPr>
          <w:rFonts w:ascii="宋体" w:hAnsi="宋体" w:cs="宋体"/>
          <w:color w:val="auto"/>
          <w:sz w:val="24"/>
          <w:szCs w:val="24"/>
        </w:rPr>
      </w:pPr>
      <w:r>
        <w:rPr>
          <w:rFonts w:hint="eastAsia" w:ascii="宋体" w:hAnsi="宋体" w:cs="宋体"/>
          <w:color w:val="auto"/>
          <w:sz w:val="24"/>
          <w:szCs w:val="24"/>
        </w:rPr>
        <w:t>我单位控股的单位有</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keepLines w:val="0"/>
        <w:pageBreakBefore w:val="0"/>
        <w:kinsoku/>
        <w:wordWrap/>
        <w:overflowPunct/>
        <w:topLinePunct w:val="0"/>
        <w:bidi w:val="0"/>
        <w:spacing w:line="420" w:lineRule="exact"/>
        <w:ind w:firstLine="240" w:firstLineChars="100"/>
        <w:rPr>
          <w:rFonts w:ascii="宋体" w:hAnsi="宋体" w:cs="宋体"/>
          <w:color w:val="auto"/>
          <w:sz w:val="24"/>
          <w:szCs w:val="24"/>
        </w:rPr>
      </w:pPr>
      <w:r>
        <w:rPr>
          <w:rFonts w:hint="eastAsia" w:ascii="宋体" w:hAnsi="宋体" w:cs="宋体"/>
          <w:color w:val="auto"/>
          <w:sz w:val="24"/>
          <w:szCs w:val="24"/>
        </w:rPr>
        <w:t>我单位被</w:t>
      </w:r>
      <w:r>
        <w:rPr>
          <w:rFonts w:hint="eastAsia" w:ascii="宋体" w:hAnsi="宋体" w:cs="宋体"/>
          <w:color w:val="auto"/>
          <w:sz w:val="24"/>
          <w:szCs w:val="24"/>
          <w:u w:val="single"/>
        </w:rPr>
        <w:t xml:space="preserve">              </w:t>
      </w:r>
      <w:r>
        <w:rPr>
          <w:rFonts w:hint="eastAsia" w:ascii="宋体" w:hAnsi="宋体" w:cs="宋体"/>
          <w:color w:val="auto"/>
          <w:sz w:val="24"/>
          <w:szCs w:val="24"/>
        </w:rPr>
        <w:t>单位控股。</w:t>
      </w:r>
    </w:p>
    <w:p>
      <w:pPr>
        <w:keepLines w:val="0"/>
        <w:pageBreakBefore w:val="0"/>
        <w:kinsoku/>
        <w:wordWrap/>
        <w:overflowPunct/>
        <w:topLinePunct w:val="0"/>
        <w:bidi w:val="0"/>
        <w:spacing w:line="420" w:lineRule="exact"/>
        <w:ind w:firstLine="240" w:firstLineChars="100"/>
        <w:rPr>
          <w:rFonts w:ascii="宋体" w:hAnsi="宋体" w:cs="宋体"/>
          <w:color w:val="auto"/>
          <w:sz w:val="24"/>
          <w:szCs w:val="24"/>
          <w:u w:val="single"/>
        </w:rPr>
      </w:pPr>
      <w:r>
        <w:rPr>
          <w:rFonts w:hint="eastAsia" w:ascii="宋体" w:hAnsi="宋体" w:cs="宋体"/>
          <w:color w:val="auto"/>
          <w:sz w:val="24"/>
          <w:szCs w:val="24"/>
        </w:rPr>
        <w:t>2.3单位负责人：</w:t>
      </w:r>
      <w:r>
        <w:rPr>
          <w:rFonts w:hint="eastAsia" w:ascii="宋体" w:hAnsi="宋体" w:cs="宋体"/>
          <w:color w:val="auto"/>
          <w:sz w:val="24"/>
          <w:szCs w:val="24"/>
          <w:u w:val="single"/>
        </w:rPr>
        <w:t xml:space="preserve">                </w:t>
      </w:r>
    </w:p>
    <w:p>
      <w:pPr>
        <w:keepLines w:val="0"/>
        <w:pageBreakBefore w:val="0"/>
        <w:kinsoku/>
        <w:wordWrap/>
        <w:overflowPunct/>
        <w:topLinePunct w:val="0"/>
        <w:bidi w:val="0"/>
        <w:spacing w:line="420" w:lineRule="exact"/>
        <w:ind w:firstLine="240" w:firstLineChars="100"/>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u w:val="single"/>
        </w:rPr>
        <w:t xml:space="preserve">              </w:t>
      </w:r>
      <w:r>
        <w:rPr>
          <w:rFonts w:hint="eastAsia" w:ascii="宋体" w:hAnsi="宋体" w:cs="宋体"/>
          <w:color w:val="auto"/>
          <w:sz w:val="24"/>
          <w:szCs w:val="24"/>
        </w:rPr>
        <w:t>（是或否，没有填否） 为采购项目提供整体设计、规范编制或者项目管理、监理、检测等服务的供应商。</w:t>
      </w:r>
    </w:p>
    <w:p>
      <w:pPr>
        <w:keepLines w:val="0"/>
        <w:pageBreakBefore w:val="0"/>
        <w:kinsoku/>
        <w:wordWrap/>
        <w:overflowPunct/>
        <w:topLinePunct w:val="0"/>
        <w:bidi w:val="0"/>
        <w:spacing w:line="420" w:lineRule="exact"/>
        <w:ind w:firstLine="240" w:firstLineChars="100"/>
        <w:rPr>
          <w:rFonts w:ascii="宋体" w:hAnsi="宋体" w:cs="宋体"/>
          <w:color w:val="auto"/>
          <w:sz w:val="24"/>
          <w:szCs w:val="24"/>
          <w:u w:val="single"/>
        </w:rPr>
      </w:pPr>
      <w:r>
        <w:rPr>
          <w:rFonts w:hint="eastAsia" w:ascii="宋体" w:hAnsi="宋体" w:cs="宋体"/>
          <w:color w:val="auto"/>
          <w:sz w:val="24"/>
          <w:szCs w:val="24"/>
        </w:rPr>
        <w:t>4、其他与本项目有关的利害关系说明：</w:t>
      </w:r>
      <w:r>
        <w:rPr>
          <w:rFonts w:hint="eastAsia" w:ascii="宋体" w:hAnsi="宋体" w:cs="宋体"/>
          <w:color w:val="auto"/>
          <w:sz w:val="24"/>
          <w:szCs w:val="24"/>
          <w:u w:val="single"/>
        </w:rPr>
        <w:t xml:space="preserve">                               </w:t>
      </w:r>
    </w:p>
    <w:p>
      <w:pPr>
        <w:pStyle w:val="2"/>
        <w:keepLines w:val="0"/>
        <w:pageBreakBefore w:val="0"/>
        <w:kinsoku/>
        <w:wordWrap/>
        <w:overflowPunct/>
        <w:topLinePunct w:val="0"/>
        <w:bidi w:val="0"/>
        <w:spacing w:line="420" w:lineRule="exact"/>
        <w:rPr>
          <w:rFonts w:ascii="宋体" w:hAnsi="宋体" w:cs="宋体"/>
          <w:color w:val="auto"/>
          <w:sz w:val="24"/>
          <w:szCs w:val="24"/>
        </w:rPr>
      </w:pPr>
    </w:p>
    <w:p>
      <w:pPr>
        <w:keepLines w:val="0"/>
        <w:pageBreakBefore w:val="0"/>
        <w:kinsoku/>
        <w:wordWrap/>
        <w:overflowPunct/>
        <w:topLinePunct w:val="0"/>
        <w:bidi w:val="0"/>
        <w:spacing w:line="420" w:lineRule="exact"/>
        <w:ind w:firstLine="240" w:firstLineChars="100"/>
        <w:rPr>
          <w:rFonts w:ascii="宋体" w:hAnsi="宋体" w:cs="宋体"/>
          <w:color w:val="auto"/>
          <w:sz w:val="24"/>
          <w:szCs w:val="24"/>
        </w:rPr>
      </w:pPr>
      <w:r>
        <w:rPr>
          <w:rFonts w:hint="eastAsia" w:ascii="宋体" w:hAnsi="宋体" w:cs="宋体"/>
          <w:color w:val="auto"/>
          <w:sz w:val="24"/>
          <w:szCs w:val="24"/>
        </w:rPr>
        <w:t>我单位承诺以上说明真实有效，无虚假内容或隐瞒。</w:t>
      </w:r>
    </w:p>
    <w:p>
      <w:pPr>
        <w:keepLines w:val="0"/>
        <w:pageBreakBefore w:val="0"/>
        <w:kinsoku/>
        <w:wordWrap/>
        <w:overflowPunct/>
        <w:topLinePunct w:val="0"/>
        <w:bidi w:val="0"/>
        <w:spacing w:line="420" w:lineRule="exact"/>
        <w:ind w:firstLine="240" w:firstLineChars="100"/>
        <w:rPr>
          <w:rFonts w:ascii="宋体" w:hAnsi="宋体" w:cs="宋体"/>
          <w:color w:val="auto"/>
          <w:sz w:val="24"/>
          <w:szCs w:val="24"/>
        </w:rPr>
      </w:pPr>
    </w:p>
    <w:p>
      <w:pPr>
        <w:pStyle w:val="2"/>
        <w:keepLines w:val="0"/>
        <w:pageBreakBefore w:val="0"/>
        <w:kinsoku/>
        <w:wordWrap/>
        <w:overflowPunct/>
        <w:topLinePunct w:val="0"/>
        <w:bidi w:val="0"/>
        <w:spacing w:line="420" w:lineRule="exact"/>
        <w:rPr>
          <w:rFonts w:ascii="宋体" w:hAnsi="宋体" w:cs="宋体"/>
          <w:color w:val="auto"/>
          <w:sz w:val="24"/>
          <w:szCs w:val="24"/>
        </w:rPr>
      </w:pPr>
    </w:p>
    <w:p>
      <w:pPr>
        <w:keepLines w:val="0"/>
        <w:pageBreakBefore w:val="0"/>
        <w:kinsoku/>
        <w:wordWrap/>
        <w:overflowPunct/>
        <w:topLinePunct w:val="0"/>
        <w:bidi w:val="0"/>
        <w:spacing w:line="420" w:lineRule="exact"/>
        <w:ind w:firstLine="2400" w:firstLineChars="1000"/>
        <w:rPr>
          <w:rFonts w:ascii="宋体" w:hAnsi="宋体" w:cs="宋体"/>
          <w:color w:val="auto"/>
          <w:sz w:val="24"/>
          <w:szCs w:val="24"/>
        </w:rPr>
      </w:pPr>
      <w:r>
        <w:rPr>
          <w:rFonts w:hint="eastAsia" w:ascii="宋体" w:hAnsi="宋体" w:cs="宋体"/>
          <w:color w:val="auto"/>
          <w:sz w:val="24"/>
          <w:szCs w:val="24"/>
        </w:rPr>
        <w:t>供应商名称</w:t>
      </w:r>
      <w:r>
        <w:rPr>
          <w:rFonts w:hint="eastAsia" w:ascii="宋体" w:hAnsi="宋体" w:cs="宋体"/>
          <w:color w:val="auto"/>
          <w:sz w:val="24"/>
          <w:szCs w:val="24"/>
          <w:u w:val="single"/>
        </w:rPr>
        <w:t xml:space="preserve">：                     </w:t>
      </w:r>
      <w:r>
        <w:rPr>
          <w:rFonts w:hint="eastAsia" w:ascii="宋体" w:hAnsi="宋体" w:cs="宋体"/>
          <w:color w:val="auto"/>
          <w:sz w:val="24"/>
          <w:szCs w:val="24"/>
        </w:rPr>
        <w:t>（盖单位公章）</w:t>
      </w:r>
    </w:p>
    <w:p>
      <w:pPr>
        <w:keepLines w:val="0"/>
        <w:pageBreakBefore w:val="0"/>
        <w:kinsoku/>
        <w:wordWrap/>
        <w:overflowPunct/>
        <w:topLinePunct w:val="0"/>
        <w:bidi w:val="0"/>
        <w:spacing w:line="420" w:lineRule="exact"/>
        <w:ind w:firstLine="2400" w:firstLineChars="1000"/>
        <w:rPr>
          <w:rFonts w:ascii="宋体" w:hAnsi="宋体" w:cs="宋体"/>
          <w:color w:val="auto"/>
          <w:sz w:val="24"/>
          <w:szCs w:val="24"/>
        </w:rPr>
      </w:pPr>
      <w:r>
        <w:rPr>
          <w:rFonts w:hint="eastAsia" w:ascii="宋体" w:hAnsi="宋体" w:cs="宋体"/>
          <w:color w:val="auto"/>
          <w:sz w:val="24"/>
          <w:szCs w:val="24"/>
        </w:rPr>
        <w:t>法定代表人或被授权人</w:t>
      </w:r>
      <w:r>
        <w:rPr>
          <w:rFonts w:hint="eastAsia" w:ascii="宋体" w:hAnsi="宋体" w:cs="宋体"/>
          <w:color w:val="auto"/>
          <w:sz w:val="24"/>
          <w:szCs w:val="24"/>
          <w:u w:val="single"/>
        </w:rPr>
        <w:t xml:space="preserve">：      </w:t>
      </w:r>
      <w:r>
        <w:rPr>
          <w:rFonts w:hint="eastAsia" w:ascii="宋体" w:hAnsi="宋体" w:cs="宋体"/>
          <w:color w:val="auto"/>
          <w:sz w:val="24"/>
          <w:szCs w:val="24"/>
        </w:rPr>
        <w:t>（签字或盖章）</w:t>
      </w:r>
    </w:p>
    <w:p>
      <w:pPr>
        <w:keepLines w:val="0"/>
        <w:pageBreakBefore w:val="0"/>
        <w:kinsoku/>
        <w:wordWrap/>
        <w:overflowPunct/>
        <w:topLinePunct w:val="0"/>
        <w:bidi w:val="0"/>
        <w:spacing w:line="420" w:lineRule="exact"/>
        <w:ind w:firstLine="240" w:firstLineChars="100"/>
        <w:rPr>
          <w:rFonts w:ascii="宋体" w:hAnsi="宋体" w:cs="宋体"/>
          <w:color w:val="auto"/>
          <w:sz w:val="24"/>
          <w:szCs w:val="24"/>
        </w:rPr>
      </w:pPr>
      <w:r>
        <w:rPr>
          <w:rFonts w:hint="eastAsia" w:ascii="宋体" w:hAnsi="宋体" w:cs="宋体"/>
          <w:color w:val="auto"/>
          <w:sz w:val="24"/>
          <w:szCs w:val="24"/>
        </w:rPr>
        <w:t xml:space="preserve">                  日      期：      年   月    日</w:t>
      </w:r>
    </w:p>
    <w:p>
      <w:pPr>
        <w:keepLines w:val="0"/>
        <w:pageBreakBefore w:val="0"/>
        <w:kinsoku/>
        <w:wordWrap/>
        <w:overflowPunct/>
        <w:topLinePunct w:val="0"/>
        <w:bidi w:val="0"/>
        <w:spacing w:line="420" w:lineRule="exact"/>
        <w:rPr>
          <w:color w:val="auto"/>
        </w:rPr>
      </w:pPr>
    </w:p>
    <w:p>
      <w:pPr>
        <w:keepLines w:val="0"/>
        <w:pageBreakBefore w:val="0"/>
        <w:kinsoku/>
        <w:wordWrap/>
        <w:overflowPunct/>
        <w:topLinePunct w:val="0"/>
        <w:autoSpaceDE w:val="0"/>
        <w:autoSpaceDN w:val="0"/>
        <w:bidi w:val="0"/>
        <w:adjustRightInd w:val="0"/>
        <w:spacing w:line="420" w:lineRule="exact"/>
        <w:jc w:val="center"/>
        <w:rPr>
          <w:rFonts w:ascii="宋体" w:hAnsi="宋体" w:cs="宋体"/>
          <w:color w:val="auto"/>
          <w:sz w:val="28"/>
          <w:szCs w:val="28"/>
        </w:rPr>
      </w:pPr>
    </w:p>
    <w:p>
      <w:pPr>
        <w:keepLines w:val="0"/>
        <w:pageBreakBefore w:val="0"/>
        <w:kinsoku/>
        <w:wordWrap/>
        <w:overflowPunct/>
        <w:topLinePunct w:val="0"/>
        <w:bidi w:val="0"/>
        <w:spacing w:line="420" w:lineRule="exact"/>
        <w:jc w:val="center"/>
        <w:outlineLvl w:val="1"/>
        <w:rPr>
          <w:rFonts w:ascii="宋体" w:hAnsi="宋体" w:cs="宋体"/>
          <w:b/>
          <w:color w:val="auto"/>
          <w:sz w:val="28"/>
          <w:szCs w:val="28"/>
        </w:rPr>
      </w:pPr>
    </w:p>
    <w:p>
      <w:pPr>
        <w:pStyle w:val="2"/>
        <w:rPr>
          <w:rFonts w:ascii="宋体" w:hAnsi="宋体" w:cs="宋体"/>
          <w:b/>
          <w:color w:val="auto"/>
          <w:sz w:val="28"/>
          <w:szCs w:val="28"/>
        </w:rPr>
      </w:pPr>
    </w:p>
    <w:p>
      <w:pPr>
        <w:rPr>
          <w:rFonts w:ascii="宋体" w:hAnsi="宋体" w:cs="宋体"/>
          <w:b/>
          <w:color w:val="auto"/>
          <w:sz w:val="28"/>
          <w:szCs w:val="28"/>
        </w:rPr>
      </w:pPr>
    </w:p>
    <w:p>
      <w:pPr>
        <w:pStyle w:val="2"/>
        <w:rPr>
          <w:rFonts w:ascii="宋体" w:hAnsi="宋体" w:cs="宋体"/>
          <w:b/>
          <w:color w:val="auto"/>
          <w:sz w:val="28"/>
          <w:szCs w:val="28"/>
        </w:rPr>
      </w:pPr>
    </w:p>
    <w:p>
      <w:pPr>
        <w:rPr>
          <w:rFonts w:ascii="宋体" w:hAnsi="宋体" w:cs="宋体"/>
          <w:b/>
          <w:color w:val="auto"/>
          <w:sz w:val="28"/>
          <w:szCs w:val="28"/>
        </w:rPr>
      </w:pPr>
    </w:p>
    <w:p>
      <w:pPr>
        <w:keepLines w:val="0"/>
        <w:pageBreakBefore w:val="0"/>
        <w:kinsoku/>
        <w:wordWrap/>
        <w:overflowPunct/>
        <w:topLinePunct w:val="0"/>
        <w:autoSpaceDE w:val="0"/>
        <w:autoSpaceDN w:val="0"/>
        <w:bidi w:val="0"/>
        <w:adjustRightInd w:val="0"/>
        <w:spacing w:line="420" w:lineRule="exact"/>
        <w:rPr>
          <w:rFonts w:ascii="宋体" w:hAnsi="宋体" w:cs="宋体"/>
          <w:b/>
          <w:bCs/>
          <w:color w:val="auto"/>
          <w:sz w:val="30"/>
          <w:szCs w:val="30"/>
        </w:rPr>
      </w:pPr>
    </w:p>
    <w:p>
      <w:pPr>
        <w:pStyle w:val="2"/>
        <w:rPr>
          <w:rFonts w:ascii="宋体" w:hAnsi="宋体" w:cs="宋体"/>
          <w:b/>
          <w:bCs/>
          <w:color w:val="auto"/>
          <w:sz w:val="30"/>
          <w:szCs w:val="30"/>
        </w:rPr>
      </w:pPr>
    </w:p>
    <w:p>
      <w:pPr>
        <w:keepLines w:val="0"/>
        <w:pageBreakBefore w:val="0"/>
        <w:kinsoku/>
        <w:wordWrap/>
        <w:overflowPunct/>
        <w:topLinePunct w:val="0"/>
        <w:bidi w:val="0"/>
        <w:spacing w:line="420" w:lineRule="exact"/>
        <w:rPr>
          <w:rFonts w:ascii="宋体" w:hAnsi="宋体" w:cs="宋体"/>
          <w:b/>
          <w:color w:val="auto"/>
          <w:sz w:val="28"/>
          <w:szCs w:val="28"/>
        </w:rPr>
      </w:pPr>
      <w:r>
        <w:rPr>
          <w:rFonts w:hint="eastAsia" w:ascii="宋体" w:hAnsi="宋体" w:cs="宋体"/>
          <w:b/>
          <w:color w:val="auto"/>
          <w:sz w:val="28"/>
          <w:szCs w:val="28"/>
        </w:rPr>
        <w:t>附件</w:t>
      </w:r>
      <w:r>
        <w:rPr>
          <w:rFonts w:hint="eastAsia" w:ascii="宋体" w:hAnsi="宋体" w:cs="宋体"/>
          <w:b/>
          <w:color w:val="auto"/>
          <w:sz w:val="28"/>
          <w:szCs w:val="28"/>
          <w:lang w:val="en-US" w:eastAsia="zh-CN"/>
        </w:rPr>
        <w:t>5</w:t>
      </w:r>
      <w:r>
        <w:rPr>
          <w:rFonts w:hint="eastAsia" w:ascii="宋体" w:hAnsi="宋体" w:cs="宋体"/>
          <w:b/>
          <w:color w:val="auto"/>
          <w:sz w:val="28"/>
          <w:szCs w:val="28"/>
        </w:rPr>
        <w:t>：</w:t>
      </w:r>
    </w:p>
    <w:p>
      <w:pPr>
        <w:pStyle w:val="4"/>
        <w:keepLines w:val="0"/>
        <w:pageBreakBefore w:val="0"/>
        <w:kinsoku/>
        <w:wordWrap/>
        <w:overflowPunct/>
        <w:topLinePunct w:val="0"/>
        <w:bidi w:val="0"/>
        <w:spacing w:line="420" w:lineRule="exact"/>
        <w:jc w:val="center"/>
        <w:rPr>
          <w:rFonts w:hint="eastAsia" w:ascii="宋体" w:hAnsi="宋体" w:eastAsia="宋体" w:cs="宋体"/>
          <w:b/>
          <w:bCs/>
          <w:color w:val="auto"/>
          <w:kern w:val="0"/>
          <w:szCs w:val="28"/>
          <w:highlight w:val="none"/>
          <w:lang w:val="en-US" w:eastAsia="zh-CN"/>
        </w:rPr>
      </w:pPr>
      <w:r>
        <w:rPr>
          <w:rFonts w:hint="eastAsia" w:ascii="宋体" w:hAnsi="宋体" w:eastAsia="宋体" w:cs="宋体"/>
          <w:b/>
          <w:bCs/>
          <w:color w:val="auto"/>
          <w:kern w:val="0"/>
          <w:szCs w:val="28"/>
          <w:highlight w:val="none"/>
          <w:lang w:val="en-US" w:eastAsia="zh-CN"/>
        </w:rPr>
        <w:t>5.1小微企业声明函（若是）</w:t>
      </w:r>
    </w:p>
    <w:p>
      <w:pPr>
        <w:pStyle w:val="20"/>
        <w:keepLines w:val="0"/>
        <w:pageBreakBefore w:val="0"/>
        <w:kinsoku/>
        <w:wordWrap/>
        <w:overflowPunct/>
        <w:topLinePunct w:val="0"/>
        <w:bidi w:val="0"/>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 相关企业（ 含联合体中的中小企业、 签订分包意向协议的中小企业）的具体情况如下：</w:t>
      </w:r>
    </w:p>
    <w:p>
      <w:pPr>
        <w:pStyle w:val="20"/>
        <w:keepLines w:val="0"/>
        <w:pageBreakBefore w:val="0"/>
        <w:kinsoku/>
        <w:wordWrap/>
        <w:overflowPunct/>
        <w:topLinePunct w:val="0"/>
        <w:bidi w:val="0"/>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 （标的名称），属于（采购文件中明确的所属行业）；承建（承接）企业为（企业名称），从业人员     人，营业收入为     万元，资产总额为     万元1，属于（中型企业、小型企业、微型企业）；</w:t>
      </w:r>
    </w:p>
    <w:p>
      <w:pPr>
        <w:pStyle w:val="20"/>
        <w:keepLines w:val="0"/>
        <w:pageBreakBefore w:val="0"/>
        <w:kinsoku/>
        <w:wordWrap/>
        <w:overflowPunct/>
        <w:topLinePunct w:val="0"/>
        <w:bidi w:val="0"/>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 （标的名称） ，属于（采购文件中明确的所属行业）；承建（承接）企业为（企业名称），从业人员     人，营业收入为     万元，资产总额为     万元，属于（中型企业、小型企业、微型企业）；</w:t>
      </w:r>
    </w:p>
    <w:p>
      <w:pPr>
        <w:pStyle w:val="20"/>
        <w:keepLines w:val="0"/>
        <w:pageBreakBefore w:val="0"/>
        <w:kinsoku/>
        <w:wordWrap/>
        <w:overflowPunct/>
        <w:topLinePunct w:val="0"/>
        <w:bidi w:val="0"/>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w:t>
      </w:r>
    </w:p>
    <w:p>
      <w:pPr>
        <w:pStyle w:val="20"/>
        <w:keepLines w:val="0"/>
        <w:pageBreakBefore w:val="0"/>
        <w:kinsoku/>
        <w:wordWrap/>
        <w:overflowPunct/>
        <w:topLinePunct w:val="0"/>
        <w:bidi w:val="0"/>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pPr>
        <w:pStyle w:val="20"/>
        <w:keepLines w:val="0"/>
        <w:pageBreakBefore w:val="0"/>
        <w:kinsoku/>
        <w:wordWrap/>
        <w:overflowPunct/>
        <w:topLinePunct w:val="0"/>
        <w:bidi w:val="0"/>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pPr>
        <w:pStyle w:val="20"/>
        <w:keepLines w:val="0"/>
        <w:pageBreakBefore w:val="0"/>
        <w:kinsoku/>
        <w:wordWrap/>
        <w:overflowPunct/>
        <w:topLinePunct w:val="0"/>
        <w:bidi w:val="0"/>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企业名称（盖章）：</w:t>
      </w:r>
    </w:p>
    <w:p>
      <w:pPr>
        <w:pStyle w:val="20"/>
        <w:keepLines w:val="0"/>
        <w:pageBreakBefore w:val="0"/>
        <w:kinsoku/>
        <w:wordWrap/>
        <w:overflowPunct/>
        <w:topLinePunct w:val="0"/>
        <w:bidi w:val="0"/>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日期：</w:t>
      </w:r>
    </w:p>
    <w:p>
      <w:pPr>
        <w:pStyle w:val="20"/>
        <w:keepLines w:val="0"/>
        <w:pageBreakBefore w:val="0"/>
        <w:kinsoku/>
        <w:wordWrap/>
        <w:overflowPunct/>
        <w:topLinePunct w:val="0"/>
        <w:bidi w:val="0"/>
        <w:spacing w:line="420" w:lineRule="exact"/>
        <w:ind w:firstLine="480" w:firstLineChars="200"/>
        <w:rPr>
          <w:rFonts w:hint="eastAsia" w:ascii="宋体" w:hAnsi="宋体" w:cs="宋体"/>
          <w:bCs/>
          <w:color w:val="auto"/>
          <w:sz w:val="24"/>
        </w:rPr>
      </w:pPr>
      <w:r>
        <w:rPr>
          <w:rFonts w:hint="eastAsia" w:ascii="宋体" w:hAnsi="宋体" w:eastAsia="宋体" w:cs="宋体"/>
          <w:color w:val="auto"/>
          <w:sz w:val="24"/>
        </w:rPr>
        <w:t>1 从业人员、营业收入、资产总额填报上一年度数据，无上一年度数据的新成立企业可不填报。</w:t>
      </w:r>
    </w:p>
    <w:p>
      <w:pPr>
        <w:keepLines w:val="0"/>
        <w:pageBreakBefore w:val="0"/>
        <w:kinsoku/>
        <w:wordWrap/>
        <w:overflowPunct/>
        <w:topLinePunct w:val="0"/>
        <w:bidi w:val="0"/>
        <w:spacing w:line="420" w:lineRule="exact"/>
        <w:ind w:firstLine="482"/>
        <w:jc w:val="left"/>
        <w:rPr>
          <w:rFonts w:hint="eastAsia" w:ascii="宋体" w:hAnsi="宋体" w:cs="宋体"/>
          <w:b/>
          <w:color w:val="auto"/>
          <w:sz w:val="24"/>
        </w:rPr>
      </w:pPr>
      <w:r>
        <w:rPr>
          <w:rFonts w:hint="eastAsia" w:ascii="宋体" w:hAnsi="宋体" w:cs="宋体"/>
          <w:b/>
          <w:color w:val="auto"/>
          <w:sz w:val="24"/>
        </w:rPr>
        <w:t>附：《中小企业划型标准规定》各行业划型标准</w:t>
      </w:r>
    </w:p>
    <w:p>
      <w:pPr>
        <w:keepLines w:val="0"/>
        <w:pageBreakBefore w:val="0"/>
        <w:kinsoku/>
        <w:wordWrap/>
        <w:overflowPunct/>
        <w:topLinePunct w:val="0"/>
        <w:bidi w:val="0"/>
        <w:spacing w:line="420" w:lineRule="exact"/>
        <w:ind w:firstLine="480"/>
        <w:jc w:val="left"/>
        <w:rPr>
          <w:rFonts w:hint="eastAsia" w:ascii="宋体" w:hAnsi="宋体" w:cs="宋体"/>
          <w:color w:val="auto"/>
          <w:sz w:val="24"/>
        </w:rPr>
      </w:pPr>
      <w:r>
        <w:rPr>
          <w:rFonts w:hint="eastAsia" w:ascii="宋体" w:hAnsi="宋体" w:cs="宋体"/>
          <w:color w:val="auto"/>
          <w:sz w:val="24"/>
        </w:rPr>
        <w:t>（一）农、林、牧、渔业。营业收入20000万元以下的为中小微型企业。其中，营业收入500万元及以上的为中型企业，营业收入50万元及以上的为小型企业，营业收入50万元以下的为微型企业。</w:t>
      </w:r>
    </w:p>
    <w:p>
      <w:pPr>
        <w:keepLines w:val="0"/>
        <w:pageBreakBefore w:val="0"/>
        <w:kinsoku/>
        <w:wordWrap/>
        <w:overflowPunct/>
        <w:topLinePunct w:val="0"/>
        <w:bidi w:val="0"/>
        <w:spacing w:line="420" w:lineRule="exact"/>
        <w:ind w:firstLine="480"/>
        <w:jc w:val="left"/>
        <w:rPr>
          <w:rFonts w:hint="eastAsia" w:ascii="宋体" w:hAnsi="宋体" w:cs="宋体"/>
          <w:color w:val="auto"/>
          <w:sz w:val="24"/>
        </w:rPr>
      </w:pPr>
      <w:r>
        <w:rPr>
          <w:rFonts w:hint="eastAsia" w:ascii="宋体" w:hAnsi="宋体" w:cs="宋体"/>
          <w:color w:val="auto"/>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Lines w:val="0"/>
        <w:pageBreakBefore w:val="0"/>
        <w:kinsoku/>
        <w:wordWrap/>
        <w:overflowPunct/>
        <w:topLinePunct w:val="0"/>
        <w:bidi w:val="0"/>
        <w:spacing w:line="420" w:lineRule="exact"/>
        <w:ind w:firstLine="480"/>
        <w:jc w:val="left"/>
        <w:rPr>
          <w:rFonts w:hint="eastAsia" w:ascii="宋体" w:hAnsi="宋体" w:cs="宋体"/>
          <w:color w:val="auto"/>
          <w:sz w:val="24"/>
        </w:rPr>
      </w:pPr>
      <w:r>
        <w:rPr>
          <w:rFonts w:hint="eastAsia" w:ascii="宋体" w:hAnsi="宋体" w:cs="宋体"/>
          <w:color w:val="auto"/>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Lines w:val="0"/>
        <w:pageBreakBefore w:val="0"/>
        <w:kinsoku/>
        <w:wordWrap/>
        <w:overflowPunct/>
        <w:topLinePunct w:val="0"/>
        <w:bidi w:val="0"/>
        <w:spacing w:line="420" w:lineRule="exact"/>
        <w:ind w:firstLine="480"/>
        <w:jc w:val="left"/>
        <w:rPr>
          <w:rFonts w:hint="eastAsia" w:ascii="宋体" w:hAnsi="宋体" w:cs="宋体"/>
          <w:color w:val="auto"/>
          <w:sz w:val="24"/>
        </w:rPr>
      </w:pPr>
      <w:r>
        <w:rPr>
          <w:rFonts w:hint="eastAsia" w:ascii="宋体" w:hAnsi="宋体" w:cs="宋体"/>
          <w:color w:val="auto"/>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Lines w:val="0"/>
        <w:pageBreakBefore w:val="0"/>
        <w:kinsoku/>
        <w:wordWrap/>
        <w:overflowPunct/>
        <w:topLinePunct w:val="0"/>
        <w:bidi w:val="0"/>
        <w:spacing w:line="420" w:lineRule="exact"/>
        <w:ind w:firstLine="480"/>
        <w:jc w:val="left"/>
        <w:rPr>
          <w:rFonts w:hint="eastAsia" w:ascii="宋体" w:hAnsi="宋体" w:cs="宋体"/>
          <w:color w:val="auto"/>
          <w:sz w:val="24"/>
        </w:rPr>
      </w:pPr>
      <w:r>
        <w:rPr>
          <w:rFonts w:hint="eastAsia" w:ascii="宋体" w:hAnsi="宋体" w:cs="宋体"/>
          <w:color w:val="auto"/>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Lines w:val="0"/>
        <w:pageBreakBefore w:val="0"/>
        <w:kinsoku/>
        <w:wordWrap/>
        <w:overflowPunct/>
        <w:topLinePunct w:val="0"/>
        <w:bidi w:val="0"/>
        <w:spacing w:line="420" w:lineRule="exact"/>
        <w:ind w:firstLine="480"/>
        <w:jc w:val="left"/>
        <w:rPr>
          <w:rFonts w:hint="eastAsia" w:ascii="宋体" w:hAnsi="宋体" w:cs="宋体"/>
          <w:color w:val="auto"/>
          <w:sz w:val="24"/>
        </w:rPr>
      </w:pPr>
      <w:r>
        <w:rPr>
          <w:rFonts w:hint="eastAsia" w:ascii="宋体" w:hAnsi="宋体" w:cs="宋体"/>
          <w:color w:val="auto"/>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Lines w:val="0"/>
        <w:pageBreakBefore w:val="0"/>
        <w:kinsoku/>
        <w:wordWrap/>
        <w:overflowPunct/>
        <w:topLinePunct w:val="0"/>
        <w:bidi w:val="0"/>
        <w:spacing w:line="420" w:lineRule="exact"/>
        <w:ind w:firstLine="480"/>
        <w:jc w:val="left"/>
        <w:rPr>
          <w:rFonts w:hint="eastAsia" w:ascii="宋体" w:hAnsi="宋体" w:cs="宋体"/>
          <w:color w:val="auto"/>
          <w:sz w:val="24"/>
        </w:rPr>
      </w:pPr>
      <w:r>
        <w:rPr>
          <w:rFonts w:hint="eastAsia" w:ascii="宋体" w:hAnsi="宋体" w:cs="宋体"/>
          <w:color w:val="auto"/>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Lines w:val="0"/>
        <w:pageBreakBefore w:val="0"/>
        <w:kinsoku/>
        <w:wordWrap/>
        <w:overflowPunct/>
        <w:topLinePunct w:val="0"/>
        <w:bidi w:val="0"/>
        <w:spacing w:line="420" w:lineRule="exact"/>
        <w:ind w:firstLine="480"/>
        <w:jc w:val="left"/>
        <w:rPr>
          <w:rFonts w:hint="eastAsia" w:ascii="宋体" w:hAnsi="宋体" w:cs="宋体"/>
          <w:color w:val="auto"/>
          <w:sz w:val="24"/>
        </w:rPr>
      </w:pPr>
      <w:r>
        <w:rPr>
          <w:rFonts w:hint="eastAsia" w:ascii="宋体" w:hAnsi="宋体" w:cs="宋体"/>
          <w:color w:val="auto"/>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Lines w:val="0"/>
        <w:pageBreakBefore w:val="0"/>
        <w:kinsoku/>
        <w:wordWrap/>
        <w:overflowPunct/>
        <w:topLinePunct w:val="0"/>
        <w:bidi w:val="0"/>
        <w:spacing w:line="420" w:lineRule="exact"/>
        <w:ind w:firstLine="480"/>
        <w:jc w:val="left"/>
        <w:rPr>
          <w:rFonts w:hint="eastAsia" w:ascii="宋体" w:hAnsi="宋体" w:cs="宋体"/>
          <w:color w:val="auto"/>
          <w:sz w:val="24"/>
        </w:rPr>
      </w:pPr>
      <w:r>
        <w:rPr>
          <w:rFonts w:hint="eastAsia" w:ascii="宋体" w:hAnsi="宋体" w:cs="宋体"/>
          <w:color w:val="auto"/>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Lines w:val="0"/>
        <w:pageBreakBefore w:val="0"/>
        <w:kinsoku/>
        <w:wordWrap/>
        <w:overflowPunct/>
        <w:topLinePunct w:val="0"/>
        <w:bidi w:val="0"/>
        <w:spacing w:line="420" w:lineRule="exact"/>
        <w:ind w:firstLine="480"/>
        <w:jc w:val="left"/>
        <w:rPr>
          <w:rFonts w:hint="eastAsia" w:ascii="宋体" w:hAnsi="宋体" w:cs="宋体"/>
          <w:color w:val="auto"/>
          <w:sz w:val="24"/>
        </w:rPr>
      </w:pPr>
      <w:r>
        <w:rPr>
          <w:rFonts w:hint="eastAsia" w:ascii="宋体" w:hAnsi="宋体" w:cs="宋体"/>
          <w:color w:val="auto"/>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Lines w:val="0"/>
        <w:pageBreakBefore w:val="0"/>
        <w:kinsoku/>
        <w:wordWrap/>
        <w:overflowPunct/>
        <w:topLinePunct w:val="0"/>
        <w:bidi w:val="0"/>
        <w:spacing w:line="420" w:lineRule="exact"/>
        <w:ind w:firstLine="480"/>
        <w:jc w:val="left"/>
        <w:rPr>
          <w:rFonts w:hint="eastAsia" w:ascii="宋体" w:hAnsi="宋体" w:cs="宋体"/>
          <w:color w:val="auto"/>
          <w:sz w:val="24"/>
        </w:rPr>
      </w:pPr>
      <w:r>
        <w:rPr>
          <w:rFonts w:hint="eastAsia" w:ascii="宋体" w:hAnsi="宋体" w:cs="宋体"/>
          <w:color w:val="auto"/>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Lines w:val="0"/>
        <w:pageBreakBefore w:val="0"/>
        <w:kinsoku/>
        <w:wordWrap/>
        <w:overflowPunct/>
        <w:topLinePunct w:val="0"/>
        <w:bidi w:val="0"/>
        <w:spacing w:line="420" w:lineRule="exact"/>
        <w:ind w:firstLine="480"/>
        <w:jc w:val="left"/>
        <w:rPr>
          <w:rFonts w:hint="eastAsia" w:ascii="宋体" w:hAnsi="宋体" w:cs="宋体"/>
          <w:color w:val="auto"/>
          <w:sz w:val="24"/>
        </w:rPr>
      </w:pPr>
      <w:r>
        <w:rPr>
          <w:rFonts w:hint="eastAsia" w:ascii="宋体" w:hAnsi="宋体" w:cs="宋体"/>
          <w:color w:val="auto"/>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Lines w:val="0"/>
        <w:pageBreakBefore w:val="0"/>
        <w:kinsoku/>
        <w:wordWrap/>
        <w:overflowPunct/>
        <w:topLinePunct w:val="0"/>
        <w:bidi w:val="0"/>
        <w:spacing w:line="420" w:lineRule="exact"/>
        <w:ind w:firstLine="480"/>
        <w:jc w:val="left"/>
        <w:rPr>
          <w:rFonts w:hint="eastAsia" w:ascii="宋体" w:hAnsi="宋体" w:cs="宋体"/>
          <w:color w:val="auto"/>
          <w:sz w:val="24"/>
        </w:rPr>
      </w:pPr>
      <w:r>
        <w:rPr>
          <w:rFonts w:hint="eastAsia" w:ascii="宋体" w:hAnsi="宋体" w:cs="宋体"/>
          <w:color w:val="auto"/>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Lines w:val="0"/>
        <w:pageBreakBefore w:val="0"/>
        <w:kinsoku/>
        <w:wordWrap/>
        <w:overflowPunct/>
        <w:topLinePunct w:val="0"/>
        <w:bidi w:val="0"/>
        <w:spacing w:line="420" w:lineRule="exact"/>
        <w:ind w:firstLine="480"/>
        <w:jc w:val="left"/>
        <w:rPr>
          <w:rFonts w:hint="eastAsia" w:ascii="宋体" w:hAnsi="宋体" w:cs="宋体"/>
          <w:color w:val="auto"/>
          <w:sz w:val="24"/>
        </w:rPr>
      </w:pPr>
      <w:r>
        <w:rPr>
          <w:rFonts w:hint="eastAsia" w:ascii="宋体" w:hAnsi="宋体" w:cs="宋体"/>
          <w:color w:val="auto"/>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Lines w:val="0"/>
        <w:pageBreakBefore w:val="0"/>
        <w:kinsoku/>
        <w:wordWrap/>
        <w:overflowPunct/>
        <w:topLinePunct w:val="0"/>
        <w:bidi w:val="0"/>
        <w:spacing w:line="420" w:lineRule="exact"/>
        <w:ind w:firstLine="480"/>
        <w:jc w:val="left"/>
        <w:rPr>
          <w:rFonts w:hint="eastAsia" w:ascii="宋体" w:hAnsi="宋体" w:cs="宋体"/>
          <w:color w:val="auto"/>
          <w:sz w:val="24"/>
        </w:rPr>
      </w:pPr>
      <w:r>
        <w:rPr>
          <w:rFonts w:hint="eastAsia" w:ascii="宋体" w:hAnsi="宋体" w:cs="宋体"/>
          <w:color w:val="auto"/>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20"/>
        <w:keepLines w:val="0"/>
        <w:pageBreakBefore w:val="0"/>
        <w:kinsoku/>
        <w:wordWrap/>
        <w:overflowPunct/>
        <w:topLinePunct w:val="0"/>
        <w:bidi w:val="0"/>
        <w:spacing w:line="420" w:lineRule="exact"/>
        <w:ind w:firstLine="480" w:firstLineChars="200"/>
        <w:rPr>
          <w:rFonts w:hint="eastAsia" w:ascii="宋体" w:hAnsi="宋体" w:cs="宋体"/>
          <w:color w:val="auto"/>
          <w:sz w:val="24"/>
        </w:rPr>
      </w:pPr>
      <w:r>
        <w:rPr>
          <w:rFonts w:hint="eastAsia" w:ascii="宋体" w:hAnsi="宋体" w:cs="宋体"/>
          <w:color w:val="auto"/>
          <w:sz w:val="24"/>
        </w:rPr>
        <w:t>（十六）其他未列明行业。从业人员300人以下的为中小微型企业。其中，从业人员100人及以上的为中型企业；从业人员10人及以上的为小型企业；从业人员10人以下的为微型企业。</w:t>
      </w:r>
    </w:p>
    <w:p>
      <w:pPr>
        <w:pStyle w:val="20"/>
        <w:keepLines w:val="0"/>
        <w:pageBreakBefore w:val="0"/>
        <w:kinsoku/>
        <w:wordWrap/>
        <w:overflowPunct/>
        <w:topLinePunct w:val="0"/>
        <w:bidi w:val="0"/>
        <w:spacing w:line="420" w:lineRule="exact"/>
        <w:ind w:firstLine="480" w:firstLineChars="200"/>
        <w:rPr>
          <w:rFonts w:hint="eastAsia" w:ascii="宋体" w:hAnsi="宋体" w:cs="宋体"/>
          <w:color w:val="auto"/>
          <w:sz w:val="24"/>
        </w:rPr>
      </w:pPr>
    </w:p>
    <w:p>
      <w:pPr>
        <w:pStyle w:val="20"/>
        <w:keepLines w:val="0"/>
        <w:pageBreakBefore w:val="0"/>
        <w:kinsoku/>
        <w:wordWrap/>
        <w:overflowPunct/>
        <w:topLinePunct w:val="0"/>
        <w:bidi w:val="0"/>
        <w:spacing w:line="420" w:lineRule="exact"/>
        <w:ind w:firstLine="480" w:firstLineChars="200"/>
        <w:rPr>
          <w:rFonts w:hint="eastAsia" w:ascii="宋体" w:hAnsi="宋体" w:cs="宋体"/>
          <w:color w:val="auto"/>
          <w:sz w:val="24"/>
        </w:rPr>
      </w:pPr>
    </w:p>
    <w:p>
      <w:pPr>
        <w:pStyle w:val="20"/>
        <w:keepLines w:val="0"/>
        <w:pageBreakBefore w:val="0"/>
        <w:kinsoku/>
        <w:wordWrap/>
        <w:overflowPunct/>
        <w:topLinePunct w:val="0"/>
        <w:bidi w:val="0"/>
        <w:spacing w:line="420" w:lineRule="exact"/>
        <w:ind w:firstLine="480" w:firstLineChars="200"/>
        <w:rPr>
          <w:rFonts w:hint="eastAsia" w:ascii="宋体" w:hAnsi="宋体" w:cs="宋体"/>
          <w:color w:val="auto"/>
          <w:sz w:val="24"/>
        </w:rPr>
      </w:pPr>
    </w:p>
    <w:p>
      <w:pPr>
        <w:pStyle w:val="20"/>
        <w:keepLines w:val="0"/>
        <w:pageBreakBefore w:val="0"/>
        <w:kinsoku/>
        <w:wordWrap/>
        <w:overflowPunct/>
        <w:topLinePunct w:val="0"/>
        <w:bidi w:val="0"/>
        <w:spacing w:line="420" w:lineRule="exact"/>
        <w:ind w:firstLine="480" w:firstLineChars="200"/>
        <w:rPr>
          <w:rFonts w:hint="eastAsia" w:ascii="宋体" w:hAnsi="宋体" w:cs="宋体"/>
          <w:color w:val="auto"/>
          <w:sz w:val="24"/>
        </w:rPr>
      </w:pPr>
    </w:p>
    <w:p>
      <w:pPr>
        <w:pStyle w:val="20"/>
        <w:keepLines w:val="0"/>
        <w:pageBreakBefore w:val="0"/>
        <w:kinsoku/>
        <w:wordWrap/>
        <w:overflowPunct/>
        <w:topLinePunct w:val="0"/>
        <w:bidi w:val="0"/>
        <w:spacing w:line="420" w:lineRule="exact"/>
        <w:ind w:firstLine="480" w:firstLineChars="200"/>
        <w:rPr>
          <w:rFonts w:hint="eastAsia" w:ascii="宋体" w:hAnsi="宋体" w:cs="宋体"/>
          <w:color w:val="auto"/>
          <w:sz w:val="24"/>
        </w:rPr>
      </w:pPr>
    </w:p>
    <w:p>
      <w:pPr>
        <w:pStyle w:val="20"/>
        <w:keepLines w:val="0"/>
        <w:pageBreakBefore w:val="0"/>
        <w:kinsoku/>
        <w:wordWrap/>
        <w:overflowPunct/>
        <w:topLinePunct w:val="0"/>
        <w:bidi w:val="0"/>
        <w:spacing w:line="420" w:lineRule="exact"/>
        <w:ind w:firstLine="480" w:firstLineChars="200"/>
        <w:rPr>
          <w:rFonts w:hint="eastAsia" w:ascii="宋体" w:hAnsi="宋体" w:cs="宋体"/>
          <w:color w:val="auto"/>
          <w:sz w:val="24"/>
        </w:rPr>
      </w:pPr>
    </w:p>
    <w:p>
      <w:pPr>
        <w:pStyle w:val="20"/>
        <w:keepLines w:val="0"/>
        <w:pageBreakBefore w:val="0"/>
        <w:kinsoku/>
        <w:wordWrap/>
        <w:overflowPunct/>
        <w:topLinePunct w:val="0"/>
        <w:bidi w:val="0"/>
        <w:spacing w:line="420" w:lineRule="exact"/>
        <w:ind w:firstLine="480" w:firstLineChars="200"/>
        <w:rPr>
          <w:rFonts w:hint="eastAsia" w:ascii="宋体" w:hAnsi="宋体" w:cs="宋体"/>
          <w:color w:val="auto"/>
          <w:sz w:val="24"/>
        </w:rPr>
      </w:pPr>
    </w:p>
    <w:p>
      <w:pPr>
        <w:pStyle w:val="20"/>
        <w:keepLines w:val="0"/>
        <w:pageBreakBefore w:val="0"/>
        <w:kinsoku/>
        <w:wordWrap/>
        <w:overflowPunct/>
        <w:topLinePunct w:val="0"/>
        <w:bidi w:val="0"/>
        <w:spacing w:line="420" w:lineRule="exact"/>
        <w:ind w:firstLine="480" w:firstLineChars="200"/>
        <w:rPr>
          <w:rFonts w:hint="eastAsia" w:ascii="宋体" w:hAnsi="宋体" w:cs="宋体"/>
          <w:color w:val="auto"/>
          <w:sz w:val="24"/>
        </w:rPr>
      </w:pPr>
    </w:p>
    <w:p>
      <w:pPr>
        <w:pStyle w:val="20"/>
        <w:keepLines w:val="0"/>
        <w:pageBreakBefore w:val="0"/>
        <w:kinsoku/>
        <w:wordWrap/>
        <w:overflowPunct/>
        <w:topLinePunct w:val="0"/>
        <w:bidi w:val="0"/>
        <w:spacing w:line="420" w:lineRule="exact"/>
        <w:ind w:firstLine="480" w:firstLineChars="200"/>
        <w:rPr>
          <w:rFonts w:hint="eastAsia" w:ascii="宋体" w:hAnsi="宋体" w:cs="宋体"/>
          <w:color w:val="auto"/>
          <w:sz w:val="24"/>
        </w:rPr>
      </w:pPr>
    </w:p>
    <w:p>
      <w:pPr>
        <w:pStyle w:val="20"/>
        <w:keepLines w:val="0"/>
        <w:pageBreakBefore w:val="0"/>
        <w:kinsoku/>
        <w:wordWrap/>
        <w:overflowPunct/>
        <w:topLinePunct w:val="0"/>
        <w:bidi w:val="0"/>
        <w:spacing w:line="420" w:lineRule="exact"/>
        <w:ind w:firstLine="480" w:firstLineChars="200"/>
        <w:rPr>
          <w:rFonts w:hint="eastAsia" w:ascii="宋体" w:hAnsi="宋体" w:cs="宋体"/>
          <w:color w:val="auto"/>
          <w:sz w:val="24"/>
        </w:rPr>
      </w:pPr>
    </w:p>
    <w:p>
      <w:pPr>
        <w:pStyle w:val="20"/>
        <w:keepLines w:val="0"/>
        <w:pageBreakBefore w:val="0"/>
        <w:kinsoku/>
        <w:wordWrap/>
        <w:overflowPunct/>
        <w:topLinePunct w:val="0"/>
        <w:bidi w:val="0"/>
        <w:spacing w:line="420" w:lineRule="exact"/>
        <w:ind w:firstLine="480" w:firstLineChars="200"/>
        <w:rPr>
          <w:rFonts w:hint="eastAsia" w:ascii="宋体" w:hAnsi="宋体" w:cs="宋体"/>
          <w:color w:val="auto"/>
          <w:sz w:val="24"/>
        </w:rPr>
      </w:pPr>
    </w:p>
    <w:p>
      <w:pPr>
        <w:pStyle w:val="20"/>
        <w:keepLines w:val="0"/>
        <w:pageBreakBefore w:val="0"/>
        <w:kinsoku/>
        <w:wordWrap/>
        <w:overflowPunct/>
        <w:topLinePunct w:val="0"/>
        <w:bidi w:val="0"/>
        <w:spacing w:line="420" w:lineRule="exact"/>
        <w:ind w:firstLine="480" w:firstLineChars="200"/>
        <w:rPr>
          <w:rFonts w:hint="eastAsia" w:ascii="宋体" w:hAnsi="宋体" w:cs="宋体"/>
          <w:color w:val="auto"/>
          <w:sz w:val="24"/>
        </w:rPr>
      </w:pPr>
    </w:p>
    <w:p>
      <w:pPr>
        <w:pStyle w:val="20"/>
        <w:keepLines w:val="0"/>
        <w:pageBreakBefore w:val="0"/>
        <w:kinsoku/>
        <w:wordWrap/>
        <w:overflowPunct/>
        <w:topLinePunct w:val="0"/>
        <w:bidi w:val="0"/>
        <w:spacing w:line="420" w:lineRule="exact"/>
        <w:ind w:firstLine="480" w:firstLineChars="200"/>
        <w:rPr>
          <w:rFonts w:hint="eastAsia" w:ascii="宋体" w:hAnsi="宋体" w:cs="宋体"/>
          <w:color w:val="auto"/>
          <w:sz w:val="24"/>
        </w:rPr>
      </w:pPr>
    </w:p>
    <w:p>
      <w:pPr>
        <w:pStyle w:val="20"/>
        <w:keepLines w:val="0"/>
        <w:pageBreakBefore w:val="0"/>
        <w:kinsoku/>
        <w:wordWrap/>
        <w:overflowPunct/>
        <w:topLinePunct w:val="0"/>
        <w:bidi w:val="0"/>
        <w:spacing w:line="420" w:lineRule="exact"/>
        <w:ind w:firstLine="480" w:firstLineChars="200"/>
        <w:rPr>
          <w:rFonts w:hint="eastAsia" w:ascii="宋体" w:hAnsi="宋体" w:cs="宋体"/>
          <w:color w:val="auto"/>
          <w:sz w:val="24"/>
        </w:rPr>
      </w:pPr>
    </w:p>
    <w:p>
      <w:pPr>
        <w:pStyle w:val="4"/>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b/>
          <w:bCs/>
          <w:color w:val="auto"/>
          <w:kern w:val="0"/>
          <w:szCs w:val="28"/>
          <w:highlight w:val="none"/>
          <w:lang w:val="en-US" w:eastAsia="zh-CN"/>
        </w:rPr>
      </w:pPr>
      <w:r>
        <w:rPr>
          <w:rFonts w:hint="eastAsia" w:ascii="宋体" w:hAnsi="宋体" w:eastAsia="宋体" w:cs="宋体"/>
          <w:b/>
          <w:bCs/>
          <w:color w:val="auto"/>
          <w:kern w:val="0"/>
          <w:szCs w:val="28"/>
          <w:highlight w:val="none"/>
          <w:lang w:val="en-US" w:eastAsia="zh-CN"/>
        </w:rPr>
        <w:t>5.2</w:t>
      </w:r>
      <w:r>
        <w:rPr>
          <w:rFonts w:hint="eastAsia" w:ascii="宋体" w:hAnsi="宋体" w:eastAsia="宋体" w:cs="宋体"/>
          <w:b/>
          <w:bCs/>
          <w:color w:val="auto"/>
          <w:kern w:val="0"/>
          <w:szCs w:val="28"/>
          <w:highlight w:val="none"/>
          <w:lang w:val="zh-CN" w:eastAsia="zh-CN"/>
        </w:rPr>
        <w:t>监狱企业证明文件</w:t>
      </w:r>
      <w:r>
        <w:rPr>
          <w:rFonts w:hint="eastAsia" w:ascii="宋体" w:hAnsi="宋体" w:eastAsia="宋体" w:cs="宋体"/>
          <w:b/>
          <w:bCs/>
          <w:color w:val="auto"/>
          <w:kern w:val="0"/>
          <w:szCs w:val="28"/>
          <w:highlight w:val="none"/>
          <w:lang w:val="en-US" w:eastAsia="zh-CN"/>
        </w:rPr>
        <w:t>（若是）</w:t>
      </w:r>
    </w:p>
    <w:p>
      <w:pPr>
        <w:keepLines w:val="0"/>
        <w:pageBreakBefore w:val="0"/>
        <w:kinsoku/>
        <w:wordWrap/>
        <w:overflowPunct/>
        <w:topLinePunct w:val="0"/>
        <w:autoSpaceDE/>
        <w:autoSpaceDN/>
        <w:bidi w:val="0"/>
        <w:adjustRightInd/>
        <w:snapToGrid/>
        <w:spacing w:line="42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Lines w:val="0"/>
        <w:pageBreakBefore w:val="0"/>
        <w:kinsoku/>
        <w:wordWrap/>
        <w:overflowPunct/>
        <w:topLinePunct w:val="0"/>
        <w:autoSpaceDE/>
        <w:autoSpaceDN/>
        <w:bidi w:val="0"/>
        <w:adjustRightInd/>
        <w:snapToGrid/>
        <w:spacing w:line="42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监狱企业参加政府采购活动时，应当提供由省级以上监狱管理局、戒毒管理局（含新疆生产建设兵团）出具的属于监狱企业的证明文件。</w:t>
      </w:r>
    </w:p>
    <w:p>
      <w:pPr>
        <w:pStyle w:val="4"/>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b/>
          <w:bCs/>
          <w:color w:val="auto"/>
          <w:kern w:val="0"/>
          <w:szCs w:val="28"/>
          <w:lang w:val="en-US" w:eastAsia="zh-CN"/>
        </w:rPr>
      </w:pPr>
    </w:p>
    <w:p>
      <w:pPr>
        <w:pStyle w:val="2"/>
        <w:keepLines w:val="0"/>
        <w:pageBreakBefore w:val="0"/>
        <w:kinsoku/>
        <w:wordWrap/>
        <w:overflowPunct/>
        <w:topLinePunct w:val="0"/>
        <w:autoSpaceDE/>
        <w:autoSpaceDN/>
        <w:bidi w:val="0"/>
        <w:adjustRightInd/>
        <w:snapToGrid/>
        <w:spacing w:line="420" w:lineRule="exact"/>
        <w:rPr>
          <w:rFonts w:hint="eastAsia"/>
          <w:color w:val="auto"/>
          <w:lang w:val="en-US" w:eastAsia="zh-CN"/>
        </w:rPr>
      </w:pPr>
    </w:p>
    <w:p>
      <w:pPr>
        <w:keepLines w:val="0"/>
        <w:pageBreakBefore w:val="0"/>
        <w:kinsoku/>
        <w:wordWrap/>
        <w:overflowPunct/>
        <w:topLinePunct w:val="0"/>
        <w:autoSpaceDE/>
        <w:autoSpaceDN/>
        <w:bidi w:val="0"/>
        <w:adjustRightInd/>
        <w:snapToGrid/>
        <w:spacing w:line="420" w:lineRule="exact"/>
        <w:rPr>
          <w:rFonts w:hint="eastAsia"/>
          <w:color w:val="auto"/>
          <w:lang w:val="en-US" w:eastAsia="zh-CN"/>
        </w:rPr>
      </w:pPr>
    </w:p>
    <w:p>
      <w:pPr>
        <w:pStyle w:val="4"/>
        <w:keepLines w:val="0"/>
        <w:pageBreakBefore w:val="0"/>
        <w:kinsoku/>
        <w:wordWrap/>
        <w:overflowPunct/>
        <w:topLinePunct w:val="0"/>
        <w:autoSpaceDE/>
        <w:autoSpaceDN/>
        <w:bidi w:val="0"/>
        <w:adjustRightInd/>
        <w:snapToGrid/>
        <w:spacing w:line="420" w:lineRule="exact"/>
        <w:jc w:val="center"/>
        <w:rPr>
          <w:rFonts w:ascii="宋体" w:hAnsi="宋体" w:cs="宋体"/>
          <w:color w:val="auto"/>
          <w:lang w:val="zh-CN"/>
        </w:rPr>
      </w:pPr>
      <w:r>
        <w:rPr>
          <w:rFonts w:hint="eastAsia" w:ascii="宋体" w:hAnsi="宋体" w:eastAsia="宋体" w:cs="宋体"/>
          <w:b/>
          <w:bCs/>
          <w:color w:val="auto"/>
          <w:kern w:val="0"/>
          <w:szCs w:val="28"/>
          <w:lang w:val="en-US" w:eastAsia="zh-CN"/>
        </w:rPr>
        <w:t>5</w:t>
      </w:r>
      <w:r>
        <w:rPr>
          <w:rFonts w:hint="eastAsia" w:ascii="宋体" w:hAnsi="宋体" w:eastAsia="宋体" w:cs="宋体"/>
          <w:b/>
          <w:bCs/>
          <w:color w:val="auto"/>
          <w:kern w:val="0"/>
          <w:szCs w:val="28"/>
        </w:rPr>
        <w:t>.3</w:t>
      </w:r>
      <w:r>
        <w:rPr>
          <w:rFonts w:hint="eastAsia" w:ascii="宋体" w:hAnsi="宋体" w:eastAsia="宋体" w:cs="宋体"/>
          <w:b/>
          <w:bCs/>
          <w:color w:val="auto"/>
          <w:kern w:val="0"/>
          <w:szCs w:val="28"/>
          <w:lang w:val="zh-CN"/>
        </w:rPr>
        <w:t>残疾人福利性单位证明文件</w:t>
      </w:r>
      <w:r>
        <w:rPr>
          <w:rFonts w:hint="eastAsia" w:ascii="宋体" w:hAnsi="宋体" w:eastAsia="宋体" w:cs="宋体"/>
          <w:b/>
          <w:bCs/>
          <w:color w:val="auto"/>
          <w:kern w:val="0"/>
          <w:szCs w:val="28"/>
          <w:highlight w:val="none"/>
          <w:lang w:val="en-US" w:eastAsia="zh-CN"/>
        </w:rPr>
        <w:t>（若是）</w:t>
      </w:r>
    </w:p>
    <w:p>
      <w:pPr>
        <w:keepLines w:val="0"/>
        <w:pageBreakBefore w:val="0"/>
        <w:widowControl/>
        <w:kinsoku/>
        <w:wordWrap/>
        <w:overflowPunct/>
        <w:topLinePunct w:val="0"/>
        <w:autoSpaceDE/>
        <w:autoSpaceDN/>
        <w:bidi w:val="0"/>
        <w:adjustRightInd/>
        <w:snapToGrid/>
        <w:spacing w:line="420" w:lineRule="exact"/>
        <w:jc w:val="left"/>
        <w:textAlignment w:val="baseline"/>
        <w:rPr>
          <w:rFonts w:ascii="宋体" w:hAnsi="宋体" w:cs="宋体"/>
          <w:b/>
          <w:color w:val="auto"/>
          <w:sz w:val="24"/>
          <w:szCs w:val="24"/>
        </w:rPr>
      </w:pPr>
      <w:r>
        <w:rPr>
          <w:rFonts w:hint="eastAsia" w:ascii="宋体" w:hAnsi="宋体" w:cs="宋体"/>
          <w:b/>
          <w:color w:val="auto"/>
          <w:sz w:val="24"/>
          <w:szCs w:val="24"/>
        </w:rPr>
        <w:t>致陕西盛仕骄阳项目管理有限公司：</w:t>
      </w:r>
    </w:p>
    <w:p>
      <w:pPr>
        <w:keepLines w:val="0"/>
        <w:pageBreakBefore w:val="0"/>
        <w:kinsoku/>
        <w:wordWrap/>
        <w:overflowPunct/>
        <w:topLinePunct w:val="0"/>
        <w:autoSpaceDE/>
        <w:autoSpaceDN/>
        <w:bidi w:val="0"/>
        <w:adjustRightInd/>
        <w:snapToGrid/>
        <w:spacing w:line="420" w:lineRule="exact"/>
        <w:ind w:firstLine="480" w:firstLineChars="200"/>
        <w:rPr>
          <w:rFonts w:ascii="宋体" w:hAnsi="宋体" w:cs="宋体"/>
          <w:color w:val="auto"/>
          <w:sz w:val="24"/>
          <w:szCs w:val="24"/>
        </w:rPr>
      </w:pPr>
      <w:r>
        <w:rPr>
          <w:rFonts w:hint="eastAsia" w:ascii="宋体" w:hAnsi="宋体" w:cs="宋体"/>
          <w:color w:val="auto"/>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服务/提供服务），或者提供其他残疾人福利性单位制造的货物（不包括使用非残疾人福利性单位注册商标的货物）。</w:t>
      </w:r>
    </w:p>
    <w:p>
      <w:pPr>
        <w:keepLines w:val="0"/>
        <w:pageBreakBefore w:val="0"/>
        <w:kinsoku/>
        <w:wordWrap/>
        <w:overflowPunct/>
        <w:topLinePunct w:val="0"/>
        <w:autoSpaceDE/>
        <w:autoSpaceDN/>
        <w:bidi w:val="0"/>
        <w:adjustRightInd/>
        <w:snapToGrid/>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本单位对上述声明的真实性负责。如有虚假，将依法承担相应责任。</w:t>
      </w:r>
    </w:p>
    <w:p>
      <w:pPr>
        <w:pStyle w:val="2"/>
        <w:keepLines w:val="0"/>
        <w:pageBreakBefore w:val="0"/>
        <w:kinsoku/>
        <w:wordWrap/>
        <w:overflowPunct/>
        <w:topLinePunct w:val="0"/>
        <w:autoSpaceDE/>
        <w:autoSpaceDN/>
        <w:bidi w:val="0"/>
        <w:adjustRightInd/>
        <w:snapToGrid/>
        <w:spacing w:line="420" w:lineRule="exact"/>
        <w:rPr>
          <w:color w:val="auto"/>
        </w:rPr>
      </w:pPr>
    </w:p>
    <w:p>
      <w:pPr>
        <w:keepLines w:val="0"/>
        <w:pageBreakBefore w:val="0"/>
        <w:tabs>
          <w:tab w:val="left" w:pos="4860"/>
        </w:tabs>
        <w:kinsoku/>
        <w:wordWrap/>
        <w:overflowPunct/>
        <w:topLinePunct w:val="0"/>
        <w:autoSpaceDE/>
        <w:autoSpaceDN/>
        <w:bidi w:val="0"/>
        <w:adjustRightInd/>
        <w:snapToGrid/>
        <w:spacing w:line="420" w:lineRule="exact"/>
        <w:ind w:right="1560" w:firstLine="480" w:firstLineChars="200"/>
        <w:jc w:val="center"/>
        <w:rPr>
          <w:rFonts w:ascii="宋体" w:hAnsi="宋体" w:cs="宋体"/>
          <w:color w:val="auto"/>
          <w:sz w:val="24"/>
          <w:szCs w:val="24"/>
        </w:rPr>
      </w:pPr>
      <w:r>
        <w:rPr>
          <w:rFonts w:hint="eastAsia" w:ascii="宋体" w:hAnsi="宋体" w:cs="宋体"/>
          <w:color w:val="auto"/>
          <w:sz w:val="24"/>
          <w:szCs w:val="24"/>
        </w:rPr>
        <w:t xml:space="preserve">                              单位名称（盖章）：</w:t>
      </w:r>
    </w:p>
    <w:p>
      <w:pPr>
        <w:keepLines w:val="0"/>
        <w:pageBreakBefore w:val="0"/>
        <w:tabs>
          <w:tab w:val="left" w:pos="4860"/>
        </w:tabs>
        <w:kinsoku/>
        <w:wordWrap/>
        <w:overflowPunct/>
        <w:topLinePunct w:val="0"/>
        <w:autoSpaceDE/>
        <w:autoSpaceDN/>
        <w:bidi w:val="0"/>
        <w:adjustRightInd/>
        <w:snapToGrid/>
        <w:spacing w:line="420" w:lineRule="exact"/>
        <w:ind w:right="1560" w:firstLine="480" w:firstLineChars="200"/>
        <w:jc w:val="center"/>
        <w:rPr>
          <w:rFonts w:ascii="宋体" w:hAnsi="宋体" w:cs="宋体"/>
          <w:color w:val="auto"/>
          <w:sz w:val="24"/>
          <w:szCs w:val="24"/>
        </w:rPr>
      </w:pPr>
      <w:r>
        <w:rPr>
          <w:rFonts w:hint="eastAsia" w:ascii="宋体" w:hAnsi="宋体" w:cs="宋体"/>
          <w:color w:val="auto"/>
          <w:sz w:val="24"/>
          <w:szCs w:val="24"/>
        </w:rPr>
        <w:t xml:space="preserve">                      日  期：</w:t>
      </w:r>
    </w:p>
    <w:p>
      <w:pPr>
        <w:keepLines w:val="0"/>
        <w:pageBreakBefore w:val="0"/>
        <w:kinsoku/>
        <w:wordWrap/>
        <w:overflowPunct/>
        <w:topLinePunct w:val="0"/>
        <w:autoSpaceDE/>
        <w:autoSpaceDN/>
        <w:bidi w:val="0"/>
        <w:adjustRightInd/>
        <w:snapToGrid/>
        <w:spacing w:line="42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注：残疾人福利性单位的应填写，填写前请认真阅读《财政部 民政部 中国残疾人联合会关于促进残疾人就业政府采购政采的通知》(财库〔2017〕141号)相关规定。</w:t>
      </w: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4"/>
        <w:keepLines w:val="0"/>
        <w:pageBreakBefore w:val="0"/>
        <w:numPr>
          <w:ilvl w:val="0"/>
          <w:numId w:val="0"/>
        </w:numPr>
        <w:kinsoku/>
        <w:wordWrap/>
        <w:overflowPunct/>
        <w:topLinePunct w:val="0"/>
        <w:bidi w:val="0"/>
        <w:spacing w:line="420" w:lineRule="exact"/>
        <w:jc w:val="center"/>
        <w:rPr>
          <w:rFonts w:ascii="宋体" w:hAnsi="宋体" w:eastAsia="宋体" w:cs="宋体"/>
          <w:b/>
          <w:bCs/>
          <w:color w:val="auto"/>
          <w:szCs w:val="28"/>
        </w:rPr>
      </w:pPr>
      <w:r>
        <w:rPr>
          <w:rFonts w:hint="eastAsia" w:ascii="宋体" w:hAnsi="宋体" w:eastAsia="宋体" w:cs="宋体"/>
          <w:b/>
          <w:bCs/>
          <w:color w:val="auto"/>
          <w:szCs w:val="28"/>
          <w:lang w:val="en-US" w:eastAsia="zh-CN"/>
        </w:rPr>
        <w:t xml:space="preserve">第八部分 </w:t>
      </w:r>
      <w:r>
        <w:rPr>
          <w:rFonts w:hint="eastAsia" w:ascii="宋体" w:hAnsi="宋体" w:eastAsia="宋体" w:cs="宋体"/>
          <w:b/>
          <w:bCs/>
          <w:color w:val="auto"/>
          <w:szCs w:val="28"/>
        </w:rPr>
        <w:t>其他资料</w:t>
      </w:r>
    </w:p>
    <w:p>
      <w:pPr>
        <w:pStyle w:val="2"/>
        <w:keepLines w:val="0"/>
        <w:pageBreakBefore w:val="0"/>
        <w:numPr>
          <w:ilvl w:val="0"/>
          <w:numId w:val="9"/>
        </w:numPr>
        <w:kinsoku/>
        <w:wordWrap/>
        <w:overflowPunct/>
        <w:topLinePunct w:val="0"/>
        <w:bidi w:val="0"/>
        <w:spacing w:line="420" w:lineRule="exact"/>
        <w:rPr>
          <w:rFonts w:ascii="宋体" w:hAnsi="宋体" w:cs="宋体"/>
          <w:bCs/>
          <w:color w:val="auto"/>
          <w:sz w:val="24"/>
          <w:szCs w:val="24"/>
        </w:rPr>
      </w:pPr>
      <w:r>
        <w:rPr>
          <w:rFonts w:hint="eastAsia" w:ascii="宋体" w:hAnsi="宋体" w:cs="宋体"/>
          <w:bCs/>
          <w:color w:val="auto"/>
          <w:sz w:val="24"/>
          <w:szCs w:val="24"/>
        </w:rPr>
        <w:t>基本存款账户开户许可证（基本账户信息表）。</w:t>
      </w:r>
    </w:p>
    <w:p>
      <w:pPr>
        <w:pStyle w:val="2"/>
        <w:keepLines w:val="0"/>
        <w:pageBreakBefore w:val="0"/>
        <w:numPr>
          <w:ilvl w:val="0"/>
          <w:numId w:val="9"/>
        </w:numPr>
        <w:kinsoku/>
        <w:wordWrap/>
        <w:overflowPunct/>
        <w:topLinePunct w:val="0"/>
        <w:bidi w:val="0"/>
        <w:spacing w:line="420" w:lineRule="exact"/>
        <w:rPr>
          <w:rFonts w:ascii="宋体" w:hAnsi="宋体" w:cs="宋体"/>
          <w:color w:val="auto"/>
          <w:sz w:val="24"/>
          <w:szCs w:val="24"/>
        </w:rPr>
      </w:pPr>
      <w:r>
        <w:rPr>
          <w:rFonts w:hint="eastAsia" w:ascii="宋体" w:hAnsi="宋体" w:cs="宋体"/>
          <w:color w:val="auto"/>
          <w:sz w:val="24"/>
          <w:szCs w:val="24"/>
        </w:rPr>
        <w:t>依据竞争性磋商文件要求，供应商认为有必要说明的其他内容。</w:t>
      </w:r>
    </w:p>
    <w:p>
      <w:pPr>
        <w:pStyle w:val="2"/>
        <w:keepLines w:val="0"/>
        <w:pageBreakBefore w:val="0"/>
        <w:kinsoku/>
        <w:wordWrap/>
        <w:overflowPunct/>
        <w:topLinePunct w:val="0"/>
        <w:bidi w:val="0"/>
        <w:spacing w:line="420" w:lineRule="exact"/>
        <w:rPr>
          <w:rFonts w:ascii="宋体" w:hAnsi="宋体" w:cs="宋体"/>
          <w:color w:val="auto"/>
          <w:sz w:val="24"/>
          <w:szCs w:val="24"/>
        </w:rPr>
      </w:pPr>
      <w:r>
        <w:rPr>
          <w:rFonts w:hint="eastAsia" w:ascii="宋体" w:hAnsi="宋体" w:cs="宋体"/>
          <w:color w:val="auto"/>
          <w:sz w:val="24"/>
          <w:szCs w:val="24"/>
        </w:rPr>
        <w:t>3、其他可以证明供应商实力的文件。</w:t>
      </w:r>
    </w:p>
    <w:p>
      <w:pPr>
        <w:pStyle w:val="33"/>
        <w:keepLines w:val="0"/>
        <w:pageBreakBefore w:val="0"/>
        <w:kinsoku/>
        <w:wordWrap/>
        <w:overflowPunct/>
        <w:topLinePunct w:val="0"/>
        <w:bidi w:val="0"/>
        <w:spacing w:line="420" w:lineRule="exact"/>
        <w:ind w:firstLine="0"/>
        <w:rPr>
          <w:color w:val="auto"/>
        </w:rPr>
      </w:pPr>
    </w:p>
    <w:p>
      <w:pPr>
        <w:pStyle w:val="33"/>
        <w:keepLines w:val="0"/>
        <w:pageBreakBefore w:val="0"/>
        <w:kinsoku/>
        <w:wordWrap/>
        <w:overflowPunct/>
        <w:topLinePunct w:val="0"/>
        <w:bidi w:val="0"/>
        <w:spacing w:line="420" w:lineRule="exact"/>
        <w:ind w:firstLine="0"/>
        <w:rPr>
          <w:color w:val="auto"/>
        </w:rPr>
      </w:pPr>
    </w:p>
    <w:p>
      <w:pPr>
        <w:pStyle w:val="33"/>
        <w:keepLines w:val="0"/>
        <w:pageBreakBefore w:val="0"/>
        <w:kinsoku/>
        <w:wordWrap/>
        <w:overflowPunct/>
        <w:topLinePunct w:val="0"/>
        <w:bidi w:val="0"/>
        <w:spacing w:line="420" w:lineRule="exact"/>
        <w:ind w:firstLine="0"/>
        <w:rPr>
          <w:color w:val="auto"/>
        </w:rPr>
      </w:pPr>
    </w:p>
    <w:p>
      <w:pPr>
        <w:pStyle w:val="33"/>
        <w:keepLines w:val="0"/>
        <w:pageBreakBefore w:val="0"/>
        <w:kinsoku/>
        <w:wordWrap/>
        <w:overflowPunct/>
        <w:topLinePunct w:val="0"/>
        <w:bidi w:val="0"/>
        <w:spacing w:line="420" w:lineRule="exact"/>
        <w:ind w:firstLine="0"/>
        <w:rPr>
          <w:color w:val="auto"/>
        </w:rPr>
      </w:pPr>
    </w:p>
    <w:p>
      <w:pPr>
        <w:pStyle w:val="33"/>
        <w:keepLines w:val="0"/>
        <w:pageBreakBefore w:val="0"/>
        <w:kinsoku/>
        <w:wordWrap/>
        <w:overflowPunct/>
        <w:topLinePunct w:val="0"/>
        <w:bidi w:val="0"/>
        <w:spacing w:line="420" w:lineRule="exact"/>
        <w:ind w:firstLine="0"/>
        <w:rPr>
          <w:color w:val="auto"/>
        </w:rPr>
      </w:pPr>
    </w:p>
    <w:p>
      <w:pPr>
        <w:pStyle w:val="33"/>
        <w:keepLines w:val="0"/>
        <w:pageBreakBefore w:val="0"/>
        <w:kinsoku/>
        <w:wordWrap/>
        <w:overflowPunct/>
        <w:topLinePunct w:val="0"/>
        <w:bidi w:val="0"/>
        <w:spacing w:line="420" w:lineRule="exact"/>
        <w:ind w:firstLine="0"/>
        <w:rPr>
          <w:color w:val="auto"/>
        </w:rPr>
      </w:pPr>
    </w:p>
    <w:p>
      <w:pPr>
        <w:pStyle w:val="33"/>
        <w:keepLines w:val="0"/>
        <w:pageBreakBefore w:val="0"/>
        <w:kinsoku/>
        <w:wordWrap/>
        <w:overflowPunct/>
        <w:topLinePunct w:val="0"/>
        <w:bidi w:val="0"/>
        <w:spacing w:line="420" w:lineRule="exact"/>
        <w:ind w:firstLine="0"/>
        <w:rPr>
          <w:color w:val="auto"/>
        </w:rPr>
      </w:pPr>
    </w:p>
    <w:p>
      <w:pPr>
        <w:pStyle w:val="33"/>
        <w:keepLines w:val="0"/>
        <w:pageBreakBefore w:val="0"/>
        <w:kinsoku/>
        <w:wordWrap/>
        <w:overflowPunct/>
        <w:topLinePunct w:val="0"/>
        <w:bidi w:val="0"/>
        <w:spacing w:line="420" w:lineRule="exact"/>
        <w:ind w:firstLine="0"/>
        <w:rPr>
          <w:color w:val="auto"/>
        </w:rPr>
      </w:pPr>
    </w:p>
    <w:p>
      <w:pPr>
        <w:pStyle w:val="33"/>
        <w:keepLines w:val="0"/>
        <w:pageBreakBefore w:val="0"/>
        <w:kinsoku/>
        <w:wordWrap/>
        <w:overflowPunct/>
        <w:topLinePunct w:val="0"/>
        <w:bidi w:val="0"/>
        <w:spacing w:line="420" w:lineRule="exact"/>
        <w:ind w:firstLine="0"/>
        <w:rPr>
          <w:color w:val="auto"/>
        </w:rPr>
      </w:pPr>
    </w:p>
    <w:p>
      <w:pPr>
        <w:pStyle w:val="33"/>
        <w:keepLines w:val="0"/>
        <w:pageBreakBefore w:val="0"/>
        <w:kinsoku/>
        <w:wordWrap/>
        <w:overflowPunct/>
        <w:topLinePunct w:val="0"/>
        <w:bidi w:val="0"/>
        <w:spacing w:line="420" w:lineRule="exact"/>
        <w:ind w:firstLine="0"/>
        <w:rPr>
          <w:color w:val="auto"/>
        </w:rPr>
      </w:pPr>
    </w:p>
    <w:p>
      <w:pPr>
        <w:pStyle w:val="33"/>
        <w:keepLines w:val="0"/>
        <w:pageBreakBefore w:val="0"/>
        <w:kinsoku/>
        <w:wordWrap/>
        <w:overflowPunct/>
        <w:topLinePunct w:val="0"/>
        <w:bidi w:val="0"/>
        <w:spacing w:line="420" w:lineRule="exact"/>
        <w:ind w:firstLine="0"/>
        <w:rPr>
          <w:color w:val="auto"/>
        </w:rPr>
      </w:pPr>
    </w:p>
    <w:p>
      <w:pPr>
        <w:pStyle w:val="33"/>
        <w:keepLines w:val="0"/>
        <w:pageBreakBefore w:val="0"/>
        <w:kinsoku/>
        <w:wordWrap/>
        <w:overflowPunct/>
        <w:topLinePunct w:val="0"/>
        <w:bidi w:val="0"/>
        <w:spacing w:line="420" w:lineRule="exact"/>
        <w:ind w:firstLine="0"/>
        <w:rPr>
          <w:color w:val="auto"/>
        </w:rPr>
      </w:pPr>
    </w:p>
    <w:p>
      <w:pPr>
        <w:pStyle w:val="33"/>
        <w:keepLines w:val="0"/>
        <w:pageBreakBefore w:val="0"/>
        <w:kinsoku/>
        <w:wordWrap/>
        <w:overflowPunct/>
        <w:topLinePunct w:val="0"/>
        <w:bidi w:val="0"/>
        <w:spacing w:line="420" w:lineRule="exact"/>
        <w:ind w:firstLine="0"/>
        <w:rPr>
          <w:color w:val="auto"/>
        </w:rPr>
      </w:pPr>
    </w:p>
    <w:p>
      <w:pPr>
        <w:pStyle w:val="33"/>
        <w:keepLines w:val="0"/>
        <w:pageBreakBefore w:val="0"/>
        <w:kinsoku/>
        <w:wordWrap/>
        <w:overflowPunct/>
        <w:topLinePunct w:val="0"/>
        <w:bidi w:val="0"/>
        <w:spacing w:line="420" w:lineRule="exact"/>
        <w:ind w:firstLine="0"/>
        <w:rPr>
          <w:color w:val="auto"/>
        </w:rPr>
      </w:pPr>
    </w:p>
    <w:p>
      <w:pPr>
        <w:pStyle w:val="33"/>
        <w:keepLines w:val="0"/>
        <w:pageBreakBefore w:val="0"/>
        <w:kinsoku/>
        <w:wordWrap/>
        <w:overflowPunct/>
        <w:topLinePunct w:val="0"/>
        <w:bidi w:val="0"/>
        <w:spacing w:line="420" w:lineRule="exact"/>
        <w:ind w:firstLine="0"/>
        <w:rPr>
          <w:color w:val="auto"/>
        </w:rPr>
      </w:pPr>
    </w:p>
    <w:p>
      <w:pPr>
        <w:pStyle w:val="33"/>
        <w:keepLines w:val="0"/>
        <w:pageBreakBefore w:val="0"/>
        <w:kinsoku/>
        <w:wordWrap/>
        <w:overflowPunct/>
        <w:topLinePunct w:val="0"/>
        <w:bidi w:val="0"/>
        <w:spacing w:line="420" w:lineRule="exact"/>
        <w:ind w:firstLine="0"/>
        <w:rPr>
          <w:color w:val="auto"/>
        </w:rPr>
      </w:pPr>
    </w:p>
    <w:p>
      <w:pPr>
        <w:pStyle w:val="33"/>
        <w:keepLines w:val="0"/>
        <w:pageBreakBefore w:val="0"/>
        <w:kinsoku/>
        <w:wordWrap/>
        <w:overflowPunct/>
        <w:topLinePunct w:val="0"/>
        <w:bidi w:val="0"/>
        <w:spacing w:line="420" w:lineRule="exact"/>
        <w:ind w:firstLine="0"/>
        <w:rPr>
          <w:color w:val="auto"/>
        </w:rPr>
      </w:pPr>
    </w:p>
    <w:p>
      <w:pPr>
        <w:pStyle w:val="33"/>
        <w:keepLines w:val="0"/>
        <w:pageBreakBefore w:val="0"/>
        <w:kinsoku/>
        <w:wordWrap/>
        <w:overflowPunct/>
        <w:topLinePunct w:val="0"/>
        <w:bidi w:val="0"/>
        <w:spacing w:line="420" w:lineRule="exact"/>
        <w:ind w:firstLine="0"/>
        <w:rPr>
          <w:color w:val="auto"/>
        </w:rPr>
      </w:pPr>
    </w:p>
    <w:p>
      <w:pPr>
        <w:pStyle w:val="33"/>
        <w:keepLines w:val="0"/>
        <w:pageBreakBefore w:val="0"/>
        <w:kinsoku/>
        <w:wordWrap/>
        <w:overflowPunct/>
        <w:topLinePunct w:val="0"/>
        <w:bidi w:val="0"/>
        <w:spacing w:line="420" w:lineRule="exact"/>
        <w:ind w:firstLine="0"/>
        <w:rPr>
          <w:color w:val="auto"/>
        </w:rPr>
      </w:pPr>
    </w:p>
    <w:p>
      <w:pPr>
        <w:pStyle w:val="33"/>
        <w:keepLines w:val="0"/>
        <w:pageBreakBefore w:val="0"/>
        <w:kinsoku/>
        <w:wordWrap/>
        <w:overflowPunct/>
        <w:topLinePunct w:val="0"/>
        <w:bidi w:val="0"/>
        <w:spacing w:line="420" w:lineRule="exact"/>
        <w:ind w:firstLine="0"/>
        <w:rPr>
          <w:color w:val="auto"/>
        </w:rPr>
      </w:pPr>
    </w:p>
    <w:p>
      <w:pPr>
        <w:pStyle w:val="33"/>
        <w:keepLines w:val="0"/>
        <w:pageBreakBefore w:val="0"/>
        <w:kinsoku/>
        <w:wordWrap/>
        <w:overflowPunct/>
        <w:topLinePunct w:val="0"/>
        <w:bidi w:val="0"/>
        <w:spacing w:line="420" w:lineRule="exact"/>
        <w:ind w:firstLine="0"/>
        <w:rPr>
          <w:color w:val="auto"/>
        </w:rPr>
      </w:pPr>
    </w:p>
    <w:p>
      <w:pPr>
        <w:pStyle w:val="33"/>
        <w:keepLines w:val="0"/>
        <w:pageBreakBefore w:val="0"/>
        <w:kinsoku/>
        <w:wordWrap/>
        <w:overflowPunct/>
        <w:topLinePunct w:val="0"/>
        <w:bidi w:val="0"/>
        <w:spacing w:line="420" w:lineRule="exact"/>
        <w:ind w:firstLine="0"/>
        <w:rPr>
          <w:color w:val="auto"/>
        </w:rPr>
      </w:pPr>
    </w:p>
    <w:p>
      <w:pPr>
        <w:pStyle w:val="33"/>
        <w:keepLines w:val="0"/>
        <w:pageBreakBefore w:val="0"/>
        <w:kinsoku/>
        <w:wordWrap/>
        <w:overflowPunct/>
        <w:topLinePunct w:val="0"/>
        <w:bidi w:val="0"/>
        <w:spacing w:line="420" w:lineRule="exact"/>
        <w:ind w:firstLine="0"/>
        <w:rPr>
          <w:color w:val="auto"/>
        </w:rPr>
      </w:pPr>
    </w:p>
    <w:p>
      <w:pPr>
        <w:pStyle w:val="33"/>
        <w:keepLines w:val="0"/>
        <w:pageBreakBefore w:val="0"/>
        <w:kinsoku/>
        <w:wordWrap/>
        <w:overflowPunct/>
        <w:topLinePunct w:val="0"/>
        <w:bidi w:val="0"/>
        <w:spacing w:line="420" w:lineRule="exact"/>
        <w:ind w:firstLine="0"/>
        <w:rPr>
          <w:color w:val="auto"/>
        </w:rPr>
      </w:pPr>
    </w:p>
    <w:p>
      <w:pPr>
        <w:pStyle w:val="33"/>
        <w:keepLines w:val="0"/>
        <w:pageBreakBefore w:val="0"/>
        <w:kinsoku/>
        <w:wordWrap/>
        <w:overflowPunct/>
        <w:topLinePunct w:val="0"/>
        <w:bidi w:val="0"/>
        <w:spacing w:line="420" w:lineRule="exact"/>
        <w:ind w:firstLine="0"/>
        <w:rPr>
          <w:color w:val="auto"/>
        </w:rPr>
      </w:pPr>
    </w:p>
    <w:p>
      <w:pPr>
        <w:pStyle w:val="33"/>
        <w:keepLines w:val="0"/>
        <w:pageBreakBefore w:val="0"/>
        <w:kinsoku/>
        <w:wordWrap/>
        <w:overflowPunct/>
        <w:topLinePunct w:val="0"/>
        <w:bidi w:val="0"/>
        <w:spacing w:line="420" w:lineRule="exact"/>
        <w:ind w:firstLine="0"/>
        <w:rPr>
          <w:color w:val="auto"/>
        </w:rPr>
      </w:pPr>
    </w:p>
    <w:p>
      <w:pPr>
        <w:pStyle w:val="33"/>
        <w:keepLines w:val="0"/>
        <w:pageBreakBefore w:val="0"/>
        <w:kinsoku/>
        <w:wordWrap/>
        <w:overflowPunct/>
        <w:topLinePunct w:val="0"/>
        <w:bidi w:val="0"/>
        <w:spacing w:line="420" w:lineRule="exact"/>
        <w:ind w:firstLine="0"/>
        <w:rPr>
          <w:color w:val="auto"/>
        </w:rPr>
      </w:pPr>
    </w:p>
    <w:p>
      <w:pPr>
        <w:pStyle w:val="33"/>
        <w:keepLines w:val="0"/>
        <w:pageBreakBefore w:val="0"/>
        <w:kinsoku/>
        <w:wordWrap/>
        <w:overflowPunct/>
        <w:topLinePunct w:val="0"/>
        <w:bidi w:val="0"/>
        <w:spacing w:line="420" w:lineRule="exact"/>
        <w:ind w:firstLine="0"/>
        <w:rPr>
          <w:color w:val="auto"/>
        </w:rPr>
      </w:pPr>
    </w:p>
    <w:p>
      <w:pPr>
        <w:pStyle w:val="33"/>
        <w:keepLines w:val="0"/>
        <w:pageBreakBefore w:val="0"/>
        <w:kinsoku/>
        <w:wordWrap/>
        <w:overflowPunct/>
        <w:topLinePunct w:val="0"/>
        <w:bidi w:val="0"/>
        <w:spacing w:line="420" w:lineRule="exact"/>
        <w:ind w:firstLine="0"/>
        <w:rPr>
          <w:color w:val="auto"/>
        </w:rPr>
      </w:pPr>
    </w:p>
    <w:p>
      <w:pPr>
        <w:keepLines w:val="0"/>
        <w:pageBreakBefore w:val="0"/>
        <w:kinsoku/>
        <w:wordWrap/>
        <w:overflowPunct/>
        <w:topLinePunct w:val="0"/>
        <w:bidi w:val="0"/>
        <w:spacing w:line="420" w:lineRule="exact"/>
        <w:rPr>
          <w:rFonts w:hint="default" w:ascii="宋体" w:hAnsi="宋体" w:cs="宋体"/>
          <w:b/>
          <w:color w:val="auto"/>
          <w:sz w:val="28"/>
          <w:szCs w:val="28"/>
          <w:lang w:val="en-US" w:eastAsia="zh-CN"/>
        </w:rPr>
      </w:pPr>
      <w:r>
        <w:rPr>
          <w:rFonts w:hint="eastAsia" w:ascii="宋体" w:hAnsi="宋体" w:cs="宋体"/>
          <w:b/>
          <w:color w:val="auto"/>
          <w:sz w:val="28"/>
          <w:szCs w:val="28"/>
          <w:lang w:val="en-US" w:eastAsia="zh-CN"/>
        </w:rPr>
        <w:t>附件6：</w:t>
      </w:r>
    </w:p>
    <w:p>
      <w:pPr>
        <w:pStyle w:val="4"/>
        <w:keepLines w:val="0"/>
        <w:pageBreakBefore w:val="0"/>
        <w:kinsoku/>
        <w:wordWrap/>
        <w:overflowPunct/>
        <w:topLinePunct w:val="0"/>
        <w:autoSpaceDE/>
        <w:autoSpaceDN/>
        <w:bidi w:val="0"/>
        <w:adjustRightInd/>
        <w:snapToGrid/>
        <w:spacing w:line="420" w:lineRule="exact"/>
        <w:jc w:val="center"/>
        <w:rPr>
          <w:rFonts w:ascii="宋体" w:hAnsi="宋体" w:eastAsia="宋体" w:cs="宋体"/>
          <w:b/>
          <w:bCs/>
          <w:color w:val="auto"/>
          <w:kern w:val="0"/>
          <w:szCs w:val="28"/>
          <w:lang w:val="zh-CN"/>
        </w:rPr>
      </w:pPr>
      <w:r>
        <w:rPr>
          <w:rFonts w:hint="eastAsia" w:ascii="宋体" w:hAnsi="宋体" w:eastAsia="宋体" w:cs="宋体"/>
          <w:b/>
          <w:bCs/>
          <w:color w:val="auto"/>
          <w:kern w:val="0"/>
          <w:szCs w:val="28"/>
          <w:lang w:val="zh-CN"/>
        </w:rPr>
        <w:t>节能、环保设备（产品）认证证书（若有）</w:t>
      </w:r>
    </w:p>
    <w:p>
      <w:pPr>
        <w:keepLines w:val="0"/>
        <w:pageBreakBefore w:val="0"/>
        <w:kinsoku/>
        <w:wordWrap/>
        <w:overflowPunct/>
        <w:topLinePunct w:val="0"/>
        <w:autoSpaceDE/>
        <w:autoSpaceDN/>
        <w:bidi w:val="0"/>
        <w:adjustRightInd/>
        <w:snapToGrid/>
        <w:spacing w:line="420" w:lineRule="exact"/>
        <w:jc w:val="center"/>
        <w:rPr>
          <w:rFonts w:ascii="宋体" w:hAnsi="宋体" w:cs="宋体"/>
          <w:color w:val="auto"/>
          <w:sz w:val="28"/>
          <w:szCs w:val="28"/>
        </w:rPr>
      </w:pPr>
    </w:p>
    <w:p>
      <w:pPr>
        <w:keepLines w:val="0"/>
        <w:pageBreakBefore w:val="0"/>
        <w:kinsoku/>
        <w:wordWrap/>
        <w:overflowPunct/>
        <w:topLinePunct w:val="0"/>
        <w:autoSpaceDE/>
        <w:autoSpaceDN/>
        <w:bidi w:val="0"/>
        <w:adjustRightInd/>
        <w:snapToGrid/>
        <w:spacing w:line="420" w:lineRule="exact"/>
        <w:jc w:val="center"/>
        <w:rPr>
          <w:rFonts w:ascii="宋体" w:hAnsi="宋体" w:cs="宋体"/>
          <w:color w:val="auto"/>
          <w:sz w:val="24"/>
          <w:szCs w:val="24"/>
        </w:rPr>
      </w:pPr>
      <w:r>
        <w:rPr>
          <w:rFonts w:hint="eastAsia" w:ascii="宋体" w:hAnsi="宋体" w:cs="宋体"/>
          <w:color w:val="auto"/>
          <w:sz w:val="24"/>
          <w:szCs w:val="24"/>
        </w:rPr>
        <w:t>（注：参与磋商的供应商具有节能、环保产品的应提供。）</w:t>
      </w:r>
    </w:p>
    <w:p>
      <w:pPr>
        <w:pStyle w:val="33"/>
        <w:keepLines w:val="0"/>
        <w:pageBreakBefore w:val="0"/>
        <w:kinsoku/>
        <w:wordWrap/>
        <w:overflowPunct/>
        <w:topLinePunct w:val="0"/>
        <w:bidi w:val="0"/>
        <w:spacing w:line="420" w:lineRule="exact"/>
        <w:ind w:firstLine="0"/>
        <w:rPr>
          <w:color w:val="auto"/>
        </w:rPr>
      </w:pPr>
    </w:p>
    <w:p>
      <w:pPr>
        <w:pStyle w:val="33"/>
        <w:keepLines w:val="0"/>
        <w:pageBreakBefore w:val="0"/>
        <w:kinsoku/>
        <w:wordWrap/>
        <w:overflowPunct/>
        <w:topLinePunct w:val="0"/>
        <w:bidi w:val="0"/>
        <w:spacing w:line="420" w:lineRule="exact"/>
        <w:ind w:firstLine="0"/>
        <w:rPr>
          <w:color w:val="auto"/>
        </w:rPr>
      </w:pPr>
    </w:p>
    <w:sectPr>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Arial"/>
    <w:panose1 w:val="020E07050202060204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24"/>
      <w:tabs>
        <w:tab w:val="right" w:pos="9135"/>
        <w:tab w:val="clear" w:pos="8306"/>
      </w:tabs>
      <w:ind w:right="-65"/>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39"/>
      </w:rPr>
    </w:pPr>
    <w:r>
      <w:rPr>
        <w:rStyle w:val="39"/>
      </w:rPr>
      <w:fldChar w:fldCharType="begin"/>
    </w:r>
    <w:r>
      <w:rPr>
        <w:rStyle w:val="39"/>
      </w:rPr>
      <w:instrText xml:space="preserve">PAGE  </w:instrText>
    </w:r>
    <w:r>
      <w:rPr>
        <w:rStyle w:val="39"/>
      </w:rPr>
      <w:fldChar w:fldCharType="end"/>
    </w:r>
  </w:p>
  <w:p>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4066" w:firstLineChars="22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pPr>
      <w:pStyle w:val="24"/>
      <w:tabs>
        <w:tab w:val="right" w:pos="9135"/>
        <w:tab w:val="clear" w:pos="8306"/>
      </w:tabs>
      <w:ind w:right="-6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6480"/>
        <w:tab w:val="clear" w:pos="8306"/>
      </w:tabs>
      <w:jc w:val="both"/>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第 </w:t>
                          </w:r>
                          <w:r>
                            <w:fldChar w:fldCharType="begin"/>
                          </w:r>
                          <w:r>
                            <w:instrText xml:space="preserve"> PAGE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10</w:t>
                    </w:r>
                    <w:r>
                      <w:fldChar w:fldCharType="end"/>
                    </w:r>
                    <w:r>
                      <w:t xml:space="preserve"> 页</w:t>
                    </w:r>
                  </w:p>
                </w:txbxContent>
              </v:textbox>
            </v:shape>
          </w:pict>
        </mc:Fallback>
      </mc:AlternateContent>
    </w:r>
    <w:r>
      <w:rPr>
        <w:rFonts w:hint="eastAsia"/>
      </w:rPr>
      <w:t xml:space="preserve">                                                     </w:t>
    </w:r>
    <w:r>
      <mc:AlternateContent>
        <mc:Choice Requires="wps">
          <w:drawing>
            <wp:anchor distT="0" distB="0" distL="114300" distR="114300" simplePos="0" relativeHeight="251663360"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3360;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BGEI0UxwEAAJ0DAAAOAAAAAAAAAAEAIAAAACMBAABkcnMvZTJv&#10;RG9jLnhtbFBLBQYAAAAABgAGAFkBAABcBQAAAAA=&#10;">
              <v:fill on="f" focussize="0,0"/>
              <v:stroke on="f"/>
              <v:imagedata o:title=""/>
              <o:lock v:ext="edit" aspectratio="f"/>
              <v:textbox inset="0mm,0mm,0mm,0mm" style="mso-fit-shape-to-text:t;">
                <w:txbxContent>
                  <w:p>
                    <w:pPr>
                      <w:snapToGrid w:val="0"/>
                      <w:rPr>
                        <w:sz w:val="18"/>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1312;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CAx+imxwEAAJ0DAAAOAAAAAAAAAAEAIAAAACMBAABkcnMvZTJv&#10;RG9jLnhtbFBLBQYAAAAABgAGAFkBAABcBQAAAAA=&#10;">
              <v:fill on="f" focussize="0,0"/>
              <v:stroke on="f"/>
              <v:imagedata o:title=""/>
              <o:lock v:ext="edit" aspectratio="f"/>
              <v:textbox inset="0mm,0mm,0mm,0mm" style="mso-fit-shape-to-text:t;">
                <w:txbxContent>
                  <w:p>
                    <w:pPr>
                      <w:snapToGrid w:val="0"/>
                      <w:rPr>
                        <w:sz w:val="18"/>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1312;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CLuTerxwEAAJ0DAAAOAAAAAAAAAAEAIAAAACMBAABkcnMvZTJv&#10;RG9jLnhtbFBLBQYAAAAABgAGAFkBAABcBQAAAAA=&#10;">
              <v:fill on="f" focussize="0,0"/>
              <v:stroke on="f"/>
              <v:imagedata o:title=""/>
              <o:lock v:ext="edit" aspectratio="f"/>
              <v:textbox inset="0mm,0mm,0mm,0mm" style="mso-fit-shape-to-text:t;">
                <w:txbxContent>
                  <w:p>
                    <w:pPr>
                      <w:snapToGrid w:val="0"/>
                      <w:rPr>
                        <w:sz w:val="18"/>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2948305</wp:posOffset>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32.15pt;margin-top:0pt;height:144pt;width:144pt;mso-position-horizontal-relative:margin;mso-wrap-style:none;z-index:251660288;mso-width-relative:page;mso-height-relative:page;" filled="f" stroked="f" coordsize="21600,21600" o:gfxdata="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jwXT7UAAAACAEAAA8AAAAAAAAAAQAgAAAAIgAAAGRycy9kb3ducmV2&#10;LnhtbFBLAQIUABQAAAAIAIdO4kBNblIZxwEAAJ0DAAAOAAAAAAAAAAEAIAAAACMBAABkcnMvZTJv&#10;RG9jLnhtbFBLBQYAAAAABgAGAFkBAABcBQAAAAA=&#10;">
              <v:fill on="f" focussize="0,0"/>
              <v:stroke on="f"/>
              <v:imagedata o:title=""/>
              <o:lock v:ext="edit" aspectratio="f"/>
              <v:textbox inset="0mm,0mm,0mm,0mm" style="mso-fit-shape-to-text:t;">
                <w:txbxContent>
                  <w:p>
                    <w:pPr>
                      <w:snapToGrid w:val="0"/>
                      <w:rPr>
                        <w:sz w:val="18"/>
                      </w:rPr>
                    </w:pPr>
                  </w:p>
                </w:txbxContent>
              </v:textbox>
            </v:shape>
          </w:pict>
        </mc:Fallback>
      </mc:AlternateContent>
    </w:r>
    <w:r>
      <w:rPr>
        <w:rFonts w:hint="eastAsia"/>
      </w:rPr>
      <w:tab/>
    </w: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3xvN98EBAACNAwAADgAAAAAAAAABACAAAAAeAQAAZHJzL2Uyb0RvYy54bWxQSwUG&#10;AAAAAAYABgBZAQAAU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rPr>
        <w:rFonts w:hint="eastAsia"/>
        <w:lang w:eastAsia="zh-CN"/>
      </w:rPr>
    </w:pPr>
    <w:r>
      <w:rPr>
        <w:rFonts w:hint="eastAsia" w:ascii="宋体" w:hAnsi="宋体" w:cs="宋体"/>
      </w:rPr>
      <w:t>项目编号：SSJY-CG（</w:t>
    </w:r>
    <w:r>
      <w:rPr>
        <w:rFonts w:hint="eastAsia" w:ascii="宋体" w:hAnsi="宋体" w:cs="宋体"/>
        <w:lang w:val="en-US" w:eastAsia="zh-CN"/>
      </w:rPr>
      <w:t>G</w:t>
    </w:r>
    <w:r>
      <w:rPr>
        <w:rFonts w:hint="eastAsia" w:ascii="宋体" w:hAnsi="宋体" w:cs="宋体"/>
      </w:rPr>
      <w:t>）-20220</w:t>
    </w:r>
    <w:r>
      <w:rPr>
        <w:rFonts w:hint="eastAsia" w:ascii="宋体" w:hAnsi="宋体" w:cs="宋体"/>
        <w:lang w:val="en-US" w:eastAsia="zh-CN"/>
      </w:rPr>
      <w:t>13</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lang w:eastAsia="zh-CN"/>
      </w:rPr>
      <w:t>2022年省级水利发展资金水土保持项目泾阳县清河水保生态小流域治理工程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ascii="宋体"/>
        <w:b/>
        <w:bCs/>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rPr>
        <w:rFonts w:hint="eastAsia" w:ascii="宋体" w:hAnsi="宋体" w:eastAsia="宋体" w:cs="宋体"/>
        <w:b/>
        <w:bCs/>
        <w:iCs/>
        <w:lang w:eastAsia="zh-CN"/>
      </w:rPr>
    </w:pPr>
    <w:r>
      <w:rPr>
        <w:rFonts w:hint="eastAsia" w:ascii="宋体" w:hAnsi="宋体" w:cs="宋体"/>
      </w:rPr>
      <w:t>项目编号：SSJY-CG（</w:t>
    </w:r>
    <w:r>
      <w:rPr>
        <w:rFonts w:hint="eastAsia" w:ascii="宋体" w:hAnsi="宋体" w:cs="宋体"/>
        <w:lang w:val="en-US" w:eastAsia="zh-CN"/>
      </w:rPr>
      <w:t>G</w:t>
    </w:r>
    <w:r>
      <w:rPr>
        <w:rFonts w:hint="eastAsia" w:ascii="宋体" w:hAnsi="宋体" w:cs="宋体"/>
      </w:rPr>
      <w:t>）-20220</w:t>
    </w:r>
    <w:r>
      <w:rPr>
        <w:rFonts w:hint="eastAsia" w:ascii="宋体" w:hAnsi="宋体" w:cs="宋体"/>
        <w:lang w:val="en-US" w:eastAsia="zh-CN"/>
      </w:rPr>
      <w:t>13</w:t>
    </w:r>
    <w:r>
      <w:rPr>
        <w:rFonts w:hint="eastAsia" w:ascii="宋体" w:hAnsi="宋体" w:cs="宋体"/>
      </w:rPr>
      <w:t xml:space="preserve">   </w:t>
    </w:r>
    <w:r>
      <w:rPr>
        <w:rFonts w:hint="eastAsia" w:ascii="宋体" w:hAnsi="宋体" w:cs="宋体"/>
        <w:lang w:eastAsia="zh-CN"/>
      </w:rPr>
      <w:t>2022年省级水利发展资金水土保持项目泾阳县清河水保生态小流域治理工程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rPr>
        <w:rFonts w:hint="eastAsia"/>
        <w:lang w:eastAsia="zh-CN"/>
      </w:rPr>
    </w:pPr>
    <w:r>
      <w:rPr>
        <w:rFonts w:hint="eastAsia" w:ascii="宋体" w:hAnsi="宋体" w:cs="宋体"/>
      </w:rPr>
      <w:t>项目编号：SSJY-CG（</w:t>
    </w:r>
    <w:r>
      <w:rPr>
        <w:rFonts w:hint="eastAsia" w:ascii="宋体" w:hAnsi="宋体" w:cs="宋体"/>
        <w:lang w:val="en-US" w:eastAsia="zh-CN"/>
      </w:rPr>
      <w:t>G</w:t>
    </w:r>
    <w:r>
      <w:rPr>
        <w:rFonts w:hint="eastAsia" w:ascii="宋体" w:hAnsi="宋体" w:cs="宋体"/>
      </w:rPr>
      <w:t>）-20220</w:t>
    </w:r>
    <w:r>
      <w:rPr>
        <w:rFonts w:hint="eastAsia" w:ascii="宋体" w:hAnsi="宋体" w:cs="宋体"/>
        <w:lang w:val="en-US" w:eastAsia="zh-CN"/>
      </w:rPr>
      <w:t>13</w:t>
    </w:r>
    <w:r>
      <w:rPr>
        <w:rFonts w:hint="eastAsia" w:ascii="宋体" w:hAnsi="宋体" w:cs="宋体"/>
      </w:rPr>
      <w:t xml:space="preserve">     </w:t>
    </w:r>
    <w:r>
      <w:rPr>
        <w:rFonts w:hint="eastAsia" w:ascii="宋体" w:hAnsi="宋体" w:cs="宋体"/>
        <w:lang w:eastAsia="zh-CN"/>
      </w:rPr>
      <w:t>2022年省级水利发展资金水土保持项目泾阳县清河水保生态小流域治理工程</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rPr>
        <w:rFonts w:ascii="仿宋" w:hAnsi="仿宋" w:eastAsia="仿宋"/>
        <w:b/>
        <w:bCs/>
        <w:iCs/>
      </w:rPr>
    </w:pPr>
    <w:r>
      <w:rPr>
        <w:rFonts w:hint="eastAsia" w:ascii="宋体" w:hAnsi="宋体" w:cs="宋体"/>
      </w:rPr>
      <w:t>项目编号：SSJY-CG（</w:t>
    </w:r>
    <w:r>
      <w:rPr>
        <w:rFonts w:hint="eastAsia" w:ascii="宋体" w:hAnsi="宋体" w:cs="宋体"/>
        <w:lang w:val="en-US" w:eastAsia="zh-CN"/>
      </w:rPr>
      <w:t>G</w:t>
    </w:r>
    <w:r>
      <w:rPr>
        <w:rFonts w:hint="eastAsia" w:ascii="宋体" w:hAnsi="宋体" w:cs="宋体"/>
      </w:rPr>
      <w:t>）-20220</w:t>
    </w:r>
    <w:r>
      <w:rPr>
        <w:rFonts w:hint="eastAsia" w:ascii="宋体" w:hAnsi="宋体" w:cs="宋体"/>
        <w:lang w:val="en-US" w:eastAsia="zh-CN"/>
      </w:rPr>
      <w:t>13</w:t>
    </w:r>
    <w:r>
      <w:rPr>
        <w:rFonts w:hint="eastAsia" w:ascii="宋体" w:hAnsi="宋体" w:cs="宋体"/>
      </w:rPr>
      <w:t xml:space="preserve">     </w:t>
    </w:r>
    <w:r>
      <w:rPr>
        <w:rFonts w:hint="eastAsia" w:ascii="宋体" w:hAnsi="宋体" w:cs="宋体"/>
        <w:lang w:eastAsia="zh-CN"/>
      </w:rPr>
      <w:t>2022年省级水利发展资金水土保持项目泾阳县清河水保生态小流域治理工程</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rPr>
        <w:rFonts w:ascii="仿宋" w:hAnsi="仿宋" w:eastAsia="仿宋"/>
        <w:b/>
        <w:bCs/>
        <w:iCs/>
      </w:rPr>
    </w:pPr>
    <w:r>
      <w:rPr>
        <w:rFonts w:hint="eastAsia" w:ascii="宋体" w:hAnsi="宋体" w:cs="宋体"/>
      </w:rPr>
      <w:t>项目编号：SSJY-CG（</w:t>
    </w:r>
    <w:r>
      <w:rPr>
        <w:rFonts w:hint="eastAsia" w:ascii="宋体" w:hAnsi="宋体" w:cs="宋体"/>
        <w:lang w:val="en-US" w:eastAsia="zh-CN"/>
      </w:rPr>
      <w:t>G</w:t>
    </w:r>
    <w:r>
      <w:rPr>
        <w:rFonts w:hint="eastAsia" w:ascii="宋体" w:hAnsi="宋体" w:cs="宋体"/>
      </w:rPr>
      <w:t>）-20220</w:t>
    </w:r>
    <w:r>
      <w:rPr>
        <w:rFonts w:hint="eastAsia" w:ascii="宋体" w:hAnsi="宋体" w:cs="宋体"/>
        <w:lang w:val="en-US" w:eastAsia="zh-CN"/>
      </w:rPr>
      <w:t>13</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eastAsia="zh-CN"/>
      </w:rPr>
      <w:t>2022年省级水利发展资金水土保持项目泾阳县清河水保生态小流域治理工程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36D4C"/>
    <w:multiLevelType w:val="singleLevel"/>
    <w:tmpl w:val="ABB36D4C"/>
    <w:lvl w:ilvl="0" w:tentative="0">
      <w:start w:val="1"/>
      <w:numFmt w:val="decimal"/>
      <w:suff w:val="nothing"/>
      <w:lvlText w:val="（%1）"/>
      <w:lvlJc w:val="left"/>
    </w:lvl>
  </w:abstractNum>
  <w:abstractNum w:abstractNumId="1">
    <w:nsid w:val="D94435E6"/>
    <w:multiLevelType w:val="singleLevel"/>
    <w:tmpl w:val="D94435E6"/>
    <w:lvl w:ilvl="0" w:tentative="0">
      <w:start w:val="1"/>
      <w:numFmt w:val="decimal"/>
      <w:suff w:val="nothing"/>
      <w:lvlText w:val="%1、"/>
      <w:lvlJc w:val="left"/>
    </w:lvl>
  </w:abstractNum>
  <w:abstractNum w:abstractNumId="2">
    <w:nsid w:val="E407AC31"/>
    <w:multiLevelType w:val="singleLevel"/>
    <w:tmpl w:val="E407AC31"/>
    <w:lvl w:ilvl="0" w:tentative="0">
      <w:start w:val="3"/>
      <w:numFmt w:val="upperLetter"/>
      <w:suff w:val="nothing"/>
      <w:lvlText w:val="%1、"/>
      <w:lvlJc w:val="left"/>
    </w:lvl>
  </w:abstractNum>
  <w:abstractNum w:abstractNumId="3">
    <w:nsid w:val="FADF2A1F"/>
    <w:multiLevelType w:val="singleLevel"/>
    <w:tmpl w:val="FADF2A1F"/>
    <w:lvl w:ilvl="0" w:tentative="0">
      <w:start w:val="1"/>
      <w:numFmt w:val="decimal"/>
      <w:lvlText w:val="%1."/>
      <w:lvlJc w:val="left"/>
      <w:pPr>
        <w:tabs>
          <w:tab w:val="left" w:pos="312"/>
        </w:tabs>
      </w:pPr>
    </w:lvl>
  </w:abstractNum>
  <w:abstractNum w:abstractNumId="4">
    <w:nsid w:val="2BA6A28D"/>
    <w:multiLevelType w:val="singleLevel"/>
    <w:tmpl w:val="2BA6A28D"/>
    <w:lvl w:ilvl="0" w:tentative="0">
      <w:start w:val="1"/>
      <w:numFmt w:val="decimal"/>
      <w:suff w:val="nothing"/>
      <w:lvlText w:val="%1、"/>
      <w:lvlJc w:val="left"/>
    </w:lvl>
  </w:abstractNum>
  <w:abstractNum w:abstractNumId="5">
    <w:nsid w:val="2CCCDFED"/>
    <w:multiLevelType w:val="singleLevel"/>
    <w:tmpl w:val="2CCCDFED"/>
    <w:lvl w:ilvl="0" w:tentative="0">
      <w:start w:val="1"/>
      <w:numFmt w:val="decimal"/>
      <w:suff w:val="nothing"/>
      <w:lvlText w:val="%1、"/>
      <w:lvlJc w:val="left"/>
    </w:lvl>
  </w:abstractNum>
  <w:abstractNum w:abstractNumId="6">
    <w:nsid w:val="56650600"/>
    <w:multiLevelType w:val="singleLevel"/>
    <w:tmpl w:val="56650600"/>
    <w:lvl w:ilvl="0" w:tentative="0">
      <w:start w:val="1"/>
      <w:numFmt w:val="decimal"/>
      <w:suff w:val="nothing"/>
      <w:lvlText w:val="%1、"/>
      <w:lvlJc w:val="left"/>
    </w:lvl>
  </w:abstractNum>
  <w:abstractNum w:abstractNumId="7">
    <w:nsid w:val="597FFAFF"/>
    <w:multiLevelType w:val="singleLevel"/>
    <w:tmpl w:val="597FFAFF"/>
    <w:lvl w:ilvl="0" w:tentative="0">
      <w:start w:val="3"/>
      <w:numFmt w:val="decimal"/>
      <w:suff w:val="nothing"/>
      <w:lvlText w:val="%1．"/>
      <w:lvlJc w:val="left"/>
      <w:rPr>
        <w:rFonts w:cs="Times New Roman"/>
      </w:rPr>
    </w:lvl>
  </w:abstractNum>
  <w:abstractNum w:abstractNumId="8">
    <w:nsid w:val="65CB2C13"/>
    <w:multiLevelType w:val="singleLevel"/>
    <w:tmpl w:val="65CB2C13"/>
    <w:lvl w:ilvl="0" w:tentative="0">
      <w:start w:val="1"/>
      <w:numFmt w:val="decimal"/>
      <w:suff w:val="nothing"/>
      <w:lvlText w:val="%1、"/>
      <w:lvlJc w:val="left"/>
      <w:rPr>
        <w:rFonts w:hint="default" w:ascii="宋体" w:hAnsi="宋体" w:eastAsia="宋体" w:cs="宋体"/>
        <w:sz w:val="24"/>
        <w:szCs w:val="24"/>
      </w:rPr>
    </w:lvl>
  </w:abstractNum>
  <w:num w:numId="1">
    <w:abstractNumId w:val="0"/>
  </w:num>
  <w:num w:numId="2">
    <w:abstractNumId w:val="3"/>
  </w:num>
  <w:num w:numId="3">
    <w:abstractNumId w:val="5"/>
  </w:num>
  <w:num w:numId="4">
    <w:abstractNumId w:val="2"/>
  </w:num>
  <w:num w:numId="5">
    <w:abstractNumId w:val="8"/>
  </w:num>
  <w:num w:numId="6">
    <w:abstractNumId w:val="7"/>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NjZlNGMxNDdmMzUwYTk4ZTU2MjJjNTA2OTI2ZWEifQ=="/>
  </w:docVars>
  <w:rsids>
    <w:rsidRoot w:val="00AF7032"/>
    <w:rsid w:val="00002082"/>
    <w:rsid w:val="00002415"/>
    <w:rsid w:val="00005936"/>
    <w:rsid w:val="00005C9D"/>
    <w:rsid w:val="000072CF"/>
    <w:rsid w:val="00010847"/>
    <w:rsid w:val="00011C1D"/>
    <w:rsid w:val="00012265"/>
    <w:rsid w:val="000126E0"/>
    <w:rsid w:val="00015A2B"/>
    <w:rsid w:val="000169B2"/>
    <w:rsid w:val="00017B40"/>
    <w:rsid w:val="0002051E"/>
    <w:rsid w:val="000224F5"/>
    <w:rsid w:val="000246B1"/>
    <w:rsid w:val="00025AB7"/>
    <w:rsid w:val="00030A37"/>
    <w:rsid w:val="0003191A"/>
    <w:rsid w:val="00032033"/>
    <w:rsid w:val="000333D3"/>
    <w:rsid w:val="00035A02"/>
    <w:rsid w:val="00040727"/>
    <w:rsid w:val="00040B71"/>
    <w:rsid w:val="00041A78"/>
    <w:rsid w:val="0004320A"/>
    <w:rsid w:val="00043FD9"/>
    <w:rsid w:val="00044112"/>
    <w:rsid w:val="00045317"/>
    <w:rsid w:val="000459D4"/>
    <w:rsid w:val="00045BD4"/>
    <w:rsid w:val="000468ED"/>
    <w:rsid w:val="0004767C"/>
    <w:rsid w:val="000530F3"/>
    <w:rsid w:val="00053B9E"/>
    <w:rsid w:val="00055378"/>
    <w:rsid w:val="00055A76"/>
    <w:rsid w:val="00064E85"/>
    <w:rsid w:val="000671E1"/>
    <w:rsid w:val="00070C79"/>
    <w:rsid w:val="00071475"/>
    <w:rsid w:val="0007459A"/>
    <w:rsid w:val="00074C03"/>
    <w:rsid w:val="00075479"/>
    <w:rsid w:val="00077E8A"/>
    <w:rsid w:val="00082634"/>
    <w:rsid w:val="00083291"/>
    <w:rsid w:val="00083C78"/>
    <w:rsid w:val="00084442"/>
    <w:rsid w:val="0009325C"/>
    <w:rsid w:val="0009348E"/>
    <w:rsid w:val="00093572"/>
    <w:rsid w:val="00093A93"/>
    <w:rsid w:val="00093F4A"/>
    <w:rsid w:val="00095FC9"/>
    <w:rsid w:val="000A138F"/>
    <w:rsid w:val="000A1BAC"/>
    <w:rsid w:val="000A2B04"/>
    <w:rsid w:val="000A41EA"/>
    <w:rsid w:val="000A48D7"/>
    <w:rsid w:val="000A677E"/>
    <w:rsid w:val="000B0DDD"/>
    <w:rsid w:val="000B5D53"/>
    <w:rsid w:val="000B6887"/>
    <w:rsid w:val="000B724B"/>
    <w:rsid w:val="000C06B0"/>
    <w:rsid w:val="000C07E3"/>
    <w:rsid w:val="000C0D27"/>
    <w:rsid w:val="000C4415"/>
    <w:rsid w:val="000C5E84"/>
    <w:rsid w:val="000D3948"/>
    <w:rsid w:val="000D5DDA"/>
    <w:rsid w:val="000D6550"/>
    <w:rsid w:val="000D6BD8"/>
    <w:rsid w:val="000E2FFA"/>
    <w:rsid w:val="000E361A"/>
    <w:rsid w:val="000E3DC9"/>
    <w:rsid w:val="000E59FD"/>
    <w:rsid w:val="000E6228"/>
    <w:rsid w:val="000E6D2D"/>
    <w:rsid w:val="000E76E4"/>
    <w:rsid w:val="000F0D15"/>
    <w:rsid w:val="000F1D56"/>
    <w:rsid w:val="000F441B"/>
    <w:rsid w:val="000F6C6D"/>
    <w:rsid w:val="000F6EDE"/>
    <w:rsid w:val="000F72A8"/>
    <w:rsid w:val="001004B7"/>
    <w:rsid w:val="00102146"/>
    <w:rsid w:val="001035A1"/>
    <w:rsid w:val="00103B71"/>
    <w:rsid w:val="00103E26"/>
    <w:rsid w:val="00105186"/>
    <w:rsid w:val="00105A1D"/>
    <w:rsid w:val="00105ABF"/>
    <w:rsid w:val="001067C6"/>
    <w:rsid w:val="00106C53"/>
    <w:rsid w:val="001072D5"/>
    <w:rsid w:val="001105A6"/>
    <w:rsid w:val="00110A4F"/>
    <w:rsid w:val="0011202A"/>
    <w:rsid w:val="00113D2E"/>
    <w:rsid w:val="0011475D"/>
    <w:rsid w:val="00115266"/>
    <w:rsid w:val="001163E5"/>
    <w:rsid w:val="001213EB"/>
    <w:rsid w:val="0012297F"/>
    <w:rsid w:val="0012548F"/>
    <w:rsid w:val="001254A6"/>
    <w:rsid w:val="00126169"/>
    <w:rsid w:val="0012658C"/>
    <w:rsid w:val="001268BB"/>
    <w:rsid w:val="00134C63"/>
    <w:rsid w:val="00135A73"/>
    <w:rsid w:val="00136679"/>
    <w:rsid w:val="0013708B"/>
    <w:rsid w:val="001378FA"/>
    <w:rsid w:val="001405BE"/>
    <w:rsid w:val="0014192C"/>
    <w:rsid w:val="00141A55"/>
    <w:rsid w:val="00141C57"/>
    <w:rsid w:val="00141FF0"/>
    <w:rsid w:val="00143963"/>
    <w:rsid w:val="00144D56"/>
    <w:rsid w:val="001477D9"/>
    <w:rsid w:val="00150743"/>
    <w:rsid w:val="00152EAA"/>
    <w:rsid w:val="00153340"/>
    <w:rsid w:val="00154781"/>
    <w:rsid w:val="00154885"/>
    <w:rsid w:val="00154E32"/>
    <w:rsid w:val="00155883"/>
    <w:rsid w:val="00155A12"/>
    <w:rsid w:val="001560DB"/>
    <w:rsid w:val="00157555"/>
    <w:rsid w:val="001615C5"/>
    <w:rsid w:val="00163CB7"/>
    <w:rsid w:val="00163DAC"/>
    <w:rsid w:val="00165D7C"/>
    <w:rsid w:val="00166581"/>
    <w:rsid w:val="00166874"/>
    <w:rsid w:val="00170DEA"/>
    <w:rsid w:val="00170E44"/>
    <w:rsid w:val="00171185"/>
    <w:rsid w:val="001714A6"/>
    <w:rsid w:val="001721BB"/>
    <w:rsid w:val="001726A8"/>
    <w:rsid w:val="00173436"/>
    <w:rsid w:val="00173664"/>
    <w:rsid w:val="001744BE"/>
    <w:rsid w:val="0017467F"/>
    <w:rsid w:val="00177672"/>
    <w:rsid w:val="00181543"/>
    <w:rsid w:val="00183D46"/>
    <w:rsid w:val="0018405A"/>
    <w:rsid w:val="00186867"/>
    <w:rsid w:val="00186BB2"/>
    <w:rsid w:val="001900C9"/>
    <w:rsid w:val="001920AB"/>
    <w:rsid w:val="0019280B"/>
    <w:rsid w:val="00195BC5"/>
    <w:rsid w:val="001976FE"/>
    <w:rsid w:val="001A4555"/>
    <w:rsid w:val="001A5EB8"/>
    <w:rsid w:val="001A7A12"/>
    <w:rsid w:val="001B04F5"/>
    <w:rsid w:val="001B15C5"/>
    <w:rsid w:val="001B35E2"/>
    <w:rsid w:val="001B377D"/>
    <w:rsid w:val="001B4584"/>
    <w:rsid w:val="001B45ED"/>
    <w:rsid w:val="001B4E18"/>
    <w:rsid w:val="001B56E5"/>
    <w:rsid w:val="001B7387"/>
    <w:rsid w:val="001C1E52"/>
    <w:rsid w:val="001C2365"/>
    <w:rsid w:val="001C2A9C"/>
    <w:rsid w:val="001C43E7"/>
    <w:rsid w:val="001C4D04"/>
    <w:rsid w:val="001C6156"/>
    <w:rsid w:val="001C66A2"/>
    <w:rsid w:val="001D204D"/>
    <w:rsid w:val="001D5F0D"/>
    <w:rsid w:val="001D64A0"/>
    <w:rsid w:val="001D6D11"/>
    <w:rsid w:val="001D72AB"/>
    <w:rsid w:val="001E0640"/>
    <w:rsid w:val="001E0784"/>
    <w:rsid w:val="001E1D5E"/>
    <w:rsid w:val="001E3E03"/>
    <w:rsid w:val="001E3EF8"/>
    <w:rsid w:val="001E456B"/>
    <w:rsid w:val="001E4B10"/>
    <w:rsid w:val="001F07D0"/>
    <w:rsid w:val="001F082A"/>
    <w:rsid w:val="001F0913"/>
    <w:rsid w:val="001F0CA9"/>
    <w:rsid w:val="001F3D73"/>
    <w:rsid w:val="001F5855"/>
    <w:rsid w:val="001F6CB3"/>
    <w:rsid w:val="00201148"/>
    <w:rsid w:val="00202413"/>
    <w:rsid w:val="00203E84"/>
    <w:rsid w:val="002040BE"/>
    <w:rsid w:val="00205BFA"/>
    <w:rsid w:val="00206260"/>
    <w:rsid w:val="0020729D"/>
    <w:rsid w:val="002110B4"/>
    <w:rsid w:val="002114D1"/>
    <w:rsid w:val="00211D96"/>
    <w:rsid w:val="00217065"/>
    <w:rsid w:val="0021747B"/>
    <w:rsid w:val="00221F84"/>
    <w:rsid w:val="00223601"/>
    <w:rsid w:val="002252DC"/>
    <w:rsid w:val="00227C56"/>
    <w:rsid w:val="0023030C"/>
    <w:rsid w:val="0023048D"/>
    <w:rsid w:val="00230B14"/>
    <w:rsid w:val="0023396B"/>
    <w:rsid w:val="00234950"/>
    <w:rsid w:val="0023569D"/>
    <w:rsid w:val="00236DE4"/>
    <w:rsid w:val="002427BB"/>
    <w:rsid w:val="002430B3"/>
    <w:rsid w:val="0024320F"/>
    <w:rsid w:val="002437D2"/>
    <w:rsid w:val="002451B8"/>
    <w:rsid w:val="002467D6"/>
    <w:rsid w:val="00250413"/>
    <w:rsid w:val="0025138E"/>
    <w:rsid w:val="00253A2F"/>
    <w:rsid w:val="0025491A"/>
    <w:rsid w:val="002552A8"/>
    <w:rsid w:val="00255643"/>
    <w:rsid w:val="00256CA1"/>
    <w:rsid w:val="00256EE9"/>
    <w:rsid w:val="00256FF8"/>
    <w:rsid w:val="00260761"/>
    <w:rsid w:val="002608C1"/>
    <w:rsid w:val="00260F58"/>
    <w:rsid w:val="002626FB"/>
    <w:rsid w:val="002630E7"/>
    <w:rsid w:val="002637BE"/>
    <w:rsid w:val="00264377"/>
    <w:rsid w:val="0026651C"/>
    <w:rsid w:val="00266EDB"/>
    <w:rsid w:val="002670EF"/>
    <w:rsid w:val="00267768"/>
    <w:rsid w:val="00267DE8"/>
    <w:rsid w:val="00270243"/>
    <w:rsid w:val="00270763"/>
    <w:rsid w:val="002722E8"/>
    <w:rsid w:val="002742B6"/>
    <w:rsid w:val="0027517B"/>
    <w:rsid w:val="00275DB6"/>
    <w:rsid w:val="00277227"/>
    <w:rsid w:val="002775B4"/>
    <w:rsid w:val="0027781D"/>
    <w:rsid w:val="002779FF"/>
    <w:rsid w:val="00281921"/>
    <w:rsid w:val="00283837"/>
    <w:rsid w:val="0028537E"/>
    <w:rsid w:val="0028547F"/>
    <w:rsid w:val="0028691C"/>
    <w:rsid w:val="00291EE5"/>
    <w:rsid w:val="00294B5D"/>
    <w:rsid w:val="00295C0B"/>
    <w:rsid w:val="002A135F"/>
    <w:rsid w:val="002A1A17"/>
    <w:rsid w:val="002A1F94"/>
    <w:rsid w:val="002A26F0"/>
    <w:rsid w:val="002A48E1"/>
    <w:rsid w:val="002A5A8E"/>
    <w:rsid w:val="002A7770"/>
    <w:rsid w:val="002B0704"/>
    <w:rsid w:val="002B1C26"/>
    <w:rsid w:val="002B215D"/>
    <w:rsid w:val="002B433F"/>
    <w:rsid w:val="002B5708"/>
    <w:rsid w:val="002C2B5B"/>
    <w:rsid w:val="002C3CF1"/>
    <w:rsid w:val="002C412E"/>
    <w:rsid w:val="002C587F"/>
    <w:rsid w:val="002C72E2"/>
    <w:rsid w:val="002D101E"/>
    <w:rsid w:val="002D1744"/>
    <w:rsid w:val="002D25D7"/>
    <w:rsid w:val="002D2DC4"/>
    <w:rsid w:val="002D3376"/>
    <w:rsid w:val="002D3C31"/>
    <w:rsid w:val="002D3D7E"/>
    <w:rsid w:val="002D6432"/>
    <w:rsid w:val="002D64D9"/>
    <w:rsid w:val="002E0586"/>
    <w:rsid w:val="002E1258"/>
    <w:rsid w:val="002E30BB"/>
    <w:rsid w:val="002E33CC"/>
    <w:rsid w:val="002E388A"/>
    <w:rsid w:val="002E4F44"/>
    <w:rsid w:val="002E4FC1"/>
    <w:rsid w:val="002E6F47"/>
    <w:rsid w:val="002F27B9"/>
    <w:rsid w:val="002F48FF"/>
    <w:rsid w:val="00302C50"/>
    <w:rsid w:val="003039C4"/>
    <w:rsid w:val="00303B84"/>
    <w:rsid w:val="00303DA7"/>
    <w:rsid w:val="003044B5"/>
    <w:rsid w:val="00304CFB"/>
    <w:rsid w:val="003074CF"/>
    <w:rsid w:val="00307529"/>
    <w:rsid w:val="00311931"/>
    <w:rsid w:val="00311A32"/>
    <w:rsid w:val="00315645"/>
    <w:rsid w:val="00317F13"/>
    <w:rsid w:val="00321D3B"/>
    <w:rsid w:val="00323212"/>
    <w:rsid w:val="003236EA"/>
    <w:rsid w:val="00323D53"/>
    <w:rsid w:val="003243B7"/>
    <w:rsid w:val="00324A81"/>
    <w:rsid w:val="00324C9F"/>
    <w:rsid w:val="003263E1"/>
    <w:rsid w:val="00331F40"/>
    <w:rsid w:val="0033248E"/>
    <w:rsid w:val="003324EB"/>
    <w:rsid w:val="00332F45"/>
    <w:rsid w:val="00333F98"/>
    <w:rsid w:val="003340C6"/>
    <w:rsid w:val="00335141"/>
    <w:rsid w:val="00335C1C"/>
    <w:rsid w:val="003405B4"/>
    <w:rsid w:val="003412F6"/>
    <w:rsid w:val="00344DF7"/>
    <w:rsid w:val="00344E5F"/>
    <w:rsid w:val="003503B2"/>
    <w:rsid w:val="003505FC"/>
    <w:rsid w:val="00350814"/>
    <w:rsid w:val="003534C3"/>
    <w:rsid w:val="0035393A"/>
    <w:rsid w:val="00353CD1"/>
    <w:rsid w:val="00356A62"/>
    <w:rsid w:val="00356BF7"/>
    <w:rsid w:val="00360E0C"/>
    <w:rsid w:val="003624DB"/>
    <w:rsid w:val="00362A4B"/>
    <w:rsid w:val="003640D3"/>
    <w:rsid w:val="00364411"/>
    <w:rsid w:val="0036462B"/>
    <w:rsid w:val="0036717A"/>
    <w:rsid w:val="00367937"/>
    <w:rsid w:val="003712EB"/>
    <w:rsid w:val="003729CC"/>
    <w:rsid w:val="00372B57"/>
    <w:rsid w:val="003735D4"/>
    <w:rsid w:val="003735E0"/>
    <w:rsid w:val="00373DF9"/>
    <w:rsid w:val="0037424E"/>
    <w:rsid w:val="00374B72"/>
    <w:rsid w:val="00375CEA"/>
    <w:rsid w:val="00376CB8"/>
    <w:rsid w:val="0037701C"/>
    <w:rsid w:val="00377356"/>
    <w:rsid w:val="00381736"/>
    <w:rsid w:val="00382796"/>
    <w:rsid w:val="00383EAF"/>
    <w:rsid w:val="003840BD"/>
    <w:rsid w:val="003841CA"/>
    <w:rsid w:val="00384514"/>
    <w:rsid w:val="00384996"/>
    <w:rsid w:val="00384CC9"/>
    <w:rsid w:val="00387BB9"/>
    <w:rsid w:val="00387C8B"/>
    <w:rsid w:val="00391469"/>
    <w:rsid w:val="00392427"/>
    <w:rsid w:val="003928BC"/>
    <w:rsid w:val="0039370A"/>
    <w:rsid w:val="0039407E"/>
    <w:rsid w:val="00394BEF"/>
    <w:rsid w:val="00395B68"/>
    <w:rsid w:val="00396437"/>
    <w:rsid w:val="00396D7C"/>
    <w:rsid w:val="003A035C"/>
    <w:rsid w:val="003A1594"/>
    <w:rsid w:val="003A229B"/>
    <w:rsid w:val="003A4942"/>
    <w:rsid w:val="003A632F"/>
    <w:rsid w:val="003A69BE"/>
    <w:rsid w:val="003B08CF"/>
    <w:rsid w:val="003B212A"/>
    <w:rsid w:val="003B3871"/>
    <w:rsid w:val="003B5EFD"/>
    <w:rsid w:val="003B714C"/>
    <w:rsid w:val="003C083B"/>
    <w:rsid w:val="003C314A"/>
    <w:rsid w:val="003C3DF8"/>
    <w:rsid w:val="003C3E18"/>
    <w:rsid w:val="003C4F16"/>
    <w:rsid w:val="003D0954"/>
    <w:rsid w:val="003D1FD9"/>
    <w:rsid w:val="003D292A"/>
    <w:rsid w:val="003D2A24"/>
    <w:rsid w:val="003D2A81"/>
    <w:rsid w:val="003D4A34"/>
    <w:rsid w:val="003D56AA"/>
    <w:rsid w:val="003D58DC"/>
    <w:rsid w:val="003D6281"/>
    <w:rsid w:val="003E0030"/>
    <w:rsid w:val="003E0200"/>
    <w:rsid w:val="003E0220"/>
    <w:rsid w:val="003E0847"/>
    <w:rsid w:val="003E0C0F"/>
    <w:rsid w:val="003E3186"/>
    <w:rsid w:val="003E3E5F"/>
    <w:rsid w:val="003E46D1"/>
    <w:rsid w:val="003E7798"/>
    <w:rsid w:val="003F04DD"/>
    <w:rsid w:val="003F09FC"/>
    <w:rsid w:val="003F1B20"/>
    <w:rsid w:val="003F1BC3"/>
    <w:rsid w:val="003F23C8"/>
    <w:rsid w:val="003F465F"/>
    <w:rsid w:val="004035AC"/>
    <w:rsid w:val="00406E67"/>
    <w:rsid w:val="0040756D"/>
    <w:rsid w:val="00411CE5"/>
    <w:rsid w:val="00411D84"/>
    <w:rsid w:val="00412521"/>
    <w:rsid w:val="004132BF"/>
    <w:rsid w:val="00413CFB"/>
    <w:rsid w:val="004150B7"/>
    <w:rsid w:val="0041590C"/>
    <w:rsid w:val="004163DE"/>
    <w:rsid w:val="004251A6"/>
    <w:rsid w:val="00425E73"/>
    <w:rsid w:val="004279DE"/>
    <w:rsid w:val="00427A8D"/>
    <w:rsid w:val="00431A22"/>
    <w:rsid w:val="00431AD1"/>
    <w:rsid w:val="00431F92"/>
    <w:rsid w:val="004332F3"/>
    <w:rsid w:val="00433768"/>
    <w:rsid w:val="00435065"/>
    <w:rsid w:val="00435286"/>
    <w:rsid w:val="00440D0D"/>
    <w:rsid w:val="004423D0"/>
    <w:rsid w:val="004462F7"/>
    <w:rsid w:val="00446E51"/>
    <w:rsid w:val="00447312"/>
    <w:rsid w:val="00447968"/>
    <w:rsid w:val="00447AFB"/>
    <w:rsid w:val="00452FC4"/>
    <w:rsid w:val="0045350F"/>
    <w:rsid w:val="00453D40"/>
    <w:rsid w:val="00455A99"/>
    <w:rsid w:val="00455CB3"/>
    <w:rsid w:val="00460D00"/>
    <w:rsid w:val="0046194D"/>
    <w:rsid w:val="00466857"/>
    <w:rsid w:val="00467125"/>
    <w:rsid w:val="00470730"/>
    <w:rsid w:val="00470843"/>
    <w:rsid w:val="00470E12"/>
    <w:rsid w:val="00471114"/>
    <w:rsid w:val="00471382"/>
    <w:rsid w:val="00472C0F"/>
    <w:rsid w:val="00474426"/>
    <w:rsid w:val="0047444C"/>
    <w:rsid w:val="0047449F"/>
    <w:rsid w:val="004745E2"/>
    <w:rsid w:val="004745ED"/>
    <w:rsid w:val="00474AF8"/>
    <w:rsid w:val="00475700"/>
    <w:rsid w:val="00475C50"/>
    <w:rsid w:val="00475E03"/>
    <w:rsid w:val="004764D6"/>
    <w:rsid w:val="00476E47"/>
    <w:rsid w:val="004770F5"/>
    <w:rsid w:val="0047760D"/>
    <w:rsid w:val="00477B49"/>
    <w:rsid w:val="00480295"/>
    <w:rsid w:val="00480610"/>
    <w:rsid w:val="00481416"/>
    <w:rsid w:val="0048144C"/>
    <w:rsid w:val="00491E9B"/>
    <w:rsid w:val="0049243F"/>
    <w:rsid w:val="0049284F"/>
    <w:rsid w:val="00492B9F"/>
    <w:rsid w:val="00493ADE"/>
    <w:rsid w:val="00493C05"/>
    <w:rsid w:val="00496347"/>
    <w:rsid w:val="00497C87"/>
    <w:rsid w:val="00497D09"/>
    <w:rsid w:val="004A043A"/>
    <w:rsid w:val="004A16AB"/>
    <w:rsid w:val="004A2D41"/>
    <w:rsid w:val="004A5412"/>
    <w:rsid w:val="004A57E0"/>
    <w:rsid w:val="004A629D"/>
    <w:rsid w:val="004B1732"/>
    <w:rsid w:val="004B396B"/>
    <w:rsid w:val="004B41C5"/>
    <w:rsid w:val="004B5ED3"/>
    <w:rsid w:val="004B65CF"/>
    <w:rsid w:val="004B7D5A"/>
    <w:rsid w:val="004C008D"/>
    <w:rsid w:val="004C1D03"/>
    <w:rsid w:val="004C22F8"/>
    <w:rsid w:val="004C2759"/>
    <w:rsid w:val="004C43D2"/>
    <w:rsid w:val="004C5858"/>
    <w:rsid w:val="004C5F30"/>
    <w:rsid w:val="004D0E8B"/>
    <w:rsid w:val="004D1106"/>
    <w:rsid w:val="004D13ED"/>
    <w:rsid w:val="004D1E5A"/>
    <w:rsid w:val="004D2599"/>
    <w:rsid w:val="004D378F"/>
    <w:rsid w:val="004D5B0A"/>
    <w:rsid w:val="004E054A"/>
    <w:rsid w:val="004E0659"/>
    <w:rsid w:val="004E0804"/>
    <w:rsid w:val="004E158D"/>
    <w:rsid w:val="004E22C7"/>
    <w:rsid w:val="004E2CF6"/>
    <w:rsid w:val="004E2DE2"/>
    <w:rsid w:val="004E322A"/>
    <w:rsid w:val="004E33B4"/>
    <w:rsid w:val="004E67BF"/>
    <w:rsid w:val="004E67FA"/>
    <w:rsid w:val="004E68C9"/>
    <w:rsid w:val="004E784C"/>
    <w:rsid w:val="004E7BB3"/>
    <w:rsid w:val="004E7F44"/>
    <w:rsid w:val="004F0BC3"/>
    <w:rsid w:val="004F2C06"/>
    <w:rsid w:val="004F673F"/>
    <w:rsid w:val="00500F13"/>
    <w:rsid w:val="0050147E"/>
    <w:rsid w:val="00503A47"/>
    <w:rsid w:val="00504129"/>
    <w:rsid w:val="00507B60"/>
    <w:rsid w:val="005117BF"/>
    <w:rsid w:val="00513B00"/>
    <w:rsid w:val="00514427"/>
    <w:rsid w:val="005165D8"/>
    <w:rsid w:val="00517522"/>
    <w:rsid w:val="00517C5F"/>
    <w:rsid w:val="0052010E"/>
    <w:rsid w:val="0052123A"/>
    <w:rsid w:val="00522288"/>
    <w:rsid w:val="005224CD"/>
    <w:rsid w:val="005225E5"/>
    <w:rsid w:val="00523464"/>
    <w:rsid w:val="005239FC"/>
    <w:rsid w:val="00523FDB"/>
    <w:rsid w:val="005241AD"/>
    <w:rsid w:val="005244F4"/>
    <w:rsid w:val="0052781F"/>
    <w:rsid w:val="00530004"/>
    <w:rsid w:val="00530DC9"/>
    <w:rsid w:val="005328BF"/>
    <w:rsid w:val="005328E0"/>
    <w:rsid w:val="00533515"/>
    <w:rsid w:val="005348E1"/>
    <w:rsid w:val="00536980"/>
    <w:rsid w:val="005377A9"/>
    <w:rsid w:val="005405E3"/>
    <w:rsid w:val="0054070D"/>
    <w:rsid w:val="00540B99"/>
    <w:rsid w:val="00540B9D"/>
    <w:rsid w:val="005417D5"/>
    <w:rsid w:val="00542795"/>
    <w:rsid w:val="005431BF"/>
    <w:rsid w:val="005444BC"/>
    <w:rsid w:val="0054491F"/>
    <w:rsid w:val="00544DF5"/>
    <w:rsid w:val="0054734D"/>
    <w:rsid w:val="00550B80"/>
    <w:rsid w:val="005523CE"/>
    <w:rsid w:val="00553A9C"/>
    <w:rsid w:val="00555944"/>
    <w:rsid w:val="0055658D"/>
    <w:rsid w:val="00556655"/>
    <w:rsid w:val="00557550"/>
    <w:rsid w:val="005605F5"/>
    <w:rsid w:val="00561950"/>
    <w:rsid w:val="0056225D"/>
    <w:rsid w:val="005641C1"/>
    <w:rsid w:val="00565682"/>
    <w:rsid w:val="005669F0"/>
    <w:rsid w:val="00567E42"/>
    <w:rsid w:val="005706D9"/>
    <w:rsid w:val="0057125D"/>
    <w:rsid w:val="005732F7"/>
    <w:rsid w:val="0057354B"/>
    <w:rsid w:val="005739C3"/>
    <w:rsid w:val="00573E6A"/>
    <w:rsid w:val="005748E0"/>
    <w:rsid w:val="00576B34"/>
    <w:rsid w:val="005774A7"/>
    <w:rsid w:val="00581E85"/>
    <w:rsid w:val="00582116"/>
    <w:rsid w:val="00582CB2"/>
    <w:rsid w:val="005846FE"/>
    <w:rsid w:val="00584831"/>
    <w:rsid w:val="00584D47"/>
    <w:rsid w:val="00584D94"/>
    <w:rsid w:val="005855BF"/>
    <w:rsid w:val="005859F8"/>
    <w:rsid w:val="0058716E"/>
    <w:rsid w:val="005877E2"/>
    <w:rsid w:val="00587DB6"/>
    <w:rsid w:val="005903F5"/>
    <w:rsid w:val="00592347"/>
    <w:rsid w:val="0059380C"/>
    <w:rsid w:val="00595B75"/>
    <w:rsid w:val="00597F9A"/>
    <w:rsid w:val="005A1429"/>
    <w:rsid w:val="005A35DF"/>
    <w:rsid w:val="005A609B"/>
    <w:rsid w:val="005A6E6F"/>
    <w:rsid w:val="005B106C"/>
    <w:rsid w:val="005B26A3"/>
    <w:rsid w:val="005B275F"/>
    <w:rsid w:val="005B5F24"/>
    <w:rsid w:val="005B6A74"/>
    <w:rsid w:val="005C263D"/>
    <w:rsid w:val="005C305F"/>
    <w:rsid w:val="005C5F6A"/>
    <w:rsid w:val="005D112A"/>
    <w:rsid w:val="005D2084"/>
    <w:rsid w:val="005D2B81"/>
    <w:rsid w:val="005D2BA1"/>
    <w:rsid w:val="005D57AF"/>
    <w:rsid w:val="005D6535"/>
    <w:rsid w:val="005D6B43"/>
    <w:rsid w:val="005D6DC7"/>
    <w:rsid w:val="005E0246"/>
    <w:rsid w:val="005E32CB"/>
    <w:rsid w:val="005E3905"/>
    <w:rsid w:val="005E6610"/>
    <w:rsid w:val="005E73D2"/>
    <w:rsid w:val="005E7E54"/>
    <w:rsid w:val="005F1632"/>
    <w:rsid w:val="005F1B2A"/>
    <w:rsid w:val="005F333E"/>
    <w:rsid w:val="005F390A"/>
    <w:rsid w:val="005F63CA"/>
    <w:rsid w:val="005F6919"/>
    <w:rsid w:val="0060112D"/>
    <w:rsid w:val="00602891"/>
    <w:rsid w:val="00604F16"/>
    <w:rsid w:val="00606411"/>
    <w:rsid w:val="006113C1"/>
    <w:rsid w:val="006137F4"/>
    <w:rsid w:val="006138C1"/>
    <w:rsid w:val="006146C5"/>
    <w:rsid w:val="0061660D"/>
    <w:rsid w:val="0061773F"/>
    <w:rsid w:val="00620CE9"/>
    <w:rsid w:val="00623E70"/>
    <w:rsid w:val="00624945"/>
    <w:rsid w:val="006249F4"/>
    <w:rsid w:val="0062680D"/>
    <w:rsid w:val="00641552"/>
    <w:rsid w:val="006450EC"/>
    <w:rsid w:val="006472A6"/>
    <w:rsid w:val="00647880"/>
    <w:rsid w:val="006510D4"/>
    <w:rsid w:val="0065639F"/>
    <w:rsid w:val="00657CB1"/>
    <w:rsid w:val="0066023B"/>
    <w:rsid w:val="00660CE3"/>
    <w:rsid w:val="006614CA"/>
    <w:rsid w:val="00664032"/>
    <w:rsid w:val="006642FF"/>
    <w:rsid w:val="00673652"/>
    <w:rsid w:val="00675317"/>
    <w:rsid w:val="0067594E"/>
    <w:rsid w:val="00675E03"/>
    <w:rsid w:val="00676806"/>
    <w:rsid w:val="006774E4"/>
    <w:rsid w:val="00682727"/>
    <w:rsid w:val="00687191"/>
    <w:rsid w:val="00687E84"/>
    <w:rsid w:val="00690081"/>
    <w:rsid w:val="006900BF"/>
    <w:rsid w:val="0069117F"/>
    <w:rsid w:val="00691DA1"/>
    <w:rsid w:val="006929C0"/>
    <w:rsid w:val="006948DF"/>
    <w:rsid w:val="00694EEC"/>
    <w:rsid w:val="00696404"/>
    <w:rsid w:val="00697883"/>
    <w:rsid w:val="00697C01"/>
    <w:rsid w:val="006A1DD5"/>
    <w:rsid w:val="006A1EF4"/>
    <w:rsid w:val="006A223F"/>
    <w:rsid w:val="006A4020"/>
    <w:rsid w:val="006A6E58"/>
    <w:rsid w:val="006B0022"/>
    <w:rsid w:val="006B0E5A"/>
    <w:rsid w:val="006B38B4"/>
    <w:rsid w:val="006B4EF7"/>
    <w:rsid w:val="006C1A67"/>
    <w:rsid w:val="006C4BED"/>
    <w:rsid w:val="006C593B"/>
    <w:rsid w:val="006D0C57"/>
    <w:rsid w:val="006D3AAB"/>
    <w:rsid w:val="006D51A6"/>
    <w:rsid w:val="006E1140"/>
    <w:rsid w:val="006E1365"/>
    <w:rsid w:val="006E18D8"/>
    <w:rsid w:val="006E2BBF"/>
    <w:rsid w:val="006E3150"/>
    <w:rsid w:val="006E5FB3"/>
    <w:rsid w:val="006E5FDA"/>
    <w:rsid w:val="006E6359"/>
    <w:rsid w:val="006E6C23"/>
    <w:rsid w:val="006E7917"/>
    <w:rsid w:val="006F04E9"/>
    <w:rsid w:val="006F2175"/>
    <w:rsid w:val="006F2F95"/>
    <w:rsid w:val="006F3E16"/>
    <w:rsid w:val="006F630B"/>
    <w:rsid w:val="006F7C6E"/>
    <w:rsid w:val="0070050B"/>
    <w:rsid w:val="007012E6"/>
    <w:rsid w:val="00705BCF"/>
    <w:rsid w:val="00706E1D"/>
    <w:rsid w:val="00710635"/>
    <w:rsid w:val="00711DE4"/>
    <w:rsid w:val="007123C4"/>
    <w:rsid w:val="007159E8"/>
    <w:rsid w:val="00716EC6"/>
    <w:rsid w:val="00717540"/>
    <w:rsid w:val="007202C1"/>
    <w:rsid w:val="00720AE7"/>
    <w:rsid w:val="00721DB4"/>
    <w:rsid w:val="007221FC"/>
    <w:rsid w:val="00722332"/>
    <w:rsid w:val="00723E45"/>
    <w:rsid w:val="00725BBA"/>
    <w:rsid w:val="00726AAC"/>
    <w:rsid w:val="0073125C"/>
    <w:rsid w:val="0073360F"/>
    <w:rsid w:val="00736051"/>
    <w:rsid w:val="0074085C"/>
    <w:rsid w:val="00741C13"/>
    <w:rsid w:val="0074366B"/>
    <w:rsid w:val="007437D2"/>
    <w:rsid w:val="0074500F"/>
    <w:rsid w:val="00745217"/>
    <w:rsid w:val="00746F98"/>
    <w:rsid w:val="00747739"/>
    <w:rsid w:val="00750707"/>
    <w:rsid w:val="00753BEE"/>
    <w:rsid w:val="0075586A"/>
    <w:rsid w:val="007561F1"/>
    <w:rsid w:val="00756FE2"/>
    <w:rsid w:val="00757012"/>
    <w:rsid w:val="007573A2"/>
    <w:rsid w:val="00757C7E"/>
    <w:rsid w:val="00757DAD"/>
    <w:rsid w:val="00764926"/>
    <w:rsid w:val="00764C65"/>
    <w:rsid w:val="00767B25"/>
    <w:rsid w:val="00771A04"/>
    <w:rsid w:val="0077369F"/>
    <w:rsid w:val="00773968"/>
    <w:rsid w:val="00774928"/>
    <w:rsid w:val="00774BA8"/>
    <w:rsid w:val="007750D1"/>
    <w:rsid w:val="00776176"/>
    <w:rsid w:val="00780533"/>
    <w:rsid w:val="00780C8B"/>
    <w:rsid w:val="00782A51"/>
    <w:rsid w:val="00782EBE"/>
    <w:rsid w:val="007859C5"/>
    <w:rsid w:val="007873D7"/>
    <w:rsid w:val="00790DD2"/>
    <w:rsid w:val="00791DB3"/>
    <w:rsid w:val="007927AA"/>
    <w:rsid w:val="00792DE2"/>
    <w:rsid w:val="00792E07"/>
    <w:rsid w:val="00793CAC"/>
    <w:rsid w:val="0079485E"/>
    <w:rsid w:val="00795C9D"/>
    <w:rsid w:val="00796A53"/>
    <w:rsid w:val="007A1D8D"/>
    <w:rsid w:val="007A522A"/>
    <w:rsid w:val="007A5ACD"/>
    <w:rsid w:val="007A61C6"/>
    <w:rsid w:val="007B048E"/>
    <w:rsid w:val="007B07E5"/>
    <w:rsid w:val="007B1F53"/>
    <w:rsid w:val="007B20DF"/>
    <w:rsid w:val="007B2D90"/>
    <w:rsid w:val="007B4A3D"/>
    <w:rsid w:val="007B6ADB"/>
    <w:rsid w:val="007B70CF"/>
    <w:rsid w:val="007B7EDD"/>
    <w:rsid w:val="007C0180"/>
    <w:rsid w:val="007C03C4"/>
    <w:rsid w:val="007C0F6E"/>
    <w:rsid w:val="007C131B"/>
    <w:rsid w:val="007C157C"/>
    <w:rsid w:val="007C32F2"/>
    <w:rsid w:val="007C39C0"/>
    <w:rsid w:val="007C4039"/>
    <w:rsid w:val="007C41F8"/>
    <w:rsid w:val="007C434D"/>
    <w:rsid w:val="007C4928"/>
    <w:rsid w:val="007C4BA8"/>
    <w:rsid w:val="007C5D3E"/>
    <w:rsid w:val="007C6C79"/>
    <w:rsid w:val="007C70B8"/>
    <w:rsid w:val="007C7710"/>
    <w:rsid w:val="007D07B6"/>
    <w:rsid w:val="007D0C40"/>
    <w:rsid w:val="007D1A4E"/>
    <w:rsid w:val="007D1B00"/>
    <w:rsid w:val="007D283D"/>
    <w:rsid w:val="007D2D85"/>
    <w:rsid w:val="007D30B8"/>
    <w:rsid w:val="007D34D2"/>
    <w:rsid w:val="007D48D3"/>
    <w:rsid w:val="007D6327"/>
    <w:rsid w:val="007E4281"/>
    <w:rsid w:val="007E4E49"/>
    <w:rsid w:val="007E4F85"/>
    <w:rsid w:val="007E5229"/>
    <w:rsid w:val="007E5CDC"/>
    <w:rsid w:val="007E5D75"/>
    <w:rsid w:val="007E5DBD"/>
    <w:rsid w:val="007E65EF"/>
    <w:rsid w:val="007E6C6C"/>
    <w:rsid w:val="007F0537"/>
    <w:rsid w:val="007F0CDE"/>
    <w:rsid w:val="007F1365"/>
    <w:rsid w:val="007F1A40"/>
    <w:rsid w:val="007F37AA"/>
    <w:rsid w:val="007F3B4B"/>
    <w:rsid w:val="007F450A"/>
    <w:rsid w:val="007F67D0"/>
    <w:rsid w:val="007F72D3"/>
    <w:rsid w:val="007F7FBC"/>
    <w:rsid w:val="00801186"/>
    <w:rsid w:val="0080144C"/>
    <w:rsid w:val="00801B26"/>
    <w:rsid w:val="00801C3D"/>
    <w:rsid w:val="00802CFB"/>
    <w:rsid w:val="0080520F"/>
    <w:rsid w:val="0080610D"/>
    <w:rsid w:val="00807CF6"/>
    <w:rsid w:val="008108CB"/>
    <w:rsid w:val="00816590"/>
    <w:rsid w:val="00816F5E"/>
    <w:rsid w:val="0081752C"/>
    <w:rsid w:val="00820DCE"/>
    <w:rsid w:val="00820F5C"/>
    <w:rsid w:val="00826F9E"/>
    <w:rsid w:val="008270B0"/>
    <w:rsid w:val="008318EE"/>
    <w:rsid w:val="00832159"/>
    <w:rsid w:val="00834CE0"/>
    <w:rsid w:val="00834D0B"/>
    <w:rsid w:val="00834FB2"/>
    <w:rsid w:val="00837701"/>
    <w:rsid w:val="00837F27"/>
    <w:rsid w:val="00840463"/>
    <w:rsid w:val="00841FA6"/>
    <w:rsid w:val="00842365"/>
    <w:rsid w:val="00842512"/>
    <w:rsid w:val="0084283D"/>
    <w:rsid w:val="008434B8"/>
    <w:rsid w:val="008448C4"/>
    <w:rsid w:val="00846F2B"/>
    <w:rsid w:val="0084739C"/>
    <w:rsid w:val="00850EDB"/>
    <w:rsid w:val="00852C8A"/>
    <w:rsid w:val="008549E0"/>
    <w:rsid w:val="00854EFA"/>
    <w:rsid w:val="00856DFF"/>
    <w:rsid w:val="00860088"/>
    <w:rsid w:val="00860E16"/>
    <w:rsid w:val="008627FE"/>
    <w:rsid w:val="00862812"/>
    <w:rsid w:val="00865243"/>
    <w:rsid w:val="008666B9"/>
    <w:rsid w:val="00872B22"/>
    <w:rsid w:val="00874A7D"/>
    <w:rsid w:val="00874ABB"/>
    <w:rsid w:val="00874E6F"/>
    <w:rsid w:val="00875E29"/>
    <w:rsid w:val="0088521A"/>
    <w:rsid w:val="008858C1"/>
    <w:rsid w:val="00885ECF"/>
    <w:rsid w:val="00886014"/>
    <w:rsid w:val="00887E2E"/>
    <w:rsid w:val="00890184"/>
    <w:rsid w:val="00890404"/>
    <w:rsid w:val="00890869"/>
    <w:rsid w:val="00890C43"/>
    <w:rsid w:val="00890CE3"/>
    <w:rsid w:val="00890F6C"/>
    <w:rsid w:val="00893040"/>
    <w:rsid w:val="00893C47"/>
    <w:rsid w:val="00894E1F"/>
    <w:rsid w:val="00895C64"/>
    <w:rsid w:val="00895F6F"/>
    <w:rsid w:val="0089634B"/>
    <w:rsid w:val="00897279"/>
    <w:rsid w:val="00897AD6"/>
    <w:rsid w:val="008A08AA"/>
    <w:rsid w:val="008A0BCB"/>
    <w:rsid w:val="008A146C"/>
    <w:rsid w:val="008A28C5"/>
    <w:rsid w:val="008A3219"/>
    <w:rsid w:val="008A33F5"/>
    <w:rsid w:val="008A4028"/>
    <w:rsid w:val="008A6439"/>
    <w:rsid w:val="008A6C41"/>
    <w:rsid w:val="008B06AF"/>
    <w:rsid w:val="008B1904"/>
    <w:rsid w:val="008B422F"/>
    <w:rsid w:val="008B4A84"/>
    <w:rsid w:val="008B4BC8"/>
    <w:rsid w:val="008B5028"/>
    <w:rsid w:val="008B54BE"/>
    <w:rsid w:val="008B5FFC"/>
    <w:rsid w:val="008B717A"/>
    <w:rsid w:val="008C2381"/>
    <w:rsid w:val="008C276D"/>
    <w:rsid w:val="008C30AB"/>
    <w:rsid w:val="008C360E"/>
    <w:rsid w:val="008C3CA0"/>
    <w:rsid w:val="008C3EBC"/>
    <w:rsid w:val="008C476E"/>
    <w:rsid w:val="008C6083"/>
    <w:rsid w:val="008C766B"/>
    <w:rsid w:val="008C7E8D"/>
    <w:rsid w:val="008D0504"/>
    <w:rsid w:val="008D1984"/>
    <w:rsid w:val="008D2202"/>
    <w:rsid w:val="008D57E7"/>
    <w:rsid w:val="008D5974"/>
    <w:rsid w:val="008D5FDB"/>
    <w:rsid w:val="008D7BE6"/>
    <w:rsid w:val="008E15BC"/>
    <w:rsid w:val="008E27EE"/>
    <w:rsid w:val="008E4095"/>
    <w:rsid w:val="008E41AC"/>
    <w:rsid w:val="008E597F"/>
    <w:rsid w:val="008E624B"/>
    <w:rsid w:val="008F14DB"/>
    <w:rsid w:val="008F2FE5"/>
    <w:rsid w:val="008F4994"/>
    <w:rsid w:val="008F4E99"/>
    <w:rsid w:val="008F5C53"/>
    <w:rsid w:val="008F6212"/>
    <w:rsid w:val="009059F7"/>
    <w:rsid w:val="009074EB"/>
    <w:rsid w:val="00911AD1"/>
    <w:rsid w:val="00911D51"/>
    <w:rsid w:val="00912A4B"/>
    <w:rsid w:val="0091302C"/>
    <w:rsid w:val="0091455F"/>
    <w:rsid w:val="00914CB0"/>
    <w:rsid w:val="009172D4"/>
    <w:rsid w:val="009210FF"/>
    <w:rsid w:val="0092174A"/>
    <w:rsid w:val="00921BD9"/>
    <w:rsid w:val="00922029"/>
    <w:rsid w:val="009250A4"/>
    <w:rsid w:val="00926463"/>
    <w:rsid w:val="00926BBB"/>
    <w:rsid w:val="00927D2B"/>
    <w:rsid w:val="0093022D"/>
    <w:rsid w:val="009304ED"/>
    <w:rsid w:val="00931F47"/>
    <w:rsid w:val="00932315"/>
    <w:rsid w:val="00933813"/>
    <w:rsid w:val="009362CB"/>
    <w:rsid w:val="009368DE"/>
    <w:rsid w:val="00936D0A"/>
    <w:rsid w:val="009371FE"/>
    <w:rsid w:val="009379C9"/>
    <w:rsid w:val="009404AE"/>
    <w:rsid w:val="009425E3"/>
    <w:rsid w:val="00943B36"/>
    <w:rsid w:val="0094443E"/>
    <w:rsid w:val="00945221"/>
    <w:rsid w:val="00952591"/>
    <w:rsid w:val="00952812"/>
    <w:rsid w:val="00953B40"/>
    <w:rsid w:val="00953E2B"/>
    <w:rsid w:val="00960E82"/>
    <w:rsid w:val="009610D8"/>
    <w:rsid w:val="009624B8"/>
    <w:rsid w:val="00963F7E"/>
    <w:rsid w:val="00967F77"/>
    <w:rsid w:val="00970211"/>
    <w:rsid w:val="009707AB"/>
    <w:rsid w:val="009714B0"/>
    <w:rsid w:val="00971814"/>
    <w:rsid w:val="00973F37"/>
    <w:rsid w:val="0097453C"/>
    <w:rsid w:val="00975076"/>
    <w:rsid w:val="00976E25"/>
    <w:rsid w:val="00977BC8"/>
    <w:rsid w:val="00977C90"/>
    <w:rsid w:val="0098118A"/>
    <w:rsid w:val="00982062"/>
    <w:rsid w:val="0098237C"/>
    <w:rsid w:val="00982CBD"/>
    <w:rsid w:val="00982DE2"/>
    <w:rsid w:val="00982F9F"/>
    <w:rsid w:val="00983EFD"/>
    <w:rsid w:val="00983FFD"/>
    <w:rsid w:val="00985AEC"/>
    <w:rsid w:val="00991E86"/>
    <w:rsid w:val="00992A06"/>
    <w:rsid w:val="009959F7"/>
    <w:rsid w:val="0099620C"/>
    <w:rsid w:val="0099732B"/>
    <w:rsid w:val="009A1C6A"/>
    <w:rsid w:val="009A3A17"/>
    <w:rsid w:val="009A3BC7"/>
    <w:rsid w:val="009A408E"/>
    <w:rsid w:val="009A5EAF"/>
    <w:rsid w:val="009A65C8"/>
    <w:rsid w:val="009B0538"/>
    <w:rsid w:val="009B2281"/>
    <w:rsid w:val="009B22A2"/>
    <w:rsid w:val="009B23EF"/>
    <w:rsid w:val="009B24C8"/>
    <w:rsid w:val="009B5127"/>
    <w:rsid w:val="009B744E"/>
    <w:rsid w:val="009C19A1"/>
    <w:rsid w:val="009C1D04"/>
    <w:rsid w:val="009C49EA"/>
    <w:rsid w:val="009C4B9C"/>
    <w:rsid w:val="009D0709"/>
    <w:rsid w:val="009D0B04"/>
    <w:rsid w:val="009D15AB"/>
    <w:rsid w:val="009D2048"/>
    <w:rsid w:val="009D20BA"/>
    <w:rsid w:val="009D21FE"/>
    <w:rsid w:val="009D246D"/>
    <w:rsid w:val="009D332E"/>
    <w:rsid w:val="009D3BFF"/>
    <w:rsid w:val="009D3DD0"/>
    <w:rsid w:val="009D4F41"/>
    <w:rsid w:val="009D51A3"/>
    <w:rsid w:val="009D5B57"/>
    <w:rsid w:val="009D7EF5"/>
    <w:rsid w:val="009E1398"/>
    <w:rsid w:val="009E1A15"/>
    <w:rsid w:val="009E1D53"/>
    <w:rsid w:val="009E2187"/>
    <w:rsid w:val="009E2785"/>
    <w:rsid w:val="009E31C0"/>
    <w:rsid w:val="009E32D2"/>
    <w:rsid w:val="009E370D"/>
    <w:rsid w:val="009E3EEB"/>
    <w:rsid w:val="009E4230"/>
    <w:rsid w:val="009E5738"/>
    <w:rsid w:val="009E6AD2"/>
    <w:rsid w:val="009F0C3C"/>
    <w:rsid w:val="009F1E03"/>
    <w:rsid w:val="009F1EA3"/>
    <w:rsid w:val="009F1F3B"/>
    <w:rsid w:val="009F25E0"/>
    <w:rsid w:val="009F43D2"/>
    <w:rsid w:val="009F4922"/>
    <w:rsid w:val="009F7BCA"/>
    <w:rsid w:val="00A00232"/>
    <w:rsid w:val="00A012D2"/>
    <w:rsid w:val="00A03198"/>
    <w:rsid w:val="00A0607A"/>
    <w:rsid w:val="00A06722"/>
    <w:rsid w:val="00A072B2"/>
    <w:rsid w:val="00A078C5"/>
    <w:rsid w:val="00A07AF2"/>
    <w:rsid w:val="00A116B7"/>
    <w:rsid w:val="00A12682"/>
    <w:rsid w:val="00A12A72"/>
    <w:rsid w:val="00A156C8"/>
    <w:rsid w:val="00A15CCF"/>
    <w:rsid w:val="00A16253"/>
    <w:rsid w:val="00A16D40"/>
    <w:rsid w:val="00A17CF0"/>
    <w:rsid w:val="00A20741"/>
    <w:rsid w:val="00A2171A"/>
    <w:rsid w:val="00A225FB"/>
    <w:rsid w:val="00A2331C"/>
    <w:rsid w:val="00A23C3A"/>
    <w:rsid w:val="00A248CF"/>
    <w:rsid w:val="00A265A9"/>
    <w:rsid w:val="00A30D15"/>
    <w:rsid w:val="00A32BCF"/>
    <w:rsid w:val="00A33C25"/>
    <w:rsid w:val="00A35712"/>
    <w:rsid w:val="00A35AC0"/>
    <w:rsid w:val="00A35B61"/>
    <w:rsid w:val="00A375B5"/>
    <w:rsid w:val="00A40527"/>
    <w:rsid w:val="00A40CB9"/>
    <w:rsid w:val="00A4121C"/>
    <w:rsid w:val="00A41811"/>
    <w:rsid w:val="00A43A11"/>
    <w:rsid w:val="00A43A6E"/>
    <w:rsid w:val="00A43FCD"/>
    <w:rsid w:val="00A44132"/>
    <w:rsid w:val="00A45424"/>
    <w:rsid w:val="00A47344"/>
    <w:rsid w:val="00A50204"/>
    <w:rsid w:val="00A51BD5"/>
    <w:rsid w:val="00A5477A"/>
    <w:rsid w:val="00A5551D"/>
    <w:rsid w:val="00A557A8"/>
    <w:rsid w:val="00A56F6D"/>
    <w:rsid w:val="00A57438"/>
    <w:rsid w:val="00A60009"/>
    <w:rsid w:val="00A65D8F"/>
    <w:rsid w:val="00A66932"/>
    <w:rsid w:val="00A66B10"/>
    <w:rsid w:val="00A6740E"/>
    <w:rsid w:val="00A67BE3"/>
    <w:rsid w:val="00A703A4"/>
    <w:rsid w:val="00A7053C"/>
    <w:rsid w:val="00A70979"/>
    <w:rsid w:val="00A724DA"/>
    <w:rsid w:val="00A72F87"/>
    <w:rsid w:val="00A751E7"/>
    <w:rsid w:val="00A75414"/>
    <w:rsid w:val="00A76FC0"/>
    <w:rsid w:val="00A77F36"/>
    <w:rsid w:val="00A77FA5"/>
    <w:rsid w:val="00A8013F"/>
    <w:rsid w:val="00A80DEB"/>
    <w:rsid w:val="00A80E3B"/>
    <w:rsid w:val="00A827A7"/>
    <w:rsid w:val="00A84560"/>
    <w:rsid w:val="00A84EB2"/>
    <w:rsid w:val="00A85E87"/>
    <w:rsid w:val="00A87522"/>
    <w:rsid w:val="00A934E5"/>
    <w:rsid w:val="00A9457D"/>
    <w:rsid w:val="00A955C0"/>
    <w:rsid w:val="00A95970"/>
    <w:rsid w:val="00A96974"/>
    <w:rsid w:val="00A96CA3"/>
    <w:rsid w:val="00AA1EBE"/>
    <w:rsid w:val="00AA229D"/>
    <w:rsid w:val="00AA3686"/>
    <w:rsid w:val="00AA3C84"/>
    <w:rsid w:val="00AA4825"/>
    <w:rsid w:val="00AA4D7F"/>
    <w:rsid w:val="00AB0D98"/>
    <w:rsid w:val="00AB377F"/>
    <w:rsid w:val="00AC01F3"/>
    <w:rsid w:val="00AC07B8"/>
    <w:rsid w:val="00AC252C"/>
    <w:rsid w:val="00AC2C4F"/>
    <w:rsid w:val="00AC4BAC"/>
    <w:rsid w:val="00AC5DE9"/>
    <w:rsid w:val="00AC64B2"/>
    <w:rsid w:val="00AC6537"/>
    <w:rsid w:val="00AD06D8"/>
    <w:rsid w:val="00AD1D25"/>
    <w:rsid w:val="00AD2EDC"/>
    <w:rsid w:val="00AD324B"/>
    <w:rsid w:val="00AD3DFC"/>
    <w:rsid w:val="00AD47DF"/>
    <w:rsid w:val="00AD5899"/>
    <w:rsid w:val="00AD676F"/>
    <w:rsid w:val="00AD70A3"/>
    <w:rsid w:val="00AE02A6"/>
    <w:rsid w:val="00AE1321"/>
    <w:rsid w:val="00AE295A"/>
    <w:rsid w:val="00AE6552"/>
    <w:rsid w:val="00AE762A"/>
    <w:rsid w:val="00AF02FA"/>
    <w:rsid w:val="00AF0D3D"/>
    <w:rsid w:val="00AF3851"/>
    <w:rsid w:val="00AF496D"/>
    <w:rsid w:val="00AF56B1"/>
    <w:rsid w:val="00AF679F"/>
    <w:rsid w:val="00AF7032"/>
    <w:rsid w:val="00B01780"/>
    <w:rsid w:val="00B05681"/>
    <w:rsid w:val="00B0742B"/>
    <w:rsid w:val="00B078EA"/>
    <w:rsid w:val="00B12E28"/>
    <w:rsid w:val="00B1320E"/>
    <w:rsid w:val="00B1421B"/>
    <w:rsid w:val="00B154E8"/>
    <w:rsid w:val="00B20DDA"/>
    <w:rsid w:val="00B22714"/>
    <w:rsid w:val="00B23597"/>
    <w:rsid w:val="00B239AD"/>
    <w:rsid w:val="00B306B7"/>
    <w:rsid w:val="00B32240"/>
    <w:rsid w:val="00B33E17"/>
    <w:rsid w:val="00B34768"/>
    <w:rsid w:val="00B34B2D"/>
    <w:rsid w:val="00B350D7"/>
    <w:rsid w:val="00B35455"/>
    <w:rsid w:val="00B36CAD"/>
    <w:rsid w:val="00B377B0"/>
    <w:rsid w:val="00B406BC"/>
    <w:rsid w:val="00B40795"/>
    <w:rsid w:val="00B40DD6"/>
    <w:rsid w:val="00B42B80"/>
    <w:rsid w:val="00B42DF5"/>
    <w:rsid w:val="00B44DA1"/>
    <w:rsid w:val="00B44E6F"/>
    <w:rsid w:val="00B460AD"/>
    <w:rsid w:val="00B50FE3"/>
    <w:rsid w:val="00B5247D"/>
    <w:rsid w:val="00B5289A"/>
    <w:rsid w:val="00B53406"/>
    <w:rsid w:val="00B541BB"/>
    <w:rsid w:val="00B563B4"/>
    <w:rsid w:val="00B606CA"/>
    <w:rsid w:val="00B618E9"/>
    <w:rsid w:val="00B621E4"/>
    <w:rsid w:val="00B62ABC"/>
    <w:rsid w:val="00B63DA1"/>
    <w:rsid w:val="00B63DBC"/>
    <w:rsid w:val="00B67DB6"/>
    <w:rsid w:val="00B70DA4"/>
    <w:rsid w:val="00B71E65"/>
    <w:rsid w:val="00B73827"/>
    <w:rsid w:val="00B74957"/>
    <w:rsid w:val="00B75226"/>
    <w:rsid w:val="00B757FD"/>
    <w:rsid w:val="00B76928"/>
    <w:rsid w:val="00B779B0"/>
    <w:rsid w:val="00B802EA"/>
    <w:rsid w:val="00B802F9"/>
    <w:rsid w:val="00B808E3"/>
    <w:rsid w:val="00B822BE"/>
    <w:rsid w:val="00B82550"/>
    <w:rsid w:val="00B84555"/>
    <w:rsid w:val="00B85531"/>
    <w:rsid w:val="00B86F8C"/>
    <w:rsid w:val="00B87027"/>
    <w:rsid w:val="00B9003C"/>
    <w:rsid w:val="00B90892"/>
    <w:rsid w:val="00B91A26"/>
    <w:rsid w:val="00B949D4"/>
    <w:rsid w:val="00B94EF2"/>
    <w:rsid w:val="00B95A5F"/>
    <w:rsid w:val="00B97280"/>
    <w:rsid w:val="00B974AC"/>
    <w:rsid w:val="00B97CC7"/>
    <w:rsid w:val="00BA0973"/>
    <w:rsid w:val="00BA103F"/>
    <w:rsid w:val="00BA1DE4"/>
    <w:rsid w:val="00BA590B"/>
    <w:rsid w:val="00BA64FD"/>
    <w:rsid w:val="00BA68EF"/>
    <w:rsid w:val="00BA74C4"/>
    <w:rsid w:val="00BB0618"/>
    <w:rsid w:val="00BB106D"/>
    <w:rsid w:val="00BB1F1A"/>
    <w:rsid w:val="00BB24C8"/>
    <w:rsid w:val="00BB2524"/>
    <w:rsid w:val="00BB297E"/>
    <w:rsid w:val="00BB2C28"/>
    <w:rsid w:val="00BB65A3"/>
    <w:rsid w:val="00BB6D33"/>
    <w:rsid w:val="00BB6EFB"/>
    <w:rsid w:val="00BB7147"/>
    <w:rsid w:val="00BB771F"/>
    <w:rsid w:val="00BB7C99"/>
    <w:rsid w:val="00BC005D"/>
    <w:rsid w:val="00BC0C8D"/>
    <w:rsid w:val="00BC0D04"/>
    <w:rsid w:val="00BC2098"/>
    <w:rsid w:val="00BC4C7A"/>
    <w:rsid w:val="00BC602E"/>
    <w:rsid w:val="00BC683A"/>
    <w:rsid w:val="00BC701B"/>
    <w:rsid w:val="00BC7BBE"/>
    <w:rsid w:val="00BC7E33"/>
    <w:rsid w:val="00BC7F44"/>
    <w:rsid w:val="00BD141C"/>
    <w:rsid w:val="00BD6FF9"/>
    <w:rsid w:val="00BE0B6B"/>
    <w:rsid w:val="00BE522E"/>
    <w:rsid w:val="00BE6464"/>
    <w:rsid w:val="00BE6A10"/>
    <w:rsid w:val="00BE78E5"/>
    <w:rsid w:val="00BE7CB5"/>
    <w:rsid w:val="00BF1229"/>
    <w:rsid w:val="00BF1876"/>
    <w:rsid w:val="00BF2CED"/>
    <w:rsid w:val="00BF3692"/>
    <w:rsid w:val="00BF3E6D"/>
    <w:rsid w:val="00BF4803"/>
    <w:rsid w:val="00BF63A9"/>
    <w:rsid w:val="00C017A3"/>
    <w:rsid w:val="00C01801"/>
    <w:rsid w:val="00C01899"/>
    <w:rsid w:val="00C019FF"/>
    <w:rsid w:val="00C035CD"/>
    <w:rsid w:val="00C05013"/>
    <w:rsid w:val="00C06668"/>
    <w:rsid w:val="00C07FE9"/>
    <w:rsid w:val="00C10730"/>
    <w:rsid w:val="00C12168"/>
    <w:rsid w:val="00C1411B"/>
    <w:rsid w:val="00C16AFE"/>
    <w:rsid w:val="00C16E66"/>
    <w:rsid w:val="00C205BF"/>
    <w:rsid w:val="00C22D1B"/>
    <w:rsid w:val="00C248B3"/>
    <w:rsid w:val="00C248D7"/>
    <w:rsid w:val="00C26ACB"/>
    <w:rsid w:val="00C27726"/>
    <w:rsid w:val="00C27F4F"/>
    <w:rsid w:val="00C30526"/>
    <w:rsid w:val="00C30EE9"/>
    <w:rsid w:val="00C3173E"/>
    <w:rsid w:val="00C31F17"/>
    <w:rsid w:val="00C32F59"/>
    <w:rsid w:val="00C36129"/>
    <w:rsid w:val="00C373CF"/>
    <w:rsid w:val="00C37769"/>
    <w:rsid w:val="00C37DE5"/>
    <w:rsid w:val="00C41016"/>
    <w:rsid w:val="00C4180F"/>
    <w:rsid w:val="00C425DD"/>
    <w:rsid w:val="00C42FC4"/>
    <w:rsid w:val="00C4498D"/>
    <w:rsid w:val="00C44C31"/>
    <w:rsid w:val="00C46A0F"/>
    <w:rsid w:val="00C5383E"/>
    <w:rsid w:val="00C540F9"/>
    <w:rsid w:val="00C54A62"/>
    <w:rsid w:val="00C54D1A"/>
    <w:rsid w:val="00C607A6"/>
    <w:rsid w:val="00C60B40"/>
    <w:rsid w:val="00C612D3"/>
    <w:rsid w:val="00C630EC"/>
    <w:rsid w:val="00C657B2"/>
    <w:rsid w:val="00C65D48"/>
    <w:rsid w:val="00C7073C"/>
    <w:rsid w:val="00C71AE3"/>
    <w:rsid w:val="00C71D2B"/>
    <w:rsid w:val="00C726BD"/>
    <w:rsid w:val="00C730B0"/>
    <w:rsid w:val="00C73800"/>
    <w:rsid w:val="00C75746"/>
    <w:rsid w:val="00C76309"/>
    <w:rsid w:val="00C7641E"/>
    <w:rsid w:val="00C769D1"/>
    <w:rsid w:val="00C77472"/>
    <w:rsid w:val="00C77865"/>
    <w:rsid w:val="00C77AE2"/>
    <w:rsid w:val="00C81584"/>
    <w:rsid w:val="00C84990"/>
    <w:rsid w:val="00C84D46"/>
    <w:rsid w:val="00C84F54"/>
    <w:rsid w:val="00C8556F"/>
    <w:rsid w:val="00C85961"/>
    <w:rsid w:val="00C85B57"/>
    <w:rsid w:val="00C86703"/>
    <w:rsid w:val="00C87E7E"/>
    <w:rsid w:val="00C90767"/>
    <w:rsid w:val="00C914A5"/>
    <w:rsid w:val="00C9364E"/>
    <w:rsid w:val="00C94E6D"/>
    <w:rsid w:val="00CA1790"/>
    <w:rsid w:val="00CA23A8"/>
    <w:rsid w:val="00CA2647"/>
    <w:rsid w:val="00CA2BBE"/>
    <w:rsid w:val="00CA3175"/>
    <w:rsid w:val="00CA3816"/>
    <w:rsid w:val="00CA3B5C"/>
    <w:rsid w:val="00CA4F35"/>
    <w:rsid w:val="00CB1318"/>
    <w:rsid w:val="00CB27FA"/>
    <w:rsid w:val="00CB2977"/>
    <w:rsid w:val="00CB29B8"/>
    <w:rsid w:val="00CB2E14"/>
    <w:rsid w:val="00CB3AFE"/>
    <w:rsid w:val="00CB6A4A"/>
    <w:rsid w:val="00CB6DE3"/>
    <w:rsid w:val="00CC076C"/>
    <w:rsid w:val="00CC09E0"/>
    <w:rsid w:val="00CC2C54"/>
    <w:rsid w:val="00CC3B25"/>
    <w:rsid w:val="00CC553B"/>
    <w:rsid w:val="00CC5FED"/>
    <w:rsid w:val="00CC6AFA"/>
    <w:rsid w:val="00CC7E2C"/>
    <w:rsid w:val="00CD00C2"/>
    <w:rsid w:val="00CD0E05"/>
    <w:rsid w:val="00CD1438"/>
    <w:rsid w:val="00CD2E73"/>
    <w:rsid w:val="00CD7610"/>
    <w:rsid w:val="00CE00ED"/>
    <w:rsid w:val="00CE0DE9"/>
    <w:rsid w:val="00CE0EEB"/>
    <w:rsid w:val="00CE15AD"/>
    <w:rsid w:val="00CE36FC"/>
    <w:rsid w:val="00CE4915"/>
    <w:rsid w:val="00CE781C"/>
    <w:rsid w:val="00CF1F08"/>
    <w:rsid w:val="00CF2316"/>
    <w:rsid w:val="00CF23B1"/>
    <w:rsid w:val="00CF2DAC"/>
    <w:rsid w:val="00CF5B23"/>
    <w:rsid w:val="00CF67BB"/>
    <w:rsid w:val="00D0050C"/>
    <w:rsid w:val="00D02B27"/>
    <w:rsid w:val="00D034FA"/>
    <w:rsid w:val="00D03A05"/>
    <w:rsid w:val="00D044FA"/>
    <w:rsid w:val="00D048DA"/>
    <w:rsid w:val="00D053A6"/>
    <w:rsid w:val="00D11682"/>
    <w:rsid w:val="00D17B1E"/>
    <w:rsid w:val="00D17D1A"/>
    <w:rsid w:val="00D205B2"/>
    <w:rsid w:val="00D22267"/>
    <w:rsid w:val="00D238A3"/>
    <w:rsid w:val="00D23D63"/>
    <w:rsid w:val="00D2493A"/>
    <w:rsid w:val="00D24E4C"/>
    <w:rsid w:val="00D24FB8"/>
    <w:rsid w:val="00D25AC3"/>
    <w:rsid w:val="00D26E9F"/>
    <w:rsid w:val="00D27EFD"/>
    <w:rsid w:val="00D33861"/>
    <w:rsid w:val="00D3459A"/>
    <w:rsid w:val="00D34686"/>
    <w:rsid w:val="00D34BF5"/>
    <w:rsid w:val="00D34F38"/>
    <w:rsid w:val="00D352A8"/>
    <w:rsid w:val="00D35ED0"/>
    <w:rsid w:val="00D37533"/>
    <w:rsid w:val="00D378A0"/>
    <w:rsid w:val="00D37E68"/>
    <w:rsid w:val="00D4048E"/>
    <w:rsid w:val="00D41828"/>
    <w:rsid w:val="00D42DA8"/>
    <w:rsid w:val="00D43B3E"/>
    <w:rsid w:val="00D44593"/>
    <w:rsid w:val="00D449EE"/>
    <w:rsid w:val="00D45E13"/>
    <w:rsid w:val="00D47595"/>
    <w:rsid w:val="00D50AB4"/>
    <w:rsid w:val="00D50D9B"/>
    <w:rsid w:val="00D5105B"/>
    <w:rsid w:val="00D52530"/>
    <w:rsid w:val="00D52E17"/>
    <w:rsid w:val="00D53EAA"/>
    <w:rsid w:val="00D54B9D"/>
    <w:rsid w:val="00D57295"/>
    <w:rsid w:val="00D572DB"/>
    <w:rsid w:val="00D57688"/>
    <w:rsid w:val="00D579B8"/>
    <w:rsid w:val="00D57B14"/>
    <w:rsid w:val="00D60E12"/>
    <w:rsid w:val="00D61229"/>
    <w:rsid w:val="00D627B3"/>
    <w:rsid w:val="00D661BB"/>
    <w:rsid w:val="00D71740"/>
    <w:rsid w:val="00D717E6"/>
    <w:rsid w:val="00D728D7"/>
    <w:rsid w:val="00D72FB5"/>
    <w:rsid w:val="00D7300E"/>
    <w:rsid w:val="00D74142"/>
    <w:rsid w:val="00D77173"/>
    <w:rsid w:val="00D779CB"/>
    <w:rsid w:val="00D80EBE"/>
    <w:rsid w:val="00D815AE"/>
    <w:rsid w:val="00D8171C"/>
    <w:rsid w:val="00D8199F"/>
    <w:rsid w:val="00D846A6"/>
    <w:rsid w:val="00D87E0E"/>
    <w:rsid w:val="00D945BF"/>
    <w:rsid w:val="00D94B3B"/>
    <w:rsid w:val="00D962EF"/>
    <w:rsid w:val="00D973D5"/>
    <w:rsid w:val="00D97B92"/>
    <w:rsid w:val="00DB2515"/>
    <w:rsid w:val="00DB3CF8"/>
    <w:rsid w:val="00DC103D"/>
    <w:rsid w:val="00DC26E9"/>
    <w:rsid w:val="00DC66D5"/>
    <w:rsid w:val="00DC70A8"/>
    <w:rsid w:val="00DC7B63"/>
    <w:rsid w:val="00DC7E65"/>
    <w:rsid w:val="00DD0229"/>
    <w:rsid w:val="00DD0397"/>
    <w:rsid w:val="00DD1627"/>
    <w:rsid w:val="00DD2961"/>
    <w:rsid w:val="00DD2DE1"/>
    <w:rsid w:val="00DD40A5"/>
    <w:rsid w:val="00DD5349"/>
    <w:rsid w:val="00DD72AE"/>
    <w:rsid w:val="00DD74A5"/>
    <w:rsid w:val="00DE03DF"/>
    <w:rsid w:val="00DE2140"/>
    <w:rsid w:val="00DE2E60"/>
    <w:rsid w:val="00DE40DD"/>
    <w:rsid w:val="00DE4B2A"/>
    <w:rsid w:val="00DE7304"/>
    <w:rsid w:val="00DF0061"/>
    <w:rsid w:val="00DF0299"/>
    <w:rsid w:val="00DF0D4D"/>
    <w:rsid w:val="00DF3A7A"/>
    <w:rsid w:val="00DF6DA3"/>
    <w:rsid w:val="00E031F5"/>
    <w:rsid w:val="00E051AD"/>
    <w:rsid w:val="00E06662"/>
    <w:rsid w:val="00E07DF8"/>
    <w:rsid w:val="00E13C24"/>
    <w:rsid w:val="00E15441"/>
    <w:rsid w:val="00E15DAD"/>
    <w:rsid w:val="00E16813"/>
    <w:rsid w:val="00E1732C"/>
    <w:rsid w:val="00E17A1E"/>
    <w:rsid w:val="00E20AB3"/>
    <w:rsid w:val="00E21BAC"/>
    <w:rsid w:val="00E24C85"/>
    <w:rsid w:val="00E25831"/>
    <w:rsid w:val="00E2612B"/>
    <w:rsid w:val="00E26BF9"/>
    <w:rsid w:val="00E26E9E"/>
    <w:rsid w:val="00E306F1"/>
    <w:rsid w:val="00E3096E"/>
    <w:rsid w:val="00E319E0"/>
    <w:rsid w:val="00E32798"/>
    <w:rsid w:val="00E343EB"/>
    <w:rsid w:val="00E345F1"/>
    <w:rsid w:val="00E349CF"/>
    <w:rsid w:val="00E3594F"/>
    <w:rsid w:val="00E35F51"/>
    <w:rsid w:val="00E4027A"/>
    <w:rsid w:val="00E41702"/>
    <w:rsid w:val="00E42BBB"/>
    <w:rsid w:val="00E47627"/>
    <w:rsid w:val="00E530F9"/>
    <w:rsid w:val="00E5373F"/>
    <w:rsid w:val="00E537A0"/>
    <w:rsid w:val="00E538BB"/>
    <w:rsid w:val="00E54C76"/>
    <w:rsid w:val="00E5599F"/>
    <w:rsid w:val="00E55FF6"/>
    <w:rsid w:val="00E56AF8"/>
    <w:rsid w:val="00E57233"/>
    <w:rsid w:val="00E6286F"/>
    <w:rsid w:val="00E63DB8"/>
    <w:rsid w:val="00E64255"/>
    <w:rsid w:val="00E64D97"/>
    <w:rsid w:val="00E6530D"/>
    <w:rsid w:val="00E653B8"/>
    <w:rsid w:val="00E66182"/>
    <w:rsid w:val="00E66A0A"/>
    <w:rsid w:val="00E675A5"/>
    <w:rsid w:val="00E70562"/>
    <w:rsid w:val="00E73372"/>
    <w:rsid w:val="00E73C77"/>
    <w:rsid w:val="00E75D10"/>
    <w:rsid w:val="00E76D2A"/>
    <w:rsid w:val="00E77162"/>
    <w:rsid w:val="00E77CEE"/>
    <w:rsid w:val="00E80574"/>
    <w:rsid w:val="00E83CC8"/>
    <w:rsid w:val="00E859E0"/>
    <w:rsid w:val="00E85BD0"/>
    <w:rsid w:val="00E861CE"/>
    <w:rsid w:val="00E862EB"/>
    <w:rsid w:val="00E86330"/>
    <w:rsid w:val="00E868CA"/>
    <w:rsid w:val="00E86C27"/>
    <w:rsid w:val="00E87435"/>
    <w:rsid w:val="00E92439"/>
    <w:rsid w:val="00E94E80"/>
    <w:rsid w:val="00E9501E"/>
    <w:rsid w:val="00E95CE9"/>
    <w:rsid w:val="00EA080F"/>
    <w:rsid w:val="00EA1265"/>
    <w:rsid w:val="00EA2BF0"/>
    <w:rsid w:val="00EA2E40"/>
    <w:rsid w:val="00EA3FFA"/>
    <w:rsid w:val="00EA4386"/>
    <w:rsid w:val="00EA71EE"/>
    <w:rsid w:val="00EB05FA"/>
    <w:rsid w:val="00EB0A7B"/>
    <w:rsid w:val="00EB114E"/>
    <w:rsid w:val="00EB2B20"/>
    <w:rsid w:val="00EB3B8D"/>
    <w:rsid w:val="00EB4DEB"/>
    <w:rsid w:val="00EB6501"/>
    <w:rsid w:val="00EC041A"/>
    <w:rsid w:val="00EC213C"/>
    <w:rsid w:val="00EC3469"/>
    <w:rsid w:val="00EC4036"/>
    <w:rsid w:val="00EC7DBC"/>
    <w:rsid w:val="00ED1EEA"/>
    <w:rsid w:val="00ED5139"/>
    <w:rsid w:val="00EE01D8"/>
    <w:rsid w:val="00EE183D"/>
    <w:rsid w:val="00EE1B40"/>
    <w:rsid w:val="00EE291A"/>
    <w:rsid w:val="00EE2C20"/>
    <w:rsid w:val="00EE413D"/>
    <w:rsid w:val="00EE4FA7"/>
    <w:rsid w:val="00EE5850"/>
    <w:rsid w:val="00EF0561"/>
    <w:rsid w:val="00EF0A80"/>
    <w:rsid w:val="00EF105D"/>
    <w:rsid w:val="00EF191F"/>
    <w:rsid w:val="00EF2033"/>
    <w:rsid w:val="00EF252B"/>
    <w:rsid w:val="00EF4657"/>
    <w:rsid w:val="00EF5353"/>
    <w:rsid w:val="00EF658B"/>
    <w:rsid w:val="00EF783C"/>
    <w:rsid w:val="00F00F44"/>
    <w:rsid w:val="00F013FA"/>
    <w:rsid w:val="00F020A3"/>
    <w:rsid w:val="00F02BB4"/>
    <w:rsid w:val="00F031A4"/>
    <w:rsid w:val="00F03CEC"/>
    <w:rsid w:val="00F041A2"/>
    <w:rsid w:val="00F107C1"/>
    <w:rsid w:val="00F11B2B"/>
    <w:rsid w:val="00F126B8"/>
    <w:rsid w:val="00F13359"/>
    <w:rsid w:val="00F13E45"/>
    <w:rsid w:val="00F16DA3"/>
    <w:rsid w:val="00F20099"/>
    <w:rsid w:val="00F2183F"/>
    <w:rsid w:val="00F241EF"/>
    <w:rsid w:val="00F262D7"/>
    <w:rsid w:val="00F27D44"/>
    <w:rsid w:val="00F30369"/>
    <w:rsid w:val="00F3039B"/>
    <w:rsid w:val="00F305BA"/>
    <w:rsid w:val="00F36703"/>
    <w:rsid w:val="00F36BA2"/>
    <w:rsid w:val="00F36F38"/>
    <w:rsid w:val="00F3700D"/>
    <w:rsid w:val="00F37770"/>
    <w:rsid w:val="00F42384"/>
    <w:rsid w:val="00F429BB"/>
    <w:rsid w:val="00F42A76"/>
    <w:rsid w:val="00F4643C"/>
    <w:rsid w:val="00F47197"/>
    <w:rsid w:val="00F517A9"/>
    <w:rsid w:val="00F53705"/>
    <w:rsid w:val="00F540FA"/>
    <w:rsid w:val="00F5643C"/>
    <w:rsid w:val="00F60C24"/>
    <w:rsid w:val="00F6274A"/>
    <w:rsid w:val="00F62CF2"/>
    <w:rsid w:val="00F6494A"/>
    <w:rsid w:val="00F65D0E"/>
    <w:rsid w:val="00F7144A"/>
    <w:rsid w:val="00F74AC6"/>
    <w:rsid w:val="00F7691E"/>
    <w:rsid w:val="00F76D18"/>
    <w:rsid w:val="00F83776"/>
    <w:rsid w:val="00F86FCC"/>
    <w:rsid w:val="00F90433"/>
    <w:rsid w:val="00F91ACD"/>
    <w:rsid w:val="00F91D27"/>
    <w:rsid w:val="00F91EBB"/>
    <w:rsid w:val="00F931EF"/>
    <w:rsid w:val="00F94B75"/>
    <w:rsid w:val="00F951EE"/>
    <w:rsid w:val="00F95EAF"/>
    <w:rsid w:val="00F970E4"/>
    <w:rsid w:val="00FA0890"/>
    <w:rsid w:val="00FA30E7"/>
    <w:rsid w:val="00FA36E9"/>
    <w:rsid w:val="00FA4277"/>
    <w:rsid w:val="00FA557A"/>
    <w:rsid w:val="00FA5DC5"/>
    <w:rsid w:val="00FA5DDA"/>
    <w:rsid w:val="00FA6A19"/>
    <w:rsid w:val="00FA731C"/>
    <w:rsid w:val="00FB1B8D"/>
    <w:rsid w:val="00FB6C63"/>
    <w:rsid w:val="00FC05C6"/>
    <w:rsid w:val="00FC24DE"/>
    <w:rsid w:val="00FC42FA"/>
    <w:rsid w:val="00FC494B"/>
    <w:rsid w:val="00FC5C92"/>
    <w:rsid w:val="00FC5EEB"/>
    <w:rsid w:val="00FC605E"/>
    <w:rsid w:val="00FC7733"/>
    <w:rsid w:val="00FD152D"/>
    <w:rsid w:val="00FD323C"/>
    <w:rsid w:val="00FD3512"/>
    <w:rsid w:val="00FD4F13"/>
    <w:rsid w:val="00FD6EFA"/>
    <w:rsid w:val="00FE06AD"/>
    <w:rsid w:val="00FE25BC"/>
    <w:rsid w:val="00FE2F18"/>
    <w:rsid w:val="00FE31FB"/>
    <w:rsid w:val="00FE3874"/>
    <w:rsid w:val="00FE3B2E"/>
    <w:rsid w:val="00FE5336"/>
    <w:rsid w:val="00FE61EB"/>
    <w:rsid w:val="00FE6C9C"/>
    <w:rsid w:val="00FE6DD6"/>
    <w:rsid w:val="00FE768A"/>
    <w:rsid w:val="00FF0C5A"/>
    <w:rsid w:val="00FF0DB0"/>
    <w:rsid w:val="00FF13FC"/>
    <w:rsid w:val="00FF1ACA"/>
    <w:rsid w:val="00FF41DE"/>
    <w:rsid w:val="00FF52B2"/>
    <w:rsid w:val="00FF7304"/>
    <w:rsid w:val="012A3CE6"/>
    <w:rsid w:val="0159716B"/>
    <w:rsid w:val="016539DF"/>
    <w:rsid w:val="01745EE6"/>
    <w:rsid w:val="01FE4437"/>
    <w:rsid w:val="02A91B01"/>
    <w:rsid w:val="02F646C8"/>
    <w:rsid w:val="03C814FD"/>
    <w:rsid w:val="0417467E"/>
    <w:rsid w:val="041B6087"/>
    <w:rsid w:val="041F4312"/>
    <w:rsid w:val="042D79C2"/>
    <w:rsid w:val="043C03B6"/>
    <w:rsid w:val="0444340A"/>
    <w:rsid w:val="05114CBF"/>
    <w:rsid w:val="051270D7"/>
    <w:rsid w:val="05894266"/>
    <w:rsid w:val="05C5666D"/>
    <w:rsid w:val="06107714"/>
    <w:rsid w:val="062446D5"/>
    <w:rsid w:val="064B3BE4"/>
    <w:rsid w:val="06664D75"/>
    <w:rsid w:val="06B258F2"/>
    <w:rsid w:val="06E14F8A"/>
    <w:rsid w:val="06F10BAA"/>
    <w:rsid w:val="073A6BC6"/>
    <w:rsid w:val="07782CB2"/>
    <w:rsid w:val="079006E8"/>
    <w:rsid w:val="07A4303C"/>
    <w:rsid w:val="07C83718"/>
    <w:rsid w:val="07CA08DA"/>
    <w:rsid w:val="086B023F"/>
    <w:rsid w:val="088929EC"/>
    <w:rsid w:val="090148AB"/>
    <w:rsid w:val="09AF4E06"/>
    <w:rsid w:val="09C23FE3"/>
    <w:rsid w:val="0A2328C0"/>
    <w:rsid w:val="0A242FFF"/>
    <w:rsid w:val="0AC47253"/>
    <w:rsid w:val="0ACF19BE"/>
    <w:rsid w:val="0ADC1D1C"/>
    <w:rsid w:val="0AF14F38"/>
    <w:rsid w:val="0AF5493A"/>
    <w:rsid w:val="0B0B3A12"/>
    <w:rsid w:val="0B1B457B"/>
    <w:rsid w:val="0B6D6DD0"/>
    <w:rsid w:val="0B8C1D04"/>
    <w:rsid w:val="0B9178BE"/>
    <w:rsid w:val="0BEE2A04"/>
    <w:rsid w:val="0CA11911"/>
    <w:rsid w:val="0D19707A"/>
    <w:rsid w:val="0D965E14"/>
    <w:rsid w:val="0D971FFF"/>
    <w:rsid w:val="0D985588"/>
    <w:rsid w:val="0DAC4DE7"/>
    <w:rsid w:val="0DD93C67"/>
    <w:rsid w:val="0DED2584"/>
    <w:rsid w:val="0E1C7748"/>
    <w:rsid w:val="0E9B5CB3"/>
    <w:rsid w:val="0EB463A0"/>
    <w:rsid w:val="0EBB4212"/>
    <w:rsid w:val="0F127DBC"/>
    <w:rsid w:val="0FB3499A"/>
    <w:rsid w:val="100E3CDE"/>
    <w:rsid w:val="102862AB"/>
    <w:rsid w:val="10430C99"/>
    <w:rsid w:val="10582A82"/>
    <w:rsid w:val="10B416EE"/>
    <w:rsid w:val="10D6580D"/>
    <w:rsid w:val="11285AF8"/>
    <w:rsid w:val="11CD7202"/>
    <w:rsid w:val="11FF21E6"/>
    <w:rsid w:val="12046FF4"/>
    <w:rsid w:val="120D7A5D"/>
    <w:rsid w:val="124D09DB"/>
    <w:rsid w:val="12824730"/>
    <w:rsid w:val="135615D7"/>
    <w:rsid w:val="136479A2"/>
    <w:rsid w:val="139F6AD3"/>
    <w:rsid w:val="13B97B2E"/>
    <w:rsid w:val="1402609A"/>
    <w:rsid w:val="14644194"/>
    <w:rsid w:val="148556DC"/>
    <w:rsid w:val="14A24168"/>
    <w:rsid w:val="14AB4B35"/>
    <w:rsid w:val="14B0689D"/>
    <w:rsid w:val="15025589"/>
    <w:rsid w:val="1575104F"/>
    <w:rsid w:val="15D062EC"/>
    <w:rsid w:val="160721A3"/>
    <w:rsid w:val="16184405"/>
    <w:rsid w:val="1657518C"/>
    <w:rsid w:val="170E6F2D"/>
    <w:rsid w:val="17271EE3"/>
    <w:rsid w:val="1754248F"/>
    <w:rsid w:val="175F5CA8"/>
    <w:rsid w:val="17692982"/>
    <w:rsid w:val="17F0333D"/>
    <w:rsid w:val="184E50A0"/>
    <w:rsid w:val="186216FF"/>
    <w:rsid w:val="187E0558"/>
    <w:rsid w:val="18B52157"/>
    <w:rsid w:val="18C119AD"/>
    <w:rsid w:val="199E1D2C"/>
    <w:rsid w:val="19E44197"/>
    <w:rsid w:val="19EF3DBB"/>
    <w:rsid w:val="1A240D0A"/>
    <w:rsid w:val="1A307DEB"/>
    <w:rsid w:val="1A7A062D"/>
    <w:rsid w:val="1AC90C79"/>
    <w:rsid w:val="1B0D2108"/>
    <w:rsid w:val="1B1438B4"/>
    <w:rsid w:val="1B293C37"/>
    <w:rsid w:val="1BB2064E"/>
    <w:rsid w:val="1BE1788C"/>
    <w:rsid w:val="1C7A3233"/>
    <w:rsid w:val="1D9A06B0"/>
    <w:rsid w:val="1DBB7F40"/>
    <w:rsid w:val="1E9D091E"/>
    <w:rsid w:val="1EA747EE"/>
    <w:rsid w:val="1EDC0F97"/>
    <w:rsid w:val="1F26778D"/>
    <w:rsid w:val="1F9B0BF8"/>
    <w:rsid w:val="1FD90A6B"/>
    <w:rsid w:val="20181E20"/>
    <w:rsid w:val="20934A1D"/>
    <w:rsid w:val="21176D6E"/>
    <w:rsid w:val="218C384B"/>
    <w:rsid w:val="22682ED4"/>
    <w:rsid w:val="226F3182"/>
    <w:rsid w:val="23122FE5"/>
    <w:rsid w:val="232C3785"/>
    <w:rsid w:val="23300BC5"/>
    <w:rsid w:val="23390502"/>
    <w:rsid w:val="23C50F1C"/>
    <w:rsid w:val="24605FFA"/>
    <w:rsid w:val="255F1C12"/>
    <w:rsid w:val="256E618E"/>
    <w:rsid w:val="259A6176"/>
    <w:rsid w:val="263A0DBE"/>
    <w:rsid w:val="2644477A"/>
    <w:rsid w:val="26B93B86"/>
    <w:rsid w:val="26CB06DA"/>
    <w:rsid w:val="26D33594"/>
    <w:rsid w:val="26F64EB4"/>
    <w:rsid w:val="27303A23"/>
    <w:rsid w:val="275D2C3D"/>
    <w:rsid w:val="27BF720F"/>
    <w:rsid w:val="27C71297"/>
    <w:rsid w:val="27FE2098"/>
    <w:rsid w:val="283D5428"/>
    <w:rsid w:val="284202E2"/>
    <w:rsid w:val="28553C16"/>
    <w:rsid w:val="285D5757"/>
    <w:rsid w:val="287F7A45"/>
    <w:rsid w:val="288E7FFE"/>
    <w:rsid w:val="289128C5"/>
    <w:rsid w:val="2962650F"/>
    <w:rsid w:val="2965244F"/>
    <w:rsid w:val="296C51FC"/>
    <w:rsid w:val="297211E0"/>
    <w:rsid w:val="29BD29EF"/>
    <w:rsid w:val="29D35888"/>
    <w:rsid w:val="29E225F8"/>
    <w:rsid w:val="29F3493D"/>
    <w:rsid w:val="29FD41B2"/>
    <w:rsid w:val="2A097F2C"/>
    <w:rsid w:val="2A2D2BA8"/>
    <w:rsid w:val="2A3F16A4"/>
    <w:rsid w:val="2A6130F9"/>
    <w:rsid w:val="2A8A5477"/>
    <w:rsid w:val="2A95510A"/>
    <w:rsid w:val="2B7729A9"/>
    <w:rsid w:val="2D3F3425"/>
    <w:rsid w:val="2D8F7B63"/>
    <w:rsid w:val="2D9E2EF7"/>
    <w:rsid w:val="2DFD5AD3"/>
    <w:rsid w:val="2DFD6B18"/>
    <w:rsid w:val="2E05430D"/>
    <w:rsid w:val="2E1859E5"/>
    <w:rsid w:val="2E430131"/>
    <w:rsid w:val="2E5210EC"/>
    <w:rsid w:val="2E5B07AB"/>
    <w:rsid w:val="2E6743B8"/>
    <w:rsid w:val="2E6A2DC2"/>
    <w:rsid w:val="2F3204AF"/>
    <w:rsid w:val="2F634F96"/>
    <w:rsid w:val="2F874BBE"/>
    <w:rsid w:val="2F9A050E"/>
    <w:rsid w:val="30117F8B"/>
    <w:rsid w:val="30880C87"/>
    <w:rsid w:val="312569BD"/>
    <w:rsid w:val="31870AE7"/>
    <w:rsid w:val="31CA6DFB"/>
    <w:rsid w:val="31DA6DE6"/>
    <w:rsid w:val="324A7F75"/>
    <w:rsid w:val="32AD7D50"/>
    <w:rsid w:val="32C632A9"/>
    <w:rsid w:val="32D4181D"/>
    <w:rsid w:val="33913825"/>
    <w:rsid w:val="33C90D6F"/>
    <w:rsid w:val="34480488"/>
    <w:rsid w:val="344E2455"/>
    <w:rsid w:val="34F4262B"/>
    <w:rsid w:val="35580AEC"/>
    <w:rsid w:val="35817E56"/>
    <w:rsid w:val="358276DA"/>
    <w:rsid w:val="35F94460"/>
    <w:rsid w:val="36196EE3"/>
    <w:rsid w:val="36540977"/>
    <w:rsid w:val="36555758"/>
    <w:rsid w:val="36F67C9D"/>
    <w:rsid w:val="37410F05"/>
    <w:rsid w:val="377C767B"/>
    <w:rsid w:val="37CC7A14"/>
    <w:rsid w:val="37F721DA"/>
    <w:rsid w:val="37F7529C"/>
    <w:rsid w:val="37F936E1"/>
    <w:rsid w:val="384F7AFB"/>
    <w:rsid w:val="388C7F9E"/>
    <w:rsid w:val="38B37F59"/>
    <w:rsid w:val="390E2819"/>
    <w:rsid w:val="391A5699"/>
    <w:rsid w:val="392E439F"/>
    <w:rsid w:val="392E7CBB"/>
    <w:rsid w:val="393E343F"/>
    <w:rsid w:val="397A1D7B"/>
    <w:rsid w:val="398850DE"/>
    <w:rsid w:val="3A314013"/>
    <w:rsid w:val="3A782AD9"/>
    <w:rsid w:val="3A9B2E8A"/>
    <w:rsid w:val="3ABC49A5"/>
    <w:rsid w:val="3B1D301A"/>
    <w:rsid w:val="3BB149C3"/>
    <w:rsid w:val="3C451286"/>
    <w:rsid w:val="3C830040"/>
    <w:rsid w:val="3C8E5381"/>
    <w:rsid w:val="3CB07B7D"/>
    <w:rsid w:val="3CD07E3A"/>
    <w:rsid w:val="3D155AFC"/>
    <w:rsid w:val="3D1F3A14"/>
    <w:rsid w:val="3D9214CE"/>
    <w:rsid w:val="3DD871EF"/>
    <w:rsid w:val="3DDF3E65"/>
    <w:rsid w:val="3EA6372A"/>
    <w:rsid w:val="3F5F5F83"/>
    <w:rsid w:val="3FC63BD0"/>
    <w:rsid w:val="3FCF563B"/>
    <w:rsid w:val="40227516"/>
    <w:rsid w:val="409868C2"/>
    <w:rsid w:val="40F16909"/>
    <w:rsid w:val="41C37CE9"/>
    <w:rsid w:val="41CD3CC6"/>
    <w:rsid w:val="41DD19CA"/>
    <w:rsid w:val="41F12259"/>
    <w:rsid w:val="42277F9A"/>
    <w:rsid w:val="425C49EF"/>
    <w:rsid w:val="42721502"/>
    <w:rsid w:val="42C228C8"/>
    <w:rsid w:val="42EF410D"/>
    <w:rsid w:val="42F36E1E"/>
    <w:rsid w:val="43121F6B"/>
    <w:rsid w:val="435823F0"/>
    <w:rsid w:val="435A7E53"/>
    <w:rsid w:val="43A356F0"/>
    <w:rsid w:val="43C13A38"/>
    <w:rsid w:val="43D00ACC"/>
    <w:rsid w:val="43E22F2B"/>
    <w:rsid w:val="43EE1010"/>
    <w:rsid w:val="44024F3A"/>
    <w:rsid w:val="452D466E"/>
    <w:rsid w:val="46235EA3"/>
    <w:rsid w:val="463A697F"/>
    <w:rsid w:val="46B05FBF"/>
    <w:rsid w:val="474921A0"/>
    <w:rsid w:val="476D0782"/>
    <w:rsid w:val="478248DA"/>
    <w:rsid w:val="479357BC"/>
    <w:rsid w:val="47B52DEE"/>
    <w:rsid w:val="492331F4"/>
    <w:rsid w:val="49247832"/>
    <w:rsid w:val="496E5FA9"/>
    <w:rsid w:val="4A6A1B72"/>
    <w:rsid w:val="4A952924"/>
    <w:rsid w:val="4AB7670F"/>
    <w:rsid w:val="4ADE302E"/>
    <w:rsid w:val="4B035D90"/>
    <w:rsid w:val="4B764485"/>
    <w:rsid w:val="4BBA2E12"/>
    <w:rsid w:val="4BCD2CFE"/>
    <w:rsid w:val="4C114B28"/>
    <w:rsid w:val="4CC4190A"/>
    <w:rsid w:val="4D137AEF"/>
    <w:rsid w:val="4D572235"/>
    <w:rsid w:val="4DFC0E9E"/>
    <w:rsid w:val="4E52662D"/>
    <w:rsid w:val="4E98722A"/>
    <w:rsid w:val="4EDA0A91"/>
    <w:rsid w:val="4EF43D32"/>
    <w:rsid w:val="4F0D2BAF"/>
    <w:rsid w:val="4F3810D9"/>
    <w:rsid w:val="4F442766"/>
    <w:rsid w:val="4F5C41FC"/>
    <w:rsid w:val="4FE43BE8"/>
    <w:rsid w:val="502533DF"/>
    <w:rsid w:val="512064B6"/>
    <w:rsid w:val="51683911"/>
    <w:rsid w:val="51685EA5"/>
    <w:rsid w:val="51B272DD"/>
    <w:rsid w:val="51D11B69"/>
    <w:rsid w:val="52062768"/>
    <w:rsid w:val="526E379C"/>
    <w:rsid w:val="52CD7259"/>
    <w:rsid w:val="52DF7CE2"/>
    <w:rsid w:val="53056701"/>
    <w:rsid w:val="538356E4"/>
    <w:rsid w:val="53AE72B4"/>
    <w:rsid w:val="53DF3426"/>
    <w:rsid w:val="53E94F5A"/>
    <w:rsid w:val="546B242A"/>
    <w:rsid w:val="54A31BED"/>
    <w:rsid w:val="552D2746"/>
    <w:rsid w:val="558D7048"/>
    <w:rsid w:val="559C3737"/>
    <w:rsid w:val="55A24610"/>
    <w:rsid w:val="55B20B19"/>
    <w:rsid w:val="55C53DB0"/>
    <w:rsid w:val="55DD22CB"/>
    <w:rsid w:val="55E23235"/>
    <w:rsid w:val="55F160F6"/>
    <w:rsid w:val="55F2226C"/>
    <w:rsid w:val="564B6B67"/>
    <w:rsid w:val="56CE6A63"/>
    <w:rsid w:val="57EB7BED"/>
    <w:rsid w:val="585F7AFF"/>
    <w:rsid w:val="59690389"/>
    <w:rsid w:val="59807F66"/>
    <w:rsid w:val="59BC33FB"/>
    <w:rsid w:val="5A2860FD"/>
    <w:rsid w:val="5A4D198C"/>
    <w:rsid w:val="5ACC1FD7"/>
    <w:rsid w:val="5AE10810"/>
    <w:rsid w:val="5B066902"/>
    <w:rsid w:val="5B97255D"/>
    <w:rsid w:val="5BEA6E4E"/>
    <w:rsid w:val="5C86273B"/>
    <w:rsid w:val="5CB545BF"/>
    <w:rsid w:val="5CEA6D6B"/>
    <w:rsid w:val="5D03647F"/>
    <w:rsid w:val="5D0A0E22"/>
    <w:rsid w:val="5D55019E"/>
    <w:rsid w:val="5DC868D7"/>
    <w:rsid w:val="5DCF023F"/>
    <w:rsid w:val="5E53044A"/>
    <w:rsid w:val="5EC169C7"/>
    <w:rsid w:val="5ECD7B7A"/>
    <w:rsid w:val="5F5E66CD"/>
    <w:rsid w:val="5F6915A6"/>
    <w:rsid w:val="5FC5782B"/>
    <w:rsid w:val="601B520E"/>
    <w:rsid w:val="60822E4F"/>
    <w:rsid w:val="60ED6FEA"/>
    <w:rsid w:val="6112353F"/>
    <w:rsid w:val="611D34B6"/>
    <w:rsid w:val="6161661E"/>
    <w:rsid w:val="617D69D7"/>
    <w:rsid w:val="61BA574D"/>
    <w:rsid w:val="61DD03B3"/>
    <w:rsid w:val="61F70D99"/>
    <w:rsid w:val="62250155"/>
    <w:rsid w:val="62335D39"/>
    <w:rsid w:val="626B200B"/>
    <w:rsid w:val="63195A5F"/>
    <w:rsid w:val="63427C35"/>
    <w:rsid w:val="63527926"/>
    <w:rsid w:val="63BD394B"/>
    <w:rsid w:val="63C40E28"/>
    <w:rsid w:val="63C54F12"/>
    <w:rsid w:val="63C90FE0"/>
    <w:rsid w:val="63CB261F"/>
    <w:rsid w:val="64533922"/>
    <w:rsid w:val="64745988"/>
    <w:rsid w:val="65982AE8"/>
    <w:rsid w:val="65D87056"/>
    <w:rsid w:val="66C22666"/>
    <w:rsid w:val="675D3FEF"/>
    <w:rsid w:val="677A4692"/>
    <w:rsid w:val="67F500C6"/>
    <w:rsid w:val="680B350F"/>
    <w:rsid w:val="682C57A5"/>
    <w:rsid w:val="6832167E"/>
    <w:rsid w:val="68700039"/>
    <w:rsid w:val="68A01D1C"/>
    <w:rsid w:val="68A234DF"/>
    <w:rsid w:val="6901408C"/>
    <w:rsid w:val="69A96B00"/>
    <w:rsid w:val="69EF1F65"/>
    <w:rsid w:val="6A0B64EB"/>
    <w:rsid w:val="6A0D63C4"/>
    <w:rsid w:val="6A1A6E5F"/>
    <w:rsid w:val="6A447F58"/>
    <w:rsid w:val="6A47013E"/>
    <w:rsid w:val="6A806889"/>
    <w:rsid w:val="6AA42500"/>
    <w:rsid w:val="6AD7534E"/>
    <w:rsid w:val="6BA222EA"/>
    <w:rsid w:val="6BC96E53"/>
    <w:rsid w:val="6C4312E7"/>
    <w:rsid w:val="6C4736DC"/>
    <w:rsid w:val="6CA53DFF"/>
    <w:rsid w:val="6D74572C"/>
    <w:rsid w:val="6DAC440C"/>
    <w:rsid w:val="6DBF6490"/>
    <w:rsid w:val="6DED2E55"/>
    <w:rsid w:val="6E41376D"/>
    <w:rsid w:val="6EA0573A"/>
    <w:rsid w:val="6F483E8F"/>
    <w:rsid w:val="6F5A10F3"/>
    <w:rsid w:val="6FA01D37"/>
    <w:rsid w:val="6FA35752"/>
    <w:rsid w:val="70260D4E"/>
    <w:rsid w:val="705F6A24"/>
    <w:rsid w:val="71000C9C"/>
    <w:rsid w:val="71240691"/>
    <w:rsid w:val="721F1602"/>
    <w:rsid w:val="723A426A"/>
    <w:rsid w:val="72C7472E"/>
    <w:rsid w:val="7347671A"/>
    <w:rsid w:val="737A7695"/>
    <w:rsid w:val="73E90234"/>
    <w:rsid w:val="740A5BE8"/>
    <w:rsid w:val="74854658"/>
    <w:rsid w:val="74B05252"/>
    <w:rsid w:val="74CA31DB"/>
    <w:rsid w:val="754C2B98"/>
    <w:rsid w:val="75722A40"/>
    <w:rsid w:val="75C62CE0"/>
    <w:rsid w:val="75F22C6F"/>
    <w:rsid w:val="75FE7091"/>
    <w:rsid w:val="760472A6"/>
    <w:rsid w:val="7691730D"/>
    <w:rsid w:val="774700DE"/>
    <w:rsid w:val="774C3C09"/>
    <w:rsid w:val="77B2673B"/>
    <w:rsid w:val="77E46E9F"/>
    <w:rsid w:val="77F22595"/>
    <w:rsid w:val="783A4F8D"/>
    <w:rsid w:val="786605DE"/>
    <w:rsid w:val="78BE7535"/>
    <w:rsid w:val="78CB3E5C"/>
    <w:rsid w:val="78EF120E"/>
    <w:rsid w:val="79297266"/>
    <w:rsid w:val="794107E7"/>
    <w:rsid w:val="79A202F8"/>
    <w:rsid w:val="79DF6776"/>
    <w:rsid w:val="79E501D8"/>
    <w:rsid w:val="7A1216AE"/>
    <w:rsid w:val="7A6B663C"/>
    <w:rsid w:val="7A6C49DC"/>
    <w:rsid w:val="7AF532D6"/>
    <w:rsid w:val="7B312A5B"/>
    <w:rsid w:val="7B942659"/>
    <w:rsid w:val="7BD27732"/>
    <w:rsid w:val="7C244A7D"/>
    <w:rsid w:val="7C2F6CBD"/>
    <w:rsid w:val="7C570CD2"/>
    <w:rsid w:val="7D1B3DE1"/>
    <w:rsid w:val="7D374B5B"/>
    <w:rsid w:val="7D6734F0"/>
    <w:rsid w:val="7DBB29EE"/>
    <w:rsid w:val="7DDB1943"/>
    <w:rsid w:val="7E1E0F4D"/>
    <w:rsid w:val="7F97608A"/>
    <w:rsid w:val="7FAA39F7"/>
    <w:rsid w:val="7FCC69B4"/>
    <w:rsid w:val="7FF654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1"/>
    <w:qFormat/>
    <w:uiPriority w:val="0"/>
    <w:pPr>
      <w:keepNext/>
      <w:jc w:val="center"/>
      <w:outlineLvl w:val="0"/>
    </w:pPr>
    <w:rPr>
      <w:rFonts w:ascii="黑体" w:eastAsia="黑体"/>
      <w:sz w:val="28"/>
    </w:rPr>
  </w:style>
  <w:style w:type="paragraph" w:styleId="4">
    <w:name w:val="heading 2"/>
    <w:basedOn w:val="1"/>
    <w:next w:val="5"/>
    <w:link w:val="52"/>
    <w:qFormat/>
    <w:uiPriority w:val="0"/>
    <w:pPr>
      <w:keepNext/>
      <w:spacing w:line="720" w:lineRule="exact"/>
      <w:outlineLvl w:val="1"/>
    </w:pPr>
    <w:rPr>
      <w:rFonts w:ascii="黑体" w:hAnsi="Copperplate Gothic Bold" w:eastAsia="楷体_GB2312"/>
      <w:sz w:val="28"/>
    </w:rPr>
  </w:style>
  <w:style w:type="paragraph" w:styleId="6">
    <w:name w:val="heading 3"/>
    <w:basedOn w:val="1"/>
    <w:next w:val="1"/>
    <w:link w:val="53"/>
    <w:qFormat/>
    <w:uiPriority w:val="0"/>
    <w:pPr>
      <w:keepNext/>
      <w:spacing w:line="320" w:lineRule="exact"/>
      <w:outlineLvl w:val="2"/>
    </w:pPr>
    <w:rPr>
      <w:rFonts w:ascii="楷体_GB2312" w:eastAsia="楷体_GB2312"/>
      <w:sz w:val="32"/>
    </w:rPr>
  </w:style>
  <w:style w:type="paragraph" w:styleId="7">
    <w:name w:val="heading 4"/>
    <w:basedOn w:val="1"/>
    <w:next w:val="1"/>
    <w:link w:val="54"/>
    <w:qFormat/>
    <w:uiPriority w:val="99"/>
    <w:pPr>
      <w:keepNext/>
      <w:spacing w:line="600" w:lineRule="exact"/>
      <w:jc w:val="center"/>
      <w:outlineLvl w:val="3"/>
    </w:pPr>
    <w:rPr>
      <w:rFonts w:ascii="楷体_GB2312" w:eastAsia="楷体_GB2312"/>
      <w:sz w:val="32"/>
    </w:rPr>
  </w:style>
  <w:style w:type="paragraph" w:styleId="8">
    <w:name w:val="heading 5"/>
    <w:basedOn w:val="1"/>
    <w:next w:val="1"/>
    <w:link w:val="55"/>
    <w:qFormat/>
    <w:uiPriority w:val="99"/>
    <w:pPr>
      <w:keepNext/>
      <w:keepLines/>
      <w:spacing w:before="280" w:after="290" w:line="376" w:lineRule="auto"/>
      <w:outlineLvl w:val="4"/>
    </w:pPr>
    <w:rPr>
      <w:b/>
      <w:bCs/>
      <w:sz w:val="28"/>
      <w:szCs w:val="28"/>
    </w:rPr>
  </w:style>
  <w:style w:type="paragraph" w:styleId="9">
    <w:name w:val="heading 6"/>
    <w:basedOn w:val="1"/>
    <w:next w:val="1"/>
    <w:link w:val="56"/>
    <w:qFormat/>
    <w:uiPriority w:val="99"/>
    <w:pPr>
      <w:keepNext/>
      <w:keepLines/>
      <w:widowControl/>
      <w:spacing w:before="240" w:after="64" w:line="320" w:lineRule="auto"/>
      <w:jc w:val="left"/>
      <w:outlineLvl w:val="5"/>
    </w:pPr>
    <w:rPr>
      <w:rFonts w:ascii="Arial" w:hAnsi="Arial" w:eastAsia="黑体"/>
      <w:b/>
      <w:bCs/>
      <w:kern w:val="0"/>
      <w:sz w:val="24"/>
      <w:szCs w:val="24"/>
    </w:rPr>
  </w:style>
  <w:style w:type="paragraph" w:styleId="10">
    <w:name w:val="heading 7"/>
    <w:basedOn w:val="1"/>
    <w:next w:val="1"/>
    <w:link w:val="57"/>
    <w:qFormat/>
    <w:uiPriority w:val="99"/>
    <w:pPr>
      <w:keepNext/>
      <w:keepLines/>
      <w:widowControl/>
      <w:spacing w:before="240" w:after="64" w:line="320" w:lineRule="auto"/>
      <w:jc w:val="left"/>
      <w:outlineLvl w:val="6"/>
    </w:pPr>
    <w:rPr>
      <w:b/>
      <w:bCs/>
      <w:kern w:val="0"/>
      <w:sz w:val="24"/>
      <w:szCs w:val="24"/>
    </w:rPr>
  </w:style>
  <w:style w:type="paragraph" w:styleId="11">
    <w:name w:val="heading 8"/>
    <w:basedOn w:val="1"/>
    <w:next w:val="1"/>
    <w:link w:val="58"/>
    <w:qFormat/>
    <w:uiPriority w:val="99"/>
    <w:pPr>
      <w:keepNext/>
      <w:keepLines/>
      <w:widowControl/>
      <w:spacing w:before="240" w:after="64" w:line="320" w:lineRule="auto"/>
      <w:jc w:val="left"/>
      <w:outlineLvl w:val="7"/>
    </w:pPr>
    <w:rPr>
      <w:rFonts w:ascii="Arial" w:hAnsi="Arial" w:eastAsia="黑体"/>
      <w:kern w:val="0"/>
      <w:sz w:val="24"/>
      <w:szCs w:val="24"/>
    </w:rPr>
  </w:style>
  <w:style w:type="paragraph" w:styleId="12">
    <w:name w:val="heading 9"/>
    <w:basedOn w:val="1"/>
    <w:next w:val="1"/>
    <w:link w:val="59"/>
    <w:qFormat/>
    <w:uiPriority w:val="99"/>
    <w:pPr>
      <w:keepNext/>
      <w:keepLines/>
      <w:widowControl/>
      <w:spacing w:before="240" w:after="64" w:line="320" w:lineRule="auto"/>
      <w:jc w:val="left"/>
      <w:outlineLvl w:val="8"/>
    </w:pPr>
    <w:rPr>
      <w:rFonts w:ascii="Arial" w:hAnsi="Arial" w:eastAsia="黑体"/>
      <w:kern w:val="0"/>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3"/>
    <w:qFormat/>
    <w:uiPriority w:val="99"/>
    <w:pPr>
      <w:jc w:val="left"/>
    </w:pPr>
    <w:rPr>
      <w:rFonts w:ascii="Copperplate Gothic Bold" w:hAnsi="Copperplate Gothic Bold"/>
      <w:sz w:val="28"/>
    </w:rPr>
  </w:style>
  <w:style w:type="paragraph" w:styleId="5">
    <w:name w:val="Normal Indent"/>
    <w:basedOn w:val="1"/>
    <w:next w:val="1"/>
    <w:link w:val="95"/>
    <w:qFormat/>
    <w:uiPriority w:val="0"/>
    <w:pPr>
      <w:ind w:firstLine="420"/>
    </w:pPr>
  </w:style>
  <w:style w:type="paragraph" w:styleId="13">
    <w:name w:val="Document Map"/>
    <w:basedOn w:val="1"/>
    <w:link w:val="60"/>
    <w:qFormat/>
    <w:uiPriority w:val="99"/>
    <w:pPr>
      <w:shd w:val="clear" w:color="auto" w:fill="000080"/>
    </w:pPr>
  </w:style>
  <w:style w:type="paragraph" w:styleId="14">
    <w:name w:val="toa heading"/>
    <w:basedOn w:val="1"/>
    <w:next w:val="1"/>
    <w:qFormat/>
    <w:locked/>
    <w:uiPriority w:val="0"/>
    <w:pPr>
      <w:spacing w:before="120"/>
    </w:pPr>
    <w:rPr>
      <w:rFonts w:ascii="Arial" w:hAnsi="Arial"/>
      <w:sz w:val="24"/>
    </w:rPr>
  </w:style>
  <w:style w:type="paragraph" w:styleId="15">
    <w:name w:val="annotation text"/>
    <w:basedOn w:val="1"/>
    <w:link w:val="61"/>
    <w:qFormat/>
    <w:uiPriority w:val="99"/>
    <w:pPr>
      <w:jc w:val="left"/>
    </w:pPr>
  </w:style>
  <w:style w:type="paragraph" w:styleId="16">
    <w:name w:val="Body Text 3"/>
    <w:basedOn w:val="1"/>
    <w:link w:val="62"/>
    <w:qFormat/>
    <w:uiPriority w:val="99"/>
    <w:pPr>
      <w:jc w:val="center"/>
    </w:pPr>
    <w:rPr>
      <w:b/>
      <w:spacing w:val="-20"/>
      <w:w w:val="110"/>
      <w:sz w:val="52"/>
    </w:rPr>
  </w:style>
  <w:style w:type="paragraph" w:styleId="17">
    <w:name w:val="Body Text Indent"/>
    <w:basedOn w:val="1"/>
    <w:link w:val="64"/>
    <w:qFormat/>
    <w:uiPriority w:val="99"/>
    <w:pPr>
      <w:spacing w:line="640" w:lineRule="exact"/>
      <w:ind w:firstLine="585"/>
    </w:pPr>
    <w:rPr>
      <w:rFonts w:ascii="楷体_GB2312" w:eastAsia="楷体_GB2312"/>
      <w:sz w:val="32"/>
    </w:rPr>
  </w:style>
  <w:style w:type="paragraph" w:styleId="18">
    <w:name w:val="Block Text"/>
    <w:basedOn w:val="1"/>
    <w:qFormat/>
    <w:uiPriority w:val="99"/>
    <w:pPr>
      <w:adjustRightInd w:val="0"/>
      <w:ind w:left="420" w:right="33"/>
      <w:jc w:val="left"/>
      <w:textAlignment w:val="baseline"/>
    </w:pPr>
    <w:rPr>
      <w:kern w:val="0"/>
      <w:sz w:val="24"/>
    </w:rPr>
  </w:style>
  <w:style w:type="paragraph" w:styleId="19">
    <w:name w:val="toc 3"/>
    <w:basedOn w:val="1"/>
    <w:next w:val="1"/>
    <w:qFormat/>
    <w:uiPriority w:val="99"/>
    <w:pPr>
      <w:ind w:left="840" w:leftChars="400"/>
    </w:pPr>
    <w:rPr>
      <w:szCs w:val="24"/>
    </w:rPr>
  </w:style>
  <w:style w:type="paragraph" w:styleId="20">
    <w:name w:val="Plain Text"/>
    <w:basedOn w:val="1"/>
    <w:link w:val="65"/>
    <w:qFormat/>
    <w:uiPriority w:val="99"/>
    <w:rPr>
      <w:rFonts w:ascii="宋体" w:hAnsi="Courier New"/>
    </w:rPr>
  </w:style>
  <w:style w:type="paragraph" w:styleId="21">
    <w:name w:val="Date"/>
    <w:basedOn w:val="1"/>
    <w:next w:val="1"/>
    <w:link w:val="66"/>
    <w:qFormat/>
    <w:uiPriority w:val="99"/>
    <w:rPr>
      <w:rFonts w:ascii="Copperplate Gothic Bold" w:hAnsi="Copperplate Gothic Bold"/>
      <w:sz w:val="32"/>
    </w:rPr>
  </w:style>
  <w:style w:type="paragraph" w:styleId="22">
    <w:name w:val="Body Text Indent 2"/>
    <w:basedOn w:val="1"/>
    <w:link w:val="67"/>
    <w:qFormat/>
    <w:uiPriority w:val="99"/>
    <w:pPr>
      <w:spacing w:line="640" w:lineRule="exact"/>
      <w:ind w:firstLine="645"/>
    </w:pPr>
    <w:rPr>
      <w:rFonts w:ascii="楷体_GB2312" w:eastAsia="楷体_GB2312"/>
      <w:sz w:val="32"/>
    </w:rPr>
  </w:style>
  <w:style w:type="paragraph" w:styleId="23">
    <w:name w:val="Balloon Text"/>
    <w:basedOn w:val="1"/>
    <w:link w:val="68"/>
    <w:qFormat/>
    <w:uiPriority w:val="99"/>
    <w:rPr>
      <w:sz w:val="18"/>
      <w:szCs w:val="18"/>
    </w:rPr>
  </w:style>
  <w:style w:type="paragraph" w:styleId="24">
    <w:name w:val="footer"/>
    <w:basedOn w:val="1"/>
    <w:link w:val="69"/>
    <w:qFormat/>
    <w:uiPriority w:val="99"/>
    <w:pPr>
      <w:tabs>
        <w:tab w:val="center" w:pos="4153"/>
        <w:tab w:val="right" w:pos="8306"/>
      </w:tabs>
      <w:snapToGrid w:val="0"/>
      <w:jc w:val="left"/>
    </w:pPr>
    <w:rPr>
      <w:sz w:val="18"/>
      <w:szCs w:val="18"/>
    </w:rPr>
  </w:style>
  <w:style w:type="paragraph" w:styleId="25">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060"/>
      </w:tabs>
      <w:spacing w:line="720" w:lineRule="auto"/>
    </w:pPr>
    <w:rPr>
      <w:szCs w:val="24"/>
    </w:rPr>
  </w:style>
  <w:style w:type="paragraph" w:styleId="27">
    <w:name w:val="Body Text Indent 3"/>
    <w:basedOn w:val="1"/>
    <w:link w:val="71"/>
    <w:qFormat/>
    <w:uiPriority w:val="99"/>
    <w:pPr>
      <w:ind w:firstLine="645"/>
    </w:pPr>
    <w:rPr>
      <w:rFonts w:ascii="宋体" w:hAnsi="Copperplate Gothic Bold"/>
      <w:sz w:val="28"/>
    </w:rPr>
  </w:style>
  <w:style w:type="paragraph" w:styleId="28">
    <w:name w:val="toc 2"/>
    <w:basedOn w:val="1"/>
    <w:next w:val="1"/>
    <w:qFormat/>
    <w:uiPriority w:val="99"/>
    <w:pPr>
      <w:ind w:left="420" w:leftChars="200"/>
    </w:pPr>
    <w:rPr>
      <w:szCs w:val="24"/>
    </w:rPr>
  </w:style>
  <w:style w:type="paragraph" w:styleId="29">
    <w:name w:val="Body Text 2"/>
    <w:basedOn w:val="1"/>
    <w:link w:val="72"/>
    <w:qFormat/>
    <w:uiPriority w:val="99"/>
    <w:rPr>
      <w:rFonts w:ascii="楷体_GB2312" w:hAnsi="Copperplate Gothic Bold" w:eastAsia="楷体_GB2312"/>
      <w:sz w:val="28"/>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index 1"/>
    <w:basedOn w:val="1"/>
    <w:next w:val="1"/>
    <w:qFormat/>
    <w:locked/>
    <w:uiPriority w:val="0"/>
  </w:style>
  <w:style w:type="paragraph" w:styleId="32">
    <w:name w:val="Title"/>
    <w:basedOn w:val="1"/>
    <w:link w:val="73"/>
    <w:qFormat/>
    <w:uiPriority w:val="99"/>
    <w:pPr>
      <w:adjustRightInd w:val="0"/>
      <w:spacing w:before="240" w:after="60" w:line="312" w:lineRule="atLeast"/>
      <w:jc w:val="center"/>
      <w:textAlignment w:val="baseline"/>
      <w:outlineLvl w:val="0"/>
    </w:pPr>
    <w:rPr>
      <w:rFonts w:ascii="Arial" w:hAnsi="Arial" w:eastAsia="楷体_GB2312" w:cs="Arial"/>
      <w:b/>
      <w:kern w:val="0"/>
      <w:sz w:val="32"/>
      <w:szCs w:val="32"/>
    </w:rPr>
  </w:style>
  <w:style w:type="paragraph" w:styleId="33">
    <w:name w:val="Body Text First Indent"/>
    <w:basedOn w:val="2"/>
    <w:qFormat/>
    <w:locked/>
    <w:uiPriority w:val="0"/>
    <w:pPr>
      <w:adjustRightInd w:val="0"/>
      <w:ind w:firstLine="420"/>
      <w:textAlignment w:val="baseline"/>
    </w:pPr>
    <w:rPr>
      <w:kern w:val="0"/>
    </w:rPr>
  </w:style>
  <w:style w:type="paragraph" w:styleId="34">
    <w:name w:val="Body Text First Indent 2"/>
    <w:basedOn w:val="17"/>
    <w:qFormat/>
    <w:locked/>
    <w:uiPriority w:val="99"/>
  </w:style>
  <w:style w:type="table" w:styleId="36">
    <w:name w:val="Table Grid"/>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99"/>
    <w:rPr>
      <w:rFonts w:cs="Times New Roman"/>
      <w:b/>
    </w:rPr>
  </w:style>
  <w:style w:type="character" w:styleId="39">
    <w:name w:val="page number"/>
    <w:basedOn w:val="37"/>
    <w:qFormat/>
    <w:uiPriority w:val="99"/>
    <w:rPr>
      <w:rFonts w:cs="Times New Roman"/>
    </w:rPr>
  </w:style>
  <w:style w:type="character" w:styleId="40">
    <w:name w:val="FollowedHyperlink"/>
    <w:basedOn w:val="37"/>
    <w:qFormat/>
    <w:uiPriority w:val="99"/>
    <w:rPr>
      <w:rFonts w:cs="Times New Roman"/>
      <w:color w:val="800080"/>
      <w:u w:val="single"/>
    </w:rPr>
  </w:style>
  <w:style w:type="character" w:styleId="41">
    <w:name w:val="Emphasis"/>
    <w:basedOn w:val="37"/>
    <w:qFormat/>
    <w:uiPriority w:val="99"/>
    <w:rPr>
      <w:rFonts w:cs="Times New Roman"/>
      <w:i/>
      <w:iCs/>
    </w:rPr>
  </w:style>
  <w:style w:type="character" w:styleId="42">
    <w:name w:val="HTML Definition"/>
    <w:basedOn w:val="37"/>
    <w:semiHidden/>
    <w:unhideWhenUsed/>
    <w:qFormat/>
    <w:locked/>
    <w:uiPriority w:val="99"/>
    <w:rPr>
      <w:i/>
    </w:rPr>
  </w:style>
  <w:style w:type="character" w:styleId="43">
    <w:name w:val="Hyperlink"/>
    <w:basedOn w:val="37"/>
    <w:qFormat/>
    <w:uiPriority w:val="99"/>
    <w:rPr>
      <w:rFonts w:cs="Times New Roman"/>
      <w:color w:val="0000FF"/>
      <w:u w:val="single"/>
    </w:rPr>
  </w:style>
  <w:style w:type="character" w:styleId="44">
    <w:name w:val="HTML Code"/>
    <w:basedOn w:val="37"/>
    <w:semiHidden/>
    <w:unhideWhenUsed/>
    <w:qFormat/>
    <w:locked/>
    <w:uiPriority w:val="99"/>
    <w:rPr>
      <w:rFonts w:hint="default" w:ascii="Consolas" w:hAnsi="Consolas" w:eastAsia="Consolas" w:cs="Consolas"/>
      <w:color w:val="C7254E"/>
      <w:sz w:val="21"/>
      <w:szCs w:val="21"/>
      <w:shd w:val="clear" w:color="auto" w:fill="F9F2F4"/>
    </w:rPr>
  </w:style>
  <w:style w:type="character" w:styleId="45">
    <w:name w:val="annotation reference"/>
    <w:basedOn w:val="37"/>
    <w:qFormat/>
    <w:uiPriority w:val="99"/>
    <w:rPr>
      <w:rFonts w:cs="Times New Roman"/>
      <w:sz w:val="21"/>
    </w:rPr>
  </w:style>
  <w:style w:type="character" w:styleId="46">
    <w:name w:val="HTML Keyboard"/>
    <w:basedOn w:val="37"/>
    <w:semiHidden/>
    <w:unhideWhenUsed/>
    <w:qFormat/>
    <w:locked/>
    <w:uiPriority w:val="99"/>
    <w:rPr>
      <w:rFonts w:hint="default" w:ascii="Consolas" w:hAnsi="Consolas" w:eastAsia="Consolas" w:cs="Consolas"/>
      <w:color w:val="FFFFFF"/>
      <w:sz w:val="21"/>
      <w:szCs w:val="21"/>
      <w:shd w:val="clear" w:color="auto" w:fill="333333"/>
    </w:rPr>
  </w:style>
  <w:style w:type="character" w:styleId="47">
    <w:name w:val="HTML Sample"/>
    <w:basedOn w:val="37"/>
    <w:semiHidden/>
    <w:unhideWhenUsed/>
    <w:qFormat/>
    <w:locked/>
    <w:uiPriority w:val="99"/>
    <w:rPr>
      <w:rFonts w:ascii="Consolas" w:hAnsi="Consolas" w:eastAsia="Consolas" w:cs="Consolas"/>
      <w:sz w:val="21"/>
      <w:szCs w:val="21"/>
    </w:rPr>
  </w:style>
  <w:style w:type="paragraph" w:customStyle="1" w:styleId="4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9">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0">
    <w:name w:val="列出段落1"/>
    <w:basedOn w:val="1"/>
    <w:qFormat/>
    <w:uiPriority w:val="99"/>
    <w:pPr>
      <w:ind w:firstLine="420" w:firstLineChars="200"/>
    </w:pPr>
  </w:style>
  <w:style w:type="character" w:customStyle="1" w:styleId="51">
    <w:name w:val="标题 1 字符"/>
    <w:basedOn w:val="37"/>
    <w:link w:val="3"/>
    <w:qFormat/>
    <w:locked/>
    <w:uiPriority w:val="0"/>
    <w:rPr>
      <w:rFonts w:ascii="黑体" w:hAnsi="Times New Roman" w:eastAsia="黑体" w:cs="Times New Roman"/>
      <w:sz w:val="20"/>
      <w:szCs w:val="20"/>
    </w:rPr>
  </w:style>
  <w:style w:type="character" w:customStyle="1" w:styleId="52">
    <w:name w:val="标题 2 字符"/>
    <w:basedOn w:val="37"/>
    <w:link w:val="4"/>
    <w:qFormat/>
    <w:locked/>
    <w:uiPriority w:val="0"/>
    <w:rPr>
      <w:rFonts w:ascii="黑体" w:hAnsi="Copperplate Gothic Bold" w:eastAsia="楷体_GB2312" w:cs="Times New Roman"/>
      <w:sz w:val="20"/>
      <w:szCs w:val="20"/>
    </w:rPr>
  </w:style>
  <w:style w:type="character" w:customStyle="1" w:styleId="53">
    <w:name w:val="标题 3 字符"/>
    <w:basedOn w:val="37"/>
    <w:link w:val="6"/>
    <w:qFormat/>
    <w:locked/>
    <w:uiPriority w:val="0"/>
    <w:rPr>
      <w:rFonts w:ascii="楷体_GB2312" w:hAnsi="Times New Roman" w:eastAsia="楷体_GB2312" w:cs="Times New Roman"/>
      <w:sz w:val="20"/>
      <w:szCs w:val="20"/>
    </w:rPr>
  </w:style>
  <w:style w:type="character" w:customStyle="1" w:styleId="54">
    <w:name w:val="标题 4 字符"/>
    <w:basedOn w:val="37"/>
    <w:link w:val="7"/>
    <w:qFormat/>
    <w:locked/>
    <w:uiPriority w:val="99"/>
    <w:rPr>
      <w:rFonts w:ascii="楷体_GB2312" w:hAnsi="Times New Roman" w:eastAsia="楷体_GB2312" w:cs="Times New Roman"/>
      <w:sz w:val="20"/>
      <w:szCs w:val="20"/>
    </w:rPr>
  </w:style>
  <w:style w:type="character" w:customStyle="1" w:styleId="55">
    <w:name w:val="标题 5 字符"/>
    <w:basedOn w:val="37"/>
    <w:link w:val="8"/>
    <w:qFormat/>
    <w:locked/>
    <w:uiPriority w:val="99"/>
    <w:rPr>
      <w:rFonts w:cs="Times New Roman"/>
      <w:b/>
      <w:bCs/>
      <w:kern w:val="2"/>
      <w:sz w:val="28"/>
      <w:szCs w:val="28"/>
    </w:rPr>
  </w:style>
  <w:style w:type="character" w:customStyle="1" w:styleId="56">
    <w:name w:val="标题 6 字符"/>
    <w:basedOn w:val="37"/>
    <w:link w:val="9"/>
    <w:qFormat/>
    <w:locked/>
    <w:uiPriority w:val="99"/>
    <w:rPr>
      <w:rFonts w:ascii="Arial" w:hAnsi="Arial" w:eastAsia="黑体" w:cs="Times New Roman"/>
      <w:b/>
      <w:bCs/>
      <w:sz w:val="24"/>
      <w:szCs w:val="24"/>
    </w:rPr>
  </w:style>
  <w:style w:type="character" w:customStyle="1" w:styleId="57">
    <w:name w:val="标题 7 字符"/>
    <w:basedOn w:val="37"/>
    <w:link w:val="10"/>
    <w:qFormat/>
    <w:locked/>
    <w:uiPriority w:val="99"/>
    <w:rPr>
      <w:rFonts w:cs="Times New Roman"/>
      <w:b/>
      <w:bCs/>
      <w:sz w:val="24"/>
      <w:szCs w:val="24"/>
    </w:rPr>
  </w:style>
  <w:style w:type="character" w:customStyle="1" w:styleId="58">
    <w:name w:val="标题 8 字符"/>
    <w:basedOn w:val="37"/>
    <w:link w:val="11"/>
    <w:qFormat/>
    <w:locked/>
    <w:uiPriority w:val="99"/>
    <w:rPr>
      <w:rFonts w:ascii="Arial" w:hAnsi="Arial" w:eastAsia="黑体" w:cs="Times New Roman"/>
      <w:sz w:val="24"/>
      <w:szCs w:val="24"/>
    </w:rPr>
  </w:style>
  <w:style w:type="character" w:customStyle="1" w:styleId="59">
    <w:name w:val="标题 9 字符"/>
    <w:basedOn w:val="37"/>
    <w:link w:val="12"/>
    <w:qFormat/>
    <w:locked/>
    <w:uiPriority w:val="99"/>
    <w:rPr>
      <w:rFonts w:ascii="Arial" w:hAnsi="Arial" w:eastAsia="黑体" w:cs="Times New Roman"/>
      <w:sz w:val="21"/>
      <w:szCs w:val="21"/>
    </w:rPr>
  </w:style>
  <w:style w:type="character" w:customStyle="1" w:styleId="60">
    <w:name w:val="文档结构图 字符"/>
    <w:basedOn w:val="37"/>
    <w:link w:val="13"/>
    <w:semiHidden/>
    <w:qFormat/>
    <w:locked/>
    <w:uiPriority w:val="99"/>
    <w:rPr>
      <w:rFonts w:ascii="Times New Roman" w:hAnsi="Times New Roman" w:eastAsia="宋体" w:cs="Times New Roman"/>
      <w:sz w:val="20"/>
      <w:szCs w:val="20"/>
      <w:shd w:val="clear" w:color="auto" w:fill="000080"/>
    </w:rPr>
  </w:style>
  <w:style w:type="character" w:customStyle="1" w:styleId="61">
    <w:name w:val="批注文字 字符"/>
    <w:basedOn w:val="37"/>
    <w:link w:val="15"/>
    <w:semiHidden/>
    <w:qFormat/>
    <w:locked/>
    <w:uiPriority w:val="99"/>
    <w:rPr>
      <w:rFonts w:ascii="Times New Roman" w:hAnsi="Times New Roman" w:eastAsia="宋体" w:cs="Times New Roman"/>
      <w:sz w:val="20"/>
      <w:szCs w:val="20"/>
    </w:rPr>
  </w:style>
  <w:style w:type="character" w:customStyle="1" w:styleId="62">
    <w:name w:val="正文文本 3 字符"/>
    <w:basedOn w:val="37"/>
    <w:link w:val="16"/>
    <w:qFormat/>
    <w:locked/>
    <w:uiPriority w:val="99"/>
    <w:rPr>
      <w:rFonts w:ascii="Times New Roman" w:hAnsi="Times New Roman" w:eastAsia="宋体" w:cs="Times New Roman"/>
      <w:b/>
      <w:spacing w:val="-20"/>
      <w:w w:val="110"/>
      <w:sz w:val="20"/>
      <w:szCs w:val="20"/>
    </w:rPr>
  </w:style>
  <w:style w:type="character" w:customStyle="1" w:styleId="63">
    <w:name w:val="正文文本 字符"/>
    <w:basedOn w:val="37"/>
    <w:link w:val="2"/>
    <w:qFormat/>
    <w:locked/>
    <w:uiPriority w:val="99"/>
    <w:rPr>
      <w:rFonts w:ascii="Copperplate Gothic Bold" w:hAnsi="Copperplate Gothic Bold" w:eastAsia="宋体" w:cs="Times New Roman"/>
      <w:sz w:val="20"/>
      <w:szCs w:val="20"/>
    </w:rPr>
  </w:style>
  <w:style w:type="character" w:customStyle="1" w:styleId="64">
    <w:name w:val="正文文本缩进 字符"/>
    <w:basedOn w:val="37"/>
    <w:link w:val="17"/>
    <w:qFormat/>
    <w:locked/>
    <w:uiPriority w:val="99"/>
    <w:rPr>
      <w:rFonts w:ascii="楷体_GB2312" w:hAnsi="Times New Roman" w:eastAsia="楷体_GB2312" w:cs="Times New Roman"/>
      <w:sz w:val="20"/>
      <w:szCs w:val="20"/>
    </w:rPr>
  </w:style>
  <w:style w:type="character" w:customStyle="1" w:styleId="65">
    <w:name w:val="纯文本 字符"/>
    <w:basedOn w:val="37"/>
    <w:link w:val="20"/>
    <w:qFormat/>
    <w:locked/>
    <w:uiPriority w:val="99"/>
    <w:rPr>
      <w:rFonts w:ascii="宋体" w:hAnsi="Courier New" w:eastAsia="宋体" w:cs="Times New Roman"/>
      <w:sz w:val="20"/>
      <w:szCs w:val="20"/>
    </w:rPr>
  </w:style>
  <w:style w:type="character" w:customStyle="1" w:styleId="66">
    <w:name w:val="日期 字符"/>
    <w:basedOn w:val="37"/>
    <w:link w:val="21"/>
    <w:qFormat/>
    <w:locked/>
    <w:uiPriority w:val="99"/>
    <w:rPr>
      <w:rFonts w:ascii="Copperplate Gothic Bold" w:hAnsi="Copperplate Gothic Bold" w:eastAsia="宋体" w:cs="Times New Roman"/>
      <w:sz w:val="20"/>
      <w:szCs w:val="20"/>
    </w:rPr>
  </w:style>
  <w:style w:type="character" w:customStyle="1" w:styleId="67">
    <w:name w:val="正文文本缩进 2 字符"/>
    <w:basedOn w:val="37"/>
    <w:link w:val="22"/>
    <w:qFormat/>
    <w:locked/>
    <w:uiPriority w:val="99"/>
    <w:rPr>
      <w:rFonts w:ascii="楷体_GB2312" w:hAnsi="Times New Roman" w:eastAsia="楷体_GB2312" w:cs="Times New Roman"/>
      <w:sz w:val="20"/>
      <w:szCs w:val="20"/>
    </w:rPr>
  </w:style>
  <w:style w:type="character" w:customStyle="1" w:styleId="68">
    <w:name w:val="批注框文本 字符"/>
    <w:basedOn w:val="37"/>
    <w:link w:val="23"/>
    <w:semiHidden/>
    <w:qFormat/>
    <w:locked/>
    <w:uiPriority w:val="99"/>
    <w:rPr>
      <w:rFonts w:ascii="Times New Roman" w:hAnsi="Times New Roman" w:eastAsia="宋体" w:cs="Times New Roman"/>
      <w:sz w:val="18"/>
      <w:szCs w:val="18"/>
    </w:rPr>
  </w:style>
  <w:style w:type="character" w:customStyle="1" w:styleId="69">
    <w:name w:val="页脚 字符"/>
    <w:basedOn w:val="37"/>
    <w:link w:val="24"/>
    <w:qFormat/>
    <w:locked/>
    <w:uiPriority w:val="99"/>
    <w:rPr>
      <w:rFonts w:cs="Times New Roman"/>
      <w:sz w:val="18"/>
      <w:szCs w:val="18"/>
    </w:rPr>
  </w:style>
  <w:style w:type="character" w:customStyle="1" w:styleId="70">
    <w:name w:val="页眉 字符"/>
    <w:basedOn w:val="37"/>
    <w:link w:val="25"/>
    <w:qFormat/>
    <w:locked/>
    <w:uiPriority w:val="99"/>
    <w:rPr>
      <w:rFonts w:cs="Times New Roman"/>
      <w:sz w:val="18"/>
      <w:szCs w:val="18"/>
    </w:rPr>
  </w:style>
  <w:style w:type="character" w:customStyle="1" w:styleId="71">
    <w:name w:val="正文文本缩进 3 字符"/>
    <w:basedOn w:val="37"/>
    <w:link w:val="27"/>
    <w:qFormat/>
    <w:locked/>
    <w:uiPriority w:val="99"/>
    <w:rPr>
      <w:rFonts w:ascii="宋体" w:hAnsi="Copperplate Gothic Bold" w:eastAsia="宋体" w:cs="Times New Roman"/>
      <w:sz w:val="20"/>
      <w:szCs w:val="20"/>
    </w:rPr>
  </w:style>
  <w:style w:type="character" w:customStyle="1" w:styleId="72">
    <w:name w:val="正文文本 2 字符"/>
    <w:basedOn w:val="37"/>
    <w:link w:val="29"/>
    <w:qFormat/>
    <w:locked/>
    <w:uiPriority w:val="99"/>
    <w:rPr>
      <w:rFonts w:ascii="楷体_GB2312" w:hAnsi="Copperplate Gothic Bold" w:eastAsia="楷体_GB2312" w:cs="Times New Roman"/>
      <w:sz w:val="20"/>
      <w:szCs w:val="20"/>
    </w:rPr>
  </w:style>
  <w:style w:type="character" w:customStyle="1" w:styleId="73">
    <w:name w:val="标题 字符"/>
    <w:basedOn w:val="37"/>
    <w:link w:val="32"/>
    <w:qFormat/>
    <w:locked/>
    <w:uiPriority w:val="99"/>
    <w:rPr>
      <w:rFonts w:ascii="Arial" w:hAnsi="Arial" w:eastAsia="楷体_GB2312" w:cs="Arial"/>
      <w:b/>
      <w:sz w:val="32"/>
      <w:szCs w:val="32"/>
    </w:rPr>
  </w:style>
  <w:style w:type="paragraph" w:customStyle="1" w:styleId="74">
    <w:name w:val="缺省文本"/>
    <w:basedOn w:val="1"/>
    <w:qFormat/>
    <w:uiPriority w:val="99"/>
    <w:pPr>
      <w:autoSpaceDE w:val="0"/>
      <w:autoSpaceDN w:val="0"/>
      <w:adjustRightInd w:val="0"/>
      <w:jc w:val="left"/>
    </w:pPr>
    <w:rPr>
      <w:kern w:val="0"/>
      <w:sz w:val="24"/>
    </w:rPr>
  </w:style>
  <w:style w:type="paragraph" w:customStyle="1" w:styleId="75">
    <w:name w:val="??¨???¨????ì?¨¨??¨?o??????ì?¨¨?"/>
    <w:basedOn w:val="1"/>
    <w:qFormat/>
    <w:uiPriority w:val="99"/>
    <w:pPr>
      <w:autoSpaceDE w:val="0"/>
      <w:autoSpaceDN w:val="0"/>
      <w:adjustRightInd w:val="0"/>
      <w:jc w:val="left"/>
    </w:pPr>
    <w:rPr>
      <w:kern w:val="0"/>
      <w:sz w:val="24"/>
    </w:rPr>
  </w:style>
  <w:style w:type="paragraph" w:customStyle="1" w:styleId="76">
    <w:name w:val="?§?§?¨¤?§o????¨¤?"/>
    <w:basedOn w:val="1"/>
    <w:qFormat/>
    <w:uiPriority w:val="99"/>
    <w:pPr>
      <w:autoSpaceDE w:val="0"/>
      <w:autoSpaceDN w:val="0"/>
      <w:adjustRightInd w:val="0"/>
      <w:jc w:val="left"/>
    </w:pPr>
    <w:rPr>
      <w:kern w:val="0"/>
      <w:sz w:val="24"/>
    </w:rPr>
  </w:style>
  <w:style w:type="paragraph" w:customStyle="1" w:styleId="77">
    <w:name w:val="正文段"/>
    <w:basedOn w:val="1"/>
    <w:qFormat/>
    <w:uiPriority w:val="99"/>
    <w:pPr>
      <w:adjustRightInd w:val="0"/>
      <w:snapToGrid w:val="0"/>
      <w:spacing w:line="360" w:lineRule="auto"/>
    </w:pPr>
    <w:rPr>
      <w:rFonts w:eastAsia="仿宋_GB2312"/>
      <w:spacing w:val="-8"/>
      <w:sz w:val="24"/>
    </w:rPr>
  </w:style>
  <w:style w:type="paragraph" w:customStyle="1" w:styleId="78">
    <w:name w:val="Char"/>
    <w:basedOn w:val="1"/>
    <w:qFormat/>
    <w:uiPriority w:val="99"/>
    <w:rPr>
      <w:rFonts w:ascii="Tahoma" w:hAnsi="Tahoma"/>
      <w:sz w:val="24"/>
    </w:rPr>
  </w:style>
  <w:style w:type="paragraph" w:customStyle="1" w:styleId="79">
    <w:name w:val="Char Char Char"/>
    <w:basedOn w:val="1"/>
    <w:qFormat/>
    <w:uiPriority w:val="99"/>
  </w:style>
  <w:style w:type="paragraph" w:customStyle="1" w:styleId="80">
    <w:name w:val="Char Char Char Char"/>
    <w:basedOn w:val="1"/>
    <w:qFormat/>
    <w:uiPriority w:val="99"/>
    <w:pPr>
      <w:widowControl/>
      <w:spacing w:after="160" w:line="240" w:lineRule="exact"/>
      <w:jc w:val="center"/>
    </w:pPr>
    <w:rPr>
      <w:rFonts w:ascii="宋体" w:hAnsi="宋体"/>
      <w:b/>
      <w:kern w:val="0"/>
      <w:sz w:val="28"/>
      <w:szCs w:val="28"/>
      <w:lang w:eastAsia="en-US"/>
    </w:rPr>
  </w:style>
  <w:style w:type="paragraph" w:customStyle="1" w:styleId="81">
    <w:name w:val="Char Char Char Char Char Char"/>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82">
    <w:name w:val="文档正文"/>
    <w:basedOn w:val="1"/>
    <w:qFormat/>
    <w:uiPriority w:val="99"/>
    <w:pPr>
      <w:adjustRightInd w:val="0"/>
      <w:snapToGrid w:val="0"/>
      <w:spacing w:line="440" w:lineRule="exact"/>
      <w:ind w:firstLine="567"/>
      <w:textAlignment w:val="baseline"/>
    </w:pPr>
    <w:rPr>
      <w:rFonts w:ascii="Arial Narrow" w:hAnsi="Arial Narrow"/>
      <w:kern w:val="0"/>
      <w:sz w:val="24"/>
    </w:rPr>
  </w:style>
  <w:style w:type="paragraph" w:customStyle="1" w:styleId="83">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84">
    <w:name w:val="图"/>
    <w:basedOn w:val="1"/>
    <w:next w:val="82"/>
    <w:qFormat/>
    <w:uiPriority w:val="99"/>
    <w:pPr>
      <w:tabs>
        <w:tab w:val="left" w:pos="1755"/>
      </w:tabs>
      <w:adjustRightInd w:val="0"/>
      <w:spacing w:before="60" w:after="60" w:line="360" w:lineRule="atLeast"/>
      <w:ind w:left="1755" w:hanging="1125"/>
      <w:jc w:val="center"/>
      <w:textAlignment w:val="baseline"/>
    </w:pPr>
    <w:rPr>
      <w:rFonts w:eastAsia="黑体"/>
      <w:b/>
      <w:kern w:val="0"/>
      <w:sz w:val="24"/>
    </w:rPr>
  </w:style>
  <w:style w:type="paragraph" w:customStyle="1" w:styleId="85">
    <w:name w:val="Char1"/>
    <w:basedOn w:val="1"/>
    <w:qFormat/>
    <w:uiPriority w:val="0"/>
    <w:pPr>
      <w:tabs>
        <w:tab w:val="left" w:pos="360"/>
      </w:tabs>
    </w:pPr>
    <w:rPr>
      <w:sz w:val="24"/>
      <w:szCs w:val="24"/>
    </w:rPr>
  </w:style>
  <w:style w:type="paragraph" w:customStyle="1" w:styleId="86">
    <w:name w:val="Char1 Char Char Char"/>
    <w:basedOn w:val="1"/>
    <w:qFormat/>
    <w:uiPriority w:val="99"/>
    <w:rPr>
      <w:rFonts w:ascii="Tahoma" w:hAnsi="Tahoma"/>
      <w:szCs w:val="24"/>
    </w:rPr>
  </w:style>
  <w:style w:type="paragraph" w:customStyle="1" w:styleId="87">
    <w:name w:val="1册标题2"/>
    <w:basedOn w:val="1"/>
    <w:next w:val="1"/>
    <w:qFormat/>
    <w:uiPriority w:val="99"/>
    <w:pPr>
      <w:adjustRightInd w:val="0"/>
      <w:spacing w:beforeLines="50" w:afterLines="50" w:line="300" w:lineRule="auto"/>
      <w:jc w:val="center"/>
      <w:textAlignment w:val="baseline"/>
      <w:outlineLvl w:val="1"/>
    </w:pPr>
    <w:rPr>
      <w:rFonts w:ascii="Arial" w:hAnsi="Arial" w:eastAsia="黑体"/>
      <w:bCs/>
      <w:kern w:val="0"/>
      <w:sz w:val="32"/>
      <w:szCs w:val="24"/>
    </w:rPr>
  </w:style>
  <w:style w:type="paragraph" w:customStyle="1" w:styleId="88">
    <w:name w:val="Char Char Char Char1"/>
    <w:basedOn w:val="1"/>
    <w:qFormat/>
    <w:uiPriority w:val="99"/>
    <w:pPr>
      <w:tabs>
        <w:tab w:val="left" w:pos="360"/>
      </w:tabs>
    </w:pPr>
    <w:rPr>
      <w:sz w:val="24"/>
      <w:szCs w:val="24"/>
    </w:rPr>
  </w:style>
  <w:style w:type="paragraph" w:customStyle="1" w:styleId="89">
    <w:name w:val="pa-11"/>
    <w:basedOn w:val="1"/>
    <w:qFormat/>
    <w:uiPriority w:val="99"/>
    <w:pPr>
      <w:widowControl/>
      <w:spacing w:line="400" w:lineRule="atLeast"/>
      <w:jc w:val="center"/>
    </w:pPr>
    <w:rPr>
      <w:rFonts w:ascii="宋体" w:hAnsi="宋体" w:cs="宋体"/>
      <w:kern w:val="0"/>
      <w:sz w:val="24"/>
      <w:szCs w:val="24"/>
    </w:rPr>
  </w:style>
  <w:style w:type="paragraph" w:customStyle="1" w:styleId="90">
    <w:name w:val="正文基本样式"/>
    <w:basedOn w:val="1"/>
    <w:qFormat/>
    <w:uiPriority w:val="99"/>
    <w:pPr>
      <w:spacing w:line="336" w:lineRule="auto"/>
      <w:ind w:firstLine="580"/>
    </w:pPr>
    <w:rPr>
      <w:rFonts w:eastAsia="仿宋_GB2312" w:cs="宋体"/>
      <w:sz w:val="28"/>
    </w:rPr>
  </w:style>
  <w:style w:type="character" w:customStyle="1" w:styleId="91">
    <w:name w:val="base"/>
    <w:basedOn w:val="37"/>
    <w:qFormat/>
    <w:uiPriority w:val="99"/>
    <w:rPr>
      <w:rFonts w:cs="Times New Roman"/>
    </w:rPr>
  </w:style>
  <w:style w:type="character" w:customStyle="1" w:styleId="92">
    <w:name w:val="unnamed11"/>
    <w:basedOn w:val="37"/>
    <w:qFormat/>
    <w:uiPriority w:val="99"/>
    <w:rPr>
      <w:rFonts w:cs="Times New Roman"/>
    </w:rPr>
  </w:style>
  <w:style w:type="character" w:customStyle="1" w:styleId="93">
    <w:name w:val="style4"/>
    <w:basedOn w:val="37"/>
    <w:qFormat/>
    <w:uiPriority w:val="99"/>
    <w:rPr>
      <w:rFonts w:ascii="Arial" w:hAnsi="Arial" w:cs="Arial"/>
      <w:sz w:val="20"/>
      <w:szCs w:val="20"/>
    </w:rPr>
  </w:style>
  <w:style w:type="character" w:customStyle="1" w:styleId="94">
    <w:name w:val="Char Char3"/>
    <w:basedOn w:val="37"/>
    <w:qFormat/>
    <w:uiPriority w:val="99"/>
    <w:rPr>
      <w:rFonts w:eastAsia="宋体" w:cs="Times New Roman"/>
      <w:kern w:val="2"/>
      <w:sz w:val="18"/>
      <w:lang w:val="en-US" w:eastAsia="zh-CN" w:bidi="ar-SA"/>
    </w:rPr>
  </w:style>
  <w:style w:type="character" w:customStyle="1" w:styleId="95">
    <w:name w:val="正文缩进 字符"/>
    <w:basedOn w:val="37"/>
    <w:link w:val="5"/>
    <w:qFormat/>
    <w:locked/>
    <w:uiPriority w:val="0"/>
    <w:rPr>
      <w:rFonts w:ascii="Times New Roman" w:hAnsi="Times New Roman" w:eastAsia="宋体" w:cs="Times New Roman"/>
      <w:sz w:val="20"/>
      <w:szCs w:val="20"/>
    </w:rPr>
  </w:style>
  <w:style w:type="character" w:customStyle="1" w:styleId="96">
    <w:name w:val="hui3"/>
    <w:basedOn w:val="37"/>
    <w:qFormat/>
    <w:uiPriority w:val="99"/>
    <w:rPr>
      <w:rFonts w:cs="Times New Roman"/>
      <w:color w:val="333333"/>
    </w:rPr>
  </w:style>
  <w:style w:type="paragraph" w:customStyle="1" w:styleId="97">
    <w:name w:val="List Paragraph1"/>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98">
    <w:name w:val="Blockquote Char Char"/>
    <w:link w:val="99"/>
    <w:qFormat/>
    <w:locked/>
    <w:uiPriority w:val="99"/>
    <w:rPr>
      <w:sz w:val="24"/>
    </w:rPr>
  </w:style>
  <w:style w:type="paragraph" w:customStyle="1" w:styleId="99">
    <w:name w:val="Blockquote"/>
    <w:basedOn w:val="1"/>
    <w:link w:val="98"/>
    <w:qFormat/>
    <w:uiPriority w:val="99"/>
    <w:pPr>
      <w:autoSpaceDE w:val="0"/>
      <w:autoSpaceDN w:val="0"/>
      <w:adjustRightInd w:val="0"/>
      <w:spacing w:before="100" w:after="100"/>
      <w:ind w:left="360" w:right="360"/>
      <w:jc w:val="left"/>
    </w:pPr>
    <w:rPr>
      <w:kern w:val="0"/>
      <w:sz w:val="24"/>
    </w:rPr>
  </w:style>
  <w:style w:type="character" w:customStyle="1" w:styleId="100">
    <w:name w:val="rili11"/>
    <w:qFormat/>
    <w:uiPriority w:val="99"/>
    <w:rPr>
      <w:sz w:val="21"/>
    </w:rPr>
  </w:style>
  <w:style w:type="character" w:customStyle="1" w:styleId="101">
    <w:name w:val="Char Char Char Char Char Char Char Char Char"/>
    <w:qFormat/>
    <w:uiPriority w:val="99"/>
    <w:rPr>
      <w:sz w:val="18"/>
    </w:rPr>
  </w:style>
  <w:style w:type="paragraph" w:customStyle="1" w:styleId="102">
    <w:name w:val="Char2"/>
    <w:basedOn w:val="1"/>
    <w:qFormat/>
    <w:uiPriority w:val="99"/>
    <w:pPr>
      <w:widowControl/>
      <w:spacing w:after="160" w:line="240" w:lineRule="exact"/>
      <w:jc w:val="left"/>
    </w:pPr>
    <w:rPr>
      <w:szCs w:val="24"/>
    </w:rPr>
  </w:style>
  <w:style w:type="paragraph" w:customStyle="1" w:styleId="103">
    <w:name w:val="表格文字"/>
    <w:basedOn w:val="1"/>
    <w:qFormat/>
    <w:uiPriority w:val="99"/>
    <w:pPr>
      <w:adjustRightInd w:val="0"/>
      <w:spacing w:line="420" w:lineRule="atLeast"/>
      <w:jc w:val="left"/>
      <w:textAlignment w:val="baseline"/>
    </w:pPr>
    <w:rPr>
      <w:kern w:val="0"/>
    </w:rPr>
  </w:style>
  <w:style w:type="paragraph" w:customStyle="1" w:styleId="104">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05">
    <w:name w:val="Char Char1"/>
    <w:basedOn w:val="1"/>
    <w:qFormat/>
    <w:uiPriority w:val="99"/>
    <w:pPr>
      <w:adjustRightInd w:val="0"/>
      <w:spacing w:line="440" w:lineRule="exact"/>
    </w:pPr>
    <w:rPr>
      <w:rFonts w:ascii="宋体"/>
      <w:kern w:val="0"/>
      <w:sz w:val="28"/>
      <w:szCs w:val="27"/>
    </w:rPr>
  </w:style>
  <w:style w:type="paragraph" w:customStyle="1" w:styleId="106">
    <w:name w:val="Char Char1 Char Char Char Char Char Char Char Char Char Char Char Char Char"/>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07">
    <w:name w:val="Char Char1 Char Char Char Char Char Char Char Char Char Char Char Char Char1"/>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08">
    <w:name w:val="Char Char Char1"/>
    <w:basedOn w:val="1"/>
    <w:qFormat/>
    <w:uiPriority w:val="99"/>
    <w:pPr>
      <w:widowControl/>
      <w:spacing w:after="160" w:line="240" w:lineRule="exact"/>
      <w:jc w:val="left"/>
    </w:pPr>
    <w:rPr>
      <w:szCs w:val="24"/>
    </w:rPr>
  </w:style>
  <w:style w:type="paragraph" w:customStyle="1" w:styleId="109">
    <w:name w:val="Char Char Char Char Char Char Char"/>
    <w:basedOn w:val="1"/>
    <w:qFormat/>
    <w:uiPriority w:val="99"/>
    <w:rPr>
      <w:rFonts w:ascii="Tahoma" w:hAnsi="Tahoma"/>
      <w:sz w:val="24"/>
    </w:rPr>
  </w:style>
  <w:style w:type="paragraph" w:customStyle="1" w:styleId="110">
    <w:name w:val="Char Char Char Char Char Char Char1"/>
    <w:basedOn w:val="1"/>
    <w:qFormat/>
    <w:uiPriority w:val="99"/>
    <w:rPr>
      <w:rFonts w:ascii="Tahoma" w:hAnsi="Tahoma"/>
      <w:sz w:val="24"/>
      <w:szCs w:val="24"/>
    </w:rPr>
  </w:style>
  <w:style w:type="paragraph" w:customStyle="1" w:styleId="111">
    <w:name w:val="目录"/>
    <w:basedOn w:val="1"/>
    <w:qFormat/>
    <w:uiPriority w:val="99"/>
    <w:pPr>
      <w:widowControl/>
      <w:jc w:val="center"/>
    </w:pPr>
    <w:rPr>
      <w:rFonts w:ascii="宋体"/>
      <w:b/>
      <w:kern w:val="0"/>
      <w:sz w:val="36"/>
    </w:rPr>
  </w:style>
  <w:style w:type="paragraph" w:customStyle="1" w:styleId="112">
    <w:name w:val="Revision1"/>
    <w:hidden/>
    <w:semiHidden/>
    <w:qFormat/>
    <w:uiPriority w:val="99"/>
    <w:rPr>
      <w:rFonts w:ascii="Times New Roman" w:hAnsi="Times New Roman" w:eastAsia="宋体" w:cs="Times New Roman"/>
      <w:kern w:val="2"/>
      <w:sz w:val="21"/>
      <w:szCs w:val="24"/>
      <w:lang w:val="en-US" w:eastAsia="zh-CN" w:bidi="ar-SA"/>
    </w:rPr>
  </w:style>
  <w:style w:type="paragraph" w:customStyle="1" w:styleId="113">
    <w:name w:val="Char Char Char Char2"/>
    <w:basedOn w:val="1"/>
    <w:qFormat/>
    <w:uiPriority w:val="99"/>
    <w:pPr>
      <w:widowControl/>
      <w:spacing w:after="160" w:line="240" w:lineRule="exact"/>
      <w:jc w:val="left"/>
    </w:pPr>
    <w:rPr>
      <w:szCs w:val="24"/>
    </w:rPr>
  </w:style>
  <w:style w:type="character" w:customStyle="1" w:styleId="114">
    <w:name w:val="列表段落 字符"/>
    <w:link w:val="115"/>
    <w:qFormat/>
    <w:uiPriority w:val="0"/>
    <w:rPr>
      <w:szCs w:val="24"/>
    </w:rPr>
  </w:style>
  <w:style w:type="paragraph" w:styleId="115">
    <w:name w:val="List Paragraph"/>
    <w:basedOn w:val="1"/>
    <w:link w:val="114"/>
    <w:qFormat/>
    <w:uiPriority w:val="0"/>
    <w:pPr>
      <w:ind w:firstLine="420" w:firstLineChars="200"/>
    </w:pPr>
    <w:rPr>
      <w:szCs w:val="24"/>
    </w:rPr>
  </w:style>
  <w:style w:type="paragraph" w:customStyle="1" w:styleId="116">
    <w:name w:val="表格"/>
    <w:basedOn w:val="1"/>
    <w:qFormat/>
    <w:uiPriority w:val="0"/>
    <w:pPr>
      <w:spacing w:line="400" w:lineRule="exact"/>
    </w:pPr>
    <w:rPr>
      <w:sz w:val="24"/>
      <w:szCs w:val="24"/>
    </w:rPr>
  </w:style>
  <w:style w:type="character" w:customStyle="1" w:styleId="117">
    <w:name w:val="font51"/>
    <w:basedOn w:val="37"/>
    <w:qFormat/>
    <w:uiPriority w:val="0"/>
    <w:rPr>
      <w:rFonts w:hint="eastAsia" w:ascii="宋体" w:hAnsi="宋体" w:eastAsia="宋体" w:cs="宋体"/>
      <w:color w:val="000000"/>
      <w:sz w:val="24"/>
      <w:szCs w:val="24"/>
    </w:rPr>
  </w:style>
  <w:style w:type="paragraph" w:customStyle="1" w:styleId="11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19">
    <w:name w:val="font11"/>
    <w:basedOn w:val="37"/>
    <w:qFormat/>
    <w:uiPriority w:val="0"/>
    <w:rPr>
      <w:rFonts w:hint="eastAsia" w:ascii="宋体" w:hAnsi="宋体" w:eastAsia="宋体" w:cs="宋体"/>
      <w:b/>
      <w:color w:val="FF0000"/>
      <w:sz w:val="20"/>
      <w:szCs w:val="20"/>
      <w:u w:val="none"/>
    </w:rPr>
  </w:style>
  <w:style w:type="character" w:customStyle="1" w:styleId="120">
    <w:name w:val="font21"/>
    <w:basedOn w:val="37"/>
    <w:qFormat/>
    <w:uiPriority w:val="0"/>
    <w:rPr>
      <w:rFonts w:hint="eastAsia" w:ascii="宋体" w:hAnsi="宋体" w:eastAsia="宋体" w:cs="宋体"/>
      <w:color w:val="000000"/>
      <w:sz w:val="20"/>
      <w:szCs w:val="20"/>
      <w:u w:val="none"/>
    </w:rPr>
  </w:style>
  <w:style w:type="character" w:customStyle="1" w:styleId="121">
    <w:name w:val="font01"/>
    <w:basedOn w:val="37"/>
    <w:qFormat/>
    <w:uiPriority w:val="0"/>
    <w:rPr>
      <w:rFonts w:hint="eastAsia" w:ascii="宋体" w:hAnsi="宋体" w:eastAsia="宋体" w:cs="宋体"/>
      <w:b/>
      <w:color w:val="000000"/>
      <w:sz w:val="20"/>
      <w:szCs w:val="20"/>
      <w:u w:val="none"/>
    </w:rPr>
  </w:style>
  <w:style w:type="paragraph" w:customStyle="1" w:styleId="122">
    <w:name w:val="样式 首行缩进:  2 字符"/>
    <w:basedOn w:val="1"/>
    <w:qFormat/>
    <w:uiPriority w:val="0"/>
    <w:pPr>
      <w:spacing w:line="400" w:lineRule="exact"/>
      <w:ind w:firstLine="200" w:firstLineChars="200"/>
    </w:pPr>
    <w:rPr>
      <w:rFonts w:cs="宋体"/>
      <w:sz w:val="24"/>
    </w:rPr>
  </w:style>
  <w:style w:type="character" w:customStyle="1" w:styleId="123">
    <w:name w:val="font41"/>
    <w:basedOn w:val="37"/>
    <w:qFormat/>
    <w:uiPriority w:val="0"/>
    <w:rPr>
      <w:rFonts w:hint="default" w:ascii="等线" w:hAnsi="等线" w:eastAsia="等线" w:cs="等线"/>
      <w:color w:val="000000"/>
      <w:sz w:val="22"/>
      <w:szCs w:val="22"/>
      <w:u w:val="none"/>
    </w:rPr>
  </w:style>
  <w:style w:type="paragraph" w:customStyle="1" w:styleId="124">
    <w:name w:val="titl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5">
    <w:name w:val="p15"/>
    <w:basedOn w:val="1"/>
    <w:qFormat/>
    <w:uiPriority w:val="0"/>
    <w:pPr>
      <w:widowControl/>
      <w:spacing w:line="360" w:lineRule="auto"/>
      <w:jc w:val="left"/>
    </w:pPr>
    <w:rPr>
      <w:kern w:val="0"/>
      <w:sz w:val="24"/>
    </w:rPr>
  </w:style>
  <w:style w:type="character" w:customStyle="1" w:styleId="126">
    <w:name w:val="NormalCharacter"/>
    <w:link w:val="127"/>
    <w:semiHidden/>
    <w:qFormat/>
    <w:locked/>
    <w:uiPriority w:val="99"/>
    <w:rPr>
      <w:kern w:val="0"/>
      <w:sz w:val="24"/>
      <w:szCs w:val="20"/>
    </w:rPr>
  </w:style>
  <w:style w:type="paragraph" w:customStyle="1" w:styleId="127">
    <w:name w:val="UserStyle_85"/>
    <w:basedOn w:val="1"/>
    <w:link w:val="126"/>
    <w:qFormat/>
    <w:uiPriority w:val="99"/>
    <w:pPr>
      <w:spacing w:after="160" w:line="240" w:lineRule="exact"/>
    </w:pPr>
    <w:rPr>
      <w:kern w:val="0"/>
      <w:sz w:val="24"/>
    </w:rPr>
  </w:style>
  <w:style w:type="paragraph" w:customStyle="1" w:styleId="128">
    <w:name w:val="Normal_36_0"/>
    <w:qFormat/>
    <w:uiPriority w:val="99"/>
    <w:pPr>
      <w:spacing w:before="120" w:after="240"/>
      <w:jc w:val="both"/>
    </w:pPr>
    <w:rPr>
      <w:rFonts w:ascii="Calibri" w:hAnsi="Calibri" w:eastAsia="宋体" w:cs="Times New Roman"/>
      <w:sz w:val="22"/>
      <w:szCs w:val="22"/>
      <w:lang w:val="en-US" w:eastAsia="en-US" w:bidi="ar-SA"/>
    </w:rPr>
  </w:style>
  <w:style w:type="paragraph" w:customStyle="1" w:styleId="129">
    <w:name w:val="Normal_37_0"/>
    <w:qFormat/>
    <w:uiPriority w:val="99"/>
    <w:pPr>
      <w:spacing w:before="120" w:after="240"/>
      <w:jc w:val="both"/>
    </w:pPr>
    <w:rPr>
      <w:rFonts w:ascii="Calibri" w:hAnsi="Calibri" w:eastAsia="宋体" w:cs="Times New Roman"/>
      <w:sz w:val="22"/>
      <w:szCs w:val="22"/>
      <w:lang w:val="en-US" w:eastAsia="en-US" w:bidi="ar-SA"/>
    </w:rPr>
  </w:style>
  <w:style w:type="paragraph" w:customStyle="1" w:styleId="130">
    <w:name w:val="标书正文"/>
    <w:basedOn w:val="1"/>
    <w:qFormat/>
    <w:uiPriority w:val="0"/>
    <w:pPr>
      <w:tabs>
        <w:tab w:val="left" w:pos="600"/>
      </w:tabs>
      <w:snapToGrid w:val="0"/>
      <w:spacing w:line="480" w:lineRule="atLeast"/>
      <w:jc w:val="center"/>
    </w:pPr>
    <w:rPr>
      <w:rFonts w:eastAsia="黑体"/>
      <w:b/>
      <w:sz w:val="30"/>
    </w:rPr>
  </w:style>
  <w:style w:type="paragraph" w:customStyle="1" w:styleId="131">
    <w:name w:val="表注1"/>
    <w:basedOn w:val="1"/>
    <w:qFormat/>
    <w:uiPriority w:val="0"/>
    <w:pPr>
      <w:adjustRightInd w:val="0"/>
      <w:snapToGrid w:val="0"/>
      <w:spacing w:before="156" w:beforeLines="50" w:line="300" w:lineRule="auto"/>
      <w:ind w:left="350" w:hanging="350" w:hangingChars="350"/>
    </w:pPr>
    <w:rPr>
      <w:rFonts w:eastAsia="仿宋_GB2312"/>
      <w:bCs/>
      <w:color w:val="000000"/>
      <w:szCs w:val="24"/>
    </w:rPr>
  </w:style>
  <w:style w:type="character" w:customStyle="1" w:styleId="132">
    <w:name w:val="phone"/>
    <w:basedOn w:val="37"/>
    <w:qFormat/>
    <w:uiPriority w:val="0"/>
    <w:rPr>
      <w:color w:val="FF8833"/>
      <w:sz w:val="18"/>
      <w:szCs w:val="18"/>
    </w:rPr>
  </w:style>
  <w:style w:type="character" w:customStyle="1" w:styleId="133">
    <w:name w:val="proollist"/>
    <w:basedOn w:val="37"/>
    <w:qFormat/>
    <w:uiPriority w:val="0"/>
  </w:style>
  <w:style w:type="character" w:customStyle="1" w:styleId="134">
    <w:name w:val="number"/>
    <w:basedOn w:val="37"/>
    <w:qFormat/>
    <w:uiPriority w:val="0"/>
    <w:rPr>
      <w:color w:val="FF8833"/>
      <w:sz w:val="18"/>
      <w:szCs w:val="18"/>
    </w:rPr>
  </w:style>
  <w:style w:type="character" w:customStyle="1" w:styleId="135">
    <w:name w:val="stclosebtn"/>
    <w:basedOn w:val="37"/>
    <w:qFormat/>
    <w:uiPriority w:val="0"/>
  </w:style>
  <w:style w:type="character" w:customStyle="1" w:styleId="136">
    <w:name w:val="beforeinfotext"/>
    <w:basedOn w:val="37"/>
    <w:qFormat/>
    <w:uiPriority w:val="0"/>
    <w:rPr>
      <w:color w:val="666666"/>
    </w:rPr>
  </w:style>
  <w:style w:type="character" w:customStyle="1" w:styleId="137">
    <w:name w:val="indent"/>
    <w:basedOn w:val="37"/>
    <w:qFormat/>
    <w:uiPriority w:val="0"/>
  </w:style>
  <w:style w:type="character" w:customStyle="1" w:styleId="138">
    <w:name w:val="hover3"/>
    <w:basedOn w:val="37"/>
    <w:qFormat/>
    <w:uiPriority w:val="0"/>
    <w:rPr>
      <w:shd w:val="clear" w:color="auto" w:fill="EEEEEE"/>
    </w:rPr>
  </w:style>
  <w:style w:type="character" w:customStyle="1" w:styleId="139">
    <w:name w:val="old"/>
    <w:basedOn w:val="37"/>
    <w:qFormat/>
    <w:uiPriority w:val="0"/>
    <w:rPr>
      <w:color w:val="999999"/>
    </w:rPr>
  </w:style>
  <w:style w:type="character" w:customStyle="1" w:styleId="140">
    <w:name w:val="glyphicon4"/>
    <w:basedOn w:val="37"/>
    <w:qFormat/>
    <w:uiPriority w:val="0"/>
  </w:style>
  <w:style w:type="character" w:customStyle="1" w:styleId="141">
    <w:name w:val="hour_am"/>
    <w:basedOn w:val="37"/>
    <w:qFormat/>
    <w:uiPriority w:val="0"/>
  </w:style>
  <w:style w:type="character" w:customStyle="1" w:styleId="142">
    <w:name w:val="hour_pm"/>
    <w:basedOn w:val="37"/>
    <w:qFormat/>
    <w:uiPriority w:val="0"/>
  </w:style>
  <w:style w:type="character" w:customStyle="1" w:styleId="143">
    <w:name w:val="button"/>
    <w:basedOn w:val="37"/>
    <w:qFormat/>
    <w:uiPriority w:val="0"/>
  </w:style>
  <w:style w:type="character" w:customStyle="1" w:styleId="144">
    <w:name w:val="tmpztreemove_arrow"/>
    <w:basedOn w:val="37"/>
    <w:qFormat/>
    <w:uiPriority w:val="0"/>
    <w:rPr>
      <w:shd w:val="clear" w:color="auto" w:fill="FFFFFF"/>
    </w:rPr>
  </w:style>
  <w:style w:type="paragraph" w:customStyle="1" w:styleId="145">
    <w:name w:val="正文空2格  1."/>
    <w:basedOn w:val="1"/>
    <w:qFormat/>
    <w:uiPriority w:val="0"/>
    <w:pPr>
      <w:adjustRightInd w:val="0"/>
      <w:spacing w:line="360" w:lineRule="auto"/>
      <w:ind w:firstLine="480" w:firstLineChars="200"/>
    </w:pPr>
    <w:rPr>
      <w:rFonts w:hint="eastAsia" w:ascii="宋体" w:eastAsia="仿宋" w:cs="宋体"/>
      <w:kern w:val="0"/>
      <w:sz w:val="28"/>
    </w:rPr>
  </w:style>
  <w:style w:type="paragraph" w:customStyle="1" w:styleId="146">
    <w:name w:val="样式 标题 2 + 两端对齐"/>
    <w:basedOn w:val="4"/>
    <w:qFormat/>
    <w:uiPriority w:val="99"/>
    <w:pPr>
      <w:widowControl w:val="0"/>
      <w:spacing w:line="520" w:lineRule="exact"/>
      <w:jc w:val="both"/>
    </w:pPr>
    <w:rPr>
      <w:rFonts w:ascii="Arial" w:hAnsi="Arial" w:eastAsia="Microsoft JhengHei"/>
      <w:color w:val="000000"/>
      <w:kern w:val="1"/>
      <w:szCs w:val="28"/>
    </w:rPr>
  </w:style>
  <w:style w:type="paragraph" w:customStyle="1" w:styleId="147">
    <w:name w:val="样式 标题 3 + (中文) 黑体 小四 非加粗 段前: 7.8 磅 段后: 0 磅 行距: 固定值 20 磅"/>
    <w:basedOn w:val="6"/>
    <w:qFormat/>
    <w:uiPriority w:val="0"/>
    <w:pPr>
      <w:spacing w:before="0" w:after="0" w:line="400" w:lineRule="exact"/>
    </w:pPr>
    <w:rPr>
      <w:rFonts w:eastAsia="黑体"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5" Type="http://schemas.openxmlformats.org/officeDocument/2006/relationships/fontTable" Target="fontTable.xml"/><Relationship Id="rId44" Type="http://schemas.openxmlformats.org/officeDocument/2006/relationships/customXml" Target="../customXml/item2.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11.wmf"/><Relationship Id="rId40" Type="http://schemas.openxmlformats.org/officeDocument/2006/relationships/oleObject" Target="embeddings/oleObject10.bin"/><Relationship Id="rId4" Type="http://schemas.openxmlformats.org/officeDocument/2006/relationships/header" Target="header2.xml"/><Relationship Id="rId39" Type="http://schemas.openxmlformats.org/officeDocument/2006/relationships/image" Target="media/image10.wmf"/><Relationship Id="rId38" Type="http://schemas.openxmlformats.org/officeDocument/2006/relationships/oleObject" Target="embeddings/oleObject9.bin"/><Relationship Id="rId37" Type="http://schemas.openxmlformats.org/officeDocument/2006/relationships/image" Target="media/image9.wmf"/><Relationship Id="rId36" Type="http://schemas.openxmlformats.org/officeDocument/2006/relationships/oleObject" Target="embeddings/oleObject8.bin"/><Relationship Id="rId35" Type="http://schemas.openxmlformats.org/officeDocument/2006/relationships/image" Target="media/image8.wmf"/><Relationship Id="rId34" Type="http://schemas.openxmlformats.org/officeDocument/2006/relationships/oleObject" Target="embeddings/oleObject7.bin"/><Relationship Id="rId33" Type="http://schemas.openxmlformats.org/officeDocument/2006/relationships/image" Target="media/image7.wmf"/><Relationship Id="rId32" Type="http://schemas.openxmlformats.org/officeDocument/2006/relationships/oleObject" Target="embeddings/oleObject6.bin"/><Relationship Id="rId31" Type="http://schemas.openxmlformats.org/officeDocument/2006/relationships/image" Target="media/image6.wmf"/><Relationship Id="rId30" Type="http://schemas.openxmlformats.org/officeDocument/2006/relationships/oleObject" Target="embeddings/oleObject5.bin"/><Relationship Id="rId3" Type="http://schemas.openxmlformats.org/officeDocument/2006/relationships/header" Target="header1.xml"/><Relationship Id="rId29" Type="http://schemas.openxmlformats.org/officeDocument/2006/relationships/image" Target="media/image5.wmf"/><Relationship Id="rId28" Type="http://schemas.openxmlformats.org/officeDocument/2006/relationships/oleObject" Target="embeddings/oleObject4.bin"/><Relationship Id="rId27" Type="http://schemas.openxmlformats.org/officeDocument/2006/relationships/image" Target="media/image4.wmf"/><Relationship Id="rId26" Type="http://schemas.openxmlformats.org/officeDocument/2006/relationships/oleObject" Target="embeddings/oleObject3.bin"/><Relationship Id="rId25" Type="http://schemas.openxmlformats.org/officeDocument/2006/relationships/image" Target="media/image3.wmf"/><Relationship Id="rId24" Type="http://schemas.openxmlformats.org/officeDocument/2006/relationships/oleObject" Target="embeddings/oleObject2.bin"/><Relationship Id="rId23" Type="http://schemas.openxmlformats.org/officeDocument/2006/relationships/image" Target="media/image2.wmf"/><Relationship Id="rId22" Type="http://schemas.openxmlformats.org/officeDocument/2006/relationships/oleObject" Target="embeddings/oleObject1.bin"/><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102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A8C56-56B8-4650-81B4-34FD7A2E23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132</Pages>
  <Words>80954</Words>
  <Characters>87849</Characters>
  <Lines>334</Lines>
  <Paragraphs>94</Paragraphs>
  <TotalTime>8</TotalTime>
  <ScaleCrop>false</ScaleCrop>
  <LinksUpToDate>false</LinksUpToDate>
  <CharactersWithSpaces>92128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2017-10-30T07:32:00Z</dcterms:created>
  <dc:creator>Administrator</dc:creator>
  <cp:lastModifiedBy>Administrator</cp:lastModifiedBy>
  <cp:lastPrinted>2022-03-16T09:22:00Z</cp:lastPrinted>
  <dcterms:modified xsi:type="dcterms:W3CDTF">2022-07-11T00:56:07Z</dcterms:modified>
  <dc:title>_                                    招标编号：ZD0814-013Z</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AB46210AEECC4F9495631FC4AB63EE0F</vt:lpwstr>
  </property>
</Properties>
</file>