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jc w:val="center"/>
        <w:rPr>
          <w:rFonts w:hint="eastAsia" w:ascii="宋体" w:hAnsi="宋体" w:cs="宋体"/>
          <w:b/>
          <w:bCs/>
          <w:color w:val="auto"/>
          <w:sz w:val="40"/>
          <w:szCs w:val="28"/>
          <w:highlight w:val="none"/>
          <w:lang w:val="zh-CN"/>
        </w:rPr>
      </w:pPr>
    </w:p>
    <w:p>
      <w:pPr>
        <w:autoSpaceDE w:val="0"/>
        <w:autoSpaceDN w:val="0"/>
        <w:adjustRightInd w:val="0"/>
        <w:snapToGrid w:val="0"/>
        <w:jc w:val="center"/>
        <w:rPr>
          <w:rFonts w:hint="eastAsia" w:ascii="宋体" w:hAnsi="宋体" w:cs="宋体"/>
          <w:b/>
          <w:bCs/>
          <w:color w:val="auto"/>
          <w:sz w:val="40"/>
          <w:szCs w:val="28"/>
          <w:highlight w:val="none"/>
          <w:lang w:val="zh-CN"/>
        </w:rPr>
      </w:pPr>
    </w:p>
    <w:p>
      <w:pPr>
        <w:autoSpaceDE w:val="0"/>
        <w:autoSpaceDN w:val="0"/>
        <w:adjustRightInd w:val="0"/>
        <w:snapToGrid w:val="0"/>
        <w:jc w:val="center"/>
        <w:rPr>
          <w:rFonts w:hint="eastAsia" w:ascii="宋体" w:hAnsi="宋体" w:eastAsia="宋体" w:cs="宋体"/>
          <w:b/>
          <w:color w:val="auto"/>
          <w:kern w:val="0"/>
          <w:sz w:val="52"/>
          <w:szCs w:val="56"/>
          <w:highlight w:val="none"/>
          <w:lang w:val="en-US" w:eastAsia="zh-CN"/>
        </w:rPr>
      </w:pPr>
      <w:r>
        <w:rPr>
          <w:rFonts w:hint="eastAsia" w:hAnsi="宋体" w:cs="宋体"/>
          <w:b/>
          <w:bCs/>
          <w:color w:val="auto"/>
          <w:sz w:val="40"/>
          <w:szCs w:val="28"/>
          <w:highlight w:val="none"/>
          <w:lang w:val="zh-CN"/>
        </w:rPr>
        <w:t>礼泉县中医院康复科设备采购项目</w:t>
      </w:r>
    </w:p>
    <w:p>
      <w:pPr>
        <w:autoSpaceDE w:val="0"/>
        <w:autoSpaceDN w:val="0"/>
        <w:adjustRightInd w:val="0"/>
        <w:snapToGrid w:val="0"/>
        <w:jc w:val="center"/>
        <w:rPr>
          <w:rFonts w:hint="eastAsia" w:ascii="宋体" w:hAnsi="宋体" w:eastAsia="宋体" w:cs="宋体"/>
          <w:b/>
          <w:color w:val="auto"/>
          <w:kern w:val="0"/>
          <w:sz w:val="72"/>
          <w:szCs w:val="84"/>
          <w:highlight w:val="none"/>
          <w:lang w:val="en-US" w:eastAsia="zh-CN"/>
        </w:rPr>
      </w:pPr>
    </w:p>
    <w:p>
      <w:pPr>
        <w:autoSpaceDE w:val="0"/>
        <w:autoSpaceDN w:val="0"/>
        <w:adjustRightInd w:val="0"/>
        <w:snapToGrid w:val="0"/>
        <w:jc w:val="center"/>
        <w:rPr>
          <w:rFonts w:hint="eastAsia" w:ascii="宋体" w:hAnsi="宋体" w:eastAsia="宋体" w:cs="宋体"/>
          <w:b/>
          <w:color w:val="auto"/>
          <w:kern w:val="0"/>
          <w:sz w:val="56"/>
          <w:szCs w:val="72"/>
          <w:highlight w:val="none"/>
        </w:rPr>
      </w:pPr>
      <w:r>
        <w:rPr>
          <w:rFonts w:hint="eastAsia" w:ascii="宋体" w:hAnsi="宋体" w:eastAsia="宋体" w:cs="宋体"/>
          <w:b/>
          <w:color w:val="auto"/>
          <w:kern w:val="0"/>
          <w:sz w:val="56"/>
          <w:szCs w:val="72"/>
          <w:highlight w:val="none"/>
          <w:lang w:val="en-US" w:eastAsia="zh-CN"/>
        </w:rPr>
        <w:t>竞争性磋商</w:t>
      </w:r>
      <w:r>
        <w:rPr>
          <w:rFonts w:hint="eastAsia" w:ascii="宋体" w:hAnsi="宋体" w:eastAsia="宋体" w:cs="宋体"/>
          <w:b/>
          <w:color w:val="auto"/>
          <w:kern w:val="0"/>
          <w:sz w:val="56"/>
          <w:szCs w:val="72"/>
          <w:highlight w:val="none"/>
        </w:rPr>
        <w:t>文件</w:t>
      </w:r>
    </w:p>
    <w:p>
      <w:pPr>
        <w:pStyle w:val="2"/>
        <w:rPr>
          <w:rFonts w:hint="eastAsia" w:ascii="宋体" w:hAnsi="宋体" w:eastAsia="宋体" w:cs="宋体"/>
          <w:color w:val="auto"/>
          <w:highlight w:val="none"/>
        </w:rPr>
      </w:pPr>
    </w:p>
    <w:p>
      <w:pPr>
        <w:spacing w:line="360" w:lineRule="auto"/>
        <w:jc w:val="center"/>
        <w:rPr>
          <w:rFonts w:hint="default" w:ascii="宋体" w:hAnsi="宋体" w:eastAsia="宋体" w:cs="宋体"/>
          <w:b/>
          <w:color w:val="auto"/>
          <w:sz w:val="84"/>
          <w:szCs w:val="84"/>
          <w:highlight w:val="none"/>
          <w:lang w:val="en-US"/>
        </w:rPr>
      </w:pPr>
      <w:r>
        <w:rPr>
          <w:rFonts w:hint="eastAsia" w:ascii="宋体" w:hAnsi="宋体" w:eastAsia="宋体" w:cs="宋体"/>
          <w:b/>
          <w:color w:val="auto"/>
          <w:sz w:val="32"/>
          <w:szCs w:val="32"/>
          <w:highlight w:val="none"/>
        </w:rPr>
        <w:t>项目编号：</w:t>
      </w:r>
      <w:r>
        <w:rPr>
          <w:rFonts w:hint="eastAsia" w:hAnsi="宋体" w:cs="宋体"/>
          <w:b/>
          <w:color w:val="auto"/>
          <w:sz w:val="32"/>
          <w:szCs w:val="32"/>
          <w:highlight w:val="none"/>
          <w:lang w:val="en-US" w:eastAsia="zh-CN"/>
        </w:rPr>
        <w:t>LCBH—22—17</w:t>
      </w:r>
    </w:p>
    <w:p>
      <w:pPr>
        <w:spacing w:line="360" w:lineRule="auto"/>
        <w:jc w:val="center"/>
        <w:rPr>
          <w:rFonts w:hint="eastAsia" w:ascii="宋体" w:hAnsi="宋体" w:eastAsia="宋体" w:cs="宋体"/>
          <w:b/>
          <w:color w:val="auto"/>
          <w:sz w:val="36"/>
          <w:szCs w:val="36"/>
          <w:highlight w:val="none"/>
        </w:rPr>
      </w:pPr>
    </w:p>
    <w:p>
      <w:pPr>
        <w:spacing w:line="720" w:lineRule="auto"/>
        <w:ind w:firstLine="1641" w:firstLineChars="454"/>
        <w:jc w:val="left"/>
        <w:rPr>
          <w:rFonts w:hint="eastAsia" w:ascii="宋体" w:hAnsi="宋体" w:eastAsia="宋体" w:cs="宋体"/>
          <w:b/>
          <w:color w:val="auto"/>
          <w:sz w:val="28"/>
          <w:szCs w:val="28"/>
          <w:highlight w:val="none"/>
        </w:rPr>
      </w:pPr>
      <w:r>
        <w:rPr>
          <w:rFonts w:hint="eastAsia" w:ascii="宋体" w:hAnsi="宋体" w:eastAsia="宋体" w:cs="宋体"/>
          <w:b/>
          <w:bCs/>
          <w:color w:val="auto"/>
          <w:sz w:val="36"/>
          <w:szCs w:val="36"/>
          <w:highlight w:val="none"/>
        </w:rPr>
        <w:drawing>
          <wp:anchor distT="0" distB="0" distL="114300" distR="114300" simplePos="0" relativeHeight="251659264" behindDoc="0" locked="0" layoutInCell="1" allowOverlap="1">
            <wp:simplePos x="0" y="0"/>
            <wp:positionH relativeFrom="column">
              <wp:posOffset>1816100</wp:posOffset>
            </wp:positionH>
            <wp:positionV relativeFrom="paragraph">
              <wp:posOffset>447675</wp:posOffset>
            </wp:positionV>
            <wp:extent cx="2057400" cy="2009775"/>
            <wp:effectExtent l="0" t="0" r="0" b="9525"/>
            <wp:wrapNone/>
            <wp:docPr id="2" name="图片 1" descr="1590672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590672115(1)"/>
                    <pic:cNvPicPr>
                      <a:picLocks noChangeAspect="1"/>
                    </pic:cNvPicPr>
                  </pic:nvPicPr>
                  <pic:blipFill>
                    <a:blip r:embed="rId12"/>
                    <a:stretch>
                      <a:fillRect/>
                    </a:stretch>
                  </pic:blipFill>
                  <pic:spPr>
                    <a:xfrm>
                      <a:off x="0" y="0"/>
                      <a:ext cx="2057400" cy="2009775"/>
                    </a:xfrm>
                    <a:prstGeom prst="rect">
                      <a:avLst/>
                    </a:prstGeom>
                    <a:noFill/>
                    <a:ln>
                      <a:noFill/>
                    </a:ln>
                  </pic:spPr>
                </pic:pic>
              </a:graphicData>
            </a:graphic>
          </wp:anchor>
        </w:drawing>
      </w:r>
      <w:r>
        <w:rPr>
          <w:rFonts w:hint="eastAsia" w:ascii="宋体" w:hAnsi="宋体" w:eastAsia="宋体" w:cs="宋体"/>
          <w:b/>
          <w:color w:val="auto"/>
          <w:sz w:val="28"/>
          <w:szCs w:val="28"/>
          <w:highlight w:val="none"/>
        </w:rPr>
        <w:t xml:space="preserve">  </w:t>
      </w:r>
    </w:p>
    <w:p>
      <w:pPr>
        <w:pStyle w:val="27"/>
        <w:ind w:firstLine="562"/>
        <w:rPr>
          <w:rFonts w:hint="eastAsia" w:ascii="宋体" w:hAnsi="宋体" w:eastAsia="宋体" w:cs="宋体"/>
          <w:b/>
          <w:color w:val="auto"/>
          <w:szCs w:val="28"/>
          <w:highlight w:val="none"/>
        </w:rPr>
      </w:pPr>
    </w:p>
    <w:p>
      <w:pPr>
        <w:pStyle w:val="27"/>
        <w:ind w:firstLine="562"/>
        <w:rPr>
          <w:rFonts w:hint="eastAsia" w:ascii="宋体" w:hAnsi="宋体" w:eastAsia="宋体" w:cs="宋体"/>
          <w:b/>
          <w:color w:val="auto"/>
          <w:szCs w:val="28"/>
          <w:highlight w:val="none"/>
        </w:rPr>
      </w:pPr>
    </w:p>
    <w:p>
      <w:pPr>
        <w:pStyle w:val="27"/>
        <w:ind w:firstLine="562"/>
        <w:rPr>
          <w:rFonts w:hint="eastAsia" w:ascii="宋体" w:hAnsi="宋体" w:eastAsia="宋体" w:cs="宋体"/>
          <w:b/>
          <w:color w:val="auto"/>
          <w:szCs w:val="28"/>
          <w:highlight w:val="none"/>
        </w:rPr>
      </w:pPr>
    </w:p>
    <w:p>
      <w:pPr>
        <w:spacing w:line="720" w:lineRule="auto"/>
        <w:jc w:val="left"/>
        <w:rPr>
          <w:rFonts w:hint="eastAsia" w:ascii="宋体" w:hAnsi="宋体" w:eastAsia="宋体" w:cs="宋体"/>
          <w:b/>
          <w:color w:val="auto"/>
          <w:sz w:val="28"/>
          <w:szCs w:val="28"/>
          <w:highlight w:val="none"/>
        </w:rPr>
      </w:pPr>
    </w:p>
    <w:p>
      <w:pPr>
        <w:spacing w:line="720" w:lineRule="auto"/>
        <w:ind w:firstLine="904" w:firstLineChars="300"/>
        <w:jc w:val="left"/>
        <w:rPr>
          <w:rFonts w:hint="eastAsia" w:ascii="宋体" w:hAnsi="宋体" w:eastAsia="宋体" w:cs="宋体"/>
          <w:b/>
          <w:color w:val="auto"/>
          <w:sz w:val="30"/>
          <w:szCs w:val="30"/>
          <w:highlight w:val="none"/>
          <w:lang w:val="en-US" w:eastAsia="zh-CN"/>
        </w:rPr>
      </w:pPr>
    </w:p>
    <w:p>
      <w:pPr>
        <w:spacing w:line="720" w:lineRule="auto"/>
        <w:jc w:val="left"/>
        <w:rPr>
          <w:rFonts w:hint="eastAsia" w:ascii="宋体" w:hAnsi="宋体" w:eastAsia="宋体" w:cs="宋体"/>
          <w:b/>
          <w:color w:val="auto"/>
          <w:sz w:val="30"/>
          <w:szCs w:val="30"/>
          <w:highlight w:val="none"/>
          <w:lang w:val="en-US" w:eastAsia="zh-CN"/>
        </w:rPr>
      </w:pPr>
    </w:p>
    <w:p>
      <w:pPr>
        <w:spacing w:line="720" w:lineRule="auto"/>
        <w:ind w:left="1896" w:leftChars="726" w:hanging="154" w:hangingChars="51"/>
        <w:jc w:val="left"/>
        <w:rPr>
          <w:rFonts w:hint="eastAsia" w:ascii="宋体" w:hAnsi="宋体" w:eastAsia="宋体" w:cs="宋体"/>
          <w:b/>
          <w:color w:val="auto"/>
          <w:sz w:val="30"/>
          <w:szCs w:val="30"/>
          <w:highlight w:val="none"/>
          <w:lang w:val="en-US" w:eastAsia="zh-CN"/>
        </w:rPr>
      </w:pPr>
    </w:p>
    <w:p>
      <w:pPr>
        <w:spacing w:line="720" w:lineRule="auto"/>
        <w:ind w:left="1896" w:leftChars="726" w:hanging="154" w:hangingChars="51"/>
        <w:jc w:val="left"/>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lang w:val="en-US" w:eastAsia="zh-CN"/>
        </w:rPr>
        <w:t xml:space="preserve">采   </w:t>
      </w:r>
      <w:r>
        <w:rPr>
          <w:rFonts w:hint="eastAsia" w:ascii="宋体" w:hAnsi="宋体" w:eastAsia="宋体" w:cs="宋体"/>
          <w:b/>
          <w:color w:val="auto"/>
          <w:sz w:val="30"/>
          <w:szCs w:val="30"/>
          <w:highlight w:val="none"/>
          <w:lang w:eastAsia="zh-CN"/>
        </w:rPr>
        <w:t>购</w:t>
      </w:r>
      <w:r>
        <w:rPr>
          <w:rFonts w:hint="eastAsia" w:ascii="宋体" w:hAnsi="宋体" w:eastAsia="宋体" w:cs="宋体"/>
          <w:b/>
          <w:color w:val="auto"/>
          <w:sz w:val="30"/>
          <w:szCs w:val="30"/>
          <w:highlight w:val="none"/>
        </w:rPr>
        <w:t xml:space="preserve">   人：</w:t>
      </w:r>
      <w:r>
        <w:rPr>
          <w:rFonts w:hint="eastAsia" w:hAnsi="宋体" w:cs="宋体"/>
          <w:b/>
          <w:color w:val="auto"/>
          <w:sz w:val="30"/>
          <w:szCs w:val="30"/>
          <w:highlight w:val="none"/>
          <w:u w:val="thick"/>
          <w:lang w:eastAsia="zh-CN"/>
        </w:rPr>
        <w:t>礼泉县中医医院</w:t>
      </w:r>
    </w:p>
    <w:p>
      <w:pPr>
        <w:spacing w:line="720" w:lineRule="auto"/>
        <w:ind w:left="1896" w:leftChars="726" w:hanging="154" w:hangingChars="51"/>
        <w:jc w:val="left"/>
        <w:rPr>
          <w:rFonts w:hint="eastAsia" w:ascii="宋体" w:hAnsi="宋体" w:eastAsia="宋体" w:cs="宋体"/>
          <w:b/>
          <w:color w:val="auto"/>
          <w:sz w:val="30"/>
          <w:szCs w:val="30"/>
          <w:highlight w:val="none"/>
          <w:u w:val="thick"/>
        </w:rPr>
      </w:pPr>
      <w:r>
        <w:rPr>
          <w:rFonts w:hint="eastAsia" w:ascii="宋体" w:hAnsi="宋体" w:eastAsia="宋体" w:cs="宋体"/>
          <w:b/>
          <w:color w:val="auto"/>
          <w:sz w:val="30"/>
          <w:szCs w:val="30"/>
          <w:highlight w:val="none"/>
          <w:lang w:eastAsia="zh-CN"/>
        </w:rPr>
        <w:t>采购</w:t>
      </w:r>
      <w:r>
        <w:rPr>
          <w:rFonts w:hint="eastAsia" w:ascii="宋体" w:hAnsi="宋体" w:eastAsia="宋体" w:cs="宋体"/>
          <w:b/>
          <w:color w:val="auto"/>
          <w:sz w:val="30"/>
          <w:szCs w:val="30"/>
          <w:highlight w:val="none"/>
        </w:rPr>
        <w:t>代理机构：</w:t>
      </w:r>
      <w:r>
        <w:rPr>
          <w:rFonts w:hint="eastAsia" w:ascii="宋体" w:hAnsi="宋体" w:cs="宋体"/>
          <w:b/>
          <w:color w:val="auto"/>
          <w:sz w:val="30"/>
          <w:szCs w:val="30"/>
          <w:highlight w:val="none"/>
          <w:u w:val="thick"/>
          <w:lang w:eastAsia="zh-CN"/>
        </w:rPr>
        <w:t>陕西中采项目管理有限公司</w:t>
      </w:r>
    </w:p>
    <w:p>
      <w:pPr>
        <w:spacing w:line="720" w:lineRule="auto"/>
        <w:ind w:left="1896" w:leftChars="726" w:hanging="154" w:hangingChars="51"/>
        <w:jc w:val="left"/>
        <w:rPr>
          <w:color w:val="auto"/>
          <w:sz w:val="30"/>
          <w:szCs w:val="30"/>
          <w:highlight w:val="none"/>
        </w:rPr>
      </w:pPr>
      <w:r>
        <w:rPr>
          <w:rFonts w:hint="eastAsia" w:ascii="宋体" w:hAnsi="宋体" w:eastAsia="宋体" w:cs="宋体"/>
          <w:b/>
          <w:color w:val="auto"/>
          <w:sz w:val="30"/>
          <w:szCs w:val="30"/>
          <w:highlight w:val="none"/>
        </w:rPr>
        <w:t>日        期：</w:t>
      </w:r>
      <w:r>
        <w:rPr>
          <w:rFonts w:hint="eastAsia" w:ascii="宋体" w:hAnsi="宋体" w:eastAsia="宋体" w:cs="宋体"/>
          <w:b/>
          <w:color w:val="auto"/>
          <w:sz w:val="30"/>
          <w:szCs w:val="30"/>
          <w:highlight w:val="none"/>
          <w:u w:val="thick"/>
        </w:rPr>
        <w:t>二〇二</w:t>
      </w:r>
      <w:r>
        <w:rPr>
          <w:rFonts w:hint="eastAsia" w:hAnsi="宋体" w:cs="宋体"/>
          <w:b/>
          <w:color w:val="auto"/>
          <w:sz w:val="30"/>
          <w:szCs w:val="30"/>
          <w:highlight w:val="none"/>
          <w:u w:val="thick"/>
          <w:lang w:eastAsia="zh-CN"/>
        </w:rPr>
        <w:t>三</w:t>
      </w:r>
      <w:r>
        <w:rPr>
          <w:rFonts w:hint="eastAsia" w:ascii="宋体" w:hAnsi="宋体" w:eastAsia="宋体" w:cs="宋体"/>
          <w:b/>
          <w:color w:val="auto"/>
          <w:sz w:val="30"/>
          <w:szCs w:val="30"/>
          <w:highlight w:val="none"/>
          <w:u w:val="thick"/>
        </w:rPr>
        <w:t>年</w:t>
      </w:r>
      <w:r>
        <w:rPr>
          <w:rFonts w:hint="eastAsia" w:hAnsi="宋体" w:cs="宋体"/>
          <w:b/>
          <w:color w:val="auto"/>
          <w:sz w:val="30"/>
          <w:szCs w:val="30"/>
          <w:highlight w:val="none"/>
          <w:u w:val="thick"/>
          <w:lang w:eastAsia="zh-CN"/>
        </w:rPr>
        <w:t>七</w:t>
      </w:r>
      <w:r>
        <w:rPr>
          <w:rFonts w:hint="eastAsia" w:ascii="宋体" w:hAnsi="宋体" w:eastAsia="宋体" w:cs="宋体"/>
          <w:b/>
          <w:color w:val="auto"/>
          <w:sz w:val="30"/>
          <w:szCs w:val="30"/>
          <w:highlight w:val="none"/>
          <w:u w:val="thick"/>
        </w:rPr>
        <w:t>月</w:t>
      </w:r>
    </w:p>
    <w:p>
      <w:pPr>
        <w:rPr>
          <w:rFonts w:hint="eastAsia"/>
          <w:color w:val="auto"/>
          <w:highlight w:val="none"/>
          <w:lang w:val="en-US" w:eastAsia="zh-CN"/>
        </w:rPr>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p>
    <w:sdt>
      <w:sdtPr>
        <w:rPr>
          <w:rFonts w:hint="eastAsia" w:ascii="宋体" w:hAnsi="宋体" w:eastAsia="宋体" w:cs="宋体"/>
          <w:b/>
          <w:bCs/>
          <w:color w:val="auto"/>
          <w:sz w:val="32"/>
          <w:szCs w:val="32"/>
          <w:highlight w:val="none"/>
          <w:lang w:val="en-US" w:eastAsia="zh-CN" w:bidi="ar-SA"/>
        </w:rPr>
        <w:id w:val="147470590"/>
        <w15:color w:val="DBDBDB"/>
        <w:docPartObj>
          <w:docPartGallery w:val="Table of Contents"/>
          <w:docPartUnique/>
        </w:docPartObj>
      </w:sdtPr>
      <w:sdtEndPr>
        <w:rPr>
          <w:rFonts w:hint="eastAsia" w:ascii="宋体" w:hAnsi="宋体" w:eastAsia="宋体" w:cs="宋体"/>
          <w:b/>
          <w:bCs/>
          <w:color w:val="auto"/>
          <w:sz w:val="32"/>
          <w:szCs w:val="32"/>
          <w:highlight w:val="none"/>
          <w:lang w:val="en-US" w:eastAsia="zh-CN" w:bidi="ar-SA"/>
        </w:rPr>
      </w:sdtEndPr>
      <w:sdtContent>
        <w:p>
          <w:pPr>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color w:val="auto"/>
              <w:sz w:val="32"/>
              <w:szCs w:val="32"/>
              <w:highlight w:val="none"/>
              <w:lang w:val="en-US" w:eastAsia="zh-CN" w:bidi="ar-SA"/>
            </w:rPr>
          </w:pPr>
          <w:bookmarkStart w:id="0" w:name="_Toc28504"/>
          <w:bookmarkStart w:id="1" w:name="_Toc32298"/>
          <w:bookmarkStart w:id="2" w:name="_Toc31758"/>
          <w:bookmarkStart w:id="3" w:name="_Toc26849"/>
          <w:bookmarkStart w:id="4" w:name="_Toc31289"/>
        </w:p>
        <w:p>
          <w:pPr>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color w:val="auto"/>
              <w:sz w:val="40"/>
              <w:szCs w:val="40"/>
              <w:highlight w:val="none"/>
            </w:rPr>
          </w:pPr>
          <w:r>
            <w:rPr>
              <w:rFonts w:hint="eastAsia" w:ascii="宋体" w:hAnsi="宋体" w:eastAsia="宋体" w:cs="宋体"/>
              <w:b/>
              <w:bCs/>
              <w:color w:val="auto"/>
              <w:sz w:val="40"/>
              <w:szCs w:val="40"/>
              <w:highlight w:val="none"/>
            </w:rPr>
            <w:t>目</w:t>
          </w:r>
          <w:r>
            <w:rPr>
              <w:rFonts w:hint="eastAsia" w:ascii="宋体" w:hAnsi="宋体" w:eastAsia="宋体" w:cs="宋体"/>
              <w:b/>
              <w:bCs/>
              <w:color w:val="auto"/>
              <w:sz w:val="40"/>
              <w:szCs w:val="40"/>
              <w:highlight w:val="none"/>
              <w:lang w:val="en-US" w:eastAsia="zh-CN"/>
            </w:rPr>
            <w:t xml:space="preserve">  </w:t>
          </w:r>
          <w:r>
            <w:rPr>
              <w:rFonts w:hint="eastAsia" w:ascii="宋体" w:hAnsi="宋体" w:eastAsia="宋体" w:cs="宋体"/>
              <w:b/>
              <w:bCs/>
              <w:color w:val="auto"/>
              <w:sz w:val="40"/>
              <w:szCs w:val="40"/>
              <w:highlight w:val="none"/>
            </w:rPr>
            <w:t>录</w:t>
          </w:r>
        </w:p>
        <w:p>
          <w:pPr>
            <w:pStyle w:val="31"/>
            <w:keepNext w:val="0"/>
            <w:keepLines w:val="0"/>
            <w:pageBreakBefore w:val="0"/>
            <w:widowControl w:val="0"/>
            <w:tabs>
              <w:tab w:val="right" w:leader="dot" w:pos="9070"/>
              <w:tab w:val="clear" w:pos="1418"/>
              <w:tab w:val="clear" w:pos="8302"/>
            </w:tabs>
            <w:kinsoku/>
            <w:wordWrap/>
            <w:overflowPunct/>
            <w:topLinePunct w:val="0"/>
            <w:autoSpaceDE/>
            <w:autoSpaceDN/>
            <w:bidi w:val="0"/>
            <w:adjustRightInd/>
            <w:snapToGrid/>
            <w:spacing w:line="480" w:lineRule="auto"/>
            <w:textAlignment w:val="auto"/>
            <w:rPr>
              <w:sz w:val="32"/>
              <w:szCs w:val="32"/>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"1-3"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32"/>
              <w:szCs w:val="32"/>
              <w:highlight w:val="none"/>
            </w:rPr>
            <w:fldChar w:fldCharType="begin"/>
          </w:r>
          <w:r>
            <w:rPr>
              <w:rFonts w:hint="eastAsia" w:ascii="宋体" w:hAnsi="宋体" w:eastAsia="宋体" w:cs="宋体"/>
              <w:sz w:val="32"/>
              <w:szCs w:val="32"/>
              <w:highlight w:val="none"/>
            </w:rPr>
            <w:instrText xml:space="preserve"> HYPERLINK \l _Toc2319 </w:instrText>
          </w:r>
          <w:r>
            <w:rPr>
              <w:rFonts w:hint="eastAsia" w:ascii="宋体" w:hAnsi="宋体" w:eastAsia="宋体" w:cs="宋体"/>
              <w:sz w:val="32"/>
              <w:szCs w:val="32"/>
              <w:highlight w:val="none"/>
            </w:rPr>
            <w:fldChar w:fldCharType="separate"/>
          </w:r>
          <w:r>
            <w:rPr>
              <w:rFonts w:hint="eastAsia"/>
              <w:sz w:val="32"/>
              <w:szCs w:val="32"/>
              <w:highlight w:val="none"/>
            </w:rPr>
            <w:t xml:space="preserve">第一章  </w:t>
          </w:r>
          <w:r>
            <w:rPr>
              <w:rFonts w:hint="eastAsia"/>
              <w:sz w:val="32"/>
              <w:szCs w:val="32"/>
              <w:highlight w:val="none"/>
              <w:lang w:eastAsia="zh-CN"/>
            </w:rPr>
            <w:t>竞争性磋商</w:t>
          </w:r>
          <w:r>
            <w:rPr>
              <w:rFonts w:hint="eastAsia"/>
              <w:sz w:val="32"/>
              <w:szCs w:val="32"/>
              <w:highlight w:val="none"/>
            </w:rPr>
            <w:t>公告</w:t>
          </w:r>
          <w:r>
            <w:rPr>
              <w:sz w:val="32"/>
              <w:szCs w:val="32"/>
              <w:highlight w:val="none"/>
            </w:rPr>
            <w:tab/>
          </w:r>
          <w:r>
            <w:rPr>
              <w:sz w:val="32"/>
              <w:szCs w:val="32"/>
              <w:highlight w:val="none"/>
            </w:rPr>
            <w:fldChar w:fldCharType="begin"/>
          </w:r>
          <w:r>
            <w:rPr>
              <w:sz w:val="32"/>
              <w:szCs w:val="32"/>
              <w:highlight w:val="none"/>
            </w:rPr>
            <w:instrText xml:space="preserve"> PAGEREF _Toc2319 \h </w:instrText>
          </w:r>
          <w:r>
            <w:rPr>
              <w:sz w:val="32"/>
              <w:szCs w:val="32"/>
              <w:highlight w:val="none"/>
            </w:rPr>
            <w:fldChar w:fldCharType="separate"/>
          </w:r>
          <w:r>
            <w:rPr>
              <w:sz w:val="32"/>
              <w:szCs w:val="32"/>
              <w:highlight w:val="none"/>
            </w:rPr>
            <w:t>2</w:t>
          </w:r>
          <w:r>
            <w:rPr>
              <w:sz w:val="32"/>
              <w:szCs w:val="32"/>
              <w:highlight w:val="none"/>
            </w:rPr>
            <w:fldChar w:fldCharType="end"/>
          </w:r>
          <w:r>
            <w:rPr>
              <w:rFonts w:hint="eastAsia" w:ascii="宋体" w:hAnsi="宋体" w:eastAsia="宋体" w:cs="宋体"/>
              <w:color w:val="auto"/>
              <w:sz w:val="32"/>
              <w:szCs w:val="32"/>
              <w:highlight w:val="none"/>
            </w:rPr>
            <w:fldChar w:fldCharType="end"/>
          </w:r>
        </w:p>
        <w:p>
          <w:pPr>
            <w:pStyle w:val="31"/>
            <w:keepNext w:val="0"/>
            <w:keepLines w:val="0"/>
            <w:pageBreakBefore w:val="0"/>
            <w:widowControl w:val="0"/>
            <w:tabs>
              <w:tab w:val="right" w:leader="dot" w:pos="9070"/>
              <w:tab w:val="clear" w:pos="1418"/>
              <w:tab w:val="clear" w:pos="8302"/>
            </w:tabs>
            <w:kinsoku/>
            <w:wordWrap/>
            <w:overflowPunct/>
            <w:topLinePunct w:val="0"/>
            <w:autoSpaceDE/>
            <w:autoSpaceDN/>
            <w:bidi w:val="0"/>
            <w:adjustRightInd/>
            <w:snapToGrid/>
            <w:spacing w:line="480" w:lineRule="auto"/>
            <w:textAlignment w:val="auto"/>
            <w:rPr>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sz w:val="32"/>
              <w:szCs w:val="32"/>
              <w:highlight w:val="none"/>
            </w:rPr>
            <w:instrText xml:space="preserve"> HYPERLINK \l _Toc25121 </w:instrText>
          </w:r>
          <w:r>
            <w:rPr>
              <w:rFonts w:hint="eastAsia" w:ascii="宋体" w:hAnsi="宋体" w:eastAsia="宋体" w:cs="宋体"/>
              <w:sz w:val="32"/>
              <w:szCs w:val="32"/>
              <w:highlight w:val="none"/>
            </w:rPr>
            <w:fldChar w:fldCharType="separate"/>
          </w:r>
          <w:r>
            <w:rPr>
              <w:rFonts w:hint="eastAsia"/>
              <w:sz w:val="32"/>
              <w:szCs w:val="32"/>
              <w:highlight w:val="none"/>
              <w:lang w:eastAsia="zh-CN"/>
            </w:rPr>
            <w:t>第二章</w:t>
          </w:r>
          <w:r>
            <w:rPr>
              <w:rFonts w:hint="eastAsia"/>
              <w:sz w:val="32"/>
              <w:szCs w:val="32"/>
              <w:highlight w:val="none"/>
              <w:lang w:val="en-US" w:eastAsia="zh-CN"/>
            </w:rPr>
            <w:t xml:space="preserve">  </w:t>
          </w:r>
          <w:r>
            <w:rPr>
              <w:rFonts w:hint="eastAsia"/>
              <w:sz w:val="32"/>
              <w:szCs w:val="32"/>
              <w:highlight w:val="none"/>
            </w:rPr>
            <w:t>供应商须知</w:t>
          </w:r>
          <w:r>
            <w:rPr>
              <w:sz w:val="32"/>
              <w:szCs w:val="32"/>
              <w:highlight w:val="none"/>
            </w:rPr>
            <w:tab/>
          </w:r>
          <w:r>
            <w:rPr>
              <w:sz w:val="32"/>
              <w:szCs w:val="32"/>
              <w:highlight w:val="none"/>
            </w:rPr>
            <w:fldChar w:fldCharType="begin"/>
          </w:r>
          <w:r>
            <w:rPr>
              <w:sz w:val="32"/>
              <w:szCs w:val="32"/>
              <w:highlight w:val="none"/>
            </w:rPr>
            <w:instrText xml:space="preserve"> PAGEREF _Toc25121 \h </w:instrText>
          </w:r>
          <w:r>
            <w:rPr>
              <w:sz w:val="32"/>
              <w:szCs w:val="32"/>
              <w:highlight w:val="none"/>
            </w:rPr>
            <w:fldChar w:fldCharType="separate"/>
          </w:r>
          <w:r>
            <w:rPr>
              <w:sz w:val="32"/>
              <w:szCs w:val="32"/>
              <w:highlight w:val="none"/>
            </w:rPr>
            <w:t>2</w:t>
          </w:r>
          <w:r>
            <w:rPr>
              <w:sz w:val="32"/>
              <w:szCs w:val="32"/>
              <w:highlight w:val="none"/>
            </w:rPr>
            <w:fldChar w:fldCharType="end"/>
          </w:r>
          <w:r>
            <w:rPr>
              <w:rFonts w:hint="eastAsia" w:ascii="宋体" w:hAnsi="宋体" w:eastAsia="宋体" w:cs="宋体"/>
              <w:color w:val="auto"/>
              <w:sz w:val="32"/>
              <w:szCs w:val="32"/>
              <w:highlight w:val="none"/>
            </w:rPr>
            <w:fldChar w:fldCharType="end"/>
          </w:r>
        </w:p>
        <w:p>
          <w:pPr>
            <w:pStyle w:val="31"/>
            <w:keepNext w:val="0"/>
            <w:keepLines w:val="0"/>
            <w:pageBreakBefore w:val="0"/>
            <w:widowControl w:val="0"/>
            <w:tabs>
              <w:tab w:val="right" w:leader="dot" w:pos="9070"/>
              <w:tab w:val="clear" w:pos="1418"/>
              <w:tab w:val="clear" w:pos="8302"/>
            </w:tabs>
            <w:kinsoku/>
            <w:wordWrap/>
            <w:overflowPunct/>
            <w:topLinePunct w:val="0"/>
            <w:autoSpaceDE/>
            <w:autoSpaceDN/>
            <w:bidi w:val="0"/>
            <w:adjustRightInd/>
            <w:snapToGrid/>
            <w:spacing w:line="480" w:lineRule="auto"/>
            <w:textAlignment w:val="auto"/>
            <w:rPr>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sz w:val="32"/>
              <w:szCs w:val="32"/>
              <w:highlight w:val="none"/>
            </w:rPr>
            <w:instrText xml:space="preserve"> HYPERLINK \l _Toc14138 </w:instrText>
          </w:r>
          <w:r>
            <w:rPr>
              <w:rFonts w:hint="eastAsia" w:ascii="宋体" w:hAnsi="宋体" w:eastAsia="宋体" w:cs="宋体"/>
              <w:sz w:val="32"/>
              <w:szCs w:val="32"/>
              <w:highlight w:val="none"/>
            </w:rPr>
            <w:fldChar w:fldCharType="separate"/>
          </w:r>
          <w:r>
            <w:rPr>
              <w:rFonts w:hint="eastAsia"/>
              <w:sz w:val="32"/>
              <w:szCs w:val="32"/>
              <w:highlight w:val="none"/>
            </w:rPr>
            <w:t>第三章  合同条款及格式</w:t>
          </w:r>
          <w:r>
            <w:rPr>
              <w:sz w:val="32"/>
              <w:szCs w:val="32"/>
              <w:highlight w:val="none"/>
            </w:rPr>
            <w:tab/>
          </w:r>
          <w:r>
            <w:rPr>
              <w:sz w:val="32"/>
              <w:szCs w:val="32"/>
              <w:highlight w:val="none"/>
            </w:rPr>
            <w:fldChar w:fldCharType="begin"/>
          </w:r>
          <w:r>
            <w:rPr>
              <w:sz w:val="32"/>
              <w:szCs w:val="32"/>
              <w:highlight w:val="none"/>
            </w:rPr>
            <w:instrText xml:space="preserve"> PAGEREF _Toc14138 \h </w:instrText>
          </w:r>
          <w:r>
            <w:rPr>
              <w:sz w:val="32"/>
              <w:szCs w:val="32"/>
              <w:highlight w:val="none"/>
            </w:rPr>
            <w:fldChar w:fldCharType="separate"/>
          </w:r>
          <w:r>
            <w:rPr>
              <w:sz w:val="32"/>
              <w:szCs w:val="32"/>
              <w:highlight w:val="none"/>
            </w:rPr>
            <w:t>22</w:t>
          </w:r>
          <w:r>
            <w:rPr>
              <w:sz w:val="32"/>
              <w:szCs w:val="32"/>
              <w:highlight w:val="none"/>
            </w:rPr>
            <w:fldChar w:fldCharType="end"/>
          </w:r>
          <w:r>
            <w:rPr>
              <w:rFonts w:hint="eastAsia" w:ascii="宋体" w:hAnsi="宋体" w:eastAsia="宋体" w:cs="宋体"/>
              <w:color w:val="auto"/>
              <w:sz w:val="32"/>
              <w:szCs w:val="32"/>
              <w:highlight w:val="none"/>
            </w:rPr>
            <w:fldChar w:fldCharType="end"/>
          </w:r>
        </w:p>
        <w:p>
          <w:pPr>
            <w:pStyle w:val="31"/>
            <w:keepNext w:val="0"/>
            <w:keepLines w:val="0"/>
            <w:pageBreakBefore w:val="0"/>
            <w:widowControl w:val="0"/>
            <w:tabs>
              <w:tab w:val="right" w:leader="dot" w:pos="9070"/>
              <w:tab w:val="clear" w:pos="1418"/>
              <w:tab w:val="clear" w:pos="8302"/>
            </w:tabs>
            <w:kinsoku/>
            <w:wordWrap/>
            <w:overflowPunct/>
            <w:topLinePunct w:val="0"/>
            <w:autoSpaceDE/>
            <w:autoSpaceDN/>
            <w:bidi w:val="0"/>
            <w:adjustRightInd/>
            <w:snapToGrid/>
            <w:spacing w:line="480" w:lineRule="auto"/>
            <w:textAlignment w:val="auto"/>
            <w:rPr>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sz w:val="32"/>
              <w:szCs w:val="32"/>
              <w:highlight w:val="none"/>
            </w:rPr>
            <w:instrText xml:space="preserve"> HYPERLINK \l _Toc13021 </w:instrText>
          </w:r>
          <w:r>
            <w:rPr>
              <w:rFonts w:hint="eastAsia" w:ascii="宋体" w:hAnsi="宋体" w:eastAsia="宋体" w:cs="宋体"/>
              <w:sz w:val="32"/>
              <w:szCs w:val="32"/>
              <w:highlight w:val="none"/>
            </w:rPr>
            <w:fldChar w:fldCharType="separate"/>
          </w:r>
          <w:r>
            <w:rPr>
              <w:rFonts w:hint="eastAsia"/>
              <w:sz w:val="32"/>
              <w:szCs w:val="32"/>
              <w:highlight w:val="none"/>
              <w:lang w:eastAsia="zh-CN"/>
            </w:rPr>
            <w:t xml:space="preserve">第四章 </w:t>
          </w:r>
          <w:r>
            <w:rPr>
              <w:rFonts w:hint="eastAsia"/>
              <w:sz w:val="32"/>
              <w:szCs w:val="32"/>
              <w:highlight w:val="none"/>
              <w:lang w:val="en-US" w:eastAsia="zh-CN"/>
            </w:rPr>
            <w:t xml:space="preserve"> </w:t>
          </w:r>
          <w:r>
            <w:rPr>
              <w:rFonts w:hint="eastAsia"/>
              <w:sz w:val="32"/>
              <w:szCs w:val="32"/>
              <w:highlight w:val="none"/>
              <w:lang w:eastAsia="zh-CN"/>
            </w:rPr>
            <w:t>采购内容及技术要求</w:t>
          </w:r>
          <w:r>
            <w:rPr>
              <w:sz w:val="32"/>
              <w:szCs w:val="32"/>
              <w:highlight w:val="none"/>
            </w:rPr>
            <w:tab/>
          </w:r>
          <w:r>
            <w:rPr>
              <w:sz w:val="32"/>
              <w:szCs w:val="32"/>
              <w:highlight w:val="none"/>
            </w:rPr>
            <w:fldChar w:fldCharType="begin"/>
          </w:r>
          <w:r>
            <w:rPr>
              <w:sz w:val="32"/>
              <w:szCs w:val="32"/>
              <w:highlight w:val="none"/>
            </w:rPr>
            <w:instrText xml:space="preserve"> PAGEREF _Toc13021 \h </w:instrText>
          </w:r>
          <w:r>
            <w:rPr>
              <w:sz w:val="32"/>
              <w:szCs w:val="32"/>
              <w:highlight w:val="none"/>
            </w:rPr>
            <w:fldChar w:fldCharType="separate"/>
          </w:r>
          <w:r>
            <w:rPr>
              <w:sz w:val="32"/>
              <w:szCs w:val="32"/>
              <w:highlight w:val="none"/>
            </w:rPr>
            <w:t>25</w:t>
          </w:r>
          <w:r>
            <w:rPr>
              <w:sz w:val="32"/>
              <w:szCs w:val="32"/>
              <w:highlight w:val="none"/>
            </w:rPr>
            <w:fldChar w:fldCharType="end"/>
          </w:r>
          <w:r>
            <w:rPr>
              <w:rFonts w:hint="eastAsia" w:ascii="宋体" w:hAnsi="宋体" w:eastAsia="宋体" w:cs="宋体"/>
              <w:color w:val="auto"/>
              <w:sz w:val="32"/>
              <w:szCs w:val="32"/>
              <w:highlight w:val="none"/>
            </w:rPr>
            <w:fldChar w:fldCharType="end"/>
          </w:r>
        </w:p>
        <w:p>
          <w:pPr>
            <w:pStyle w:val="31"/>
            <w:keepNext w:val="0"/>
            <w:keepLines w:val="0"/>
            <w:pageBreakBefore w:val="0"/>
            <w:widowControl w:val="0"/>
            <w:tabs>
              <w:tab w:val="right" w:leader="dot" w:pos="9070"/>
              <w:tab w:val="clear" w:pos="1418"/>
              <w:tab w:val="clear" w:pos="8302"/>
            </w:tabs>
            <w:kinsoku/>
            <w:wordWrap/>
            <w:overflowPunct/>
            <w:topLinePunct w:val="0"/>
            <w:autoSpaceDE/>
            <w:autoSpaceDN/>
            <w:bidi w:val="0"/>
            <w:adjustRightInd/>
            <w:snapToGrid/>
            <w:spacing w:line="480" w:lineRule="auto"/>
            <w:textAlignment w:val="auto"/>
            <w:rPr>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sz w:val="32"/>
              <w:szCs w:val="32"/>
              <w:highlight w:val="none"/>
            </w:rPr>
            <w:instrText xml:space="preserve"> HYPERLINK \l _Toc21416 </w:instrText>
          </w:r>
          <w:r>
            <w:rPr>
              <w:rFonts w:hint="eastAsia" w:ascii="宋体" w:hAnsi="宋体" w:eastAsia="宋体" w:cs="宋体"/>
              <w:sz w:val="32"/>
              <w:szCs w:val="32"/>
              <w:highlight w:val="none"/>
            </w:rPr>
            <w:fldChar w:fldCharType="separate"/>
          </w:r>
          <w:r>
            <w:rPr>
              <w:rFonts w:hint="eastAsia"/>
              <w:sz w:val="32"/>
              <w:szCs w:val="32"/>
              <w:highlight w:val="none"/>
            </w:rPr>
            <w:t xml:space="preserve">第五章 </w:t>
          </w:r>
          <w:r>
            <w:rPr>
              <w:rFonts w:hint="eastAsia"/>
              <w:sz w:val="32"/>
              <w:szCs w:val="32"/>
              <w:highlight w:val="none"/>
              <w:lang w:val="en-US" w:eastAsia="zh-CN"/>
            </w:rPr>
            <w:t xml:space="preserve"> </w:t>
          </w:r>
          <w:r>
            <w:rPr>
              <w:rFonts w:hint="eastAsia"/>
              <w:sz w:val="32"/>
              <w:szCs w:val="32"/>
              <w:highlight w:val="none"/>
            </w:rPr>
            <w:t>评 标 方 法</w:t>
          </w:r>
          <w:r>
            <w:rPr>
              <w:sz w:val="32"/>
              <w:szCs w:val="32"/>
              <w:highlight w:val="none"/>
            </w:rPr>
            <w:tab/>
          </w:r>
          <w:r>
            <w:rPr>
              <w:sz w:val="32"/>
              <w:szCs w:val="32"/>
              <w:highlight w:val="none"/>
            </w:rPr>
            <w:fldChar w:fldCharType="begin"/>
          </w:r>
          <w:r>
            <w:rPr>
              <w:sz w:val="32"/>
              <w:szCs w:val="32"/>
              <w:highlight w:val="none"/>
            </w:rPr>
            <w:instrText xml:space="preserve"> PAGEREF _Toc21416 \h </w:instrText>
          </w:r>
          <w:r>
            <w:rPr>
              <w:sz w:val="32"/>
              <w:szCs w:val="32"/>
              <w:highlight w:val="none"/>
            </w:rPr>
            <w:fldChar w:fldCharType="separate"/>
          </w:r>
          <w:r>
            <w:rPr>
              <w:sz w:val="32"/>
              <w:szCs w:val="32"/>
              <w:highlight w:val="none"/>
            </w:rPr>
            <w:t>28</w:t>
          </w:r>
          <w:r>
            <w:rPr>
              <w:sz w:val="32"/>
              <w:szCs w:val="32"/>
              <w:highlight w:val="none"/>
            </w:rPr>
            <w:fldChar w:fldCharType="end"/>
          </w:r>
          <w:r>
            <w:rPr>
              <w:rFonts w:hint="eastAsia" w:ascii="宋体" w:hAnsi="宋体" w:eastAsia="宋体" w:cs="宋体"/>
              <w:color w:val="auto"/>
              <w:sz w:val="32"/>
              <w:szCs w:val="32"/>
              <w:highlight w:val="none"/>
            </w:rPr>
            <w:fldChar w:fldCharType="end"/>
          </w:r>
        </w:p>
        <w:p>
          <w:pPr>
            <w:pStyle w:val="31"/>
            <w:keepNext w:val="0"/>
            <w:keepLines w:val="0"/>
            <w:pageBreakBefore w:val="0"/>
            <w:widowControl w:val="0"/>
            <w:tabs>
              <w:tab w:val="right" w:leader="dot" w:pos="9070"/>
              <w:tab w:val="clear" w:pos="1418"/>
              <w:tab w:val="clear" w:pos="8302"/>
            </w:tabs>
            <w:kinsoku/>
            <w:wordWrap/>
            <w:overflowPunct/>
            <w:topLinePunct w:val="0"/>
            <w:autoSpaceDE/>
            <w:autoSpaceDN/>
            <w:bidi w:val="0"/>
            <w:adjustRightInd/>
            <w:snapToGrid/>
            <w:spacing w:line="480" w:lineRule="auto"/>
            <w:textAlignment w:val="auto"/>
            <w:rPr>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sz w:val="32"/>
              <w:szCs w:val="32"/>
              <w:highlight w:val="none"/>
            </w:rPr>
            <w:instrText xml:space="preserve"> HYPERLINK \l _Toc17603 </w:instrText>
          </w:r>
          <w:r>
            <w:rPr>
              <w:rFonts w:hint="eastAsia" w:ascii="宋体" w:hAnsi="宋体" w:eastAsia="宋体" w:cs="宋体"/>
              <w:sz w:val="32"/>
              <w:szCs w:val="32"/>
              <w:highlight w:val="none"/>
            </w:rPr>
            <w:fldChar w:fldCharType="separate"/>
          </w:r>
          <w:r>
            <w:rPr>
              <w:rFonts w:hint="eastAsia" w:ascii="宋体" w:eastAsia="宋体" w:cs="宋体"/>
              <w:bCs/>
              <w:sz w:val="32"/>
              <w:szCs w:val="32"/>
              <w:highlight w:val="none"/>
            </w:rPr>
            <w:t>第六章</w:t>
          </w:r>
          <w:r>
            <w:rPr>
              <w:rFonts w:hint="eastAsia" w:ascii="宋体" w:cs="宋体"/>
              <w:bCs/>
              <w:sz w:val="32"/>
              <w:szCs w:val="32"/>
              <w:highlight w:val="none"/>
              <w:lang w:val="en-US" w:eastAsia="zh-CN"/>
            </w:rPr>
            <w:t xml:space="preserve"> </w:t>
          </w:r>
          <w:r>
            <w:rPr>
              <w:rFonts w:hint="eastAsia" w:ascii="宋体" w:eastAsia="宋体" w:cs="宋体"/>
              <w:bCs/>
              <w:sz w:val="32"/>
              <w:szCs w:val="32"/>
              <w:highlight w:val="none"/>
            </w:rPr>
            <w:t xml:space="preserve"> </w:t>
          </w:r>
          <w:r>
            <w:rPr>
              <w:rFonts w:hint="eastAsia" w:ascii="宋体" w:cs="宋体"/>
              <w:bCs/>
              <w:sz w:val="32"/>
              <w:szCs w:val="32"/>
              <w:highlight w:val="none"/>
              <w:lang w:eastAsia="zh-CN"/>
            </w:rPr>
            <w:t>响应文件</w:t>
          </w:r>
          <w:r>
            <w:rPr>
              <w:rFonts w:hint="eastAsia" w:ascii="宋体" w:eastAsia="宋体" w:cs="宋体"/>
              <w:bCs/>
              <w:sz w:val="32"/>
              <w:szCs w:val="32"/>
              <w:highlight w:val="none"/>
            </w:rPr>
            <w:t>构成及格式</w:t>
          </w:r>
          <w:r>
            <w:rPr>
              <w:sz w:val="32"/>
              <w:szCs w:val="32"/>
              <w:highlight w:val="none"/>
            </w:rPr>
            <w:tab/>
          </w:r>
          <w:r>
            <w:rPr>
              <w:sz w:val="32"/>
              <w:szCs w:val="32"/>
              <w:highlight w:val="none"/>
            </w:rPr>
            <w:fldChar w:fldCharType="begin"/>
          </w:r>
          <w:r>
            <w:rPr>
              <w:sz w:val="32"/>
              <w:szCs w:val="32"/>
              <w:highlight w:val="none"/>
            </w:rPr>
            <w:instrText xml:space="preserve"> PAGEREF _Toc17603 \h </w:instrText>
          </w:r>
          <w:r>
            <w:rPr>
              <w:sz w:val="32"/>
              <w:szCs w:val="32"/>
              <w:highlight w:val="none"/>
            </w:rPr>
            <w:fldChar w:fldCharType="separate"/>
          </w:r>
          <w:r>
            <w:rPr>
              <w:sz w:val="32"/>
              <w:szCs w:val="32"/>
              <w:highlight w:val="none"/>
            </w:rPr>
            <w:t>35</w:t>
          </w:r>
          <w:r>
            <w:rPr>
              <w:sz w:val="32"/>
              <w:szCs w:val="32"/>
              <w:highlight w:val="none"/>
            </w:rPr>
            <w:fldChar w:fldCharType="end"/>
          </w:r>
          <w:r>
            <w:rPr>
              <w:rFonts w:hint="eastAsia" w:ascii="宋体" w:hAnsi="宋体" w:eastAsia="宋体" w:cs="宋体"/>
              <w:color w:val="auto"/>
              <w:sz w:val="32"/>
              <w:szCs w:val="32"/>
              <w:highlight w:val="none"/>
            </w:rPr>
            <w:fldChar w:fldCharType="end"/>
          </w:r>
        </w:p>
        <w:p>
          <w:pPr>
            <w:pStyle w:val="37"/>
            <w:tabs>
              <w:tab w:val="right" w:leader="dot" w:pos="9070"/>
              <w:tab w:val="clear" w:pos="8302"/>
            </w:tabs>
            <w:rPr>
              <w:highlight w:val="none"/>
            </w:rPr>
          </w:pPr>
        </w:p>
        <w:p>
          <w:pPr>
            <w:keepNext w:val="0"/>
            <w:keepLines w:val="0"/>
            <w:pageBreakBefore w:val="0"/>
            <w:widowControl w:val="0"/>
            <w:kinsoku/>
            <w:wordWrap/>
            <w:overflowPunct/>
            <w:topLinePunct w:val="0"/>
            <w:autoSpaceDE/>
            <w:autoSpaceDN/>
            <w:bidi w:val="0"/>
            <w:adjustRightInd/>
            <w:snapToGrid/>
            <w:spacing w:before="0" w:after="0" w:line="480" w:lineRule="auto"/>
            <w:textAlignment w:val="auto"/>
            <w:rPr>
              <w:color w:val="auto"/>
              <w:highlight w:val="none"/>
            </w:rPr>
          </w:pPr>
          <w:r>
            <w:rPr>
              <w:rFonts w:hint="eastAsia" w:ascii="宋体" w:hAnsi="宋体" w:eastAsia="宋体" w:cs="宋体"/>
              <w:color w:val="auto"/>
              <w:szCs w:val="28"/>
              <w:highlight w:val="none"/>
            </w:rPr>
            <w:fldChar w:fldCharType="end"/>
          </w:r>
        </w:p>
      </w:sdtContent>
    </w:sdt>
    <w:p>
      <w:pPr>
        <w:rPr>
          <w:rFonts w:hint="eastAsia"/>
          <w:color w:val="auto"/>
          <w:highlight w:val="none"/>
        </w:rPr>
      </w:pPr>
      <w:r>
        <w:rPr>
          <w:rFonts w:hint="eastAsia"/>
          <w:color w:val="auto"/>
          <w:highlight w:val="none"/>
        </w:rPr>
        <w:br w:type="page"/>
      </w:r>
    </w:p>
    <w:p>
      <w:pPr>
        <w:pStyle w:val="6"/>
        <w:bidi w:val="0"/>
        <w:rPr>
          <w:rFonts w:hint="eastAsia"/>
          <w:color w:val="auto"/>
          <w:highlight w:val="none"/>
        </w:rPr>
      </w:pPr>
      <w:bookmarkStart w:id="5" w:name="_Toc2319"/>
      <w:r>
        <w:rPr>
          <w:rFonts w:hint="eastAsia"/>
          <w:color w:val="auto"/>
          <w:highlight w:val="none"/>
        </w:rPr>
        <w:t xml:space="preserve">第一章  </w:t>
      </w:r>
      <w:r>
        <w:rPr>
          <w:rFonts w:hint="eastAsia"/>
          <w:color w:val="auto"/>
          <w:highlight w:val="none"/>
          <w:lang w:eastAsia="zh-CN"/>
        </w:rPr>
        <w:t>竞争性磋商</w:t>
      </w:r>
      <w:r>
        <w:rPr>
          <w:rFonts w:hint="eastAsia"/>
          <w:color w:val="auto"/>
          <w:highlight w:val="none"/>
        </w:rPr>
        <w:t>公告</w:t>
      </w:r>
      <w:bookmarkEnd w:id="0"/>
      <w:bookmarkEnd w:id="1"/>
      <w:bookmarkEnd w:id="2"/>
      <w:bookmarkEnd w:id="3"/>
      <w:bookmarkEnd w:id="4"/>
      <w:bookmarkEnd w:id="5"/>
    </w:p>
    <w:p>
      <w:pPr>
        <w:rPr>
          <w:rFonts w:hint="eastAsia"/>
          <w:color w:val="auto"/>
          <w:highlight w:val="none"/>
          <w:lang w:eastAsia="zh-CN"/>
        </w:rPr>
      </w:pPr>
      <w:bookmarkStart w:id="6" w:name="_Toc426457692"/>
      <w:bookmarkStart w:id="7" w:name="_Toc30980"/>
      <w:bookmarkStart w:id="8" w:name="_Toc30304"/>
      <w:bookmarkStart w:id="9" w:name="_Toc30750"/>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jc w:val="left"/>
        <w:textAlignment w:val="auto"/>
        <w:rPr>
          <w:rFonts w:hint="eastAsia" w:ascii="宋体" w:hAnsi="宋体" w:eastAsia="宋体" w:cs="宋体"/>
          <w:b w:val="0"/>
          <w:bCs w:val="0"/>
          <w:color w:val="auto"/>
          <w:sz w:val="21"/>
          <w:szCs w:val="21"/>
          <w:highlight w:val="none"/>
        </w:rPr>
      </w:pPr>
      <w:bookmarkStart w:id="10" w:name="_Toc25121"/>
      <w:r>
        <w:rPr>
          <w:rStyle w:val="48"/>
          <w:rFonts w:hint="eastAsia" w:ascii="宋体" w:hAnsi="宋体" w:eastAsia="宋体" w:cs="宋体"/>
          <w:b/>
          <w:bCs/>
          <w:color w:val="auto"/>
          <w:sz w:val="21"/>
          <w:szCs w:val="21"/>
          <w:highlight w:val="none"/>
          <w:shd w:val="clear" w:fill="FFFFFF"/>
        </w:rPr>
        <w:t>项目概况</w:t>
      </w:r>
    </w:p>
    <w:p>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礼泉县中医院康复科设备采购项目采购项目的潜在供应商应在西咸新区世纪大道铁投V领郡4号楼13层获取采购文件，并于2023年08月0</w:t>
      </w:r>
      <w:r>
        <w:rPr>
          <w:rFonts w:hint="eastAsia" w:ascii="宋体" w:hAnsi="宋体" w:eastAsia="宋体" w:cs="宋体"/>
          <w:color w:val="auto"/>
          <w:sz w:val="21"/>
          <w:szCs w:val="21"/>
          <w:highlight w:val="none"/>
          <w:shd w:val="clear" w:fill="FFFFFF"/>
          <w:lang w:val="en-US" w:eastAsia="zh-CN"/>
        </w:rPr>
        <w:t>4</w:t>
      </w:r>
      <w:r>
        <w:rPr>
          <w:rFonts w:hint="eastAsia" w:ascii="宋体" w:hAnsi="宋体" w:eastAsia="宋体" w:cs="宋体"/>
          <w:color w:val="auto"/>
          <w:sz w:val="21"/>
          <w:szCs w:val="21"/>
          <w:highlight w:val="none"/>
          <w:shd w:val="clear" w:fill="FFFFFF"/>
        </w:rPr>
        <w:t>日 14时30分（北京时间）前提交响应文件。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jc w:val="left"/>
        <w:textAlignment w:val="auto"/>
        <w:rPr>
          <w:rFonts w:hint="eastAsia" w:ascii="宋体" w:hAnsi="宋体" w:eastAsia="宋体" w:cs="宋体"/>
          <w:b w:val="0"/>
          <w:bCs w:val="0"/>
          <w:color w:val="auto"/>
          <w:sz w:val="21"/>
          <w:szCs w:val="21"/>
          <w:highlight w:val="none"/>
        </w:rPr>
      </w:pPr>
      <w:r>
        <w:rPr>
          <w:rStyle w:val="48"/>
          <w:rFonts w:hint="eastAsia" w:ascii="宋体" w:hAnsi="宋体" w:eastAsia="宋体" w:cs="宋体"/>
          <w:b/>
          <w:bCs/>
          <w:color w:val="auto"/>
          <w:sz w:val="21"/>
          <w:szCs w:val="21"/>
          <w:highlight w:val="none"/>
          <w:shd w:val="clear" w:fill="FFFFFF"/>
        </w:rPr>
        <w:t>一、项目基本情况</w:t>
      </w:r>
    </w:p>
    <w:p>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4" w:leftChars="0" w:right="374" w:firstLine="44" w:firstLineChars="21"/>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项目编号：LCBH—22—17</w:t>
      </w:r>
    </w:p>
    <w:p>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4" w:leftChars="0" w:right="374" w:firstLine="44" w:firstLineChars="21"/>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项目名称：礼泉县中医院康复科设备采购项目</w:t>
      </w:r>
    </w:p>
    <w:p>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4" w:leftChars="0" w:right="374" w:firstLine="44" w:firstLineChars="21"/>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采购方式：竞争性磋商</w:t>
      </w:r>
    </w:p>
    <w:p>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4" w:leftChars="0" w:right="374" w:firstLine="44" w:firstLineChars="21"/>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预算金额：701,000.00元</w:t>
      </w:r>
    </w:p>
    <w:p>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4" w:leftChars="0" w:right="374" w:firstLine="44" w:firstLineChars="21"/>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采购需求：</w:t>
      </w:r>
    </w:p>
    <w:p>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4" w:leftChars="0" w:right="374" w:firstLine="44" w:firstLineChars="21"/>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合同包1(礼泉县中医院康复科设备采购项目):</w:t>
      </w:r>
    </w:p>
    <w:p>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4" w:leftChars="0" w:right="374" w:firstLine="44" w:firstLineChars="21"/>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合同包预算金额：701,000.00元</w:t>
      </w:r>
    </w:p>
    <w:p>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4" w:leftChars="0" w:right="374" w:firstLine="44" w:firstLineChars="21"/>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合同包最高限价：701,000.00元</w:t>
      </w:r>
    </w:p>
    <w:tbl>
      <w:tblPr>
        <w:tblStyle w:val="45"/>
        <w:tblW w:w="93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2"/>
        <w:gridCol w:w="1979"/>
        <w:gridCol w:w="1979"/>
        <w:gridCol w:w="775"/>
        <w:gridCol w:w="1401"/>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85" w:hRule="atLeast"/>
          <w:tblHeader/>
        </w:trPr>
        <w:tc>
          <w:tcPr>
            <w:tcW w:w="6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品目号</w:t>
            </w:r>
          </w:p>
        </w:tc>
        <w:tc>
          <w:tcPr>
            <w:tcW w:w="21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品目名称</w:t>
            </w:r>
          </w:p>
        </w:tc>
        <w:tc>
          <w:tcPr>
            <w:tcW w:w="21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采购标的</w:t>
            </w:r>
          </w:p>
        </w:tc>
        <w:tc>
          <w:tcPr>
            <w:tcW w:w="7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数量（单位）</w:t>
            </w:r>
          </w:p>
        </w:tc>
        <w:tc>
          <w:tcPr>
            <w:tcW w:w="15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技术规格、参数及要求</w:t>
            </w:r>
          </w:p>
        </w:tc>
        <w:tc>
          <w:tcPr>
            <w:tcW w:w="10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品目预算(元)</w:t>
            </w:r>
          </w:p>
        </w:tc>
        <w:tc>
          <w:tcPr>
            <w:tcW w:w="10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54"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其他医疗设备</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康复科设备一批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701,000.00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701,000.00</w:t>
            </w:r>
          </w:p>
        </w:tc>
      </w:tr>
    </w:tbl>
    <w:p>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leftChars="0" w:right="376" w:firstLine="44"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本合同包不接受联合体投标</w:t>
      </w:r>
    </w:p>
    <w:p>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leftChars="0" w:right="376" w:firstLine="44" w:firstLineChars="0"/>
        <w:jc w:val="both"/>
        <w:textAlignment w:val="auto"/>
        <w:rPr>
          <w:rFonts w:hint="eastAsia" w:ascii="宋体" w:hAnsi="宋体" w:eastAsia="宋体" w:cs="宋体"/>
          <w:color w:val="auto"/>
          <w:sz w:val="21"/>
          <w:szCs w:val="21"/>
          <w:highlight w:val="none"/>
          <w:shd w:val="clear" w:fill="FFFFFF"/>
        </w:rPr>
      </w:pPr>
      <w:r>
        <w:rPr>
          <w:rFonts w:hint="eastAsia" w:ascii="宋体" w:hAnsi="宋体" w:eastAsia="宋体" w:cs="宋体"/>
          <w:color w:val="auto"/>
          <w:sz w:val="21"/>
          <w:szCs w:val="21"/>
          <w:highlight w:val="none"/>
          <w:shd w:val="clear" w:fill="FFFFFF"/>
        </w:rPr>
        <w:t>合同履行期限：合同签订后30日历天</w:t>
      </w:r>
    </w:p>
    <w:p>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jc w:val="both"/>
        <w:textAlignment w:val="auto"/>
        <w:rPr>
          <w:rFonts w:hint="eastAsia" w:ascii="宋体" w:hAnsi="宋体" w:eastAsia="宋体" w:cs="宋体"/>
          <w:b w:val="0"/>
          <w:bCs w:val="0"/>
          <w:color w:val="auto"/>
          <w:sz w:val="21"/>
          <w:szCs w:val="21"/>
          <w:highlight w:val="none"/>
        </w:rPr>
      </w:pPr>
      <w:r>
        <w:rPr>
          <w:rStyle w:val="48"/>
          <w:rFonts w:hint="eastAsia" w:ascii="宋体" w:hAnsi="宋体" w:eastAsia="宋体" w:cs="宋体"/>
          <w:b/>
          <w:bCs/>
          <w:color w:val="auto"/>
          <w:sz w:val="21"/>
          <w:szCs w:val="21"/>
          <w:highlight w:val="none"/>
          <w:shd w:val="clear" w:fill="FFFFFF"/>
        </w:rPr>
        <w:t>二、申请人的资格要求：</w:t>
      </w:r>
    </w:p>
    <w:p>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1.满足《中华人民共和国政府采购法》第二十二条规定;</w:t>
      </w:r>
    </w:p>
    <w:p>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2.落实政府采购政策需满足的资格要求：</w:t>
      </w:r>
    </w:p>
    <w:p>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合同包1(礼泉县中医院康复科设备采购项目)落实政府采购政策需满足的资格要求如下:</w:t>
      </w:r>
    </w:p>
    <w:p>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leftChars="200" w:right="376" w:firstLine="0" w:firstLineChars="0"/>
        <w:jc w:val="both"/>
        <w:textAlignment w:val="auto"/>
        <w:rPr>
          <w:rFonts w:hint="eastAsia" w:ascii="宋体" w:hAnsi="宋体" w:eastAsia="宋体" w:cs="宋体"/>
          <w:color w:val="auto"/>
          <w:sz w:val="21"/>
          <w:szCs w:val="21"/>
          <w:highlight w:val="none"/>
          <w:shd w:val="clear" w:fill="FFFFFF"/>
        </w:rPr>
      </w:pPr>
      <w:r>
        <w:rPr>
          <w:rFonts w:hint="eastAsia" w:ascii="宋体" w:hAnsi="宋体" w:eastAsia="宋体" w:cs="宋体"/>
          <w:color w:val="auto"/>
          <w:sz w:val="21"/>
          <w:szCs w:val="21"/>
          <w:highlight w:val="none"/>
          <w:shd w:val="clear" w:fill="FFFFFF"/>
        </w:rPr>
        <w:t>（1）《政府采购促进中小企业发展管理办法》（财库〔2020〕46号）；</w:t>
      </w:r>
    </w:p>
    <w:p>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（2）《财政部司法部关于政府采购支持监狱企业发展有关问题的通知》（财库〔2014〕68号）；</w:t>
      </w:r>
      <w:r>
        <w:rPr>
          <w:rFonts w:hint="eastAsia" w:ascii="宋体" w:hAnsi="宋体" w:eastAsia="宋体" w:cs="宋体"/>
          <w:color w:val="auto"/>
          <w:sz w:val="21"/>
          <w:szCs w:val="21"/>
          <w:highlight w:val="none"/>
          <w:shd w:val="clear" w:fill="FFFFFF"/>
        </w:rPr>
        <w:br w:type="textWrapping"/>
      </w:r>
      <w:r>
        <w:rPr>
          <w:rFonts w:hint="eastAsia" w:ascii="宋体" w:hAnsi="宋体" w:eastAsia="宋体" w:cs="宋体"/>
          <w:color w:val="auto"/>
          <w:sz w:val="21"/>
          <w:szCs w:val="21"/>
          <w:highlight w:val="none"/>
          <w:shd w:val="clear" w:fill="FFFFFF"/>
          <w:lang w:val="en-US" w:eastAsia="zh-CN"/>
        </w:rPr>
        <w:t xml:space="preserve">    </w:t>
      </w:r>
      <w:r>
        <w:rPr>
          <w:rFonts w:hint="eastAsia" w:ascii="宋体" w:hAnsi="宋体" w:eastAsia="宋体" w:cs="宋体"/>
          <w:color w:val="auto"/>
          <w:sz w:val="21"/>
          <w:szCs w:val="21"/>
          <w:highlight w:val="none"/>
          <w:shd w:val="clear" w:fill="FFFFFF"/>
        </w:rPr>
        <w:t>（3）《国务院办公厅关于建立政府强制采购节能产品制度的通知》（国办发〔2007〕51号）； </w:t>
      </w:r>
      <w:r>
        <w:rPr>
          <w:rFonts w:hint="eastAsia" w:ascii="宋体" w:hAnsi="宋体" w:eastAsia="宋体" w:cs="宋体"/>
          <w:color w:val="auto"/>
          <w:sz w:val="21"/>
          <w:szCs w:val="21"/>
          <w:highlight w:val="none"/>
          <w:shd w:val="clear" w:fill="FFFFFF"/>
        </w:rPr>
        <w:br w:type="textWrapping"/>
      </w:r>
      <w:r>
        <w:rPr>
          <w:rFonts w:hint="eastAsia" w:ascii="宋体" w:hAnsi="宋体" w:eastAsia="宋体" w:cs="宋体"/>
          <w:color w:val="auto"/>
          <w:sz w:val="21"/>
          <w:szCs w:val="21"/>
          <w:highlight w:val="none"/>
          <w:shd w:val="clear" w:fill="FFFFFF"/>
          <w:lang w:val="en-US" w:eastAsia="zh-CN"/>
        </w:rPr>
        <w:t xml:space="preserve">    </w:t>
      </w:r>
      <w:r>
        <w:rPr>
          <w:rFonts w:hint="eastAsia" w:ascii="宋体" w:hAnsi="宋体" w:eastAsia="宋体" w:cs="宋体"/>
          <w:color w:val="auto"/>
          <w:sz w:val="21"/>
          <w:szCs w:val="21"/>
          <w:highlight w:val="none"/>
          <w:shd w:val="clear" w:fill="FFFFFF"/>
        </w:rPr>
        <w:t>（4）《节能产品政府采购实施意见》（财库[2004]185号）； </w:t>
      </w:r>
      <w:r>
        <w:rPr>
          <w:rFonts w:hint="eastAsia" w:ascii="宋体" w:hAnsi="宋体" w:eastAsia="宋体" w:cs="宋体"/>
          <w:color w:val="auto"/>
          <w:sz w:val="21"/>
          <w:szCs w:val="21"/>
          <w:highlight w:val="none"/>
          <w:shd w:val="clear" w:fill="FFFFFF"/>
        </w:rPr>
        <w:br w:type="textWrapping"/>
      </w:r>
      <w:r>
        <w:rPr>
          <w:rFonts w:hint="eastAsia" w:ascii="宋体" w:hAnsi="宋体" w:eastAsia="宋体" w:cs="宋体"/>
          <w:color w:val="auto"/>
          <w:sz w:val="21"/>
          <w:szCs w:val="21"/>
          <w:highlight w:val="none"/>
          <w:shd w:val="clear" w:fill="FFFFFF"/>
          <w:lang w:val="en-US" w:eastAsia="zh-CN"/>
        </w:rPr>
        <w:t xml:space="preserve">    </w:t>
      </w:r>
      <w:r>
        <w:rPr>
          <w:rFonts w:hint="eastAsia" w:ascii="宋体" w:hAnsi="宋体" w:eastAsia="宋体" w:cs="宋体"/>
          <w:color w:val="auto"/>
          <w:sz w:val="21"/>
          <w:szCs w:val="21"/>
          <w:highlight w:val="none"/>
          <w:shd w:val="clear" w:fill="FFFFFF"/>
        </w:rPr>
        <w:t>（5）《环境标志产品政府采购实施的意见》（财库[2006]90号）； </w:t>
      </w:r>
      <w:r>
        <w:rPr>
          <w:rFonts w:hint="eastAsia" w:ascii="宋体" w:hAnsi="宋体" w:eastAsia="宋体" w:cs="宋体"/>
          <w:color w:val="auto"/>
          <w:sz w:val="21"/>
          <w:szCs w:val="21"/>
          <w:highlight w:val="none"/>
          <w:shd w:val="clear" w:fill="FFFFFF"/>
        </w:rPr>
        <w:br w:type="textWrapping"/>
      </w:r>
      <w:r>
        <w:rPr>
          <w:rFonts w:hint="eastAsia" w:ascii="宋体" w:hAnsi="宋体" w:eastAsia="宋体" w:cs="宋体"/>
          <w:color w:val="auto"/>
          <w:sz w:val="21"/>
          <w:szCs w:val="21"/>
          <w:highlight w:val="none"/>
          <w:shd w:val="clear" w:fill="FFFFFF"/>
          <w:lang w:val="en-US" w:eastAsia="zh-CN"/>
        </w:rPr>
        <w:t xml:space="preserve">    </w:t>
      </w:r>
      <w:r>
        <w:rPr>
          <w:rFonts w:hint="eastAsia" w:ascii="宋体" w:hAnsi="宋体" w:eastAsia="宋体" w:cs="宋体"/>
          <w:color w:val="auto"/>
          <w:sz w:val="21"/>
          <w:szCs w:val="21"/>
          <w:highlight w:val="none"/>
          <w:shd w:val="clear" w:fill="FFFFFF"/>
        </w:rPr>
        <w:t>（6）《关于促进残疾人就业政府采购政策的通知》（财库[2017]141号）； </w:t>
      </w:r>
      <w:r>
        <w:rPr>
          <w:rFonts w:hint="eastAsia" w:ascii="宋体" w:hAnsi="宋体" w:eastAsia="宋体" w:cs="宋体"/>
          <w:color w:val="auto"/>
          <w:sz w:val="21"/>
          <w:szCs w:val="21"/>
          <w:highlight w:val="none"/>
          <w:shd w:val="clear" w:fill="FFFFFF"/>
        </w:rPr>
        <w:br w:type="textWrapping"/>
      </w:r>
      <w:r>
        <w:rPr>
          <w:rFonts w:hint="eastAsia" w:ascii="宋体" w:hAnsi="宋体" w:eastAsia="宋体" w:cs="宋体"/>
          <w:color w:val="auto"/>
          <w:sz w:val="21"/>
          <w:szCs w:val="21"/>
          <w:highlight w:val="none"/>
          <w:shd w:val="clear" w:fill="FFFFFF"/>
          <w:lang w:val="en-US" w:eastAsia="zh-CN"/>
        </w:rPr>
        <w:t xml:space="preserve">    </w:t>
      </w:r>
      <w:r>
        <w:rPr>
          <w:rFonts w:hint="eastAsia" w:ascii="宋体" w:hAnsi="宋体" w:eastAsia="宋体" w:cs="宋体"/>
          <w:color w:val="auto"/>
          <w:sz w:val="21"/>
          <w:szCs w:val="21"/>
          <w:highlight w:val="none"/>
          <w:shd w:val="clear" w:fill="FFFFFF"/>
        </w:rPr>
        <w:t>（7）《财政部发展改革委生态环境部市场监管总局关于调整优化节能产品、环境标志产品政府采购执行机制的通知》（财库〔2019〕9号）； </w:t>
      </w:r>
      <w:r>
        <w:rPr>
          <w:rFonts w:hint="eastAsia" w:ascii="宋体" w:hAnsi="宋体" w:eastAsia="宋体" w:cs="宋体"/>
          <w:color w:val="auto"/>
          <w:sz w:val="21"/>
          <w:szCs w:val="21"/>
          <w:highlight w:val="none"/>
          <w:shd w:val="clear" w:fill="FFFFFF"/>
        </w:rPr>
        <w:br w:type="textWrapping"/>
      </w:r>
      <w:r>
        <w:rPr>
          <w:rFonts w:hint="eastAsia" w:ascii="宋体" w:hAnsi="宋体" w:eastAsia="宋体" w:cs="宋体"/>
          <w:color w:val="auto"/>
          <w:sz w:val="21"/>
          <w:szCs w:val="21"/>
          <w:highlight w:val="none"/>
          <w:shd w:val="clear" w:fill="FFFFFF"/>
          <w:lang w:val="en-US" w:eastAsia="zh-CN"/>
        </w:rPr>
        <w:t xml:space="preserve">    </w:t>
      </w:r>
      <w:r>
        <w:rPr>
          <w:rFonts w:hint="eastAsia" w:ascii="宋体" w:hAnsi="宋体" w:eastAsia="宋体" w:cs="宋体"/>
          <w:color w:val="auto"/>
          <w:sz w:val="21"/>
          <w:szCs w:val="21"/>
          <w:highlight w:val="none"/>
          <w:shd w:val="clear" w:fill="FFFFFF"/>
        </w:rPr>
        <w:t>（8）《财政部国务院扶贫办关于运用政府采购政策支持脱贫攻坚的通知》（财库〔2019〕27号）；</w:t>
      </w:r>
      <w:r>
        <w:rPr>
          <w:rFonts w:hint="eastAsia" w:ascii="宋体" w:hAnsi="宋体" w:eastAsia="宋体" w:cs="宋体"/>
          <w:color w:val="auto"/>
          <w:sz w:val="21"/>
          <w:szCs w:val="21"/>
          <w:highlight w:val="none"/>
          <w:shd w:val="clear" w:fill="FFFFFF"/>
        </w:rPr>
        <w:br w:type="textWrapping"/>
      </w:r>
      <w:r>
        <w:rPr>
          <w:rFonts w:hint="eastAsia" w:ascii="宋体" w:hAnsi="宋体" w:eastAsia="宋体" w:cs="宋体"/>
          <w:color w:val="auto"/>
          <w:sz w:val="21"/>
          <w:szCs w:val="21"/>
          <w:highlight w:val="none"/>
          <w:shd w:val="clear" w:fill="FFFFFF"/>
          <w:lang w:val="en-US" w:eastAsia="zh-CN"/>
        </w:rPr>
        <w:t xml:space="preserve">    </w:t>
      </w:r>
      <w:r>
        <w:rPr>
          <w:rFonts w:hint="eastAsia" w:ascii="宋体" w:hAnsi="宋体" w:eastAsia="宋体" w:cs="宋体"/>
          <w:color w:val="auto"/>
          <w:sz w:val="21"/>
          <w:szCs w:val="21"/>
          <w:highlight w:val="none"/>
          <w:shd w:val="clear" w:fill="FFFFFF"/>
        </w:rPr>
        <w:t>（9）陕西省财政厅关于印发《陕西省中小企业政府采购信用融资办法》（陕财办采〔2018〕23号）；</w:t>
      </w:r>
      <w:r>
        <w:rPr>
          <w:rFonts w:hint="eastAsia" w:ascii="宋体" w:hAnsi="宋体" w:eastAsia="宋体" w:cs="宋体"/>
          <w:color w:val="auto"/>
          <w:sz w:val="21"/>
          <w:szCs w:val="21"/>
          <w:highlight w:val="none"/>
          <w:shd w:val="clear" w:fill="FFFFFF"/>
        </w:rPr>
        <w:br w:type="textWrapping"/>
      </w:r>
      <w:r>
        <w:rPr>
          <w:rFonts w:hint="eastAsia" w:ascii="宋体" w:hAnsi="宋体" w:eastAsia="宋体" w:cs="宋体"/>
          <w:color w:val="auto"/>
          <w:sz w:val="21"/>
          <w:szCs w:val="21"/>
          <w:highlight w:val="none"/>
          <w:shd w:val="clear" w:fill="FFFFFF"/>
          <w:lang w:val="en-US" w:eastAsia="zh-CN"/>
        </w:rPr>
        <w:t xml:space="preserve">    </w:t>
      </w:r>
      <w:r>
        <w:rPr>
          <w:rFonts w:hint="eastAsia" w:ascii="宋体" w:hAnsi="宋体" w:eastAsia="宋体" w:cs="宋体"/>
          <w:color w:val="auto"/>
          <w:sz w:val="21"/>
          <w:szCs w:val="21"/>
          <w:highlight w:val="none"/>
          <w:shd w:val="clear" w:fill="FFFFFF"/>
        </w:rPr>
        <w:t>（10）其他需要落实的政府采购政策；</w:t>
      </w:r>
      <w:r>
        <w:rPr>
          <w:rFonts w:hint="eastAsia" w:ascii="宋体" w:hAnsi="宋体" w:eastAsia="宋体" w:cs="宋体"/>
          <w:color w:val="auto"/>
          <w:sz w:val="21"/>
          <w:szCs w:val="21"/>
          <w:highlight w:val="none"/>
          <w:shd w:val="clear" w:fill="FFFFFF"/>
        </w:rPr>
        <w:br w:type="textWrapping"/>
      </w:r>
      <w:r>
        <w:rPr>
          <w:rFonts w:hint="eastAsia" w:ascii="宋体" w:hAnsi="宋体" w:eastAsia="宋体" w:cs="宋体"/>
          <w:color w:val="auto"/>
          <w:sz w:val="21"/>
          <w:szCs w:val="21"/>
          <w:highlight w:val="none"/>
          <w:shd w:val="clear" w:fill="FFFFFF"/>
          <w:lang w:val="en-US" w:eastAsia="zh-CN"/>
        </w:rPr>
        <w:t xml:space="preserve">    </w:t>
      </w:r>
      <w:r>
        <w:rPr>
          <w:rFonts w:hint="eastAsia" w:ascii="宋体" w:hAnsi="宋体" w:eastAsia="宋体" w:cs="宋体"/>
          <w:color w:val="auto"/>
          <w:sz w:val="21"/>
          <w:szCs w:val="21"/>
          <w:highlight w:val="none"/>
          <w:shd w:val="clear" w:fill="FFFFFF"/>
        </w:rPr>
        <w:t>（11）本项目专门面向中小企业，中小企业划分标准所属行业为：其他未列明行业。</w:t>
      </w:r>
    </w:p>
    <w:p>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3.本项目的特定资格要求：</w:t>
      </w:r>
    </w:p>
    <w:p>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合同包1(礼泉县中医院康复科设备采购项目)特定资格要求如下:</w:t>
      </w:r>
    </w:p>
    <w:p>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（1）具有独立承担民事责任能力的法人、其他组织或自然人，并出具合法有效的营业执照，自然人参与的提供其身份证明；</w:t>
      </w:r>
      <w:r>
        <w:rPr>
          <w:rFonts w:hint="eastAsia" w:ascii="宋体" w:hAnsi="宋体" w:eastAsia="宋体" w:cs="宋体"/>
          <w:color w:val="auto"/>
          <w:sz w:val="21"/>
          <w:szCs w:val="21"/>
          <w:highlight w:val="none"/>
          <w:shd w:val="clear" w:fill="FFFFFF"/>
        </w:rPr>
        <w:br w:type="textWrapping"/>
      </w:r>
      <w:r>
        <w:rPr>
          <w:rFonts w:hint="eastAsia" w:ascii="宋体" w:hAnsi="宋体" w:eastAsia="宋体" w:cs="宋体"/>
          <w:color w:val="auto"/>
          <w:sz w:val="21"/>
          <w:szCs w:val="21"/>
          <w:highlight w:val="none"/>
          <w:shd w:val="clear" w:fill="FFFFFF"/>
          <w:lang w:val="en-US" w:eastAsia="zh-CN"/>
        </w:rPr>
        <w:t xml:space="preserve">    </w:t>
      </w:r>
      <w:r>
        <w:rPr>
          <w:rFonts w:hint="eastAsia" w:ascii="宋体" w:hAnsi="宋体" w:eastAsia="宋体" w:cs="宋体"/>
          <w:color w:val="auto"/>
          <w:sz w:val="21"/>
          <w:szCs w:val="21"/>
          <w:highlight w:val="none"/>
          <w:shd w:val="clear" w:fill="FFFFFF"/>
        </w:rPr>
        <w:t>（2）提供法定代表人授权书（附法定代表人、被授权人身份证复印件）及被授权人身份证（法定代表人参加磋商只需提供身份证）；</w:t>
      </w:r>
      <w:r>
        <w:rPr>
          <w:rFonts w:hint="eastAsia" w:ascii="宋体" w:hAnsi="宋体" w:eastAsia="宋体" w:cs="宋体"/>
          <w:color w:val="auto"/>
          <w:sz w:val="21"/>
          <w:szCs w:val="21"/>
          <w:highlight w:val="none"/>
          <w:shd w:val="clear" w:fill="FFFFFF"/>
        </w:rPr>
        <w:br w:type="textWrapping"/>
      </w:r>
      <w:r>
        <w:rPr>
          <w:rFonts w:hint="eastAsia" w:ascii="宋体" w:hAnsi="宋体" w:eastAsia="宋体" w:cs="宋体"/>
          <w:color w:val="auto"/>
          <w:sz w:val="21"/>
          <w:szCs w:val="21"/>
          <w:highlight w:val="none"/>
          <w:shd w:val="clear" w:fill="FFFFFF"/>
          <w:lang w:val="en-US" w:eastAsia="zh-CN"/>
        </w:rPr>
        <w:t xml:space="preserve">    </w:t>
      </w:r>
      <w:r>
        <w:rPr>
          <w:rFonts w:hint="eastAsia" w:ascii="宋体" w:hAnsi="宋体" w:eastAsia="宋体" w:cs="宋体"/>
          <w:color w:val="auto"/>
          <w:sz w:val="21"/>
          <w:szCs w:val="21"/>
          <w:highlight w:val="none"/>
          <w:shd w:val="clear" w:fill="FFFFFF"/>
        </w:rPr>
        <w:t>（3）供应商为制造厂家的需提供医疗器械生产许可证或医疗器械生产备案凭证；供应商为经销商的需提供医疗器械经营许可证或医疗器械经营备案凭证及生产厂家的医疗器械生产许可证或医疗器械生产备案凭证，提供所投产品的医疗器械产品注册证；</w:t>
      </w:r>
      <w:r>
        <w:rPr>
          <w:rFonts w:hint="eastAsia" w:ascii="宋体" w:hAnsi="宋体" w:eastAsia="宋体" w:cs="宋体"/>
          <w:color w:val="auto"/>
          <w:sz w:val="21"/>
          <w:szCs w:val="21"/>
          <w:highlight w:val="none"/>
          <w:shd w:val="clear" w:fill="FFFFFF"/>
        </w:rPr>
        <w:br w:type="textWrapping"/>
      </w:r>
      <w:r>
        <w:rPr>
          <w:rFonts w:hint="eastAsia" w:ascii="宋体" w:hAnsi="宋体" w:eastAsia="宋体" w:cs="宋体"/>
          <w:color w:val="auto"/>
          <w:sz w:val="21"/>
          <w:szCs w:val="21"/>
          <w:highlight w:val="none"/>
          <w:shd w:val="clear" w:fill="FFFFFF"/>
          <w:lang w:val="en-US" w:eastAsia="zh-CN"/>
        </w:rPr>
        <w:t xml:space="preserve">    </w:t>
      </w:r>
      <w:r>
        <w:rPr>
          <w:rFonts w:hint="eastAsia" w:ascii="宋体" w:hAnsi="宋体" w:eastAsia="宋体" w:cs="宋体"/>
          <w:color w:val="auto"/>
          <w:sz w:val="21"/>
          <w:szCs w:val="21"/>
          <w:highlight w:val="none"/>
          <w:shd w:val="clear" w:fill="FFFFFF"/>
        </w:rPr>
        <w:t>（4）财务状况：提供2022年度的财务审计报告（至少包括资产负债表和利润表，成立时间至提交响应文件截止时间不足一年的可提供成立后任意时段的资产负债表），或其基本存款账户开户银行出具的资信证明；</w:t>
      </w:r>
      <w:r>
        <w:rPr>
          <w:rFonts w:hint="eastAsia" w:ascii="宋体" w:hAnsi="宋体" w:eastAsia="宋体" w:cs="宋体"/>
          <w:color w:val="auto"/>
          <w:sz w:val="21"/>
          <w:szCs w:val="21"/>
          <w:highlight w:val="none"/>
          <w:shd w:val="clear" w:fill="FFFFFF"/>
        </w:rPr>
        <w:br w:type="textWrapping"/>
      </w:r>
      <w:r>
        <w:rPr>
          <w:rFonts w:hint="eastAsia" w:ascii="宋体" w:hAnsi="宋体" w:eastAsia="宋体" w:cs="宋体"/>
          <w:color w:val="auto"/>
          <w:sz w:val="21"/>
          <w:szCs w:val="21"/>
          <w:highlight w:val="none"/>
          <w:shd w:val="clear" w:fill="FFFFFF"/>
          <w:lang w:val="en-US" w:eastAsia="zh-CN"/>
        </w:rPr>
        <w:t xml:space="preserve">    </w:t>
      </w:r>
      <w:r>
        <w:rPr>
          <w:rFonts w:hint="eastAsia" w:ascii="宋体" w:hAnsi="宋体" w:eastAsia="宋体" w:cs="宋体"/>
          <w:color w:val="auto"/>
          <w:sz w:val="21"/>
          <w:szCs w:val="21"/>
          <w:highlight w:val="none"/>
          <w:shd w:val="clear" w:fill="FFFFFF"/>
        </w:rPr>
        <w:t>（5）税收缴纳证明：提供磋商截止日前近一年内任意一个月的纳税证明或完税证明（任意税种），依法免税的单位应提供相关证明材料；</w:t>
      </w:r>
      <w:r>
        <w:rPr>
          <w:rFonts w:hint="eastAsia" w:ascii="宋体" w:hAnsi="宋体" w:eastAsia="宋体" w:cs="宋体"/>
          <w:color w:val="auto"/>
          <w:sz w:val="21"/>
          <w:szCs w:val="21"/>
          <w:highlight w:val="none"/>
          <w:shd w:val="clear" w:fill="FFFFFF"/>
        </w:rPr>
        <w:br w:type="textWrapping"/>
      </w:r>
      <w:r>
        <w:rPr>
          <w:rFonts w:hint="eastAsia" w:ascii="宋体" w:hAnsi="宋体" w:eastAsia="宋体" w:cs="宋体"/>
          <w:color w:val="auto"/>
          <w:sz w:val="21"/>
          <w:szCs w:val="21"/>
          <w:highlight w:val="none"/>
          <w:shd w:val="clear" w:fill="FFFFFF"/>
          <w:lang w:val="en-US" w:eastAsia="zh-CN"/>
        </w:rPr>
        <w:t xml:space="preserve">    </w:t>
      </w:r>
      <w:r>
        <w:rPr>
          <w:rFonts w:hint="eastAsia" w:ascii="宋体" w:hAnsi="宋体" w:eastAsia="宋体" w:cs="宋体"/>
          <w:color w:val="auto"/>
          <w:sz w:val="21"/>
          <w:szCs w:val="21"/>
          <w:highlight w:val="none"/>
          <w:shd w:val="clear" w:fill="FFFFFF"/>
        </w:rPr>
        <w:t>（6）社会保障资金缴纳证明：提供磋商截止日前近一年内任意一个月的社会保障资金缴存单据或社保机构开具的社会保险参保缴费情况证明，依法不需要缴纳社会保障资金的单位应提供相关证明材料；</w:t>
      </w:r>
      <w:r>
        <w:rPr>
          <w:rFonts w:hint="eastAsia" w:ascii="宋体" w:hAnsi="宋体" w:eastAsia="宋体" w:cs="宋体"/>
          <w:color w:val="auto"/>
          <w:sz w:val="21"/>
          <w:szCs w:val="21"/>
          <w:highlight w:val="none"/>
          <w:shd w:val="clear" w:fill="FFFFFF"/>
        </w:rPr>
        <w:br w:type="textWrapping"/>
      </w:r>
      <w:r>
        <w:rPr>
          <w:rFonts w:hint="eastAsia" w:ascii="宋体" w:hAnsi="宋体" w:eastAsia="宋体" w:cs="宋体"/>
          <w:color w:val="auto"/>
          <w:sz w:val="21"/>
          <w:szCs w:val="21"/>
          <w:highlight w:val="none"/>
          <w:shd w:val="clear" w:fill="FFFFFF"/>
          <w:lang w:val="en-US" w:eastAsia="zh-CN"/>
        </w:rPr>
        <w:t xml:space="preserve">    </w:t>
      </w:r>
      <w:r>
        <w:rPr>
          <w:rFonts w:hint="eastAsia" w:ascii="宋体" w:hAnsi="宋体" w:eastAsia="宋体" w:cs="宋体"/>
          <w:color w:val="auto"/>
          <w:sz w:val="21"/>
          <w:szCs w:val="21"/>
          <w:highlight w:val="none"/>
          <w:shd w:val="clear" w:fill="FFFFFF"/>
        </w:rPr>
        <w:t>（7）近三年内，在经营活动中没有重大违规记录或被起诉的行为声明；</w:t>
      </w:r>
      <w:r>
        <w:rPr>
          <w:rFonts w:hint="eastAsia" w:ascii="宋体" w:hAnsi="宋体" w:eastAsia="宋体" w:cs="宋体"/>
          <w:color w:val="auto"/>
          <w:sz w:val="21"/>
          <w:szCs w:val="21"/>
          <w:highlight w:val="none"/>
          <w:shd w:val="clear" w:fill="FFFFFF"/>
        </w:rPr>
        <w:br w:type="textWrapping"/>
      </w:r>
      <w:r>
        <w:rPr>
          <w:rFonts w:hint="eastAsia" w:ascii="宋体" w:hAnsi="宋体" w:eastAsia="宋体" w:cs="宋体"/>
          <w:color w:val="auto"/>
          <w:sz w:val="21"/>
          <w:szCs w:val="21"/>
          <w:highlight w:val="none"/>
          <w:shd w:val="clear" w:fill="FFFFFF"/>
          <w:lang w:val="en-US" w:eastAsia="zh-CN"/>
        </w:rPr>
        <w:t xml:space="preserve">    </w:t>
      </w:r>
      <w:r>
        <w:rPr>
          <w:rFonts w:hint="eastAsia" w:ascii="宋体" w:hAnsi="宋体" w:eastAsia="宋体" w:cs="宋体"/>
          <w:color w:val="auto"/>
          <w:sz w:val="21"/>
          <w:szCs w:val="21"/>
          <w:highlight w:val="none"/>
          <w:shd w:val="clear" w:fill="FFFFFF"/>
        </w:rPr>
        <w:t>（8）供应商须提供具有履行合同所必需的设备和专业技术能力的承诺函；</w:t>
      </w:r>
      <w:r>
        <w:rPr>
          <w:rFonts w:hint="eastAsia" w:ascii="宋体" w:hAnsi="宋体" w:eastAsia="宋体" w:cs="宋体"/>
          <w:color w:val="auto"/>
          <w:sz w:val="21"/>
          <w:szCs w:val="21"/>
          <w:highlight w:val="none"/>
          <w:shd w:val="clear" w:fill="FFFFFF"/>
        </w:rPr>
        <w:br w:type="textWrapping"/>
      </w:r>
      <w:r>
        <w:rPr>
          <w:rFonts w:hint="eastAsia" w:ascii="宋体" w:hAnsi="宋体" w:eastAsia="宋体" w:cs="宋体"/>
          <w:color w:val="auto"/>
          <w:sz w:val="21"/>
          <w:szCs w:val="21"/>
          <w:highlight w:val="none"/>
          <w:shd w:val="clear" w:fill="FFFFFF"/>
          <w:lang w:val="en-US" w:eastAsia="zh-CN"/>
        </w:rPr>
        <w:t xml:space="preserve">    </w:t>
      </w:r>
      <w:r>
        <w:rPr>
          <w:rFonts w:hint="eastAsia" w:ascii="宋体" w:hAnsi="宋体" w:eastAsia="宋体" w:cs="宋体"/>
          <w:color w:val="auto"/>
          <w:sz w:val="21"/>
          <w:szCs w:val="21"/>
          <w:highlight w:val="none"/>
          <w:shd w:val="clear" w:fill="FFFFFF"/>
        </w:rPr>
        <w:t>（9）供应商不得为“中国执行信息公开网（zxgk.court.gov.cn）”被列入失信被执行人名单；“信用中国（www.creditchina.gov.cn）”重大税收违法失信主体名单，不得为“中国政府采购网（www.ccgp.gov.cn）”被列入政府采购严重违法失信行为记录名单（提供加盖公章的网页截图）。</w:t>
      </w:r>
      <w:r>
        <w:rPr>
          <w:rFonts w:hint="eastAsia" w:ascii="宋体" w:hAnsi="宋体" w:eastAsia="宋体" w:cs="宋体"/>
          <w:color w:val="auto"/>
          <w:sz w:val="21"/>
          <w:szCs w:val="21"/>
          <w:highlight w:val="none"/>
          <w:shd w:val="clear" w:fill="FFFFFF"/>
        </w:rPr>
        <w:br w:type="textWrapping"/>
      </w:r>
      <w:r>
        <w:rPr>
          <w:rFonts w:hint="eastAsia" w:ascii="宋体" w:hAnsi="宋体" w:eastAsia="宋体" w:cs="宋体"/>
          <w:color w:val="auto"/>
          <w:sz w:val="21"/>
          <w:szCs w:val="21"/>
          <w:highlight w:val="none"/>
          <w:shd w:val="clear" w:fill="FFFFFF"/>
          <w:lang w:val="en-US" w:eastAsia="zh-CN"/>
        </w:rPr>
        <w:t xml:space="preserve">    </w:t>
      </w:r>
      <w:r>
        <w:rPr>
          <w:rFonts w:hint="eastAsia" w:ascii="宋体" w:hAnsi="宋体" w:eastAsia="宋体" w:cs="宋体"/>
          <w:color w:val="auto"/>
          <w:sz w:val="21"/>
          <w:szCs w:val="21"/>
          <w:highlight w:val="none"/>
          <w:shd w:val="clear" w:fill="FFFFFF"/>
        </w:rPr>
        <w:t>（10）本项目专门面向中小企业采购，非中小企业单位（监狱企业、残疾人福利单位除外）不得参与投标（提供中小企业声明函）。</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jc w:val="left"/>
        <w:textAlignment w:val="auto"/>
        <w:rPr>
          <w:rFonts w:hint="eastAsia" w:ascii="宋体" w:hAnsi="宋体" w:eastAsia="宋体" w:cs="宋体"/>
          <w:b w:val="0"/>
          <w:bCs w:val="0"/>
          <w:color w:val="auto"/>
          <w:sz w:val="21"/>
          <w:szCs w:val="21"/>
          <w:highlight w:val="none"/>
        </w:rPr>
      </w:pPr>
      <w:r>
        <w:rPr>
          <w:rStyle w:val="48"/>
          <w:rFonts w:hint="eastAsia" w:ascii="宋体" w:hAnsi="宋体" w:eastAsia="宋体" w:cs="宋体"/>
          <w:b/>
          <w:bCs/>
          <w:color w:val="auto"/>
          <w:sz w:val="21"/>
          <w:szCs w:val="21"/>
          <w:highlight w:val="none"/>
          <w:shd w:val="clear" w:fill="FFFFFF"/>
        </w:rPr>
        <w:t>三、获取采购文件</w:t>
      </w:r>
    </w:p>
    <w:p>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时间：2023年07月</w:t>
      </w:r>
      <w:r>
        <w:rPr>
          <w:rFonts w:hint="eastAsia" w:ascii="宋体" w:hAnsi="宋体" w:eastAsia="宋体" w:cs="宋体"/>
          <w:color w:val="auto"/>
          <w:sz w:val="21"/>
          <w:szCs w:val="21"/>
          <w:highlight w:val="none"/>
          <w:shd w:val="clear" w:fill="FFFFFF"/>
          <w:lang w:val="en-US" w:eastAsia="zh-CN"/>
        </w:rPr>
        <w:t>24</w:t>
      </w:r>
      <w:r>
        <w:rPr>
          <w:rFonts w:hint="eastAsia" w:ascii="宋体" w:hAnsi="宋体" w:eastAsia="宋体" w:cs="宋体"/>
          <w:color w:val="auto"/>
          <w:sz w:val="21"/>
          <w:szCs w:val="21"/>
          <w:highlight w:val="none"/>
          <w:shd w:val="clear" w:fill="FFFFFF"/>
        </w:rPr>
        <w:t>日至2023年07月</w:t>
      </w:r>
      <w:r>
        <w:rPr>
          <w:rFonts w:hint="eastAsia" w:ascii="宋体" w:hAnsi="宋体" w:eastAsia="宋体" w:cs="宋体"/>
          <w:color w:val="auto"/>
          <w:sz w:val="21"/>
          <w:szCs w:val="21"/>
          <w:highlight w:val="none"/>
          <w:shd w:val="clear" w:fill="FFFFFF"/>
          <w:lang w:val="en-US" w:eastAsia="zh-CN"/>
        </w:rPr>
        <w:t>28</w:t>
      </w:r>
      <w:r>
        <w:rPr>
          <w:rFonts w:hint="eastAsia" w:ascii="宋体" w:hAnsi="宋体" w:eastAsia="宋体" w:cs="宋体"/>
          <w:color w:val="auto"/>
          <w:sz w:val="21"/>
          <w:szCs w:val="21"/>
          <w:highlight w:val="none"/>
          <w:shd w:val="clear" w:fill="FFFFFF"/>
        </w:rPr>
        <w:t>日，每天上午09:00:00至12:00:00，下午14:00:00至17:00:00（北京时间）</w:t>
      </w:r>
    </w:p>
    <w:p>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途径：西咸新区世纪大道铁投V领郡4号楼13层</w:t>
      </w:r>
    </w:p>
    <w:p>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方式：现场获取</w:t>
      </w:r>
    </w:p>
    <w:p>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售价：0元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jc w:val="left"/>
        <w:textAlignment w:val="auto"/>
        <w:rPr>
          <w:rFonts w:hint="eastAsia" w:ascii="宋体" w:hAnsi="宋体" w:eastAsia="宋体" w:cs="宋体"/>
          <w:b w:val="0"/>
          <w:bCs w:val="0"/>
          <w:color w:val="auto"/>
          <w:sz w:val="21"/>
          <w:szCs w:val="21"/>
          <w:highlight w:val="none"/>
        </w:rPr>
      </w:pPr>
      <w:r>
        <w:rPr>
          <w:rStyle w:val="48"/>
          <w:rFonts w:hint="eastAsia" w:ascii="宋体" w:hAnsi="宋体" w:eastAsia="宋体" w:cs="宋体"/>
          <w:b/>
          <w:bCs/>
          <w:color w:val="auto"/>
          <w:sz w:val="21"/>
          <w:szCs w:val="21"/>
          <w:highlight w:val="none"/>
          <w:shd w:val="clear" w:fill="FFFFFF"/>
        </w:rPr>
        <w:t>四、响应文件提交</w:t>
      </w:r>
    </w:p>
    <w:p>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截止时间：2023年08月0</w:t>
      </w:r>
      <w:r>
        <w:rPr>
          <w:rFonts w:hint="eastAsia" w:ascii="宋体" w:hAnsi="宋体" w:eastAsia="宋体" w:cs="宋体"/>
          <w:color w:val="auto"/>
          <w:sz w:val="21"/>
          <w:szCs w:val="21"/>
          <w:highlight w:val="none"/>
          <w:shd w:val="clear" w:fill="FFFFFF"/>
          <w:lang w:val="en-US" w:eastAsia="zh-CN"/>
        </w:rPr>
        <w:t>4</w:t>
      </w:r>
      <w:r>
        <w:rPr>
          <w:rFonts w:hint="eastAsia" w:ascii="宋体" w:hAnsi="宋体" w:eastAsia="宋体" w:cs="宋体"/>
          <w:color w:val="auto"/>
          <w:sz w:val="21"/>
          <w:szCs w:val="21"/>
          <w:highlight w:val="none"/>
          <w:shd w:val="clear" w:fill="FFFFFF"/>
        </w:rPr>
        <w:t>日14时30分00秒（北京时间）</w:t>
      </w:r>
    </w:p>
    <w:p>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地点：西咸新区世纪大道铁投V领郡4号楼13层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jc w:val="left"/>
        <w:textAlignment w:val="auto"/>
        <w:rPr>
          <w:rFonts w:hint="eastAsia" w:ascii="宋体" w:hAnsi="宋体" w:eastAsia="宋体" w:cs="宋体"/>
          <w:b w:val="0"/>
          <w:bCs w:val="0"/>
          <w:color w:val="auto"/>
          <w:sz w:val="21"/>
          <w:szCs w:val="21"/>
          <w:highlight w:val="none"/>
        </w:rPr>
      </w:pPr>
      <w:r>
        <w:rPr>
          <w:rStyle w:val="48"/>
          <w:rFonts w:hint="eastAsia" w:ascii="宋体" w:hAnsi="宋体" w:eastAsia="宋体" w:cs="宋体"/>
          <w:b/>
          <w:bCs/>
          <w:color w:val="auto"/>
          <w:sz w:val="21"/>
          <w:szCs w:val="21"/>
          <w:highlight w:val="none"/>
          <w:shd w:val="clear" w:fill="FFFFFF"/>
        </w:rPr>
        <w:t>五、开启</w:t>
      </w:r>
    </w:p>
    <w:p>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时间：2023年08月0</w:t>
      </w:r>
      <w:r>
        <w:rPr>
          <w:rFonts w:hint="eastAsia" w:ascii="宋体" w:hAnsi="宋体" w:eastAsia="宋体" w:cs="宋体"/>
          <w:color w:val="auto"/>
          <w:sz w:val="21"/>
          <w:szCs w:val="21"/>
          <w:highlight w:val="none"/>
          <w:shd w:val="clear" w:fill="FFFFFF"/>
          <w:lang w:val="en-US" w:eastAsia="zh-CN"/>
        </w:rPr>
        <w:t>4</w:t>
      </w:r>
      <w:r>
        <w:rPr>
          <w:rFonts w:hint="eastAsia" w:ascii="宋体" w:hAnsi="宋体" w:eastAsia="宋体" w:cs="宋体"/>
          <w:color w:val="auto"/>
          <w:sz w:val="21"/>
          <w:szCs w:val="21"/>
          <w:highlight w:val="none"/>
          <w:shd w:val="clear" w:fill="FFFFFF"/>
        </w:rPr>
        <w:t>日 14时30分00秒（北京时间）</w:t>
      </w:r>
    </w:p>
    <w:p>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地点：西咸新区世纪大道铁投V领郡4号楼13层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jc w:val="left"/>
        <w:textAlignment w:val="auto"/>
        <w:rPr>
          <w:rFonts w:hint="eastAsia" w:ascii="宋体" w:hAnsi="宋体" w:eastAsia="宋体" w:cs="宋体"/>
          <w:b w:val="0"/>
          <w:bCs w:val="0"/>
          <w:color w:val="auto"/>
          <w:sz w:val="21"/>
          <w:szCs w:val="21"/>
          <w:highlight w:val="none"/>
        </w:rPr>
      </w:pPr>
      <w:r>
        <w:rPr>
          <w:rStyle w:val="48"/>
          <w:rFonts w:hint="eastAsia" w:ascii="宋体" w:hAnsi="宋体" w:eastAsia="宋体" w:cs="宋体"/>
          <w:b/>
          <w:bCs/>
          <w:color w:val="auto"/>
          <w:sz w:val="21"/>
          <w:szCs w:val="21"/>
          <w:highlight w:val="none"/>
          <w:shd w:val="clear" w:fill="FFFFFF"/>
        </w:rPr>
        <w:t>六、公告期限</w:t>
      </w:r>
    </w:p>
    <w:p>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自本公告发布之日起3个工作日。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jc w:val="left"/>
        <w:textAlignment w:val="auto"/>
        <w:rPr>
          <w:rFonts w:hint="eastAsia" w:ascii="宋体" w:hAnsi="宋体" w:eastAsia="宋体" w:cs="宋体"/>
          <w:b w:val="0"/>
          <w:bCs w:val="0"/>
          <w:color w:val="auto"/>
          <w:sz w:val="21"/>
          <w:szCs w:val="21"/>
          <w:highlight w:val="none"/>
        </w:rPr>
      </w:pPr>
      <w:r>
        <w:rPr>
          <w:rStyle w:val="48"/>
          <w:rFonts w:hint="eastAsia" w:ascii="宋体" w:hAnsi="宋体" w:eastAsia="宋体" w:cs="宋体"/>
          <w:b/>
          <w:bCs/>
          <w:color w:val="auto"/>
          <w:sz w:val="21"/>
          <w:szCs w:val="21"/>
          <w:highlight w:val="none"/>
          <w:shd w:val="clear" w:fill="FFFFFF"/>
        </w:rPr>
        <w:t>七、其他补充事宜</w:t>
      </w:r>
    </w:p>
    <w:p>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领取磋商文件请携带单位介绍信原件、经办人身份证原件及加盖公章的复印件一套。（每工作日上午9：00-12：00、下午14：00-17:00，请各供应商按照陕西省财政厅《关于政府采购供应商注册登记有关事项的通知》的要求，通过陕西省政府采购网注册登记加入陕西省政府采购供应商库）。</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jc w:val="left"/>
        <w:textAlignment w:val="auto"/>
        <w:rPr>
          <w:rFonts w:hint="eastAsia" w:ascii="宋体" w:hAnsi="宋体" w:eastAsia="宋体" w:cs="宋体"/>
          <w:b w:val="0"/>
          <w:bCs w:val="0"/>
          <w:color w:val="auto"/>
          <w:sz w:val="21"/>
          <w:szCs w:val="21"/>
          <w:highlight w:val="none"/>
        </w:rPr>
      </w:pPr>
      <w:r>
        <w:rPr>
          <w:rStyle w:val="48"/>
          <w:rFonts w:hint="eastAsia" w:ascii="宋体" w:hAnsi="宋体" w:eastAsia="宋体" w:cs="宋体"/>
          <w:b/>
          <w:bCs/>
          <w:color w:val="auto"/>
          <w:sz w:val="21"/>
          <w:szCs w:val="21"/>
          <w:highlight w:val="none"/>
          <w:shd w:val="clear" w:fill="FFFFFF"/>
        </w:rPr>
        <w:t>八、对本次招标提出询问，请按以下方式联系。</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leftChars="0" w:right="376" w:hanging="376"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shd w:val="clear" w:fill="FFFFFF"/>
        </w:rPr>
        <w:t>1.采购人信息</w:t>
      </w:r>
    </w:p>
    <w:p>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名称：礼泉县中医医院</w:t>
      </w:r>
    </w:p>
    <w:p>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地址：礼泉县劳动路东段</w:t>
      </w:r>
    </w:p>
    <w:p>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shd w:val="clear" w:fill="FFFFFF"/>
        </w:rPr>
        <w:t>联系方式：</w:t>
      </w:r>
      <w:r>
        <w:rPr>
          <w:rFonts w:hint="eastAsia" w:ascii="宋体" w:hAnsi="宋体" w:eastAsia="宋体" w:cs="宋体"/>
          <w:color w:val="auto"/>
          <w:sz w:val="21"/>
          <w:szCs w:val="21"/>
          <w:highlight w:val="none"/>
          <w:shd w:val="clear" w:fill="FFFFFF"/>
          <w:lang w:val="en-US" w:eastAsia="zh-CN"/>
        </w:rPr>
        <w:t>13152304158</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leftChars="0" w:right="376" w:hanging="376"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shd w:val="clear" w:fill="FFFFFF"/>
        </w:rPr>
        <w:t>2.采购代理机构信息</w:t>
      </w:r>
    </w:p>
    <w:p>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名称：陕西中采项目管理有限公司</w:t>
      </w:r>
    </w:p>
    <w:p>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地址：西咸新区世纪大道铁投V领郡4号楼13层</w:t>
      </w:r>
    </w:p>
    <w:p>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联系方式：029-38990618</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leftChars="0" w:right="376" w:hanging="376"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shd w:val="clear" w:fill="FFFFFF"/>
        </w:rPr>
        <w:t>3.项目联系方式</w:t>
      </w:r>
    </w:p>
    <w:p>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项目联系人：招标部</w:t>
      </w:r>
    </w:p>
    <w:p>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电话：029-38990618</w:t>
      </w:r>
    </w:p>
    <w:p>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right"/>
        <w:textAlignment w:val="auto"/>
        <w:rPr>
          <w:rFonts w:hint="eastAsia" w:ascii="宋体" w:hAnsi="宋体" w:eastAsia="宋体" w:cs="宋体"/>
          <w:i w:val="0"/>
          <w:iCs w:val="0"/>
          <w:caps w:val="0"/>
          <w:color w:val="auto"/>
          <w:spacing w:val="0"/>
          <w:sz w:val="18"/>
          <w:szCs w:val="18"/>
          <w:highlight w:val="none"/>
        </w:rPr>
      </w:pPr>
      <w:r>
        <w:rPr>
          <w:rFonts w:hint="eastAsia" w:ascii="宋体" w:hAnsi="宋体" w:eastAsia="宋体" w:cs="宋体"/>
          <w:color w:val="auto"/>
          <w:sz w:val="21"/>
          <w:szCs w:val="21"/>
          <w:highlight w:val="none"/>
          <w:shd w:val="clear" w:fill="FFFFFF"/>
        </w:rPr>
        <w:t>陕西中采项目管理有限公司</w:t>
      </w:r>
    </w:p>
    <w:p>
      <w:pPr>
        <w:pStyle w:val="196"/>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窗体底端</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pPr>
        <w:rPr>
          <w:rFonts w:hint="eastAsia"/>
          <w:color w:val="auto"/>
          <w:highlight w:val="none"/>
          <w:lang w:eastAsia="zh-CN"/>
        </w:rPr>
      </w:pPr>
    </w:p>
    <w:p>
      <w:pPr>
        <w:pStyle w:val="6"/>
        <w:numPr>
          <w:ilvl w:val="0"/>
          <w:numId w:val="0"/>
        </w:numPr>
        <w:jc w:val="center"/>
        <w:rPr>
          <w:rFonts w:hint="eastAsia"/>
          <w:color w:val="auto"/>
          <w:highlight w:val="none"/>
        </w:rPr>
      </w:pPr>
      <w:r>
        <w:rPr>
          <w:rFonts w:hint="eastAsia"/>
          <w:color w:val="auto"/>
          <w:highlight w:val="none"/>
          <w:lang w:eastAsia="zh-CN"/>
        </w:rPr>
        <w:t>第二章</w:t>
      </w:r>
      <w:r>
        <w:rPr>
          <w:rFonts w:hint="eastAsia"/>
          <w:color w:val="auto"/>
          <w:highlight w:val="none"/>
          <w:lang w:val="en-US" w:eastAsia="zh-CN"/>
        </w:rPr>
        <w:t xml:space="preserve">  </w:t>
      </w:r>
      <w:r>
        <w:rPr>
          <w:rFonts w:hint="eastAsia"/>
          <w:color w:val="auto"/>
          <w:highlight w:val="none"/>
        </w:rPr>
        <w:t>供应商须知</w:t>
      </w:r>
      <w:bookmarkEnd w:id="6"/>
      <w:bookmarkEnd w:id="7"/>
      <w:bookmarkEnd w:id="10"/>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宋体" w:hAnsi="宋体"/>
          <w:b/>
          <w:color w:val="auto"/>
          <w:sz w:val="28"/>
          <w:szCs w:val="28"/>
          <w:highlight w:val="none"/>
        </w:rPr>
      </w:pPr>
      <w:bookmarkStart w:id="11" w:name="_Toc15098"/>
      <w:bookmarkStart w:id="12" w:name="_Toc24541"/>
      <w:bookmarkStart w:id="13" w:name="_Toc20380"/>
      <w:bookmarkStart w:id="14" w:name="_Toc9643"/>
      <w:bookmarkStart w:id="15" w:name="_Toc18617"/>
      <w:bookmarkStart w:id="16" w:name="_Toc12017"/>
      <w:bookmarkStart w:id="17" w:name="_Toc22853"/>
      <w:bookmarkStart w:id="18" w:name="_Toc664"/>
      <w:r>
        <w:rPr>
          <w:rFonts w:hint="eastAsia" w:ascii="宋体" w:hAnsi="宋体"/>
          <w:b/>
          <w:color w:val="auto"/>
          <w:sz w:val="28"/>
          <w:szCs w:val="28"/>
          <w:highlight w:val="none"/>
        </w:rPr>
        <w:t>投标须知前附表</w:t>
      </w:r>
      <w:bookmarkEnd w:id="11"/>
      <w:bookmarkEnd w:id="12"/>
      <w:bookmarkEnd w:id="13"/>
      <w:bookmarkEnd w:id="14"/>
      <w:bookmarkEnd w:id="15"/>
      <w:bookmarkEnd w:id="16"/>
      <w:bookmarkEnd w:id="17"/>
      <w:bookmarkEnd w:id="18"/>
    </w:p>
    <w:tbl>
      <w:tblPr>
        <w:tblStyle w:val="45"/>
        <w:tblW w:w="9720" w:type="dxa"/>
        <w:jc w:val="center"/>
        <w:tblBorders>
          <w:top w:val="single" w:color="auto" w:sz="4" w:space="0"/>
          <w:left w:val="single" w:color="auto"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3"/>
        <w:gridCol w:w="2012"/>
        <w:gridCol w:w="7155"/>
      </w:tblGrid>
      <w:tr>
        <w:tblPrEx>
          <w:tblBorders>
            <w:top w:val="single" w:color="auto" w:sz="4" w:space="0"/>
            <w:left w:val="single" w:color="auto"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2" w:hRule="atLeast"/>
          <w:jc w:val="center"/>
        </w:trPr>
        <w:tc>
          <w:tcPr>
            <w:tcW w:w="55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b/>
                <w:color w:val="auto"/>
                <w:kern w:val="0"/>
                <w:sz w:val="21"/>
                <w:szCs w:val="21"/>
                <w:highlight w:val="none"/>
              </w:rPr>
            </w:pPr>
            <w:bookmarkStart w:id="19" w:name="_Toc319064289"/>
            <w:bookmarkStart w:id="20" w:name="_Toc404340433"/>
            <w:r>
              <w:rPr>
                <w:rFonts w:hint="eastAsia" w:ascii="宋体" w:hAnsi="宋体"/>
                <w:b/>
                <w:color w:val="auto"/>
                <w:kern w:val="0"/>
                <w:sz w:val="21"/>
                <w:szCs w:val="21"/>
                <w:highlight w:val="none"/>
              </w:rPr>
              <w:t>项号</w:t>
            </w:r>
          </w:p>
        </w:tc>
        <w:tc>
          <w:tcPr>
            <w:tcW w:w="201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b/>
                <w:color w:val="auto"/>
                <w:kern w:val="0"/>
                <w:sz w:val="21"/>
                <w:szCs w:val="21"/>
                <w:highlight w:val="none"/>
              </w:rPr>
            </w:pPr>
            <w:r>
              <w:rPr>
                <w:rFonts w:hint="eastAsia" w:ascii="宋体" w:hAnsi="宋体"/>
                <w:b/>
                <w:color w:val="auto"/>
                <w:kern w:val="0"/>
                <w:sz w:val="21"/>
                <w:szCs w:val="21"/>
                <w:highlight w:val="none"/>
              </w:rPr>
              <w:t>内 　容</w:t>
            </w:r>
          </w:p>
        </w:tc>
        <w:tc>
          <w:tcPr>
            <w:tcW w:w="715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b/>
                <w:color w:val="auto"/>
                <w:kern w:val="0"/>
                <w:sz w:val="21"/>
                <w:szCs w:val="21"/>
                <w:highlight w:val="none"/>
              </w:rPr>
            </w:pPr>
            <w:r>
              <w:rPr>
                <w:rFonts w:hint="eastAsia" w:ascii="宋体" w:hAnsi="宋体"/>
                <w:b/>
                <w:color w:val="auto"/>
                <w:kern w:val="0"/>
                <w:sz w:val="21"/>
                <w:szCs w:val="21"/>
                <w:highlight w:val="none"/>
              </w:rPr>
              <w:t>说明及要求</w:t>
            </w:r>
          </w:p>
        </w:tc>
      </w:tr>
      <w:tr>
        <w:tblPrEx>
          <w:tblBorders>
            <w:top w:val="single" w:color="auto" w:sz="4" w:space="0"/>
            <w:left w:val="single" w:color="auto"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553" w:type="dxa"/>
            <w:vMerge w:val="restart"/>
            <w:vAlign w:val="center"/>
          </w:tcPr>
          <w:p>
            <w:pPr>
              <w:autoSpaceDE w:val="0"/>
              <w:autoSpaceDN w:val="0"/>
              <w:spacing w:line="360" w:lineRule="auto"/>
              <w:jc w:val="center"/>
              <w:rPr>
                <w:rFonts w:hint="eastAsia" w:ascii="宋体" w:hAnsi="宋体"/>
                <w:b w:val="0"/>
                <w:bCs w:val="0"/>
                <w:color w:val="auto"/>
                <w:kern w:val="0"/>
                <w:sz w:val="21"/>
                <w:szCs w:val="21"/>
                <w:highlight w:val="none"/>
              </w:rPr>
            </w:pPr>
            <w:r>
              <w:rPr>
                <w:rFonts w:hint="eastAsia" w:ascii="宋体" w:hAnsi="宋体"/>
                <w:b w:val="0"/>
                <w:bCs w:val="0"/>
                <w:color w:val="auto"/>
                <w:kern w:val="0"/>
                <w:sz w:val="21"/>
                <w:szCs w:val="21"/>
                <w:highlight w:val="none"/>
              </w:rPr>
              <w:t>1</w:t>
            </w:r>
          </w:p>
        </w:tc>
        <w:tc>
          <w:tcPr>
            <w:tcW w:w="2012" w:type="dxa"/>
            <w:tcBorders>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cs="Times New Roman"/>
                <w:b w:val="0"/>
                <w:bCs/>
                <w:color w:val="auto"/>
                <w:kern w:val="0"/>
                <w:sz w:val="21"/>
                <w:szCs w:val="21"/>
                <w:highlight w:val="none"/>
              </w:rPr>
            </w:pPr>
            <w:r>
              <w:rPr>
                <w:rFonts w:hint="eastAsia" w:ascii="宋体" w:hAnsi="宋体" w:cs="Times New Roman"/>
                <w:b w:val="0"/>
                <w:bCs/>
                <w:color w:val="auto"/>
                <w:kern w:val="0"/>
                <w:sz w:val="21"/>
                <w:szCs w:val="21"/>
                <w:highlight w:val="none"/>
                <w:lang w:eastAsia="zh-CN"/>
              </w:rPr>
              <w:t>采购</w:t>
            </w:r>
            <w:r>
              <w:rPr>
                <w:rFonts w:hint="eastAsia" w:ascii="宋体" w:hAnsi="宋体" w:cs="Times New Roman"/>
                <w:b w:val="0"/>
                <w:bCs/>
                <w:color w:val="auto"/>
                <w:kern w:val="0"/>
                <w:sz w:val="21"/>
                <w:szCs w:val="21"/>
                <w:highlight w:val="none"/>
              </w:rPr>
              <w:t>项目名称</w:t>
            </w:r>
          </w:p>
        </w:tc>
        <w:tc>
          <w:tcPr>
            <w:tcW w:w="7155" w:type="dxa"/>
            <w:tcBorders>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cs="Times New Roman"/>
                <w:b w:val="0"/>
                <w:bCs/>
                <w:color w:val="auto"/>
                <w:kern w:val="0"/>
                <w:sz w:val="21"/>
                <w:szCs w:val="21"/>
                <w:highlight w:val="none"/>
                <w:lang w:val="zh-CN" w:eastAsia="zh-CN"/>
              </w:rPr>
            </w:pPr>
            <w:r>
              <w:rPr>
                <w:rFonts w:hint="eastAsia" w:hAnsi="宋体" w:cs="Times New Roman"/>
                <w:b w:val="0"/>
                <w:bCs/>
                <w:color w:val="auto"/>
                <w:kern w:val="0"/>
                <w:sz w:val="21"/>
                <w:szCs w:val="21"/>
                <w:highlight w:val="none"/>
                <w:lang w:eastAsia="zh-CN"/>
              </w:rPr>
              <w:t>礼泉县中医院康复科设备采购项目</w:t>
            </w:r>
          </w:p>
        </w:tc>
      </w:tr>
      <w:tr>
        <w:tblPrEx>
          <w:tblBorders>
            <w:top w:val="single" w:color="auto" w:sz="4" w:space="0"/>
            <w:left w:val="single" w:color="auto"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553" w:type="dxa"/>
            <w:vMerge w:val="continue"/>
            <w:vAlign w:val="center"/>
          </w:tcPr>
          <w:p>
            <w:pPr>
              <w:autoSpaceDE w:val="0"/>
              <w:autoSpaceDN w:val="0"/>
              <w:spacing w:line="360" w:lineRule="auto"/>
              <w:jc w:val="center"/>
              <w:rPr>
                <w:rFonts w:hint="eastAsia" w:ascii="宋体" w:hAnsi="宋体"/>
                <w:b w:val="0"/>
                <w:bCs w:val="0"/>
                <w:color w:val="auto"/>
                <w:kern w:val="0"/>
                <w:sz w:val="21"/>
                <w:szCs w:val="21"/>
                <w:highlight w:val="none"/>
              </w:rPr>
            </w:pPr>
          </w:p>
        </w:tc>
        <w:tc>
          <w:tcPr>
            <w:tcW w:w="201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cs="Times New Roman"/>
                <w:b w:val="0"/>
                <w:bCs/>
                <w:color w:val="auto"/>
                <w:kern w:val="0"/>
                <w:sz w:val="21"/>
                <w:szCs w:val="21"/>
                <w:highlight w:val="none"/>
                <w:lang w:eastAsia="zh-CN"/>
              </w:rPr>
            </w:pPr>
            <w:r>
              <w:rPr>
                <w:rFonts w:hint="eastAsia" w:ascii="宋体" w:hAnsi="宋体" w:cs="Times New Roman"/>
                <w:b w:val="0"/>
                <w:bCs/>
                <w:color w:val="auto"/>
                <w:kern w:val="0"/>
                <w:sz w:val="21"/>
                <w:szCs w:val="21"/>
                <w:highlight w:val="none"/>
                <w:lang w:eastAsia="zh-CN"/>
              </w:rPr>
              <w:t>采购人名称</w:t>
            </w:r>
          </w:p>
        </w:tc>
        <w:tc>
          <w:tcPr>
            <w:tcW w:w="715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cs="Times New Roman"/>
                <w:b w:val="0"/>
                <w:bCs/>
                <w:color w:val="auto"/>
                <w:kern w:val="0"/>
                <w:sz w:val="21"/>
                <w:szCs w:val="21"/>
                <w:highlight w:val="none"/>
                <w:lang w:eastAsia="zh-CN"/>
              </w:rPr>
            </w:pPr>
            <w:r>
              <w:rPr>
                <w:rFonts w:hint="eastAsia" w:hAnsi="宋体" w:cs="Times New Roman"/>
                <w:b w:val="0"/>
                <w:bCs/>
                <w:color w:val="auto"/>
                <w:kern w:val="0"/>
                <w:sz w:val="21"/>
                <w:szCs w:val="21"/>
                <w:highlight w:val="none"/>
                <w:lang w:eastAsia="zh-CN"/>
              </w:rPr>
              <w:t>礼泉县中医医院</w:t>
            </w:r>
          </w:p>
        </w:tc>
      </w:tr>
      <w:tr>
        <w:tblPrEx>
          <w:tblBorders>
            <w:top w:val="single" w:color="auto" w:sz="4" w:space="0"/>
            <w:left w:val="single" w:color="auto"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553" w:type="dxa"/>
            <w:vMerge w:val="continue"/>
            <w:vAlign w:val="center"/>
          </w:tcPr>
          <w:p>
            <w:pPr>
              <w:autoSpaceDE w:val="0"/>
              <w:autoSpaceDN w:val="0"/>
              <w:spacing w:line="360" w:lineRule="auto"/>
              <w:jc w:val="center"/>
              <w:rPr>
                <w:rFonts w:hint="eastAsia" w:ascii="宋体" w:hAnsi="宋体"/>
                <w:b w:val="0"/>
                <w:bCs w:val="0"/>
                <w:color w:val="auto"/>
                <w:kern w:val="0"/>
                <w:sz w:val="21"/>
                <w:szCs w:val="21"/>
                <w:highlight w:val="none"/>
              </w:rPr>
            </w:pPr>
          </w:p>
        </w:tc>
        <w:tc>
          <w:tcPr>
            <w:tcW w:w="201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cs="Times New Roman"/>
                <w:b w:val="0"/>
                <w:bCs/>
                <w:color w:val="auto"/>
                <w:kern w:val="0"/>
                <w:sz w:val="21"/>
                <w:szCs w:val="21"/>
                <w:highlight w:val="none"/>
                <w:lang w:eastAsia="zh-CN"/>
              </w:rPr>
            </w:pPr>
            <w:r>
              <w:rPr>
                <w:rFonts w:hint="eastAsia" w:ascii="宋体" w:hAnsi="宋体" w:cs="Times New Roman"/>
                <w:b w:val="0"/>
                <w:bCs/>
                <w:color w:val="auto"/>
                <w:kern w:val="0"/>
                <w:sz w:val="21"/>
                <w:szCs w:val="21"/>
                <w:highlight w:val="none"/>
                <w:lang w:eastAsia="zh-CN"/>
              </w:rPr>
              <w:t>采购代理机构名称</w:t>
            </w:r>
          </w:p>
        </w:tc>
        <w:tc>
          <w:tcPr>
            <w:tcW w:w="715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cs="Times New Roman"/>
                <w:b w:val="0"/>
                <w:bCs/>
                <w:color w:val="auto"/>
                <w:kern w:val="0"/>
                <w:sz w:val="21"/>
                <w:szCs w:val="21"/>
                <w:highlight w:val="none"/>
                <w:lang w:eastAsia="zh-CN"/>
              </w:rPr>
            </w:pPr>
            <w:r>
              <w:rPr>
                <w:rFonts w:hint="eastAsia" w:hAnsi="宋体" w:cs="Times New Roman"/>
                <w:b w:val="0"/>
                <w:bCs/>
                <w:color w:val="auto"/>
                <w:kern w:val="0"/>
                <w:sz w:val="21"/>
                <w:szCs w:val="21"/>
                <w:highlight w:val="none"/>
                <w:lang w:eastAsia="zh-CN"/>
              </w:rPr>
              <w:t>陕西中采项目管理有限公司</w:t>
            </w:r>
          </w:p>
        </w:tc>
      </w:tr>
      <w:tr>
        <w:tblPrEx>
          <w:tblBorders>
            <w:top w:val="single" w:color="auto" w:sz="4" w:space="0"/>
            <w:left w:val="single" w:color="auto"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553" w:type="dxa"/>
            <w:vMerge w:val="continue"/>
            <w:vAlign w:val="center"/>
          </w:tcPr>
          <w:p>
            <w:pPr>
              <w:autoSpaceDE w:val="0"/>
              <w:autoSpaceDN w:val="0"/>
              <w:spacing w:line="360" w:lineRule="auto"/>
              <w:jc w:val="center"/>
              <w:rPr>
                <w:rFonts w:hint="eastAsia" w:ascii="宋体" w:hAnsi="宋体"/>
                <w:b w:val="0"/>
                <w:bCs w:val="0"/>
                <w:color w:val="auto"/>
                <w:kern w:val="0"/>
                <w:sz w:val="21"/>
                <w:szCs w:val="21"/>
                <w:highlight w:val="none"/>
              </w:rPr>
            </w:pPr>
          </w:p>
        </w:tc>
        <w:tc>
          <w:tcPr>
            <w:tcW w:w="201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cs="Times New Roman"/>
                <w:b w:val="0"/>
                <w:bCs/>
                <w:color w:val="auto"/>
                <w:kern w:val="0"/>
                <w:sz w:val="21"/>
                <w:szCs w:val="21"/>
                <w:highlight w:val="none"/>
                <w:lang w:eastAsia="zh-CN"/>
              </w:rPr>
            </w:pPr>
            <w:r>
              <w:rPr>
                <w:rFonts w:hint="eastAsia" w:hAnsi="宋体" w:cs="Times New Roman"/>
                <w:b w:val="0"/>
                <w:bCs/>
                <w:color w:val="auto"/>
                <w:kern w:val="0"/>
                <w:sz w:val="21"/>
                <w:szCs w:val="21"/>
                <w:highlight w:val="none"/>
                <w:lang w:eastAsia="zh-CN"/>
              </w:rPr>
              <w:t>交货</w:t>
            </w:r>
            <w:r>
              <w:rPr>
                <w:rFonts w:hint="eastAsia" w:ascii="宋体" w:hAnsi="宋体" w:cs="Times New Roman"/>
                <w:b w:val="0"/>
                <w:bCs/>
                <w:color w:val="auto"/>
                <w:kern w:val="0"/>
                <w:sz w:val="21"/>
                <w:szCs w:val="21"/>
                <w:highlight w:val="none"/>
                <w:lang w:eastAsia="zh-CN"/>
              </w:rPr>
              <w:t>地点</w:t>
            </w:r>
          </w:p>
        </w:tc>
        <w:tc>
          <w:tcPr>
            <w:tcW w:w="715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cs="Times New Roman"/>
                <w:b w:val="0"/>
                <w:bCs/>
                <w:color w:val="auto"/>
                <w:kern w:val="0"/>
                <w:sz w:val="21"/>
                <w:szCs w:val="21"/>
                <w:highlight w:val="none"/>
                <w:lang w:eastAsia="zh-CN"/>
              </w:rPr>
            </w:pPr>
            <w:r>
              <w:rPr>
                <w:rFonts w:hint="eastAsia" w:ascii="宋体" w:hAnsi="宋体" w:cs="Times New Roman"/>
                <w:b w:val="0"/>
                <w:bCs/>
                <w:color w:val="auto"/>
                <w:kern w:val="0"/>
                <w:sz w:val="21"/>
                <w:szCs w:val="21"/>
                <w:highlight w:val="none"/>
                <w:lang w:eastAsia="zh-CN"/>
              </w:rPr>
              <w:t>采购人指定地点</w:t>
            </w:r>
          </w:p>
        </w:tc>
      </w:tr>
      <w:tr>
        <w:tblPrEx>
          <w:tblBorders>
            <w:top w:val="single" w:color="auto" w:sz="4" w:space="0"/>
            <w:left w:val="single" w:color="auto"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553" w:type="dxa"/>
            <w:vMerge w:val="continue"/>
            <w:vAlign w:val="center"/>
          </w:tcPr>
          <w:p>
            <w:pPr>
              <w:autoSpaceDE w:val="0"/>
              <w:autoSpaceDN w:val="0"/>
              <w:spacing w:line="360" w:lineRule="auto"/>
              <w:jc w:val="center"/>
              <w:rPr>
                <w:rFonts w:hint="eastAsia" w:ascii="宋体" w:hAnsi="宋体"/>
                <w:b w:val="0"/>
                <w:bCs w:val="0"/>
                <w:color w:val="auto"/>
                <w:kern w:val="0"/>
                <w:sz w:val="21"/>
                <w:szCs w:val="21"/>
                <w:highlight w:val="none"/>
              </w:rPr>
            </w:pPr>
          </w:p>
        </w:tc>
        <w:tc>
          <w:tcPr>
            <w:tcW w:w="201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cs="Times New Roman"/>
                <w:b/>
                <w:bCs w:val="0"/>
                <w:color w:val="auto"/>
                <w:kern w:val="0"/>
                <w:sz w:val="21"/>
                <w:szCs w:val="21"/>
                <w:highlight w:val="none"/>
                <w:lang w:eastAsia="zh-CN"/>
              </w:rPr>
            </w:pPr>
            <w:r>
              <w:rPr>
                <w:rFonts w:hint="eastAsia" w:ascii="宋体" w:hAnsi="宋体" w:cs="Times New Roman"/>
                <w:b/>
                <w:bCs w:val="0"/>
                <w:color w:val="auto"/>
                <w:kern w:val="0"/>
                <w:sz w:val="21"/>
                <w:szCs w:val="21"/>
                <w:highlight w:val="none"/>
                <w:lang w:eastAsia="zh-CN"/>
              </w:rPr>
              <w:t>质量标准</w:t>
            </w:r>
          </w:p>
        </w:tc>
        <w:tc>
          <w:tcPr>
            <w:tcW w:w="715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cs="Times New Roman"/>
                <w:b/>
                <w:bCs w:val="0"/>
                <w:color w:val="auto"/>
                <w:kern w:val="0"/>
                <w:sz w:val="21"/>
                <w:szCs w:val="21"/>
                <w:highlight w:val="none"/>
                <w:lang w:eastAsia="zh-CN"/>
              </w:rPr>
            </w:pPr>
            <w:r>
              <w:rPr>
                <w:rFonts w:hint="eastAsia" w:ascii="宋体" w:hAnsi="宋体" w:cs="Times New Roman"/>
                <w:b/>
                <w:bCs w:val="0"/>
                <w:color w:val="auto"/>
                <w:kern w:val="0"/>
                <w:sz w:val="21"/>
                <w:szCs w:val="21"/>
                <w:highlight w:val="none"/>
                <w:lang w:eastAsia="zh-CN"/>
              </w:rPr>
              <w:t>合格</w:t>
            </w:r>
          </w:p>
        </w:tc>
      </w:tr>
      <w:tr>
        <w:tblPrEx>
          <w:tblBorders>
            <w:top w:val="single" w:color="auto" w:sz="4" w:space="0"/>
            <w:left w:val="single" w:color="auto"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553" w:type="dxa"/>
            <w:vAlign w:val="center"/>
          </w:tcPr>
          <w:p>
            <w:pPr>
              <w:autoSpaceDE w:val="0"/>
              <w:autoSpaceDN w:val="0"/>
              <w:spacing w:line="360" w:lineRule="auto"/>
              <w:jc w:val="center"/>
              <w:rPr>
                <w:rFonts w:hint="eastAsia" w:ascii="宋体" w:hAnsi="宋体"/>
                <w:b w:val="0"/>
                <w:bCs w:val="0"/>
                <w:color w:val="auto"/>
                <w:kern w:val="0"/>
                <w:sz w:val="21"/>
                <w:szCs w:val="21"/>
                <w:highlight w:val="none"/>
              </w:rPr>
            </w:pPr>
            <w:r>
              <w:rPr>
                <w:rFonts w:hint="eastAsia" w:ascii="宋体" w:hAnsi="宋体" w:cs="Times New Roman"/>
                <w:b w:val="0"/>
                <w:bCs w:val="0"/>
                <w:color w:val="auto"/>
                <w:kern w:val="0"/>
                <w:sz w:val="21"/>
                <w:szCs w:val="21"/>
                <w:highlight w:val="none"/>
                <w:lang w:eastAsia="zh-CN"/>
              </w:rPr>
              <w:t>2</w:t>
            </w:r>
          </w:p>
        </w:tc>
        <w:tc>
          <w:tcPr>
            <w:tcW w:w="201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cs="Times New Roman"/>
                <w:b w:val="0"/>
                <w:bCs/>
                <w:color w:val="auto"/>
                <w:kern w:val="0"/>
                <w:sz w:val="21"/>
                <w:szCs w:val="21"/>
                <w:highlight w:val="none"/>
                <w:lang w:eastAsia="zh-CN"/>
              </w:rPr>
            </w:pPr>
            <w:r>
              <w:rPr>
                <w:rFonts w:hint="eastAsia" w:ascii="宋体" w:hAnsi="宋体" w:cs="Times New Roman"/>
                <w:b w:val="0"/>
                <w:bCs/>
                <w:color w:val="auto"/>
                <w:kern w:val="0"/>
                <w:sz w:val="21"/>
                <w:szCs w:val="21"/>
                <w:highlight w:val="none"/>
                <w:lang w:eastAsia="zh-CN"/>
              </w:rPr>
              <w:t>资金来源</w:t>
            </w:r>
          </w:p>
        </w:tc>
        <w:tc>
          <w:tcPr>
            <w:tcW w:w="715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cs="Times New Roman"/>
                <w:b w:val="0"/>
                <w:bCs/>
                <w:color w:val="auto"/>
                <w:kern w:val="0"/>
                <w:sz w:val="21"/>
                <w:szCs w:val="21"/>
                <w:highlight w:val="none"/>
                <w:lang w:eastAsia="zh-CN"/>
              </w:rPr>
            </w:pPr>
            <w:r>
              <w:rPr>
                <w:rFonts w:hint="eastAsia" w:hAnsi="宋体" w:cs="Times New Roman"/>
                <w:b w:val="0"/>
                <w:bCs/>
                <w:color w:val="auto"/>
                <w:kern w:val="0"/>
                <w:sz w:val="21"/>
                <w:szCs w:val="21"/>
                <w:highlight w:val="none"/>
                <w:lang w:eastAsia="zh-CN"/>
              </w:rPr>
              <w:t>上级资金</w:t>
            </w:r>
          </w:p>
        </w:tc>
      </w:tr>
      <w:tr>
        <w:tblPrEx>
          <w:tblBorders>
            <w:top w:val="single" w:color="auto" w:sz="4" w:space="0"/>
            <w:left w:val="single" w:color="auto"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553" w:type="dxa"/>
            <w:vAlign w:val="center"/>
          </w:tcPr>
          <w:p>
            <w:pPr>
              <w:autoSpaceDE w:val="0"/>
              <w:autoSpaceDN w:val="0"/>
              <w:spacing w:line="360" w:lineRule="auto"/>
              <w:jc w:val="center"/>
              <w:rPr>
                <w:rFonts w:hint="eastAsia" w:ascii="宋体" w:hAnsi="宋体"/>
                <w:b w:val="0"/>
                <w:bCs w:val="0"/>
                <w:color w:val="auto"/>
                <w:kern w:val="0"/>
                <w:sz w:val="21"/>
                <w:szCs w:val="21"/>
                <w:highlight w:val="none"/>
              </w:rPr>
            </w:pPr>
            <w:r>
              <w:rPr>
                <w:rFonts w:hint="eastAsia" w:ascii="宋体" w:hAnsi="宋体"/>
                <w:b w:val="0"/>
                <w:bCs w:val="0"/>
                <w:color w:val="auto"/>
                <w:kern w:val="0"/>
                <w:sz w:val="21"/>
                <w:szCs w:val="21"/>
                <w:highlight w:val="none"/>
              </w:rPr>
              <w:t>3</w:t>
            </w:r>
          </w:p>
        </w:tc>
        <w:tc>
          <w:tcPr>
            <w:tcW w:w="201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cs="Times New Roman"/>
                <w:b w:val="0"/>
                <w:bCs/>
                <w:color w:val="auto"/>
                <w:kern w:val="0"/>
                <w:sz w:val="21"/>
                <w:szCs w:val="21"/>
                <w:highlight w:val="none"/>
                <w:lang w:eastAsia="zh-CN"/>
              </w:rPr>
            </w:pPr>
            <w:r>
              <w:rPr>
                <w:rFonts w:hint="eastAsia" w:ascii="宋体" w:hAnsi="宋体" w:cs="Times New Roman"/>
                <w:b w:val="0"/>
                <w:bCs/>
                <w:color w:val="auto"/>
                <w:kern w:val="0"/>
                <w:sz w:val="21"/>
                <w:szCs w:val="21"/>
                <w:highlight w:val="none"/>
                <w:lang w:eastAsia="zh-CN"/>
              </w:rPr>
              <w:t>采购内容</w:t>
            </w:r>
          </w:p>
        </w:tc>
        <w:tc>
          <w:tcPr>
            <w:tcW w:w="7155"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jc w:val="left"/>
              <w:textAlignment w:val="auto"/>
              <w:rPr>
                <w:rFonts w:hint="default" w:ascii="宋体" w:hAnsi="宋体" w:cs="Times New Roman"/>
                <w:b w:val="0"/>
                <w:bCs/>
                <w:color w:val="auto"/>
                <w:kern w:val="0"/>
                <w:sz w:val="21"/>
                <w:szCs w:val="21"/>
                <w:highlight w:val="none"/>
                <w:lang w:val="en-US" w:eastAsia="zh-CN"/>
              </w:rPr>
            </w:pPr>
            <w:r>
              <w:rPr>
                <w:rFonts w:hint="eastAsia" w:hAnsi="宋体" w:cs="Times New Roman"/>
                <w:b w:val="0"/>
                <w:bCs/>
                <w:color w:val="auto"/>
                <w:kern w:val="0"/>
                <w:sz w:val="21"/>
                <w:szCs w:val="21"/>
                <w:highlight w:val="none"/>
                <w:lang w:val="en-US" w:eastAsia="zh-CN"/>
              </w:rPr>
              <w:t>详见磋商文件</w:t>
            </w:r>
            <w:r>
              <w:rPr>
                <w:rFonts w:hint="eastAsia" w:hAnsi="宋体" w:cs="Times New Roman"/>
                <w:b/>
                <w:bCs w:val="0"/>
                <w:color w:val="auto"/>
                <w:kern w:val="0"/>
                <w:sz w:val="21"/>
                <w:szCs w:val="21"/>
                <w:highlight w:val="none"/>
                <w:lang w:val="en-US" w:eastAsia="zh-CN"/>
              </w:rPr>
              <w:t>“第四章采购内容及技术要求”</w:t>
            </w:r>
          </w:p>
        </w:tc>
      </w:tr>
      <w:tr>
        <w:tblPrEx>
          <w:tblBorders>
            <w:top w:val="single" w:color="auto" w:sz="4" w:space="0"/>
            <w:left w:val="single" w:color="auto"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553" w:type="dxa"/>
            <w:vAlign w:val="center"/>
          </w:tcPr>
          <w:p>
            <w:pPr>
              <w:autoSpaceDE w:val="0"/>
              <w:autoSpaceDN w:val="0"/>
              <w:spacing w:line="360" w:lineRule="auto"/>
              <w:jc w:val="center"/>
              <w:rPr>
                <w:rFonts w:hint="eastAsia" w:ascii="宋体" w:hAnsi="宋体"/>
                <w:b w:val="0"/>
                <w:bCs w:val="0"/>
                <w:color w:val="auto"/>
                <w:kern w:val="0"/>
                <w:sz w:val="21"/>
                <w:szCs w:val="21"/>
                <w:highlight w:val="none"/>
              </w:rPr>
            </w:pPr>
            <w:r>
              <w:rPr>
                <w:rFonts w:hint="eastAsia" w:ascii="宋体" w:hAnsi="宋体" w:cs="Times New Roman"/>
                <w:b w:val="0"/>
                <w:bCs w:val="0"/>
                <w:color w:val="auto"/>
                <w:kern w:val="0"/>
                <w:sz w:val="21"/>
                <w:szCs w:val="21"/>
                <w:highlight w:val="none"/>
                <w:lang w:val="en-US" w:eastAsia="zh-CN"/>
              </w:rPr>
              <w:t>4</w:t>
            </w:r>
          </w:p>
        </w:tc>
        <w:tc>
          <w:tcPr>
            <w:tcW w:w="201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cs="Times New Roman"/>
                <w:b w:val="0"/>
                <w:bCs/>
                <w:color w:val="auto"/>
                <w:kern w:val="0"/>
                <w:sz w:val="21"/>
                <w:szCs w:val="21"/>
                <w:highlight w:val="none"/>
                <w:lang w:eastAsia="zh-CN"/>
              </w:rPr>
            </w:pPr>
            <w:r>
              <w:rPr>
                <w:rFonts w:hint="eastAsia" w:hAnsi="宋体" w:cs="Times New Roman"/>
                <w:b/>
                <w:bCs w:val="0"/>
                <w:color w:val="auto"/>
                <w:kern w:val="0"/>
                <w:sz w:val="21"/>
                <w:szCs w:val="21"/>
                <w:highlight w:val="none"/>
                <w:lang w:eastAsia="zh-CN"/>
              </w:rPr>
              <w:t>供货期</w:t>
            </w:r>
          </w:p>
        </w:tc>
        <w:tc>
          <w:tcPr>
            <w:tcW w:w="715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default" w:ascii="宋体" w:hAnsi="宋体" w:cs="Times New Roman"/>
                <w:b w:val="0"/>
                <w:bCs/>
                <w:color w:val="auto"/>
                <w:kern w:val="0"/>
                <w:sz w:val="21"/>
                <w:szCs w:val="21"/>
                <w:highlight w:val="none"/>
                <w:lang w:val="en-US" w:eastAsia="zh-CN"/>
              </w:rPr>
            </w:pPr>
            <w:r>
              <w:rPr>
                <w:rFonts w:hint="eastAsia" w:hAnsi="宋体" w:cs="Times New Roman"/>
                <w:b w:val="0"/>
                <w:bCs/>
                <w:color w:val="auto"/>
                <w:kern w:val="0"/>
                <w:sz w:val="21"/>
                <w:szCs w:val="21"/>
                <w:highlight w:val="none"/>
                <w:lang w:val="en-US" w:eastAsia="zh-CN"/>
              </w:rPr>
              <w:t>合同签订后30日历天</w:t>
            </w:r>
          </w:p>
        </w:tc>
      </w:tr>
      <w:tr>
        <w:tblPrEx>
          <w:tblBorders>
            <w:top w:val="single" w:color="auto" w:sz="4" w:space="0"/>
            <w:left w:val="single" w:color="auto"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553" w:type="dxa"/>
            <w:vAlign w:val="center"/>
          </w:tcPr>
          <w:p>
            <w:pPr>
              <w:autoSpaceDE w:val="0"/>
              <w:autoSpaceDN w:val="0"/>
              <w:spacing w:line="360" w:lineRule="auto"/>
              <w:jc w:val="center"/>
              <w:rPr>
                <w:rFonts w:hint="default" w:ascii="宋体" w:hAnsi="宋体" w:cs="Times New Roman"/>
                <w:b w:val="0"/>
                <w:bCs w:val="0"/>
                <w:color w:val="auto"/>
                <w:kern w:val="0"/>
                <w:sz w:val="21"/>
                <w:szCs w:val="21"/>
                <w:highlight w:val="none"/>
                <w:lang w:val="en-US" w:eastAsia="zh-CN"/>
              </w:rPr>
            </w:pPr>
            <w:r>
              <w:rPr>
                <w:rFonts w:hint="eastAsia" w:hAnsi="宋体" w:cs="Times New Roman"/>
                <w:b w:val="0"/>
                <w:bCs w:val="0"/>
                <w:color w:val="auto"/>
                <w:kern w:val="0"/>
                <w:sz w:val="21"/>
                <w:szCs w:val="21"/>
                <w:highlight w:val="none"/>
                <w:lang w:val="en-US" w:eastAsia="zh-CN"/>
              </w:rPr>
              <w:t>5</w:t>
            </w:r>
          </w:p>
        </w:tc>
        <w:tc>
          <w:tcPr>
            <w:tcW w:w="201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hAnsi="宋体" w:cs="Times New Roman"/>
                <w:b/>
                <w:bCs w:val="0"/>
                <w:color w:val="auto"/>
                <w:kern w:val="0"/>
                <w:sz w:val="21"/>
                <w:szCs w:val="21"/>
                <w:highlight w:val="none"/>
                <w:lang w:eastAsia="zh-CN"/>
              </w:rPr>
            </w:pPr>
            <w:r>
              <w:rPr>
                <w:rFonts w:hint="eastAsia" w:hAnsi="宋体" w:cs="Times New Roman"/>
                <w:b/>
                <w:bCs w:val="0"/>
                <w:color w:val="auto"/>
                <w:kern w:val="0"/>
                <w:sz w:val="21"/>
                <w:szCs w:val="21"/>
                <w:highlight w:val="none"/>
                <w:lang w:eastAsia="zh-CN"/>
              </w:rPr>
              <w:t>质保期</w:t>
            </w:r>
          </w:p>
        </w:tc>
        <w:tc>
          <w:tcPr>
            <w:tcW w:w="715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default" w:hAnsi="宋体" w:cs="Times New Roman"/>
                <w:b w:val="0"/>
                <w:bCs/>
                <w:color w:val="auto"/>
                <w:kern w:val="0"/>
                <w:sz w:val="21"/>
                <w:szCs w:val="21"/>
                <w:highlight w:val="none"/>
                <w:lang w:val="en-US" w:eastAsia="zh-CN"/>
              </w:rPr>
            </w:pPr>
            <w:r>
              <w:rPr>
                <w:rFonts w:hint="eastAsia" w:hAnsi="宋体" w:cs="Times New Roman"/>
                <w:b w:val="0"/>
                <w:bCs/>
                <w:color w:val="auto"/>
                <w:kern w:val="0"/>
                <w:sz w:val="21"/>
                <w:szCs w:val="21"/>
                <w:highlight w:val="none"/>
                <w:lang w:val="en-US" w:eastAsia="zh-CN"/>
              </w:rPr>
              <w:t>1年</w:t>
            </w:r>
          </w:p>
        </w:tc>
      </w:tr>
      <w:tr>
        <w:tblPrEx>
          <w:tblBorders>
            <w:top w:val="single" w:color="auto" w:sz="4" w:space="0"/>
            <w:left w:val="single" w:color="auto"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553" w:type="dxa"/>
            <w:vAlign w:val="center"/>
          </w:tcPr>
          <w:p>
            <w:pPr>
              <w:autoSpaceDE w:val="0"/>
              <w:autoSpaceDN w:val="0"/>
              <w:spacing w:line="360" w:lineRule="auto"/>
              <w:jc w:val="left"/>
              <w:rPr>
                <w:rFonts w:hint="eastAsia" w:ascii="宋体" w:hAnsi="宋体" w:eastAsia="宋体" w:cs="Times New Roman"/>
                <w:b w:val="0"/>
                <w:bCs w:val="0"/>
                <w:color w:val="auto"/>
                <w:kern w:val="0"/>
                <w:sz w:val="21"/>
                <w:szCs w:val="21"/>
                <w:highlight w:val="none"/>
                <w:lang w:val="en-US" w:eastAsia="zh-CN" w:bidi="ar-SA"/>
              </w:rPr>
            </w:pPr>
            <w:r>
              <w:rPr>
                <w:rFonts w:hint="eastAsia" w:ascii="宋体" w:hAnsi="宋体"/>
                <w:b w:val="0"/>
                <w:bCs w:val="0"/>
                <w:color w:val="auto"/>
                <w:kern w:val="0"/>
                <w:sz w:val="21"/>
                <w:szCs w:val="21"/>
                <w:highlight w:val="none"/>
              </w:rPr>
              <w:t>6</w:t>
            </w:r>
          </w:p>
        </w:tc>
        <w:tc>
          <w:tcPr>
            <w:tcW w:w="2012" w:type="dxa"/>
            <w:vAlign w:val="center"/>
          </w:tcPr>
          <w:p>
            <w:pPr>
              <w:autoSpaceDE w:val="0"/>
              <w:autoSpaceDN w:val="0"/>
              <w:spacing w:line="360" w:lineRule="auto"/>
              <w:jc w:val="both"/>
              <w:rPr>
                <w:rFonts w:hint="eastAsia" w:ascii="宋体" w:hAnsi="宋体" w:eastAsia="宋体"/>
                <w:b/>
                <w:color w:val="auto"/>
                <w:kern w:val="0"/>
                <w:sz w:val="21"/>
                <w:szCs w:val="21"/>
                <w:highlight w:val="none"/>
                <w:lang w:eastAsia="zh-CN"/>
              </w:rPr>
            </w:pPr>
            <w:r>
              <w:rPr>
                <w:rFonts w:hint="eastAsia" w:hAnsi="宋体"/>
                <w:b/>
                <w:color w:val="auto"/>
                <w:kern w:val="0"/>
                <w:sz w:val="21"/>
                <w:szCs w:val="21"/>
                <w:highlight w:val="none"/>
                <w:lang w:eastAsia="zh-CN"/>
              </w:rPr>
              <w:t>磋商保证金</w:t>
            </w:r>
          </w:p>
        </w:tc>
        <w:tc>
          <w:tcPr>
            <w:tcW w:w="7155" w:type="dxa"/>
            <w:vAlign w:val="center"/>
          </w:tcPr>
          <w:p>
            <w:pPr>
              <w:spacing w:line="400" w:lineRule="exact"/>
              <w:jc w:val="left"/>
              <w:rPr>
                <w:rFonts w:hint="eastAsia"/>
                <w:color w:val="auto"/>
                <w:highlight w:val="none"/>
                <w:lang w:eastAsia="zh-CN"/>
              </w:rPr>
            </w:pPr>
            <w:r>
              <w:rPr>
                <w:rFonts w:hint="eastAsia" w:hAnsi="宋体" w:cs="宋体"/>
                <w:color w:val="auto"/>
                <w:sz w:val="21"/>
                <w:szCs w:val="21"/>
                <w:highlight w:val="none"/>
                <w:lang w:val="en-US" w:eastAsia="zh-CN"/>
              </w:rPr>
              <w:t>本项目无需提交磋商保证金</w:t>
            </w:r>
          </w:p>
        </w:tc>
      </w:tr>
      <w:tr>
        <w:tblPrEx>
          <w:tblBorders>
            <w:top w:val="single" w:color="auto" w:sz="4" w:space="0"/>
            <w:left w:val="single" w:color="auto"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553" w:type="dxa"/>
            <w:vAlign w:val="center"/>
          </w:tcPr>
          <w:p>
            <w:pPr>
              <w:autoSpaceDE w:val="0"/>
              <w:autoSpaceDN w:val="0"/>
              <w:spacing w:line="360" w:lineRule="auto"/>
              <w:jc w:val="center"/>
              <w:rPr>
                <w:rFonts w:hint="eastAsia" w:ascii="宋体" w:hAnsi="宋体" w:eastAsia="宋体" w:cs="Times New Roman"/>
                <w:b w:val="0"/>
                <w:bCs w:val="0"/>
                <w:color w:val="auto"/>
                <w:kern w:val="0"/>
                <w:sz w:val="21"/>
                <w:szCs w:val="21"/>
                <w:highlight w:val="none"/>
                <w:lang w:val="en-US" w:eastAsia="zh-CN" w:bidi="ar-SA"/>
              </w:rPr>
            </w:pPr>
            <w:r>
              <w:rPr>
                <w:rFonts w:hint="eastAsia" w:ascii="宋体" w:hAnsi="宋体"/>
                <w:b w:val="0"/>
                <w:bCs w:val="0"/>
                <w:color w:val="auto"/>
                <w:kern w:val="0"/>
                <w:sz w:val="21"/>
                <w:szCs w:val="21"/>
                <w:highlight w:val="none"/>
              </w:rPr>
              <w:t>7</w:t>
            </w:r>
          </w:p>
        </w:tc>
        <w:tc>
          <w:tcPr>
            <w:tcW w:w="201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cs="Times New Roman"/>
                <w:b w:val="0"/>
                <w:bCs/>
                <w:color w:val="auto"/>
                <w:kern w:val="0"/>
                <w:sz w:val="21"/>
                <w:szCs w:val="21"/>
                <w:highlight w:val="none"/>
                <w:lang w:eastAsia="zh-CN"/>
              </w:rPr>
            </w:pPr>
            <w:r>
              <w:rPr>
                <w:rFonts w:hint="eastAsia" w:ascii="宋体" w:hAnsi="宋体" w:cs="Times New Roman"/>
                <w:b/>
                <w:bCs w:val="0"/>
                <w:color w:val="auto"/>
                <w:kern w:val="0"/>
                <w:sz w:val="21"/>
                <w:szCs w:val="21"/>
                <w:highlight w:val="none"/>
                <w:lang w:eastAsia="zh-CN"/>
              </w:rPr>
              <w:t>投标有效期</w:t>
            </w:r>
          </w:p>
        </w:tc>
        <w:tc>
          <w:tcPr>
            <w:tcW w:w="715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cs="Times New Roman"/>
                <w:b w:val="0"/>
                <w:bCs/>
                <w:color w:val="auto"/>
                <w:kern w:val="0"/>
                <w:sz w:val="21"/>
                <w:szCs w:val="21"/>
                <w:highlight w:val="none"/>
                <w:lang w:eastAsia="zh-CN"/>
              </w:rPr>
            </w:pPr>
            <w:r>
              <w:rPr>
                <w:rFonts w:hint="eastAsia" w:ascii="宋体" w:hAnsi="宋体" w:cs="Times New Roman"/>
                <w:b w:val="0"/>
                <w:bCs/>
                <w:color w:val="auto"/>
                <w:kern w:val="0"/>
                <w:sz w:val="21"/>
                <w:szCs w:val="21"/>
                <w:highlight w:val="none"/>
                <w:lang w:eastAsia="zh-CN"/>
              </w:rPr>
              <w:t>90日历天</w:t>
            </w:r>
          </w:p>
        </w:tc>
      </w:tr>
      <w:tr>
        <w:tblPrEx>
          <w:tblBorders>
            <w:top w:val="single" w:color="auto" w:sz="4" w:space="0"/>
            <w:left w:val="single" w:color="auto"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553" w:type="dxa"/>
            <w:vAlign w:val="center"/>
          </w:tcPr>
          <w:p>
            <w:pPr>
              <w:autoSpaceDE w:val="0"/>
              <w:autoSpaceDN w:val="0"/>
              <w:spacing w:line="360" w:lineRule="auto"/>
              <w:jc w:val="center"/>
              <w:rPr>
                <w:rFonts w:hint="eastAsia" w:ascii="宋体" w:hAnsi="宋体" w:eastAsia="宋体" w:cs="Times New Roman"/>
                <w:b w:val="0"/>
                <w:bCs w:val="0"/>
                <w:color w:val="auto"/>
                <w:kern w:val="0"/>
                <w:sz w:val="21"/>
                <w:szCs w:val="21"/>
                <w:highlight w:val="none"/>
                <w:lang w:val="en-US" w:eastAsia="zh-CN" w:bidi="ar-SA"/>
              </w:rPr>
            </w:pPr>
            <w:r>
              <w:rPr>
                <w:rFonts w:hint="eastAsia" w:ascii="宋体" w:hAnsi="宋体"/>
                <w:b w:val="0"/>
                <w:bCs w:val="0"/>
                <w:color w:val="auto"/>
                <w:kern w:val="0"/>
                <w:sz w:val="21"/>
                <w:szCs w:val="21"/>
                <w:highlight w:val="none"/>
              </w:rPr>
              <w:t>8</w:t>
            </w:r>
          </w:p>
        </w:tc>
        <w:tc>
          <w:tcPr>
            <w:tcW w:w="201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cs="Times New Roman"/>
                <w:b/>
                <w:bCs w:val="0"/>
                <w:color w:val="auto"/>
                <w:kern w:val="0"/>
                <w:sz w:val="21"/>
                <w:szCs w:val="21"/>
                <w:highlight w:val="none"/>
                <w:lang w:eastAsia="zh-CN"/>
              </w:rPr>
            </w:pPr>
            <w:r>
              <w:rPr>
                <w:rFonts w:hint="eastAsia" w:hAnsi="宋体" w:cs="Times New Roman"/>
                <w:b/>
                <w:bCs w:val="0"/>
                <w:color w:val="auto"/>
                <w:kern w:val="0"/>
                <w:sz w:val="21"/>
                <w:szCs w:val="21"/>
                <w:highlight w:val="none"/>
                <w:lang w:eastAsia="zh-CN"/>
              </w:rPr>
              <w:t>响应文件</w:t>
            </w:r>
            <w:r>
              <w:rPr>
                <w:rFonts w:hint="eastAsia" w:ascii="宋体" w:hAnsi="宋体" w:cs="Times New Roman"/>
                <w:b/>
                <w:bCs w:val="0"/>
                <w:color w:val="auto"/>
                <w:kern w:val="0"/>
                <w:sz w:val="21"/>
                <w:szCs w:val="21"/>
                <w:highlight w:val="none"/>
                <w:lang w:eastAsia="zh-CN"/>
              </w:rPr>
              <w:t>份数</w:t>
            </w:r>
          </w:p>
        </w:tc>
        <w:tc>
          <w:tcPr>
            <w:tcW w:w="715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cs="Times New Roman"/>
                <w:b/>
                <w:bCs w:val="0"/>
                <w:color w:val="auto"/>
                <w:kern w:val="0"/>
                <w:sz w:val="21"/>
                <w:szCs w:val="21"/>
                <w:highlight w:val="none"/>
                <w:lang w:eastAsia="zh-CN"/>
              </w:rPr>
            </w:pPr>
            <w:r>
              <w:rPr>
                <w:rFonts w:hint="eastAsia" w:hAnsi="宋体" w:cs="Times New Roman"/>
                <w:b w:val="0"/>
                <w:bCs/>
                <w:color w:val="auto"/>
                <w:kern w:val="0"/>
                <w:sz w:val="21"/>
                <w:szCs w:val="21"/>
                <w:highlight w:val="none"/>
                <w:lang w:eastAsia="zh-CN"/>
              </w:rPr>
              <w:t>响应文件</w:t>
            </w:r>
            <w:r>
              <w:rPr>
                <w:rFonts w:hint="eastAsia" w:ascii="宋体" w:hAnsi="宋体" w:cs="Times New Roman"/>
                <w:b w:val="0"/>
                <w:bCs/>
                <w:color w:val="auto"/>
                <w:kern w:val="0"/>
                <w:sz w:val="21"/>
                <w:szCs w:val="21"/>
                <w:highlight w:val="none"/>
                <w:lang w:eastAsia="zh-CN"/>
              </w:rPr>
              <w:t>共</w:t>
            </w:r>
            <w:r>
              <w:rPr>
                <w:rFonts w:hint="eastAsia" w:hAnsi="宋体" w:cs="Times New Roman"/>
                <w:b w:val="0"/>
                <w:bCs/>
                <w:color w:val="auto"/>
                <w:kern w:val="0"/>
                <w:sz w:val="21"/>
                <w:szCs w:val="21"/>
                <w:highlight w:val="none"/>
                <w:lang w:eastAsia="zh-CN"/>
              </w:rPr>
              <w:t>四</w:t>
            </w:r>
            <w:r>
              <w:rPr>
                <w:rFonts w:hint="eastAsia" w:ascii="宋体" w:hAnsi="宋体" w:cs="Times New Roman"/>
                <w:b w:val="0"/>
                <w:bCs/>
                <w:color w:val="auto"/>
                <w:kern w:val="0"/>
                <w:sz w:val="21"/>
                <w:szCs w:val="21"/>
                <w:highlight w:val="none"/>
                <w:lang w:eastAsia="zh-CN"/>
              </w:rPr>
              <w:t>份，其中正本一份，副本</w:t>
            </w:r>
            <w:r>
              <w:rPr>
                <w:rFonts w:hint="eastAsia" w:hAnsi="宋体" w:cs="Times New Roman"/>
                <w:b w:val="0"/>
                <w:bCs/>
                <w:color w:val="auto"/>
                <w:kern w:val="0"/>
                <w:sz w:val="21"/>
                <w:szCs w:val="21"/>
                <w:highlight w:val="none"/>
                <w:lang w:eastAsia="zh-CN"/>
              </w:rPr>
              <w:t>二</w:t>
            </w:r>
            <w:r>
              <w:rPr>
                <w:rFonts w:hint="eastAsia" w:ascii="宋体" w:hAnsi="宋体" w:cs="Times New Roman"/>
                <w:b w:val="0"/>
                <w:bCs/>
                <w:color w:val="auto"/>
                <w:kern w:val="0"/>
                <w:sz w:val="21"/>
                <w:szCs w:val="21"/>
                <w:highlight w:val="none"/>
                <w:lang w:eastAsia="zh-CN"/>
              </w:rPr>
              <w:t>份，电子文件（U盘）</w:t>
            </w:r>
            <w:r>
              <w:rPr>
                <w:rFonts w:hint="eastAsia" w:hAnsi="宋体" w:cs="Times New Roman"/>
                <w:b w:val="0"/>
                <w:bCs/>
                <w:color w:val="auto"/>
                <w:kern w:val="0"/>
                <w:sz w:val="21"/>
                <w:szCs w:val="21"/>
                <w:highlight w:val="none"/>
                <w:lang w:eastAsia="zh-CN"/>
              </w:rPr>
              <w:t>一</w:t>
            </w:r>
            <w:r>
              <w:rPr>
                <w:rFonts w:hint="eastAsia" w:ascii="宋体" w:hAnsi="宋体" w:cs="Times New Roman"/>
                <w:b w:val="0"/>
                <w:bCs/>
                <w:color w:val="auto"/>
                <w:kern w:val="0"/>
                <w:sz w:val="21"/>
                <w:szCs w:val="21"/>
                <w:highlight w:val="none"/>
                <w:lang w:eastAsia="zh-CN"/>
              </w:rPr>
              <w:t>份</w:t>
            </w:r>
          </w:p>
        </w:tc>
      </w:tr>
      <w:tr>
        <w:tblPrEx>
          <w:tblBorders>
            <w:top w:val="single" w:color="auto" w:sz="4" w:space="0"/>
            <w:left w:val="single" w:color="auto"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553" w:type="dxa"/>
            <w:vAlign w:val="center"/>
          </w:tcPr>
          <w:p>
            <w:pPr>
              <w:autoSpaceDE w:val="0"/>
              <w:autoSpaceDN w:val="0"/>
              <w:spacing w:line="360" w:lineRule="auto"/>
              <w:jc w:val="center"/>
              <w:rPr>
                <w:rFonts w:hint="eastAsia" w:ascii="宋体" w:hAnsi="宋体" w:eastAsia="宋体" w:cs="Times New Roman"/>
                <w:b w:val="0"/>
                <w:bCs w:val="0"/>
                <w:color w:val="auto"/>
                <w:kern w:val="0"/>
                <w:sz w:val="21"/>
                <w:szCs w:val="21"/>
                <w:highlight w:val="none"/>
                <w:lang w:val="en-US" w:eastAsia="zh-CN" w:bidi="ar-SA"/>
              </w:rPr>
            </w:pPr>
            <w:r>
              <w:rPr>
                <w:rFonts w:hint="eastAsia" w:ascii="宋体" w:hAnsi="宋体"/>
                <w:b w:val="0"/>
                <w:bCs w:val="0"/>
                <w:color w:val="auto"/>
                <w:kern w:val="0"/>
                <w:sz w:val="21"/>
                <w:szCs w:val="21"/>
                <w:highlight w:val="none"/>
              </w:rPr>
              <w:t>9</w:t>
            </w:r>
          </w:p>
        </w:tc>
        <w:tc>
          <w:tcPr>
            <w:tcW w:w="201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cs="Times New Roman"/>
                <w:b/>
                <w:bCs w:val="0"/>
                <w:color w:val="auto"/>
                <w:kern w:val="0"/>
                <w:sz w:val="21"/>
                <w:szCs w:val="21"/>
                <w:highlight w:val="none"/>
                <w:lang w:eastAsia="zh-CN"/>
              </w:rPr>
            </w:pPr>
            <w:r>
              <w:rPr>
                <w:rFonts w:hint="eastAsia" w:hAnsi="宋体" w:cs="Times New Roman"/>
                <w:b/>
                <w:bCs w:val="0"/>
                <w:color w:val="auto"/>
                <w:kern w:val="0"/>
                <w:sz w:val="21"/>
                <w:szCs w:val="21"/>
                <w:highlight w:val="none"/>
                <w:lang w:eastAsia="zh-CN"/>
              </w:rPr>
              <w:t>响应文件</w:t>
            </w:r>
            <w:r>
              <w:rPr>
                <w:rFonts w:hint="eastAsia" w:ascii="宋体" w:hAnsi="宋体" w:cs="Times New Roman"/>
                <w:b/>
                <w:bCs w:val="0"/>
                <w:color w:val="auto"/>
                <w:kern w:val="0"/>
                <w:sz w:val="21"/>
                <w:szCs w:val="21"/>
                <w:highlight w:val="none"/>
                <w:lang w:eastAsia="zh-CN"/>
              </w:rPr>
              <w:t>递交地点及截止时间</w:t>
            </w:r>
          </w:p>
        </w:tc>
        <w:tc>
          <w:tcPr>
            <w:tcW w:w="7155" w:type="dxa"/>
            <w:vAlign w:val="center"/>
          </w:tcPr>
          <w:p>
            <w:pPr>
              <w:pStyle w:val="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递交地点：</w:t>
            </w:r>
            <w:r>
              <w:rPr>
                <w:rFonts w:hint="eastAsia" w:ascii="宋体" w:hAnsi="宋体" w:cs="宋体"/>
                <w:color w:val="auto"/>
                <w:sz w:val="21"/>
                <w:szCs w:val="21"/>
                <w:highlight w:val="none"/>
                <w:lang w:val="en-US" w:eastAsia="zh-CN"/>
              </w:rPr>
              <w:t>西咸新区世纪大道铁投V领郡4号楼13层</w:t>
            </w:r>
          </w:p>
          <w:p>
            <w:pPr>
              <w:pStyle w:val="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递交时间：</w:t>
            </w:r>
            <w:r>
              <w:rPr>
                <w:rFonts w:hint="eastAsia" w:ascii="宋体" w:hAnsi="宋体" w:cs="宋体"/>
                <w:color w:val="auto"/>
                <w:sz w:val="21"/>
                <w:szCs w:val="21"/>
                <w:highlight w:val="none"/>
                <w:lang w:val="en-US" w:eastAsia="zh-CN"/>
              </w:rPr>
              <w:t>2023年08月04日14:30</w:t>
            </w:r>
            <w:r>
              <w:rPr>
                <w:rFonts w:hint="eastAsia" w:ascii="宋体" w:hAnsi="宋体" w:eastAsia="宋体" w:cs="宋体"/>
                <w:color w:val="auto"/>
                <w:sz w:val="21"/>
                <w:szCs w:val="21"/>
                <w:highlight w:val="none"/>
                <w:lang w:val="en-US" w:eastAsia="zh-CN"/>
              </w:rPr>
              <w:t>前</w:t>
            </w:r>
          </w:p>
        </w:tc>
      </w:tr>
      <w:tr>
        <w:tblPrEx>
          <w:tblBorders>
            <w:top w:val="single" w:color="auto" w:sz="4" w:space="0"/>
            <w:left w:val="single" w:color="auto"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1" w:hRule="atLeast"/>
          <w:jc w:val="center"/>
        </w:trPr>
        <w:tc>
          <w:tcPr>
            <w:tcW w:w="553" w:type="dxa"/>
            <w:vAlign w:val="center"/>
          </w:tcPr>
          <w:p>
            <w:pPr>
              <w:autoSpaceDE w:val="0"/>
              <w:autoSpaceDN w:val="0"/>
              <w:spacing w:line="360" w:lineRule="auto"/>
              <w:jc w:val="center"/>
              <w:rPr>
                <w:rFonts w:hint="eastAsia" w:ascii="宋体" w:hAnsi="宋体" w:eastAsia="宋体" w:cs="Times New Roman"/>
                <w:b w:val="0"/>
                <w:bCs w:val="0"/>
                <w:color w:val="auto"/>
                <w:kern w:val="0"/>
                <w:sz w:val="21"/>
                <w:szCs w:val="21"/>
                <w:highlight w:val="none"/>
                <w:lang w:val="en-US" w:eastAsia="zh-CN" w:bidi="ar-SA"/>
              </w:rPr>
            </w:pPr>
            <w:r>
              <w:rPr>
                <w:rFonts w:hint="eastAsia" w:ascii="宋体" w:hAnsi="宋体"/>
                <w:b w:val="0"/>
                <w:bCs w:val="0"/>
                <w:color w:val="auto"/>
                <w:kern w:val="0"/>
                <w:sz w:val="21"/>
                <w:szCs w:val="21"/>
                <w:highlight w:val="none"/>
              </w:rPr>
              <w:t>10</w:t>
            </w:r>
          </w:p>
        </w:tc>
        <w:tc>
          <w:tcPr>
            <w:tcW w:w="2012" w:type="dxa"/>
            <w:vAlign w:val="center"/>
          </w:tcPr>
          <w:p>
            <w:pPr>
              <w:autoSpaceDE w:val="0"/>
              <w:autoSpaceDN w:val="0"/>
              <w:spacing w:line="360" w:lineRule="auto"/>
              <w:jc w:val="both"/>
              <w:rPr>
                <w:rFonts w:hint="eastAsia" w:ascii="宋体" w:hAnsi="宋体"/>
                <w:b/>
                <w:color w:val="auto"/>
                <w:kern w:val="0"/>
                <w:sz w:val="21"/>
                <w:szCs w:val="21"/>
                <w:highlight w:val="none"/>
              </w:rPr>
            </w:pPr>
            <w:r>
              <w:rPr>
                <w:rFonts w:hint="eastAsia" w:hAnsi="宋体"/>
                <w:b/>
                <w:color w:val="auto"/>
                <w:kern w:val="0"/>
                <w:sz w:val="21"/>
                <w:szCs w:val="21"/>
                <w:highlight w:val="none"/>
                <w:lang w:eastAsia="zh-CN"/>
              </w:rPr>
              <w:t>开标</w:t>
            </w:r>
            <w:r>
              <w:rPr>
                <w:rFonts w:hint="eastAsia" w:ascii="宋体" w:hAnsi="宋体"/>
                <w:b/>
                <w:color w:val="auto"/>
                <w:kern w:val="0"/>
                <w:sz w:val="21"/>
                <w:szCs w:val="21"/>
                <w:highlight w:val="none"/>
              </w:rPr>
              <w:t>时间及地点</w:t>
            </w:r>
          </w:p>
        </w:tc>
        <w:tc>
          <w:tcPr>
            <w:tcW w:w="7155" w:type="dxa"/>
            <w:vAlign w:val="center"/>
          </w:tcPr>
          <w:p>
            <w:pPr>
              <w:pStyle w:val="5"/>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开标</w:t>
            </w:r>
            <w:r>
              <w:rPr>
                <w:rFonts w:hint="eastAsia" w:ascii="宋体" w:hAnsi="宋体" w:eastAsia="宋体" w:cs="宋体"/>
                <w:color w:val="auto"/>
                <w:sz w:val="21"/>
                <w:szCs w:val="21"/>
                <w:highlight w:val="none"/>
                <w:lang w:val="en-US" w:eastAsia="zh-CN"/>
              </w:rPr>
              <w:t>时间：</w:t>
            </w:r>
            <w:r>
              <w:rPr>
                <w:rFonts w:hint="eastAsia" w:ascii="宋体" w:hAnsi="宋体" w:cs="宋体"/>
                <w:color w:val="auto"/>
                <w:sz w:val="21"/>
                <w:szCs w:val="21"/>
                <w:highlight w:val="none"/>
                <w:lang w:val="en-US" w:eastAsia="zh-CN"/>
              </w:rPr>
              <w:t>2023年08月04日14:30</w:t>
            </w:r>
          </w:p>
          <w:p>
            <w:pPr>
              <w:pStyle w:val="5"/>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开标</w:t>
            </w:r>
            <w:r>
              <w:rPr>
                <w:rFonts w:hint="eastAsia" w:ascii="宋体" w:hAnsi="宋体" w:eastAsia="宋体" w:cs="宋体"/>
                <w:color w:val="auto"/>
                <w:sz w:val="21"/>
                <w:szCs w:val="21"/>
                <w:highlight w:val="none"/>
                <w:lang w:val="en-US" w:eastAsia="zh-CN"/>
              </w:rPr>
              <w:t>地点：</w:t>
            </w:r>
            <w:r>
              <w:rPr>
                <w:rFonts w:hint="eastAsia" w:ascii="宋体" w:hAnsi="宋体" w:cs="宋体"/>
                <w:color w:val="auto"/>
                <w:sz w:val="21"/>
                <w:szCs w:val="21"/>
                <w:highlight w:val="none"/>
                <w:lang w:val="en-US" w:eastAsia="zh-CN"/>
              </w:rPr>
              <w:t>西咸新区世纪大道铁投V领郡4号楼13层</w:t>
            </w:r>
          </w:p>
        </w:tc>
      </w:tr>
      <w:tr>
        <w:tblPrEx>
          <w:tblBorders>
            <w:top w:val="single" w:color="auto" w:sz="4" w:space="0"/>
            <w:left w:val="single" w:color="auto"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jc w:val="center"/>
        </w:trPr>
        <w:tc>
          <w:tcPr>
            <w:tcW w:w="553" w:type="dxa"/>
            <w:vAlign w:val="center"/>
          </w:tcPr>
          <w:p>
            <w:pPr>
              <w:spacing w:line="360" w:lineRule="auto"/>
              <w:jc w:val="center"/>
              <w:rPr>
                <w:rFonts w:hint="eastAsia" w:ascii="宋体" w:hAnsi="宋体" w:eastAsia="宋体" w:cs="Times New Roman"/>
                <w:b w:val="0"/>
                <w:bCs w:val="0"/>
                <w:color w:val="auto"/>
                <w:sz w:val="21"/>
                <w:szCs w:val="21"/>
                <w:highlight w:val="none"/>
                <w:lang w:val="en-US" w:eastAsia="zh-CN" w:bidi="ar-SA"/>
              </w:rPr>
            </w:pPr>
            <w:r>
              <w:rPr>
                <w:rFonts w:hint="eastAsia" w:ascii="宋体" w:hAnsi="宋体"/>
                <w:b w:val="0"/>
                <w:bCs w:val="0"/>
                <w:color w:val="auto"/>
                <w:sz w:val="21"/>
                <w:szCs w:val="21"/>
                <w:highlight w:val="none"/>
              </w:rPr>
              <w:t>11</w:t>
            </w:r>
          </w:p>
        </w:tc>
        <w:tc>
          <w:tcPr>
            <w:tcW w:w="201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cs="Times New Roman"/>
                <w:b w:val="0"/>
                <w:bCs/>
                <w:color w:val="auto"/>
                <w:kern w:val="0"/>
                <w:sz w:val="21"/>
                <w:szCs w:val="21"/>
                <w:highlight w:val="none"/>
                <w:lang w:eastAsia="zh-CN"/>
              </w:rPr>
            </w:pPr>
            <w:r>
              <w:rPr>
                <w:rFonts w:hint="eastAsia" w:ascii="宋体" w:hAnsi="宋体" w:cs="Times New Roman"/>
                <w:b w:val="0"/>
                <w:bCs/>
                <w:color w:val="auto"/>
                <w:kern w:val="0"/>
                <w:sz w:val="21"/>
                <w:szCs w:val="21"/>
                <w:highlight w:val="none"/>
                <w:lang w:eastAsia="zh-CN"/>
              </w:rPr>
              <w:t>评标办法</w:t>
            </w:r>
          </w:p>
        </w:tc>
        <w:tc>
          <w:tcPr>
            <w:tcW w:w="715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cs="Times New Roman"/>
                <w:b w:val="0"/>
                <w:bCs/>
                <w:color w:val="auto"/>
                <w:kern w:val="0"/>
                <w:sz w:val="21"/>
                <w:szCs w:val="21"/>
                <w:highlight w:val="none"/>
                <w:lang w:eastAsia="zh-CN"/>
              </w:rPr>
            </w:pPr>
            <w:r>
              <w:rPr>
                <w:rFonts w:hint="eastAsia" w:ascii="宋体" w:hAnsi="宋体" w:cs="Times New Roman"/>
                <w:b w:val="0"/>
                <w:bCs/>
                <w:color w:val="auto"/>
                <w:kern w:val="0"/>
                <w:sz w:val="21"/>
                <w:szCs w:val="21"/>
                <w:highlight w:val="none"/>
                <w:lang w:val="en-US" w:eastAsia="zh-CN"/>
              </w:rPr>
              <w:t>综合评分法，详见</w:t>
            </w:r>
            <w:r>
              <w:rPr>
                <w:rFonts w:hint="eastAsia" w:hAnsi="宋体" w:cs="Times New Roman"/>
                <w:b w:val="0"/>
                <w:bCs/>
                <w:color w:val="auto"/>
                <w:kern w:val="0"/>
                <w:sz w:val="21"/>
                <w:szCs w:val="21"/>
                <w:highlight w:val="none"/>
                <w:lang w:val="en-US" w:eastAsia="zh-CN"/>
              </w:rPr>
              <w:t>竞争性磋商文件</w:t>
            </w:r>
            <w:r>
              <w:rPr>
                <w:rFonts w:hint="eastAsia" w:ascii="宋体" w:hAnsi="宋体" w:cs="Times New Roman"/>
                <w:b w:val="0"/>
                <w:bCs/>
                <w:color w:val="auto"/>
                <w:kern w:val="0"/>
                <w:sz w:val="21"/>
                <w:szCs w:val="21"/>
                <w:highlight w:val="none"/>
                <w:lang w:val="en-US" w:eastAsia="zh-CN"/>
              </w:rPr>
              <w:t>之评审办法</w:t>
            </w:r>
          </w:p>
        </w:tc>
      </w:tr>
      <w:tr>
        <w:tblPrEx>
          <w:tblBorders>
            <w:top w:val="single" w:color="auto" w:sz="4" w:space="0"/>
            <w:left w:val="single" w:color="auto"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553" w:type="dxa"/>
            <w:vAlign w:val="center"/>
          </w:tcPr>
          <w:p>
            <w:pPr>
              <w:spacing w:line="360" w:lineRule="auto"/>
              <w:jc w:val="center"/>
              <w:rPr>
                <w:rFonts w:hint="eastAsia" w:ascii="宋体" w:hAnsi="宋体" w:eastAsia="宋体" w:cs="Times New Roman"/>
                <w:b w:val="0"/>
                <w:bCs w:val="0"/>
                <w:color w:val="auto"/>
                <w:sz w:val="21"/>
                <w:szCs w:val="21"/>
                <w:highlight w:val="none"/>
                <w:lang w:val="en-US" w:eastAsia="zh-CN" w:bidi="ar-SA"/>
              </w:rPr>
            </w:pPr>
            <w:r>
              <w:rPr>
                <w:rFonts w:hint="eastAsia" w:ascii="宋体" w:hAnsi="宋体"/>
                <w:b w:val="0"/>
                <w:bCs w:val="0"/>
                <w:color w:val="auto"/>
                <w:sz w:val="21"/>
                <w:szCs w:val="21"/>
                <w:highlight w:val="none"/>
              </w:rPr>
              <w:t>12</w:t>
            </w:r>
          </w:p>
        </w:tc>
        <w:tc>
          <w:tcPr>
            <w:tcW w:w="201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cs="Times New Roman"/>
                <w:b w:val="0"/>
                <w:bCs/>
                <w:color w:val="auto"/>
                <w:kern w:val="0"/>
                <w:sz w:val="21"/>
                <w:szCs w:val="21"/>
                <w:highlight w:val="none"/>
                <w:lang w:eastAsia="zh-CN"/>
              </w:rPr>
            </w:pPr>
            <w:r>
              <w:rPr>
                <w:rFonts w:hint="eastAsia" w:ascii="宋体" w:hAnsi="宋体" w:cs="Times New Roman"/>
                <w:b w:val="0"/>
                <w:bCs/>
                <w:color w:val="auto"/>
                <w:kern w:val="0"/>
                <w:sz w:val="21"/>
                <w:szCs w:val="21"/>
                <w:highlight w:val="none"/>
                <w:lang w:eastAsia="zh-CN"/>
              </w:rPr>
              <w:t>确定中标人方式</w:t>
            </w:r>
          </w:p>
        </w:tc>
        <w:tc>
          <w:tcPr>
            <w:tcW w:w="715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cs="Times New Roman"/>
                <w:b w:val="0"/>
                <w:bCs/>
                <w:color w:val="auto"/>
                <w:kern w:val="0"/>
                <w:sz w:val="21"/>
                <w:szCs w:val="21"/>
                <w:highlight w:val="none"/>
                <w:lang w:eastAsia="zh-CN"/>
              </w:rPr>
            </w:pPr>
            <w:r>
              <w:rPr>
                <w:rFonts w:hint="eastAsia" w:ascii="宋体" w:hAnsi="宋体" w:cs="Times New Roman"/>
                <w:b w:val="0"/>
                <w:bCs/>
                <w:color w:val="auto"/>
                <w:kern w:val="0"/>
                <w:sz w:val="21"/>
                <w:szCs w:val="21"/>
                <w:highlight w:val="none"/>
                <w:lang w:eastAsia="zh-CN"/>
              </w:rPr>
              <w:t>由</w:t>
            </w:r>
            <w:r>
              <w:rPr>
                <w:rFonts w:hint="eastAsia" w:hAnsi="宋体" w:cs="Times New Roman"/>
                <w:b w:val="0"/>
                <w:bCs/>
                <w:color w:val="auto"/>
                <w:kern w:val="0"/>
                <w:sz w:val="21"/>
                <w:szCs w:val="21"/>
                <w:highlight w:val="none"/>
                <w:lang w:eastAsia="zh-CN"/>
              </w:rPr>
              <w:t>磋商小组</w:t>
            </w:r>
            <w:r>
              <w:rPr>
                <w:rFonts w:hint="eastAsia" w:ascii="宋体" w:hAnsi="宋体" w:cs="Times New Roman"/>
                <w:b w:val="0"/>
                <w:bCs/>
                <w:color w:val="auto"/>
                <w:kern w:val="0"/>
                <w:sz w:val="21"/>
                <w:szCs w:val="21"/>
                <w:highlight w:val="none"/>
                <w:lang w:eastAsia="zh-CN"/>
              </w:rPr>
              <w:t>推荐前三名为中标候选人，采购人根据提出的评标报告和推荐的中标候选人确定中标人。</w:t>
            </w:r>
          </w:p>
        </w:tc>
      </w:tr>
      <w:tr>
        <w:tblPrEx>
          <w:tblBorders>
            <w:top w:val="single" w:color="auto" w:sz="4" w:space="0"/>
            <w:left w:val="single" w:color="auto"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553" w:type="dxa"/>
            <w:vAlign w:val="center"/>
          </w:tcPr>
          <w:p>
            <w:pPr>
              <w:spacing w:line="360" w:lineRule="auto"/>
              <w:jc w:val="center"/>
              <w:rPr>
                <w:rFonts w:hint="eastAsia" w:ascii="宋体" w:hAnsi="宋体" w:eastAsia="宋体" w:cs="Times New Roman"/>
                <w:b w:val="0"/>
                <w:bCs w:val="0"/>
                <w:color w:val="auto"/>
                <w:sz w:val="21"/>
                <w:szCs w:val="21"/>
                <w:highlight w:val="none"/>
                <w:lang w:val="en-US" w:eastAsia="zh-CN" w:bidi="ar-SA"/>
              </w:rPr>
            </w:pPr>
            <w:r>
              <w:rPr>
                <w:rFonts w:hint="eastAsia" w:ascii="宋体" w:hAnsi="宋体"/>
                <w:b w:val="0"/>
                <w:bCs w:val="0"/>
                <w:color w:val="auto"/>
                <w:sz w:val="21"/>
                <w:szCs w:val="21"/>
                <w:highlight w:val="none"/>
              </w:rPr>
              <w:t>13</w:t>
            </w:r>
          </w:p>
        </w:tc>
        <w:tc>
          <w:tcPr>
            <w:tcW w:w="201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cs="Times New Roman"/>
                <w:b w:val="0"/>
                <w:bCs/>
                <w:color w:val="auto"/>
                <w:kern w:val="0"/>
                <w:sz w:val="21"/>
                <w:szCs w:val="21"/>
                <w:highlight w:val="none"/>
                <w:lang w:eastAsia="zh-CN"/>
              </w:rPr>
            </w:pPr>
            <w:r>
              <w:rPr>
                <w:rFonts w:hint="eastAsia" w:hAnsi="宋体" w:cs="Times New Roman"/>
                <w:b w:val="0"/>
                <w:bCs/>
                <w:color w:val="auto"/>
                <w:kern w:val="0"/>
                <w:sz w:val="21"/>
                <w:szCs w:val="21"/>
                <w:highlight w:val="none"/>
                <w:lang w:eastAsia="zh-CN"/>
              </w:rPr>
              <w:t>竞争性磋商文件</w:t>
            </w:r>
            <w:r>
              <w:rPr>
                <w:rFonts w:hint="eastAsia" w:ascii="宋体" w:hAnsi="宋体" w:cs="Times New Roman"/>
                <w:b w:val="0"/>
                <w:bCs/>
                <w:color w:val="auto"/>
                <w:kern w:val="0"/>
                <w:sz w:val="21"/>
                <w:szCs w:val="21"/>
                <w:highlight w:val="none"/>
                <w:lang w:eastAsia="zh-CN"/>
              </w:rPr>
              <w:t>售价</w:t>
            </w:r>
          </w:p>
        </w:tc>
        <w:tc>
          <w:tcPr>
            <w:tcW w:w="715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cs="Times New Roman"/>
                <w:b w:val="0"/>
                <w:bCs/>
                <w:color w:val="auto"/>
                <w:kern w:val="0"/>
                <w:sz w:val="21"/>
                <w:szCs w:val="21"/>
                <w:highlight w:val="none"/>
                <w:lang w:eastAsia="zh-CN"/>
              </w:rPr>
            </w:pPr>
            <w:r>
              <w:rPr>
                <w:rFonts w:hint="eastAsia" w:hAnsi="宋体" w:cs="Times New Roman"/>
                <w:b w:val="0"/>
                <w:bCs/>
                <w:color w:val="auto"/>
                <w:kern w:val="0"/>
                <w:sz w:val="21"/>
                <w:szCs w:val="21"/>
                <w:highlight w:val="none"/>
                <w:lang w:eastAsia="zh-CN"/>
              </w:rPr>
              <w:t>免费赠送</w:t>
            </w:r>
          </w:p>
        </w:tc>
      </w:tr>
      <w:tr>
        <w:tblPrEx>
          <w:tblBorders>
            <w:top w:val="single" w:color="auto" w:sz="4" w:space="0"/>
            <w:left w:val="single" w:color="auto"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 w:hRule="atLeast"/>
          <w:jc w:val="center"/>
        </w:trPr>
        <w:tc>
          <w:tcPr>
            <w:tcW w:w="55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Times New Roman"/>
                <w:b w:val="0"/>
                <w:bCs w:val="0"/>
                <w:color w:val="auto"/>
                <w:kern w:val="0"/>
                <w:sz w:val="21"/>
                <w:szCs w:val="21"/>
                <w:highlight w:val="none"/>
                <w:lang w:val="en-US" w:eastAsia="zh-CN" w:bidi="ar-SA"/>
              </w:rPr>
            </w:pPr>
            <w:r>
              <w:rPr>
                <w:rFonts w:hint="eastAsia" w:ascii="宋体" w:hAnsi="宋体" w:cs="Times New Roman"/>
                <w:b w:val="0"/>
                <w:bCs w:val="0"/>
                <w:color w:val="auto"/>
                <w:kern w:val="0"/>
                <w:sz w:val="21"/>
                <w:szCs w:val="21"/>
                <w:highlight w:val="none"/>
                <w:lang w:val="en-US" w:eastAsia="zh-CN"/>
              </w:rPr>
              <w:t>14</w:t>
            </w:r>
          </w:p>
        </w:tc>
        <w:tc>
          <w:tcPr>
            <w:tcW w:w="201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cs="Times New Roman"/>
                <w:b w:val="0"/>
                <w:bCs/>
                <w:color w:val="auto"/>
                <w:kern w:val="0"/>
                <w:sz w:val="21"/>
                <w:szCs w:val="21"/>
                <w:highlight w:val="none"/>
                <w:lang w:eastAsia="zh-CN"/>
              </w:rPr>
            </w:pPr>
            <w:r>
              <w:rPr>
                <w:rFonts w:hint="eastAsia" w:ascii="宋体" w:hAnsi="宋体" w:cs="Times New Roman"/>
                <w:b w:val="0"/>
                <w:bCs/>
                <w:color w:val="auto"/>
                <w:kern w:val="0"/>
                <w:sz w:val="21"/>
                <w:szCs w:val="21"/>
                <w:highlight w:val="none"/>
                <w:lang w:eastAsia="zh-CN"/>
              </w:rPr>
              <w:t>实质性要求和条件</w:t>
            </w:r>
          </w:p>
        </w:tc>
        <w:tc>
          <w:tcPr>
            <w:tcW w:w="715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cs="Times New Roman"/>
                <w:b w:val="0"/>
                <w:bCs/>
                <w:color w:val="auto"/>
                <w:kern w:val="0"/>
                <w:sz w:val="21"/>
                <w:szCs w:val="21"/>
                <w:highlight w:val="none"/>
                <w:lang w:eastAsia="zh-CN"/>
              </w:rPr>
            </w:pPr>
            <w:r>
              <w:rPr>
                <w:rFonts w:hint="eastAsia" w:ascii="宋体" w:hAnsi="宋体" w:cs="Times New Roman"/>
                <w:b w:val="0"/>
                <w:bCs/>
                <w:color w:val="auto"/>
                <w:kern w:val="0"/>
                <w:sz w:val="21"/>
                <w:szCs w:val="21"/>
                <w:highlight w:val="none"/>
                <w:lang w:eastAsia="zh-CN"/>
              </w:rPr>
              <w:t>本投标供应商须知前附表中凡是用“黑体”字体标志的内容，均属于实质性要求和条件。</w:t>
            </w:r>
          </w:p>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cs="Times New Roman"/>
                <w:b w:val="0"/>
                <w:bCs/>
                <w:color w:val="auto"/>
                <w:kern w:val="0"/>
                <w:sz w:val="21"/>
                <w:szCs w:val="21"/>
                <w:highlight w:val="none"/>
                <w:lang w:eastAsia="zh-CN"/>
              </w:rPr>
            </w:pPr>
            <w:r>
              <w:rPr>
                <w:rFonts w:hint="eastAsia" w:hAnsi="宋体" w:cs="Times New Roman"/>
                <w:b w:val="0"/>
                <w:bCs/>
                <w:color w:val="auto"/>
                <w:kern w:val="0"/>
                <w:sz w:val="21"/>
                <w:szCs w:val="21"/>
                <w:highlight w:val="none"/>
                <w:lang w:eastAsia="zh-CN"/>
              </w:rPr>
              <w:t>响应文件</w:t>
            </w:r>
            <w:r>
              <w:rPr>
                <w:rFonts w:hint="eastAsia" w:ascii="宋体" w:hAnsi="宋体" w:cs="Times New Roman"/>
                <w:b w:val="0"/>
                <w:bCs/>
                <w:color w:val="auto"/>
                <w:kern w:val="0"/>
                <w:sz w:val="21"/>
                <w:szCs w:val="21"/>
                <w:highlight w:val="none"/>
                <w:lang w:eastAsia="zh-CN"/>
              </w:rPr>
              <w:t>存在不符合</w:t>
            </w:r>
            <w:r>
              <w:rPr>
                <w:rFonts w:hint="eastAsia" w:hAnsi="宋体" w:cs="Times New Roman"/>
                <w:b w:val="0"/>
                <w:bCs/>
                <w:color w:val="auto"/>
                <w:kern w:val="0"/>
                <w:sz w:val="21"/>
                <w:szCs w:val="21"/>
                <w:highlight w:val="none"/>
                <w:lang w:eastAsia="zh-CN"/>
              </w:rPr>
              <w:t>竞争性磋商文件</w:t>
            </w:r>
            <w:r>
              <w:rPr>
                <w:rFonts w:hint="eastAsia" w:ascii="宋体" w:hAnsi="宋体" w:cs="Times New Roman"/>
                <w:b w:val="0"/>
                <w:bCs/>
                <w:color w:val="auto"/>
                <w:kern w:val="0"/>
                <w:sz w:val="21"/>
                <w:szCs w:val="21"/>
                <w:highlight w:val="none"/>
                <w:lang w:eastAsia="zh-CN"/>
              </w:rPr>
              <w:t>规定的实质性要求和条件的情况的，经</w:t>
            </w:r>
            <w:r>
              <w:rPr>
                <w:rFonts w:hint="eastAsia" w:hAnsi="宋体" w:cs="Times New Roman"/>
                <w:b w:val="0"/>
                <w:bCs/>
                <w:color w:val="auto"/>
                <w:kern w:val="0"/>
                <w:sz w:val="21"/>
                <w:szCs w:val="21"/>
                <w:highlight w:val="none"/>
                <w:lang w:eastAsia="zh-CN"/>
              </w:rPr>
              <w:t>磋商小组</w:t>
            </w:r>
            <w:r>
              <w:rPr>
                <w:rFonts w:hint="eastAsia" w:ascii="宋体" w:hAnsi="宋体" w:cs="Times New Roman"/>
                <w:b w:val="0"/>
                <w:bCs/>
                <w:color w:val="auto"/>
                <w:kern w:val="0"/>
                <w:sz w:val="21"/>
                <w:szCs w:val="21"/>
                <w:highlight w:val="none"/>
                <w:lang w:eastAsia="zh-CN"/>
              </w:rPr>
              <w:t>评审、确定后，按废标处理。</w:t>
            </w:r>
          </w:p>
        </w:tc>
      </w:tr>
      <w:tr>
        <w:tblPrEx>
          <w:tblBorders>
            <w:top w:val="single" w:color="auto" w:sz="4" w:space="0"/>
            <w:left w:val="single" w:color="auto"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55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Times New Roman"/>
                <w:b w:val="0"/>
                <w:bCs w:val="0"/>
                <w:color w:val="auto"/>
                <w:kern w:val="0"/>
                <w:sz w:val="21"/>
                <w:szCs w:val="21"/>
                <w:highlight w:val="none"/>
                <w:lang w:val="en-US" w:eastAsia="zh-CN" w:bidi="ar-SA"/>
              </w:rPr>
            </w:pPr>
            <w:r>
              <w:rPr>
                <w:rFonts w:hint="eastAsia" w:ascii="宋体" w:hAnsi="宋体" w:cs="Times New Roman"/>
                <w:b w:val="0"/>
                <w:bCs w:val="0"/>
                <w:color w:val="auto"/>
                <w:kern w:val="0"/>
                <w:sz w:val="21"/>
                <w:szCs w:val="21"/>
                <w:highlight w:val="none"/>
                <w:lang w:val="en-US" w:eastAsia="zh-CN"/>
              </w:rPr>
              <w:t>15</w:t>
            </w:r>
          </w:p>
        </w:tc>
        <w:tc>
          <w:tcPr>
            <w:tcW w:w="201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cs="Times New Roman"/>
                <w:b w:val="0"/>
                <w:bCs/>
                <w:color w:val="auto"/>
                <w:kern w:val="0"/>
                <w:sz w:val="21"/>
                <w:szCs w:val="21"/>
                <w:highlight w:val="none"/>
                <w:lang w:eastAsia="zh-CN"/>
              </w:rPr>
            </w:pPr>
            <w:r>
              <w:rPr>
                <w:rFonts w:hint="eastAsia" w:ascii="宋体" w:hAnsi="宋体" w:cs="Times New Roman"/>
                <w:b w:val="0"/>
                <w:bCs/>
                <w:color w:val="auto"/>
                <w:kern w:val="0"/>
                <w:sz w:val="21"/>
                <w:szCs w:val="21"/>
                <w:highlight w:val="none"/>
                <w:lang w:eastAsia="zh-CN"/>
              </w:rPr>
              <w:t>供应商的替代方案</w:t>
            </w:r>
          </w:p>
        </w:tc>
        <w:tc>
          <w:tcPr>
            <w:tcW w:w="715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cs="Times New Roman"/>
                <w:b w:val="0"/>
                <w:bCs/>
                <w:color w:val="auto"/>
                <w:kern w:val="0"/>
                <w:sz w:val="21"/>
                <w:szCs w:val="21"/>
                <w:highlight w:val="none"/>
                <w:lang w:eastAsia="zh-CN"/>
              </w:rPr>
            </w:pPr>
            <w:r>
              <w:rPr>
                <w:rFonts w:hint="eastAsia" w:ascii="宋体" w:hAnsi="宋体" w:cs="Times New Roman"/>
                <w:b w:val="0"/>
                <w:bCs/>
                <w:color w:val="auto"/>
                <w:kern w:val="0"/>
                <w:sz w:val="21"/>
                <w:szCs w:val="21"/>
                <w:highlight w:val="none"/>
                <w:lang w:eastAsia="zh-CN"/>
              </w:rPr>
              <w:t>本</w:t>
            </w:r>
            <w:r>
              <w:rPr>
                <w:rFonts w:hint="eastAsia" w:hAnsi="宋体" w:cs="Times New Roman"/>
                <w:b w:val="0"/>
                <w:bCs/>
                <w:color w:val="auto"/>
                <w:kern w:val="0"/>
                <w:sz w:val="21"/>
                <w:szCs w:val="21"/>
                <w:highlight w:val="none"/>
                <w:lang w:eastAsia="zh-CN"/>
              </w:rPr>
              <w:t>项目</w:t>
            </w:r>
            <w:r>
              <w:rPr>
                <w:rFonts w:hint="eastAsia" w:ascii="宋体" w:hAnsi="宋体" w:cs="Times New Roman"/>
                <w:b w:val="0"/>
                <w:bCs/>
                <w:color w:val="auto"/>
                <w:kern w:val="0"/>
                <w:sz w:val="21"/>
                <w:szCs w:val="21"/>
                <w:highlight w:val="none"/>
                <w:lang w:eastAsia="zh-CN"/>
              </w:rPr>
              <w:t>不允许提交替代方案。</w:t>
            </w:r>
          </w:p>
        </w:tc>
      </w:tr>
      <w:tr>
        <w:tblPrEx>
          <w:tblBorders>
            <w:top w:val="single" w:color="auto" w:sz="4" w:space="0"/>
            <w:left w:val="single" w:color="auto"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55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Times New Roman"/>
                <w:b w:val="0"/>
                <w:bCs w:val="0"/>
                <w:color w:val="auto"/>
                <w:kern w:val="0"/>
                <w:sz w:val="21"/>
                <w:szCs w:val="21"/>
                <w:highlight w:val="none"/>
                <w:lang w:val="en-US" w:eastAsia="zh-CN" w:bidi="ar-SA"/>
              </w:rPr>
            </w:pPr>
            <w:r>
              <w:rPr>
                <w:rFonts w:hint="eastAsia" w:ascii="宋体" w:hAnsi="宋体" w:cs="Times New Roman"/>
                <w:b w:val="0"/>
                <w:bCs w:val="0"/>
                <w:color w:val="auto"/>
                <w:kern w:val="0"/>
                <w:sz w:val="21"/>
                <w:szCs w:val="21"/>
                <w:highlight w:val="none"/>
                <w:lang w:val="en-US" w:eastAsia="zh-CN"/>
              </w:rPr>
              <w:t>16</w:t>
            </w:r>
          </w:p>
        </w:tc>
        <w:tc>
          <w:tcPr>
            <w:tcW w:w="201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cs="Times New Roman"/>
                <w:b/>
                <w:bCs w:val="0"/>
                <w:color w:val="auto"/>
                <w:kern w:val="0"/>
                <w:sz w:val="21"/>
                <w:szCs w:val="21"/>
                <w:highlight w:val="none"/>
                <w:lang w:val="en-US" w:eastAsia="zh-CN"/>
              </w:rPr>
            </w:pPr>
            <w:r>
              <w:rPr>
                <w:rFonts w:hint="eastAsia" w:hAnsi="宋体" w:cs="Times New Roman"/>
                <w:b/>
                <w:bCs w:val="0"/>
                <w:color w:val="auto"/>
                <w:kern w:val="0"/>
                <w:sz w:val="21"/>
                <w:szCs w:val="21"/>
                <w:highlight w:val="none"/>
                <w:lang w:val="en-US" w:eastAsia="zh-CN"/>
              </w:rPr>
              <w:t>采购预算</w:t>
            </w:r>
          </w:p>
        </w:tc>
        <w:tc>
          <w:tcPr>
            <w:tcW w:w="715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default" w:ascii="宋体" w:hAnsi="宋体" w:cs="Times New Roman"/>
                <w:b/>
                <w:bCs w:val="0"/>
                <w:color w:val="auto"/>
                <w:kern w:val="0"/>
                <w:sz w:val="21"/>
                <w:szCs w:val="21"/>
                <w:highlight w:val="none"/>
                <w:lang w:val="en-US" w:eastAsia="zh-CN"/>
              </w:rPr>
            </w:pPr>
            <w:r>
              <w:rPr>
                <w:rFonts w:hint="eastAsia" w:hAnsi="宋体" w:cs="Times New Roman"/>
                <w:b/>
                <w:bCs w:val="0"/>
                <w:color w:val="auto"/>
                <w:kern w:val="0"/>
                <w:sz w:val="21"/>
                <w:szCs w:val="21"/>
                <w:highlight w:val="none"/>
                <w:lang w:val="en-US" w:eastAsia="zh-CN"/>
              </w:rPr>
              <w:t>701000.00元</w:t>
            </w:r>
          </w:p>
        </w:tc>
      </w:tr>
      <w:tr>
        <w:tblPrEx>
          <w:tblBorders>
            <w:top w:val="single" w:color="auto" w:sz="4" w:space="0"/>
            <w:left w:val="single" w:color="auto"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jc w:val="center"/>
        </w:trPr>
        <w:tc>
          <w:tcPr>
            <w:tcW w:w="55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default" w:ascii="宋体" w:hAnsi="宋体" w:cs="Times New Roman"/>
                <w:b w:val="0"/>
                <w:bCs w:val="0"/>
                <w:color w:val="auto"/>
                <w:kern w:val="0"/>
                <w:sz w:val="21"/>
                <w:szCs w:val="21"/>
                <w:highlight w:val="none"/>
                <w:lang w:val="en-US" w:eastAsia="zh-CN"/>
              </w:rPr>
            </w:pPr>
            <w:r>
              <w:rPr>
                <w:rFonts w:hint="eastAsia" w:hAnsi="宋体" w:cs="Times New Roman"/>
                <w:b w:val="0"/>
                <w:bCs w:val="0"/>
                <w:color w:val="auto"/>
                <w:kern w:val="0"/>
                <w:sz w:val="21"/>
                <w:szCs w:val="21"/>
                <w:highlight w:val="none"/>
                <w:lang w:val="en-US" w:eastAsia="zh-CN"/>
              </w:rPr>
              <w:t>17</w:t>
            </w:r>
          </w:p>
        </w:tc>
        <w:tc>
          <w:tcPr>
            <w:tcW w:w="201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cs="Times New Roman"/>
                <w:b/>
                <w:bCs w:val="0"/>
                <w:color w:val="auto"/>
                <w:kern w:val="0"/>
                <w:sz w:val="21"/>
                <w:szCs w:val="21"/>
                <w:highlight w:val="none"/>
                <w:lang w:val="en-US" w:eastAsia="zh-CN"/>
              </w:rPr>
            </w:pPr>
            <w:r>
              <w:rPr>
                <w:rFonts w:hint="eastAsia" w:ascii="宋体" w:hAnsi="宋体" w:cs="Times New Roman"/>
                <w:b/>
                <w:bCs w:val="0"/>
                <w:color w:val="auto"/>
                <w:kern w:val="0"/>
                <w:sz w:val="21"/>
                <w:szCs w:val="21"/>
                <w:highlight w:val="none"/>
                <w:lang w:val="en-US" w:eastAsia="zh-CN"/>
              </w:rPr>
              <w:t>其他说明</w:t>
            </w:r>
          </w:p>
        </w:tc>
        <w:tc>
          <w:tcPr>
            <w:tcW w:w="715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cs="Times New Roman"/>
                <w:b/>
                <w:bCs w:val="0"/>
                <w:color w:val="auto"/>
                <w:kern w:val="0"/>
                <w:sz w:val="21"/>
                <w:szCs w:val="21"/>
                <w:highlight w:val="none"/>
                <w:lang w:val="en-US" w:eastAsia="zh-CN"/>
              </w:rPr>
            </w:pPr>
            <w:r>
              <w:rPr>
                <w:rFonts w:hint="eastAsia" w:ascii="宋体" w:hAnsi="宋体" w:cs="Times New Roman"/>
                <w:b/>
                <w:bCs w:val="0"/>
                <w:color w:val="auto"/>
                <w:kern w:val="0"/>
                <w:sz w:val="21"/>
                <w:szCs w:val="21"/>
                <w:highlight w:val="none"/>
                <w:lang w:val="en-US" w:eastAsia="zh-CN"/>
              </w:rPr>
              <w:t>1、如发现</w:t>
            </w:r>
            <w:r>
              <w:rPr>
                <w:rFonts w:hint="eastAsia" w:hAnsi="宋体" w:cs="Times New Roman"/>
                <w:b/>
                <w:bCs w:val="0"/>
                <w:color w:val="auto"/>
                <w:kern w:val="0"/>
                <w:sz w:val="21"/>
                <w:szCs w:val="21"/>
                <w:highlight w:val="none"/>
                <w:lang w:val="en-US" w:eastAsia="zh-CN"/>
              </w:rPr>
              <w:t>竞争性磋商文件</w:t>
            </w:r>
            <w:r>
              <w:rPr>
                <w:rFonts w:hint="eastAsia" w:ascii="宋体" w:hAnsi="宋体" w:cs="Times New Roman"/>
                <w:b/>
                <w:bCs w:val="0"/>
                <w:color w:val="auto"/>
                <w:kern w:val="0"/>
                <w:sz w:val="21"/>
                <w:szCs w:val="21"/>
                <w:highlight w:val="none"/>
                <w:lang w:val="en-US" w:eastAsia="zh-CN"/>
              </w:rPr>
              <w:t>中存在含糊不清、相互矛盾、多种含义等内容时，请在答疑截止时间前同时向采购人、招标代理反映，逾期不得再对</w:t>
            </w:r>
            <w:r>
              <w:rPr>
                <w:rFonts w:hint="eastAsia" w:hAnsi="宋体" w:cs="Times New Roman"/>
                <w:b/>
                <w:bCs w:val="0"/>
                <w:color w:val="auto"/>
                <w:kern w:val="0"/>
                <w:sz w:val="21"/>
                <w:szCs w:val="21"/>
                <w:highlight w:val="none"/>
                <w:lang w:val="en-US" w:eastAsia="zh-CN"/>
              </w:rPr>
              <w:t>竞争性磋商文件</w:t>
            </w:r>
            <w:r>
              <w:rPr>
                <w:rFonts w:hint="eastAsia" w:ascii="宋体" w:hAnsi="宋体" w:cs="Times New Roman"/>
                <w:b/>
                <w:bCs w:val="0"/>
                <w:color w:val="auto"/>
                <w:kern w:val="0"/>
                <w:sz w:val="21"/>
                <w:szCs w:val="21"/>
                <w:highlight w:val="none"/>
                <w:lang w:val="en-US" w:eastAsia="zh-CN"/>
              </w:rPr>
              <w:t>的条款提出质疑</w:t>
            </w:r>
            <w:r>
              <w:rPr>
                <w:rFonts w:hint="eastAsia" w:hAnsi="宋体" w:cs="Times New Roman"/>
                <w:b/>
                <w:bCs w:val="0"/>
                <w:color w:val="auto"/>
                <w:kern w:val="0"/>
                <w:sz w:val="21"/>
                <w:szCs w:val="21"/>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cs="Times New Roman"/>
                <w:b/>
                <w:bCs w:val="0"/>
                <w:color w:val="auto"/>
                <w:kern w:val="0"/>
                <w:sz w:val="21"/>
                <w:szCs w:val="21"/>
                <w:highlight w:val="none"/>
                <w:lang w:val="en-US" w:eastAsia="zh-CN"/>
              </w:rPr>
            </w:pPr>
            <w:r>
              <w:rPr>
                <w:rFonts w:hint="eastAsia" w:ascii="宋体" w:hAnsi="宋体" w:cs="Times New Roman"/>
                <w:b/>
                <w:bCs w:val="0"/>
                <w:color w:val="auto"/>
                <w:kern w:val="0"/>
                <w:sz w:val="21"/>
                <w:szCs w:val="21"/>
                <w:highlight w:val="none"/>
                <w:lang w:val="en-US" w:eastAsia="zh-CN"/>
              </w:rPr>
              <w:t>2、招标代理服务费由中标单位支付。</w:t>
            </w:r>
          </w:p>
        </w:tc>
      </w:tr>
      <w:tr>
        <w:tblPrEx>
          <w:tblBorders>
            <w:top w:val="single" w:color="auto" w:sz="4" w:space="0"/>
            <w:left w:val="single" w:color="auto"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2" w:hRule="atLeast"/>
          <w:jc w:val="center"/>
        </w:trPr>
        <w:tc>
          <w:tcPr>
            <w:tcW w:w="55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default" w:ascii="宋体" w:hAnsi="宋体" w:eastAsia="宋体" w:cs="Times New Roman"/>
                <w:b/>
                <w:bCs/>
                <w:color w:val="auto"/>
                <w:kern w:val="0"/>
                <w:sz w:val="21"/>
                <w:szCs w:val="21"/>
                <w:highlight w:val="none"/>
                <w:lang w:val="en-US" w:eastAsia="zh-CN"/>
              </w:rPr>
            </w:pPr>
            <w:bookmarkStart w:id="21" w:name="_Toc403077639"/>
            <w:bookmarkStart w:id="22" w:name="_Toc363474017"/>
            <w:bookmarkStart w:id="23" w:name="_Toc363473972"/>
            <w:r>
              <w:rPr>
                <w:rFonts w:hint="eastAsia" w:ascii="宋体" w:hAnsi="宋体" w:eastAsia="宋体" w:cs="Times New Roman"/>
                <w:b/>
                <w:bCs/>
                <w:color w:val="auto"/>
                <w:kern w:val="0"/>
                <w:sz w:val="21"/>
                <w:szCs w:val="21"/>
                <w:highlight w:val="none"/>
                <w:lang w:val="en-US" w:eastAsia="zh-CN"/>
              </w:rPr>
              <w:t>18</w:t>
            </w:r>
          </w:p>
        </w:tc>
        <w:tc>
          <w:tcPr>
            <w:tcW w:w="201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Times New Roman"/>
                <w:b/>
                <w:bCs/>
                <w:color w:val="auto"/>
                <w:kern w:val="0"/>
                <w:sz w:val="21"/>
                <w:szCs w:val="21"/>
                <w:highlight w:val="none"/>
                <w:lang w:val="en-US" w:eastAsia="zh-CN"/>
              </w:rPr>
            </w:pPr>
            <w:r>
              <w:rPr>
                <w:rFonts w:hint="eastAsia" w:ascii="宋体" w:hAnsi="宋体" w:eastAsia="宋体" w:cs="Times New Roman"/>
                <w:b/>
                <w:bCs/>
                <w:color w:val="auto"/>
                <w:kern w:val="0"/>
                <w:sz w:val="21"/>
                <w:szCs w:val="21"/>
                <w:highlight w:val="none"/>
                <w:lang w:val="en-US" w:eastAsia="zh-CN"/>
              </w:rPr>
              <w:t>关于弃标的说明</w:t>
            </w:r>
          </w:p>
        </w:tc>
        <w:tc>
          <w:tcPr>
            <w:tcW w:w="715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Times New Roman"/>
                <w:b/>
                <w:bCs/>
                <w:color w:val="auto"/>
                <w:kern w:val="0"/>
                <w:sz w:val="21"/>
                <w:szCs w:val="21"/>
                <w:highlight w:val="none"/>
                <w:lang w:val="en-US" w:eastAsia="zh-CN"/>
              </w:rPr>
            </w:pPr>
            <w:r>
              <w:rPr>
                <w:rFonts w:hint="eastAsia" w:ascii="宋体" w:hAnsi="宋体" w:eastAsia="宋体" w:cs="Times New Roman"/>
                <w:b/>
                <w:bCs/>
                <w:color w:val="auto"/>
                <w:kern w:val="0"/>
                <w:sz w:val="21"/>
                <w:szCs w:val="21"/>
                <w:highlight w:val="none"/>
                <w:lang w:val="en-US" w:eastAsia="zh-CN"/>
              </w:rPr>
              <w:t>如不参与项目投标，应在递交磋商响应文件截止时间前一日以书面形式告知釆购代理机构。否则，采购代理机构可以向有关部门反映情况并提供相应的佐证。投标人一年内累计出现三次该情形，将被监管部门记录为失信行为。</w:t>
            </w:r>
          </w:p>
        </w:tc>
      </w:tr>
      <w:tr>
        <w:tblPrEx>
          <w:tblBorders>
            <w:top w:val="single" w:color="auto" w:sz="4" w:space="0"/>
            <w:left w:val="single" w:color="auto"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55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default" w:ascii="宋体" w:hAnsi="宋体" w:eastAsia="宋体" w:cs="Times New Roman"/>
                <w:b/>
                <w:bCs/>
                <w:color w:val="auto"/>
                <w:kern w:val="0"/>
                <w:sz w:val="21"/>
                <w:szCs w:val="21"/>
                <w:highlight w:val="none"/>
                <w:lang w:val="en-US" w:eastAsia="zh-CN"/>
              </w:rPr>
            </w:pPr>
            <w:r>
              <w:rPr>
                <w:rFonts w:hint="eastAsia" w:hAnsi="宋体" w:cs="Times New Roman"/>
                <w:b/>
                <w:bCs/>
                <w:color w:val="auto"/>
                <w:kern w:val="0"/>
                <w:sz w:val="21"/>
                <w:szCs w:val="21"/>
                <w:highlight w:val="none"/>
                <w:lang w:val="en-US" w:eastAsia="zh-CN"/>
              </w:rPr>
              <w:t>19</w:t>
            </w:r>
          </w:p>
        </w:tc>
        <w:tc>
          <w:tcPr>
            <w:tcW w:w="201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Times New Roman"/>
                <w:b/>
                <w:bCs/>
                <w:color w:val="auto"/>
                <w:kern w:val="0"/>
                <w:sz w:val="21"/>
                <w:szCs w:val="21"/>
                <w:highlight w:val="none"/>
                <w:lang w:val="en-US" w:eastAsia="zh-CN"/>
              </w:rPr>
            </w:pPr>
            <w:r>
              <w:rPr>
                <w:rFonts w:hint="eastAsia" w:hAnsi="宋体" w:cs="Times New Roman"/>
                <w:b/>
                <w:bCs/>
                <w:color w:val="auto"/>
                <w:kern w:val="0"/>
                <w:sz w:val="21"/>
                <w:szCs w:val="21"/>
                <w:highlight w:val="none"/>
                <w:lang w:val="en-US" w:eastAsia="zh-CN"/>
              </w:rPr>
              <w:t>开标现场携带原件</w:t>
            </w:r>
          </w:p>
        </w:tc>
        <w:tc>
          <w:tcPr>
            <w:tcW w:w="715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Times New Roman"/>
                <w:b/>
                <w:bCs/>
                <w:color w:val="auto"/>
                <w:kern w:val="0"/>
                <w:sz w:val="21"/>
                <w:szCs w:val="21"/>
                <w:highlight w:val="none"/>
                <w:lang w:val="en-US" w:eastAsia="zh-CN"/>
              </w:rPr>
            </w:pPr>
            <w:r>
              <w:rPr>
                <w:rFonts w:hint="eastAsia" w:ascii="宋体" w:hAnsi="宋体" w:eastAsia="宋体" w:cs="Times New Roman"/>
                <w:b/>
                <w:bCs/>
                <w:color w:val="auto"/>
                <w:kern w:val="0"/>
                <w:sz w:val="21"/>
                <w:szCs w:val="21"/>
                <w:highlight w:val="none"/>
                <w:lang w:val="en-US" w:eastAsia="zh-CN"/>
              </w:rPr>
              <w:t>法定代表人授权书（附法定代表人、被授权人身份证复印件）及被授权人身份证（法定代表人参加磋商只需提供身份证）</w:t>
            </w:r>
          </w:p>
        </w:tc>
      </w:tr>
      <w:bookmarkEnd w:id="8"/>
      <w:bookmarkEnd w:id="9"/>
      <w:bookmarkEnd w:id="19"/>
      <w:bookmarkEnd w:id="20"/>
    </w:tbl>
    <w:p>
      <w:pPr>
        <w:spacing w:line="360" w:lineRule="auto"/>
        <w:outlineLvl w:val="9"/>
        <w:rPr>
          <w:rFonts w:hint="eastAsia" w:ascii="宋体" w:hAnsi="宋体"/>
          <w:b/>
          <w:color w:val="auto"/>
          <w:sz w:val="24"/>
          <w:highlight w:val="none"/>
        </w:rPr>
      </w:pPr>
      <w:r>
        <w:rPr>
          <w:rFonts w:hint="eastAsia" w:ascii="宋体" w:hAnsi="宋体"/>
          <w:b/>
          <w:color w:val="auto"/>
          <w:sz w:val="24"/>
          <w:highlight w:val="none"/>
        </w:rPr>
        <w:t xml:space="preserve"> </w:t>
      </w:r>
    </w:p>
    <w:p>
      <w:pPr>
        <w:spacing w:beforeLines="100"/>
        <w:jc w:val="center"/>
        <w:outlineLvl w:val="1"/>
        <w:rPr>
          <w:rFonts w:hAnsi="宋体" w:cs="宋体"/>
          <w:color w:val="auto"/>
          <w:sz w:val="32"/>
          <w:szCs w:val="32"/>
          <w:highlight w:val="none"/>
        </w:rPr>
      </w:pPr>
      <w:bookmarkStart w:id="24" w:name="_Toc10105"/>
      <w:bookmarkStart w:id="25" w:name="_Toc1219"/>
      <w:bookmarkStart w:id="26" w:name="_Toc19948"/>
      <w:bookmarkStart w:id="27" w:name="_Toc3315"/>
      <w:bookmarkStart w:id="28" w:name="_Toc16603"/>
      <w:bookmarkStart w:id="29" w:name="_Toc1394"/>
      <w:bookmarkStart w:id="30" w:name="_Toc10682"/>
      <w:r>
        <w:rPr>
          <w:rFonts w:hint="eastAsia" w:hAnsi="宋体" w:cs="宋体"/>
          <w:b/>
          <w:color w:val="auto"/>
          <w:sz w:val="32"/>
          <w:szCs w:val="32"/>
          <w:highlight w:val="none"/>
        </w:rPr>
        <w:t>一.总  则</w:t>
      </w:r>
      <w:bookmarkEnd w:id="21"/>
      <w:bookmarkEnd w:id="22"/>
      <w:bookmarkEnd w:id="23"/>
      <w:bookmarkEnd w:id="24"/>
      <w:bookmarkEnd w:id="25"/>
      <w:bookmarkEnd w:id="26"/>
      <w:bookmarkEnd w:id="27"/>
      <w:bookmarkEnd w:id="28"/>
      <w:bookmarkEnd w:id="29"/>
      <w:bookmarkEnd w:id="30"/>
    </w:p>
    <w:p>
      <w:pPr>
        <w:spacing w:line="500" w:lineRule="exact"/>
        <w:outlineLvl w:val="2"/>
        <w:rPr>
          <w:rFonts w:hAnsi="宋体" w:cs="宋体"/>
          <w:b/>
          <w:color w:val="auto"/>
          <w:szCs w:val="24"/>
          <w:highlight w:val="none"/>
        </w:rPr>
      </w:pPr>
      <w:bookmarkStart w:id="31" w:name="_Toc1275"/>
      <w:bookmarkStart w:id="32" w:name="_Toc22341"/>
      <w:bookmarkStart w:id="33" w:name="_Toc17119"/>
      <w:bookmarkStart w:id="34" w:name="_Toc19547"/>
      <w:bookmarkStart w:id="35" w:name="_Toc20428"/>
      <w:bookmarkStart w:id="36" w:name="_Toc25453"/>
      <w:bookmarkStart w:id="37" w:name="_Toc30160"/>
      <w:r>
        <w:rPr>
          <w:rFonts w:hint="eastAsia" w:hAnsi="宋体" w:cs="宋体"/>
          <w:b/>
          <w:color w:val="auto"/>
          <w:szCs w:val="24"/>
          <w:highlight w:val="none"/>
        </w:rPr>
        <w:t>1.资金来源</w:t>
      </w:r>
      <w:bookmarkEnd w:id="31"/>
      <w:bookmarkEnd w:id="32"/>
      <w:bookmarkEnd w:id="33"/>
      <w:bookmarkEnd w:id="34"/>
      <w:bookmarkEnd w:id="35"/>
      <w:bookmarkEnd w:id="36"/>
      <w:bookmarkEnd w:id="37"/>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1.1本次招标采购所签合同使用</w:t>
      </w:r>
      <w:r>
        <w:rPr>
          <w:rFonts w:hint="eastAsia" w:hAnsi="宋体" w:cs="宋体"/>
          <w:color w:val="auto"/>
          <w:szCs w:val="24"/>
          <w:highlight w:val="none"/>
          <w:lang w:eastAsia="zh-CN"/>
        </w:rPr>
        <w:t>上级资金</w:t>
      </w:r>
      <w:r>
        <w:rPr>
          <w:rFonts w:hint="eastAsia" w:hAnsi="宋体" w:cs="宋体"/>
          <w:color w:val="auto"/>
          <w:szCs w:val="24"/>
          <w:highlight w:val="none"/>
        </w:rPr>
        <w:t>支付，资金已落实到位。</w:t>
      </w:r>
    </w:p>
    <w:p>
      <w:pPr>
        <w:numPr>
          <w:ilvl w:val="0"/>
          <w:numId w:val="5"/>
        </w:numPr>
        <w:spacing w:line="500" w:lineRule="exact"/>
        <w:outlineLvl w:val="2"/>
        <w:rPr>
          <w:rFonts w:hAnsi="宋体" w:cs="宋体"/>
          <w:b/>
          <w:color w:val="auto"/>
          <w:szCs w:val="24"/>
          <w:highlight w:val="none"/>
        </w:rPr>
      </w:pPr>
      <w:bookmarkStart w:id="38" w:name="_Toc28797"/>
      <w:bookmarkStart w:id="39" w:name="_Toc1010"/>
      <w:bookmarkStart w:id="40" w:name="_Toc7994"/>
      <w:bookmarkStart w:id="41" w:name="_Toc29283"/>
      <w:bookmarkStart w:id="42" w:name="_Toc30311"/>
      <w:bookmarkStart w:id="43" w:name="_Toc7173"/>
      <w:bookmarkStart w:id="44" w:name="_Toc21066"/>
      <w:r>
        <w:rPr>
          <w:rFonts w:hint="eastAsia" w:hAnsi="宋体" w:cs="宋体"/>
          <w:b/>
          <w:color w:val="auto"/>
          <w:szCs w:val="24"/>
          <w:highlight w:val="none"/>
        </w:rPr>
        <w:t>名词解释</w:t>
      </w:r>
      <w:bookmarkEnd w:id="38"/>
      <w:bookmarkEnd w:id="39"/>
      <w:bookmarkEnd w:id="40"/>
      <w:bookmarkEnd w:id="41"/>
      <w:bookmarkEnd w:id="42"/>
      <w:bookmarkEnd w:id="43"/>
      <w:bookmarkEnd w:id="44"/>
    </w:p>
    <w:p>
      <w:pPr>
        <w:tabs>
          <w:tab w:val="left" w:pos="7665"/>
        </w:tabs>
        <w:spacing w:line="500" w:lineRule="exact"/>
        <w:ind w:firstLine="480" w:firstLineChars="200"/>
        <w:rPr>
          <w:rFonts w:hint="eastAsia" w:hAnsi="宋体" w:cs="宋体"/>
          <w:color w:val="auto"/>
          <w:highlight w:val="none"/>
          <w:lang w:eastAsia="zh-CN"/>
        </w:rPr>
      </w:pPr>
      <w:r>
        <w:rPr>
          <w:rFonts w:hint="eastAsia" w:hAnsi="宋体" w:cs="宋体"/>
          <w:color w:val="auto"/>
          <w:highlight w:val="none"/>
        </w:rPr>
        <w:t>2.1采购人：</w:t>
      </w:r>
      <w:r>
        <w:rPr>
          <w:rFonts w:hint="eastAsia" w:hAnsi="宋体" w:cs="宋体"/>
          <w:color w:val="auto"/>
          <w:highlight w:val="none"/>
          <w:lang w:eastAsia="zh-CN"/>
        </w:rPr>
        <w:t>礼泉县中医医院</w:t>
      </w:r>
    </w:p>
    <w:p>
      <w:pPr>
        <w:tabs>
          <w:tab w:val="left" w:pos="7665"/>
        </w:tabs>
        <w:spacing w:line="500" w:lineRule="exact"/>
        <w:ind w:firstLine="480" w:firstLineChars="200"/>
        <w:rPr>
          <w:rFonts w:hint="eastAsia" w:hAnsi="宋体" w:eastAsia="宋体" w:cs="宋体"/>
          <w:color w:val="auto"/>
          <w:highlight w:val="none"/>
          <w:lang w:eastAsia="zh-CN"/>
        </w:rPr>
      </w:pPr>
      <w:r>
        <w:rPr>
          <w:rFonts w:hint="eastAsia" w:hAnsi="宋体" w:cs="宋体"/>
          <w:color w:val="auto"/>
          <w:highlight w:val="none"/>
        </w:rPr>
        <w:t>2.2监督机构：</w:t>
      </w:r>
      <w:r>
        <w:rPr>
          <w:rFonts w:hint="eastAsia" w:hAnsi="宋体" w:cs="宋体"/>
          <w:color w:val="auto"/>
          <w:highlight w:val="none"/>
          <w:lang w:eastAsia="zh-CN"/>
        </w:rPr>
        <w:t>礼泉县财政局</w:t>
      </w:r>
    </w:p>
    <w:p>
      <w:pPr>
        <w:tabs>
          <w:tab w:val="left" w:pos="7665"/>
        </w:tabs>
        <w:spacing w:line="500" w:lineRule="exact"/>
        <w:ind w:firstLine="480" w:firstLineChars="200"/>
        <w:rPr>
          <w:rFonts w:hint="eastAsia" w:hAnsi="宋体" w:cs="宋体"/>
          <w:color w:val="auto"/>
          <w:highlight w:val="none"/>
          <w:lang w:eastAsia="zh-CN"/>
        </w:rPr>
      </w:pPr>
      <w:r>
        <w:rPr>
          <w:rFonts w:hint="eastAsia" w:hAnsi="宋体" w:cs="宋体"/>
          <w:color w:val="auto"/>
          <w:highlight w:val="none"/>
        </w:rPr>
        <w:t>2.3采购代理机构：</w:t>
      </w:r>
      <w:r>
        <w:rPr>
          <w:rFonts w:hint="eastAsia" w:hAnsi="宋体" w:cs="宋体"/>
          <w:color w:val="auto"/>
          <w:highlight w:val="none"/>
          <w:lang w:eastAsia="zh-CN"/>
        </w:rPr>
        <w:t>陕西中采项目管理有限公司</w:t>
      </w:r>
    </w:p>
    <w:p>
      <w:pPr>
        <w:tabs>
          <w:tab w:val="left" w:pos="7665"/>
        </w:tabs>
        <w:spacing w:line="500" w:lineRule="exact"/>
        <w:ind w:firstLine="480" w:firstLineChars="200"/>
        <w:rPr>
          <w:rFonts w:hAnsi="宋体" w:cs="宋体"/>
          <w:color w:val="auto"/>
          <w:highlight w:val="none"/>
        </w:rPr>
      </w:pPr>
      <w:r>
        <w:rPr>
          <w:rFonts w:hint="eastAsia" w:hAnsi="宋体" w:cs="宋体"/>
          <w:color w:val="auto"/>
          <w:highlight w:val="none"/>
        </w:rPr>
        <w:t>2.4供应商：是指响应和符合</w:t>
      </w:r>
      <w:r>
        <w:rPr>
          <w:rFonts w:hint="eastAsia" w:hAnsi="宋体" w:cs="宋体"/>
          <w:color w:val="auto"/>
          <w:highlight w:val="none"/>
          <w:lang w:eastAsia="zh-CN"/>
        </w:rPr>
        <w:t>竞争性磋商文件</w:t>
      </w:r>
      <w:r>
        <w:rPr>
          <w:rFonts w:hint="eastAsia" w:hAnsi="宋体" w:cs="宋体"/>
          <w:color w:val="auto"/>
          <w:highlight w:val="none"/>
        </w:rPr>
        <w:t>规定资格条件且参与投标竞争的法人、其他组织或者自然人。</w:t>
      </w:r>
    </w:p>
    <w:p>
      <w:pPr>
        <w:adjustRightInd w:val="0"/>
        <w:snapToGrid w:val="0"/>
        <w:spacing w:line="500" w:lineRule="exact"/>
        <w:ind w:firstLine="480" w:firstLineChars="200"/>
        <w:rPr>
          <w:rFonts w:hAnsi="宋体" w:cs="宋体"/>
          <w:color w:val="auto"/>
          <w:highlight w:val="none"/>
        </w:rPr>
      </w:pPr>
      <w:r>
        <w:rPr>
          <w:rFonts w:hint="eastAsia" w:hAnsi="宋体" w:cs="宋体"/>
          <w:color w:val="auto"/>
          <w:highlight w:val="none"/>
        </w:rPr>
        <w:t>2.</w:t>
      </w:r>
      <w:r>
        <w:rPr>
          <w:rFonts w:hint="eastAsia" w:hAnsi="宋体" w:cs="宋体"/>
          <w:color w:val="auto"/>
          <w:highlight w:val="none"/>
          <w:lang w:val="en-US" w:eastAsia="zh-CN"/>
        </w:rPr>
        <w:t>5</w:t>
      </w:r>
      <w:r>
        <w:rPr>
          <w:rFonts w:hint="eastAsia" w:hAnsi="宋体" w:cs="宋体"/>
          <w:color w:val="auto"/>
          <w:highlight w:val="none"/>
        </w:rPr>
        <w:t>服务是指供应商为满足</w:t>
      </w:r>
      <w:r>
        <w:rPr>
          <w:rFonts w:hint="eastAsia" w:hAnsi="宋体" w:cs="宋体"/>
          <w:color w:val="auto"/>
          <w:highlight w:val="none"/>
          <w:lang w:eastAsia="zh-CN"/>
        </w:rPr>
        <w:t>竞争性磋商文件</w:t>
      </w:r>
      <w:r>
        <w:rPr>
          <w:rFonts w:hint="eastAsia" w:hAnsi="宋体" w:cs="宋体"/>
          <w:color w:val="auto"/>
          <w:highlight w:val="none"/>
        </w:rPr>
        <w:t>要求而提供的服务。</w:t>
      </w:r>
    </w:p>
    <w:p>
      <w:pPr>
        <w:adjustRightInd w:val="0"/>
        <w:snapToGrid w:val="0"/>
        <w:spacing w:line="500" w:lineRule="exact"/>
        <w:ind w:firstLine="480" w:firstLineChars="200"/>
        <w:rPr>
          <w:rFonts w:hAnsi="宋体" w:cs="宋体"/>
          <w:color w:val="auto"/>
          <w:highlight w:val="none"/>
        </w:rPr>
      </w:pPr>
      <w:r>
        <w:rPr>
          <w:rFonts w:hint="eastAsia" w:hAnsi="宋体" w:cs="宋体"/>
          <w:color w:val="auto"/>
          <w:highlight w:val="none"/>
        </w:rPr>
        <w:t>2.</w:t>
      </w:r>
      <w:r>
        <w:rPr>
          <w:rFonts w:hint="eastAsia" w:hAnsi="宋体" w:cs="宋体"/>
          <w:color w:val="auto"/>
          <w:highlight w:val="none"/>
          <w:lang w:val="en-US" w:eastAsia="zh-CN"/>
        </w:rPr>
        <w:t>6</w:t>
      </w:r>
      <w:r>
        <w:rPr>
          <w:rFonts w:hint="eastAsia" w:hAnsi="宋体" w:cs="宋体"/>
          <w:color w:val="auto"/>
          <w:highlight w:val="none"/>
        </w:rPr>
        <w:t>节能产品或者环保产品是指依据国家确定的认证机构出具的、处于有效期之内的具有节能产品、环境标志产品认证证书的产品。</w:t>
      </w:r>
    </w:p>
    <w:p>
      <w:pPr>
        <w:adjustRightInd w:val="0"/>
        <w:snapToGrid w:val="0"/>
        <w:spacing w:line="500" w:lineRule="exact"/>
        <w:ind w:firstLine="480" w:firstLineChars="200"/>
        <w:rPr>
          <w:rFonts w:hAnsi="宋体" w:cs="宋体"/>
          <w:color w:val="auto"/>
          <w:highlight w:val="none"/>
        </w:rPr>
      </w:pPr>
      <w:r>
        <w:rPr>
          <w:rFonts w:hint="eastAsia" w:hAnsi="宋体" w:cs="宋体"/>
          <w:color w:val="auto"/>
          <w:highlight w:val="none"/>
        </w:rPr>
        <w:t>2.</w:t>
      </w:r>
      <w:r>
        <w:rPr>
          <w:rFonts w:hint="eastAsia" w:hAnsi="宋体" w:cs="宋体"/>
          <w:color w:val="auto"/>
          <w:highlight w:val="none"/>
          <w:lang w:val="en-US" w:eastAsia="zh-CN"/>
        </w:rPr>
        <w:t>7</w:t>
      </w:r>
      <w:r>
        <w:rPr>
          <w:rFonts w:hint="eastAsia" w:hAnsi="宋体" w:cs="宋体"/>
          <w:color w:val="auto"/>
          <w:highlight w:val="none"/>
        </w:rPr>
        <w:t>进口产品是指通过中国海关报关验放进入中国境内且产自关境外的产品，详见《关于政府采购进口产品管理有关问题的通知》(财库[2007]119号)。</w:t>
      </w:r>
    </w:p>
    <w:p>
      <w:pPr>
        <w:adjustRightInd w:val="0"/>
        <w:snapToGrid w:val="0"/>
        <w:spacing w:line="500" w:lineRule="exact"/>
        <w:ind w:firstLine="480" w:firstLineChars="200"/>
        <w:rPr>
          <w:rFonts w:hAnsi="宋体" w:cs="宋体"/>
          <w:color w:val="auto"/>
          <w:highlight w:val="none"/>
        </w:rPr>
      </w:pPr>
      <w:r>
        <w:rPr>
          <w:rFonts w:hint="eastAsia" w:hAnsi="宋体" w:cs="宋体"/>
          <w:color w:val="auto"/>
          <w:highlight w:val="none"/>
        </w:rPr>
        <w:t>2.</w:t>
      </w:r>
      <w:r>
        <w:rPr>
          <w:rFonts w:hint="eastAsia" w:hAnsi="宋体" w:cs="宋体"/>
          <w:color w:val="auto"/>
          <w:highlight w:val="none"/>
          <w:lang w:val="en-US" w:eastAsia="zh-CN"/>
        </w:rPr>
        <w:t>8</w:t>
      </w:r>
      <w:r>
        <w:rPr>
          <w:rFonts w:hint="eastAsia" w:hAnsi="宋体" w:cs="宋体"/>
          <w:color w:val="auto"/>
          <w:highlight w:val="none"/>
        </w:rPr>
        <w:t>中小企业是指符合《工业和信息化部、国家统计局、国家发展和改革委员会、财政部关于印发中小企业划型标准规定的通知》（工信部联企业[2011]300号）规定的对中小企业的划分标准的企业。</w:t>
      </w:r>
    </w:p>
    <w:p>
      <w:pPr>
        <w:adjustRightInd w:val="0"/>
        <w:snapToGrid w:val="0"/>
        <w:spacing w:line="500" w:lineRule="exact"/>
        <w:ind w:firstLine="480" w:firstLineChars="200"/>
        <w:rPr>
          <w:rFonts w:hAnsi="宋体" w:cs="宋体"/>
          <w:color w:val="auto"/>
          <w:highlight w:val="none"/>
        </w:rPr>
      </w:pPr>
      <w:r>
        <w:rPr>
          <w:rFonts w:hint="eastAsia" w:hAnsi="宋体" w:cs="宋体"/>
          <w:color w:val="auto"/>
          <w:highlight w:val="none"/>
        </w:rPr>
        <w:t>2.</w:t>
      </w:r>
      <w:r>
        <w:rPr>
          <w:rFonts w:hint="eastAsia" w:hAnsi="宋体" w:cs="宋体"/>
          <w:color w:val="auto"/>
          <w:highlight w:val="none"/>
          <w:lang w:val="en-US" w:eastAsia="zh-CN"/>
        </w:rPr>
        <w:t>9</w:t>
      </w:r>
      <w:r>
        <w:rPr>
          <w:rFonts w:hint="eastAsia" w:hAnsi="宋体" w:cs="宋体"/>
          <w:color w:val="auto"/>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500" w:lineRule="exact"/>
        <w:ind w:firstLine="480" w:firstLineChars="200"/>
        <w:rPr>
          <w:rFonts w:hAnsi="宋体" w:cs="宋体"/>
          <w:color w:val="auto"/>
          <w:highlight w:val="none"/>
        </w:rPr>
      </w:pPr>
      <w:r>
        <w:rPr>
          <w:rFonts w:hint="eastAsia" w:hAnsi="宋体" w:cs="宋体"/>
          <w:color w:val="auto"/>
          <w:highlight w:val="none"/>
        </w:rPr>
        <w:t>2.1</w:t>
      </w:r>
      <w:r>
        <w:rPr>
          <w:rFonts w:hint="eastAsia" w:hAnsi="宋体" w:cs="宋体"/>
          <w:color w:val="auto"/>
          <w:highlight w:val="none"/>
          <w:lang w:val="en-US" w:eastAsia="zh-CN"/>
        </w:rPr>
        <w:t>0</w:t>
      </w:r>
      <w:r>
        <w:rPr>
          <w:rFonts w:hint="eastAsia" w:hAnsi="宋体" w:cs="宋体"/>
          <w:color w:val="auto"/>
          <w:highlight w:val="none"/>
        </w:rPr>
        <w:t>残疾人福利性单位是指符合《三部门联合发布关于促进残疾人就业政府采购政策的通知》财库〔2017〕141号规定的对残疾人福利性单位划分标准的单位。</w:t>
      </w:r>
    </w:p>
    <w:p>
      <w:pPr>
        <w:spacing w:line="500" w:lineRule="exact"/>
        <w:outlineLvl w:val="2"/>
        <w:rPr>
          <w:rFonts w:hAnsi="宋体" w:cs="宋体"/>
          <w:b/>
          <w:color w:val="auto"/>
          <w:szCs w:val="24"/>
          <w:highlight w:val="none"/>
        </w:rPr>
      </w:pPr>
      <w:bookmarkStart w:id="45" w:name="_Toc30364"/>
      <w:bookmarkStart w:id="46" w:name="_Toc27823"/>
      <w:bookmarkStart w:id="47" w:name="_Toc6805"/>
      <w:bookmarkStart w:id="48" w:name="_Toc9161"/>
      <w:bookmarkStart w:id="49" w:name="_Toc8291"/>
      <w:bookmarkStart w:id="50" w:name="_Toc13920"/>
      <w:bookmarkStart w:id="51" w:name="_Toc6281"/>
      <w:r>
        <w:rPr>
          <w:rFonts w:hint="eastAsia" w:hAnsi="宋体" w:cs="宋体"/>
          <w:b/>
          <w:color w:val="auto"/>
          <w:szCs w:val="24"/>
          <w:highlight w:val="none"/>
        </w:rPr>
        <w:t>3.合格的供应商</w:t>
      </w:r>
      <w:bookmarkEnd w:id="45"/>
      <w:bookmarkEnd w:id="46"/>
      <w:bookmarkEnd w:id="47"/>
      <w:bookmarkEnd w:id="48"/>
      <w:bookmarkEnd w:id="49"/>
      <w:bookmarkEnd w:id="50"/>
      <w:bookmarkEnd w:id="51"/>
    </w:p>
    <w:p>
      <w:pPr>
        <w:tabs>
          <w:tab w:val="left" w:pos="851"/>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3.1《政府采购法》第二十二条第一款规定的供应商基本资格条件:</w:t>
      </w:r>
    </w:p>
    <w:p>
      <w:pPr>
        <w:tabs>
          <w:tab w:val="left" w:pos="851"/>
        </w:tabs>
        <w:spacing w:line="500" w:lineRule="exact"/>
        <w:ind w:firstLine="480" w:firstLineChars="200"/>
        <w:rPr>
          <w:rFonts w:hint="eastAsia" w:hAnsi="宋体" w:cs="宋体"/>
          <w:color w:val="auto"/>
          <w:szCs w:val="24"/>
          <w:highlight w:val="none"/>
        </w:rPr>
      </w:pPr>
      <w:r>
        <w:rPr>
          <w:rFonts w:hint="eastAsia" w:hAnsi="宋体" w:cs="宋体"/>
          <w:color w:val="auto"/>
          <w:szCs w:val="24"/>
          <w:highlight w:val="none"/>
        </w:rPr>
        <w:t xml:space="preserve">   （1）具有独立承担民事责任的能力；</w:t>
      </w:r>
    </w:p>
    <w:p>
      <w:pPr>
        <w:tabs>
          <w:tab w:val="left" w:pos="851"/>
        </w:tabs>
        <w:spacing w:line="500" w:lineRule="exact"/>
        <w:ind w:firstLine="480" w:firstLineChars="200"/>
        <w:rPr>
          <w:rFonts w:hint="eastAsia" w:hAnsi="宋体" w:cs="宋体"/>
          <w:color w:val="auto"/>
          <w:szCs w:val="24"/>
          <w:highlight w:val="none"/>
        </w:rPr>
      </w:pPr>
      <w:r>
        <w:rPr>
          <w:rFonts w:hint="eastAsia" w:hAnsi="宋体" w:cs="宋体"/>
          <w:color w:val="auto"/>
          <w:szCs w:val="24"/>
          <w:highlight w:val="none"/>
        </w:rPr>
        <w:t xml:space="preserve">   （2）具有良好的商业信誉和健全的财务会计制度；</w:t>
      </w:r>
    </w:p>
    <w:p>
      <w:pPr>
        <w:tabs>
          <w:tab w:val="left" w:pos="851"/>
        </w:tabs>
        <w:spacing w:line="500" w:lineRule="exact"/>
        <w:ind w:firstLine="480" w:firstLineChars="200"/>
        <w:rPr>
          <w:rFonts w:hint="eastAsia" w:hAnsi="宋体" w:cs="宋体"/>
          <w:color w:val="auto"/>
          <w:szCs w:val="24"/>
          <w:highlight w:val="none"/>
        </w:rPr>
      </w:pPr>
      <w:r>
        <w:rPr>
          <w:rFonts w:hint="eastAsia" w:hAnsi="宋体" w:cs="宋体"/>
          <w:color w:val="auto"/>
          <w:szCs w:val="24"/>
          <w:highlight w:val="none"/>
        </w:rPr>
        <w:t xml:space="preserve">   （3）具有履行合同所必需的设备和专业技术能力；</w:t>
      </w:r>
    </w:p>
    <w:p>
      <w:pPr>
        <w:tabs>
          <w:tab w:val="left" w:pos="851"/>
        </w:tabs>
        <w:spacing w:line="500" w:lineRule="exact"/>
        <w:ind w:firstLine="480" w:firstLineChars="200"/>
        <w:rPr>
          <w:rFonts w:hint="eastAsia" w:hAnsi="宋体" w:cs="宋体"/>
          <w:color w:val="auto"/>
          <w:szCs w:val="24"/>
          <w:highlight w:val="none"/>
        </w:rPr>
      </w:pPr>
      <w:r>
        <w:rPr>
          <w:rFonts w:hint="eastAsia" w:hAnsi="宋体" w:cs="宋体"/>
          <w:color w:val="auto"/>
          <w:szCs w:val="24"/>
          <w:highlight w:val="none"/>
        </w:rPr>
        <w:t xml:space="preserve">   （4）有依法缴纳税收和社会保障资金的良好记录；</w:t>
      </w:r>
    </w:p>
    <w:p>
      <w:pPr>
        <w:tabs>
          <w:tab w:val="left" w:pos="851"/>
        </w:tabs>
        <w:spacing w:line="500" w:lineRule="exact"/>
        <w:ind w:firstLine="480" w:firstLineChars="200"/>
        <w:rPr>
          <w:rFonts w:hint="eastAsia" w:hAnsi="宋体" w:cs="宋体"/>
          <w:color w:val="auto"/>
          <w:szCs w:val="24"/>
          <w:highlight w:val="none"/>
        </w:rPr>
      </w:pPr>
      <w:r>
        <w:rPr>
          <w:rFonts w:hint="eastAsia" w:hAnsi="宋体" w:cs="宋体"/>
          <w:color w:val="auto"/>
          <w:szCs w:val="24"/>
          <w:highlight w:val="none"/>
        </w:rPr>
        <w:t xml:space="preserve">   （5）参加政府采购活动前三年内，在经营活动中没有重大违法记录；</w:t>
      </w:r>
    </w:p>
    <w:p>
      <w:pPr>
        <w:tabs>
          <w:tab w:val="left" w:pos="851"/>
        </w:tabs>
        <w:spacing w:line="500" w:lineRule="exact"/>
        <w:ind w:firstLine="480" w:firstLineChars="200"/>
        <w:rPr>
          <w:rFonts w:hint="eastAsia" w:hAnsi="宋体" w:cs="宋体"/>
          <w:color w:val="auto"/>
          <w:szCs w:val="24"/>
          <w:highlight w:val="none"/>
        </w:rPr>
      </w:pPr>
      <w:r>
        <w:rPr>
          <w:rFonts w:hint="eastAsia" w:hAnsi="宋体" w:cs="宋体"/>
          <w:color w:val="auto"/>
          <w:szCs w:val="24"/>
          <w:highlight w:val="none"/>
        </w:rPr>
        <w:t xml:space="preserve">   （6）法律、行政法规规定的其他条件。</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3.2根据本次采购项目的特殊要求，规定的供应商特殊条件（见供应商须知前附表）。</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3.3单位负责人为同一人或者存在直接控股、管理关系的不同供应商，不得参加同一合同项</w:t>
      </w:r>
      <w:r>
        <w:rPr>
          <w:rFonts w:hint="eastAsia" w:hAnsi="宋体" w:cs="宋体"/>
          <w:color w:val="auto"/>
          <w:szCs w:val="24"/>
          <w:highlight w:val="none"/>
          <w:lang w:eastAsia="zh-CN"/>
        </w:rPr>
        <w:t>目</w:t>
      </w:r>
      <w:r>
        <w:rPr>
          <w:rFonts w:hint="eastAsia" w:hAnsi="宋体" w:cs="宋体"/>
          <w:color w:val="auto"/>
          <w:szCs w:val="24"/>
          <w:highlight w:val="none"/>
        </w:rPr>
        <w:t>下的政府采购活动。除单一来源采购项目外，为采购项目提供整体设计、规范编制或者项目管理、监理、检测等服务的供应商，不得再参加该采购项目的其他采购活动，否则均为无效投标。</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3.4供应商不得直接或间接地与采购人或采购代理机构有任何关联，亦不得是采购人或采购代理机构的附属机构。如果供应商在投标中隐瞒了上述关系，一经证实，则该投标无效。</w:t>
      </w:r>
    </w:p>
    <w:p>
      <w:pPr>
        <w:spacing w:line="500" w:lineRule="exact"/>
        <w:ind w:left="480" w:leftChars="200" w:firstLine="0" w:firstLineChars="0"/>
        <w:rPr>
          <w:rFonts w:hAnsi="宋体" w:cs="宋体"/>
          <w:color w:val="auto"/>
          <w:szCs w:val="24"/>
          <w:highlight w:val="none"/>
        </w:rPr>
      </w:pPr>
      <w:r>
        <w:rPr>
          <w:rFonts w:hint="eastAsia" w:hAnsi="宋体" w:cs="宋体"/>
          <w:color w:val="auto"/>
          <w:szCs w:val="24"/>
          <w:highlight w:val="none"/>
        </w:rPr>
        <w:t>3.5供应商必须在</w:t>
      </w:r>
      <w:r>
        <w:rPr>
          <w:rFonts w:hint="eastAsia" w:hAnsi="宋体" w:cs="宋体"/>
          <w:color w:val="auto"/>
          <w:szCs w:val="24"/>
          <w:highlight w:val="none"/>
          <w:lang w:eastAsia="zh-CN"/>
        </w:rPr>
        <w:t>陕西中采项目管理有限公司获取竞争性磋商文件</w:t>
      </w:r>
      <w:r>
        <w:rPr>
          <w:rFonts w:hint="eastAsia" w:hAnsi="宋体" w:cs="宋体"/>
          <w:color w:val="auto"/>
          <w:szCs w:val="24"/>
          <w:highlight w:val="none"/>
        </w:rPr>
        <w:t>，方可参加投标</w:t>
      </w:r>
      <w:bookmarkStart w:id="52" w:name="OLE_LINK33"/>
      <w:r>
        <w:rPr>
          <w:rFonts w:hint="eastAsia" w:hAnsi="宋体" w:cs="宋体"/>
          <w:color w:val="auto"/>
          <w:szCs w:val="24"/>
          <w:highlight w:val="none"/>
          <w:lang w:eastAsia="zh-CN"/>
        </w:rPr>
        <w:t>。</w:t>
      </w:r>
      <w:r>
        <w:rPr>
          <w:rFonts w:hint="eastAsia" w:hAnsi="宋体" w:cs="宋体"/>
          <w:color w:val="auto"/>
          <w:szCs w:val="24"/>
          <w:highlight w:val="none"/>
        </w:rPr>
        <w:t>3.</w:t>
      </w:r>
      <w:bookmarkEnd w:id="52"/>
      <w:r>
        <w:rPr>
          <w:rFonts w:hint="eastAsia" w:hAnsi="宋体" w:cs="宋体"/>
          <w:color w:val="auto"/>
          <w:szCs w:val="24"/>
          <w:highlight w:val="none"/>
        </w:rPr>
        <w:t>6联合体投标</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3.6.1如果在</w:t>
      </w:r>
      <w:r>
        <w:rPr>
          <w:rFonts w:hint="eastAsia" w:hAnsi="宋体" w:cs="宋体"/>
          <w:color w:val="auto"/>
          <w:szCs w:val="24"/>
          <w:highlight w:val="none"/>
          <w:lang w:eastAsia="zh-CN"/>
        </w:rPr>
        <w:t>竞争性磋商文件</w:t>
      </w:r>
      <w:r>
        <w:rPr>
          <w:rFonts w:hint="eastAsia" w:hAnsi="宋体" w:cs="宋体"/>
          <w:color w:val="auto"/>
          <w:szCs w:val="24"/>
          <w:highlight w:val="none"/>
        </w:rPr>
        <w:t>中接受联合体投标（见供应商须知前附表），则两个以上供应商可以组成一个投标联合体，以一个供应商的身份投标。以联合体形式参加投标的，联合体各方均应当符合</w:t>
      </w:r>
      <w:r>
        <w:rPr>
          <w:rFonts w:hint="eastAsia" w:hAnsi="宋体" w:cs="宋体"/>
          <w:color w:val="auto"/>
          <w:highlight w:val="none"/>
        </w:rPr>
        <w:t>《中华人民共和国政府采购法》及实施条例规定的条件</w:t>
      </w:r>
      <w:r>
        <w:rPr>
          <w:rFonts w:hint="eastAsia" w:hAnsi="宋体" w:cs="宋体"/>
          <w:color w:val="auto"/>
          <w:szCs w:val="24"/>
          <w:highlight w:val="none"/>
        </w:rPr>
        <w:t>。采购人根据采购项目的特殊要求规定供应商特定条件的，联合体各方中至少应当有一方符合采购人规定的特定条件。</w:t>
      </w:r>
    </w:p>
    <w:p>
      <w:pPr>
        <w:spacing w:line="500" w:lineRule="exact"/>
        <w:ind w:firstLine="468" w:firstLineChars="195"/>
        <w:rPr>
          <w:rFonts w:hAnsi="宋体" w:cs="宋体"/>
          <w:color w:val="auto"/>
          <w:szCs w:val="24"/>
          <w:highlight w:val="none"/>
        </w:rPr>
      </w:pPr>
      <w:r>
        <w:rPr>
          <w:rFonts w:hint="eastAsia" w:hAnsi="宋体" w:cs="宋体"/>
          <w:color w:val="auto"/>
          <w:szCs w:val="24"/>
          <w:highlight w:val="none"/>
        </w:rPr>
        <w:t>3.6.2联合体各方之间应当签订共同投标协议，明确约定联合体各方承担的工作和相应的责任，并将共同投标协议连同</w:t>
      </w:r>
      <w:r>
        <w:rPr>
          <w:rFonts w:hint="eastAsia" w:hAnsi="宋体" w:cs="宋体"/>
          <w:color w:val="auto"/>
          <w:szCs w:val="24"/>
          <w:highlight w:val="none"/>
          <w:lang w:eastAsia="zh-CN"/>
        </w:rPr>
        <w:t>响应文件</w:t>
      </w:r>
      <w:r>
        <w:rPr>
          <w:rFonts w:hint="eastAsia" w:hAnsi="宋体" w:cs="宋体"/>
          <w:color w:val="auto"/>
          <w:szCs w:val="24"/>
          <w:highlight w:val="none"/>
        </w:rPr>
        <w:t>一并提交</w:t>
      </w:r>
      <w:r>
        <w:rPr>
          <w:rFonts w:hint="eastAsia" w:hAnsi="宋体" w:cs="宋体"/>
          <w:color w:val="auto"/>
          <w:highlight w:val="none"/>
        </w:rPr>
        <w:t>采购代理机构</w:t>
      </w:r>
      <w:r>
        <w:rPr>
          <w:rFonts w:hint="eastAsia" w:hAnsi="宋体" w:cs="宋体"/>
          <w:color w:val="auto"/>
          <w:szCs w:val="24"/>
          <w:highlight w:val="none"/>
        </w:rPr>
        <w:t>。联合体各方签订共同投标协议后，不得再以自己名义单独在同一项目中投标，也不得组成新的联合体参加同一项目投标。</w:t>
      </w:r>
    </w:p>
    <w:p>
      <w:pPr>
        <w:pStyle w:val="3"/>
        <w:spacing w:line="500" w:lineRule="exact"/>
        <w:ind w:firstLine="480" w:firstLineChars="200"/>
        <w:rPr>
          <w:rFonts w:ascii="宋体" w:hAnsi="宋体" w:cs="宋体"/>
          <w:color w:val="auto"/>
          <w:szCs w:val="24"/>
          <w:highlight w:val="none"/>
        </w:rPr>
      </w:pPr>
      <w:r>
        <w:rPr>
          <w:rFonts w:hint="eastAsia" w:ascii="宋体" w:hAnsi="宋体" w:cs="宋体"/>
          <w:color w:val="auto"/>
          <w:sz w:val="24"/>
          <w:szCs w:val="24"/>
          <w:highlight w:val="none"/>
        </w:rPr>
        <w:t>3.6.3联合体各方应当共同与采购人签订采购合同，就采购合同约定的事项对采购人承担连带责任。</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3.7投标费用自理。不论投标的结果如何，供应商均应自行承担所有与参加投标有关的费用。</w:t>
      </w:r>
    </w:p>
    <w:p>
      <w:pPr>
        <w:tabs>
          <w:tab w:val="left" w:pos="747"/>
        </w:tabs>
        <w:snapToGrid w:val="0"/>
        <w:spacing w:line="500" w:lineRule="exact"/>
        <w:outlineLvl w:val="2"/>
        <w:rPr>
          <w:rFonts w:hAnsi="宋体" w:cs="宋体"/>
          <w:b/>
          <w:bCs/>
          <w:color w:val="auto"/>
          <w:highlight w:val="none"/>
        </w:rPr>
      </w:pPr>
      <w:bookmarkStart w:id="53" w:name="_Toc6876"/>
      <w:bookmarkStart w:id="54" w:name="_Toc706"/>
      <w:bookmarkStart w:id="55" w:name="_Toc11729"/>
      <w:bookmarkStart w:id="56" w:name="_Toc1543"/>
      <w:bookmarkStart w:id="57" w:name="_Toc13875"/>
      <w:bookmarkStart w:id="58" w:name="_Toc14713"/>
      <w:bookmarkStart w:id="59" w:name="_Toc1574"/>
      <w:r>
        <w:rPr>
          <w:rFonts w:hint="eastAsia" w:hAnsi="宋体" w:cs="宋体"/>
          <w:b/>
          <w:bCs/>
          <w:color w:val="auto"/>
          <w:highlight w:val="none"/>
        </w:rPr>
        <w:t>4.合格的货物（产品）和服务</w:t>
      </w:r>
      <w:bookmarkEnd w:id="53"/>
      <w:bookmarkEnd w:id="54"/>
      <w:bookmarkEnd w:id="55"/>
      <w:bookmarkEnd w:id="56"/>
      <w:bookmarkEnd w:id="57"/>
      <w:bookmarkEnd w:id="58"/>
      <w:bookmarkEnd w:id="59"/>
    </w:p>
    <w:p>
      <w:pPr>
        <w:tabs>
          <w:tab w:val="left" w:pos="747"/>
        </w:tabs>
        <w:snapToGrid w:val="0"/>
        <w:spacing w:line="500" w:lineRule="exact"/>
        <w:ind w:firstLine="480" w:firstLineChars="200"/>
        <w:rPr>
          <w:rFonts w:hAnsi="宋体" w:cs="宋体"/>
          <w:color w:val="auto"/>
          <w:highlight w:val="none"/>
        </w:rPr>
      </w:pPr>
      <w:r>
        <w:rPr>
          <w:rFonts w:hint="eastAsia" w:hAnsi="宋体" w:cs="宋体"/>
          <w:color w:val="auto"/>
          <w:highlight w:val="none"/>
        </w:rPr>
        <w:t>4.1供应商提供的所有货物和服务，必须是合法生产、合法来源，符合国家有关标准要求，并满足</w:t>
      </w:r>
      <w:r>
        <w:rPr>
          <w:rFonts w:hint="eastAsia" w:hAnsi="宋体" w:cs="宋体"/>
          <w:color w:val="auto"/>
          <w:highlight w:val="none"/>
          <w:lang w:eastAsia="zh-CN"/>
        </w:rPr>
        <w:t>竞争性磋商文件</w:t>
      </w:r>
      <w:r>
        <w:rPr>
          <w:rFonts w:hint="eastAsia" w:hAnsi="宋体" w:cs="宋体"/>
          <w:color w:val="auto"/>
          <w:highlight w:val="none"/>
        </w:rPr>
        <w:t>规定的规格、参数、质量、价格、有效期、售后服务及供应商须承担的运输、安装、技术支持、培训和</w:t>
      </w:r>
      <w:r>
        <w:rPr>
          <w:rFonts w:hint="eastAsia" w:hAnsi="宋体" w:cs="宋体"/>
          <w:color w:val="auto"/>
          <w:highlight w:val="none"/>
          <w:lang w:eastAsia="zh-CN"/>
        </w:rPr>
        <w:t>竞争性磋商文件</w:t>
      </w:r>
      <w:r>
        <w:rPr>
          <w:rFonts w:hint="eastAsia" w:hAnsi="宋体" w:cs="宋体"/>
          <w:color w:val="auto"/>
          <w:highlight w:val="none"/>
        </w:rPr>
        <w:t>规定的其它伴随服务等要求。</w:t>
      </w:r>
    </w:p>
    <w:p>
      <w:pPr>
        <w:tabs>
          <w:tab w:val="left" w:pos="747"/>
        </w:tabs>
        <w:snapToGrid w:val="0"/>
        <w:spacing w:line="500" w:lineRule="exact"/>
        <w:ind w:firstLine="480" w:firstLineChars="200"/>
        <w:rPr>
          <w:rFonts w:hAnsi="宋体" w:cs="宋体"/>
          <w:color w:val="auto"/>
          <w:szCs w:val="24"/>
          <w:highlight w:val="none"/>
        </w:rPr>
      </w:pPr>
      <w:r>
        <w:rPr>
          <w:rFonts w:hint="eastAsia" w:hAnsi="宋体" w:cs="宋体"/>
          <w:color w:val="auto"/>
          <w:highlight w:val="none"/>
        </w:rPr>
        <w:t>4.2采购人有权拒绝接受任何不合格的产品和服务，由此产生的费用及相关后果均由供应商自行承担。</w:t>
      </w:r>
    </w:p>
    <w:p>
      <w:pPr>
        <w:spacing w:line="500" w:lineRule="exact"/>
        <w:outlineLvl w:val="2"/>
        <w:rPr>
          <w:rFonts w:hAnsi="宋体" w:cs="宋体"/>
          <w:b/>
          <w:color w:val="auto"/>
          <w:szCs w:val="24"/>
          <w:highlight w:val="none"/>
        </w:rPr>
      </w:pPr>
      <w:bookmarkStart w:id="60" w:name="_Toc29938"/>
      <w:bookmarkStart w:id="61" w:name="_Toc30623"/>
      <w:bookmarkStart w:id="62" w:name="_Toc16352"/>
      <w:bookmarkStart w:id="63" w:name="_Toc23474"/>
      <w:bookmarkStart w:id="64" w:name="_Toc11710"/>
      <w:bookmarkStart w:id="65" w:name="_Toc19103"/>
      <w:bookmarkStart w:id="66" w:name="_Toc32156"/>
      <w:r>
        <w:rPr>
          <w:rFonts w:hint="eastAsia" w:hAnsi="宋体" w:cs="宋体"/>
          <w:b/>
          <w:color w:val="auto"/>
          <w:szCs w:val="24"/>
          <w:highlight w:val="none"/>
        </w:rPr>
        <w:t>5.</w:t>
      </w:r>
      <w:r>
        <w:rPr>
          <w:rFonts w:hint="eastAsia" w:hAnsi="宋体" w:cs="宋体"/>
          <w:b/>
          <w:color w:val="auto"/>
          <w:szCs w:val="24"/>
          <w:highlight w:val="none"/>
          <w:lang w:eastAsia="zh-CN"/>
        </w:rPr>
        <w:t>响应文件</w:t>
      </w:r>
      <w:r>
        <w:rPr>
          <w:rFonts w:hint="eastAsia" w:hAnsi="宋体" w:cs="宋体"/>
          <w:b/>
          <w:color w:val="auto"/>
          <w:szCs w:val="24"/>
          <w:highlight w:val="none"/>
        </w:rPr>
        <w:t>内容的真实性</w:t>
      </w:r>
      <w:bookmarkEnd w:id="60"/>
      <w:bookmarkEnd w:id="61"/>
      <w:bookmarkEnd w:id="62"/>
      <w:bookmarkEnd w:id="63"/>
      <w:bookmarkEnd w:id="64"/>
      <w:bookmarkEnd w:id="65"/>
      <w:bookmarkEnd w:id="66"/>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5.1供应商应保证其</w:t>
      </w:r>
      <w:r>
        <w:rPr>
          <w:rFonts w:hint="eastAsia" w:hAnsi="宋体" w:cs="宋体"/>
          <w:color w:val="auto"/>
          <w:szCs w:val="24"/>
          <w:highlight w:val="none"/>
          <w:lang w:eastAsia="zh-CN"/>
        </w:rPr>
        <w:t>响应文件</w:t>
      </w:r>
      <w:r>
        <w:rPr>
          <w:rFonts w:hint="eastAsia" w:hAnsi="宋体" w:cs="宋体"/>
          <w:color w:val="auto"/>
          <w:szCs w:val="24"/>
          <w:highlight w:val="none"/>
        </w:rPr>
        <w:t>中所提供的所有投标资料、信息是真实的，并且来源于合法的渠道。因</w:t>
      </w:r>
      <w:r>
        <w:rPr>
          <w:rFonts w:hint="eastAsia" w:hAnsi="宋体" w:cs="宋体"/>
          <w:color w:val="auto"/>
          <w:szCs w:val="24"/>
          <w:highlight w:val="none"/>
          <w:lang w:eastAsia="zh-CN"/>
        </w:rPr>
        <w:t>响应文件</w:t>
      </w:r>
      <w:r>
        <w:rPr>
          <w:rFonts w:hint="eastAsia" w:hAnsi="宋体" w:cs="宋体"/>
          <w:color w:val="auto"/>
          <w:szCs w:val="24"/>
          <w:highlight w:val="none"/>
        </w:rPr>
        <w:t>中所提供的投标资料、信息不真实或者其来源不合法而导致的所有法律责任，由供应商自行承担。</w:t>
      </w:r>
    </w:p>
    <w:p>
      <w:pPr>
        <w:spacing w:line="500" w:lineRule="exact"/>
        <w:jc w:val="center"/>
        <w:outlineLvl w:val="1"/>
        <w:rPr>
          <w:rFonts w:hint="eastAsia" w:hAnsi="宋体" w:eastAsia="宋体" w:cs="宋体"/>
          <w:b/>
          <w:color w:val="auto"/>
          <w:sz w:val="32"/>
          <w:szCs w:val="32"/>
          <w:highlight w:val="none"/>
          <w:lang w:eastAsia="zh-CN"/>
        </w:rPr>
      </w:pPr>
      <w:bookmarkStart w:id="67" w:name="_Toc363473973"/>
      <w:bookmarkStart w:id="68" w:name="_Toc403077640"/>
      <w:bookmarkStart w:id="69" w:name="_Toc363474018"/>
      <w:bookmarkStart w:id="70" w:name="_Toc23180"/>
      <w:bookmarkStart w:id="71" w:name="_Toc13662"/>
      <w:bookmarkStart w:id="72" w:name="_Toc17380"/>
      <w:bookmarkStart w:id="73" w:name="_Toc9674"/>
      <w:bookmarkStart w:id="74" w:name="_Toc28818"/>
      <w:bookmarkStart w:id="75" w:name="_Toc19010"/>
      <w:bookmarkStart w:id="76" w:name="_Toc23075"/>
      <w:r>
        <w:rPr>
          <w:rFonts w:hint="eastAsia" w:hAnsi="宋体" w:cs="宋体"/>
          <w:b/>
          <w:color w:val="auto"/>
          <w:sz w:val="32"/>
          <w:szCs w:val="32"/>
          <w:highlight w:val="none"/>
        </w:rPr>
        <w:t>二.</w:t>
      </w:r>
      <w:bookmarkEnd w:id="67"/>
      <w:bookmarkEnd w:id="68"/>
      <w:bookmarkEnd w:id="69"/>
      <w:r>
        <w:rPr>
          <w:rFonts w:hint="eastAsia" w:hAnsi="宋体" w:cs="宋体"/>
          <w:b/>
          <w:color w:val="auto"/>
          <w:sz w:val="32"/>
          <w:szCs w:val="32"/>
          <w:highlight w:val="none"/>
          <w:lang w:eastAsia="zh-CN"/>
        </w:rPr>
        <w:t>竞争性磋商文件</w:t>
      </w:r>
      <w:bookmarkEnd w:id="70"/>
      <w:bookmarkEnd w:id="71"/>
      <w:bookmarkEnd w:id="72"/>
      <w:bookmarkEnd w:id="73"/>
      <w:bookmarkEnd w:id="74"/>
      <w:bookmarkEnd w:id="75"/>
      <w:bookmarkEnd w:id="76"/>
    </w:p>
    <w:p>
      <w:pPr>
        <w:spacing w:line="500" w:lineRule="exact"/>
        <w:rPr>
          <w:rFonts w:hAnsi="宋体" w:cs="宋体"/>
          <w:b/>
          <w:color w:val="auto"/>
          <w:szCs w:val="24"/>
          <w:highlight w:val="none"/>
        </w:rPr>
      </w:pPr>
      <w:r>
        <w:rPr>
          <w:rFonts w:hint="eastAsia" w:hAnsi="宋体" w:cs="宋体"/>
          <w:b/>
          <w:color w:val="auto"/>
          <w:szCs w:val="24"/>
          <w:highlight w:val="none"/>
        </w:rPr>
        <w:t>6.</w:t>
      </w:r>
      <w:r>
        <w:rPr>
          <w:rFonts w:hint="eastAsia" w:hAnsi="宋体" w:cs="宋体"/>
          <w:b/>
          <w:color w:val="auto"/>
          <w:szCs w:val="24"/>
          <w:highlight w:val="none"/>
          <w:lang w:eastAsia="zh-CN"/>
        </w:rPr>
        <w:t>竞争性磋商文件</w:t>
      </w:r>
      <w:r>
        <w:rPr>
          <w:rFonts w:hint="eastAsia" w:hAnsi="宋体" w:cs="宋体"/>
          <w:b/>
          <w:color w:val="auto"/>
          <w:szCs w:val="24"/>
          <w:highlight w:val="none"/>
        </w:rPr>
        <w:t>构成</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6.1 </w:t>
      </w:r>
      <w:r>
        <w:rPr>
          <w:rFonts w:hint="eastAsia" w:hAnsi="宋体" w:cs="宋体"/>
          <w:color w:val="auto"/>
          <w:szCs w:val="24"/>
          <w:highlight w:val="none"/>
          <w:lang w:eastAsia="zh-CN"/>
        </w:rPr>
        <w:t>竞争性磋商文件</w:t>
      </w:r>
      <w:r>
        <w:rPr>
          <w:rFonts w:hint="eastAsia" w:hAnsi="宋体" w:cs="宋体"/>
          <w:color w:val="auto"/>
          <w:szCs w:val="24"/>
          <w:highlight w:val="none"/>
        </w:rPr>
        <w:t>要求提供的货物、服务，招标程序和合同条件在</w:t>
      </w:r>
      <w:r>
        <w:rPr>
          <w:rFonts w:hint="eastAsia" w:hAnsi="宋体" w:cs="宋体"/>
          <w:color w:val="auto"/>
          <w:szCs w:val="24"/>
          <w:highlight w:val="none"/>
          <w:lang w:eastAsia="zh-CN"/>
        </w:rPr>
        <w:t>竞争性磋商文件</w:t>
      </w:r>
      <w:r>
        <w:rPr>
          <w:rFonts w:hint="eastAsia" w:hAnsi="宋体" w:cs="宋体"/>
          <w:color w:val="auto"/>
          <w:szCs w:val="24"/>
          <w:highlight w:val="none"/>
        </w:rPr>
        <w:t>中均有说明。</w:t>
      </w:r>
      <w:r>
        <w:rPr>
          <w:rFonts w:hint="eastAsia" w:hAnsi="宋体" w:cs="宋体"/>
          <w:color w:val="auto"/>
          <w:szCs w:val="24"/>
          <w:highlight w:val="none"/>
          <w:lang w:eastAsia="zh-CN"/>
        </w:rPr>
        <w:t>竞争性磋商文件</w:t>
      </w:r>
      <w:r>
        <w:rPr>
          <w:rFonts w:hint="eastAsia" w:hAnsi="宋体" w:cs="宋体"/>
          <w:color w:val="auto"/>
          <w:szCs w:val="24"/>
          <w:highlight w:val="none"/>
        </w:rPr>
        <w:t>共六章，内容如下：</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第一章 </w:t>
      </w:r>
      <w:r>
        <w:rPr>
          <w:rFonts w:hint="eastAsia" w:hAnsi="宋体" w:cs="宋体"/>
          <w:color w:val="auto"/>
          <w:szCs w:val="24"/>
          <w:highlight w:val="none"/>
          <w:lang w:eastAsia="zh-CN"/>
        </w:rPr>
        <w:t>竞争性磋商</w:t>
      </w:r>
      <w:r>
        <w:rPr>
          <w:rFonts w:hint="eastAsia" w:hAnsi="宋体" w:cs="宋体"/>
          <w:color w:val="auto"/>
          <w:szCs w:val="24"/>
          <w:highlight w:val="none"/>
        </w:rPr>
        <w:t>公告</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第二章 供应商须知</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第三章 合同条款及格式</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第四章 采购内容及技术要求</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第五章 评标方法</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第六章 </w:t>
      </w:r>
      <w:r>
        <w:rPr>
          <w:rFonts w:hint="eastAsia" w:hAnsi="宋体" w:cs="宋体"/>
          <w:color w:val="auto"/>
          <w:szCs w:val="24"/>
          <w:highlight w:val="none"/>
          <w:lang w:eastAsia="zh-CN"/>
        </w:rPr>
        <w:t>响应文件</w:t>
      </w:r>
      <w:r>
        <w:rPr>
          <w:rFonts w:hint="eastAsia" w:hAnsi="宋体" w:cs="宋体"/>
          <w:color w:val="auto"/>
          <w:szCs w:val="24"/>
          <w:highlight w:val="none"/>
        </w:rPr>
        <w:t xml:space="preserve">构成及格式  </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6.2供应商应认真阅读</w:t>
      </w:r>
      <w:r>
        <w:rPr>
          <w:rFonts w:hint="eastAsia" w:hAnsi="宋体" w:cs="宋体"/>
          <w:color w:val="auto"/>
          <w:szCs w:val="24"/>
          <w:highlight w:val="none"/>
          <w:lang w:eastAsia="zh-CN"/>
        </w:rPr>
        <w:t>竞争性磋商文件</w:t>
      </w:r>
      <w:r>
        <w:rPr>
          <w:rFonts w:hint="eastAsia" w:hAnsi="宋体" w:cs="宋体"/>
          <w:color w:val="auto"/>
          <w:szCs w:val="24"/>
          <w:highlight w:val="none"/>
        </w:rPr>
        <w:t>中所有的事项、格式、条款和规范等要求。如果供应商没有按照</w:t>
      </w:r>
      <w:r>
        <w:rPr>
          <w:rFonts w:hint="eastAsia" w:hAnsi="宋体" w:cs="宋体"/>
          <w:color w:val="auto"/>
          <w:szCs w:val="24"/>
          <w:highlight w:val="none"/>
          <w:lang w:eastAsia="zh-CN"/>
        </w:rPr>
        <w:t>竞争性磋商文件</w:t>
      </w:r>
      <w:r>
        <w:rPr>
          <w:rFonts w:hint="eastAsia" w:hAnsi="宋体" w:cs="宋体"/>
          <w:color w:val="auto"/>
          <w:szCs w:val="24"/>
          <w:highlight w:val="none"/>
        </w:rPr>
        <w:t>要求提交全部资料，或者</w:t>
      </w:r>
      <w:r>
        <w:rPr>
          <w:rFonts w:hint="eastAsia" w:hAnsi="宋体" w:cs="宋体"/>
          <w:color w:val="auto"/>
          <w:szCs w:val="24"/>
          <w:highlight w:val="none"/>
          <w:lang w:eastAsia="zh-CN"/>
        </w:rPr>
        <w:t>响应文件</w:t>
      </w:r>
      <w:r>
        <w:rPr>
          <w:rFonts w:hint="eastAsia" w:hAnsi="宋体" w:cs="宋体"/>
          <w:color w:val="auto"/>
          <w:szCs w:val="24"/>
          <w:highlight w:val="none"/>
        </w:rPr>
        <w:t>没有对</w:t>
      </w:r>
      <w:r>
        <w:rPr>
          <w:rFonts w:hint="eastAsia" w:hAnsi="宋体" w:cs="宋体"/>
          <w:color w:val="auto"/>
          <w:szCs w:val="24"/>
          <w:highlight w:val="none"/>
          <w:lang w:eastAsia="zh-CN"/>
        </w:rPr>
        <w:t>竞争性磋商文件</w:t>
      </w:r>
      <w:r>
        <w:rPr>
          <w:rFonts w:hint="eastAsia" w:hAnsi="宋体" w:cs="宋体"/>
          <w:color w:val="auto"/>
          <w:szCs w:val="24"/>
          <w:highlight w:val="none"/>
        </w:rPr>
        <w:t>在各方面都做出实质性响应，由此带来不利于供应商的评标结果，其风险由供应商承担。</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6.3本</w:t>
      </w:r>
      <w:r>
        <w:rPr>
          <w:rFonts w:hint="eastAsia" w:hAnsi="宋体" w:cs="宋体"/>
          <w:color w:val="auto"/>
          <w:szCs w:val="24"/>
          <w:highlight w:val="none"/>
          <w:lang w:eastAsia="zh-CN"/>
        </w:rPr>
        <w:t>竞争性磋商文件</w:t>
      </w:r>
      <w:r>
        <w:rPr>
          <w:rFonts w:hint="eastAsia" w:hAnsi="宋体" w:cs="宋体"/>
          <w:color w:val="auto"/>
          <w:szCs w:val="24"/>
          <w:highlight w:val="none"/>
        </w:rPr>
        <w:t>的解释权归</w:t>
      </w:r>
      <w:r>
        <w:rPr>
          <w:rFonts w:hint="eastAsia" w:hAnsi="宋体" w:cs="宋体"/>
          <w:color w:val="auto"/>
          <w:szCs w:val="24"/>
          <w:highlight w:val="none"/>
          <w:lang w:eastAsia="zh-CN"/>
        </w:rPr>
        <w:t>陕西中采项目管理有限公司</w:t>
      </w:r>
      <w:r>
        <w:rPr>
          <w:rFonts w:hint="eastAsia" w:hAnsi="宋体" w:cs="宋体"/>
          <w:color w:val="auto"/>
          <w:szCs w:val="24"/>
          <w:highlight w:val="none"/>
        </w:rPr>
        <w:t>，如发现</w:t>
      </w:r>
      <w:r>
        <w:rPr>
          <w:rFonts w:hint="eastAsia" w:hAnsi="宋体" w:cs="宋体"/>
          <w:color w:val="auto"/>
          <w:szCs w:val="24"/>
          <w:highlight w:val="none"/>
          <w:lang w:eastAsia="zh-CN"/>
        </w:rPr>
        <w:t>竞争性磋商文件</w:t>
      </w:r>
      <w:r>
        <w:rPr>
          <w:rFonts w:hint="eastAsia" w:hAnsi="宋体" w:cs="宋体"/>
          <w:color w:val="auto"/>
          <w:szCs w:val="24"/>
          <w:highlight w:val="none"/>
        </w:rPr>
        <w:t>内容与现行法律法规不相符的情况，以现行法律法规为准。</w:t>
      </w:r>
    </w:p>
    <w:p>
      <w:pPr>
        <w:spacing w:line="500" w:lineRule="exact"/>
        <w:rPr>
          <w:rFonts w:hAnsi="宋体" w:cs="宋体"/>
          <w:b/>
          <w:color w:val="auto"/>
          <w:szCs w:val="24"/>
          <w:highlight w:val="none"/>
        </w:rPr>
      </w:pPr>
      <w:r>
        <w:rPr>
          <w:rFonts w:hint="eastAsia" w:hAnsi="宋体" w:cs="宋体"/>
          <w:b/>
          <w:color w:val="auto"/>
          <w:szCs w:val="24"/>
          <w:highlight w:val="none"/>
        </w:rPr>
        <w:t>7.</w:t>
      </w:r>
      <w:r>
        <w:rPr>
          <w:rFonts w:hint="eastAsia" w:hAnsi="宋体" w:cs="宋体"/>
          <w:b/>
          <w:color w:val="auto"/>
          <w:szCs w:val="24"/>
          <w:highlight w:val="none"/>
          <w:lang w:eastAsia="zh-CN"/>
        </w:rPr>
        <w:t>竞争性磋商文件</w:t>
      </w:r>
      <w:r>
        <w:rPr>
          <w:rFonts w:hint="eastAsia" w:hAnsi="宋体" w:cs="宋体"/>
          <w:b/>
          <w:color w:val="auto"/>
          <w:szCs w:val="24"/>
          <w:highlight w:val="none"/>
        </w:rPr>
        <w:t>的修改和澄清</w:t>
      </w:r>
    </w:p>
    <w:p>
      <w:pPr>
        <w:tabs>
          <w:tab w:val="left" w:pos="720"/>
        </w:tabs>
        <w:spacing w:line="500" w:lineRule="exact"/>
        <w:ind w:firstLine="480" w:firstLineChars="200"/>
        <w:rPr>
          <w:rFonts w:hAnsi="宋体" w:cs="宋体"/>
          <w:color w:val="auto"/>
          <w:highlight w:val="none"/>
        </w:rPr>
      </w:pPr>
      <w:r>
        <w:rPr>
          <w:rFonts w:hint="eastAsia" w:hAnsi="宋体" w:cs="宋体"/>
          <w:color w:val="auto"/>
          <w:highlight w:val="none"/>
        </w:rPr>
        <w:t>7.1 在</w:t>
      </w:r>
      <w:r>
        <w:rPr>
          <w:rFonts w:hint="eastAsia" w:hAnsi="宋体" w:cs="宋体"/>
          <w:color w:val="auto"/>
          <w:highlight w:val="none"/>
          <w:lang w:eastAsia="zh-CN"/>
        </w:rPr>
        <w:t>磋商</w:t>
      </w:r>
      <w:r>
        <w:rPr>
          <w:rFonts w:hint="eastAsia" w:hAnsi="宋体" w:cs="宋体"/>
          <w:color w:val="auto"/>
          <w:highlight w:val="none"/>
        </w:rPr>
        <w:t>截止时间前，采购代理机构无论出于何种原因，可以对已发出</w:t>
      </w:r>
      <w:r>
        <w:rPr>
          <w:rFonts w:hint="eastAsia" w:hAnsi="宋体" w:cs="宋体"/>
          <w:color w:val="auto"/>
          <w:highlight w:val="none"/>
          <w:lang w:eastAsia="zh-CN"/>
        </w:rPr>
        <w:t>竞争性磋商文件</w:t>
      </w:r>
      <w:r>
        <w:rPr>
          <w:rFonts w:hint="eastAsia" w:hAnsi="宋体" w:cs="宋体"/>
          <w:color w:val="auto"/>
          <w:highlight w:val="none"/>
        </w:rPr>
        <w:t>进行必要的澄清或者修改，但不得修改采购标的和资格条件。</w:t>
      </w:r>
    </w:p>
    <w:p>
      <w:pPr>
        <w:tabs>
          <w:tab w:val="left" w:pos="720"/>
        </w:tabs>
        <w:spacing w:line="500" w:lineRule="exact"/>
        <w:ind w:firstLine="480" w:firstLineChars="200"/>
        <w:rPr>
          <w:rFonts w:hint="eastAsia" w:hAnsi="宋体" w:cs="宋体"/>
          <w:color w:val="auto"/>
          <w:szCs w:val="22"/>
          <w:highlight w:val="none"/>
        </w:rPr>
      </w:pPr>
      <w:r>
        <w:rPr>
          <w:rFonts w:hint="eastAsia" w:hAnsi="宋体" w:cs="宋体"/>
          <w:color w:val="auto"/>
          <w:szCs w:val="22"/>
          <w:highlight w:val="none"/>
          <w:lang w:val="en-US" w:eastAsia="zh-CN"/>
        </w:rPr>
        <w:t xml:space="preserve">7.2 </w:t>
      </w:r>
      <w:r>
        <w:rPr>
          <w:rFonts w:hint="eastAsia" w:hAnsi="宋体" w:cs="宋体"/>
          <w:color w:val="auto"/>
          <w:szCs w:val="22"/>
          <w:highlight w:val="none"/>
          <w:lang w:val="zh-CN"/>
        </w:rPr>
        <w:t>澄清或者修改的内容可能影响响应文件编制的，澄清或修改的内容应以书面形式在提交首次响应文件截止时间至少五日前通知所有获取磋商文件的供应商，不足五日应延长至五日。澄清或者修改内容在政府采购发布媒体上发布更正公告，且作为磋商文件的组成部分。</w:t>
      </w:r>
    </w:p>
    <w:p>
      <w:pPr>
        <w:tabs>
          <w:tab w:val="left" w:pos="720"/>
        </w:tabs>
        <w:spacing w:line="500" w:lineRule="exact"/>
        <w:ind w:firstLine="480" w:firstLineChars="200"/>
        <w:rPr>
          <w:rFonts w:hint="eastAsia" w:hAnsi="宋体" w:cs="宋体"/>
          <w:color w:val="auto"/>
          <w:szCs w:val="22"/>
          <w:highlight w:val="none"/>
        </w:rPr>
      </w:pPr>
      <w:r>
        <w:rPr>
          <w:rFonts w:hint="eastAsia" w:hAnsi="宋体" w:cs="宋体"/>
          <w:color w:val="auto"/>
          <w:szCs w:val="22"/>
          <w:highlight w:val="none"/>
          <w:lang w:val="en-US" w:eastAsia="zh-CN"/>
        </w:rPr>
        <w:t xml:space="preserve">7.3 </w:t>
      </w:r>
      <w:r>
        <w:rPr>
          <w:rFonts w:hint="eastAsia" w:hAnsi="宋体" w:cs="宋体"/>
          <w:color w:val="auto"/>
          <w:szCs w:val="22"/>
          <w:highlight w:val="none"/>
          <w:lang w:val="zh-CN"/>
        </w:rPr>
        <w:t>对采购活动事项有疑问或有质疑的供应商，应在磋商截止时间两个工作日前，以书面形式提出。采购代理机构将予以答复，涉及变更或修正内容在政府采购发布媒体上发布更正公告，并以书面形式通知所有磋商文件收受人，且作为磋商文件的组成部分。</w:t>
      </w:r>
    </w:p>
    <w:p>
      <w:pPr>
        <w:tabs>
          <w:tab w:val="left" w:pos="720"/>
        </w:tabs>
        <w:spacing w:line="500" w:lineRule="exact"/>
        <w:ind w:firstLine="480" w:firstLineChars="200"/>
        <w:rPr>
          <w:rFonts w:hint="eastAsia" w:hAnsi="宋体" w:cs="宋体"/>
          <w:color w:val="auto"/>
          <w:szCs w:val="22"/>
          <w:highlight w:val="none"/>
        </w:rPr>
      </w:pPr>
      <w:r>
        <w:rPr>
          <w:rFonts w:hint="eastAsia" w:hAnsi="宋体" w:cs="宋体"/>
          <w:color w:val="auto"/>
          <w:szCs w:val="22"/>
          <w:highlight w:val="none"/>
          <w:lang w:val="en-US" w:eastAsia="zh-CN"/>
        </w:rPr>
        <w:t xml:space="preserve">7.4 </w:t>
      </w:r>
      <w:r>
        <w:rPr>
          <w:rFonts w:hint="eastAsia" w:hAnsi="宋体" w:cs="宋体"/>
          <w:color w:val="auto"/>
          <w:szCs w:val="22"/>
          <w:highlight w:val="none"/>
          <w:lang w:val="zh-CN"/>
        </w:rPr>
        <w:t>磋商文件的解释权归采购代理机构。</w:t>
      </w:r>
    </w:p>
    <w:p>
      <w:pPr>
        <w:spacing w:line="500" w:lineRule="exact"/>
        <w:ind w:firstLine="480" w:firstLineChars="200"/>
        <w:rPr>
          <w:rFonts w:hAnsi="宋体" w:cs="宋体"/>
          <w:color w:val="auto"/>
          <w:highlight w:val="none"/>
        </w:rPr>
      </w:pPr>
      <w:r>
        <w:rPr>
          <w:rFonts w:hint="eastAsia" w:hAnsi="宋体" w:cs="宋体"/>
          <w:color w:val="auto"/>
          <w:szCs w:val="24"/>
          <w:highlight w:val="none"/>
        </w:rPr>
        <w:t>7.5</w:t>
      </w:r>
      <w:r>
        <w:rPr>
          <w:rFonts w:hint="eastAsia" w:hAnsi="宋体" w:cs="宋体"/>
          <w:color w:val="auto"/>
          <w:highlight w:val="none"/>
        </w:rPr>
        <w:t>供应商在收到上述通知后，应立即向采购代理机构回函确认。</w:t>
      </w:r>
    </w:p>
    <w:p>
      <w:pPr>
        <w:spacing w:line="500" w:lineRule="exact"/>
        <w:jc w:val="center"/>
        <w:outlineLvl w:val="1"/>
        <w:rPr>
          <w:rFonts w:hAnsi="宋体" w:cs="宋体"/>
          <w:b/>
          <w:color w:val="auto"/>
          <w:sz w:val="32"/>
          <w:szCs w:val="32"/>
          <w:highlight w:val="none"/>
        </w:rPr>
      </w:pPr>
      <w:bookmarkStart w:id="77" w:name="_Toc749"/>
      <w:bookmarkStart w:id="78" w:name="_Toc24410"/>
      <w:bookmarkStart w:id="79" w:name="_Toc1350"/>
      <w:bookmarkStart w:id="80" w:name="_Toc28772"/>
      <w:bookmarkStart w:id="81" w:name="_Toc363473974"/>
      <w:bookmarkStart w:id="82" w:name="_Toc11820"/>
      <w:bookmarkStart w:id="83" w:name="_Toc8039"/>
      <w:bookmarkStart w:id="84" w:name="_Toc4608"/>
      <w:bookmarkStart w:id="85" w:name="_Toc403077641"/>
      <w:bookmarkStart w:id="86" w:name="_Toc363474019"/>
      <w:r>
        <w:rPr>
          <w:rFonts w:hint="eastAsia" w:hAnsi="宋体" w:cs="宋体"/>
          <w:b/>
          <w:color w:val="auto"/>
          <w:sz w:val="32"/>
          <w:szCs w:val="32"/>
          <w:highlight w:val="none"/>
        </w:rPr>
        <w:t>三.</w:t>
      </w:r>
      <w:r>
        <w:rPr>
          <w:rFonts w:hint="eastAsia" w:hAnsi="宋体" w:cs="宋体"/>
          <w:b/>
          <w:color w:val="auto"/>
          <w:sz w:val="32"/>
          <w:szCs w:val="32"/>
          <w:highlight w:val="none"/>
          <w:lang w:eastAsia="zh-CN"/>
        </w:rPr>
        <w:t>响应文件</w:t>
      </w:r>
      <w:r>
        <w:rPr>
          <w:rFonts w:hint="eastAsia" w:hAnsi="宋体" w:cs="宋体"/>
          <w:b/>
          <w:color w:val="auto"/>
          <w:sz w:val="32"/>
          <w:szCs w:val="32"/>
          <w:highlight w:val="none"/>
        </w:rPr>
        <w:t>的编制</w:t>
      </w:r>
      <w:bookmarkEnd w:id="77"/>
      <w:bookmarkEnd w:id="78"/>
      <w:bookmarkEnd w:id="79"/>
      <w:bookmarkEnd w:id="80"/>
      <w:bookmarkEnd w:id="81"/>
      <w:bookmarkEnd w:id="82"/>
      <w:bookmarkEnd w:id="83"/>
      <w:bookmarkEnd w:id="84"/>
      <w:bookmarkEnd w:id="85"/>
      <w:bookmarkEnd w:id="86"/>
    </w:p>
    <w:p>
      <w:pPr>
        <w:spacing w:line="500" w:lineRule="exact"/>
        <w:rPr>
          <w:rFonts w:hAnsi="宋体" w:cs="宋体"/>
          <w:b/>
          <w:color w:val="auto"/>
          <w:szCs w:val="24"/>
          <w:highlight w:val="none"/>
        </w:rPr>
      </w:pPr>
      <w:r>
        <w:rPr>
          <w:rFonts w:hint="eastAsia" w:hAnsi="宋体" w:cs="宋体"/>
          <w:b/>
          <w:color w:val="auto"/>
          <w:szCs w:val="24"/>
          <w:highlight w:val="none"/>
        </w:rPr>
        <w:t>8. 投标语言和投标货币</w:t>
      </w:r>
    </w:p>
    <w:p>
      <w:pPr>
        <w:spacing w:line="500" w:lineRule="exact"/>
        <w:ind w:firstLine="480" w:firstLineChars="200"/>
        <w:rPr>
          <w:rFonts w:hAnsi="宋体" w:cs="宋体"/>
          <w:b/>
          <w:color w:val="auto"/>
          <w:szCs w:val="24"/>
          <w:highlight w:val="none"/>
        </w:rPr>
      </w:pPr>
      <w:r>
        <w:rPr>
          <w:rFonts w:hint="eastAsia" w:hAnsi="宋体" w:cs="宋体"/>
          <w:color w:val="auto"/>
          <w:szCs w:val="24"/>
          <w:highlight w:val="none"/>
        </w:rPr>
        <w:t>8.1供应商提交的</w:t>
      </w:r>
      <w:r>
        <w:rPr>
          <w:rFonts w:hint="eastAsia" w:hAnsi="宋体" w:cs="宋体"/>
          <w:color w:val="auto"/>
          <w:szCs w:val="24"/>
          <w:highlight w:val="none"/>
          <w:lang w:eastAsia="zh-CN"/>
        </w:rPr>
        <w:t>响应文件</w:t>
      </w:r>
      <w:r>
        <w:rPr>
          <w:rFonts w:hint="eastAsia" w:hAnsi="宋体" w:cs="宋体"/>
          <w:color w:val="auto"/>
          <w:szCs w:val="24"/>
          <w:highlight w:val="none"/>
        </w:rPr>
        <w:t>以及供应商与采购代理机构就有关投标的所有来往函电均应使用中文。</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8.2投标应以人民币报价。任何包含非人民币报价的投标将按无效投标处理。</w:t>
      </w:r>
    </w:p>
    <w:p>
      <w:pPr>
        <w:spacing w:line="500" w:lineRule="exact"/>
        <w:rPr>
          <w:rFonts w:hAnsi="宋体" w:cs="宋体"/>
          <w:b/>
          <w:color w:val="auto"/>
          <w:szCs w:val="24"/>
          <w:highlight w:val="none"/>
        </w:rPr>
      </w:pPr>
      <w:r>
        <w:rPr>
          <w:rFonts w:hint="eastAsia" w:hAnsi="宋体" w:cs="宋体"/>
          <w:b/>
          <w:color w:val="auto"/>
          <w:szCs w:val="24"/>
          <w:highlight w:val="none"/>
        </w:rPr>
        <w:t>9.</w:t>
      </w:r>
      <w:r>
        <w:rPr>
          <w:rFonts w:hint="eastAsia" w:hAnsi="宋体" w:cs="宋体"/>
          <w:b/>
          <w:color w:val="auto"/>
          <w:szCs w:val="24"/>
          <w:highlight w:val="none"/>
          <w:lang w:eastAsia="zh-CN"/>
        </w:rPr>
        <w:t>响应文件</w:t>
      </w:r>
      <w:r>
        <w:rPr>
          <w:rFonts w:hint="eastAsia" w:hAnsi="宋体" w:cs="宋体"/>
          <w:b/>
          <w:color w:val="auto"/>
          <w:szCs w:val="24"/>
          <w:highlight w:val="none"/>
        </w:rPr>
        <w:t>的构成</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9.1 供应商提交的</w:t>
      </w:r>
      <w:r>
        <w:rPr>
          <w:rFonts w:hint="eastAsia" w:hAnsi="宋体" w:cs="宋体"/>
          <w:color w:val="auto"/>
          <w:szCs w:val="24"/>
          <w:highlight w:val="none"/>
          <w:lang w:eastAsia="zh-CN"/>
        </w:rPr>
        <w:t>响应文件</w:t>
      </w:r>
      <w:r>
        <w:rPr>
          <w:rFonts w:hint="eastAsia" w:hAnsi="宋体" w:cs="宋体"/>
          <w:color w:val="auto"/>
          <w:szCs w:val="24"/>
          <w:highlight w:val="none"/>
        </w:rPr>
        <w:t>应包括下列部分的内容：</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（1）按照供应商须知的要求和</w:t>
      </w:r>
      <w:r>
        <w:rPr>
          <w:rFonts w:hint="eastAsia" w:hAnsi="宋体" w:cs="宋体"/>
          <w:color w:val="auto"/>
          <w:szCs w:val="24"/>
          <w:highlight w:val="none"/>
          <w:lang w:eastAsia="zh-CN"/>
        </w:rPr>
        <w:t>竞争性磋商文件</w:t>
      </w:r>
      <w:r>
        <w:rPr>
          <w:rFonts w:hint="eastAsia" w:hAnsi="宋体" w:cs="宋体"/>
          <w:color w:val="auto"/>
          <w:szCs w:val="24"/>
          <w:highlight w:val="none"/>
        </w:rPr>
        <w:t>规定的格式填写的</w:t>
      </w:r>
      <w:r>
        <w:rPr>
          <w:rFonts w:hint="eastAsia" w:hAnsi="宋体" w:cs="宋体"/>
          <w:color w:val="auto"/>
          <w:szCs w:val="24"/>
          <w:highlight w:val="none"/>
          <w:lang w:eastAsia="zh-CN"/>
        </w:rPr>
        <w:t>磋商响应函</w:t>
      </w:r>
      <w:r>
        <w:rPr>
          <w:rFonts w:hint="eastAsia" w:hAnsi="宋体" w:cs="宋体"/>
          <w:color w:val="auto"/>
          <w:szCs w:val="24"/>
          <w:highlight w:val="none"/>
        </w:rPr>
        <w:t>、</w:t>
      </w:r>
      <w:r>
        <w:rPr>
          <w:rFonts w:hint="eastAsia" w:hAnsi="宋体" w:cs="宋体"/>
          <w:color w:val="auto"/>
          <w:szCs w:val="24"/>
          <w:highlight w:val="none"/>
          <w:lang w:eastAsia="zh-CN"/>
        </w:rPr>
        <w:t>首次磋商报价表</w:t>
      </w:r>
      <w:r>
        <w:rPr>
          <w:rFonts w:hint="eastAsia" w:hAnsi="宋体" w:cs="宋体"/>
          <w:color w:val="auto"/>
          <w:szCs w:val="24"/>
          <w:highlight w:val="none"/>
        </w:rPr>
        <w:t>、法定代表人授权书。</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（2）按照</w:t>
      </w:r>
      <w:r>
        <w:rPr>
          <w:rFonts w:hint="eastAsia" w:hAnsi="宋体" w:cs="宋体"/>
          <w:color w:val="auto"/>
          <w:szCs w:val="24"/>
          <w:highlight w:val="none"/>
          <w:lang w:eastAsia="zh-CN"/>
        </w:rPr>
        <w:t>竞争性磋商文件</w:t>
      </w:r>
      <w:r>
        <w:rPr>
          <w:rFonts w:hint="eastAsia" w:hAnsi="宋体" w:cs="宋体"/>
          <w:color w:val="auto"/>
          <w:szCs w:val="24"/>
          <w:highlight w:val="none"/>
        </w:rPr>
        <w:t>的要求编制的</w:t>
      </w:r>
      <w:r>
        <w:rPr>
          <w:rFonts w:hint="eastAsia" w:hAnsi="宋体" w:cs="宋体"/>
          <w:color w:val="auto"/>
          <w:szCs w:val="24"/>
          <w:highlight w:val="none"/>
          <w:lang w:eastAsia="zh-CN"/>
        </w:rPr>
        <w:t>磋商响应</w:t>
      </w:r>
      <w:r>
        <w:rPr>
          <w:rFonts w:hint="eastAsia" w:hAnsi="宋体" w:cs="宋体"/>
          <w:color w:val="auto"/>
          <w:szCs w:val="24"/>
          <w:highlight w:val="none"/>
        </w:rPr>
        <w:t>方案说明书</w:t>
      </w:r>
      <w:r>
        <w:rPr>
          <w:rFonts w:hint="eastAsia" w:hAnsi="宋体" w:cs="宋体"/>
          <w:color w:val="auto"/>
          <w:szCs w:val="24"/>
          <w:highlight w:val="none"/>
          <w:lang w:eastAsia="zh-CN"/>
        </w:rPr>
        <w:t>、商务规格偏离表、技术规格偏离表、供应商承诺书</w:t>
      </w:r>
      <w:r>
        <w:rPr>
          <w:rFonts w:hint="eastAsia" w:hAnsi="宋体" w:cs="宋体"/>
          <w:color w:val="auto"/>
          <w:szCs w:val="24"/>
          <w:highlight w:val="none"/>
        </w:rPr>
        <w:t>等。</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（3）按照</w:t>
      </w:r>
      <w:r>
        <w:rPr>
          <w:rFonts w:hint="eastAsia" w:hAnsi="宋体" w:cs="宋体"/>
          <w:color w:val="auto"/>
          <w:szCs w:val="24"/>
          <w:highlight w:val="none"/>
          <w:lang w:eastAsia="zh-CN"/>
        </w:rPr>
        <w:t>竞争性磋商文件</w:t>
      </w:r>
      <w:r>
        <w:rPr>
          <w:rFonts w:hint="eastAsia" w:hAnsi="宋体" w:cs="宋体"/>
          <w:color w:val="auto"/>
          <w:szCs w:val="24"/>
          <w:highlight w:val="none"/>
        </w:rPr>
        <w:t xml:space="preserve">供应商须知前附表的要求提交的资格证明文件；  </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4</w:t>
      </w:r>
      <w:r>
        <w:rPr>
          <w:rFonts w:hint="eastAsia" w:hAnsi="宋体" w:cs="宋体"/>
          <w:color w:val="auto"/>
          <w:szCs w:val="24"/>
          <w:highlight w:val="none"/>
        </w:rPr>
        <w:t>）</w:t>
      </w:r>
      <w:r>
        <w:rPr>
          <w:rFonts w:hint="eastAsia" w:hAnsi="宋体" w:cs="宋体"/>
          <w:color w:val="auto"/>
          <w:szCs w:val="24"/>
          <w:highlight w:val="none"/>
          <w:lang w:eastAsia="zh-CN"/>
        </w:rPr>
        <w:t>竞争性磋商文件</w:t>
      </w:r>
      <w:r>
        <w:rPr>
          <w:rFonts w:hint="eastAsia" w:hAnsi="宋体" w:cs="宋体"/>
          <w:color w:val="auto"/>
          <w:szCs w:val="24"/>
          <w:highlight w:val="none"/>
        </w:rPr>
        <w:t>中要求的其他证明文件。</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9.2 如果在</w:t>
      </w:r>
      <w:r>
        <w:rPr>
          <w:rFonts w:hint="eastAsia" w:hAnsi="宋体" w:cs="宋体"/>
          <w:color w:val="auto"/>
          <w:szCs w:val="24"/>
          <w:highlight w:val="none"/>
          <w:lang w:eastAsia="zh-CN"/>
        </w:rPr>
        <w:t>竞争性磋商文件</w:t>
      </w:r>
      <w:r>
        <w:rPr>
          <w:rFonts w:hint="eastAsia" w:hAnsi="宋体" w:cs="宋体"/>
          <w:color w:val="auto"/>
          <w:szCs w:val="24"/>
          <w:highlight w:val="none"/>
        </w:rPr>
        <w:t>中没有允许提供备选方案，则每个供应商只允许提交一个投标方案，否则，其投标将按照无效投标处理。</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9.3 本次投标的最小单元为“项目”，供应商可根据自身的资质情况和经营范围进行投标，但不得将其子目自行分解或针对品目进行不完全投标，任何不完全的投标将按无效投标处理。</w:t>
      </w:r>
    </w:p>
    <w:p>
      <w:pPr>
        <w:spacing w:line="500" w:lineRule="exact"/>
        <w:rPr>
          <w:rFonts w:hAnsi="宋体" w:cs="宋体"/>
          <w:b/>
          <w:color w:val="auto"/>
          <w:szCs w:val="24"/>
          <w:highlight w:val="none"/>
        </w:rPr>
      </w:pPr>
      <w:r>
        <w:rPr>
          <w:rFonts w:hint="eastAsia" w:hAnsi="宋体" w:cs="宋体"/>
          <w:b/>
          <w:color w:val="auto"/>
          <w:szCs w:val="24"/>
          <w:highlight w:val="none"/>
        </w:rPr>
        <w:t>10.</w:t>
      </w:r>
      <w:r>
        <w:rPr>
          <w:rFonts w:hint="eastAsia" w:hAnsi="宋体" w:cs="宋体"/>
          <w:b/>
          <w:color w:val="auto"/>
          <w:szCs w:val="24"/>
          <w:highlight w:val="none"/>
          <w:lang w:eastAsia="zh-CN"/>
        </w:rPr>
        <w:t>响应文件</w:t>
      </w:r>
      <w:r>
        <w:rPr>
          <w:rFonts w:hint="eastAsia" w:hAnsi="宋体" w:cs="宋体"/>
          <w:b/>
          <w:color w:val="auto"/>
          <w:szCs w:val="24"/>
          <w:highlight w:val="none"/>
        </w:rPr>
        <w:t>格式</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10.1 供应商应按照</w:t>
      </w:r>
      <w:r>
        <w:rPr>
          <w:rFonts w:hint="eastAsia" w:hAnsi="宋体" w:cs="宋体"/>
          <w:color w:val="auto"/>
          <w:szCs w:val="24"/>
          <w:highlight w:val="none"/>
          <w:lang w:eastAsia="zh-CN"/>
        </w:rPr>
        <w:t>竞争性磋商文件</w:t>
      </w:r>
      <w:r>
        <w:rPr>
          <w:rFonts w:hint="eastAsia" w:hAnsi="宋体" w:cs="宋体"/>
          <w:color w:val="auto"/>
          <w:szCs w:val="24"/>
          <w:highlight w:val="none"/>
        </w:rPr>
        <w:t>中第六章所提供的格式和要求制作</w:t>
      </w:r>
      <w:r>
        <w:rPr>
          <w:rFonts w:hint="eastAsia" w:hAnsi="宋体" w:cs="宋体"/>
          <w:color w:val="auto"/>
          <w:szCs w:val="24"/>
          <w:highlight w:val="none"/>
          <w:lang w:eastAsia="zh-CN"/>
        </w:rPr>
        <w:t>响应文件</w:t>
      </w:r>
      <w:r>
        <w:rPr>
          <w:rFonts w:hint="eastAsia" w:hAnsi="宋体" w:cs="宋体"/>
          <w:color w:val="auto"/>
          <w:szCs w:val="24"/>
          <w:highlight w:val="none"/>
        </w:rPr>
        <w:t>，明确表达投标意愿，详细说明投标方案、承诺及价格。</w:t>
      </w:r>
    </w:p>
    <w:p>
      <w:pPr>
        <w:spacing w:line="500" w:lineRule="exact"/>
        <w:ind w:firstLine="480" w:firstLineChars="200"/>
        <w:rPr>
          <w:rFonts w:hint="eastAsia" w:hAnsi="宋体" w:cs="宋体"/>
          <w:color w:val="auto"/>
          <w:szCs w:val="24"/>
          <w:highlight w:val="none"/>
        </w:rPr>
      </w:pPr>
      <w:r>
        <w:rPr>
          <w:rFonts w:hint="eastAsia" w:hAnsi="宋体" w:cs="宋体"/>
          <w:color w:val="auto"/>
          <w:szCs w:val="24"/>
          <w:highlight w:val="none"/>
        </w:rPr>
        <w:t>10.2按</w:t>
      </w:r>
      <w:r>
        <w:rPr>
          <w:rFonts w:hint="eastAsia" w:hAnsi="宋体" w:cs="宋体"/>
          <w:color w:val="auto"/>
          <w:szCs w:val="24"/>
          <w:highlight w:val="none"/>
          <w:lang w:eastAsia="zh-CN"/>
        </w:rPr>
        <w:t>竞争性磋商文件</w:t>
      </w:r>
      <w:r>
        <w:rPr>
          <w:rFonts w:hint="eastAsia" w:hAnsi="宋体" w:cs="宋体"/>
          <w:color w:val="auto"/>
          <w:szCs w:val="24"/>
          <w:highlight w:val="none"/>
        </w:rPr>
        <w:t>第六章提供的格式和要求编写其</w:t>
      </w:r>
      <w:r>
        <w:rPr>
          <w:rFonts w:hint="eastAsia" w:hAnsi="宋体" w:cs="宋体"/>
          <w:color w:val="auto"/>
          <w:szCs w:val="24"/>
          <w:highlight w:val="none"/>
          <w:lang w:eastAsia="zh-CN"/>
        </w:rPr>
        <w:t>响应文件</w:t>
      </w:r>
      <w:r>
        <w:rPr>
          <w:rFonts w:hint="eastAsia" w:hAnsi="宋体" w:cs="宋体"/>
          <w:color w:val="auto"/>
          <w:szCs w:val="24"/>
          <w:highlight w:val="none"/>
        </w:rPr>
        <w:t>，供应商不得缺少或留空任何</w:t>
      </w:r>
      <w:r>
        <w:rPr>
          <w:rFonts w:hint="eastAsia" w:hAnsi="宋体" w:cs="宋体"/>
          <w:color w:val="auto"/>
          <w:szCs w:val="24"/>
          <w:highlight w:val="none"/>
          <w:lang w:eastAsia="zh-CN"/>
        </w:rPr>
        <w:t>竞争性磋商文件</w:t>
      </w:r>
      <w:r>
        <w:rPr>
          <w:rFonts w:hint="eastAsia" w:hAnsi="宋体" w:cs="宋体"/>
          <w:color w:val="auto"/>
          <w:szCs w:val="24"/>
          <w:highlight w:val="none"/>
        </w:rPr>
        <w:t>要求填写的表格或提交的资料。</w:t>
      </w:r>
    </w:p>
    <w:p>
      <w:pPr>
        <w:spacing w:line="500" w:lineRule="exact"/>
        <w:rPr>
          <w:rFonts w:hAnsi="宋体" w:cs="宋体"/>
          <w:b/>
          <w:color w:val="auto"/>
          <w:szCs w:val="24"/>
          <w:highlight w:val="none"/>
        </w:rPr>
      </w:pPr>
      <w:r>
        <w:rPr>
          <w:rFonts w:hint="eastAsia" w:hAnsi="宋体" w:cs="宋体"/>
          <w:b/>
          <w:color w:val="auto"/>
          <w:szCs w:val="24"/>
          <w:highlight w:val="none"/>
        </w:rPr>
        <w:t>11.投标报价</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11.1投标报价：供应商应在投标报价表中标明完成本次招标所要求的货物、服务且验收合格的所有费用，包括但不限于产品费（含相关配件、附件、安装材料）、安装调试费、运杂费（含保险）、仓储保管费、技术培训费、检测费、招标代理服务费、税金等其他一切相关费用。投标报价表中标明本次货物、服务的所有单项价格和总价，任何有选择的报价将不予接受，否则按无效投标处理。</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11.2投标报价表中标明的价格应为履行合同的固定价格，不得以任何理由予以变更。以可调整的价格提交的</w:t>
      </w:r>
      <w:r>
        <w:rPr>
          <w:rFonts w:hint="eastAsia" w:hAnsi="宋体" w:cs="宋体"/>
          <w:color w:val="auto"/>
          <w:szCs w:val="24"/>
          <w:highlight w:val="none"/>
          <w:lang w:eastAsia="zh-CN"/>
        </w:rPr>
        <w:t>响应文件</w:t>
      </w:r>
      <w:r>
        <w:rPr>
          <w:rFonts w:hint="eastAsia" w:hAnsi="宋体" w:cs="宋体"/>
          <w:color w:val="auto"/>
          <w:szCs w:val="24"/>
          <w:highlight w:val="none"/>
        </w:rPr>
        <w:t>将按无效投标处理。</w:t>
      </w:r>
    </w:p>
    <w:p>
      <w:pPr>
        <w:keepNext w:val="0"/>
        <w:keepLines w:val="0"/>
        <w:pageBreakBefore w:val="0"/>
        <w:kinsoku/>
        <w:overflowPunct/>
        <w:topLinePunct w:val="0"/>
        <w:autoSpaceDE/>
        <w:autoSpaceDN/>
        <w:bidi w:val="0"/>
        <w:adjustRightInd/>
        <w:snapToGrid/>
        <w:spacing w:line="500" w:lineRule="exact"/>
        <w:textAlignment w:val="auto"/>
        <w:rPr>
          <w:rFonts w:hint="eastAsia" w:hAnsi="宋体" w:cs="宋体"/>
          <w:b/>
          <w:color w:val="auto"/>
          <w:szCs w:val="24"/>
          <w:highlight w:val="none"/>
        </w:rPr>
      </w:pPr>
      <w:r>
        <w:rPr>
          <w:rFonts w:hint="eastAsia" w:hAnsi="宋体" w:cs="宋体"/>
          <w:b/>
          <w:color w:val="auto"/>
          <w:szCs w:val="24"/>
          <w:highlight w:val="none"/>
        </w:rPr>
        <w:t>12.证明供应商合格和资格的文件</w:t>
      </w:r>
    </w:p>
    <w:p>
      <w:pPr>
        <w:spacing w:line="500" w:lineRule="exact"/>
        <w:ind w:firstLine="480" w:firstLineChars="200"/>
        <w:rPr>
          <w:rFonts w:hint="eastAsia" w:hAnsi="宋体" w:cs="宋体"/>
          <w:color w:val="auto"/>
          <w:szCs w:val="24"/>
          <w:highlight w:val="none"/>
          <w:lang w:val="en-US" w:eastAsia="zh-CN"/>
        </w:rPr>
      </w:pPr>
      <w:r>
        <w:rPr>
          <w:rFonts w:hint="eastAsia" w:hAnsi="宋体" w:cs="宋体"/>
          <w:color w:val="auto"/>
          <w:szCs w:val="24"/>
          <w:highlight w:val="none"/>
        </w:rPr>
        <w:t>（1）具有独立承担民事责任能力的法人、其他组织或自然人，并出具合法有效的营业执照，自然人参与的提供其身份证明；</w:t>
      </w:r>
      <w:r>
        <w:rPr>
          <w:rFonts w:hint="eastAsia" w:hAnsi="宋体" w:cs="宋体"/>
          <w:color w:val="auto"/>
          <w:szCs w:val="24"/>
          <w:highlight w:val="none"/>
        </w:rPr>
        <w:br w:type="textWrapping"/>
      </w:r>
      <w:r>
        <w:rPr>
          <w:rFonts w:hint="eastAsia" w:hAnsi="宋体" w:cs="宋体"/>
          <w:color w:val="auto"/>
          <w:szCs w:val="24"/>
          <w:highlight w:val="none"/>
          <w:lang w:val="en-US" w:eastAsia="zh-CN"/>
        </w:rPr>
        <w:t xml:space="preserve">    </w:t>
      </w:r>
      <w:r>
        <w:rPr>
          <w:rFonts w:hint="eastAsia" w:hAnsi="宋体" w:cs="宋体"/>
          <w:color w:val="auto"/>
          <w:szCs w:val="24"/>
          <w:highlight w:val="none"/>
        </w:rPr>
        <w:t>（2）提供法定代表人授权书（附法定代表人、被授权人身份证复印件）及被授权人身份证（法定代表人参加磋商只需提供身份证）；</w:t>
      </w:r>
      <w:r>
        <w:rPr>
          <w:rFonts w:hint="eastAsia" w:hAnsi="宋体" w:cs="宋体"/>
          <w:color w:val="auto"/>
          <w:szCs w:val="24"/>
          <w:highlight w:val="none"/>
        </w:rPr>
        <w:br w:type="textWrapping"/>
      </w:r>
      <w:r>
        <w:rPr>
          <w:rFonts w:hint="eastAsia" w:hAnsi="宋体" w:cs="宋体"/>
          <w:color w:val="auto"/>
          <w:szCs w:val="24"/>
          <w:highlight w:val="none"/>
          <w:lang w:val="en-US" w:eastAsia="zh-CN"/>
        </w:rPr>
        <w:t xml:space="preserve">    </w:t>
      </w:r>
      <w:r>
        <w:rPr>
          <w:rFonts w:hint="eastAsia" w:hAnsi="宋体" w:cs="宋体"/>
          <w:color w:val="auto"/>
          <w:szCs w:val="24"/>
          <w:highlight w:val="none"/>
        </w:rPr>
        <w:t>（3）供应商为制造厂家的需提供医疗器械生产许可证或医疗器械生产备案凭证；供应商为经销商的需提供医疗器械经营许可证或医疗器械经营备案凭证及生产厂家的医疗器械生产许可证或医疗器械生产备案凭证，提供所投产品的医疗器械产品注册证；</w:t>
      </w:r>
      <w:r>
        <w:rPr>
          <w:rFonts w:hint="eastAsia" w:hAnsi="宋体" w:cs="宋体"/>
          <w:color w:val="auto"/>
          <w:szCs w:val="24"/>
          <w:highlight w:val="none"/>
        </w:rPr>
        <w:br w:type="textWrapping"/>
      </w:r>
      <w:r>
        <w:rPr>
          <w:rFonts w:hint="eastAsia" w:hAnsi="宋体" w:cs="宋体"/>
          <w:color w:val="auto"/>
          <w:szCs w:val="24"/>
          <w:highlight w:val="none"/>
          <w:lang w:val="en-US" w:eastAsia="zh-CN"/>
        </w:rPr>
        <w:t xml:space="preserve">    </w:t>
      </w:r>
      <w:r>
        <w:rPr>
          <w:rFonts w:hint="eastAsia" w:hAnsi="宋体" w:cs="宋体"/>
          <w:color w:val="auto"/>
          <w:szCs w:val="24"/>
          <w:highlight w:val="none"/>
        </w:rPr>
        <w:t>（4）财务状况：提供2022年度的财务审计报告（至少包括资产负债表和利润表，成立时间至提交响应文件截止时间不足一年的可提供成立后任意时段的资产负债表），或其基本存款账户开户银行出具的资信证明；</w:t>
      </w:r>
      <w:r>
        <w:rPr>
          <w:rFonts w:hint="eastAsia" w:hAnsi="宋体" w:cs="宋体"/>
          <w:color w:val="auto"/>
          <w:szCs w:val="24"/>
          <w:highlight w:val="none"/>
        </w:rPr>
        <w:br w:type="textWrapping"/>
      </w:r>
      <w:r>
        <w:rPr>
          <w:rFonts w:hint="eastAsia" w:hAnsi="宋体" w:cs="宋体"/>
          <w:color w:val="auto"/>
          <w:szCs w:val="24"/>
          <w:highlight w:val="none"/>
          <w:lang w:val="en-US" w:eastAsia="zh-CN"/>
        </w:rPr>
        <w:t xml:space="preserve">    </w:t>
      </w:r>
      <w:r>
        <w:rPr>
          <w:rFonts w:hint="eastAsia" w:hAnsi="宋体" w:cs="宋体"/>
          <w:color w:val="auto"/>
          <w:szCs w:val="24"/>
          <w:highlight w:val="none"/>
        </w:rPr>
        <w:t>（5）税收缴纳证明：提供磋商截止日前近一年内任意一个月的纳税证明或完税证明（任意税种），依法免税的单位应提供相关证明材料；</w:t>
      </w:r>
      <w:r>
        <w:rPr>
          <w:rFonts w:hint="eastAsia" w:hAnsi="宋体" w:cs="宋体"/>
          <w:color w:val="auto"/>
          <w:szCs w:val="24"/>
          <w:highlight w:val="none"/>
        </w:rPr>
        <w:br w:type="textWrapping"/>
      </w:r>
      <w:r>
        <w:rPr>
          <w:rFonts w:hint="eastAsia" w:hAnsi="宋体" w:cs="宋体"/>
          <w:color w:val="auto"/>
          <w:szCs w:val="24"/>
          <w:highlight w:val="none"/>
          <w:lang w:val="en-US" w:eastAsia="zh-CN"/>
        </w:rPr>
        <w:t xml:space="preserve">    </w:t>
      </w:r>
      <w:r>
        <w:rPr>
          <w:rFonts w:hint="eastAsia" w:hAnsi="宋体" w:cs="宋体"/>
          <w:color w:val="auto"/>
          <w:szCs w:val="24"/>
          <w:highlight w:val="none"/>
        </w:rPr>
        <w:t>（6）社会保障资金缴纳证明：提供磋商截止日前近一年内任意一个月的社会保障资金缴存单据或社保机构开具的社会保险参保缴费情况证明，依法不需要缴纳社会保障资金的单位应提供相关证明材料；</w:t>
      </w:r>
      <w:r>
        <w:rPr>
          <w:rFonts w:hint="eastAsia" w:hAnsi="宋体" w:cs="宋体"/>
          <w:color w:val="auto"/>
          <w:szCs w:val="24"/>
          <w:highlight w:val="none"/>
        </w:rPr>
        <w:br w:type="textWrapping"/>
      </w:r>
      <w:r>
        <w:rPr>
          <w:rFonts w:hint="eastAsia" w:hAnsi="宋体" w:cs="宋体"/>
          <w:color w:val="auto"/>
          <w:szCs w:val="24"/>
          <w:highlight w:val="none"/>
          <w:lang w:val="en-US" w:eastAsia="zh-CN"/>
        </w:rPr>
        <w:t xml:space="preserve">    </w:t>
      </w:r>
      <w:r>
        <w:rPr>
          <w:rFonts w:hint="eastAsia" w:hAnsi="宋体" w:cs="宋体"/>
          <w:color w:val="auto"/>
          <w:szCs w:val="24"/>
          <w:highlight w:val="none"/>
        </w:rPr>
        <w:t>（7）近三年内，在经营活动中没有重大违规记录或被起诉的行为声明；</w:t>
      </w:r>
      <w:r>
        <w:rPr>
          <w:rFonts w:hint="eastAsia" w:hAnsi="宋体" w:cs="宋体"/>
          <w:color w:val="auto"/>
          <w:szCs w:val="24"/>
          <w:highlight w:val="none"/>
        </w:rPr>
        <w:br w:type="textWrapping"/>
      </w:r>
      <w:r>
        <w:rPr>
          <w:rFonts w:hint="eastAsia" w:hAnsi="宋体" w:cs="宋体"/>
          <w:color w:val="auto"/>
          <w:szCs w:val="24"/>
          <w:highlight w:val="none"/>
          <w:lang w:val="en-US" w:eastAsia="zh-CN"/>
        </w:rPr>
        <w:t xml:space="preserve">    </w:t>
      </w:r>
      <w:r>
        <w:rPr>
          <w:rFonts w:hint="eastAsia" w:hAnsi="宋体" w:cs="宋体"/>
          <w:color w:val="auto"/>
          <w:szCs w:val="24"/>
          <w:highlight w:val="none"/>
        </w:rPr>
        <w:t>（8）供应商须提供具有履行合同所必需的设备和专业技术能力的承诺函；</w:t>
      </w:r>
      <w:r>
        <w:rPr>
          <w:rFonts w:hint="eastAsia" w:hAnsi="宋体" w:cs="宋体"/>
          <w:color w:val="auto"/>
          <w:szCs w:val="24"/>
          <w:highlight w:val="none"/>
        </w:rPr>
        <w:br w:type="textWrapping"/>
      </w:r>
      <w:r>
        <w:rPr>
          <w:rFonts w:hint="eastAsia" w:hAnsi="宋体" w:cs="宋体"/>
          <w:color w:val="auto"/>
          <w:szCs w:val="24"/>
          <w:highlight w:val="none"/>
          <w:lang w:val="en-US" w:eastAsia="zh-CN"/>
        </w:rPr>
        <w:t xml:space="preserve">    </w:t>
      </w:r>
      <w:r>
        <w:rPr>
          <w:rFonts w:hint="eastAsia" w:hAnsi="宋体" w:cs="宋体"/>
          <w:color w:val="auto"/>
          <w:szCs w:val="24"/>
          <w:highlight w:val="none"/>
        </w:rPr>
        <w:t>（9）供应商不得为“中国执行信息公开网（zxgk.court.gov.cn）”被列入失信被执行人名单；“信用中国（www.creditchina.gov.cn）”重大税收违法失信主体名单，不得为“中国政府采购网（www.ccgp.gov.cn）”被列入政府采购严重违法失信行为记录名单（提供加盖公章的网页截图）。</w:t>
      </w:r>
      <w:r>
        <w:rPr>
          <w:rFonts w:hint="eastAsia" w:hAnsi="宋体" w:cs="宋体"/>
          <w:color w:val="auto"/>
          <w:szCs w:val="24"/>
          <w:highlight w:val="none"/>
        </w:rPr>
        <w:br w:type="textWrapping"/>
      </w:r>
      <w:r>
        <w:rPr>
          <w:rFonts w:hint="eastAsia" w:hAnsi="宋体" w:cs="宋体"/>
          <w:color w:val="auto"/>
          <w:szCs w:val="24"/>
          <w:highlight w:val="none"/>
          <w:lang w:val="en-US" w:eastAsia="zh-CN"/>
        </w:rPr>
        <w:t xml:space="preserve">    </w:t>
      </w:r>
      <w:r>
        <w:rPr>
          <w:rFonts w:hint="eastAsia" w:hAnsi="宋体" w:cs="宋体"/>
          <w:color w:val="auto"/>
          <w:szCs w:val="24"/>
          <w:highlight w:val="none"/>
        </w:rPr>
        <w:t>（10）本项目专门面向中小企业采购，非中小企业单位（监狱企业、残疾人福利单位除外）不得参与投标（提供中小企业声明函）。</w:t>
      </w:r>
    </w:p>
    <w:p>
      <w:pPr>
        <w:spacing w:line="500" w:lineRule="exact"/>
        <w:rPr>
          <w:rFonts w:hAnsi="宋体" w:cs="宋体"/>
          <w:color w:val="auto"/>
          <w:highlight w:val="none"/>
        </w:rPr>
      </w:pPr>
      <w:r>
        <w:rPr>
          <w:rFonts w:hint="eastAsia" w:hAnsi="宋体" w:cs="宋体"/>
          <w:b/>
          <w:color w:val="auto"/>
          <w:szCs w:val="24"/>
          <w:highlight w:val="none"/>
        </w:rPr>
        <w:t>13.证明货物（含伴随服务）符合</w:t>
      </w:r>
      <w:r>
        <w:rPr>
          <w:rFonts w:hint="eastAsia" w:hAnsi="宋体" w:cs="宋体"/>
          <w:b/>
          <w:color w:val="auto"/>
          <w:szCs w:val="24"/>
          <w:highlight w:val="none"/>
          <w:lang w:eastAsia="zh-CN"/>
        </w:rPr>
        <w:t>竞争性磋商文件</w:t>
      </w:r>
      <w:r>
        <w:rPr>
          <w:rFonts w:hint="eastAsia" w:hAnsi="宋体" w:cs="宋体"/>
          <w:b/>
          <w:color w:val="auto"/>
          <w:szCs w:val="24"/>
          <w:highlight w:val="none"/>
        </w:rPr>
        <w:t>规定的文件</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13.1供应商应在</w:t>
      </w:r>
      <w:r>
        <w:rPr>
          <w:rFonts w:hint="eastAsia" w:hAnsi="宋体" w:cs="宋体"/>
          <w:color w:val="auto"/>
          <w:szCs w:val="24"/>
          <w:highlight w:val="none"/>
          <w:lang w:eastAsia="zh-CN"/>
        </w:rPr>
        <w:t>响应文件</w:t>
      </w:r>
      <w:r>
        <w:rPr>
          <w:rFonts w:hint="eastAsia" w:hAnsi="宋体" w:cs="宋体"/>
          <w:color w:val="auto"/>
          <w:szCs w:val="24"/>
          <w:highlight w:val="none"/>
        </w:rPr>
        <w:t>中提交产品和服务满足</w:t>
      </w:r>
      <w:r>
        <w:rPr>
          <w:rFonts w:hint="eastAsia" w:hAnsi="宋体" w:cs="宋体"/>
          <w:color w:val="auto"/>
          <w:szCs w:val="24"/>
          <w:highlight w:val="none"/>
          <w:lang w:eastAsia="zh-CN"/>
        </w:rPr>
        <w:t>竞争性磋商文件</w:t>
      </w:r>
      <w:r>
        <w:rPr>
          <w:rFonts w:hint="eastAsia" w:hAnsi="宋体" w:cs="宋体"/>
          <w:color w:val="auto"/>
          <w:szCs w:val="24"/>
          <w:highlight w:val="none"/>
        </w:rPr>
        <w:t>要求并符合国家法律法规、行业管理部门要求的其他强制性标准的证明文件。缺少证明文件或证明文件不合格的投标，与</w:t>
      </w:r>
      <w:r>
        <w:rPr>
          <w:rFonts w:hint="eastAsia" w:hAnsi="宋体" w:cs="宋体"/>
          <w:color w:val="auto"/>
          <w:szCs w:val="24"/>
          <w:highlight w:val="none"/>
          <w:lang w:eastAsia="zh-CN"/>
        </w:rPr>
        <w:t>竞争性磋商文件</w:t>
      </w:r>
      <w:r>
        <w:rPr>
          <w:rFonts w:hint="eastAsia" w:hAnsi="宋体" w:cs="宋体"/>
          <w:color w:val="auto"/>
          <w:szCs w:val="24"/>
          <w:highlight w:val="none"/>
        </w:rPr>
        <w:t>要求有重大偏离的投标，不符合国家法律法规、行业管理部门要求的其他强制性标准的投标将按无效投标处理。</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13.2上述证明文件可以是文字资料、图纸、图片、数据、宣传彩页等，所有证明文件表达意思必须统一（如需供应商提供样品，样品必须与</w:t>
      </w:r>
      <w:r>
        <w:rPr>
          <w:rFonts w:hint="eastAsia" w:hAnsi="宋体" w:cs="宋体"/>
          <w:color w:val="auto"/>
          <w:szCs w:val="24"/>
          <w:highlight w:val="none"/>
          <w:lang w:eastAsia="zh-CN"/>
        </w:rPr>
        <w:t>响应文件</w:t>
      </w:r>
      <w:r>
        <w:rPr>
          <w:rFonts w:hint="eastAsia" w:hAnsi="宋体" w:cs="宋体"/>
          <w:color w:val="auto"/>
          <w:szCs w:val="24"/>
          <w:highlight w:val="none"/>
        </w:rPr>
        <w:t>的表述完全符合）。包括：</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（1)产品主要技术指标和性能的详细说明；</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（2）生产厂家出具的、相应的产品功能证明材料（包括但不限于测试报告、官网和功能截图等）；</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（3)逐条对</w:t>
      </w:r>
      <w:r>
        <w:rPr>
          <w:rFonts w:hint="eastAsia" w:hAnsi="宋体" w:cs="宋体"/>
          <w:color w:val="auto"/>
          <w:szCs w:val="24"/>
          <w:highlight w:val="none"/>
          <w:lang w:eastAsia="zh-CN"/>
        </w:rPr>
        <w:t>竞争性磋商文件</w:t>
      </w:r>
      <w:r>
        <w:rPr>
          <w:rFonts w:hint="eastAsia" w:hAnsi="宋体" w:cs="宋体"/>
          <w:color w:val="auto"/>
          <w:szCs w:val="24"/>
          <w:highlight w:val="none"/>
        </w:rPr>
        <w:t>提出的技术要求和商务要求进行应答，说明所提供的产品和服务对招标的技术和商务要求是否做出了实质性响应并提供支持文件；</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lang w:eastAsia="zh-CN"/>
        </w:rPr>
        <w:t>（</w:t>
      </w:r>
      <w:r>
        <w:rPr>
          <w:rFonts w:hint="eastAsia" w:hAnsi="宋体" w:cs="宋体"/>
          <w:color w:val="auto"/>
          <w:szCs w:val="24"/>
          <w:highlight w:val="none"/>
          <w:lang w:val="en-US" w:eastAsia="zh-CN"/>
        </w:rPr>
        <w:t>4</w:t>
      </w:r>
      <w:r>
        <w:rPr>
          <w:rFonts w:hint="eastAsia" w:hAnsi="宋体" w:cs="宋体"/>
          <w:color w:val="auto"/>
          <w:szCs w:val="24"/>
          <w:highlight w:val="none"/>
          <w:lang w:eastAsia="zh-CN"/>
        </w:rPr>
        <w:t>）</w:t>
      </w:r>
      <w:r>
        <w:rPr>
          <w:rFonts w:hint="eastAsia" w:hAnsi="宋体" w:cs="宋体"/>
          <w:color w:val="auto"/>
          <w:szCs w:val="24"/>
          <w:highlight w:val="none"/>
        </w:rPr>
        <w:t>供货范围和服务内容的详细说明。</w:t>
      </w:r>
    </w:p>
    <w:p>
      <w:pPr>
        <w:spacing w:line="500" w:lineRule="exact"/>
        <w:rPr>
          <w:rFonts w:hint="eastAsia" w:hAnsi="宋体" w:eastAsia="宋体" w:cs="宋体"/>
          <w:b/>
          <w:color w:val="auto"/>
          <w:szCs w:val="24"/>
          <w:highlight w:val="none"/>
          <w:lang w:eastAsia="zh-CN"/>
        </w:rPr>
      </w:pPr>
      <w:r>
        <w:rPr>
          <w:rFonts w:hint="eastAsia" w:hAnsi="宋体" w:cs="宋体"/>
          <w:b/>
          <w:color w:val="auto"/>
          <w:szCs w:val="24"/>
          <w:highlight w:val="none"/>
        </w:rPr>
        <w:t>14.</w:t>
      </w:r>
      <w:r>
        <w:rPr>
          <w:rFonts w:hint="eastAsia" w:hAnsi="宋体" w:cs="宋体"/>
          <w:b/>
          <w:color w:val="auto"/>
          <w:szCs w:val="24"/>
          <w:highlight w:val="none"/>
          <w:lang w:eastAsia="zh-CN"/>
        </w:rPr>
        <w:t>磋商保证金</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hAnsi="宋体" w:eastAsia="宋体" w:cs="宋体"/>
          <w:b/>
          <w:color w:val="auto"/>
          <w:szCs w:val="24"/>
          <w:highlight w:val="none"/>
          <w:lang w:eastAsia="zh-CN"/>
        </w:rPr>
      </w:pPr>
      <w:r>
        <w:rPr>
          <w:rFonts w:hint="eastAsia" w:hAnsi="宋体" w:cs="宋体"/>
          <w:b/>
          <w:color w:val="auto"/>
          <w:szCs w:val="24"/>
          <w:highlight w:val="none"/>
          <w:lang w:eastAsia="zh-CN"/>
        </w:rPr>
        <w:t>无</w:t>
      </w:r>
    </w:p>
    <w:p>
      <w:pPr>
        <w:spacing w:line="500" w:lineRule="exact"/>
        <w:rPr>
          <w:rFonts w:hAnsi="宋体" w:cs="宋体"/>
          <w:b/>
          <w:color w:val="auto"/>
          <w:szCs w:val="24"/>
          <w:highlight w:val="none"/>
        </w:rPr>
      </w:pPr>
      <w:r>
        <w:rPr>
          <w:rFonts w:hint="eastAsia" w:hAnsi="宋体" w:cs="宋体"/>
          <w:b/>
          <w:color w:val="auto"/>
          <w:szCs w:val="24"/>
          <w:highlight w:val="none"/>
        </w:rPr>
        <w:t>15.投标有效期</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投标有效期从递交</w:t>
      </w:r>
      <w:r>
        <w:rPr>
          <w:rFonts w:hint="eastAsia" w:hAnsi="宋体" w:cs="宋体"/>
          <w:color w:val="auto"/>
          <w:szCs w:val="24"/>
          <w:highlight w:val="none"/>
          <w:lang w:eastAsia="zh-CN"/>
        </w:rPr>
        <w:t>响应文件</w:t>
      </w:r>
      <w:r>
        <w:rPr>
          <w:rFonts w:hint="eastAsia" w:hAnsi="宋体" w:cs="宋体"/>
          <w:color w:val="auto"/>
          <w:szCs w:val="24"/>
          <w:highlight w:val="none"/>
        </w:rPr>
        <w:t>的截止之日起90天。</w:t>
      </w:r>
      <w:r>
        <w:rPr>
          <w:rFonts w:hint="eastAsia" w:hAnsi="宋体" w:cs="宋体"/>
          <w:color w:val="auto"/>
          <w:szCs w:val="24"/>
          <w:highlight w:val="none"/>
          <w:lang w:eastAsia="zh-CN"/>
        </w:rPr>
        <w:t>响应文件</w:t>
      </w:r>
      <w:r>
        <w:rPr>
          <w:rFonts w:hint="eastAsia" w:hAnsi="宋体" w:cs="宋体"/>
          <w:color w:val="auto"/>
          <w:szCs w:val="24"/>
          <w:highlight w:val="none"/>
        </w:rPr>
        <w:t>应在投标有效期内保持有效。投标有效期不满足规定有效期的</w:t>
      </w:r>
      <w:r>
        <w:rPr>
          <w:rFonts w:hint="eastAsia" w:hAnsi="宋体" w:cs="宋体"/>
          <w:color w:val="auto"/>
          <w:szCs w:val="24"/>
          <w:highlight w:val="none"/>
          <w:lang w:eastAsia="zh-CN"/>
        </w:rPr>
        <w:t>响应文件</w:t>
      </w:r>
      <w:r>
        <w:rPr>
          <w:rFonts w:hint="eastAsia" w:hAnsi="宋体" w:cs="宋体"/>
          <w:color w:val="auto"/>
          <w:szCs w:val="24"/>
          <w:highlight w:val="none"/>
        </w:rPr>
        <w:t>将被视为无效投标而拒绝。</w:t>
      </w:r>
    </w:p>
    <w:p>
      <w:pPr>
        <w:spacing w:line="500" w:lineRule="exact"/>
        <w:rPr>
          <w:rFonts w:hint="eastAsia" w:hAnsi="宋体" w:cs="宋体"/>
          <w:b/>
          <w:color w:val="auto"/>
          <w:szCs w:val="24"/>
          <w:highlight w:val="none"/>
        </w:rPr>
      </w:pPr>
      <w:r>
        <w:rPr>
          <w:rFonts w:hint="eastAsia" w:hAnsi="宋体" w:cs="宋体"/>
          <w:b/>
          <w:color w:val="auto"/>
          <w:szCs w:val="24"/>
          <w:highlight w:val="none"/>
          <w:lang w:val="en-US" w:eastAsia="zh-CN"/>
        </w:rPr>
        <w:t>16.</w:t>
      </w:r>
      <w:r>
        <w:rPr>
          <w:rFonts w:hint="eastAsia" w:hAnsi="宋体" w:cs="宋体"/>
          <w:b/>
          <w:color w:val="auto"/>
          <w:szCs w:val="24"/>
          <w:highlight w:val="none"/>
          <w:lang w:eastAsia="zh-CN"/>
        </w:rPr>
        <w:t>响应文件</w:t>
      </w:r>
      <w:r>
        <w:rPr>
          <w:rFonts w:hint="eastAsia" w:hAnsi="宋体" w:cs="宋体"/>
          <w:b/>
          <w:color w:val="auto"/>
          <w:szCs w:val="24"/>
          <w:highlight w:val="none"/>
        </w:rPr>
        <w:t>的式样和签署</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Ansi="宋体" w:cs="宋体"/>
          <w:b/>
          <w:bCs/>
          <w:color w:val="auto"/>
          <w:spacing w:val="-2"/>
          <w:highlight w:val="none"/>
        </w:rPr>
      </w:pPr>
      <w:r>
        <w:rPr>
          <w:rFonts w:hint="eastAsia" w:hAnsi="宋体" w:cs="宋体"/>
          <w:color w:val="auto"/>
          <w:szCs w:val="24"/>
          <w:highlight w:val="none"/>
        </w:rPr>
        <w:t>16.1供应商应按照本章供应商须知的要求, 提交壹份</w:t>
      </w:r>
      <w:r>
        <w:rPr>
          <w:rFonts w:hint="eastAsia" w:hAnsi="宋体" w:cs="宋体"/>
          <w:color w:val="auto"/>
          <w:szCs w:val="24"/>
          <w:highlight w:val="none"/>
          <w:lang w:eastAsia="zh-CN"/>
        </w:rPr>
        <w:t>响应文件</w:t>
      </w:r>
      <w:r>
        <w:rPr>
          <w:rFonts w:hint="eastAsia" w:hAnsi="宋体" w:cs="宋体"/>
          <w:color w:val="auto"/>
          <w:szCs w:val="24"/>
          <w:highlight w:val="none"/>
        </w:rPr>
        <w:t>正本和“供应商须知前附表”中规定数量的副本，每套</w:t>
      </w:r>
      <w:r>
        <w:rPr>
          <w:rFonts w:hint="eastAsia" w:hAnsi="宋体" w:cs="宋体"/>
          <w:color w:val="auto"/>
          <w:szCs w:val="24"/>
          <w:highlight w:val="none"/>
          <w:lang w:eastAsia="zh-CN"/>
        </w:rPr>
        <w:t>响应文件</w:t>
      </w:r>
      <w:r>
        <w:rPr>
          <w:rFonts w:hint="eastAsia" w:hAnsi="宋体" w:cs="宋体"/>
          <w:color w:val="auto"/>
          <w:szCs w:val="24"/>
          <w:highlight w:val="none"/>
        </w:rPr>
        <w:t>封面须清楚地标明“正本”或“副本”。</w:t>
      </w:r>
      <w:r>
        <w:rPr>
          <w:rFonts w:hint="eastAsia" w:hAnsi="宋体" w:cs="宋体"/>
          <w:color w:val="auto"/>
          <w:spacing w:val="4"/>
          <w:highlight w:val="none"/>
        </w:rPr>
        <w:t>同时提供与</w:t>
      </w:r>
      <w:r>
        <w:rPr>
          <w:rFonts w:hint="eastAsia" w:hAnsi="宋体" w:cs="宋体"/>
          <w:color w:val="auto"/>
          <w:spacing w:val="4"/>
          <w:highlight w:val="none"/>
          <w:lang w:eastAsia="zh-CN"/>
        </w:rPr>
        <w:t>响应文件</w:t>
      </w:r>
      <w:r>
        <w:rPr>
          <w:rFonts w:hint="eastAsia" w:hAnsi="宋体" w:cs="宋体"/>
          <w:color w:val="auto"/>
          <w:spacing w:val="4"/>
          <w:highlight w:val="none"/>
        </w:rPr>
        <w:t>正本内容一致的</w:t>
      </w:r>
      <w:r>
        <w:rPr>
          <w:rFonts w:hint="eastAsia" w:hAnsi="宋体" w:cs="宋体"/>
          <w:b/>
          <w:bCs/>
          <w:color w:val="auto"/>
          <w:spacing w:val="4"/>
          <w:highlight w:val="none"/>
          <w:lang w:val="en-US" w:eastAsia="zh-CN"/>
        </w:rPr>
        <w:t>Word</w:t>
      </w:r>
      <w:r>
        <w:rPr>
          <w:rFonts w:hint="eastAsia" w:hAnsi="宋体" w:cs="宋体"/>
          <w:b/>
          <w:bCs/>
          <w:color w:val="auto"/>
          <w:spacing w:val="4"/>
          <w:highlight w:val="none"/>
        </w:rPr>
        <w:t>电子版</w:t>
      </w:r>
      <w:r>
        <w:rPr>
          <w:rFonts w:hint="eastAsia" w:hAnsi="宋体" w:cs="宋体"/>
          <w:color w:val="auto"/>
          <w:spacing w:val="4"/>
          <w:highlight w:val="none"/>
        </w:rPr>
        <w:t>（U盘）</w:t>
      </w:r>
      <w:r>
        <w:rPr>
          <w:rFonts w:hint="eastAsia" w:hAnsi="宋体" w:cs="宋体"/>
          <w:color w:val="auto"/>
          <w:spacing w:val="4"/>
          <w:highlight w:val="none"/>
          <w:lang w:eastAsia="zh-CN"/>
        </w:rPr>
        <w:t>一</w:t>
      </w:r>
      <w:r>
        <w:rPr>
          <w:rFonts w:hint="eastAsia" w:hAnsi="宋体" w:cs="宋体"/>
          <w:color w:val="auto"/>
          <w:spacing w:val="4"/>
          <w:highlight w:val="none"/>
        </w:rPr>
        <w:t>份</w:t>
      </w:r>
      <w:r>
        <w:rPr>
          <w:rFonts w:hint="eastAsia" w:hAnsi="宋体" w:cs="宋体"/>
          <w:color w:val="auto"/>
          <w:spacing w:val="4"/>
          <w:highlight w:val="none"/>
          <w:lang w:eastAsia="zh-CN"/>
        </w:rPr>
        <w:t>。</w:t>
      </w:r>
      <w:r>
        <w:rPr>
          <w:rFonts w:hint="eastAsia" w:hAnsi="宋体" w:cs="宋体"/>
          <w:color w:val="auto"/>
          <w:spacing w:val="4"/>
          <w:highlight w:val="none"/>
        </w:rPr>
        <w:t>并与</w:t>
      </w:r>
      <w:r>
        <w:rPr>
          <w:rFonts w:hint="eastAsia" w:hAnsi="宋体" w:cs="宋体"/>
          <w:color w:val="auto"/>
          <w:spacing w:val="4"/>
          <w:highlight w:val="none"/>
          <w:lang w:eastAsia="zh-CN"/>
        </w:rPr>
        <w:t>响应文件</w:t>
      </w:r>
      <w:r>
        <w:rPr>
          <w:rFonts w:hint="eastAsia" w:hAnsi="宋体" w:cs="宋体"/>
          <w:color w:val="auto"/>
          <w:spacing w:val="4"/>
          <w:highlight w:val="none"/>
        </w:rPr>
        <w:t>同时递交。</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16.2</w:t>
      </w:r>
      <w:r>
        <w:rPr>
          <w:rFonts w:hint="eastAsia" w:hAnsi="宋体" w:cs="宋体"/>
          <w:color w:val="auto"/>
          <w:szCs w:val="24"/>
          <w:highlight w:val="none"/>
          <w:lang w:eastAsia="zh-CN"/>
        </w:rPr>
        <w:t>响应文件</w:t>
      </w:r>
      <w:r>
        <w:rPr>
          <w:rFonts w:hint="eastAsia" w:hAnsi="宋体" w:cs="宋体"/>
          <w:color w:val="auto"/>
          <w:szCs w:val="24"/>
          <w:highlight w:val="none"/>
        </w:rPr>
        <w:t>的正本和副本均需打印或用不褪色、不变质的墨水书写，并由供应商的法定代表人或其授权代表在规定处签字和盖章（</w:t>
      </w:r>
      <w:r>
        <w:rPr>
          <w:rFonts w:hint="eastAsia" w:hAnsi="宋体" w:cs="宋体"/>
          <w:color w:val="auto"/>
          <w:szCs w:val="24"/>
          <w:highlight w:val="none"/>
          <w:lang w:eastAsia="zh-CN"/>
        </w:rPr>
        <w:t>竞争性磋商文件</w:t>
      </w:r>
      <w:r>
        <w:rPr>
          <w:rFonts w:hint="eastAsia" w:hAnsi="宋体" w:cs="宋体"/>
          <w:color w:val="auto"/>
          <w:szCs w:val="24"/>
          <w:highlight w:val="none"/>
        </w:rPr>
        <w:t>要求</w:t>
      </w:r>
      <w:r>
        <w:rPr>
          <w:rFonts w:hint="eastAsia" w:hAnsi="宋体" w:cs="宋体"/>
          <w:color w:val="auto"/>
          <w:szCs w:val="24"/>
          <w:highlight w:val="none"/>
          <w:lang w:eastAsia="zh-CN"/>
        </w:rPr>
        <w:t>响应文件</w:t>
      </w:r>
      <w:r>
        <w:rPr>
          <w:rFonts w:hint="eastAsia" w:hAnsi="宋体" w:cs="宋体"/>
          <w:color w:val="auto"/>
          <w:szCs w:val="24"/>
          <w:highlight w:val="none"/>
        </w:rPr>
        <w:t>中法定代表人签字处由法定代表人签署，要求授权代表签字处由授权代表签署）。</w:t>
      </w:r>
      <w:r>
        <w:rPr>
          <w:rFonts w:hint="eastAsia" w:hAnsi="宋体" w:cs="宋体"/>
          <w:color w:val="auto"/>
          <w:szCs w:val="24"/>
          <w:highlight w:val="none"/>
          <w:lang w:eastAsia="zh-CN"/>
        </w:rPr>
        <w:t>响应文件</w:t>
      </w:r>
      <w:r>
        <w:rPr>
          <w:rFonts w:hint="eastAsia" w:hAnsi="宋体" w:cs="宋体"/>
          <w:color w:val="auto"/>
          <w:szCs w:val="24"/>
          <w:highlight w:val="none"/>
        </w:rPr>
        <w:t>副本可采用正本的复印件。</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16.3任何行间插字、涂改和增删，必须由供应商的法定代表人或其授权代表在旁边签字方有效。</w:t>
      </w:r>
    </w:p>
    <w:p>
      <w:pPr>
        <w:spacing w:line="500" w:lineRule="exact"/>
        <w:ind w:firstLine="482" w:firstLineChars="200"/>
        <w:rPr>
          <w:rFonts w:hAnsi="宋体" w:cs="宋体"/>
          <w:b/>
          <w:bCs/>
          <w:color w:val="auto"/>
          <w:szCs w:val="22"/>
          <w:highlight w:val="none"/>
        </w:rPr>
      </w:pPr>
      <w:r>
        <w:rPr>
          <w:rFonts w:hint="eastAsia" w:hAnsi="宋体" w:cs="宋体"/>
          <w:b/>
          <w:bCs/>
          <w:color w:val="auto"/>
          <w:szCs w:val="22"/>
          <w:highlight w:val="none"/>
        </w:rPr>
        <w:t>16.4供应商名称应填写全称，</w:t>
      </w:r>
      <w:r>
        <w:rPr>
          <w:rFonts w:hint="eastAsia" w:hAnsi="宋体" w:cs="宋体"/>
          <w:b/>
          <w:bCs/>
          <w:color w:val="auto"/>
          <w:szCs w:val="22"/>
          <w:highlight w:val="none"/>
          <w:lang w:eastAsia="zh-CN"/>
        </w:rPr>
        <w:t>响应文件按要求</w:t>
      </w:r>
      <w:r>
        <w:rPr>
          <w:rFonts w:hint="eastAsia" w:hAnsi="宋体" w:cs="宋体"/>
          <w:b/>
          <w:bCs/>
          <w:color w:val="auto"/>
          <w:szCs w:val="22"/>
          <w:highlight w:val="none"/>
        </w:rPr>
        <w:t>加盖供应商公章；</w:t>
      </w:r>
    </w:p>
    <w:p>
      <w:pPr>
        <w:spacing w:line="500" w:lineRule="exact"/>
        <w:ind w:firstLine="482" w:firstLineChars="200"/>
        <w:rPr>
          <w:rFonts w:hAnsi="宋体" w:cs="宋体"/>
          <w:b/>
          <w:bCs/>
          <w:color w:val="auto"/>
          <w:szCs w:val="22"/>
          <w:highlight w:val="none"/>
        </w:rPr>
      </w:pPr>
      <w:r>
        <w:rPr>
          <w:rFonts w:hint="eastAsia" w:hAnsi="宋体" w:cs="宋体"/>
          <w:b/>
          <w:bCs/>
          <w:color w:val="auto"/>
          <w:szCs w:val="22"/>
          <w:highlight w:val="none"/>
        </w:rPr>
        <w:t>16.5文件中要求</w:t>
      </w:r>
      <w:r>
        <w:rPr>
          <w:rFonts w:hint="eastAsia" w:hAnsi="宋体" w:cs="宋体"/>
          <w:b/>
          <w:bCs/>
          <w:color w:val="auto"/>
          <w:szCs w:val="22"/>
          <w:highlight w:val="none"/>
          <w:lang w:eastAsia="zh-CN"/>
        </w:rPr>
        <w:t>签字或盖章</w:t>
      </w:r>
      <w:r>
        <w:rPr>
          <w:rFonts w:hint="eastAsia" w:hAnsi="宋体" w:cs="宋体"/>
          <w:b/>
          <w:bCs/>
          <w:color w:val="auto"/>
          <w:szCs w:val="22"/>
          <w:highlight w:val="none"/>
        </w:rPr>
        <w:t>处均</w:t>
      </w:r>
      <w:r>
        <w:rPr>
          <w:rFonts w:hint="eastAsia" w:hAnsi="宋体" w:cs="宋体"/>
          <w:b/>
          <w:bCs/>
          <w:color w:val="auto"/>
          <w:szCs w:val="22"/>
          <w:highlight w:val="none"/>
          <w:lang w:eastAsia="zh-CN"/>
        </w:rPr>
        <w:t>要</w:t>
      </w:r>
      <w:r>
        <w:rPr>
          <w:rFonts w:hint="eastAsia" w:hAnsi="宋体" w:cs="宋体"/>
          <w:b/>
          <w:bCs/>
          <w:color w:val="auto"/>
          <w:szCs w:val="22"/>
          <w:highlight w:val="none"/>
        </w:rPr>
        <w:t>签字</w:t>
      </w:r>
      <w:r>
        <w:rPr>
          <w:rFonts w:hint="eastAsia" w:hAnsi="宋体" w:cs="宋体"/>
          <w:b/>
          <w:bCs/>
          <w:color w:val="auto"/>
          <w:szCs w:val="22"/>
          <w:highlight w:val="none"/>
          <w:lang w:eastAsia="zh-CN"/>
        </w:rPr>
        <w:t>或</w:t>
      </w:r>
      <w:r>
        <w:rPr>
          <w:rFonts w:hint="eastAsia" w:hAnsi="宋体" w:cs="宋体"/>
          <w:b/>
          <w:bCs/>
          <w:color w:val="auto"/>
          <w:szCs w:val="22"/>
          <w:highlight w:val="none"/>
        </w:rPr>
        <w:t>盖章；</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16.6</w:t>
      </w:r>
      <w:r>
        <w:rPr>
          <w:rFonts w:hint="eastAsia" w:hAnsi="宋体" w:cs="宋体"/>
          <w:color w:val="auto"/>
          <w:szCs w:val="24"/>
          <w:highlight w:val="none"/>
          <w:lang w:eastAsia="zh-CN"/>
        </w:rPr>
        <w:t>响应文件</w:t>
      </w:r>
      <w:r>
        <w:rPr>
          <w:rFonts w:hint="eastAsia" w:hAnsi="宋体" w:cs="宋体"/>
          <w:color w:val="auto"/>
          <w:szCs w:val="24"/>
          <w:highlight w:val="none"/>
        </w:rPr>
        <w:t>正本和副本按照</w:t>
      </w:r>
      <w:r>
        <w:rPr>
          <w:rFonts w:hint="eastAsia" w:hAnsi="宋体" w:cs="宋体"/>
          <w:color w:val="auto"/>
          <w:szCs w:val="24"/>
          <w:highlight w:val="none"/>
          <w:lang w:eastAsia="zh-CN"/>
        </w:rPr>
        <w:t>竞争性磋商文件</w:t>
      </w:r>
      <w:r>
        <w:rPr>
          <w:rFonts w:hint="eastAsia" w:hAnsi="宋体" w:cs="宋体"/>
          <w:color w:val="auto"/>
          <w:szCs w:val="24"/>
          <w:highlight w:val="none"/>
        </w:rPr>
        <w:t>第六章规定的顺序编排、并应</w:t>
      </w:r>
      <w:r>
        <w:rPr>
          <w:rFonts w:hint="eastAsia" w:hAnsi="宋体" w:cs="宋体"/>
          <w:color w:val="auto"/>
          <w:szCs w:val="24"/>
          <w:highlight w:val="none"/>
          <w:lang w:val="zh-CN"/>
        </w:rPr>
        <w:t>编制目录，</w:t>
      </w:r>
      <w:r>
        <w:rPr>
          <w:rFonts w:hint="eastAsia" w:hAnsi="宋体" w:cs="宋体"/>
          <w:color w:val="auto"/>
          <w:szCs w:val="24"/>
          <w:highlight w:val="none"/>
        </w:rPr>
        <w:t>逐页标注连续页码，</w:t>
      </w:r>
      <w:r>
        <w:rPr>
          <w:rFonts w:hint="eastAsia" w:hAnsi="宋体" w:cs="宋体"/>
          <w:color w:val="auto"/>
          <w:szCs w:val="24"/>
          <w:highlight w:val="none"/>
          <w:lang w:eastAsia="zh-CN"/>
        </w:rPr>
        <w:t>逐页加盖公章，</w:t>
      </w:r>
      <w:r>
        <w:rPr>
          <w:rFonts w:hint="eastAsia" w:hAnsi="宋体" w:cs="宋体"/>
          <w:color w:val="auto"/>
          <w:szCs w:val="24"/>
          <w:highlight w:val="none"/>
        </w:rPr>
        <w:t>并分别</w:t>
      </w:r>
      <w:r>
        <w:rPr>
          <w:rFonts w:hint="eastAsia" w:hAnsi="宋体" w:cs="宋体"/>
          <w:color w:val="auto"/>
          <w:szCs w:val="24"/>
          <w:highlight w:val="none"/>
          <w:lang w:val="zh-CN"/>
        </w:rPr>
        <w:t>胶装成册</w:t>
      </w:r>
      <w:r>
        <w:rPr>
          <w:rFonts w:hint="eastAsia" w:hAnsi="宋体" w:cs="宋体"/>
          <w:color w:val="auto"/>
          <w:szCs w:val="24"/>
          <w:highlight w:val="none"/>
        </w:rPr>
        <w:t>。</w:t>
      </w:r>
      <w:r>
        <w:rPr>
          <w:rFonts w:hint="eastAsia" w:ascii="宋体" w:hAnsi="宋体" w:cs="宋体"/>
          <w:color w:val="auto"/>
          <w:sz w:val="24"/>
          <w:highlight w:val="none"/>
        </w:rPr>
        <w:t>对未按磋商文件要求方式装订和递交的磋商响应文件，将作为无效文件处理。</w:t>
      </w:r>
    </w:p>
    <w:p>
      <w:pPr>
        <w:spacing w:line="500" w:lineRule="exact"/>
        <w:ind w:firstLine="360" w:firstLineChars="150"/>
        <w:rPr>
          <w:rFonts w:hAnsi="宋体" w:cs="宋体"/>
          <w:color w:val="auto"/>
          <w:szCs w:val="24"/>
          <w:highlight w:val="none"/>
        </w:rPr>
      </w:pPr>
      <w:r>
        <w:rPr>
          <w:rFonts w:hint="eastAsia" w:hAnsi="宋体" w:cs="宋体"/>
          <w:color w:val="auto"/>
          <w:szCs w:val="24"/>
          <w:highlight w:val="none"/>
        </w:rPr>
        <w:t xml:space="preserve"> 16.7因字迹潦草、表述不清或不按</w:t>
      </w:r>
      <w:r>
        <w:rPr>
          <w:rFonts w:hint="eastAsia" w:hAnsi="宋体" w:cs="宋体"/>
          <w:color w:val="auto"/>
          <w:szCs w:val="24"/>
          <w:highlight w:val="none"/>
          <w:lang w:eastAsia="zh-CN"/>
        </w:rPr>
        <w:t>竞争性磋商文件</w:t>
      </w:r>
      <w:r>
        <w:rPr>
          <w:rFonts w:hint="eastAsia" w:hAnsi="宋体" w:cs="宋体"/>
          <w:color w:val="auto"/>
          <w:szCs w:val="24"/>
          <w:highlight w:val="none"/>
        </w:rPr>
        <w:t>格式编制的</w:t>
      </w:r>
      <w:r>
        <w:rPr>
          <w:rFonts w:hint="eastAsia" w:hAnsi="宋体" w:cs="宋体"/>
          <w:color w:val="auto"/>
          <w:szCs w:val="24"/>
          <w:highlight w:val="none"/>
          <w:lang w:eastAsia="zh-CN"/>
        </w:rPr>
        <w:t>响应文件</w:t>
      </w:r>
      <w:r>
        <w:rPr>
          <w:rFonts w:hint="eastAsia" w:hAnsi="宋体" w:cs="宋体"/>
          <w:color w:val="auto"/>
          <w:szCs w:val="24"/>
          <w:highlight w:val="none"/>
        </w:rPr>
        <w:t>，所引起的对供应商不利的后果，由供应商自行负责。</w:t>
      </w:r>
    </w:p>
    <w:p>
      <w:pPr>
        <w:tabs>
          <w:tab w:val="left" w:pos="1080"/>
        </w:tabs>
        <w:spacing w:line="500" w:lineRule="exact"/>
        <w:ind w:firstLine="460" w:firstLineChars="192"/>
        <w:rPr>
          <w:rFonts w:hAnsi="宋体" w:cs="宋体"/>
          <w:color w:val="auto"/>
          <w:highlight w:val="none"/>
        </w:rPr>
      </w:pPr>
      <w:r>
        <w:rPr>
          <w:rFonts w:hint="eastAsia" w:hAnsi="宋体" w:cs="宋体"/>
          <w:color w:val="auto"/>
          <w:szCs w:val="24"/>
          <w:highlight w:val="none"/>
        </w:rPr>
        <w:t>16.8</w:t>
      </w:r>
      <w:r>
        <w:rPr>
          <w:rFonts w:hint="eastAsia" w:hAnsi="宋体" w:cs="宋体"/>
          <w:color w:val="auto"/>
          <w:szCs w:val="24"/>
          <w:highlight w:val="none"/>
          <w:lang w:eastAsia="zh-CN"/>
        </w:rPr>
        <w:t>响应文件</w:t>
      </w:r>
      <w:r>
        <w:rPr>
          <w:rFonts w:hint="eastAsia" w:hAnsi="宋体" w:cs="宋体"/>
          <w:color w:val="auto"/>
          <w:szCs w:val="24"/>
          <w:highlight w:val="none"/>
        </w:rPr>
        <w:t>的副本、电子版须和正本保持一致。</w:t>
      </w:r>
      <w:r>
        <w:rPr>
          <w:rFonts w:hint="eastAsia" w:hAnsi="宋体" w:cs="宋体"/>
          <w:color w:val="auto"/>
          <w:highlight w:val="none"/>
        </w:rPr>
        <w:t>若正本、副本和电子版有不一致的内容，以正本为准。</w:t>
      </w:r>
    </w:p>
    <w:p>
      <w:pPr>
        <w:spacing w:beforeLines="100" w:afterLines="100" w:line="500" w:lineRule="exact"/>
        <w:jc w:val="center"/>
        <w:outlineLvl w:val="1"/>
        <w:rPr>
          <w:rFonts w:hAnsi="宋体" w:cs="宋体"/>
          <w:b/>
          <w:color w:val="auto"/>
          <w:sz w:val="32"/>
          <w:szCs w:val="32"/>
          <w:highlight w:val="none"/>
        </w:rPr>
      </w:pPr>
      <w:bookmarkStart w:id="87" w:name="_Toc4140"/>
      <w:bookmarkStart w:id="88" w:name="_Toc363473975"/>
      <w:bookmarkStart w:id="89" w:name="_Toc16384"/>
      <w:bookmarkStart w:id="90" w:name="_Toc24873"/>
      <w:bookmarkStart w:id="91" w:name="_Toc363474020"/>
      <w:bookmarkStart w:id="92" w:name="_Toc10612"/>
      <w:bookmarkStart w:id="93" w:name="_Toc25111"/>
      <w:bookmarkStart w:id="94" w:name="_Toc249"/>
      <w:bookmarkStart w:id="95" w:name="_Toc17583"/>
      <w:bookmarkStart w:id="96" w:name="_Toc403077642"/>
      <w:r>
        <w:rPr>
          <w:rFonts w:hint="eastAsia" w:hAnsi="宋体" w:cs="宋体"/>
          <w:b/>
          <w:color w:val="auto"/>
          <w:sz w:val="32"/>
          <w:szCs w:val="32"/>
          <w:highlight w:val="none"/>
        </w:rPr>
        <w:t>四.</w:t>
      </w:r>
      <w:r>
        <w:rPr>
          <w:rFonts w:hint="eastAsia" w:hAnsi="宋体" w:cs="宋体"/>
          <w:b/>
          <w:color w:val="auto"/>
          <w:sz w:val="32"/>
          <w:szCs w:val="32"/>
          <w:highlight w:val="none"/>
          <w:lang w:eastAsia="zh-CN"/>
        </w:rPr>
        <w:t>响应文件</w:t>
      </w:r>
      <w:r>
        <w:rPr>
          <w:rFonts w:hint="eastAsia" w:hAnsi="宋体" w:cs="宋体"/>
          <w:b/>
          <w:color w:val="auto"/>
          <w:sz w:val="32"/>
          <w:szCs w:val="32"/>
          <w:highlight w:val="none"/>
        </w:rPr>
        <w:t>的递交</w:t>
      </w:r>
      <w:bookmarkEnd w:id="87"/>
      <w:bookmarkEnd w:id="88"/>
      <w:bookmarkEnd w:id="89"/>
      <w:bookmarkEnd w:id="90"/>
      <w:bookmarkEnd w:id="91"/>
      <w:bookmarkEnd w:id="92"/>
      <w:bookmarkEnd w:id="93"/>
      <w:bookmarkEnd w:id="94"/>
      <w:bookmarkEnd w:id="95"/>
      <w:bookmarkEnd w:id="96"/>
    </w:p>
    <w:p>
      <w:pPr>
        <w:spacing w:line="500" w:lineRule="exact"/>
        <w:rPr>
          <w:rFonts w:hAnsi="宋体" w:cs="宋体"/>
          <w:b/>
          <w:color w:val="auto"/>
          <w:szCs w:val="24"/>
          <w:highlight w:val="none"/>
        </w:rPr>
      </w:pPr>
      <w:r>
        <w:rPr>
          <w:rFonts w:hint="eastAsia" w:hAnsi="宋体" w:cs="宋体"/>
          <w:b/>
          <w:color w:val="auto"/>
          <w:szCs w:val="24"/>
          <w:highlight w:val="none"/>
        </w:rPr>
        <w:t>17.</w:t>
      </w:r>
      <w:r>
        <w:rPr>
          <w:rFonts w:hint="eastAsia" w:hAnsi="宋体" w:cs="宋体"/>
          <w:b/>
          <w:color w:val="auto"/>
          <w:szCs w:val="24"/>
          <w:highlight w:val="none"/>
          <w:lang w:eastAsia="zh-CN"/>
        </w:rPr>
        <w:t>响应文件</w:t>
      </w:r>
      <w:r>
        <w:rPr>
          <w:rFonts w:hint="eastAsia" w:hAnsi="宋体" w:cs="宋体"/>
          <w:b/>
          <w:color w:val="auto"/>
          <w:szCs w:val="24"/>
          <w:highlight w:val="none"/>
        </w:rPr>
        <w:t>的密封和标记</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17.</w:t>
      </w:r>
      <w:r>
        <w:rPr>
          <w:rFonts w:hint="eastAsia" w:hAnsi="宋体" w:cs="宋体"/>
          <w:color w:val="auto"/>
          <w:szCs w:val="24"/>
          <w:highlight w:val="none"/>
          <w:lang w:val="en-US" w:eastAsia="zh-CN"/>
        </w:rPr>
        <w:t>1</w:t>
      </w:r>
      <w:r>
        <w:rPr>
          <w:rFonts w:hint="eastAsia" w:hAnsi="宋体" w:cs="宋体"/>
          <w:color w:val="auto"/>
          <w:szCs w:val="24"/>
          <w:highlight w:val="none"/>
        </w:rPr>
        <w:t>供应商应将</w:t>
      </w:r>
      <w:r>
        <w:rPr>
          <w:rFonts w:hint="eastAsia" w:hAnsi="宋体" w:cs="宋体"/>
          <w:color w:val="auto"/>
          <w:szCs w:val="24"/>
          <w:highlight w:val="none"/>
          <w:lang w:eastAsia="zh-CN"/>
        </w:rPr>
        <w:t>响应文件</w:t>
      </w:r>
      <w:r>
        <w:rPr>
          <w:rFonts w:hint="eastAsia" w:hAnsi="宋体" w:cs="宋体"/>
          <w:color w:val="auto"/>
          <w:szCs w:val="24"/>
          <w:highlight w:val="none"/>
        </w:rPr>
        <w:t>正本、所有的副本分别单独密封装在封袋中（封袋不得有破损），</w:t>
      </w:r>
      <w:r>
        <w:rPr>
          <w:rFonts w:hint="eastAsia" w:hAnsi="宋体" w:cs="宋体"/>
          <w:color w:val="auto"/>
          <w:szCs w:val="24"/>
          <w:highlight w:val="none"/>
          <w:lang w:eastAsia="zh-CN"/>
        </w:rPr>
        <w:t>响应文件</w:t>
      </w:r>
      <w:r>
        <w:rPr>
          <w:rFonts w:hint="eastAsia" w:hAnsi="宋体" w:cs="宋体"/>
          <w:color w:val="auto"/>
          <w:szCs w:val="24"/>
          <w:highlight w:val="none"/>
        </w:rPr>
        <w:t>正本、所有的副本</w:t>
      </w:r>
      <w:r>
        <w:rPr>
          <w:rFonts w:hint="eastAsia" w:hAnsi="宋体" w:cs="宋体"/>
          <w:color w:val="auto"/>
          <w:szCs w:val="24"/>
          <w:highlight w:val="none"/>
          <w:lang w:eastAsia="zh-CN"/>
        </w:rPr>
        <w:t>均应加盖骑缝章，电子版装入响应文件正本密封袋中。</w:t>
      </w:r>
      <w:r>
        <w:rPr>
          <w:rFonts w:hint="eastAsia" w:hAnsi="宋体" w:cs="宋体"/>
          <w:color w:val="auto"/>
          <w:szCs w:val="24"/>
          <w:highlight w:val="none"/>
        </w:rPr>
        <w:t>且在封袋正面标明“正本”“副本”“字样。封袋应加贴封条，并在封线处加盖供应商公章</w:t>
      </w:r>
      <w:r>
        <w:rPr>
          <w:rFonts w:hint="eastAsia" w:hAnsi="宋体" w:cs="宋体"/>
          <w:color w:val="auto"/>
          <w:szCs w:val="24"/>
          <w:highlight w:val="none"/>
          <w:lang w:eastAsia="zh-CN"/>
        </w:rPr>
        <w:t>及法人章，</w:t>
      </w:r>
      <w:r>
        <w:rPr>
          <w:rFonts w:hint="eastAsia" w:hAnsi="宋体" w:cs="宋体"/>
          <w:color w:val="auto"/>
          <w:szCs w:val="24"/>
          <w:highlight w:val="none"/>
        </w:rPr>
        <w:t>封袋正面要粘贴供应商全称、</w:t>
      </w:r>
      <w:r>
        <w:rPr>
          <w:rFonts w:hint="eastAsia" w:hAnsi="宋体" w:cs="宋体"/>
          <w:color w:val="auto"/>
          <w:szCs w:val="24"/>
          <w:highlight w:val="none"/>
          <w:lang w:eastAsia="zh-CN"/>
        </w:rPr>
        <w:t>供应商地址、联系方式、</w:t>
      </w:r>
      <w:r>
        <w:rPr>
          <w:rFonts w:hint="eastAsia" w:hAnsi="宋体" w:cs="宋体"/>
          <w:color w:val="auto"/>
          <w:szCs w:val="24"/>
          <w:highlight w:val="none"/>
        </w:rPr>
        <w:t>项目名称、项目编号等标识。</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17.</w:t>
      </w:r>
      <w:r>
        <w:rPr>
          <w:rFonts w:hint="eastAsia" w:hAnsi="宋体" w:cs="宋体"/>
          <w:color w:val="auto"/>
          <w:szCs w:val="24"/>
          <w:highlight w:val="none"/>
          <w:lang w:val="en-US" w:eastAsia="zh-CN"/>
        </w:rPr>
        <w:t>2</w:t>
      </w:r>
      <w:r>
        <w:rPr>
          <w:rFonts w:hint="eastAsia" w:hAnsi="宋体" w:cs="宋体"/>
          <w:color w:val="auto"/>
          <w:szCs w:val="24"/>
          <w:highlight w:val="none"/>
        </w:rPr>
        <w:t>外层包装请按以下要求标记：</w:t>
      </w:r>
    </w:p>
    <w:p>
      <w:pPr>
        <w:numPr>
          <w:ilvl w:val="0"/>
          <w:numId w:val="6"/>
        </w:numPr>
        <w:spacing w:line="500" w:lineRule="exact"/>
        <w:ind w:firstLine="480" w:firstLineChars="200"/>
        <w:rPr>
          <w:rFonts w:hint="eastAsia" w:hAnsi="宋体" w:cs="宋体"/>
          <w:color w:val="auto"/>
          <w:szCs w:val="24"/>
          <w:highlight w:val="none"/>
          <w:lang w:eastAsia="zh-CN"/>
        </w:rPr>
      </w:pPr>
      <w:r>
        <w:rPr>
          <w:rFonts w:hint="eastAsia" w:hAnsi="宋体" w:cs="宋体"/>
          <w:color w:val="auto"/>
          <w:szCs w:val="24"/>
          <w:highlight w:val="none"/>
        </w:rPr>
        <w:t>供应商的</w:t>
      </w:r>
      <w:r>
        <w:rPr>
          <w:rFonts w:hint="eastAsia" w:hAnsi="宋体" w:cs="宋体"/>
          <w:color w:val="auto"/>
          <w:szCs w:val="24"/>
          <w:highlight w:val="none"/>
          <w:lang w:eastAsia="zh-CN"/>
        </w:rPr>
        <w:t>名称、供应商地址、联系方式；</w:t>
      </w:r>
    </w:p>
    <w:p>
      <w:pPr>
        <w:spacing w:line="500" w:lineRule="exact"/>
        <w:ind w:firstLine="480" w:firstLineChars="200"/>
        <w:rPr>
          <w:rFonts w:hint="eastAsia" w:hAnsi="宋体" w:cs="宋体"/>
          <w:color w:val="auto"/>
          <w:szCs w:val="24"/>
          <w:highlight w:val="none"/>
          <w:lang w:val="en-US" w:eastAsia="zh-CN"/>
        </w:rPr>
      </w:pPr>
      <w:r>
        <w:rPr>
          <w:rFonts w:hint="eastAsia" w:hAnsi="宋体" w:cs="宋体"/>
          <w:color w:val="auto"/>
          <w:szCs w:val="24"/>
          <w:highlight w:val="none"/>
          <w:lang w:val="en-US" w:eastAsia="zh-CN"/>
        </w:rPr>
        <w:t>（2）采购人的名称、采购人地址；</w:t>
      </w:r>
    </w:p>
    <w:p>
      <w:pPr>
        <w:spacing w:line="500" w:lineRule="exact"/>
        <w:ind w:firstLine="480" w:firstLineChars="200"/>
        <w:rPr>
          <w:rFonts w:hint="eastAsia"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3</w:t>
      </w:r>
      <w:r>
        <w:rPr>
          <w:rFonts w:hint="eastAsia" w:hAnsi="宋体" w:cs="宋体"/>
          <w:color w:val="auto"/>
          <w:szCs w:val="24"/>
          <w:highlight w:val="none"/>
        </w:rPr>
        <w:t xml:space="preserve">) </w:t>
      </w:r>
      <w:r>
        <w:rPr>
          <w:rFonts w:hint="eastAsia" w:hAnsi="宋体" w:cs="宋体"/>
          <w:color w:val="auto"/>
          <w:szCs w:val="24"/>
          <w:highlight w:val="none"/>
          <w:lang w:eastAsia="zh-CN"/>
        </w:rPr>
        <w:t>采购</w:t>
      </w:r>
      <w:r>
        <w:rPr>
          <w:rFonts w:hint="eastAsia" w:hAnsi="宋体" w:cs="宋体"/>
          <w:color w:val="auto"/>
          <w:szCs w:val="24"/>
          <w:highlight w:val="none"/>
        </w:rPr>
        <w:t>项目名称、项目编号；</w:t>
      </w:r>
    </w:p>
    <w:p>
      <w:pPr>
        <w:spacing w:line="500" w:lineRule="exact"/>
        <w:ind w:firstLine="480" w:firstLineChars="200"/>
        <w:rPr>
          <w:rFonts w:hint="eastAsia" w:hAnsi="宋体" w:cs="宋体"/>
          <w:color w:val="auto"/>
          <w:szCs w:val="24"/>
          <w:highlight w:val="none"/>
          <w:lang w:val="en-US" w:eastAsia="zh-CN"/>
        </w:rPr>
      </w:pPr>
      <w:r>
        <w:rPr>
          <w:rFonts w:hint="eastAsia" w:hAnsi="宋体" w:cs="宋体"/>
          <w:color w:val="auto"/>
          <w:szCs w:val="24"/>
          <w:highlight w:val="none"/>
          <w:lang w:val="en-US" w:eastAsia="zh-CN"/>
        </w:rPr>
        <w:t>（4）“在  年  月  日  时  分不得拆封”的声明。</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17.4如果供应商未对</w:t>
      </w:r>
      <w:r>
        <w:rPr>
          <w:rFonts w:hint="eastAsia" w:hAnsi="宋体" w:cs="宋体"/>
          <w:color w:val="auto"/>
          <w:szCs w:val="24"/>
          <w:highlight w:val="none"/>
          <w:lang w:eastAsia="zh-CN"/>
        </w:rPr>
        <w:t>响应文件</w:t>
      </w:r>
      <w:r>
        <w:rPr>
          <w:rFonts w:hint="eastAsia" w:hAnsi="宋体" w:cs="宋体"/>
          <w:color w:val="auto"/>
          <w:szCs w:val="24"/>
          <w:highlight w:val="none"/>
        </w:rPr>
        <w:t>按上述要求进行完好密封，由此产生的不利后果由供应商自行承担。</w:t>
      </w:r>
    </w:p>
    <w:p>
      <w:pPr>
        <w:spacing w:line="500" w:lineRule="exact"/>
        <w:rPr>
          <w:rFonts w:hAnsi="宋体" w:cs="宋体"/>
          <w:b/>
          <w:color w:val="auto"/>
          <w:szCs w:val="24"/>
          <w:highlight w:val="none"/>
        </w:rPr>
      </w:pPr>
      <w:r>
        <w:rPr>
          <w:rFonts w:hint="eastAsia" w:hAnsi="宋体" w:cs="宋体"/>
          <w:b/>
          <w:color w:val="auto"/>
          <w:szCs w:val="24"/>
          <w:highlight w:val="none"/>
        </w:rPr>
        <w:t>18．</w:t>
      </w:r>
      <w:r>
        <w:rPr>
          <w:rFonts w:hint="eastAsia" w:hAnsi="宋体" w:cs="宋体"/>
          <w:b/>
          <w:color w:val="auto"/>
          <w:szCs w:val="24"/>
          <w:highlight w:val="none"/>
          <w:lang w:eastAsia="zh-CN"/>
        </w:rPr>
        <w:t>响应文件</w:t>
      </w:r>
      <w:r>
        <w:rPr>
          <w:rFonts w:hint="eastAsia" w:hAnsi="宋体" w:cs="宋体"/>
          <w:b/>
          <w:color w:val="auto"/>
          <w:szCs w:val="24"/>
          <w:highlight w:val="none"/>
        </w:rPr>
        <w:t>的递交</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18.1供应商应按照</w:t>
      </w:r>
      <w:r>
        <w:rPr>
          <w:rFonts w:hint="eastAsia" w:hAnsi="宋体" w:cs="宋体"/>
          <w:color w:val="auto"/>
          <w:szCs w:val="24"/>
          <w:highlight w:val="none"/>
          <w:lang w:eastAsia="zh-CN"/>
        </w:rPr>
        <w:t>磋商</w:t>
      </w:r>
      <w:r>
        <w:rPr>
          <w:rFonts w:hint="eastAsia" w:hAnsi="宋体" w:cs="宋体"/>
          <w:color w:val="auto"/>
          <w:szCs w:val="24"/>
          <w:highlight w:val="none"/>
        </w:rPr>
        <w:t>公告中规定的时间、地点，在规定的</w:t>
      </w:r>
      <w:r>
        <w:rPr>
          <w:rFonts w:hint="eastAsia" w:hAnsi="宋体" w:cs="宋体"/>
          <w:color w:val="auto"/>
          <w:szCs w:val="24"/>
          <w:highlight w:val="none"/>
          <w:lang w:eastAsia="zh-CN"/>
        </w:rPr>
        <w:t>响应文件</w:t>
      </w:r>
      <w:r>
        <w:rPr>
          <w:rFonts w:hint="eastAsia" w:hAnsi="宋体" w:cs="宋体"/>
          <w:color w:val="auto"/>
          <w:szCs w:val="24"/>
          <w:highlight w:val="none"/>
        </w:rPr>
        <w:t>递交截止时间前将全部</w:t>
      </w:r>
      <w:r>
        <w:rPr>
          <w:rFonts w:hint="eastAsia" w:hAnsi="宋体" w:cs="宋体"/>
          <w:color w:val="auto"/>
          <w:szCs w:val="24"/>
          <w:highlight w:val="none"/>
          <w:lang w:eastAsia="zh-CN"/>
        </w:rPr>
        <w:t>响应文件</w:t>
      </w:r>
      <w:r>
        <w:rPr>
          <w:rFonts w:hint="eastAsia" w:hAnsi="宋体" w:cs="宋体"/>
          <w:color w:val="auto"/>
          <w:szCs w:val="24"/>
          <w:highlight w:val="none"/>
        </w:rPr>
        <w:t>和投标资料递交至采购代理机构</w:t>
      </w:r>
      <w:r>
        <w:rPr>
          <w:rFonts w:hint="eastAsia" w:hAnsi="宋体" w:cs="宋体"/>
          <w:color w:val="auto"/>
          <w:szCs w:val="24"/>
          <w:highlight w:val="none"/>
          <w:lang w:eastAsia="zh-CN"/>
        </w:rPr>
        <w:t>响应文件</w:t>
      </w:r>
      <w:r>
        <w:rPr>
          <w:rFonts w:hint="eastAsia" w:hAnsi="宋体" w:cs="宋体"/>
          <w:color w:val="auto"/>
          <w:szCs w:val="24"/>
          <w:highlight w:val="none"/>
        </w:rPr>
        <w:t>接收人。</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18.2采购代理机构在</w:t>
      </w:r>
      <w:r>
        <w:rPr>
          <w:rFonts w:hint="eastAsia" w:hAnsi="宋体" w:cs="宋体"/>
          <w:color w:val="auto"/>
          <w:szCs w:val="24"/>
          <w:highlight w:val="none"/>
          <w:lang w:eastAsia="zh-CN"/>
        </w:rPr>
        <w:t>竞争性磋商文件</w:t>
      </w:r>
      <w:r>
        <w:rPr>
          <w:rFonts w:hint="eastAsia" w:hAnsi="宋体" w:cs="宋体"/>
          <w:color w:val="auto"/>
          <w:szCs w:val="24"/>
          <w:highlight w:val="none"/>
        </w:rPr>
        <w:t>规定的</w:t>
      </w:r>
      <w:r>
        <w:rPr>
          <w:rFonts w:hint="eastAsia" w:hAnsi="宋体" w:cs="宋体"/>
          <w:color w:val="auto"/>
          <w:szCs w:val="24"/>
          <w:highlight w:val="none"/>
          <w:lang w:eastAsia="zh-CN"/>
        </w:rPr>
        <w:t>响应文件</w:t>
      </w:r>
      <w:r>
        <w:rPr>
          <w:rFonts w:hint="eastAsia" w:hAnsi="宋体" w:cs="宋体"/>
          <w:color w:val="auto"/>
          <w:szCs w:val="24"/>
          <w:highlight w:val="none"/>
        </w:rPr>
        <w:t>递交截止时间前，只负责</w:t>
      </w:r>
      <w:r>
        <w:rPr>
          <w:rFonts w:hint="eastAsia" w:hAnsi="宋体" w:cs="宋体"/>
          <w:color w:val="auto"/>
          <w:szCs w:val="24"/>
          <w:highlight w:val="none"/>
          <w:lang w:eastAsia="zh-CN"/>
        </w:rPr>
        <w:t>响应文件</w:t>
      </w:r>
      <w:r>
        <w:rPr>
          <w:rFonts w:hint="eastAsia" w:hAnsi="宋体" w:cs="宋体"/>
          <w:color w:val="auto"/>
          <w:szCs w:val="24"/>
          <w:highlight w:val="none"/>
        </w:rPr>
        <w:t>的接收、清点、造册登记工作，并请递交人签字确认，对其有效性不负任何责任；</w:t>
      </w:r>
    </w:p>
    <w:p>
      <w:pPr>
        <w:spacing w:line="500" w:lineRule="exact"/>
        <w:ind w:firstLine="480" w:firstLineChars="200"/>
        <w:rPr>
          <w:rFonts w:hAnsi="宋体" w:cs="宋体"/>
          <w:color w:val="auto"/>
          <w:spacing w:val="-2"/>
          <w:highlight w:val="none"/>
        </w:rPr>
      </w:pPr>
      <w:r>
        <w:rPr>
          <w:rFonts w:hint="eastAsia" w:hAnsi="宋体" w:cs="宋体"/>
          <w:color w:val="auto"/>
          <w:szCs w:val="24"/>
          <w:highlight w:val="none"/>
        </w:rPr>
        <w:t>18.</w:t>
      </w:r>
      <w:r>
        <w:rPr>
          <w:rFonts w:hint="eastAsia" w:hAnsi="宋体" w:cs="宋体"/>
          <w:color w:val="auto"/>
          <w:szCs w:val="24"/>
          <w:highlight w:val="none"/>
          <w:lang w:val="en-US" w:eastAsia="zh-CN"/>
        </w:rPr>
        <w:t>3</w:t>
      </w:r>
      <w:r>
        <w:rPr>
          <w:rFonts w:hint="eastAsia" w:hAnsi="宋体" w:cs="宋体"/>
          <w:color w:val="auto"/>
          <w:szCs w:val="24"/>
          <w:highlight w:val="none"/>
        </w:rPr>
        <w:t>无论供应商中标与否，其</w:t>
      </w:r>
      <w:r>
        <w:rPr>
          <w:rFonts w:hint="eastAsia" w:hAnsi="宋体" w:cs="宋体"/>
          <w:color w:val="auto"/>
          <w:szCs w:val="24"/>
          <w:highlight w:val="none"/>
          <w:lang w:eastAsia="zh-CN"/>
        </w:rPr>
        <w:t>响应文件</w:t>
      </w:r>
      <w:r>
        <w:rPr>
          <w:rFonts w:hint="eastAsia" w:hAnsi="宋体" w:cs="宋体"/>
          <w:color w:val="auto"/>
          <w:highlight w:val="none"/>
        </w:rPr>
        <w:t>恕不退还。</w:t>
      </w:r>
    </w:p>
    <w:p>
      <w:pPr>
        <w:spacing w:line="500" w:lineRule="exact"/>
        <w:rPr>
          <w:rFonts w:hint="eastAsia" w:hAnsi="宋体" w:eastAsia="宋体" w:cs="宋体"/>
          <w:b/>
          <w:color w:val="auto"/>
          <w:szCs w:val="24"/>
          <w:highlight w:val="none"/>
          <w:lang w:eastAsia="zh-CN"/>
        </w:rPr>
      </w:pPr>
      <w:r>
        <w:rPr>
          <w:rFonts w:hint="eastAsia" w:hAnsi="宋体" w:cs="宋体"/>
          <w:b/>
          <w:color w:val="auto"/>
          <w:szCs w:val="24"/>
          <w:highlight w:val="none"/>
        </w:rPr>
        <w:t>19．迟交的</w:t>
      </w:r>
      <w:r>
        <w:rPr>
          <w:rFonts w:hint="eastAsia" w:hAnsi="宋体" w:cs="宋体"/>
          <w:b/>
          <w:color w:val="auto"/>
          <w:szCs w:val="24"/>
          <w:highlight w:val="none"/>
          <w:lang w:eastAsia="zh-CN"/>
        </w:rPr>
        <w:t>响应文件</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19.1按照</w:t>
      </w:r>
      <w:r>
        <w:rPr>
          <w:rFonts w:hint="eastAsia" w:hAnsi="宋体" w:cs="宋体"/>
          <w:color w:val="auto"/>
          <w:szCs w:val="24"/>
          <w:highlight w:val="none"/>
          <w:lang w:eastAsia="zh-CN"/>
        </w:rPr>
        <w:t>竞争性磋商文件</w:t>
      </w:r>
      <w:r>
        <w:rPr>
          <w:rFonts w:hint="eastAsia" w:hAnsi="宋体" w:cs="宋体"/>
          <w:color w:val="auto"/>
          <w:szCs w:val="24"/>
          <w:highlight w:val="none"/>
        </w:rPr>
        <w:t>的规定，在递交</w:t>
      </w:r>
      <w:r>
        <w:rPr>
          <w:rFonts w:hint="eastAsia" w:hAnsi="宋体" w:cs="宋体"/>
          <w:color w:val="auto"/>
          <w:szCs w:val="24"/>
          <w:highlight w:val="none"/>
          <w:lang w:eastAsia="zh-CN"/>
        </w:rPr>
        <w:t>响应文件</w:t>
      </w:r>
      <w:r>
        <w:rPr>
          <w:rFonts w:hint="eastAsia" w:hAnsi="宋体" w:cs="宋体"/>
          <w:color w:val="auto"/>
          <w:szCs w:val="24"/>
          <w:highlight w:val="none"/>
        </w:rPr>
        <w:t>的截止时间之后送达的</w:t>
      </w:r>
      <w:r>
        <w:rPr>
          <w:rFonts w:hint="eastAsia" w:hAnsi="宋体" w:cs="宋体"/>
          <w:color w:val="auto"/>
          <w:szCs w:val="24"/>
          <w:highlight w:val="none"/>
          <w:lang w:eastAsia="zh-CN"/>
        </w:rPr>
        <w:t>响应文件</w:t>
      </w:r>
      <w:r>
        <w:rPr>
          <w:rFonts w:hint="eastAsia" w:hAnsi="宋体" w:cs="宋体"/>
          <w:color w:val="auto"/>
          <w:szCs w:val="24"/>
          <w:highlight w:val="none"/>
        </w:rPr>
        <w:t>，为无效</w:t>
      </w:r>
      <w:r>
        <w:rPr>
          <w:rFonts w:hint="eastAsia" w:hAnsi="宋体" w:cs="宋体"/>
          <w:color w:val="auto"/>
          <w:szCs w:val="24"/>
          <w:highlight w:val="none"/>
          <w:lang w:eastAsia="zh-CN"/>
        </w:rPr>
        <w:t>响应文件</w:t>
      </w:r>
      <w:r>
        <w:rPr>
          <w:rFonts w:hint="eastAsia" w:hAnsi="宋体" w:cs="宋体"/>
          <w:color w:val="auto"/>
          <w:szCs w:val="24"/>
          <w:highlight w:val="none"/>
        </w:rPr>
        <w:t>，采购代理机构将拒绝接收。</w:t>
      </w:r>
    </w:p>
    <w:p>
      <w:pPr>
        <w:spacing w:line="500" w:lineRule="exact"/>
        <w:rPr>
          <w:rFonts w:hAnsi="宋体" w:cs="宋体"/>
          <w:b/>
          <w:color w:val="auto"/>
          <w:szCs w:val="24"/>
          <w:highlight w:val="none"/>
        </w:rPr>
      </w:pPr>
      <w:r>
        <w:rPr>
          <w:rFonts w:hint="eastAsia" w:hAnsi="宋体" w:cs="宋体"/>
          <w:b/>
          <w:color w:val="auto"/>
          <w:szCs w:val="24"/>
          <w:highlight w:val="none"/>
        </w:rPr>
        <w:t>20．投标的修改与撤回</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20.1 供应商在递交</w:t>
      </w:r>
      <w:r>
        <w:rPr>
          <w:rFonts w:hint="eastAsia" w:hAnsi="宋体" w:cs="宋体"/>
          <w:color w:val="auto"/>
          <w:szCs w:val="24"/>
          <w:highlight w:val="none"/>
          <w:lang w:eastAsia="zh-CN"/>
        </w:rPr>
        <w:t>响应文件</w:t>
      </w:r>
      <w:r>
        <w:rPr>
          <w:rFonts w:hint="eastAsia" w:hAnsi="宋体" w:cs="宋体"/>
          <w:color w:val="auto"/>
          <w:szCs w:val="24"/>
          <w:highlight w:val="none"/>
        </w:rPr>
        <w:t>后，可以修改或撤回其</w:t>
      </w:r>
      <w:r>
        <w:rPr>
          <w:rFonts w:hint="eastAsia" w:hAnsi="宋体" w:cs="宋体"/>
          <w:color w:val="auto"/>
          <w:szCs w:val="24"/>
          <w:highlight w:val="none"/>
          <w:lang w:eastAsia="zh-CN"/>
        </w:rPr>
        <w:t>响应文件</w:t>
      </w:r>
      <w:r>
        <w:rPr>
          <w:rFonts w:hint="eastAsia" w:hAnsi="宋体" w:cs="宋体"/>
          <w:color w:val="auto"/>
          <w:szCs w:val="24"/>
          <w:highlight w:val="none"/>
        </w:rPr>
        <w:t>，也可以提出价格变动声明，但供应商必须在规定的</w:t>
      </w:r>
      <w:r>
        <w:rPr>
          <w:rFonts w:hint="eastAsia" w:hAnsi="宋体" w:cs="宋体"/>
          <w:color w:val="auto"/>
          <w:szCs w:val="24"/>
          <w:highlight w:val="none"/>
          <w:lang w:eastAsia="zh-CN"/>
        </w:rPr>
        <w:t>响应文件</w:t>
      </w:r>
      <w:r>
        <w:rPr>
          <w:rFonts w:hint="eastAsia" w:hAnsi="宋体" w:cs="宋体"/>
          <w:color w:val="auto"/>
          <w:szCs w:val="24"/>
          <w:highlight w:val="none"/>
        </w:rPr>
        <w:t>递交截止时间之前将修改或撤回或变动价格的书面通知文件递交到采购代理机构。</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20.2 供应商的修改或撤回或变动价格的通知应按本须知第17条的规定编制、密封、标记和递交。</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20.3 在</w:t>
      </w:r>
      <w:r>
        <w:rPr>
          <w:rFonts w:hint="eastAsia" w:hAnsi="宋体" w:cs="宋体"/>
          <w:color w:val="auto"/>
          <w:szCs w:val="24"/>
          <w:highlight w:val="none"/>
          <w:lang w:eastAsia="zh-CN"/>
        </w:rPr>
        <w:t>响应文件</w:t>
      </w:r>
      <w:r>
        <w:rPr>
          <w:rFonts w:hint="eastAsia" w:hAnsi="宋体" w:cs="宋体"/>
          <w:color w:val="auto"/>
          <w:szCs w:val="24"/>
          <w:highlight w:val="none"/>
        </w:rPr>
        <w:t>递交截止时间之后，供应商不得对其投标做任何修改或撤回。</w:t>
      </w:r>
    </w:p>
    <w:p>
      <w:pPr>
        <w:spacing w:line="500" w:lineRule="exact"/>
        <w:jc w:val="center"/>
        <w:outlineLvl w:val="1"/>
        <w:rPr>
          <w:rFonts w:hAnsi="宋体" w:cs="宋体"/>
          <w:b/>
          <w:color w:val="auto"/>
          <w:sz w:val="32"/>
          <w:szCs w:val="32"/>
          <w:highlight w:val="none"/>
        </w:rPr>
      </w:pPr>
      <w:bookmarkStart w:id="97" w:name="_Toc13647"/>
      <w:bookmarkStart w:id="98" w:name="_Toc403077643"/>
      <w:bookmarkStart w:id="99" w:name="_Toc22276"/>
      <w:bookmarkStart w:id="100" w:name="_Toc363473976"/>
      <w:bookmarkStart w:id="101" w:name="_Toc18925"/>
      <w:bookmarkStart w:id="102" w:name="_Toc12195"/>
      <w:bookmarkStart w:id="103" w:name="_Toc18794"/>
      <w:bookmarkStart w:id="104" w:name="_Toc9064"/>
      <w:bookmarkStart w:id="105" w:name="_Toc363474021"/>
      <w:bookmarkStart w:id="106" w:name="_Toc7855"/>
      <w:r>
        <w:rPr>
          <w:rFonts w:hint="eastAsia" w:hAnsi="宋体" w:cs="宋体"/>
          <w:b/>
          <w:color w:val="auto"/>
          <w:sz w:val="32"/>
          <w:szCs w:val="32"/>
          <w:highlight w:val="none"/>
        </w:rPr>
        <w:t>五.开标与评标</w:t>
      </w:r>
      <w:bookmarkEnd w:id="97"/>
      <w:bookmarkEnd w:id="98"/>
      <w:bookmarkEnd w:id="99"/>
      <w:bookmarkEnd w:id="100"/>
      <w:bookmarkEnd w:id="101"/>
      <w:bookmarkEnd w:id="102"/>
      <w:bookmarkEnd w:id="103"/>
      <w:bookmarkEnd w:id="104"/>
      <w:bookmarkEnd w:id="105"/>
      <w:bookmarkEnd w:id="106"/>
    </w:p>
    <w:p>
      <w:pPr>
        <w:spacing w:line="500" w:lineRule="exact"/>
        <w:rPr>
          <w:rFonts w:hAnsi="宋体" w:cs="宋体"/>
          <w:b/>
          <w:color w:val="auto"/>
          <w:szCs w:val="24"/>
          <w:highlight w:val="none"/>
        </w:rPr>
      </w:pPr>
      <w:r>
        <w:rPr>
          <w:rFonts w:hint="eastAsia" w:hAnsi="宋体" w:cs="宋体"/>
          <w:b/>
          <w:color w:val="auto"/>
          <w:szCs w:val="24"/>
          <w:highlight w:val="none"/>
        </w:rPr>
        <w:t>21.开标</w:t>
      </w:r>
    </w:p>
    <w:p>
      <w:pPr>
        <w:spacing w:line="500" w:lineRule="exact"/>
        <w:ind w:firstLine="480" w:firstLineChars="200"/>
        <w:rPr>
          <w:rFonts w:hint="eastAsia" w:hAnsi="宋体" w:cs="宋体"/>
          <w:color w:val="auto"/>
          <w:szCs w:val="24"/>
          <w:highlight w:val="none"/>
          <w:lang w:val="en-US" w:eastAsia="zh-CN"/>
        </w:rPr>
      </w:pPr>
      <w:r>
        <w:rPr>
          <w:rFonts w:hint="eastAsia" w:hAnsi="宋体" w:cs="宋体"/>
          <w:color w:val="auto"/>
          <w:szCs w:val="24"/>
          <w:highlight w:val="none"/>
          <w:lang w:val="en-US" w:eastAsia="zh-CN"/>
        </w:rPr>
        <w:t>21.1</w:t>
      </w:r>
      <w:r>
        <w:rPr>
          <w:rFonts w:hint="eastAsia" w:asciiTheme="minorEastAsia" w:hAnsiTheme="minorEastAsia" w:eastAsiaTheme="minorEastAsia" w:cstheme="minorEastAsia"/>
          <w:sz w:val="24"/>
          <w:highlight w:val="none"/>
        </w:rPr>
        <w:t>由监标人对各</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进行</w:t>
      </w:r>
      <w:r>
        <w:rPr>
          <w:rFonts w:hint="eastAsia" w:asciiTheme="minorEastAsia" w:hAnsiTheme="minorEastAsia" w:eastAsiaTheme="minorEastAsia" w:cstheme="minorEastAsia"/>
          <w:sz w:val="24"/>
          <w:highlight w:val="none"/>
          <w:lang w:eastAsia="zh-CN"/>
        </w:rPr>
        <w:t>身份查验</w:t>
      </w:r>
      <w:r>
        <w:rPr>
          <w:rFonts w:hint="eastAsia" w:hAnsi="宋体" w:cs="宋体"/>
          <w:color w:val="auto"/>
          <w:szCs w:val="24"/>
          <w:highlight w:val="none"/>
          <w:lang w:eastAsia="zh-CN"/>
        </w:rPr>
        <w:t>。签字确认并宣读审查结果；</w:t>
      </w:r>
    </w:p>
    <w:p>
      <w:pPr>
        <w:spacing w:line="500" w:lineRule="exact"/>
        <w:ind w:firstLine="480" w:firstLineChars="200"/>
        <w:rPr>
          <w:rFonts w:hint="eastAsia" w:hAnsi="宋体" w:cs="宋体"/>
          <w:color w:val="auto"/>
          <w:szCs w:val="24"/>
          <w:highlight w:val="none"/>
          <w:lang w:eastAsia="zh-CN"/>
        </w:rPr>
      </w:pPr>
      <w:r>
        <w:rPr>
          <w:rFonts w:hint="eastAsia" w:hAnsi="宋体" w:cs="宋体"/>
          <w:color w:val="auto"/>
          <w:szCs w:val="24"/>
          <w:highlight w:val="none"/>
          <w:lang w:val="en-US" w:eastAsia="zh-CN"/>
        </w:rPr>
        <w:t>21.2</w:t>
      </w:r>
      <w:r>
        <w:rPr>
          <w:rFonts w:hint="eastAsia" w:hAnsi="宋体" w:cs="宋体"/>
          <w:color w:val="auto"/>
          <w:szCs w:val="24"/>
          <w:highlight w:val="none"/>
        </w:rPr>
        <w:t>由</w:t>
      </w:r>
      <w:r>
        <w:rPr>
          <w:rFonts w:hint="eastAsia" w:hAnsi="宋体" w:cs="宋体"/>
          <w:color w:val="auto"/>
          <w:szCs w:val="24"/>
          <w:highlight w:val="none"/>
          <w:lang w:eastAsia="zh-CN"/>
        </w:rPr>
        <w:t>供应商</w:t>
      </w:r>
      <w:r>
        <w:rPr>
          <w:rFonts w:hint="eastAsia" w:hAnsi="宋体" w:cs="宋体"/>
          <w:color w:val="auto"/>
          <w:szCs w:val="24"/>
          <w:highlight w:val="none"/>
        </w:rPr>
        <w:t>代表</w:t>
      </w:r>
      <w:r>
        <w:rPr>
          <w:rFonts w:hint="eastAsia" w:hAnsi="宋体" w:cs="宋体"/>
          <w:color w:val="auto"/>
          <w:szCs w:val="24"/>
          <w:highlight w:val="none"/>
          <w:lang w:eastAsia="zh-CN"/>
        </w:rPr>
        <w:t>和</w:t>
      </w:r>
      <w:r>
        <w:rPr>
          <w:rFonts w:hint="eastAsia" w:hAnsi="宋体" w:cs="宋体"/>
          <w:color w:val="auto"/>
          <w:szCs w:val="24"/>
          <w:highlight w:val="none"/>
        </w:rPr>
        <w:t>监标人</w:t>
      </w:r>
      <w:r>
        <w:rPr>
          <w:rFonts w:hint="eastAsia" w:hAnsi="宋体" w:cs="宋体"/>
          <w:color w:val="auto"/>
          <w:szCs w:val="24"/>
          <w:highlight w:val="none"/>
          <w:lang w:eastAsia="zh-CN"/>
        </w:rPr>
        <w:t>当众共同查验响应文件</w:t>
      </w:r>
      <w:r>
        <w:rPr>
          <w:rFonts w:hint="eastAsia" w:hAnsi="宋体" w:cs="宋体"/>
          <w:color w:val="auto"/>
          <w:szCs w:val="24"/>
          <w:highlight w:val="none"/>
        </w:rPr>
        <w:t>的密封情况，签字确认</w:t>
      </w:r>
      <w:r>
        <w:rPr>
          <w:rFonts w:hint="eastAsia" w:hAnsi="宋体" w:cs="宋体"/>
          <w:color w:val="auto"/>
          <w:szCs w:val="24"/>
          <w:highlight w:val="none"/>
          <w:lang w:eastAsia="zh-CN"/>
        </w:rPr>
        <w:t>并宣读检查结果；</w:t>
      </w:r>
    </w:p>
    <w:p>
      <w:pPr>
        <w:spacing w:line="500" w:lineRule="exact"/>
        <w:ind w:firstLine="480" w:firstLineChars="200"/>
        <w:rPr>
          <w:rFonts w:hint="eastAsia" w:hAnsi="宋体" w:cs="宋体"/>
          <w:color w:val="auto"/>
          <w:szCs w:val="24"/>
          <w:highlight w:val="none"/>
        </w:rPr>
      </w:pPr>
      <w:r>
        <w:rPr>
          <w:rFonts w:hint="eastAsia" w:hAnsi="宋体" w:cs="宋体"/>
          <w:color w:val="auto"/>
          <w:szCs w:val="24"/>
          <w:highlight w:val="none"/>
          <w:lang w:val="en-US" w:eastAsia="zh-CN"/>
        </w:rPr>
        <w:t>21.3经确认无误后，</w:t>
      </w:r>
      <w:r>
        <w:rPr>
          <w:rFonts w:hint="eastAsia" w:hAnsi="宋体" w:cs="宋体"/>
          <w:color w:val="auto"/>
          <w:szCs w:val="24"/>
          <w:highlight w:val="none"/>
        </w:rPr>
        <w:t>由开标工作人员当众拆封</w:t>
      </w:r>
      <w:r>
        <w:rPr>
          <w:rFonts w:hint="eastAsia" w:hAnsi="宋体" w:cs="宋体"/>
          <w:color w:val="auto"/>
          <w:szCs w:val="24"/>
          <w:highlight w:val="none"/>
          <w:lang w:eastAsia="zh-CN"/>
        </w:rPr>
        <w:t>响应文件</w:t>
      </w:r>
      <w:r>
        <w:rPr>
          <w:rFonts w:hint="eastAsia" w:hAnsi="宋体" w:cs="宋体"/>
          <w:color w:val="auto"/>
          <w:szCs w:val="24"/>
          <w:highlight w:val="none"/>
        </w:rPr>
        <w:t>，宣读</w:t>
      </w:r>
      <w:r>
        <w:rPr>
          <w:rFonts w:hint="eastAsia" w:hAnsi="宋体" w:cs="宋体"/>
          <w:color w:val="auto"/>
          <w:szCs w:val="24"/>
          <w:highlight w:val="none"/>
          <w:lang w:eastAsia="zh-CN"/>
        </w:rPr>
        <w:t>供应商</w:t>
      </w:r>
      <w:r>
        <w:rPr>
          <w:rFonts w:hint="eastAsia" w:hAnsi="宋体" w:cs="宋体"/>
          <w:color w:val="auto"/>
          <w:szCs w:val="24"/>
          <w:highlight w:val="none"/>
        </w:rPr>
        <w:t>名称、</w:t>
      </w:r>
      <w:r>
        <w:rPr>
          <w:rFonts w:hint="eastAsia" w:hAnsi="宋体" w:cs="宋体"/>
          <w:color w:val="auto"/>
          <w:szCs w:val="24"/>
          <w:highlight w:val="none"/>
          <w:lang w:eastAsia="zh-CN"/>
        </w:rPr>
        <w:t>磋商文件份数、印章情况等</w:t>
      </w:r>
      <w:r>
        <w:rPr>
          <w:rFonts w:hint="eastAsia" w:hAnsi="宋体" w:cs="宋体"/>
          <w:color w:val="auto"/>
          <w:szCs w:val="24"/>
          <w:highlight w:val="none"/>
        </w:rPr>
        <w:t>内容，</w:t>
      </w:r>
      <w:r>
        <w:rPr>
          <w:rFonts w:hint="eastAsia" w:hAnsi="宋体" w:cs="宋体"/>
          <w:color w:val="auto"/>
          <w:szCs w:val="24"/>
          <w:highlight w:val="none"/>
          <w:lang w:eastAsia="zh-CN"/>
        </w:rPr>
        <w:t>本轮磋商报价不予公开，工作人员将有效响应文件送磋商小组进行评审</w:t>
      </w:r>
      <w:r>
        <w:rPr>
          <w:rFonts w:hint="eastAsia" w:hAnsi="宋体" w:cs="宋体"/>
          <w:color w:val="auto"/>
          <w:szCs w:val="24"/>
          <w:highlight w:val="none"/>
        </w:rPr>
        <w:t>；</w:t>
      </w:r>
    </w:p>
    <w:p>
      <w:pPr>
        <w:spacing w:line="500" w:lineRule="exact"/>
        <w:ind w:firstLine="480" w:firstLineChars="200"/>
        <w:rPr>
          <w:rFonts w:hint="default" w:hAnsi="宋体" w:cs="宋体"/>
          <w:color w:val="auto"/>
          <w:szCs w:val="24"/>
          <w:highlight w:val="none"/>
          <w:lang w:val="en-US" w:eastAsia="zh-CN"/>
        </w:rPr>
      </w:pPr>
      <w:r>
        <w:rPr>
          <w:rFonts w:hint="eastAsia" w:hAnsi="宋体" w:cs="宋体"/>
          <w:color w:val="auto"/>
          <w:szCs w:val="24"/>
          <w:highlight w:val="none"/>
          <w:lang w:val="en-US" w:eastAsia="zh-CN"/>
        </w:rPr>
        <w:t>21.4 磋商结束后，供应商在规定时间内进行二次报价，磋商小组认为供应商的最后报价或者某些分项报价明显不合理或者低于成本，有可能影响服务质量和不能诚信履约的，要求其在磋商小组规定的时间内提供书面文件予以解释说明，并提交相关证明材料；如果其不能在磋商小组规定时间内够提供相关材料证明其报价的合理性，其最后报价为无效报价；</w:t>
      </w:r>
    </w:p>
    <w:p>
      <w:pPr>
        <w:spacing w:line="500" w:lineRule="exact"/>
        <w:ind w:firstLine="480" w:firstLineChars="200"/>
        <w:rPr>
          <w:rFonts w:hint="eastAsia" w:hAnsi="宋体" w:cs="宋体"/>
          <w:color w:val="auto"/>
          <w:szCs w:val="24"/>
          <w:highlight w:val="none"/>
        </w:rPr>
      </w:pPr>
      <w:r>
        <w:rPr>
          <w:rFonts w:hint="eastAsia" w:hAnsi="宋体" w:cs="宋体"/>
          <w:color w:val="auto"/>
          <w:szCs w:val="24"/>
          <w:highlight w:val="none"/>
          <w:lang w:val="en-US" w:eastAsia="zh-CN"/>
        </w:rPr>
        <w:t>21.5</w:t>
      </w:r>
      <w:r>
        <w:rPr>
          <w:rFonts w:hint="eastAsia" w:hAnsi="宋体" w:cs="宋体"/>
          <w:color w:val="auto"/>
          <w:szCs w:val="24"/>
          <w:highlight w:val="none"/>
          <w:lang w:eastAsia="zh-CN"/>
        </w:rPr>
        <w:t>根据磋商小组出具的评标报告，公布中标候选人排名。</w:t>
      </w:r>
    </w:p>
    <w:p>
      <w:pPr>
        <w:spacing w:line="500" w:lineRule="exact"/>
        <w:ind w:firstLine="480" w:firstLineChars="200"/>
        <w:rPr>
          <w:rFonts w:hint="eastAsia" w:hAnsi="宋体" w:cs="宋体"/>
          <w:color w:val="auto"/>
          <w:szCs w:val="24"/>
          <w:highlight w:val="none"/>
        </w:rPr>
      </w:pPr>
      <w:r>
        <w:rPr>
          <w:rFonts w:hint="eastAsia" w:hAnsi="宋体" w:cs="宋体"/>
          <w:color w:val="auto"/>
          <w:szCs w:val="24"/>
          <w:highlight w:val="none"/>
        </w:rPr>
        <w:t>22．评标组织及评标原则</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22.1按照《中华人民共和国政府采购法》及实施条例和中华人民共和国财政部令第87号--《政府采购货物和服务招标投标管理办法》的规定，依法组建</w:t>
      </w:r>
      <w:r>
        <w:rPr>
          <w:rFonts w:hint="eastAsia" w:hAnsi="宋体" w:cs="宋体"/>
          <w:color w:val="auto"/>
          <w:szCs w:val="24"/>
          <w:highlight w:val="none"/>
          <w:lang w:eastAsia="zh-CN"/>
        </w:rPr>
        <w:t>磋商小组</w:t>
      </w:r>
      <w:r>
        <w:rPr>
          <w:rFonts w:hint="eastAsia" w:hAnsi="宋体" w:cs="宋体"/>
          <w:color w:val="auto"/>
          <w:szCs w:val="24"/>
          <w:highlight w:val="none"/>
        </w:rPr>
        <w:t>。</w:t>
      </w:r>
      <w:r>
        <w:rPr>
          <w:rFonts w:hint="eastAsia" w:hAnsi="宋体" w:cs="宋体"/>
          <w:color w:val="auto"/>
          <w:szCs w:val="24"/>
          <w:highlight w:val="none"/>
          <w:lang w:eastAsia="zh-CN"/>
        </w:rPr>
        <w:t>磋商小组</w:t>
      </w:r>
      <w:r>
        <w:rPr>
          <w:rFonts w:hint="eastAsia" w:hAnsi="宋体" w:cs="宋体"/>
          <w:color w:val="auto"/>
          <w:szCs w:val="24"/>
          <w:highlight w:val="none"/>
        </w:rPr>
        <w:t>由采购人代表和评审专家组成，成员人数为</w:t>
      </w:r>
      <w:r>
        <w:rPr>
          <w:rFonts w:hint="eastAsia" w:hAnsi="宋体" w:cs="宋体"/>
          <w:color w:val="auto"/>
          <w:szCs w:val="24"/>
          <w:highlight w:val="none"/>
          <w:lang w:val="en-US" w:eastAsia="zh-CN"/>
        </w:rPr>
        <w:t>3</w:t>
      </w:r>
      <w:r>
        <w:rPr>
          <w:rFonts w:hint="eastAsia" w:hAnsi="宋体" w:cs="宋体"/>
          <w:color w:val="auto"/>
          <w:szCs w:val="24"/>
          <w:highlight w:val="none"/>
        </w:rPr>
        <w:t>人，采购人代表</w:t>
      </w:r>
      <w:r>
        <w:rPr>
          <w:rFonts w:hint="eastAsia" w:hAnsi="宋体" w:cs="宋体"/>
          <w:color w:val="auto"/>
          <w:szCs w:val="24"/>
          <w:highlight w:val="none"/>
          <w:lang w:val="en-US" w:eastAsia="zh-CN"/>
        </w:rPr>
        <w:t>1人</w:t>
      </w:r>
      <w:r>
        <w:rPr>
          <w:rFonts w:hint="eastAsia" w:hAnsi="宋体" w:cs="宋体"/>
          <w:color w:val="auto"/>
          <w:szCs w:val="24"/>
          <w:highlight w:val="none"/>
        </w:rPr>
        <w:t>。专家人选在省级财政部门设立的政府采购评审专家库中随机抽取</w:t>
      </w:r>
      <w:r>
        <w:rPr>
          <w:rFonts w:hint="eastAsia" w:hAnsi="宋体" w:cs="宋体"/>
          <w:color w:val="auto"/>
          <w:szCs w:val="24"/>
          <w:highlight w:val="none"/>
          <w:lang w:val="en-US" w:eastAsia="zh-CN"/>
        </w:rPr>
        <w:t>2人</w:t>
      </w:r>
      <w:r>
        <w:rPr>
          <w:rFonts w:hint="eastAsia" w:hAnsi="宋体" w:cs="宋体"/>
          <w:color w:val="auto"/>
          <w:szCs w:val="24"/>
          <w:highlight w:val="none"/>
        </w:rPr>
        <w:t>，</w:t>
      </w:r>
      <w:r>
        <w:rPr>
          <w:rFonts w:hint="eastAsia" w:hAnsi="宋体" w:cs="宋体"/>
          <w:color w:val="auto"/>
          <w:szCs w:val="24"/>
          <w:highlight w:val="none"/>
          <w:lang w:eastAsia="zh-CN"/>
        </w:rPr>
        <w:t>磋商小组</w:t>
      </w:r>
      <w:r>
        <w:rPr>
          <w:rFonts w:hint="eastAsia" w:hAnsi="宋体" w:cs="宋体"/>
          <w:color w:val="auto"/>
          <w:szCs w:val="24"/>
          <w:highlight w:val="none"/>
        </w:rPr>
        <w:t>按照</w:t>
      </w:r>
      <w:r>
        <w:rPr>
          <w:rFonts w:hint="eastAsia" w:hAnsi="宋体" w:cs="宋体"/>
          <w:color w:val="auto"/>
          <w:szCs w:val="24"/>
          <w:highlight w:val="none"/>
          <w:lang w:eastAsia="zh-CN"/>
        </w:rPr>
        <w:t>竞争性磋商文件</w:t>
      </w:r>
      <w:r>
        <w:rPr>
          <w:rFonts w:hint="eastAsia" w:hAnsi="宋体" w:cs="宋体"/>
          <w:color w:val="auto"/>
          <w:szCs w:val="24"/>
          <w:highlight w:val="none"/>
        </w:rPr>
        <w:t>规定的评标方法独立进行评标工作。</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22.2 </w:t>
      </w:r>
      <w:r>
        <w:rPr>
          <w:rFonts w:hint="eastAsia" w:hAnsi="宋体" w:cs="宋体"/>
          <w:color w:val="auto"/>
          <w:szCs w:val="24"/>
          <w:highlight w:val="none"/>
          <w:lang w:eastAsia="zh-CN"/>
        </w:rPr>
        <w:t>磋商小组</w:t>
      </w:r>
      <w:r>
        <w:rPr>
          <w:rFonts w:hint="eastAsia" w:hAnsi="宋体" w:cs="宋体"/>
          <w:color w:val="auto"/>
          <w:szCs w:val="24"/>
          <w:highlight w:val="none"/>
        </w:rPr>
        <w:t>负责具体评标事务，并独立履行下列职责：</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（1）审查、评价</w:t>
      </w:r>
      <w:r>
        <w:rPr>
          <w:rFonts w:hint="eastAsia" w:hAnsi="宋体" w:cs="宋体"/>
          <w:color w:val="auto"/>
          <w:szCs w:val="24"/>
          <w:highlight w:val="none"/>
          <w:lang w:eastAsia="zh-CN"/>
        </w:rPr>
        <w:t>响应文件</w:t>
      </w:r>
      <w:r>
        <w:rPr>
          <w:rFonts w:hint="eastAsia" w:hAnsi="宋体" w:cs="宋体"/>
          <w:color w:val="auto"/>
          <w:szCs w:val="24"/>
          <w:highlight w:val="none"/>
        </w:rPr>
        <w:t>是否符合</w:t>
      </w:r>
      <w:r>
        <w:rPr>
          <w:rFonts w:hint="eastAsia" w:hAnsi="宋体" w:cs="宋体"/>
          <w:color w:val="auto"/>
          <w:szCs w:val="24"/>
          <w:highlight w:val="none"/>
          <w:lang w:eastAsia="zh-CN"/>
        </w:rPr>
        <w:t>竞争性磋商文件</w:t>
      </w:r>
      <w:r>
        <w:rPr>
          <w:rFonts w:hint="eastAsia" w:hAnsi="宋体" w:cs="宋体"/>
          <w:color w:val="auto"/>
          <w:szCs w:val="24"/>
          <w:highlight w:val="none"/>
        </w:rPr>
        <w:t>的商务、技术、服务等实质性要求；</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（2）要求供应商对</w:t>
      </w:r>
      <w:r>
        <w:rPr>
          <w:rFonts w:hint="eastAsia" w:hAnsi="宋体" w:cs="宋体"/>
          <w:color w:val="auto"/>
          <w:szCs w:val="24"/>
          <w:highlight w:val="none"/>
          <w:lang w:eastAsia="zh-CN"/>
        </w:rPr>
        <w:t>响应文件</w:t>
      </w:r>
      <w:r>
        <w:rPr>
          <w:rFonts w:hint="eastAsia" w:hAnsi="宋体" w:cs="宋体"/>
          <w:color w:val="auto"/>
          <w:szCs w:val="24"/>
          <w:highlight w:val="none"/>
        </w:rPr>
        <w:t>有关事项作出澄清或者说明；</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（3）对</w:t>
      </w:r>
      <w:r>
        <w:rPr>
          <w:rFonts w:hint="eastAsia" w:hAnsi="宋体" w:cs="宋体"/>
          <w:color w:val="auto"/>
          <w:szCs w:val="24"/>
          <w:highlight w:val="none"/>
          <w:lang w:eastAsia="zh-CN"/>
        </w:rPr>
        <w:t>响应文件</w:t>
      </w:r>
      <w:r>
        <w:rPr>
          <w:rFonts w:hint="eastAsia" w:hAnsi="宋体" w:cs="宋体"/>
          <w:color w:val="auto"/>
          <w:szCs w:val="24"/>
          <w:highlight w:val="none"/>
        </w:rPr>
        <w:t>进行比较和评价；</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（4）确定中标候选人名单，以及根据采购人委托直接确定中标人；</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（5）向采购人、采购代理机构或者有关部门报告评标中发现的违法行为。</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22.3 采购代理机构负责组织评标工作并履行下列职责：</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（1）核对评审专家身份和采购人代表授权函，对评审专家在政府采购活动中的职责履行情况予以记录，并及时将有关违法违规行为向财政部门报告；</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（2）宣布评标纪律；</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（3）公布供应商名单，告知评标专家应当回避的情形；</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（4）组织</w:t>
      </w:r>
      <w:r>
        <w:rPr>
          <w:rFonts w:hint="eastAsia" w:hAnsi="宋体" w:cs="宋体"/>
          <w:color w:val="auto"/>
          <w:szCs w:val="24"/>
          <w:highlight w:val="none"/>
          <w:lang w:eastAsia="zh-CN"/>
        </w:rPr>
        <w:t>磋商小组</w:t>
      </w:r>
      <w:r>
        <w:rPr>
          <w:rFonts w:hint="eastAsia" w:hAnsi="宋体" w:cs="宋体"/>
          <w:color w:val="auto"/>
          <w:szCs w:val="24"/>
          <w:highlight w:val="none"/>
        </w:rPr>
        <w:t>推选评标组长，采购人代表不得担任组长；</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（5）在评标期间采取必要的通讯管理措施，保证评标活动不受外界干扰；</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（6）根据</w:t>
      </w:r>
      <w:r>
        <w:rPr>
          <w:rFonts w:hint="eastAsia" w:hAnsi="宋体" w:cs="宋体"/>
          <w:color w:val="auto"/>
          <w:szCs w:val="24"/>
          <w:highlight w:val="none"/>
          <w:lang w:eastAsia="zh-CN"/>
        </w:rPr>
        <w:t>磋商小组</w:t>
      </w:r>
      <w:r>
        <w:rPr>
          <w:rFonts w:hint="eastAsia" w:hAnsi="宋体" w:cs="宋体"/>
          <w:color w:val="auto"/>
          <w:szCs w:val="24"/>
          <w:highlight w:val="none"/>
        </w:rPr>
        <w:t>的要求介绍政府采购相关政策法规、</w:t>
      </w:r>
      <w:r>
        <w:rPr>
          <w:rFonts w:hint="eastAsia" w:hAnsi="宋体" w:cs="宋体"/>
          <w:color w:val="auto"/>
          <w:szCs w:val="24"/>
          <w:highlight w:val="none"/>
          <w:lang w:eastAsia="zh-CN"/>
        </w:rPr>
        <w:t>竞争性磋商文件</w:t>
      </w:r>
      <w:r>
        <w:rPr>
          <w:rFonts w:hint="eastAsia" w:hAnsi="宋体" w:cs="宋体"/>
          <w:color w:val="auto"/>
          <w:szCs w:val="24"/>
          <w:highlight w:val="none"/>
        </w:rPr>
        <w:t>；</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（7）维护评标秩序，监督</w:t>
      </w:r>
      <w:r>
        <w:rPr>
          <w:rFonts w:hint="eastAsia" w:hAnsi="宋体" w:cs="宋体"/>
          <w:color w:val="auto"/>
          <w:szCs w:val="24"/>
          <w:highlight w:val="none"/>
          <w:lang w:eastAsia="zh-CN"/>
        </w:rPr>
        <w:t>磋商小组</w:t>
      </w:r>
      <w:r>
        <w:rPr>
          <w:rFonts w:hint="eastAsia" w:hAnsi="宋体" w:cs="宋体"/>
          <w:color w:val="auto"/>
          <w:szCs w:val="24"/>
          <w:highlight w:val="none"/>
        </w:rPr>
        <w:t xml:space="preserve">依照评标文件规定的评审程序、方法和标准进行独立评审，及时制止和纠正采购人代表、评审专家的倾向性言论或违法违规行为； </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（8）核对评标结果，有《政府采购货物和服务招标投标管理办法》第六十四条规定情形的，要求</w:t>
      </w:r>
      <w:r>
        <w:rPr>
          <w:rFonts w:hint="eastAsia" w:hAnsi="宋体" w:cs="宋体"/>
          <w:color w:val="auto"/>
          <w:szCs w:val="24"/>
          <w:highlight w:val="none"/>
          <w:lang w:eastAsia="zh-CN"/>
        </w:rPr>
        <w:t>磋商小组</w:t>
      </w:r>
      <w:r>
        <w:rPr>
          <w:rFonts w:hint="eastAsia" w:hAnsi="宋体" w:cs="宋体"/>
          <w:color w:val="auto"/>
          <w:szCs w:val="24"/>
          <w:highlight w:val="none"/>
        </w:rPr>
        <w:t>复核或书面说明理由，</w:t>
      </w:r>
      <w:r>
        <w:rPr>
          <w:rFonts w:hint="eastAsia" w:hAnsi="宋体" w:cs="宋体"/>
          <w:color w:val="auto"/>
          <w:szCs w:val="24"/>
          <w:highlight w:val="none"/>
          <w:lang w:eastAsia="zh-CN"/>
        </w:rPr>
        <w:t>磋商小组</w:t>
      </w:r>
      <w:r>
        <w:rPr>
          <w:rFonts w:hint="eastAsia" w:hAnsi="宋体" w:cs="宋体"/>
          <w:color w:val="auto"/>
          <w:szCs w:val="24"/>
          <w:highlight w:val="none"/>
        </w:rPr>
        <w:t>拒绝的，应予记录并向本级财政部门报告；</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（9）评审工作完成后，按照规定向评审专家支付劳务报酬和异地评审差旅费；</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（10）处理与评标有关的其他事项。</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22.4</w:t>
      </w:r>
      <w:r>
        <w:rPr>
          <w:rFonts w:hint="eastAsia" w:hAnsi="宋体" w:cs="宋体"/>
          <w:color w:val="auto"/>
          <w:szCs w:val="24"/>
          <w:highlight w:val="none"/>
          <w:lang w:eastAsia="zh-CN"/>
        </w:rPr>
        <w:t>竞争性磋商文件</w:t>
      </w:r>
      <w:r>
        <w:rPr>
          <w:rFonts w:hint="eastAsia" w:hAnsi="宋体" w:cs="宋体"/>
          <w:color w:val="auto"/>
          <w:szCs w:val="24"/>
          <w:highlight w:val="none"/>
        </w:rPr>
        <w:t>和</w:t>
      </w:r>
      <w:r>
        <w:rPr>
          <w:rFonts w:hint="eastAsia" w:hAnsi="宋体" w:cs="宋体"/>
          <w:color w:val="auto"/>
          <w:szCs w:val="24"/>
          <w:highlight w:val="none"/>
          <w:lang w:eastAsia="zh-CN"/>
        </w:rPr>
        <w:t>响应文件</w:t>
      </w:r>
      <w:r>
        <w:rPr>
          <w:rFonts w:hint="eastAsia" w:hAnsi="宋体" w:cs="宋体"/>
          <w:color w:val="auto"/>
          <w:szCs w:val="24"/>
          <w:highlight w:val="none"/>
        </w:rPr>
        <w:t>是评标的依据。在评标中，不得改变</w:t>
      </w:r>
      <w:r>
        <w:rPr>
          <w:rFonts w:hint="eastAsia" w:hAnsi="宋体" w:cs="宋体"/>
          <w:color w:val="auto"/>
          <w:szCs w:val="24"/>
          <w:highlight w:val="none"/>
          <w:lang w:eastAsia="zh-CN"/>
        </w:rPr>
        <w:t>竞争性磋商文件</w:t>
      </w:r>
      <w:r>
        <w:rPr>
          <w:rFonts w:hint="eastAsia" w:hAnsi="宋体" w:cs="宋体"/>
          <w:color w:val="auto"/>
          <w:szCs w:val="24"/>
          <w:highlight w:val="none"/>
        </w:rPr>
        <w:t>中规定的评标标准、方法和中标条件。供应商不得在开标后使用任何方式对</w:t>
      </w:r>
      <w:r>
        <w:rPr>
          <w:rFonts w:hint="eastAsia" w:hAnsi="宋体" w:cs="宋体"/>
          <w:color w:val="auto"/>
          <w:szCs w:val="24"/>
          <w:highlight w:val="none"/>
          <w:lang w:eastAsia="zh-CN"/>
        </w:rPr>
        <w:t>响应文件</w:t>
      </w:r>
      <w:r>
        <w:rPr>
          <w:rFonts w:hint="eastAsia" w:hAnsi="宋体" w:cs="宋体"/>
          <w:color w:val="auto"/>
          <w:szCs w:val="24"/>
          <w:highlight w:val="none"/>
        </w:rPr>
        <w:t>的实质性内容做任何更改。</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22.5在评标期间，对</w:t>
      </w:r>
      <w:r>
        <w:rPr>
          <w:rFonts w:hint="eastAsia" w:hAnsi="宋体" w:cs="宋体"/>
          <w:color w:val="auto"/>
          <w:szCs w:val="24"/>
          <w:highlight w:val="none"/>
          <w:lang w:eastAsia="zh-CN"/>
        </w:rPr>
        <w:t>响应文件</w:t>
      </w:r>
      <w:r>
        <w:rPr>
          <w:rFonts w:hint="eastAsia" w:hAnsi="宋体" w:cs="宋体"/>
          <w:color w:val="auto"/>
          <w:szCs w:val="24"/>
          <w:highlight w:val="none"/>
        </w:rPr>
        <w:t>中含义不明确、同类问题表述不一致或者有明显文字和计算错误的内容，</w:t>
      </w:r>
      <w:r>
        <w:rPr>
          <w:rFonts w:hint="eastAsia" w:hAnsi="宋体" w:cs="宋体"/>
          <w:color w:val="auto"/>
          <w:szCs w:val="24"/>
          <w:highlight w:val="none"/>
          <w:lang w:eastAsia="zh-CN"/>
        </w:rPr>
        <w:t>磋商小组</w:t>
      </w:r>
      <w:r>
        <w:rPr>
          <w:rFonts w:hint="eastAsia" w:hAnsi="宋体" w:cs="宋体"/>
          <w:color w:val="auto"/>
          <w:szCs w:val="24"/>
          <w:highlight w:val="none"/>
        </w:rPr>
        <w:t>可以书面形式</w:t>
      </w:r>
      <w:r>
        <w:rPr>
          <w:rFonts w:hint="eastAsia" w:hAnsi="宋体" w:cs="宋体"/>
          <w:color w:val="auto"/>
          <w:highlight w:val="none"/>
        </w:rPr>
        <w:t>（由</w:t>
      </w:r>
      <w:r>
        <w:rPr>
          <w:rFonts w:hint="eastAsia" w:hAnsi="宋体" w:cs="宋体"/>
          <w:color w:val="auto"/>
          <w:highlight w:val="none"/>
          <w:lang w:eastAsia="zh-CN"/>
        </w:rPr>
        <w:t>磋商小组</w:t>
      </w:r>
      <w:r>
        <w:rPr>
          <w:rFonts w:hint="eastAsia" w:hAnsi="宋体" w:cs="宋体"/>
          <w:color w:val="auto"/>
          <w:highlight w:val="none"/>
        </w:rPr>
        <w:t>签字）</w:t>
      </w:r>
      <w:r>
        <w:rPr>
          <w:rFonts w:hint="eastAsia" w:hAnsi="宋体" w:cs="宋体"/>
          <w:color w:val="auto"/>
          <w:szCs w:val="24"/>
          <w:highlight w:val="none"/>
        </w:rPr>
        <w:t>要求供应商作出必要的澄清、说明或者纠正。供应商的澄清、说明或者补正应当采用书面形式，由其授权的代表签字，并不得超出</w:t>
      </w:r>
      <w:r>
        <w:rPr>
          <w:rFonts w:hint="eastAsia" w:hAnsi="宋体" w:cs="宋体"/>
          <w:color w:val="auto"/>
          <w:szCs w:val="24"/>
          <w:highlight w:val="none"/>
          <w:lang w:eastAsia="zh-CN"/>
        </w:rPr>
        <w:t>响应文件</w:t>
      </w:r>
      <w:r>
        <w:rPr>
          <w:rFonts w:hint="eastAsia" w:hAnsi="宋体" w:cs="宋体"/>
          <w:color w:val="auto"/>
          <w:szCs w:val="24"/>
          <w:highlight w:val="none"/>
        </w:rPr>
        <w:t>的范围或者改变</w:t>
      </w:r>
      <w:r>
        <w:rPr>
          <w:rFonts w:hint="eastAsia" w:hAnsi="宋体" w:cs="宋体"/>
          <w:color w:val="auto"/>
          <w:szCs w:val="24"/>
          <w:highlight w:val="none"/>
          <w:lang w:eastAsia="zh-CN"/>
        </w:rPr>
        <w:t>响应文件</w:t>
      </w:r>
      <w:r>
        <w:rPr>
          <w:rFonts w:hint="eastAsia" w:hAnsi="宋体" w:cs="宋体"/>
          <w:color w:val="auto"/>
          <w:szCs w:val="24"/>
          <w:highlight w:val="none"/>
        </w:rPr>
        <w:t>的实质性内容。</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22.6如果供应商在澄清规定期限内，未能答复或拒绝答复</w:t>
      </w:r>
      <w:r>
        <w:rPr>
          <w:rFonts w:hint="eastAsia" w:hAnsi="宋体" w:cs="宋体"/>
          <w:color w:val="auto"/>
          <w:szCs w:val="24"/>
          <w:highlight w:val="none"/>
          <w:lang w:eastAsia="zh-CN"/>
        </w:rPr>
        <w:t>磋商小组</w:t>
      </w:r>
      <w:r>
        <w:rPr>
          <w:rFonts w:hint="eastAsia" w:hAnsi="宋体" w:cs="宋体"/>
          <w:color w:val="auto"/>
          <w:szCs w:val="24"/>
          <w:highlight w:val="none"/>
        </w:rPr>
        <w:t>提出的澄清要求，将由</w:t>
      </w:r>
      <w:r>
        <w:rPr>
          <w:rFonts w:hint="eastAsia" w:hAnsi="宋体" w:cs="宋体"/>
          <w:color w:val="auto"/>
          <w:szCs w:val="24"/>
          <w:highlight w:val="none"/>
          <w:lang w:eastAsia="zh-CN"/>
        </w:rPr>
        <w:t>磋商小组</w:t>
      </w:r>
      <w:r>
        <w:rPr>
          <w:rFonts w:hint="eastAsia" w:hAnsi="宋体" w:cs="宋体"/>
          <w:color w:val="auto"/>
          <w:szCs w:val="24"/>
          <w:highlight w:val="none"/>
        </w:rPr>
        <w:t>根据其</w:t>
      </w:r>
      <w:r>
        <w:rPr>
          <w:rFonts w:hint="eastAsia" w:hAnsi="宋体" w:cs="宋体"/>
          <w:color w:val="auto"/>
          <w:szCs w:val="24"/>
          <w:highlight w:val="none"/>
          <w:lang w:eastAsia="zh-CN"/>
        </w:rPr>
        <w:t>响应文件</w:t>
      </w:r>
      <w:r>
        <w:rPr>
          <w:rFonts w:hint="eastAsia" w:hAnsi="宋体" w:cs="宋体"/>
          <w:color w:val="auto"/>
          <w:szCs w:val="24"/>
          <w:highlight w:val="none"/>
        </w:rPr>
        <w:t>按最大风险进行评标。</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22.7</w:t>
      </w:r>
      <w:r>
        <w:rPr>
          <w:rFonts w:hint="eastAsia" w:hAnsi="宋体" w:cs="宋体"/>
          <w:color w:val="auto"/>
          <w:szCs w:val="24"/>
          <w:highlight w:val="none"/>
          <w:lang w:eastAsia="zh-CN"/>
        </w:rPr>
        <w:t>响应文件</w:t>
      </w:r>
      <w:r>
        <w:rPr>
          <w:rFonts w:hint="eastAsia" w:hAnsi="宋体" w:cs="宋体"/>
          <w:color w:val="auto"/>
          <w:szCs w:val="24"/>
          <w:highlight w:val="none"/>
        </w:rPr>
        <w:t>的初审（含资格性、符合性审查）</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22.5.1采购人或采购代理机构将审查资格证明文件是否合格齐全，</w:t>
      </w:r>
      <w:r>
        <w:rPr>
          <w:rFonts w:hint="eastAsia" w:hAnsi="宋体" w:cs="宋体"/>
          <w:color w:val="auto"/>
          <w:szCs w:val="24"/>
          <w:highlight w:val="none"/>
          <w:lang w:eastAsia="zh-CN"/>
        </w:rPr>
        <w:t>磋商小组</w:t>
      </w:r>
      <w:r>
        <w:rPr>
          <w:rFonts w:hint="eastAsia" w:hAnsi="宋体" w:cs="宋体"/>
          <w:color w:val="auto"/>
          <w:szCs w:val="24"/>
          <w:highlight w:val="none"/>
        </w:rPr>
        <w:t>审查</w:t>
      </w:r>
      <w:r>
        <w:rPr>
          <w:rFonts w:hint="eastAsia" w:hAnsi="宋体" w:cs="宋体"/>
          <w:color w:val="auto"/>
          <w:szCs w:val="24"/>
          <w:highlight w:val="none"/>
          <w:lang w:eastAsia="zh-CN"/>
        </w:rPr>
        <w:t>响应文件</w:t>
      </w:r>
      <w:r>
        <w:rPr>
          <w:rFonts w:hint="eastAsia" w:hAnsi="宋体" w:cs="宋体"/>
          <w:color w:val="auto"/>
          <w:szCs w:val="24"/>
          <w:highlight w:val="none"/>
        </w:rPr>
        <w:t>是否完整等。</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22.5.2</w:t>
      </w:r>
      <w:r>
        <w:rPr>
          <w:rFonts w:hint="eastAsia" w:hAnsi="宋体" w:cs="宋体"/>
          <w:color w:val="auto"/>
          <w:szCs w:val="24"/>
          <w:highlight w:val="none"/>
          <w:lang w:eastAsia="zh-CN"/>
        </w:rPr>
        <w:t>响应文件</w:t>
      </w:r>
      <w:r>
        <w:rPr>
          <w:rFonts w:hint="eastAsia" w:hAnsi="宋体" w:cs="宋体"/>
          <w:color w:val="auto"/>
          <w:szCs w:val="24"/>
          <w:highlight w:val="none"/>
        </w:rPr>
        <w:t>报价出现前后不一致的，按照下列规定修正：</w:t>
      </w:r>
    </w:p>
    <w:p>
      <w:pPr>
        <w:numPr>
          <w:ilvl w:val="0"/>
          <w:numId w:val="7"/>
        </w:numPr>
        <w:spacing w:line="500" w:lineRule="exact"/>
        <w:ind w:firstLine="480" w:firstLineChars="200"/>
        <w:rPr>
          <w:rFonts w:hAnsi="宋体" w:cs="宋体"/>
          <w:color w:val="auto"/>
          <w:szCs w:val="24"/>
          <w:highlight w:val="none"/>
        </w:rPr>
      </w:pPr>
      <w:r>
        <w:rPr>
          <w:rFonts w:hint="eastAsia" w:hAnsi="宋体" w:cs="宋体"/>
          <w:color w:val="auto"/>
          <w:szCs w:val="24"/>
          <w:highlight w:val="none"/>
          <w:lang w:eastAsia="zh-CN"/>
        </w:rPr>
        <w:t>响应文件</w:t>
      </w:r>
      <w:r>
        <w:rPr>
          <w:rFonts w:hint="eastAsia" w:hAnsi="宋体" w:cs="宋体"/>
          <w:color w:val="auto"/>
          <w:szCs w:val="24"/>
          <w:highlight w:val="none"/>
        </w:rPr>
        <w:t>的大写金额和小写金额不一致的，以大写金额为准；</w:t>
      </w:r>
    </w:p>
    <w:p>
      <w:pPr>
        <w:numPr>
          <w:ilvl w:val="0"/>
          <w:numId w:val="7"/>
        </w:numPr>
        <w:spacing w:line="500" w:lineRule="exact"/>
        <w:ind w:firstLine="480" w:firstLineChars="200"/>
        <w:rPr>
          <w:rFonts w:hAnsi="宋体" w:cs="宋体"/>
          <w:color w:val="auto"/>
          <w:szCs w:val="24"/>
          <w:highlight w:val="none"/>
        </w:rPr>
      </w:pPr>
      <w:r>
        <w:rPr>
          <w:rFonts w:hint="eastAsia" w:hAnsi="宋体" w:cs="宋体"/>
          <w:color w:val="auto"/>
          <w:szCs w:val="24"/>
          <w:highlight w:val="none"/>
        </w:rPr>
        <w:t>总价金额与按单价汇总金额不一致的，以单价金额计算结果为准。</w:t>
      </w:r>
    </w:p>
    <w:p>
      <w:pPr>
        <w:widowControl/>
        <w:autoSpaceDE w:val="0"/>
        <w:autoSpaceDN w:val="0"/>
        <w:spacing w:line="500" w:lineRule="exact"/>
        <w:ind w:right="51" w:firstLine="482" w:firstLineChars="200"/>
        <w:textAlignment w:val="bottom"/>
        <w:rPr>
          <w:rFonts w:hAnsi="宋体" w:cs="宋体"/>
          <w:color w:val="auto"/>
          <w:szCs w:val="24"/>
          <w:highlight w:val="none"/>
        </w:rPr>
      </w:pPr>
      <w:r>
        <w:rPr>
          <w:rFonts w:hint="eastAsia" w:hAnsi="宋体" w:cs="宋体"/>
          <w:b/>
          <w:color w:val="auto"/>
          <w:highlight w:val="none"/>
        </w:rPr>
        <w:t>按上述修正的顺序和方法调整的投标报价应对供应商具有约束力。如果供应商不接受修正后的价格，其投标将按无效投标处理。</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22.5.3在详细评标之前，根据本须知第22.5.4条的规定，</w:t>
      </w:r>
      <w:r>
        <w:rPr>
          <w:rFonts w:hint="eastAsia" w:hAnsi="宋体" w:cs="宋体"/>
          <w:color w:val="auto"/>
          <w:szCs w:val="24"/>
          <w:highlight w:val="none"/>
          <w:lang w:eastAsia="zh-CN"/>
        </w:rPr>
        <w:t>磋商小组</w:t>
      </w:r>
      <w:r>
        <w:rPr>
          <w:rFonts w:hint="eastAsia" w:hAnsi="宋体" w:cs="宋体"/>
          <w:color w:val="auto"/>
          <w:szCs w:val="24"/>
          <w:highlight w:val="none"/>
        </w:rPr>
        <w:t>要审查每份</w:t>
      </w:r>
      <w:r>
        <w:rPr>
          <w:rFonts w:hint="eastAsia" w:hAnsi="宋体" w:cs="宋体"/>
          <w:color w:val="auto"/>
          <w:szCs w:val="24"/>
          <w:highlight w:val="none"/>
          <w:lang w:eastAsia="zh-CN"/>
        </w:rPr>
        <w:t>响应文件</w:t>
      </w:r>
      <w:r>
        <w:rPr>
          <w:rFonts w:hint="eastAsia" w:hAnsi="宋体" w:cs="宋体"/>
          <w:color w:val="auto"/>
          <w:szCs w:val="24"/>
          <w:highlight w:val="none"/>
        </w:rPr>
        <w:t>是否实质上响应了</w:t>
      </w:r>
      <w:r>
        <w:rPr>
          <w:rFonts w:hint="eastAsia" w:hAnsi="宋体" w:cs="宋体"/>
          <w:color w:val="auto"/>
          <w:szCs w:val="24"/>
          <w:highlight w:val="none"/>
          <w:lang w:eastAsia="zh-CN"/>
        </w:rPr>
        <w:t>竞争性磋商文件</w:t>
      </w:r>
      <w:r>
        <w:rPr>
          <w:rFonts w:hint="eastAsia" w:hAnsi="宋体" w:cs="宋体"/>
          <w:color w:val="auto"/>
          <w:szCs w:val="24"/>
          <w:highlight w:val="none"/>
        </w:rPr>
        <w:t>的要求。对关键条文的偏离、保留或反对将被认为是实质上的偏离。</w:t>
      </w:r>
      <w:r>
        <w:rPr>
          <w:rFonts w:hint="eastAsia" w:hAnsi="宋体" w:cs="宋体"/>
          <w:color w:val="auto"/>
          <w:szCs w:val="24"/>
          <w:highlight w:val="none"/>
          <w:lang w:eastAsia="zh-CN"/>
        </w:rPr>
        <w:t>磋商小组</w:t>
      </w:r>
      <w:r>
        <w:rPr>
          <w:rFonts w:hint="eastAsia" w:hAnsi="宋体" w:cs="宋体"/>
          <w:color w:val="auto"/>
          <w:szCs w:val="24"/>
          <w:highlight w:val="none"/>
        </w:rPr>
        <w:t>决定投标的响应性只根据</w:t>
      </w:r>
      <w:r>
        <w:rPr>
          <w:rFonts w:hint="eastAsia" w:hAnsi="宋体" w:cs="宋体"/>
          <w:color w:val="auto"/>
          <w:szCs w:val="24"/>
          <w:highlight w:val="none"/>
          <w:lang w:eastAsia="zh-CN"/>
        </w:rPr>
        <w:t>响应文件</w:t>
      </w:r>
      <w:r>
        <w:rPr>
          <w:rFonts w:hint="eastAsia" w:hAnsi="宋体" w:cs="宋体"/>
          <w:color w:val="auto"/>
          <w:szCs w:val="24"/>
          <w:highlight w:val="none"/>
        </w:rPr>
        <w:t>本身的内容，而不寻求外部的证据。</w:t>
      </w:r>
    </w:p>
    <w:p>
      <w:pPr>
        <w:spacing w:line="500" w:lineRule="exact"/>
        <w:ind w:firstLine="482" w:firstLineChars="200"/>
        <w:rPr>
          <w:rFonts w:hAnsi="宋体" w:cs="宋体"/>
          <w:b/>
          <w:bCs/>
          <w:color w:val="auto"/>
          <w:szCs w:val="24"/>
          <w:highlight w:val="none"/>
        </w:rPr>
      </w:pPr>
      <w:r>
        <w:rPr>
          <w:rFonts w:hint="eastAsia" w:hAnsi="宋体" w:cs="宋体"/>
          <w:b/>
          <w:bCs/>
          <w:color w:val="auto"/>
          <w:szCs w:val="24"/>
          <w:highlight w:val="none"/>
        </w:rPr>
        <w:t>22.5.4实质上没有响应</w:t>
      </w:r>
      <w:r>
        <w:rPr>
          <w:rFonts w:hint="eastAsia" w:hAnsi="宋体" w:cs="宋体"/>
          <w:b/>
          <w:bCs/>
          <w:color w:val="auto"/>
          <w:szCs w:val="24"/>
          <w:highlight w:val="none"/>
          <w:lang w:eastAsia="zh-CN"/>
        </w:rPr>
        <w:t>竞争性磋商文件</w:t>
      </w:r>
      <w:r>
        <w:rPr>
          <w:rFonts w:hint="eastAsia" w:hAnsi="宋体" w:cs="宋体"/>
          <w:b/>
          <w:bCs/>
          <w:color w:val="auto"/>
          <w:szCs w:val="24"/>
          <w:highlight w:val="none"/>
        </w:rPr>
        <w:t>要求的投标将按无效投标处理。供应商不得通过修正或撤销不合要求的偏离从而使其投标成为实质性响应的投标。如发现下列情况之一的，其投标将构成非实质性响应，按无效投标处理：</w:t>
      </w:r>
    </w:p>
    <w:p>
      <w:pPr>
        <w:tabs>
          <w:tab w:val="left" w:pos="126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1）没有按照</w:t>
      </w:r>
      <w:r>
        <w:rPr>
          <w:rFonts w:hint="eastAsia" w:hAnsi="宋体" w:cs="宋体"/>
          <w:color w:val="auto"/>
          <w:szCs w:val="24"/>
          <w:highlight w:val="none"/>
          <w:lang w:eastAsia="zh-CN"/>
        </w:rPr>
        <w:t>竞争性磋商文件</w:t>
      </w:r>
      <w:r>
        <w:rPr>
          <w:rFonts w:hint="eastAsia" w:hAnsi="宋体" w:cs="宋体"/>
          <w:color w:val="auto"/>
          <w:szCs w:val="24"/>
          <w:highlight w:val="none"/>
        </w:rPr>
        <w:t>要求提供</w:t>
      </w:r>
      <w:r>
        <w:rPr>
          <w:rFonts w:hint="eastAsia" w:hAnsi="宋体" w:cs="宋体"/>
          <w:color w:val="auto"/>
          <w:szCs w:val="24"/>
          <w:highlight w:val="none"/>
          <w:lang w:eastAsia="zh-CN"/>
        </w:rPr>
        <w:t>响应文件</w:t>
      </w:r>
      <w:r>
        <w:rPr>
          <w:rFonts w:hint="eastAsia" w:hAnsi="宋体" w:cs="宋体"/>
          <w:color w:val="auto"/>
          <w:szCs w:val="24"/>
          <w:highlight w:val="none"/>
        </w:rPr>
        <w:t>或</w:t>
      </w:r>
      <w:r>
        <w:rPr>
          <w:rFonts w:hint="eastAsia" w:hAnsi="宋体" w:cs="宋体"/>
          <w:color w:val="auto"/>
          <w:szCs w:val="24"/>
          <w:highlight w:val="none"/>
          <w:lang w:eastAsia="zh-CN"/>
        </w:rPr>
        <w:t>响应文件</w:t>
      </w:r>
      <w:r>
        <w:rPr>
          <w:rFonts w:hint="eastAsia" w:hAnsi="宋体" w:cs="宋体"/>
          <w:color w:val="auto"/>
          <w:szCs w:val="24"/>
          <w:highlight w:val="none"/>
        </w:rPr>
        <w:t>构成有重大缺项；</w:t>
      </w:r>
    </w:p>
    <w:p>
      <w:pPr>
        <w:kinsoku w:val="0"/>
        <w:spacing w:line="500" w:lineRule="exact"/>
        <w:ind w:firstLine="480" w:firstLineChars="200"/>
        <w:rPr>
          <w:rFonts w:hAnsi="宋体" w:cs="宋体"/>
          <w:color w:val="auto"/>
          <w:spacing w:val="-6"/>
          <w:highlight w:val="none"/>
        </w:rPr>
      </w:pPr>
      <w:r>
        <w:rPr>
          <w:rFonts w:hint="eastAsia" w:hAnsi="宋体" w:cs="宋体"/>
          <w:color w:val="auto"/>
          <w:highlight w:val="none"/>
        </w:rPr>
        <w:t>2）</w:t>
      </w:r>
      <w:r>
        <w:rPr>
          <w:rFonts w:hint="eastAsia" w:hAnsi="宋体" w:cs="宋体"/>
          <w:color w:val="auto"/>
          <w:highlight w:val="none"/>
          <w:lang w:eastAsia="zh-CN"/>
        </w:rPr>
        <w:t>响应文件</w:t>
      </w:r>
      <w:r>
        <w:rPr>
          <w:rFonts w:hint="eastAsia" w:hAnsi="宋体" w:cs="宋体"/>
          <w:color w:val="auto"/>
          <w:highlight w:val="none"/>
        </w:rPr>
        <w:t>未按</w:t>
      </w:r>
      <w:r>
        <w:rPr>
          <w:rFonts w:hint="eastAsia" w:hAnsi="宋体" w:cs="宋体"/>
          <w:color w:val="auto"/>
          <w:highlight w:val="none"/>
          <w:lang w:eastAsia="zh-CN"/>
        </w:rPr>
        <w:t>竞争性磋商文件</w:t>
      </w:r>
      <w:r>
        <w:rPr>
          <w:rFonts w:hint="eastAsia" w:hAnsi="宋体" w:cs="宋体"/>
          <w:color w:val="auto"/>
          <w:highlight w:val="none"/>
        </w:rPr>
        <w:t>要求签署、盖章的；</w:t>
      </w:r>
    </w:p>
    <w:p>
      <w:pPr>
        <w:tabs>
          <w:tab w:val="left" w:pos="1260"/>
        </w:tabs>
        <w:spacing w:line="500" w:lineRule="exact"/>
        <w:ind w:firstLine="480" w:firstLineChars="200"/>
        <w:rPr>
          <w:rFonts w:hAnsi="宋体" w:cs="宋体"/>
          <w:color w:val="auto"/>
          <w:szCs w:val="24"/>
          <w:highlight w:val="none"/>
        </w:rPr>
      </w:pPr>
      <w:r>
        <w:rPr>
          <w:rFonts w:hint="eastAsia" w:hAnsi="宋体" w:cs="宋体"/>
          <w:color w:val="auto"/>
          <w:szCs w:val="24"/>
          <w:highlight w:val="none"/>
          <w:lang w:val="en-US" w:eastAsia="zh-CN"/>
        </w:rPr>
        <w:t>3</w:t>
      </w:r>
      <w:r>
        <w:rPr>
          <w:rFonts w:hint="eastAsia" w:hAnsi="宋体" w:cs="宋体"/>
          <w:color w:val="auto"/>
          <w:szCs w:val="24"/>
          <w:highlight w:val="none"/>
        </w:rPr>
        <w:t>）不具备</w:t>
      </w:r>
      <w:r>
        <w:rPr>
          <w:rFonts w:hint="eastAsia" w:hAnsi="宋体" w:cs="宋体"/>
          <w:color w:val="auto"/>
          <w:szCs w:val="24"/>
          <w:highlight w:val="none"/>
          <w:lang w:eastAsia="zh-CN"/>
        </w:rPr>
        <w:t>竞争性磋商文件</w:t>
      </w:r>
      <w:r>
        <w:rPr>
          <w:rFonts w:hint="eastAsia" w:hAnsi="宋体" w:cs="宋体"/>
          <w:color w:val="auto"/>
          <w:szCs w:val="24"/>
          <w:highlight w:val="none"/>
        </w:rPr>
        <w:t>中规定的资格要求的；</w:t>
      </w:r>
    </w:p>
    <w:p>
      <w:pPr>
        <w:tabs>
          <w:tab w:val="left" w:pos="1260"/>
        </w:tabs>
        <w:spacing w:line="500" w:lineRule="exact"/>
        <w:rPr>
          <w:rFonts w:hAnsi="宋体" w:cs="宋体"/>
          <w:color w:val="auto"/>
          <w:szCs w:val="24"/>
          <w:highlight w:val="none"/>
        </w:rPr>
      </w:pPr>
      <w:r>
        <w:rPr>
          <w:rFonts w:hint="eastAsia" w:hAnsi="宋体" w:cs="宋体"/>
          <w:color w:val="auto"/>
          <w:szCs w:val="24"/>
          <w:highlight w:val="none"/>
        </w:rPr>
        <w:t xml:space="preserve">    </w:t>
      </w:r>
      <w:r>
        <w:rPr>
          <w:rFonts w:hint="eastAsia" w:hAnsi="宋体" w:cs="宋体"/>
          <w:color w:val="auto"/>
          <w:szCs w:val="24"/>
          <w:highlight w:val="none"/>
          <w:lang w:val="en-US" w:eastAsia="zh-CN"/>
        </w:rPr>
        <w:t>4</w:t>
      </w:r>
      <w:r>
        <w:rPr>
          <w:rFonts w:hint="eastAsia" w:hAnsi="宋体" w:cs="宋体"/>
          <w:color w:val="auto"/>
          <w:szCs w:val="24"/>
          <w:highlight w:val="none"/>
        </w:rPr>
        <w:t>）</w:t>
      </w:r>
      <w:r>
        <w:rPr>
          <w:rFonts w:hint="eastAsia" w:hAnsi="宋体" w:cs="宋体"/>
          <w:color w:val="auto"/>
          <w:spacing w:val="-6"/>
          <w:highlight w:val="none"/>
        </w:rPr>
        <w:t>无投标有效期或有效期达不到</w:t>
      </w:r>
      <w:r>
        <w:rPr>
          <w:rFonts w:hint="eastAsia" w:hAnsi="宋体" w:cs="宋体"/>
          <w:color w:val="auto"/>
          <w:spacing w:val="-6"/>
          <w:highlight w:val="none"/>
          <w:lang w:eastAsia="zh-CN"/>
        </w:rPr>
        <w:t>竞争性磋商文件</w:t>
      </w:r>
      <w:r>
        <w:rPr>
          <w:rFonts w:hint="eastAsia" w:hAnsi="宋体" w:cs="宋体"/>
          <w:color w:val="auto"/>
          <w:spacing w:val="-6"/>
          <w:highlight w:val="none"/>
        </w:rPr>
        <w:t>要求的</w:t>
      </w:r>
      <w:r>
        <w:rPr>
          <w:rFonts w:hint="eastAsia" w:hAnsi="宋体" w:cs="宋体"/>
          <w:color w:val="auto"/>
          <w:szCs w:val="24"/>
          <w:highlight w:val="none"/>
        </w:rPr>
        <w:t>；</w:t>
      </w:r>
    </w:p>
    <w:p>
      <w:pPr>
        <w:tabs>
          <w:tab w:val="left" w:pos="1260"/>
        </w:tabs>
        <w:spacing w:line="500" w:lineRule="exact"/>
        <w:ind w:firstLine="480" w:firstLineChars="200"/>
        <w:rPr>
          <w:rFonts w:hAnsi="宋体" w:cs="宋体"/>
          <w:b w:val="0"/>
          <w:bCs w:val="0"/>
          <w:color w:val="auto"/>
          <w:szCs w:val="24"/>
          <w:highlight w:val="none"/>
        </w:rPr>
      </w:pPr>
      <w:r>
        <w:rPr>
          <w:rFonts w:hint="eastAsia" w:hAnsi="宋体" w:cs="宋体"/>
          <w:b w:val="0"/>
          <w:bCs w:val="0"/>
          <w:color w:val="auto"/>
          <w:szCs w:val="24"/>
          <w:highlight w:val="none"/>
          <w:lang w:val="en-US" w:eastAsia="zh-CN"/>
        </w:rPr>
        <w:t>5</w:t>
      </w:r>
      <w:r>
        <w:rPr>
          <w:rFonts w:hint="eastAsia" w:hAnsi="宋体" w:cs="宋体"/>
          <w:b w:val="0"/>
          <w:bCs w:val="0"/>
          <w:color w:val="auto"/>
          <w:szCs w:val="24"/>
          <w:highlight w:val="none"/>
        </w:rPr>
        <w:t>）存在有重大缺漏项和重大技术偏离的投标</w:t>
      </w:r>
      <w:r>
        <w:rPr>
          <w:rFonts w:hint="eastAsia" w:hAnsi="宋体" w:cs="宋体"/>
          <w:b w:val="0"/>
          <w:bCs w:val="0"/>
          <w:color w:val="auto"/>
          <w:highlight w:val="none"/>
        </w:rPr>
        <w:t>货物（产品），或</w:t>
      </w:r>
      <w:r>
        <w:rPr>
          <w:rFonts w:hint="eastAsia" w:hAnsi="宋体" w:cs="宋体"/>
          <w:b w:val="0"/>
          <w:bCs w:val="0"/>
          <w:color w:val="auto"/>
          <w:szCs w:val="24"/>
          <w:highlight w:val="none"/>
        </w:rPr>
        <w:t>不满足</w:t>
      </w:r>
      <w:r>
        <w:rPr>
          <w:rFonts w:hint="eastAsia" w:hAnsi="宋体" w:cs="宋体"/>
          <w:b w:val="0"/>
          <w:bCs w:val="0"/>
          <w:color w:val="auto"/>
          <w:szCs w:val="24"/>
          <w:highlight w:val="none"/>
          <w:lang w:eastAsia="zh-CN"/>
        </w:rPr>
        <w:t>竞争性磋商文件</w:t>
      </w:r>
      <w:r>
        <w:rPr>
          <w:rFonts w:hint="eastAsia" w:hAnsi="宋体" w:cs="宋体"/>
          <w:b w:val="0"/>
          <w:bCs w:val="0"/>
          <w:color w:val="auto"/>
          <w:szCs w:val="24"/>
          <w:highlight w:val="none"/>
        </w:rPr>
        <w:t>要求的；</w:t>
      </w:r>
    </w:p>
    <w:p>
      <w:pPr>
        <w:tabs>
          <w:tab w:val="left" w:pos="1260"/>
        </w:tabs>
        <w:spacing w:line="500" w:lineRule="exact"/>
        <w:ind w:firstLine="480" w:firstLineChars="200"/>
        <w:rPr>
          <w:rFonts w:hAnsi="宋体" w:cs="宋体"/>
          <w:color w:val="auto"/>
          <w:szCs w:val="24"/>
          <w:highlight w:val="none"/>
        </w:rPr>
      </w:pPr>
      <w:r>
        <w:rPr>
          <w:rFonts w:hint="eastAsia" w:hAnsi="宋体" w:cs="宋体"/>
          <w:color w:val="auto"/>
          <w:szCs w:val="24"/>
          <w:highlight w:val="none"/>
          <w:lang w:val="en-US" w:eastAsia="zh-CN"/>
        </w:rPr>
        <w:t>6</w:t>
      </w:r>
      <w:r>
        <w:rPr>
          <w:rFonts w:hint="eastAsia" w:hAnsi="宋体" w:cs="宋体"/>
          <w:color w:val="auto"/>
          <w:szCs w:val="24"/>
          <w:highlight w:val="none"/>
        </w:rPr>
        <w:t>）供应商有串通投标、以他人名义投标、弄虚作假、行贿等违法行为的；</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lang w:val="en-US" w:eastAsia="zh-CN"/>
        </w:rPr>
        <w:t>7</w:t>
      </w:r>
      <w:r>
        <w:rPr>
          <w:rFonts w:hint="eastAsia" w:hAnsi="宋体" w:cs="宋体"/>
          <w:color w:val="auto"/>
          <w:szCs w:val="24"/>
          <w:highlight w:val="none"/>
        </w:rPr>
        <w:t>）投标总报价超过</w:t>
      </w:r>
      <w:r>
        <w:rPr>
          <w:rFonts w:hint="eastAsia" w:hAnsi="宋体" w:cs="宋体"/>
          <w:color w:val="auto"/>
          <w:szCs w:val="24"/>
          <w:highlight w:val="none"/>
          <w:lang w:eastAsia="zh-CN"/>
        </w:rPr>
        <w:t>竞争性磋商文件</w:t>
      </w:r>
      <w:r>
        <w:rPr>
          <w:rFonts w:hint="eastAsia" w:hAnsi="宋体" w:cs="宋体"/>
          <w:color w:val="auto"/>
          <w:szCs w:val="24"/>
          <w:highlight w:val="none"/>
        </w:rPr>
        <w:t>公布的采购预算或者最高限价的；</w:t>
      </w:r>
    </w:p>
    <w:p>
      <w:pPr>
        <w:pStyle w:val="41"/>
        <w:spacing w:before="0" w:beforeAutospacing="0" w:after="0" w:afterAutospacing="0" w:line="500" w:lineRule="exact"/>
        <w:ind w:firstLine="480" w:firstLineChars="200"/>
        <w:jc w:val="both"/>
        <w:rPr>
          <w:rFonts w:cs="宋体"/>
          <w:color w:val="auto"/>
          <w:highlight w:val="none"/>
        </w:rPr>
      </w:pPr>
      <w:r>
        <w:rPr>
          <w:rFonts w:hint="eastAsia" w:cs="宋体"/>
          <w:color w:val="auto"/>
          <w:highlight w:val="none"/>
          <w:lang w:val="en-US" w:eastAsia="zh-CN"/>
        </w:rPr>
        <w:t>8</w:t>
      </w:r>
      <w:r>
        <w:rPr>
          <w:rFonts w:hint="eastAsia" w:cs="宋体"/>
          <w:color w:val="auto"/>
          <w:highlight w:val="none"/>
        </w:rPr>
        <w:t>）</w:t>
      </w:r>
      <w:r>
        <w:rPr>
          <w:rFonts w:hint="eastAsia" w:cs="宋体"/>
          <w:color w:val="auto"/>
          <w:highlight w:val="none"/>
          <w:lang w:eastAsia="zh-CN"/>
        </w:rPr>
        <w:t>响应文件</w:t>
      </w:r>
      <w:r>
        <w:rPr>
          <w:rFonts w:hint="eastAsia" w:cs="宋体"/>
          <w:color w:val="auto"/>
          <w:highlight w:val="none"/>
        </w:rPr>
        <w:t>含有采购人不能接受的附加条件的；</w:t>
      </w:r>
    </w:p>
    <w:p>
      <w:pPr>
        <w:pStyle w:val="41"/>
        <w:spacing w:before="0" w:beforeAutospacing="0" w:after="0" w:afterAutospacing="0" w:line="500" w:lineRule="exact"/>
        <w:ind w:firstLine="480" w:firstLineChars="200"/>
        <w:jc w:val="both"/>
        <w:rPr>
          <w:rFonts w:cs="宋体"/>
          <w:color w:val="auto"/>
          <w:highlight w:val="none"/>
        </w:rPr>
      </w:pPr>
      <w:r>
        <w:rPr>
          <w:rFonts w:hint="eastAsia" w:cs="宋体"/>
          <w:color w:val="auto"/>
          <w:highlight w:val="none"/>
          <w:lang w:val="en-US" w:eastAsia="zh-CN"/>
        </w:rPr>
        <w:t>9</w:t>
      </w:r>
      <w:r>
        <w:rPr>
          <w:rFonts w:hint="eastAsia" w:cs="宋体"/>
          <w:color w:val="auto"/>
          <w:highlight w:val="none"/>
        </w:rPr>
        <w:t>）供应商被列入失信被执行人、重大税收违法案件当事人名单、政府采购严重违法失信行为记录名单的；</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w:t>
      </w:r>
      <w:r>
        <w:rPr>
          <w:rFonts w:hint="eastAsia" w:hAnsi="宋体" w:cs="宋体"/>
          <w:color w:val="auto"/>
          <w:szCs w:val="24"/>
          <w:highlight w:val="none"/>
          <w:lang w:val="en-US" w:eastAsia="zh-CN"/>
        </w:rPr>
        <w:t>0</w:t>
      </w:r>
      <w:r>
        <w:rPr>
          <w:rFonts w:hint="eastAsia" w:hAnsi="宋体" w:cs="宋体"/>
          <w:color w:val="auto"/>
          <w:szCs w:val="24"/>
          <w:highlight w:val="none"/>
        </w:rPr>
        <w:t>）法律、法规规定的其他无效情形。</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22.6</w:t>
      </w:r>
      <w:r>
        <w:rPr>
          <w:rFonts w:hint="eastAsia" w:hAnsi="宋体" w:cs="宋体"/>
          <w:color w:val="auto"/>
          <w:szCs w:val="24"/>
          <w:highlight w:val="none"/>
          <w:lang w:eastAsia="zh-CN"/>
        </w:rPr>
        <w:t>响应文件</w:t>
      </w:r>
      <w:r>
        <w:rPr>
          <w:rFonts w:hint="eastAsia" w:hAnsi="宋体" w:cs="宋体"/>
          <w:color w:val="auto"/>
          <w:szCs w:val="24"/>
          <w:highlight w:val="none"/>
        </w:rPr>
        <w:t>的详细评审</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22.6.1</w:t>
      </w:r>
      <w:r>
        <w:rPr>
          <w:rFonts w:hint="eastAsia" w:hAnsi="宋体" w:cs="宋体"/>
          <w:color w:val="auto"/>
          <w:szCs w:val="24"/>
          <w:highlight w:val="none"/>
          <w:lang w:eastAsia="zh-CN"/>
        </w:rPr>
        <w:t>磋商小组</w:t>
      </w:r>
      <w:r>
        <w:rPr>
          <w:rFonts w:hint="eastAsia" w:hAnsi="宋体" w:cs="宋体"/>
          <w:color w:val="auto"/>
          <w:szCs w:val="24"/>
          <w:highlight w:val="none"/>
        </w:rPr>
        <w:t>将按照本须知第22.5.4条规定，只对确定为实质性响应</w:t>
      </w:r>
      <w:r>
        <w:rPr>
          <w:rFonts w:hint="eastAsia" w:hAnsi="宋体" w:cs="宋体"/>
          <w:color w:val="auto"/>
          <w:szCs w:val="24"/>
          <w:highlight w:val="none"/>
          <w:lang w:eastAsia="zh-CN"/>
        </w:rPr>
        <w:t>竞争性磋商文件</w:t>
      </w:r>
      <w:r>
        <w:rPr>
          <w:rFonts w:hint="eastAsia" w:hAnsi="宋体" w:cs="宋体"/>
          <w:color w:val="auto"/>
          <w:szCs w:val="24"/>
          <w:highlight w:val="none"/>
        </w:rPr>
        <w:t>要求的投标进行详细评审。</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22.6.2详细评审按照第五章“评标方法”的评标方法进行。</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22.7中标候选人的确定</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lang w:eastAsia="zh-CN"/>
        </w:rPr>
        <w:t>磋商小组</w:t>
      </w:r>
      <w:r>
        <w:rPr>
          <w:rFonts w:hint="eastAsia" w:hAnsi="宋体" w:cs="宋体"/>
          <w:color w:val="auto"/>
          <w:szCs w:val="24"/>
          <w:highlight w:val="none"/>
        </w:rPr>
        <w:t>完成评标后，向采购人提出书面评标报告，并推荐三名中标候选人，标明排列顺序。</w:t>
      </w:r>
    </w:p>
    <w:p>
      <w:pPr>
        <w:spacing w:line="500" w:lineRule="exact"/>
        <w:rPr>
          <w:rFonts w:hAnsi="宋体" w:cs="宋体"/>
          <w:b/>
          <w:color w:val="auto"/>
          <w:szCs w:val="24"/>
          <w:highlight w:val="none"/>
        </w:rPr>
      </w:pPr>
      <w:r>
        <w:rPr>
          <w:rFonts w:hint="eastAsia" w:hAnsi="宋体" w:cs="宋体"/>
          <w:b/>
          <w:color w:val="auto"/>
          <w:szCs w:val="24"/>
          <w:highlight w:val="none"/>
        </w:rPr>
        <w:t>23．评标过程的保密</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23.</w:t>
      </w:r>
      <w:r>
        <w:rPr>
          <w:rFonts w:hint="eastAsia" w:hAnsi="宋体" w:cs="宋体"/>
          <w:b w:val="0"/>
          <w:bCs w:val="0"/>
          <w:color w:val="auto"/>
          <w:szCs w:val="24"/>
          <w:highlight w:val="none"/>
        </w:rPr>
        <w:t>1</w:t>
      </w:r>
      <w:r>
        <w:rPr>
          <w:rFonts w:hint="eastAsia" w:hAnsi="宋体" w:cs="宋体"/>
          <w:color w:val="auto"/>
          <w:szCs w:val="24"/>
          <w:highlight w:val="none"/>
          <w:lang w:eastAsia="zh-CN"/>
        </w:rPr>
        <w:t>磋商小组</w:t>
      </w:r>
      <w:r>
        <w:rPr>
          <w:rFonts w:hint="eastAsia" w:hAnsi="宋体" w:cs="宋体"/>
          <w:color w:val="auto"/>
          <w:szCs w:val="24"/>
          <w:highlight w:val="none"/>
        </w:rPr>
        <w:t>成员和与评标活动有关的工作人员不得泄露有关</w:t>
      </w:r>
      <w:r>
        <w:rPr>
          <w:rFonts w:hint="eastAsia" w:hAnsi="宋体" w:cs="宋体"/>
          <w:color w:val="auto"/>
          <w:szCs w:val="24"/>
          <w:highlight w:val="none"/>
          <w:lang w:eastAsia="zh-CN"/>
        </w:rPr>
        <w:t>响应文件</w:t>
      </w:r>
      <w:r>
        <w:rPr>
          <w:rFonts w:hint="eastAsia" w:hAnsi="宋体" w:cs="宋体"/>
          <w:color w:val="auto"/>
          <w:szCs w:val="24"/>
          <w:highlight w:val="none"/>
        </w:rPr>
        <w:t>的评审和比较、中标候选人的推荐以及与评标有关的其他情况。</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23.2在评标过程中，如果供应商试图在</w:t>
      </w:r>
      <w:r>
        <w:rPr>
          <w:rFonts w:hint="eastAsia" w:hAnsi="宋体" w:cs="宋体"/>
          <w:color w:val="auto"/>
          <w:szCs w:val="24"/>
          <w:highlight w:val="none"/>
          <w:lang w:eastAsia="zh-CN"/>
        </w:rPr>
        <w:t>响应文件</w:t>
      </w:r>
      <w:r>
        <w:rPr>
          <w:rFonts w:hint="eastAsia" w:hAnsi="宋体" w:cs="宋体"/>
          <w:color w:val="auto"/>
          <w:szCs w:val="24"/>
          <w:highlight w:val="none"/>
        </w:rPr>
        <w:t>的评审和比较、中标候选人的推荐以及与评标有关的其他方面，向评标人、采购人和采购代理机构施加任何影响，其投标应做无效投标处理。</w:t>
      </w:r>
    </w:p>
    <w:p>
      <w:pPr>
        <w:spacing w:line="500" w:lineRule="exact"/>
        <w:rPr>
          <w:rFonts w:hAnsi="宋体" w:cs="宋体"/>
          <w:b/>
          <w:color w:val="auto"/>
          <w:szCs w:val="24"/>
          <w:highlight w:val="none"/>
        </w:rPr>
      </w:pPr>
      <w:r>
        <w:rPr>
          <w:rFonts w:hint="eastAsia" w:hAnsi="宋体" w:cs="宋体"/>
          <w:b/>
          <w:color w:val="auto"/>
          <w:szCs w:val="24"/>
          <w:highlight w:val="none"/>
        </w:rPr>
        <w:t>24．评标方法</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24.1按照中华人民共和国财政部令第87号--《政府采购货物和服务招标投标管理办法》的规定，本次评标采用以下评标方法中的一种：具体见“供应商须知前附表”。</w:t>
      </w:r>
    </w:p>
    <w:p>
      <w:pPr>
        <w:pStyle w:val="41"/>
        <w:spacing w:before="0" w:beforeAutospacing="0" w:after="0" w:afterAutospacing="0" w:line="500" w:lineRule="exact"/>
        <w:ind w:firstLine="480" w:firstLineChars="200"/>
        <w:jc w:val="both"/>
        <w:rPr>
          <w:rFonts w:cs="宋体"/>
          <w:color w:val="auto"/>
          <w:highlight w:val="none"/>
        </w:rPr>
      </w:pPr>
      <w:r>
        <w:rPr>
          <w:rFonts w:hint="eastAsia" w:cs="宋体"/>
          <w:color w:val="auto"/>
          <w:highlight w:val="none"/>
        </w:rPr>
        <w:t>1）最低评标价法，即在全部满足</w:t>
      </w:r>
      <w:r>
        <w:rPr>
          <w:rFonts w:hint="eastAsia" w:cs="宋体"/>
          <w:color w:val="auto"/>
          <w:highlight w:val="none"/>
          <w:lang w:eastAsia="zh-CN"/>
        </w:rPr>
        <w:t>竞争性磋商文件</w:t>
      </w:r>
      <w:r>
        <w:rPr>
          <w:rFonts w:hint="eastAsia" w:cs="宋体"/>
          <w:color w:val="auto"/>
          <w:highlight w:val="none"/>
        </w:rPr>
        <w:t>实质性要求前提下，且投标报价最低的供应商为中标候选人的评标方法。</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2）综合评分法，即在最大限度地满足</w:t>
      </w:r>
      <w:r>
        <w:rPr>
          <w:rFonts w:hint="eastAsia" w:hAnsi="宋体" w:cs="宋体"/>
          <w:color w:val="auto"/>
          <w:szCs w:val="24"/>
          <w:highlight w:val="none"/>
          <w:lang w:eastAsia="zh-CN"/>
        </w:rPr>
        <w:t>竞争性磋商文件</w:t>
      </w:r>
      <w:r>
        <w:rPr>
          <w:rFonts w:hint="eastAsia" w:hAnsi="宋体" w:cs="宋体"/>
          <w:color w:val="auto"/>
          <w:szCs w:val="24"/>
          <w:highlight w:val="none"/>
        </w:rPr>
        <w:t>实质性要求前提下，按照</w:t>
      </w:r>
      <w:r>
        <w:rPr>
          <w:rFonts w:hint="eastAsia" w:hAnsi="宋体" w:cs="宋体"/>
          <w:color w:val="auto"/>
          <w:szCs w:val="24"/>
          <w:highlight w:val="none"/>
          <w:lang w:eastAsia="zh-CN"/>
        </w:rPr>
        <w:t>竞争性磋商文件</w:t>
      </w:r>
      <w:r>
        <w:rPr>
          <w:rFonts w:hint="eastAsia" w:hAnsi="宋体" w:cs="宋体"/>
          <w:color w:val="auto"/>
          <w:szCs w:val="24"/>
          <w:highlight w:val="none"/>
        </w:rPr>
        <w:t>中规定的各项因素（包括投标报价、技术或者服务水平、履约能力、售后服务、对</w:t>
      </w:r>
      <w:r>
        <w:rPr>
          <w:rFonts w:hint="eastAsia" w:hAnsi="宋体" w:cs="宋体"/>
          <w:color w:val="auto"/>
          <w:szCs w:val="24"/>
          <w:highlight w:val="none"/>
          <w:lang w:eastAsia="zh-CN"/>
        </w:rPr>
        <w:t>竞争性磋商文件</w:t>
      </w:r>
      <w:r>
        <w:rPr>
          <w:rFonts w:hint="eastAsia" w:hAnsi="宋体" w:cs="宋体"/>
          <w:color w:val="auto"/>
          <w:szCs w:val="24"/>
          <w:highlight w:val="none"/>
        </w:rPr>
        <w:t>的响应程度等）和相应的权重分值进行综合评审后，以总得分最高的供应商作为中标候选人并依次排序。</w:t>
      </w:r>
    </w:p>
    <w:p>
      <w:pPr>
        <w:spacing w:line="500" w:lineRule="exact"/>
        <w:rPr>
          <w:rFonts w:hAnsi="宋体" w:cs="宋体"/>
          <w:b/>
          <w:color w:val="auto"/>
          <w:szCs w:val="24"/>
          <w:highlight w:val="none"/>
        </w:rPr>
      </w:pPr>
      <w:r>
        <w:rPr>
          <w:rFonts w:hint="eastAsia" w:hAnsi="宋体" w:cs="宋体"/>
          <w:b/>
          <w:color w:val="auto"/>
          <w:szCs w:val="24"/>
          <w:highlight w:val="none"/>
        </w:rPr>
        <w:t>25．评标程序</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按照</w:t>
      </w:r>
      <w:r>
        <w:rPr>
          <w:rFonts w:hint="eastAsia" w:hAnsi="宋体" w:cs="宋体"/>
          <w:color w:val="auto"/>
          <w:szCs w:val="24"/>
          <w:highlight w:val="none"/>
          <w:lang w:eastAsia="zh-CN"/>
        </w:rPr>
        <w:t>响应文件</w:t>
      </w:r>
      <w:r>
        <w:rPr>
          <w:rFonts w:hint="eastAsia" w:hAnsi="宋体" w:cs="宋体"/>
          <w:color w:val="auto"/>
          <w:szCs w:val="24"/>
          <w:highlight w:val="none"/>
        </w:rPr>
        <w:t>初审、澄清有关问题、比较与评价、推荐中标候选人名单的工作程序进行评标。在上一步评审中供应商被认定无效投标者，不进入下一步的评审。</w:t>
      </w:r>
    </w:p>
    <w:p>
      <w:pPr>
        <w:spacing w:line="500" w:lineRule="exact"/>
        <w:rPr>
          <w:rFonts w:hAnsi="宋体" w:cs="宋体"/>
          <w:color w:val="auto"/>
          <w:highlight w:val="none"/>
        </w:rPr>
      </w:pPr>
    </w:p>
    <w:p>
      <w:pPr>
        <w:spacing w:line="500" w:lineRule="exact"/>
        <w:jc w:val="center"/>
        <w:outlineLvl w:val="1"/>
        <w:rPr>
          <w:rFonts w:hAnsi="宋体" w:cs="宋体"/>
          <w:b/>
          <w:color w:val="auto"/>
          <w:sz w:val="32"/>
          <w:szCs w:val="32"/>
          <w:highlight w:val="none"/>
        </w:rPr>
      </w:pPr>
      <w:bookmarkStart w:id="107" w:name="_Toc2048"/>
      <w:bookmarkStart w:id="108" w:name="_Toc363474022"/>
      <w:bookmarkStart w:id="109" w:name="_Toc29580"/>
      <w:bookmarkStart w:id="110" w:name="_Toc16604"/>
      <w:bookmarkStart w:id="111" w:name="_Toc19951"/>
      <w:bookmarkStart w:id="112" w:name="_Toc363473977"/>
      <w:bookmarkStart w:id="113" w:name="_Toc4923"/>
      <w:bookmarkStart w:id="114" w:name="_Toc403077644"/>
      <w:bookmarkStart w:id="115" w:name="_Toc25109"/>
      <w:bookmarkStart w:id="116" w:name="_Toc4292"/>
      <w:r>
        <w:rPr>
          <w:rFonts w:hint="eastAsia" w:hAnsi="宋体" w:cs="宋体"/>
          <w:b/>
          <w:color w:val="auto"/>
          <w:sz w:val="32"/>
          <w:szCs w:val="32"/>
          <w:highlight w:val="none"/>
        </w:rPr>
        <w:t>六.定标、中标通知与签约</w:t>
      </w:r>
      <w:bookmarkEnd w:id="107"/>
      <w:bookmarkEnd w:id="108"/>
      <w:bookmarkEnd w:id="109"/>
      <w:bookmarkEnd w:id="110"/>
      <w:bookmarkEnd w:id="111"/>
      <w:bookmarkEnd w:id="112"/>
      <w:bookmarkEnd w:id="113"/>
      <w:bookmarkEnd w:id="114"/>
      <w:bookmarkEnd w:id="115"/>
      <w:bookmarkEnd w:id="116"/>
    </w:p>
    <w:p>
      <w:pPr>
        <w:spacing w:line="500" w:lineRule="exact"/>
        <w:rPr>
          <w:rFonts w:hAnsi="宋体" w:cs="宋体"/>
          <w:b/>
          <w:color w:val="auto"/>
          <w:szCs w:val="24"/>
          <w:highlight w:val="none"/>
        </w:rPr>
      </w:pPr>
      <w:r>
        <w:rPr>
          <w:rFonts w:hint="eastAsia" w:hAnsi="宋体" w:cs="宋体"/>
          <w:b/>
          <w:color w:val="auto"/>
          <w:szCs w:val="24"/>
          <w:highlight w:val="none"/>
        </w:rPr>
        <w:t>26．定标程序</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26.1</w:t>
      </w:r>
      <w:r>
        <w:rPr>
          <w:rFonts w:hint="eastAsia" w:hAnsi="宋体" w:cs="宋体"/>
          <w:color w:val="auto"/>
          <w:szCs w:val="24"/>
          <w:highlight w:val="none"/>
          <w:lang w:eastAsia="zh-CN"/>
        </w:rPr>
        <w:t>磋商小组</w:t>
      </w:r>
      <w:r>
        <w:rPr>
          <w:rFonts w:hint="eastAsia" w:hAnsi="宋体" w:cs="宋体"/>
          <w:color w:val="auto"/>
          <w:szCs w:val="24"/>
          <w:highlight w:val="none"/>
        </w:rPr>
        <w:t>根据评标方法的规定对供应商进行评审排序，推荐3名中标候选人，作为评标结果。评标结果由</w:t>
      </w:r>
      <w:r>
        <w:rPr>
          <w:rFonts w:hint="eastAsia" w:hAnsi="宋体" w:cs="宋体"/>
          <w:color w:val="auto"/>
          <w:szCs w:val="24"/>
          <w:highlight w:val="none"/>
          <w:lang w:eastAsia="zh-CN"/>
        </w:rPr>
        <w:t>磋商小组</w:t>
      </w:r>
      <w:r>
        <w:rPr>
          <w:rFonts w:hint="eastAsia" w:hAnsi="宋体" w:cs="宋体"/>
          <w:color w:val="auto"/>
          <w:szCs w:val="24"/>
          <w:highlight w:val="none"/>
        </w:rPr>
        <w:t>成员签字确认。</w:t>
      </w:r>
    </w:p>
    <w:p>
      <w:pPr>
        <w:spacing w:line="500" w:lineRule="exact"/>
        <w:ind w:firstLine="420" w:firstLineChars="175"/>
        <w:rPr>
          <w:rFonts w:hAnsi="宋体" w:cs="宋体"/>
          <w:color w:val="auto"/>
          <w:szCs w:val="24"/>
          <w:highlight w:val="none"/>
        </w:rPr>
      </w:pPr>
      <w:r>
        <w:rPr>
          <w:rFonts w:hint="eastAsia" w:hAnsi="宋体" w:cs="宋体"/>
          <w:color w:val="auto"/>
          <w:szCs w:val="24"/>
          <w:highlight w:val="none"/>
        </w:rPr>
        <w:t>26.2</w:t>
      </w:r>
      <w:r>
        <w:rPr>
          <w:rFonts w:hint="eastAsia" w:hAnsi="宋体" w:cs="宋体"/>
          <w:color w:val="auto"/>
          <w:highlight w:val="none"/>
        </w:rPr>
        <w:t>采购代理机构在评标结束后2个工作日内将评标报告送采购人。采购人应当在收到评标报告后5个工作日内，按照评标报告中推荐的中标候选人顺序和有关规定确定中标人。</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26.3</w:t>
      </w:r>
      <w:r>
        <w:rPr>
          <w:rFonts w:hint="eastAsia" w:hAnsi="宋体" w:cs="宋体"/>
          <w:color w:val="auto"/>
          <w:highlight w:val="none"/>
        </w:rPr>
        <w:t>确定的中标候选人放弃中标、在规定期限内未能签订合同、因不可抗力不能履行合同、不按照</w:t>
      </w:r>
      <w:r>
        <w:rPr>
          <w:rFonts w:hint="eastAsia" w:hAnsi="宋体" w:cs="宋体"/>
          <w:color w:val="auto"/>
          <w:highlight w:val="none"/>
          <w:lang w:eastAsia="zh-CN"/>
        </w:rPr>
        <w:t>竞争性磋商文件</w:t>
      </w:r>
      <w:r>
        <w:rPr>
          <w:rFonts w:hint="eastAsia" w:hAnsi="宋体" w:cs="宋体"/>
          <w:color w:val="auto"/>
          <w:highlight w:val="none"/>
        </w:rPr>
        <w:t>要求提交履约保证金，或者被查实存在影响中标结果的违法行为等情形，不符合中标条件的，采购人可以按照</w:t>
      </w:r>
      <w:r>
        <w:rPr>
          <w:rFonts w:hint="eastAsia" w:hAnsi="宋体" w:cs="宋体"/>
          <w:color w:val="auto"/>
          <w:highlight w:val="none"/>
          <w:lang w:eastAsia="zh-CN"/>
        </w:rPr>
        <w:t>磋商小组</w:t>
      </w:r>
      <w:r>
        <w:rPr>
          <w:rFonts w:hint="eastAsia" w:hAnsi="宋体" w:cs="宋体"/>
          <w:color w:val="auto"/>
          <w:highlight w:val="none"/>
        </w:rPr>
        <w:t>提出的中标候选人名单排序依次确定其他中标候选人为中标人，也可以重新招标</w:t>
      </w:r>
      <w:r>
        <w:rPr>
          <w:rFonts w:hint="eastAsia" w:hAnsi="宋体" w:cs="宋体"/>
          <w:color w:val="auto"/>
          <w:szCs w:val="24"/>
          <w:highlight w:val="none"/>
        </w:rPr>
        <w:t>。</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26.4采购人也可以授权</w:t>
      </w:r>
      <w:r>
        <w:rPr>
          <w:rFonts w:hint="eastAsia" w:hAnsi="宋体" w:cs="宋体"/>
          <w:color w:val="auto"/>
          <w:szCs w:val="24"/>
          <w:highlight w:val="none"/>
          <w:lang w:eastAsia="zh-CN"/>
        </w:rPr>
        <w:t>磋商小组</w:t>
      </w:r>
      <w:r>
        <w:rPr>
          <w:rFonts w:hint="eastAsia" w:hAnsi="宋体" w:cs="宋体"/>
          <w:color w:val="auto"/>
          <w:szCs w:val="24"/>
          <w:highlight w:val="none"/>
        </w:rPr>
        <w:t>评标后直接确定中标人。</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26.5中标人确定之后，中标结果将在财政部门指定的政府采购信息发布媒体上公告。</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26.6供应商或者其他利害关系人对评标结果有异议的，应当在法律规定的时间内提出。</w:t>
      </w:r>
    </w:p>
    <w:p>
      <w:pPr>
        <w:spacing w:line="500" w:lineRule="exact"/>
        <w:rPr>
          <w:rFonts w:hAnsi="宋体" w:cs="宋体"/>
          <w:b/>
          <w:color w:val="auto"/>
          <w:szCs w:val="24"/>
          <w:highlight w:val="none"/>
        </w:rPr>
      </w:pPr>
      <w:r>
        <w:rPr>
          <w:rFonts w:hint="eastAsia" w:hAnsi="宋体" w:cs="宋体"/>
          <w:b/>
          <w:color w:val="auto"/>
          <w:szCs w:val="24"/>
          <w:highlight w:val="none"/>
        </w:rPr>
        <w:t>27．中标通知</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27.1 采购代理机构在发布中标公告后，向中标人发出《中标通知书》。</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27.2中标通知书对采购人和中标人具有同等法律效力。中标通知书发出之后，采购人改变中标结果，或者中标人放弃中标，应当承担相应的法律责任。</w:t>
      </w:r>
    </w:p>
    <w:p>
      <w:pPr>
        <w:spacing w:line="500" w:lineRule="exact"/>
        <w:rPr>
          <w:rFonts w:hAnsi="宋体" w:cs="宋体"/>
          <w:b/>
          <w:color w:val="auto"/>
          <w:szCs w:val="24"/>
          <w:highlight w:val="none"/>
        </w:rPr>
      </w:pPr>
      <w:r>
        <w:rPr>
          <w:rFonts w:hint="eastAsia" w:hAnsi="宋体" w:cs="宋体"/>
          <w:b/>
          <w:color w:val="auto"/>
          <w:szCs w:val="24"/>
          <w:highlight w:val="none"/>
        </w:rPr>
        <w:t>28. 中标合同的签订</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28.1采购人应当自中标通知书发出之日起三十日内，按照</w:t>
      </w:r>
      <w:r>
        <w:rPr>
          <w:rFonts w:hint="eastAsia" w:hAnsi="宋体" w:cs="宋体"/>
          <w:color w:val="auto"/>
          <w:szCs w:val="24"/>
          <w:highlight w:val="none"/>
          <w:lang w:eastAsia="zh-CN"/>
        </w:rPr>
        <w:t>竞争性磋商文件</w:t>
      </w:r>
      <w:r>
        <w:rPr>
          <w:rFonts w:hint="eastAsia" w:hAnsi="宋体" w:cs="宋体"/>
          <w:color w:val="auto"/>
          <w:szCs w:val="24"/>
          <w:highlight w:val="none"/>
        </w:rPr>
        <w:t>和中标人</w:t>
      </w:r>
      <w:r>
        <w:rPr>
          <w:rFonts w:hint="eastAsia" w:hAnsi="宋体" w:cs="宋体"/>
          <w:color w:val="auto"/>
          <w:szCs w:val="24"/>
          <w:highlight w:val="none"/>
          <w:lang w:eastAsia="zh-CN"/>
        </w:rPr>
        <w:t>响应文件</w:t>
      </w:r>
      <w:r>
        <w:rPr>
          <w:rFonts w:hint="eastAsia" w:hAnsi="宋体" w:cs="宋体"/>
          <w:color w:val="auto"/>
          <w:szCs w:val="24"/>
          <w:highlight w:val="none"/>
        </w:rPr>
        <w:t>（包括评标中形成的澄清文件）的约定，与中标人签订书面合同。所签订的合同不得对</w:t>
      </w:r>
      <w:r>
        <w:rPr>
          <w:rFonts w:hint="eastAsia" w:hAnsi="宋体" w:cs="宋体"/>
          <w:color w:val="auto"/>
          <w:szCs w:val="24"/>
          <w:highlight w:val="none"/>
          <w:lang w:eastAsia="zh-CN"/>
        </w:rPr>
        <w:t>竞争性磋商文件</w:t>
      </w:r>
      <w:r>
        <w:rPr>
          <w:rFonts w:hint="eastAsia" w:hAnsi="宋体" w:cs="宋体"/>
          <w:color w:val="auto"/>
          <w:szCs w:val="24"/>
          <w:highlight w:val="none"/>
        </w:rPr>
        <w:t>和中标人的</w:t>
      </w:r>
      <w:r>
        <w:rPr>
          <w:rFonts w:hint="eastAsia" w:hAnsi="宋体" w:cs="宋体"/>
          <w:color w:val="auto"/>
          <w:szCs w:val="24"/>
          <w:highlight w:val="none"/>
          <w:lang w:eastAsia="zh-CN"/>
        </w:rPr>
        <w:t>响应文件</w:t>
      </w:r>
      <w:r>
        <w:rPr>
          <w:rFonts w:hint="eastAsia" w:hAnsi="宋体" w:cs="宋体"/>
          <w:color w:val="auto"/>
          <w:szCs w:val="24"/>
          <w:highlight w:val="none"/>
        </w:rPr>
        <w:t>（包括评标中形成的澄清文件）作实质性修改。</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28.2采购人自采购合同签订之日起七个工作日内，将采购合同副本报同级人民政府财政部门备案。</w:t>
      </w:r>
    </w:p>
    <w:p>
      <w:pPr>
        <w:spacing w:line="500" w:lineRule="exact"/>
        <w:rPr>
          <w:rFonts w:hAnsi="宋体" w:cs="宋体"/>
          <w:b/>
          <w:color w:val="auto"/>
          <w:szCs w:val="24"/>
          <w:highlight w:val="none"/>
        </w:rPr>
      </w:pPr>
      <w:r>
        <w:rPr>
          <w:rFonts w:hint="eastAsia" w:hAnsi="宋体" w:cs="宋体"/>
          <w:b/>
          <w:color w:val="auto"/>
          <w:szCs w:val="24"/>
          <w:highlight w:val="none"/>
        </w:rPr>
        <w:t>29．招标代理服务费</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29.1</w:t>
      </w:r>
      <w:r>
        <w:rPr>
          <w:rFonts w:hint="eastAsia" w:hAnsi="宋体" w:cs="宋体"/>
          <w:color w:val="auto"/>
          <w:highlight w:val="none"/>
        </w:rPr>
        <w:t>按国家计委颁发的《招标代理服务收费管理暂行办法》（计价格[2002]1980号）和国家发展改革委员会办公厅颁发的《关于招标代理服务收费有关问题的通知》（发改办价格[2003]857号）的有关规定执行。</w:t>
      </w:r>
    </w:p>
    <w:p>
      <w:pPr>
        <w:spacing w:line="500" w:lineRule="exact"/>
        <w:ind w:firstLine="482" w:firstLineChars="200"/>
        <w:rPr>
          <w:rFonts w:hint="eastAsia" w:hAnsi="宋体" w:cs="宋体"/>
          <w:b/>
          <w:bCs/>
          <w:color w:val="auto"/>
          <w:szCs w:val="24"/>
          <w:highlight w:val="none"/>
        </w:rPr>
      </w:pPr>
      <w:r>
        <w:rPr>
          <w:rFonts w:hint="eastAsia" w:hAnsi="宋体" w:cs="宋体"/>
          <w:b/>
          <w:bCs/>
          <w:color w:val="auto"/>
          <w:szCs w:val="24"/>
          <w:highlight w:val="none"/>
        </w:rPr>
        <w:t>29</w:t>
      </w:r>
      <w:r>
        <w:rPr>
          <w:rFonts w:hint="eastAsia" w:hAnsi="宋体" w:cs="宋体"/>
          <w:b/>
          <w:bCs/>
          <w:color w:val="auto"/>
          <w:highlight w:val="none"/>
        </w:rPr>
        <w:t>.2</w:t>
      </w:r>
      <w:r>
        <w:rPr>
          <w:rFonts w:hint="eastAsia" w:hAnsi="宋体" w:cs="宋体"/>
          <w:b/>
          <w:bCs/>
          <w:color w:val="auto"/>
          <w:szCs w:val="24"/>
          <w:highlight w:val="none"/>
        </w:rPr>
        <w:t>中标人承担招标代理服务费，中标人在领取中标通知书前，须向采购代理机构一次性支付招标代理服务费。</w:t>
      </w:r>
    </w:p>
    <w:p>
      <w:pPr>
        <w:spacing w:line="500" w:lineRule="exact"/>
        <w:ind w:firstLine="482" w:firstLineChars="200"/>
        <w:rPr>
          <w:rFonts w:hint="default" w:hAnsi="宋体" w:cs="宋体"/>
          <w:b/>
          <w:bCs/>
          <w:color w:val="auto"/>
          <w:szCs w:val="24"/>
          <w:highlight w:val="none"/>
          <w:lang w:val="en-US" w:eastAsia="zh-CN"/>
        </w:rPr>
      </w:pPr>
      <w:r>
        <w:rPr>
          <w:rFonts w:hint="eastAsia" w:hAnsi="宋体" w:cs="宋体"/>
          <w:b/>
          <w:bCs/>
          <w:color w:val="auto"/>
          <w:szCs w:val="24"/>
          <w:highlight w:val="none"/>
          <w:lang w:val="en-US" w:eastAsia="zh-CN"/>
        </w:rPr>
        <w:t>29.3代理服务费缴纳账户</w:t>
      </w:r>
    </w:p>
    <w:p>
      <w:pPr>
        <w:spacing w:line="500" w:lineRule="exact"/>
        <w:ind w:firstLine="482" w:firstLineChars="200"/>
        <w:rPr>
          <w:rFonts w:hint="eastAsia" w:hAnsi="宋体" w:cs="宋体"/>
          <w:b/>
          <w:bCs/>
          <w:color w:val="auto"/>
          <w:szCs w:val="24"/>
          <w:highlight w:val="none"/>
          <w:lang w:val="zh-CN"/>
        </w:rPr>
      </w:pPr>
      <w:r>
        <w:rPr>
          <w:rFonts w:hint="eastAsia" w:hAnsi="宋体" w:cs="宋体"/>
          <w:b/>
          <w:bCs/>
          <w:color w:val="auto"/>
          <w:szCs w:val="24"/>
          <w:highlight w:val="none"/>
          <w:lang w:val="zh-CN"/>
        </w:rPr>
        <w:t>开户名称：陕西中采项目管理有限公司咸阳分公司</w:t>
      </w:r>
    </w:p>
    <w:p>
      <w:pPr>
        <w:spacing w:line="500" w:lineRule="exact"/>
        <w:ind w:firstLine="482" w:firstLineChars="200"/>
        <w:rPr>
          <w:rFonts w:hint="eastAsia" w:hAnsi="宋体" w:cs="宋体"/>
          <w:b/>
          <w:bCs/>
          <w:color w:val="auto"/>
          <w:szCs w:val="24"/>
          <w:highlight w:val="none"/>
          <w:lang w:val="zh-CN"/>
        </w:rPr>
      </w:pPr>
      <w:r>
        <w:rPr>
          <w:rFonts w:hint="eastAsia" w:hAnsi="宋体" w:cs="宋体"/>
          <w:b/>
          <w:bCs/>
          <w:color w:val="auto"/>
          <w:szCs w:val="24"/>
          <w:highlight w:val="none"/>
          <w:lang w:val="zh-CN"/>
        </w:rPr>
        <w:t>开户银行：中国建设银行股份有限公司咸阳世纪大道支行</w:t>
      </w:r>
    </w:p>
    <w:p>
      <w:pPr>
        <w:spacing w:line="500" w:lineRule="exact"/>
        <w:ind w:firstLine="482" w:firstLineChars="200"/>
        <w:rPr>
          <w:rFonts w:hint="eastAsia" w:hAnsi="宋体" w:cs="宋体"/>
          <w:b/>
          <w:bCs/>
          <w:color w:val="auto"/>
          <w:szCs w:val="24"/>
          <w:highlight w:val="none"/>
          <w:lang w:val="zh-CN"/>
        </w:rPr>
      </w:pPr>
      <w:r>
        <w:rPr>
          <w:rFonts w:hint="eastAsia" w:hAnsi="宋体" w:cs="宋体"/>
          <w:b/>
          <w:bCs/>
          <w:color w:val="auto"/>
          <w:szCs w:val="24"/>
          <w:highlight w:val="none"/>
          <w:lang w:val="zh-CN"/>
        </w:rPr>
        <w:t>账号：61050163500800001342</w:t>
      </w:r>
    </w:p>
    <w:p>
      <w:pPr>
        <w:spacing w:line="500" w:lineRule="exact"/>
        <w:ind w:firstLine="482" w:firstLineChars="200"/>
        <w:rPr>
          <w:rFonts w:hint="eastAsia" w:hAnsi="宋体" w:cs="宋体"/>
          <w:b/>
          <w:bCs/>
          <w:color w:val="auto"/>
          <w:szCs w:val="24"/>
          <w:highlight w:val="none"/>
        </w:rPr>
      </w:pPr>
      <w:r>
        <w:rPr>
          <w:rFonts w:hint="eastAsia" w:hAnsi="宋体" w:cs="宋体"/>
          <w:b/>
          <w:bCs/>
          <w:color w:val="auto"/>
          <w:szCs w:val="24"/>
          <w:highlight w:val="none"/>
          <w:lang w:val="zh-CN"/>
        </w:rPr>
        <w:t>行号:105795000128</w:t>
      </w:r>
    </w:p>
    <w:p>
      <w:pPr>
        <w:spacing w:line="500" w:lineRule="exact"/>
        <w:rPr>
          <w:rFonts w:hAnsi="宋体" w:cs="宋体"/>
          <w:b/>
          <w:bCs/>
          <w:color w:val="auto"/>
          <w:szCs w:val="24"/>
          <w:highlight w:val="none"/>
        </w:rPr>
      </w:pPr>
      <w:r>
        <w:rPr>
          <w:rFonts w:hint="eastAsia" w:hAnsi="宋体" w:cs="宋体"/>
          <w:b/>
          <w:bCs/>
          <w:color w:val="auto"/>
          <w:szCs w:val="24"/>
          <w:highlight w:val="none"/>
        </w:rPr>
        <w:t>30.履约验收</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30.1涉及履约验收的，验收费用由中标人支付，费用标准按中标金额的5‰计算，不足5000元的，按5000元收取。</w:t>
      </w:r>
    </w:p>
    <w:p>
      <w:pPr>
        <w:spacing w:line="500" w:lineRule="exact"/>
        <w:rPr>
          <w:rFonts w:hAnsi="宋体" w:cs="宋体"/>
          <w:b/>
          <w:bCs/>
          <w:color w:val="auto"/>
          <w:szCs w:val="24"/>
          <w:highlight w:val="none"/>
        </w:rPr>
      </w:pPr>
      <w:r>
        <w:rPr>
          <w:rFonts w:hint="eastAsia" w:hAnsi="宋体" w:cs="宋体"/>
          <w:b/>
          <w:bCs/>
          <w:color w:val="auto"/>
          <w:szCs w:val="24"/>
          <w:highlight w:val="none"/>
        </w:rPr>
        <w:t>31.质疑</w:t>
      </w:r>
    </w:p>
    <w:p>
      <w:pPr>
        <w:spacing w:line="500" w:lineRule="exact"/>
        <w:ind w:right="12" w:firstLine="480"/>
        <w:rPr>
          <w:rFonts w:hAnsi="宋体" w:cs="宋体"/>
          <w:color w:val="auto"/>
          <w:szCs w:val="24"/>
          <w:highlight w:val="none"/>
        </w:rPr>
      </w:pPr>
      <w:r>
        <w:rPr>
          <w:rFonts w:hint="eastAsia" w:hAnsi="宋体" w:cs="宋体"/>
          <w:color w:val="auto"/>
          <w:szCs w:val="24"/>
          <w:highlight w:val="none"/>
        </w:rPr>
        <w:t>31.1供应商认为</w:t>
      </w:r>
      <w:r>
        <w:rPr>
          <w:rFonts w:hint="eastAsia" w:hAnsi="宋体" w:cs="宋体"/>
          <w:color w:val="auto"/>
          <w:szCs w:val="24"/>
          <w:highlight w:val="none"/>
          <w:lang w:eastAsia="zh-CN"/>
        </w:rPr>
        <w:t>竞争性磋商文件</w:t>
      </w:r>
      <w:r>
        <w:rPr>
          <w:rFonts w:hint="eastAsia" w:hAnsi="宋体" w:cs="宋体"/>
          <w:color w:val="auto"/>
          <w:szCs w:val="24"/>
          <w:highlight w:val="none"/>
        </w:rPr>
        <w:t>、招标过程、中标结果使自己的权益受到损害的，可以在知道或者应知其权益受到损害之日起7个工作日内，以书面形式向采购人、采购代理机构提出质疑。</w:t>
      </w:r>
    </w:p>
    <w:p>
      <w:pPr>
        <w:spacing w:line="500" w:lineRule="exact"/>
        <w:ind w:right="12" w:firstLine="480"/>
        <w:rPr>
          <w:rStyle w:val="48"/>
          <w:rFonts w:hAnsi="宋体" w:cs="宋体"/>
          <w:bCs w:val="0"/>
          <w:color w:val="auto"/>
          <w:szCs w:val="24"/>
          <w:highlight w:val="none"/>
          <w:shd w:val="clear" w:color="auto" w:fill="FFFFFF"/>
        </w:rPr>
      </w:pPr>
      <w:r>
        <w:rPr>
          <w:rFonts w:hint="eastAsia" w:hAnsi="宋体" w:cs="宋体"/>
          <w:color w:val="auto"/>
          <w:szCs w:val="24"/>
          <w:highlight w:val="none"/>
        </w:rPr>
        <w:t>31.2供应商必须在法定质疑期内一次性提出针对同一采购程序环节的质疑。</w:t>
      </w:r>
    </w:p>
    <w:p>
      <w:pPr>
        <w:spacing w:line="500" w:lineRule="exact"/>
        <w:ind w:left="3" w:firstLine="518" w:firstLineChars="216"/>
        <w:rPr>
          <w:rStyle w:val="48"/>
          <w:rFonts w:hAnsi="宋体" w:cs="宋体"/>
          <w:b w:val="0"/>
          <w:color w:val="auto"/>
          <w:szCs w:val="24"/>
          <w:highlight w:val="none"/>
          <w:shd w:val="clear" w:color="auto" w:fill="FFFFFF"/>
        </w:rPr>
      </w:pPr>
      <w:r>
        <w:rPr>
          <w:rStyle w:val="48"/>
          <w:rFonts w:hint="eastAsia" w:hAnsi="宋体" w:cs="宋体"/>
          <w:b w:val="0"/>
          <w:color w:val="auto"/>
          <w:szCs w:val="24"/>
          <w:highlight w:val="none"/>
          <w:shd w:val="clear" w:color="auto" w:fill="FFFFFF"/>
        </w:rPr>
        <w:t>31.3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500" w:lineRule="exact"/>
        <w:ind w:left="3" w:firstLine="518" w:firstLineChars="216"/>
        <w:rPr>
          <w:rStyle w:val="48"/>
          <w:rFonts w:hAnsi="宋体" w:cs="宋体"/>
          <w:b w:val="0"/>
          <w:color w:val="auto"/>
          <w:szCs w:val="24"/>
          <w:highlight w:val="none"/>
          <w:shd w:val="clear" w:color="auto" w:fill="FFFFFF"/>
        </w:rPr>
      </w:pPr>
      <w:r>
        <w:rPr>
          <w:rStyle w:val="48"/>
          <w:rFonts w:hint="eastAsia" w:hAnsi="宋体" w:cs="宋体"/>
          <w:b w:val="0"/>
          <w:color w:val="auto"/>
          <w:szCs w:val="24"/>
          <w:highlight w:val="none"/>
          <w:shd w:val="clear" w:color="auto" w:fill="FFFFFF"/>
        </w:rPr>
        <w:t>31.4以联合体形式参加政府采购活动的，其质疑应当由组成联合体的所有供应商共同提出。</w:t>
      </w:r>
    </w:p>
    <w:p>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31.5供应商提出质疑应当提交质疑函和必要的证明材料。质疑函应当包括下列内容：</w:t>
      </w:r>
    </w:p>
    <w:p>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31.5.1供应商的姓名或者名称、地址、邮编、联系人及联系电话；</w:t>
      </w:r>
    </w:p>
    <w:p>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31.5.2质疑项目的名称、编号；</w:t>
      </w:r>
    </w:p>
    <w:p>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31.5.3具体、明确的质疑事项和与质疑事项相关的请求；</w:t>
      </w:r>
    </w:p>
    <w:p>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31.5.4事实依据；</w:t>
      </w:r>
    </w:p>
    <w:p>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31.5.5必要的法律依据；</w:t>
      </w:r>
    </w:p>
    <w:p>
      <w:pPr>
        <w:spacing w:line="500" w:lineRule="exact"/>
        <w:ind w:right="12" w:firstLine="480" w:firstLineChars="200"/>
        <w:rPr>
          <w:rStyle w:val="48"/>
          <w:rFonts w:hAnsi="宋体" w:cs="宋体"/>
          <w:b w:val="0"/>
          <w:color w:val="auto"/>
          <w:szCs w:val="24"/>
          <w:highlight w:val="none"/>
          <w:shd w:val="clear" w:color="auto" w:fill="FFFFFF"/>
        </w:rPr>
      </w:pPr>
      <w:r>
        <w:rPr>
          <w:rFonts w:hint="eastAsia" w:hAnsi="宋体" w:cs="宋体"/>
          <w:color w:val="auto"/>
          <w:szCs w:val="24"/>
          <w:highlight w:val="none"/>
        </w:rPr>
        <w:t>31.5.6提出质疑的日期。</w:t>
      </w:r>
    </w:p>
    <w:p>
      <w:pPr>
        <w:widowControl/>
        <w:spacing w:line="500" w:lineRule="exact"/>
        <w:ind w:firstLine="480" w:firstLineChars="200"/>
        <w:rPr>
          <w:rFonts w:hAnsi="宋体" w:cs="宋体"/>
          <w:color w:val="auto"/>
          <w:highlight w:val="none"/>
        </w:rPr>
      </w:pPr>
      <w:r>
        <w:rPr>
          <w:rFonts w:hint="eastAsia" w:hAnsi="宋体" w:cs="宋体"/>
          <w:color w:val="auto"/>
          <w:highlight w:val="none"/>
        </w:rPr>
        <w:t>31.6有下列情形之一的，属于无效质疑，采购代理机构和采购人不予受理：</w:t>
      </w:r>
    </w:p>
    <w:p>
      <w:pPr>
        <w:widowControl/>
        <w:spacing w:line="500" w:lineRule="exact"/>
        <w:ind w:firstLine="480" w:firstLineChars="200"/>
        <w:rPr>
          <w:rFonts w:hAnsi="宋体" w:cs="宋体"/>
          <w:color w:val="auto"/>
          <w:highlight w:val="none"/>
        </w:rPr>
      </w:pPr>
      <w:r>
        <w:rPr>
          <w:rFonts w:hint="eastAsia" w:hAnsi="宋体" w:cs="宋体"/>
          <w:color w:val="auto"/>
          <w:highlight w:val="none"/>
        </w:rPr>
        <w:t>31.6.1质疑供应商不是参与本次政府采购项目的供应商；</w:t>
      </w:r>
    </w:p>
    <w:p>
      <w:pPr>
        <w:widowControl/>
        <w:spacing w:line="500" w:lineRule="exact"/>
        <w:ind w:firstLine="480" w:firstLineChars="200"/>
        <w:rPr>
          <w:rFonts w:hAnsi="宋体" w:cs="宋体"/>
          <w:color w:val="auto"/>
          <w:highlight w:val="none"/>
        </w:rPr>
      </w:pPr>
      <w:r>
        <w:rPr>
          <w:rFonts w:hint="eastAsia" w:hAnsi="宋体" w:cs="宋体"/>
          <w:color w:val="auto"/>
          <w:highlight w:val="none"/>
        </w:rPr>
        <w:t>31.6.2质疑供应商与质疑事项不存在利害关系的；</w:t>
      </w:r>
    </w:p>
    <w:p>
      <w:pPr>
        <w:widowControl/>
        <w:spacing w:line="500" w:lineRule="exact"/>
        <w:ind w:firstLine="480" w:firstLineChars="200"/>
        <w:rPr>
          <w:rFonts w:hAnsi="宋体" w:cs="宋体"/>
          <w:color w:val="auto"/>
          <w:highlight w:val="none"/>
        </w:rPr>
      </w:pPr>
      <w:r>
        <w:rPr>
          <w:rFonts w:hint="eastAsia" w:hAnsi="宋体" w:cs="宋体"/>
          <w:color w:val="auto"/>
          <w:highlight w:val="none"/>
        </w:rPr>
        <w:t>31.6.3未在法定期限内提出质疑的；</w:t>
      </w:r>
    </w:p>
    <w:p>
      <w:pPr>
        <w:widowControl/>
        <w:spacing w:line="500" w:lineRule="exact"/>
        <w:ind w:firstLine="480" w:firstLineChars="200"/>
        <w:rPr>
          <w:rFonts w:hAnsi="宋体" w:cs="宋体"/>
          <w:color w:val="auto"/>
          <w:highlight w:val="none"/>
        </w:rPr>
      </w:pPr>
      <w:r>
        <w:rPr>
          <w:rFonts w:hint="eastAsia" w:hAnsi="宋体" w:cs="宋体"/>
          <w:color w:val="auto"/>
          <w:highlight w:val="none"/>
        </w:rPr>
        <w:t>31.6.4质疑未以书面形式提出，或质疑函主要内容构成不完整的；</w:t>
      </w:r>
    </w:p>
    <w:p>
      <w:pPr>
        <w:widowControl/>
        <w:spacing w:line="500" w:lineRule="exact"/>
        <w:ind w:firstLine="480" w:firstLineChars="200"/>
        <w:rPr>
          <w:rFonts w:hAnsi="宋体" w:cs="宋体"/>
          <w:color w:val="auto"/>
          <w:highlight w:val="none"/>
        </w:rPr>
      </w:pPr>
      <w:r>
        <w:rPr>
          <w:rFonts w:hint="eastAsia" w:hAnsi="宋体" w:cs="宋体"/>
          <w:color w:val="auto"/>
          <w:highlight w:val="none"/>
        </w:rPr>
        <w:t>31.6.5应当提交授权书而未提交的；</w:t>
      </w:r>
    </w:p>
    <w:p>
      <w:pPr>
        <w:widowControl/>
        <w:spacing w:line="500" w:lineRule="exact"/>
        <w:ind w:firstLine="480" w:firstLineChars="200"/>
        <w:rPr>
          <w:rFonts w:hAnsi="宋体" w:cs="宋体"/>
          <w:color w:val="auto"/>
          <w:highlight w:val="none"/>
        </w:rPr>
      </w:pPr>
      <w:r>
        <w:rPr>
          <w:rFonts w:hint="eastAsia" w:hAnsi="宋体" w:cs="宋体"/>
          <w:color w:val="auto"/>
          <w:highlight w:val="none"/>
        </w:rPr>
        <w:t>31.6.6以非法手段取得证据、材料的；</w:t>
      </w:r>
    </w:p>
    <w:p>
      <w:pPr>
        <w:widowControl/>
        <w:spacing w:line="500" w:lineRule="exact"/>
        <w:ind w:firstLine="480" w:firstLineChars="200"/>
        <w:rPr>
          <w:rFonts w:hAnsi="宋体" w:cs="宋体"/>
          <w:color w:val="auto"/>
          <w:highlight w:val="none"/>
        </w:rPr>
      </w:pPr>
      <w:r>
        <w:rPr>
          <w:rFonts w:hint="eastAsia" w:hAnsi="宋体" w:cs="宋体"/>
          <w:color w:val="auto"/>
          <w:highlight w:val="none"/>
        </w:rPr>
        <w:t>31.6.7质疑答复后，同一质疑人就同一事项或同一采购程序环节再次提出质疑的；</w:t>
      </w:r>
    </w:p>
    <w:p>
      <w:pPr>
        <w:widowControl/>
        <w:spacing w:line="500" w:lineRule="exact"/>
        <w:ind w:firstLine="480" w:firstLineChars="200"/>
        <w:rPr>
          <w:rStyle w:val="48"/>
          <w:rFonts w:hAnsi="宋体" w:cs="宋体"/>
          <w:b w:val="0"/>
          <w:color w:val="auto"/>
          <w:szCs w:val="24"/>
          <w:highlight w:val="none"/>
          <w:shd w:val="clear" w:color="auto" w:fill="FFFFFF"/>
        </w:rPr>
      </w:pPr>
      <w:r>
        <w:rPr>
          <w:rFonts w:hint="eastAsia" w:hAnsi="宋体" w:cs="宋体"/>
          <w:color w:val="auto"/>
          <w:highlight w:val="none"/>
        </w:rPr>
        <w:t>31.6.8不符合法律、法规、规章和政府采购监管机构规定的其他条件的。</w:t>
      </w:r>
    </w:p>
    <w:p>
      <w:pPr>
        <w:spacing w:line="500" w:lineRule="exact"/>
        <w:ind w:right="12"/>
        <w:rPr>
          <w:rFonts w:hAnsi="宋体" w:cs="宋体"/>
          <w:color w:val="auto"/>
          <w:szCs w:val="24"/>
          <w:highlight w:val="none"/>
        </w:rPr>
      </w:pPr>
      <w:r>
        <w:rPr>
          <w:rFonts w:hint="eastAsia" w:hAnsi="宋体" w:cs="宋体"/>
          <w:color w:val="auto"/>
          <w:szCs w:val="24"/>
          <w:highlight w:val="none"/>
        </w:rPr>
        <w:t xml:space="preserve">    31.7质疑答复</w:t>
      </w:r>
    </w:p>
    <w:p>
      <w:pPr>
        <w:pStyle w:val="177"/>
        <w:spacing w:line="500" w:lineRule="exact"/>
        <w:ind w:firstLine="480"/>
        <w:jc w:val="left"/>
        <w:rPr>
          <w:rFonts w:hAnsi="宋体" w:cs="宋体"/>
          <w:color w:val="auto"/>
          <w:szCs w:val="24"/>
          <w:highlight w:val="none"/>
        </w:rPr>
      </w:pPr>
      <w:r>
        <w:rPr>
          <w:rFonts w:hint="eastAsia" w:hAnsi="宋体" w:cs="宋体"/>
          <w:color w:val="auto"/>
          <w:szCs w:val="24"/>
          <w:highlight w:val="none"/>
        </w:rPr>
        <w:t>31.7.1采购人或采购代理机构在收到质疑函后7个工作日内作出答复，并以书面形式通知质疑供应商和其他有关供应商。</w:t>
      </w:r>
    </w:p>
    <w:p>
      <w:pPr>
        <w:pStyle w:val="177"/>
        <w:spacing w:line="500" w:lineRule="exact"/>
        <w:ind w:firstLine="480" w:firstLineChars="0"/>
        <w:jc w:val="left"/>
        <w:rPr>
          <w:rFonts w:hAnsi="宋体" w:cs="宋体"/>
          <w:color w:val="auto"/>
          <w:szCs w:val="24"/>
          <w:highlight w:val="none"/>
        </w:rPr>
      </w:pPr>
      <w:r>
        <w:rPr>
          <w:rFonts w:hint="eastAsia" w:hAnsi="宋体" w:cs="宋体"/>
          <w:color w:val="auto"/>
          <w:szCs w:val="24"/>
          <w:highlight w:val="none"/>
        </w:rPr>
        <w:t>31.7.2质疑供应商对采购人、采购代理机构的答复不满意，或者采购人、采购代理机构未在规定时间内作出答复的，可以在答复期满后</w:t>
      </w:r>
      <w:r>
        <w:rPr>
          <w:rFonts w:hint="eastAsia" w:hAnsi="宋体" w:cs="宋体"/>
          <w:color w:val="auto"/>
          <w:szCs w:val="24"/>
          <w:highlight w:val="none"/>
          <w:lang w:val="en-US" w:eastAsia="zh-CN"/>
        </w:rPr>
        <w:t>7</w:t>
      </w:r>
      <w:r>
        <w:rPr>
          <w:rFonts w:hint="eastAsia" w:hAnsi="宋体" w:cs="宋体"/>
          <w:color w:val="auto"/>
          <w:szCs w:val="24"/>
          <w:highlight w:val="none"/>
        </w:rPr>
        <w:t>个工作日内向</w:t>
      </w:r>
      <w:r>
        <w:rPr>
          <w:rFonts w:hint="eastAsia" w:hAnsi="宋体" w:cs="宋体"/>
          <w:b/>
          <w:bCs/>
          <w:color w:val="auto"/>
          <w:szCs w:val="24"/>
          <w:highlight w:val="none"/>
          <w:lang w:eastAsia="zh-CN"/>
        </w:rPr>
        <w:t>淳化县财政局</w:t>
      </w:r>
      <w:r>
        <w:rPr>
          <w:rFonts w:hint="eastAsia" w:hAnsi="宋体" w:cs="宋体"/>
          <w:color w:val="auto"/>
          <w:szCs w:val="24"/>
          <w:highlight w:val="none"/>
        </w:rPr>
        <w:t>提起投诉。</w:t>
      </w:r>
    </w:p>
    <w:p>
      <w:pPr>
        <w:pStyle w:val="177"/>
        <w:spacing w:line="500" w:lineRule="exact"/>
        <w:ind w:firstLine="480" w:firstLineChars="0"/>
        <w:jc w:val="left"/>
        <w:rPr>
          <w:rFonts w:hAnsi="宋体" w:cs="宋体"/>
          <w:color w:val="auto"/>
          <w:szCs w:val="24"/>
          <w:highlight w:val="none"/>
        </w:rPr>
      </w:pPr>
      <w:r>
        <w:rPr>
          <w:rFonts w:hint="eastAsia" w:hAnsi="宋体" w:cs="宋体"/>
          <w:color w:val="auto"/>
          <w:szCs w:val="24"/>
          <w:highlight w:val="none"/>
        </w:rPr>
        <w:t>31.8.1质疑函须按财政部《质疑函范本》给定的格式进行填写，范本下载详见【财政部国库司（gks.mof.gov.cn）】网站〖首页·政府采购管理〗栏目中的《政府采购供应商质疑函范本》。《政府采购供应商质疑函范本》链接地址：</w:t>
      </w:r>
    </w:p>
    <w:p>
      <w:pPr>
        <w:pStyle w:val="177"/>
        <w:spacing w:line="500" w:lineRule="exact"/>
        <w:ind w:firstLine="480" w:firstLineChars="0"/>
        <w:jc w:val="left"/>
        <w:rPr>
          <w:rFonts w:hAnsi="宋体" w:cs="宋体"/>
          <w:color w:val="auto"/>
          <w:szCs w:val="24"/>
          <w:highlight w:val="none"/>
        </w:rPr>
      </w:pPr>
      <w:r>
        <w:rPr>
          <w:rFonts w:hint="eastAsia" w:hAnsi="宋体" w:cs="宋体"/>
          <w:color w:val="auto"/>
          <w:szCs w:val="24"/>
          <w:highlight w:val="none"/>
        </w:rPr>
        <w:t>http://gks.mof.gov.cn/zhengfucaigouguanli/201802/t20180201_2804589.html</w:t>
      </w:r>
    </w:p>
    <w:p>
      <w:pPr>
        <w:pStyle w:val="177"/>
        <w:spacing w:line="500" w:lineRule="exact"/>
        <w:ind w:firstLine="480" w:firstLineChars="0"/>
        <w:jc w:val="left"/>
        <w:rPr>
          <w:rFonts w:hAnsi="宋体" w:cs="宋体"/>
          <w:color w:val="auto"/>
          <w:szCs w:val="24"/>
          <w:highlight w:val="none"/>
        </w:rPr>
      </w:pPr>
      <w:r>
        <w:rPr>
          <w:rFonts w:hint="eastAsia" w:hAnsi="宋体" w:cs="宋体"/>
          <w:color w:val="auto"/>
          <w:szCs w:val="24"/>
          <w:highlight w:val="none"/>
        </w:rPr>
        <w:t>31.8.2接收质疑函的方式：书面形式</w:t>
      </w:r>
    </w:p>
    <w:p>
      <w:pPr>
        <w:pStyle w:val="177"/>
        <w:spacing w:line="500" w:lineRule="exact"/>
        <w:ind w:firstLine="480" w:firstLineChars="0"/>
        <w:jc w:val="left"/>
        <w:rPr>
          <w:rFonts w:hint="eastAsia" w:hAnsi="宋体" w:eastAsia="宋体" w:cs="宋体"/>
          <w:color w:val="auto"/>
          <w:szCs w:val="24"/>
          <w:highlight w:val="none"/>
          <w:lang w:eastAsia="zh-CN"/>
        </w:rPr>
      </w:pPr>
      <w:r>
        <w:rPr>
          <w:rFonts w:hint="eastAsia" w:hAnsi="宋体" w:cs="宋体"/>
          <w:color w:val="auto"/>
          <w:szCs w:val="24"/>
          <w:highlight w:val="none"/>
        </w:rPr>
        <w:t>31.8.3联系部门：</w:t>
      </w:r>
      <w:r>
        <w:rPr>
          <w:rFonts w:hint="eastAsia" w:hAnsi="宋体" w:cs="宋体"/>
          <w:color w:val="auto"/>
          <w:szCs w:val="24"/>
          <w:highlight w:val="none"/>
          <w:lang w:eastAsia="zh-CN"/>
        </w:rPr>
        <w:t>陕西中采项目管理有限公司</w:t>
      </w:r>
    </w:p>
    <w:p>
      <w:pPr>
        <w:pStyle w:val="177"/>
        <w:spacing w:line="500" w:lineRule="exact"/>
        <w:ind w:firstLine="480" w:firstLineChars="0"/>
        <w:jc w:val="left"/>
        <w:rPr>
          <w:rFonts w:hAnsi="宋体" w:cs="宋体"/>
          <w:color w:val="auto"/>
          <w:szCs w:val="24"/>
          <w:highlight w:val="none"/>
        </w:rPr>
      </w:pPr>
      <w:r>
        <w:rPr>
          <w:rFonts w:hint="eastAsia" w:hAnsi="宋体" w:cs="宋体"/>
          <w:color w:val="auto"/>
          <w:szCs w:val="24"/>
          <w:highlight w:val="none"/>
        </w:rPr>
        <w:t>31.8.4联系电话：029-38990618</w:t>
      </w:r>
    </w:p>
    <w:p>
      <w:pPr>
        <w:pStyle w:val="177"/>
        <w:spacing w:line="500" w:lineRule="exact"/>
        <w:ind w:firstLine="480" w:firstLineChars="0"/>
        <w:jc w:val="left"/>
        <w:rPr>
          <w:rFonts w:hint="eastAsia" w:hAnsi="宋体" w:eastAsia="宋体" w:cs="宋体"/>
          <w:color w:val="auto"/>
          <w:szCs w:val="24"/>
          <w:highlight w:val="none"/>
          <w:lang w:eastAsia="zh-CN"/>
        </w:rPr>
      </w:pPr>
      <w:r>
        <w:rPr>
          <w:rFonts w:hint="eastAsia" w:hAnsi="宋体" w:cs="宋体"/>
          <w:color w:val="auto"/>
          <w:szCs w:val="24"/>
          <w:highlight w:val="none"/>
        </w:rPr>
        <w:t>31.8.5通讯地址：</w:t>
      </w:r>
      <w:r>
        <w:rPr>
          <w:rFonts w:hint="eastAsia" w:hAnsi="宋体" w:cs="宋体"/>
          <w:color w:val="auto"/>
          <w:szCs w:val="24"/>
          <w:highlight w:val="none"/>
          <w:lang w:eastAsia="zh-CN"/>
        </w:rPr>
        <w:t>西咸新区世纪大道铁投V领郡4号楼13层</w:t>
      </w:r>
    </w:p>
    <w:p>
      <w:pPr>
        <w:spacing w:line="500" w:lineRule="exact"/>
        <w:rPr>
          <w:rFonts w:hAnsi="宋体" w:cs="宋体"/>
          <w:color w:val="auto"/>
          <w:szCs w:val="24"/>
          <w:highlight w:val="none"/>
        </w:rPr>
      </w:pPr>
      <w:r>
        <w:rPr>
          <w:rFonts w:hint="eastAsia" w:hAnsi="宋体" w:cs="宋体"/>
          <w:b/>
          <w:bCs/>
          <w:color w:val="auto"/>
          <w:szCs w:val="24"/>
          <w:highlight w:val="none"/>
        </w:rPr>
        <w:t>32.其他</w:t>
      </w:r>
    </w:p>
    <w:p>
      <w:pPr>
        <w:spacing w:line="500" w:lineRule="exact"/>
        <w:ind w:firstLine="480" w:firstLineChars="200"/>
        <w:rPr>
          <w:rFonts w:hAnsi="宋体" w:cs="宋体"/>
          <w:color w:val="auto"/>
          <w:highlight w:val="none"/>
        </w:rPr>
      </w:pPr>
      <w:r>
        <w:rPr>
          <w:rFonts w:hint="eastAsia" w:hAnsi="宋体" w:cs="宋体"/>
          <w:color w:val="auto"/>
          <w:highlight w:val="none"/>
        </w:rPr>
        <w:t>32.1 废标的情形</w:t>
      </w:r>
    </w:p>
    <w:p>
      <w:pPr>
        <w:spacing w:line="500" w:lineRule="exact"/>
        <w:ind w:firstLine="480" w:firstLineChars="200"/>
        <w:rPr>
          <w:rFonts w:hAnsi="宋体" w:cs="宋体"/>
          <w:color w:val="auto"/>
          <w:highlight w:val="none"/>
        </w:rPr>
      </w:pPr>
      <w:r>
        <w:rPr>
          <w:rFonts w:hint="eastAsia" w:hAnsi="宋体" w:cs="宋体"/>
          <w:color w:val="auto"/>
          <w:highlight w:val="none"/>
        </w:rPr>
        <w:t>32.1.1招标采购中，出现下列情形之一的，应予以废标：</w:t>
      </w:r>
    </w:p>
    <w:p>
      <w:pPr>
        <w:spacing w:line="500" w:lineRule="exact"/>
        <w:ind w:firstLine="480" w:firstLineChars="200"/>
        <w:rPr>
          <w:rFonts w:hAnsi="宋体" w:cs="宋体"/>
          <w:color w:val="auto"/>
          <w:highlight w:val="none"/>
        </w:rPr>
      </w:pPr>
      <w:r>
        <w:rPr>
          <w:rFonts w:hint="eastAsia" w:hAnsi="宋体" w:cs="宋体"/>
          <w:color w:val="auto"/>
          <w:highlight w:val="none"/>
        </w:rPr>
        <w:t>（1）符合专业条件的供应商或者对</w:t>
      </w:r>
      <w:r>
        <w:rPr>
          <w:rFonts w:hint="eastAsia" w:hAnsi="宋体" w:cs="宋体"/>
          <w:color w:val="auto"/>
          <w:highlight w:val="none"/>
          <w:lang w:eastAsia="zh-CN"/>
        </w:rPr>
        <w:t>竞争性磋商文件</w:t>
      </w:r>
      <w:r>
        <w:rPr>
          <w:rFonts w:hint="eastAsia" w:hAnsi="宋体" w:cs="宋体"/>
          <w:color w:val="auto"/>
          <w:highlight w:val="none"/>
        </w:rPr>
        <w:t>作实质响应的供应商不足3家的；</w:t>
      </w:r>
    </w:p>
    <w:p>
      <w:pPr>
        <w:spacing w:line="500" w:lineRule="exact"/>
        <w:ind w:firstLine="480" w:firstLineChars="200"/>
        <w:rPr>
          <w:rFonts w:hAnsi="宋体" w:cs="宋体"/>
          <w:color w:val="auto"/>
          <w:highlight w:val="none"/>
        </w:rPr>
      </w:pPr>
      <w:r>
        <w:rPr>
          <w:rFonts w:hint="eastAsia" w:hAnsi="宋体" w:cs="宋体"/>
          <w:color w:val="auto"/>
          <w:highlight w:val="none"/>
        </w:rPr>
        <w:t>（2）出现影响采购公正的违法、违规行为的；</w:t>
      </w:r>
    </w:p>
    <w:p>
      <w:pPr>
        <w:spacing w:line="500" w:lineRule="exact"/>
        <w:ind w:firstLine="480" w:firstLineChars="200"/>
        <w:rPr>
          <w:rFonts w:hAnsi="宋体" w:cs="宋体"/>
          <w:color w:val="auto"/>
          <w:highlight w:val="none"/>
        </w:rPr>
      </w:pPr>
      <w:r>
        <w:rPr>
          <w:rFonts w:hint="eastAsia" w:hAnsi="宋体" w:cs="宋体"/>
          <w:color w:val="auto"/>
          <w:highlight w:val="none"/>
        </w:rPr>
        <w:t>（3）供应商的报价均超过了采购预算，采购人不能支付的；</w:t>
      </w:r>
    </w:p>
    <w:p>
      <w:pPr>
        <w:spacing w:line="500" w:lineRule="exact"/>
        <w:ind w:firstLine="480" w:firstLineChars="200"/>
        <w:rPr>
          <w:rFonts w:hAnsi="宋体" w:cs="宋体"/>
          <w:color w:val="auto"/>
          <w:highlight w:val="none"/>
        </w:rPr>
      </w:pPr>
      <w:r>
        <w:rPr>
          <w:rFonts w:hint="eastAsia" w:hAnsi="宋体" w:cs="宋体"/>
          <w:color w:val="auto"/>
          <w:highlight w:val="none"/>
        </w:rPr>
        <w:t>（4）因重大变故，采购任务取消的。</w:t>
      </w:r>
    </w:p>
    <w:p>
      <w:pPr>
        <w:spacing w:line="500" w:lineRule="exact"/>
        <w:ind w:firstLine="480" w:firstLineChars="200"/>
        <w:rPr>
          <w:rFonts w:hAnsi="宋体" w:cs="宋体"/>
          <w:color w:val="auto"/>
          <w:highlight w:val="none"/>
        </w:rPr>
      </w:pPr>
      <w:r>
        <w:rPr>
          <w:rFonts w:hint="eastAsia" w:hAnsi="宋体" w:cs="宋体"/>
          <w:color w:val="auto"/>
          <w:highlight w:val="none"/>
        </w:rPr>
        <w:t>32.1.2废标后，采购代理机构应在财政部门指定采购网上公告，并公告废标的详细理由。</w:t>
      </w:r>
    </w:p>
    <w:p>
      <w:pPr>
        <w:spacing w:line="500" w:lineRule="exact"/>
        <w:ind w:firstLine="480" w:firstLineChars="200"/>
        <w:rPr>
          <w:rFonts w:hAnsi="宋体" w:cs="宋体"/>
          <w:color w:val="auto"/>
          <w:highlight w:val="none"/>
        </w:rPr>
      </w:pPr>
      <w:r>
        <w:rPr>
          <w:rFonts w:hint="eastAsia" w:hAnsi="宋体" w:cs="宋体"/>
          <w:color w:val="auto"/>
          <w:highlight w:val="none"/>
        </w:rPr>
        <w:t>32.2变更采购方式</w:t>
      </w:r>
    </w:p>
    <w:p>
      <w:pPr>
        <w:spacing w:line="500" w:lineRule="exact"/>
        <w:ind w:firstLine="480" w:firstLineChars="200"/>
        <w:rPr>
          <w:rFonts w:hAnsi="宋体" w:cs="宋体"/>
          <w:color w:val="auto"/>
          <w:highlight w:val="none"/>
        </w:rPr>
      </w:pPr>
      <w:r>
        <w:rPr>
          <w:rFonts w:hint="eastAsia" w:hAnsi="宋体" w:cs="宋体"/>
          <w:color w:val="auto"/>
          <w:highlight w:val="none"/>
        </w:rPr>
        <w:t>32.2.1存在下列情形之一的，除采购任务取消情形外，采购人经同级财政部门同意后，可按《政府采购货物和服务招标投标管理办法》（财政部87号令）第四十三条规定的方式处理：</w:t>
      </w:r>
    </w:p>
    <w:p>
      <w:pPr>
        <w:spacing w:line="500" w:lineRule="exact"/>
        <w:ind w:firstLine="480" w:firstLineChars="200"/>
        <w:rPr>
          <w:rFonts w:hAnsi="宋体" w:cs="宋体"/>
          <w:color w:val="auto"/>
          <w:highlight w:val="none"/>
        </w:rPr>
      </w:pPr>
      <w:r>
        <w:rPr>
          <w:rFonts w:hint="eastAsia" w:hAnsi="宋体" w:cs="宋体"/>
          <w:color w:val="auto"/>
          <w:highlight w:val="none"/>
        </w:rPr>
        <w:t>（1）投标截止后参加投标的人不足3家的；</w:t>
      </w:r>
    </w:p>
    <w:p>
      <w:pPr>
        <w:spacing w:line="500" w:lineRule="exact"/>
        <w:ind w:firstLine="480" w:firstLineChars="200"/>
        <w:rPr>
          <w:rFonts w:hAnsi="宋体" w:cs="宋体"/>
          <w:color w:val="auto"/>
          <w:highlight w:val="none"/>
        </w:rPr>
      </w:pPr>
      <w:r>
        <w:rPr>
          <w:rFonts w:hint="eastAsia" w:hAnsi="宋体" w:cs="宋体"/>
          <w:color w:val="auto"/>
          <w:highlight w:val="none"/>
        </w:rPr>
        <w:t>（2）通过资格审查的供应商不足3家的；</w:t>
      </w:r>
    </w:p>
    <w:p>
      <w:pPr>
        <w:spacing w:line="500" w:lineRule="exact"/>
        <w:ind w:firstLine="480" w:firstLineChars="200"/>
        <w:rPr>
          <w:rFonts w:hAnsi="宋体" w:cs="宋体"/>
          <w:color w:val="auto"/>
          <w:highlight w:val="none"/>
        </w:rPr>
      </w:pPr>
      <w:r>
        <w:rPr>
          <w:rFonts w:hint="eastAsia" w:hAnsi="宋体" w:cs="宋体"/>
          <w:color w:val="auto"/>
          <w:highlight w:val="none"/>
        </w:rPr>
        <w:t>（3）通过符合性审查的供应商不足3家的。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cs="宋体"/>
          <w:b/>
          <w:color w:val="auto"/>
          <w:sz w:val="24"/>
          <w:highlight w:val="none"/>
        </w:rPr>
      </w:pPr>
      <w:bookmarkStart w:id="117" w:name="_Toc1758"/>
      <w:bookmarkStart w:id="118" w:name="_Toc11810"/>
      <w:bookmarkStart w:id="119" w:name="_Toc3798"/>
      <w:bookmarkStart w:id="120" w:name="_Toc403077645"/>
      <w:bookmarkStart w:id="121" w:name="_Toc15898"/>
      <w:bookmarkStart w:id="122" w:name="_Toc426457694"/>
      <w:bookmarkStart w:id="123" w:name="_Toc363474023"/>
      <w:r>
        <w:rPr>
          <w:rFonts w:hint="eastAsia" w:hAnsi="宋体" w:cs="宋体"/>
          <w:b/>
          <w:color w:val="auto"/>
          <w:sz w:val="24"/>
          <w:highlight w:val="none"/>
          <w:lang w:val="en-US" w:eastAsia="zh-CN"/>
        </w:rPr>
        <w:t>33、</w:t>
      </w:r>
      <w:r>
        <w:rPr>
          <w:rFonts w:hint="eastAsia" w:ascii="宋体" w:hAnsi="宋体" w:cs="宋体"/>
          <w:b/>
          <w:color w:val="auto"/>
          <w:sz w:val="24"/>
          <w:highlight w:val="none"/>
        </w:rPr>
        <w:t>付款方式：</w:t>
      </w:r>
    </w:p>
    <w:p>
      <w:pPr>
        <w:autoSpaceDE w:val="0"/>
        <w:autoSpaceDN w:val="0"/>
        <w:adjustRightInd w:val="0"/>
        <w:snapToGrid w:val="0"/>
        <w:spacing w:line="360" w:lineRule="auto"/>
        <w:ind w:firstLine="480" w:firstLineChars="200"/>
        <w:outlineLvl w:val="1"/>
        <w:rPr>
          <w:rFonts w:hint="default" w:ascii="宋体" w:hAnsi="宋体" w:cs="宋体"/>
          <w:color w:val="auto"/>
          <w:sz w:val="24"/>
          <w:highlight w:val="none"/>
          <w:shd w:val="clear" w:color="auto" w:fill="auto"/>
          <w:lang w:val="en-US" w:eastAsia="zh-CN"/>
        </w:rPr>
      </w:pPr>
      <w:bookmarkStart w:id="124" w:name="_Toc19990"/>
      <w:bookmarkStart w:id="125" w:name="_Toc21956"/>
      <w:r>
        <w:rPr>
          <w:rFonts w:hint="eastAsia" w:hAnsi="宋体" w:cs="宋体"/>
          <w:color w:val="auto"/>
          <w:sz w:val="24"/>
          <w:highlight w:val="none"/>
          <w:shd w:val="clear" w:color="auto" w:fill="auto"/>
          <w:lang w:val="en-US" w:eastAsia="zh-CN"/>
        </w:rPr>
        <w:t>合同签订后付30%，安装调试验收合格后付65%，一年后付5%。</w:t>
      </w:r>
    </w:p>
    <w:p>
      <w:pPr>
        <w:pStyle w:val="6"/>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outlineLvl w:val="9"/>
        <w:rPr>
          <w:rFonts w:hint="eastAsia" w:ascii="宋体" w:eastAsia="宋体" w:cs="宋体"/>
          <w:color w:val="auto"/>
          <w:sz w:val="36"/>
          <w:szCs w:val="36"/>
          <w:highlight w:val="none"/>
        </w:rPr>
      </w:pPr>
      <w:r>
        <w:rPr>
          <w:rFonts w:hint="eastAsia" w:ascii="宋体" w:eastAsia="宋体" w:cs="宋体"/>
          <w:color w:val="auto"/>
          <w:sz w:val="36"/>
          <w:szCs w:val="36"/>
          <w:highlight w:val="none"/>
        </w:rPr>
        <w:br w:type="page"/>
      </w:r>
      <w:bookmarkEnd w:id="124"/>
      <w:bookmarkEnd w:id="125"/>
    </w:p>
    <w:p>
      <w:pPr>
        <w:pStyle w:val="6"/>
        <w:bidi w:val="0"/>
        <w:rPr>
          <w:color w:val="auto"/>
          <w:highlight w:val="none"/>
        </w:rPr>
      </w:pPr>
      <w:bookmarkStart w:id="126" w:name="_Toc28935"/>
      <w:bookmarkStart w:id="127" w:name="_Toc14138"/>
      <w:r>
        <w:rPr>
          <w:rFonts w:hint="eastAsia"/>
          <w:color w:val="auto"/>
          <w:highlight w:val="none"/>
        </w:rPr>
        <w:t>第三章  合同条款及格式</w:t>
      </w:r>
      <w:bookmarkEnd w:id="117"/>
      <w:bookmarkEnd w:id="118"/>
      <w:bookmarkEnd w:id="119"/>
      <w:bookmarkEnd w:id="120"/>
      <w:bookmarkEnd w:id="121"/>
      <w:bookmarkEnd w:id="122"/>
      <w:bookmarkEnd w:id="126"/>
      <w:bookmarkEnd w:id="127"/>
    </w:p>
    <w:p>
      <w:pPr>
        <w:pStyle w:val="16"/>
        <w:jc w:val="center"/>
        <w:rPr>
          <w:rFonts w:hint="eastAsia" w:asciiTheme="minorEastAsia" w:hAnsiTheme="minorEastAsia" w:eastAsiaTheme="minorEastAsia" w:cstheme="minorEastAsia"/>
          <w:b/>
          <w:color w:val="auto"/>
          <w:sz w:val="24"/>
          <w:szCs w:val="24"/>
          <w:highlight w:val="none"/>
          <w:lang w:val="zh-CN"/>
        </w:rPr>
      </w:pPr>
      <w:bookmarkStart w:id="128" w:name="_Toc317530110"/>
      <w:bookmarkStart w:id="129" w:name="_Toc11450"/>
      <w:bookmarkStart w:id="130" w:name="_Toc23856"/>
      <w:bookmarkStart w:id="131" w:name="_Toc389582038"/>
      <w:bookmarkStart w:id="132" w:name="_Toc4053"/>
      <w:bookmarkStart w:id="133" w:name="_Toc2711"/>
      <w:bookmarkStart w:id="134" w:name="_Toc20481"/>
      <w:bookmarkStart w:id="135" w:name="_Toc1025"/>
    </w:p>
    <w:p>
      <w:pPr>
        <w:pStyle w:val="16"/>
        <w:jc w:val="center"/>
        <w:outlineLvl w:val="1"/>
        <w:rPr>
          <w:rFonts w:hint="eastAsia" w:asciiTheme="minorEastAsia" w:hAnsiTheme="minorEastAsia" w:eastAsiaTheme="minorEastAsia" w:cstheme="minorEastAsia"/>
          <w:b/>
          <w:color w:val="auto"/>
          <w:sz w:val="24"/>
          <w:szCs w:val="24"/>
          <w:highlight w:val="none"/>
          <w:lang w:val="zh-CN"/>
        </w:rPr>
      </w:pPr>
      <w:bookmarkStart w:id="136" w:name="_Toc2670"/>
      <w:bookmarkStart w:id="137" w:name="_Toc21130"/>
      <w:bookmarkStart w:id="138" w:name="_Toc124"/>
      <w:bookmarkStart w:id="139" w:name="_Toc8871"/>
      <w:bookmarkStart w:id="140" w:name="_Toc18749"/>
      <w:bookmarkStart w:id="141" w:name="_Toc23306"/>
      <w:bookmarkStart w:id="142" w:name="_Toc27460"/>
      <w:r>
        <w:rPr>
          <w:rFonts w:hint="eastAsia" w:asciiTheme="minorEastAsia" w:hAnsiTheme="minorEastAsia" w:eastAsiaTheme="minorEastAsia" w:cstheme="minorEastAsia"/>
          <w:b/>
          <w:color w:val="auto"/>
          <w:sz w:val="24"/>
          <w:szCs w:val="24"/>
          <w:highlight w:val="none"/>
          <w:lang w:val="zh-CN"/>
        </w:rPr>
        <w:t>（以甲乙双方签订的合同为准）</w:t>
      </w:r>
      <w:bookmarkEnd w:id="136"/>
      <w:bookmarkEnd w:id="137"/>
      <w:bookmarkEnd w:id="138"/>
      <w:bookmarkEnd w:id="139"/>
      <w:bookmarkEnd w:id="140"/>
      <w:bookmarkEnd w:id="141"/>
      <w:bookmarkEnd w:id="142"/>
    </w:p>
    <w:p>
      <w:pPr>
        <w:pStyle w:val="16"/>
        <w:jc w:val="center"/>
        <w:rPr>
          <w:rFonts w:hint="eastAsia" w:asciiTheme="minorEastAsia" w:hAnsiTheme="minorEastAsia" w:eastAsiaTheme="minorEastAsia" w:cstheme="minorEastAsia"/>
          <w:b/>
          <w:color w:val="auto"/>
          <w:sz w:val="24"/>
          <w:szCs w:val="24"/>
          <w:highlight w:val="none"/>
          <w:lang w:val="zh-CN"/>
        </w:rPr>
      </w:pPr>
    </w:p>
    <w:p>
      <w:pPr>
        <w:autoSpaceDE w:val="0"/>
        <w:autoSpaceDN w:val="0"/>
        <w:adjustRightInd w:val="0"/>
        <w:snapToGrid w:val="0"/>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甲方：</w:t>
      </w:r>
      <w:r>
        <w:rPr>
          <w:rFonts w:hint="eastAsia" w:asciiTheme="minorEastAsia" w:hAnsiTheme="minorEastAsia" w:eastAsiaTheme="minorEastAsia" w:cstheme="minorEastAsia"/>
          <w:color w:val="auto"/>
          <w:sz w:val="24"/>
          <w:szCs w:val="24"/>
          <w:highlight w:val="none"/>
          <w:u w:val="single"/>
          <w:lang w:val="en-US" w:eastAsia="zh-CN"/>
        </w:rPr>
        <w:t xml:space="preserve"> 礼泉县中医医院  </w:t>
      </w:r>
      <w:r>
        <w:rPr>
          <w:rFonts w:hint="eastAsia" w:asciiTheme="minorEastAsia" w:hAnsiTheme="minorEastAsia" w:eastAsiaTheme="minorEastAsia" w:cstheme="minorEastAsia"/>
          <w:color w:val="auto"/>
          <w:sz w:val="24"/>
          <w:szCs w:val="24"/>
          <w:highlight w:val="none"/>
        </w:rPr>
        <w:t>（前款所称采购人）</w:t>
      </w:r>
    </w:p>
    <w:p>
      <w:pPr>
        <w:autoSpaceDE w:val="0"/>
        <w:autoSpaceDN w:val="0"/>
        <w:adjustRightInd w:val="0"/>
        <w:snapToGrid w:val="0"/>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乙方：</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（前款所称成交供应商）</w:t>
      </w:r>
    </w:p>
    <w:p>
      <w:pPr>
        <w:autoSpaceDE w:val="0"/>
        <w:autoSpaceDN w:val="0"/>
        <w:adjustRightInd w:val="0"/>
        <w:snapToGrid w:val="0"/>
        <w:spacing w:line="360" w:lineRule="auto"/>
        <w:ind w:firstLine="482" w:firstLineChars="200"/>
        <w:outlineLvl w:val="1"/>
        <w:rPr>
          <w:rFonts w:hint="eastAsia" w:asciiTheme="minorEastAsia" w:hAnsiTheme="minorEastAsia" w:eastAsiaTheme="minorEastAsia" w:cstheme="minorEastAsia"/>
          <w:b/>
          <w:bCs/>
          <w:color w:val="auto"/>
          <w:sz w:val="24"/>
          <w:szCs w:val="24"/>
          <w:highlight w:val="none"/>
          <w:lang w:val="en-US" w:eastAsia="zh-CN"/>
        </w:rPr>
      </w:pPr>
      <w:bookmarkStart w:id="143" w:name="_Toc14935"/>
      <w:bookmarkStart w:id="144" w:name="_Toc19813"/>
      <w:bookmarkStart w:id="145" w:name="_Toc32238"/>
      <w:bookmarkStart w:id="146" w:name="_Toc10597"/>
      <w:bookmarkStart w:id="147" w:name="_Toc4233"/>
      <w:bookmarkStart w:id="148" w:name="_Toc26351"/>
      <w:bookmarkStart w:id="149" w:name="_Toc25015"/>
      <w:r>
        <w:rPr>
          <w:rFonts w:hint="eastAsia" w:asciiTheme="minorEastAsia" w:hAnsiTheme="minorEastAsia" w:eastAsiaTheme="minorEastAsia" w:cstheme="minorEastAsia"/>
          <w:b/>
          <w:bCs/>
          <w:color w:val="auto"/>
          <w:sz w:val="24"/>
          <w:szCs w:val="24"/>
          <w:highlight w:val="none"/>
        </w:rPr>
        <w:t>一、合同内容</w:t>
      </w:r>
      <w:r>
        <w:rPr>
          <w:rFonts w:hint="eastAsia" w:asciiTheme="minorEastAsia" w:hAnsiTheme="minorEastAsia" w:eastAsiaTheme="minorEastAsia" w:cstheme="minorEastAsia"/>
          <w:b/>
          <w:bCs/>
          <w:color w:val="auto"/>
          <w:sz w:val="24"/>
          <w:szCs w:val="24"/>
          <w:highlight w:val="none"/>
          <w:lang w:eastAsia="zh-CN"/>
        </w:rPr>
        <w:t>：</w:t>
      </w:r>
      <w:bookmarkEnd w:id="143"/>
      <w:bookmarkEnd w:id="144"/>
      <w:bookmarkEnd w:id="145"/>
      <w:bookmarkEnd w:id="146"/>
      <w:bookmarkEnd w:id="147"/>
      <w:bookmarkEnd w:id="148"/>
      <w:bookmarkEnd w:id="149"/>
      <w:r>
        <w:rPr>
          <w:rFonts w:hint="eastAsia" w:asciiTheme="minorEastAsia" w:hAnsiTheme="minorEastAsia" w:eastAsiaTheme="minorEastAsia" w:cstheme="minorEastAsia"/>
          <w:color w:val="auto"/>
          <w:sz w:val="24"/>
          <w:szCs w:val="24"/>
          <w:highlight w:val="none"/>
          <w:u w:val="single"/>
          <w:lang w:val="en-US" w:eastAsia="zh-CN"/>
        </w:rPr>
        <w:t xml:space="preserve">             </w:t>
      </w:r>
    </w:p>
    <w:p>
      <w:pPr>
        <w:adjustRightInd w:val="0"/>
        <w:snapToGrid w:val="0"/>
        <w:spacing w:line="360" w:lineRule="auto"/>
        <w:ind w:firstLine="482" w:firstLineChars="200"/>
        <w:outlineLvl w:val="1"/>
        <w:rPr>
          <w:rFonts w:hint="eastAsia" w:asciiTheme="minorEastAsia" w:hAnsiTheme="minorEastAsia" w:eastAsiaTheme="minorEastAsia" w:cstheme="minorEastAsia"/>
          <w:color w:val="auto"/>
          <w:sz w:val="24"/>
          <w:szCs w:val="24"/>
          <w:highlight w:val="none"/>
        </w:rPr>
      </w:pPr>
      <w:bookmarkStart w:id="150" w:name="_Toc25408"/>
      <w:bookmarkStart w:id="151" w:name="_Toc6780"/>
      <w:bookmarkStart w:id="152" w:name="_Toc522"/>
      <w:bookmarkStart w:id="153" w:name="_Toc84"/>
      <w:bookmarkStart w:id="154" w:name="_Toc10304"/>
      <w:bookmarkStart w:id="155" w:name="_Toc16051"/>
      <w:bookmarkStart w:id="156" w:name="_Toc21411"/>
      <w:r>
        <w:rPr>
          <w:rFonts w:hint="eastAsia" w:asciiTheme="minorEastAsia" w:hAnsiTheme="minorEastAsia" w:eastAsiaTheme="minorEastAsia" w:cstheme="minorEastAsia"/>
          <w:b/>
          <w:bCs/>
          <w:color w:val="auto"/>
          <w:sz w:val="24"/>
          <w:szCs w:val="24"/>
          <w:highlight w:val="none"/>
        </w:rPr>
        <w:t>二、合同价款</w:t>
      </w:r>
      <w:bookmarkEnd w:id="150"/>
      <w:bookmarkEnd w:id="151"/>
      <w:bookmarkEnd w:id="152"/>
      <w:bookmarkEnd w:id="153"/>
      <w:bookmarkEnd w:id="154"/>
      <w:bookmarkEnd w:id="155"/>
      <w:bookmarkEnd w:id="156"/>
    </w:p>
    <w:p>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1、合同总价：</w:t>
      </w:r>
      <w:r>
        <w:rPr>
          <w:rFonts w:hint="eastAsia" w:asciiTheme="minorEastAsia" w:hAnsiTheme="minorEastAsia" w:eastAsiaTheme="minorEastAsia" w:cstheme="minorEastAsia"/>
          <w:color w:val="auto"/>
          <w:sz w:val="24"/>
          <w:szCs w:val="24"/>
          <w:highlight w:val="none"/>
          <w:u w:val="single"/>
          <w:lang w:val="en-US" w:eastAsia="zh-CN"/>
        </w:rPr>
        <w:t xml:space="preserve">              </w:t>
      </w:r>
    </w:p>
    <w:p>
      <w:pPr>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sz w:val="24"/>
          <w:szCs w:val="24"/>
          <w:highlight w:val="none"/>
        </w:rPr>
        <w:t>2、合同总价包括：</w:t>
      </w:r>
      <w:r>
        <w:rPr>
          <w:rFonts w:hint="eastAsia" w:asciiTheme="minorEastAsia" w:hAnsiTheme="minorEastAsia" w:eastAsiaTheme="minorEastAsia" w:cstheme="minorEastAsia"/>
          <w:color w:val="auto"/>
          <w:sz w:val="24"/>
          <w:szCs w:val="24"/>
          <w:highlight w:val="none"/>
          <w:lang w:eastAsia="zh-CN"/>
        </w:rPr>
        <w:t>所有费用</w:t>
      </w:r>
      <w:r>
        <w:rPr>
          <w:rFonts w:hint="eastAsia" w:asciiTheme="minorEastAsia" w:hAnsiTheme="minorEastAsia" w:eastAsiaTheme="minorEastAsia" w:cstheme="minorEastAsia"/>
          <w:color w:val="auto"/>
          <w:sz w:val="24"/>
          <w:szCs w:val="24"/>
          <w:highlight w:val="none"/>
        </w:rPr>
        <w:t>及其它相关的费用。</w:t>
      </w:r>
    </w:p>
    <w:p>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3、合同总价一次包死，不受市场价变化的影响。</w:t>
      </w:r>
    </w:p>
    <w:p>
      <w:pPr>
        <w:adjustRightInd w:val="0"/>
        <w:snapToGrid w:val="0"/>
        <w:spacing w:line="360" w:lineRule="auto"/>
        <w:ind w:firstLine="506" w:firstLineChars="210"/>
        <w:outlineLvl w:val="1"/>
        <w:rPr>
          <w:rFonts w:hint="eastAsia" w:asciiTheme="minorEastAsia" w:hAnsiTheme="minorEastAsia" w:eastAsiaTheme="minorEastAsia" w:cstheme="minorEastAsia"/>
          <w:b/>
          <w:bCs/>
          <w:color w:val="auto"/>
          <w:sz w:val="24"/>
          <w:szCs w:val="24"/>
          <w:highlight w:val="none"/>
        </w:rPr>
      </w:pPr>
      <w:bookmarkStart w:id="157" w:name="_Toc15261"/>
      <w:bookmarkStart w:id="158" w:name="_Toc9050"/>
      <w:bookmarkStart w:id="159" w:name="_Toc26226"/>
      <w:bookmarkStart w:id="160" w:name="_Toc6613"/>
      <w:bookmarkStart w:id="161" w:name="_Toc7679"/>
      <w:bookmarkStart w:id="162" w:name="_Toc2359"/>
      <w:bookmarkStart w:id="163" w:name="_Toc30813"/>
      <w:r>
        <w:rPr>
          <w:rFonts w:hint="eastAsia" w:asciiTheme="minorEastAsia" w:hAnsiTheme="minorEastAsia" w:eastAsiaTheme="minorEastAsia" w:cstheme="minorEastAsia"/>
          <w:b/>
          <w:bCs/>
          <w:color w:val="auto"/>
          <w:sz w:val="24"/>
          <w:szCs w:val="24"/>
          <w:highlight w:val="none"/>
        </w:rPr>
        <w:t>三、合同结算</w:t>
      </w:r>
      <w:bookmarkEnd w:id="157"/>
      <w:bookmarkEnd w:id="158"/>
      <w:bookmarkEnd w:id="159"/>
      <w:bookmarkEnd w:id="160"/>
      <w:bookmarkEnd w:id="161"/>
      <w:bookmarkEnd w:id="162"/>
      <w:bookmarkEnd w:id="163"/>
    </w:p>
    <w:p>
      <w:pPr>
        <w:autoSpaceDE w:val="0"/>
        <w:autoSpaceDN w:val="0"/>
        <w:adjustRightInd w:val="0"/>
        <w:snapToGrid w:val="0"/>
        <w:spacing w:line="360" w:lineRule="auto"/>
        <w:ind w:firstLine="645"/>
        <w:outlineLvl w:val="2"/>
        <w:rPr>
          <w:rFonts w:hint="eastAsia" w:asciiTheme="minorEastAsia" w:hAnsiTheme="minorEastAsia" w:eastAsiaTheme="minorEastAsia" w:cstheme="minorEastAsia"/>
          <w:color w:val="auto"/>
          <w:sz w:val="24"/>
          <w:szCs w:val="24"/>
          <w:highlight w:val="none"/>
        </w:rPr>
      </w:pPr>
      <w:bookmarkStart w:id="164" w:name="_Toc18957"/>
      <w:bookmarkStart w:id="165" w:name="_Toc29128"/>
      <w:bookmarkStart w:id="166" w:name="_Toc17065"/>
      <w:bookmarkStart w:id="167" w:name="_Toc479"/>
      <w:bookmarkStart w:id="168" w:name="_Toc17516"/>
      <w:bookmarkStart w:id="169" w:name="_Toc3748"/>
      <w:bookmarkStart w:id="170" w:name="_Toc12529"/>
      <w:r>
        <w:rPr>
          <w:rFonts w:hint="eastAsia" w:asciiTheme="minorEastAsia" w:hAnsiTheme="minorEastAsia" w:eastAsiaTheme="minorEastAsia" w:cstheme="minorEastAsia"/>
          <w:color w:val="auto"/>
          <w:sz w:val="24"/>
          <w:szCs w:val="24"/>
          <w:highlight w:val="none"/>
        </w:rPr>
        <w:t>1、付款程序：</w:t>
      </w:r>
      <w:bookmarkEnd w:id="164"/>
      <w:bookmarkEnd w:id="165"/>
      <w:bookmarkEnd w:id="166"/>
      <w:bookmarkEnd w:id="167"/>
      <w:bookmarkEnd w:id="168"/>
      <w:bookmarkEnd w:id="169"/>
      <w:bookmarkEnd w:id="170"/>
    </w:p>
    <w:p>
      <w:pPr>
        <w:numPr>
          <w:ilvl w:val="0"/>
          <w:numId w:val="0"/>
        </w:numPr>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中标单位将货物全部运到采购人指定地方，经采购人组织相关部门验收合格后，采购人持《合同履约验收报告单》原件、中标单位开具的全额税务机打发票、中标通知书、政府采购合同，办理货款国库集中支付手续。</w:t>
      </w:r>
    </w:p>
    <w:p>
      <w:pPr>
        <w:autoSpaceDE w:val="0"/>
        <w:autoSpaceDN w:val="0"/>
        <w:adjustRightInd w:val="0"/>
        <w:snapToGrid w:val="0"/>
        <w:spacing w:line="360" w:lineRule="auto"/>
        <w:ind w:firstLine="480" w:firstLineChars="200"/>
        <w:outlineLvl w:val="2"/>
        <w:rPr>
          <w:rFonts w:hint="eastAsia" w:asciiTheme="minorEastAsia" w:hAnsiTheme="minorEastAsia" w:eastAsiaTheme="minorEastAsia" w:cstheme="minorEastAsia"/>
          <w:color w:val="auto"/>
          <w:sz w:val="24"/>
          <w:szCs w:val="24"/>
          <w:highlight w:val="none"/>
          <w:lang w:eastAsia="zh-CN"/>
        </w:rPr>
      </w:pPr>
      <w:bookmarkStart w:id="171" w:name="_Toc6987"/>
      <w:bookmarkStart w:id="172" w:name="_Toc17130"/>
      <w:bookmarkStart w:id="173" w:name="_Toc29390"/>
      <w:bookmarkStart w:id="174" w:name="_Toc4063"/>
      <w:bookmarkStart w:id="175" w:name="_Toc25089"/>
      <w:bookmarkStart w:id="176" w:name="_Toc24014"/>
      <w:bookmarkStart w:id="177" w:name="_Toc29567"/>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付款方式：</w:t>
      </w:r>
      <w:bookmarkEnd w:id="171"/>
      <w:bookmarkEnd w:id="172"/>
      <w:bookmarkEnd w:id="173"/>
      <w:bookmarkEnd w:id="174"/>
      <w:bookmarkEnd w:id="175"/>
      <w:bookmarkEnd w:id="176"/>
      <w:bookmarkEnd w:id="177"/>
    </w:p>
    <w:p>
      <w:pPr>
        <w:autoSpaceDE w:val="0"/>
        <w:autoSpaceDN w:val="0"/>
        <w:adjustRightInd w:val="0"/>
        <w:snapToGrid w:val="0"/>
        <w:spacing w:line="360" w:lineRule="auto"/>
        <w:ind w:firstLine="480" w:firstLineChars="200"/>
        <w:outlineLvl w:val="1"/>
        <w:rPr>
          <w:rFonts w:hint="default" w:ascii="宋体" w:hAnsi="宋体" w:cs="宋体"/>
          <w:color w:val="auto"/>
          <w:sz w:val="24"/>
          <w:highlight w:val="none"/>
          <w:shd w:val="clear" w:color="auto" w:fill="auto"/>
          <w:lang w:val="en-US" w:eastAsia="zh-CN"/>
        </w:rPr>
      </w:pPr>
      <w:bookmarkStart w:id="178" w:name="_Toc10596"/>
      <w:bookmarkStart w:id="179" w:name="_Toc27237"/>
      <w:r>
        <w:rPr>
          <w:rFonts w:hint="eastAsia" w:hAnsi="宋体" w:cs="宋体"/>
          <w:color w:val="auto"/>
          <w:sz w:val="24"/>
          <w:highlight w:val="none"/>
          <w:shd w:val="clear" w:color="auto" w:fill="auto"/>
          <w:lang w:val="en-US" w:eastAsia="zh-CN"/>
        </w:rPr>
        <w:t>合同签订后付30%，安装调试验收合格后付65%，一年后付5%。</w:t>
      </w:r>
    </w:p>
    <w:p>
      <w:pPr>
        <w:autoSpaceDE w:val="0"/>
        <w:autoSpaceDN w:val="0"/>
        <w:adjustRightInd w:val="0"/>
        <w:snapToGrid w:val="0"/>
        <w:spacing w:line="360" w:lineRule="auto"/>
        <w:ind w:firstLine="482" w:firstLineChars="200"/>
        <w:outlineLvl w:val="1"/>
        <w:rPr>
          <w:rFonts w:hint="eastAsia" w:asciiTheme="minorEastAsia" w:hAnsiTheme="minorEastAsia" w:eastAsiaTheme="minorEastAsia" w:cstheme="minorEastAsia"/>
          <w:b/>
          <w:bCs/>
          <w:color w:val="auto"/>
          <w:sz w:val="24"/>
          <w:szCs w:val="24"/>
          <w:highlight w:val="none"/>
        </w:rPr>
      </w:pPr>
      <w:bookmarkStart w:id="180" w:name="_Toc13614"/>
      <w:bookmarkStart w:id="181" w:name="_Toc21967"/>
      <w:bookmarkStart w:id="182" w:name="_Toc1506"/>
      <w:bookmarkStart w:id="183" w:name="_Toc25682"/>
      <w:bookmarkStart w:id="184" w:name="_Toc2449"/>
      <w:r>
        <w:rPr>
          <w:rFonts w:hint="eastAsia" w:asciiTheme="minorEastAsia" w:hAnsiTheme="minorEastAsia" w:eastAsiaTheme="minorEastAsia" w:cstheme="minorEastAsia"/>
          <w:b/>
          <w:bCs/>
          <w:color w:val="auto"/>
          <w:sz w:val="24"/>
          <w:szCs w:val="24"/>
          <w:highlight w:val="none"/>
        </w:rPr>
        <w:t>四、</w:t>
      </w:r>
      <w:r>
        <w:rPr>
          <w:rFonts w:hint="eastAsia" w:asciiTheme="minorEastAsia" w:hAnsiTheme="minorEastAsia" w:eastAsiaTheme="minorEastAsia" w:cstheme="minorEastAsia"/>
          <w:b/>
          <w:bCs/>
          <w:color w:val="auto"/>
          <w:sz w:val="24"/>
          <w:szCs w:val="24"/>
          <w:highlight w:val="none"/>
          <w:lang w:eastAsia="zh-CN"/>
        </w:rPr>
        <w:t>项目</w:t>
      </w:r>
      <w:r>
        <w:rPr>
          <w:rFonts w:hint="eastAsia" w:asciiTheme="minorEastAsia" w:hAnsiTheme="minorEastAsia" w:eastAsiaTheme="minorEastAsia" w:cstheme="minorEastAsia"/>
          <w:b/>
          <w:bCs/>
          <w:color w:val="auto"/>
          <w:sz w:val="24"/>
          <w:szCs w:val="24"/>
          <w:highlight w:val="none"/>
        </w:rPr>
        <w:t>条件:</w:t>
      </w:r>
      <w:bookmarkEnd w:id="178"/>
      <w:bookmarkEnd w:id="179"/>
      <w:bookmarkEnd w:id="180"/>
      <w:bookmarkEnd w:id="181"/>
      <w:bookmarkEnd w:id="182"/>
      <w:bookmarkEnd w:id="183"/>
      <w:bookmarkEnd w:id="184"/>
    </w:p>
    <w:p>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项目</w:t>
      </w:r>
      <w:r>
        <w:rPr>
          <w:rFonts w:hint="eastAsia" w:asciiTheme="minorEastAsia" w:hAnsiTheme="minorEastAsia" w:eastAsiaTheme="minorEastAsia" w:cstheme="minorEastAsia"/>
          <w:color w:val="auto"/>
          <w:sz w:val="24"/>
          <w:szCs w:val="24"/>
          <w:highlight w:val="none"/>
        </w:rPr>
        <w:t>地点：甲方指定地点</w:t>
      </w:r>
      <w:r>
        <w:rPr>
          <w:rFonts w:hint="eastAsia" w:asciiTheme="minorEastAsia" w:hAnsiTheme="minorEastAsia" w:eastAsiaTheme="minorEastAsia" w:cstheme="minorEastAsia"/>
          <w:color w:val="auto"/>
          <w:sz w:val="24"/>
          <w:szCs w:val="24"/>
          <w:highlight w:val="none"/>
          <w:lang w:eastAsia="zh-CN"/>
        </w:rPr>
        <w:t>。</w:t>
      </w:r>
    </w:p>
    <w:p>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供货期：</w:t>
      </w:r>
      <w:r>
        <w:rPr>
          <w:rFonts w:hint="eastAsia" w:asciiTheme="minorEastAsia" w:hAnsiTheme="minorEastAsia" w:eastAsiaTheme="minorEastAsia" w:cstheme="minorEastAsia"/>
          <w:color w:val="auto"/>
          <w:sz w:val="24"/>
          <w:szCs w:val="24"/>
          <w:highlight w:val="none"/>
          <w:lang w:val="en-US" w:eastAsia="zh-CN"/>
        </w:rPr>
        <w:t>合同签订后30日历天</w:t>
      </w:r>
      <w:r>
        <w:rPr>
          <w:rFonts w:hint="eastAsia" w:asciiTheme="minorEastAsia" w:hAnsiTheme="minorEastAsia" w:eastAsiaTheme="minorEastAsia" w:cstheme="minorEastAsia"/>
          <w:color w:val="auto"/>
          <w:sz w:val="24"/>
          <w:szCs w:val="24"/>
          <w:highlight w:val="none"/>
          <w:lang w:eastAsia="zh-CN"/>
        </w:rPr>
        <w:t>。</w:t>
      </w:r>
    </w:p>
    <w:p>
      <w:pPr>
        <w:autoSpaceDE w:val="0"/>
        <w:autoSpaceDN w:val="0"/>
        <w:adjustRightInd w:val="0"/>
        <w:snapToGrid w:val="0"/>
        <w:spacing w:line="360" w:lineRule="auto"/>
        <w:ind w:firstLine="480" w:firstLineChars="200"/>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3、质保期：1年</w:t>
      </w:r>
    </w:p>
    <w:p>
      <w:pPr>
        <w:autoSpaceDE w:val="0"/>
        <w:autoSpaceDN w:val="0"/>
        <w:adjustRightInd w:val="0"/>
        <w:snapToGrid w:val="0"/>
        <w:spacing w:line="360" w:lineRule="auto"/>
        <w:ind w:firstLine="482" w:firstLineChars="200"/>
        <w:outlineLvl w:val="1"/>
        <w:rPr>
          <w:rFonts w:hint="eastAsia" w:asciiTheme="minorEastAsia" w:hAnsiTheme="minorEastAsia" w:eastAsiaTheme="minorEastAsia" w:cstheme="minorEastAsia"/>
          <w:b/>
          <w:bCs/>
          <w:color w:val="auto"/>
          <w:sz w:val="24"/>
          <w:szCs w:val="24"/>
          <w:highlight w:val="none"/>
        </w:rPr>
      </w:pPr>
      <w:bookmarkStart w:id="185" w:name="_Toc30349"/>
      <w:bookmarkStart w:id="186" w:name="_Toc18682"/>
      <w:bookmarkStart w:id="187" w:name="_Toc20890"/>
      <w:bookmarkStart w:id="188" w:name="_Toc27142"/>
      <w:bookmarkStart w:id="189" w:name="_Toc20001"/>
      <w:bookmarkStart w:id="190" w:name="_Toc2484"/>
      <w:bookmarkStart w:id="191" w:name="_Toc11737"/>
      <w:r>
        <w:rPr>
          <w:rFonts w:hint="eastAsia" w:asciiTheme="minorEastAsia" w:hAnsiTheme="minorEastAsia" w:eastAsiaTheme="minorEastAsia" w:cstheme="minorEastAsia"/>
          <w:b/>
          <w:bCs/>
          <w:color w:val="auto"/>
          <w:sz w:val="24"/>
          <w:szCs w:val="24"/>
          <w:highlight w:val="none"/>
        </w:rPr>
        <w:t>五、运输</w:t>
      </w:r>
      <w:r>
        <w:rPr>
          <w:rFonts w:hint="eastAsia" w:asciiTheme="minorEastAsia" w:hAnsiTheme="minorEastAsia" w:eastAsiaTheme="minorEastAsia" w:cstheme="minorEastAsia"/>
          <w:b/>
          <w:bCs/>
          <w:color w:val="auto"/>
          <w:sz w:val="24"/>
          <w:szCs w:val="24"/>
          <w:highlight w:val="none"/>
          <w:lang w:eastAsia="zh-CN"/>
        </w:rPr>
        <w:t>及方式</w:t>
      </w:r>
      <w:bookmarkEnd w:id="185"/>
      <w:bookmarkEnd w:id="186"/>
      <w:bookmarkEnd w:id="187"/>
      <w:bookmarkEnd w:id="188"/>
      <w:bookmarkEnd w:id="189"/>
      <w:bookmarkEnd w:id="190"/>
      <w:bookmarkEnd w:id="191"/>
    </w:p>
    <w:p>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1、成交供应商负责货物设备的运输和安装。</w:t>
      </w:r>
    </w:p>
    <w:p>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2、选择运输风险小、运费低、距离短的运输路线。</w:t>
      </w:r>
    </w:p>
    <w:p>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3、运输方式：供应商自行选择。</w:t>
      </w:r>
    </w:p>
    <w:p>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4、运杂费一次包死在总价内，包括货物装卸、运输（含保险费）、现场保管费、二次倒运费、安装费等费用。</w:t>
      </w:r>
    </w:p>
    <w:p>
      <w:pPr>
        <w:adjustRightInd w:val="0"/>
        <w:snapToGrid w:val="0"/>
        <w:spacing w:line="360" w:lineRule="auto"/>
        <w:ind w:firstLine="645"/>
        <w:outlineLvl w:val="1"/>
        <w:rPr>
          <w:rFonts w:hint="eastAsia" w:asciiTheme="minorEastAsia" w:hAnsiTheme="minorEastAsia" w:eastAsiaTheme="minorEastAsia" w:cstheme="minorEastAsia"/>
          <w:b/>
          <w:bCs/>
          <w:color w:val="auto"/>
          <w:sz w:val="24"/>
          <w:szCs w:val="24"/>
          <w:highlight w:val="none"/>
        </w:rPr>
      </w:pPr>
      <w:bookmarkStart w:id="192" w:name="_Toc9360"/>
      <w:bookmarkStart w:id="193" w:name="_Toc11317"/>
      <w:bookmarkStart w:id="194" w:name="_Toc779"/>
      <w:bookmarkStart w:id="195" w:name="_Toc25907"/>
      <w:bookmarkStart w:id="196" w:name="_Toc10702"/>
      <w:bookmarkStart w:id="197" w:name="_Toc8305"/>
      <w:bookmarkStart w:id="198" w:name="_Toc3941"/>
      <w:r>
        <w:rPr>
          <w:rFonts w:hint="eastAsia" w:asciiTheme="minorEastAsia" w:hAnsiTheme="minorEastAsia" w:eastAsiaTheme="minorEastAsia" w:cstheme="minorEastAsia"/>
          <w:b/>
          <w:bCs/>
          <w:color w:val="auto"/>
          <w:sz w:val="24"/>
          <w:szCs w:val="24"/>
          <w:highlight w:val="none"/>
        </w:rPr>
        <w:t>六、</w:t>
      </w:r>
      <w:r>
        <w:rPr>
          <w:rFonts w:hint="eastAsia" w:asciiTheme="minorEastAsia" w:hAnsiTheme="minorEastAsia" w:eastAsiaTheme="minorEastAsia" w:cstheme="minorEastAsia"/>
          <w:b/>
          <w:bCs/>
          <w:color w:val="auto"/>
          <w:sz w:val="24"/>
          <w:szCs w:val="24"/>
          <w:highlight w:val="none"/>
          <w:lang w:eastAsia="zh-CN"/>
        </w:rPr>
        <w:t>项目质量保证</w:t>
      </w:r>
      <w:bookmarkEnd w:id="192"/>
      <w:bookmarkEnd w:id="193"/>
      <w:bookmarkEnd w:id="194"/>
      <w:bookmarkEnd w:id="195"/>
      <w:bookmarkEnd w:id="196"/>
      <w:bookmarkEnd w:id="197"/>
      <w:bookmarkEnd w:id="198"/>
    </w:p>
    <w:p>
      <w:pPr>
        <w:adjustRightInd w:val="0"/>
        <w:snapToGrid w:val="0"/>
        <w:spacing w:line="360" w:lineRule="auto"/>
        <w:ind w:firstLine="645"/>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达到国家相关质量合格标准。</w:t>
      </w:r>
    </w:p>
    <w:p>
      <w:pPr>
        <w:adjustRightInd w:val="0"/>
        <w:snapToGrid w:val="0"/>
        <w:spacing w:line="360" w:lineRule="auto"/>
        <w:ind w:firstLine="482" w:firstLineChars="200"/>
        <w:outlineLvl w:val="1"/>
        <w:rPr>
          <w:rFonts w:hint="eastAsia" w:asciiTheme="minorEastAsia" w:hAnsiTheme="minorEastAsia" w:eastAsiaTheme="minorEastAsia" w:cstheme="minorEastAsia"/>
          <w:color w:val="auto"/>
          <w:sz w:val="24"/>
          <w:szCs w:val="24"/>
          <w:highlight w:val="none"/>
        </w:rPr>
      </w:pPr>
      <w:bookmarkStart w:id="199" w:name="_Toc27750"/>
      <w:bookmarkStart w:id="200" w:name="_Toc5667"/>
      <w:bookmarkStart w:id="201" w:name="_Toc10485"/>
      <w:bookmarkStart w:id="202" w:name="_Toc17127"/>
      <w:bookmarkStart w:id="203" w:name="_Toc13235"/>
      <w:bookmarkStart w:id="204" w:name="_Toc1933"/>
      <w:bookmarkStart w:id="205" w:name="_Toc28506"/>
      <w:r>
        <w:rPr>
          <w:rFonts w:hint="eastAsia" w:asciiTheme="minorEastAsia" w:hAnsiTheme="minorEastAsia" w:eastAsiaTheme="minorEastAsia" w:cstheme="minorEastAsia"/>
          <w:b/>
          <w:bCs/>
          <w:color w:val="auto"/>
          <w:sz w:val="24"/>
          <w:szCs w:val="24"/>
          <w:highlight w:val="none"/>
        </w:rPr>
        <w:t>七、技术服务</w:t>
      </w:r>
      <w:bookmarkEnd w:id="199"/>
      <w:bookmarkEnd w:id="200"/>
      <w:bookmarkEnd w:id="201"/>
      <w:bookmarkEnd w:id="202"/>
      <w:bookmarkEnd w:id="203"/>
      <w:bookmarkEnd w:id="204"/>
      <w:bookmarkEnd w:id="205"/>
    </w:p>
    <w:p>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-1、乙方在接到甲方</w:t>
      </w:r>
      <w:r>
        <w:rPr>
          <w:rFonts w:hint="eastAsia" w:asciiTheme="minorEastAsia" w:hAnsiTheme="minorEastAsia" w:eastAsiaTheme="minorEastAsia" w:cstheme="minorEastAsia"/>
          <w:color w:val="auto"/>
          <w:sz w:val="24"/>
          <w:szCs w:val="24"/>
          <w:highlight w:val="none"/>
          <w:lang w:eastAsia="zh-CN"/>
        </w:rPr>
        <w:t>咨询</w:t>
      </w:r>
      <w:r>
        <w:rPr>
          <w:rFonts w:hint="eastAsia" w:asciiTheme="minorEastAsia" w:hAnsiTheme="minorEastAsia" w:eastAsiaTheme="minorEastAsia" w:cstheme="minorEastAsia"/>
          <w:color w:val="auto"/>
          <w:sz w:val="24"/>
          <w:szCs w:val="24"/>
          <w:highlight w:val="none"/>
        </w:rPr>
        <w:t>电话通知后在</w:t>
      </w:r>
      <w:r>
        <w:rPr>
          <w:rFonts w:hint="eastAsia" w:asciiTheme="minorEastAsia" w:hAnsiTheme="minorEastAsia" w:eastAsiaTheme="minorEastAsia" w:cstheme="minorEastAsia"/>
          <w:color w:val="auto"/>
          <w:sz w:val="24"/>
          <w:szCs w:val="24"/>
          <w:highlight w:val="none"/>
          <w:lang w:val="en-US" w:eastAsia="zh-CN"/>
        </w:rPr>
        <w:t>24</w:t>
      </w:r>
      <w:r>
        <w:rPr>
          <w:rFonts w:hint="eastAsia" w:asciiTheme="minorEastAsia" w:hAnsiTheme="minorEastAsia" w:eastAsiaTheme="minorEastAsia" w:cstheme="minorEastAsia"/>
          <w:color w:val="auto"/>
          <w:sz w:val="24"/>
          <w:szCs w:val="24"/>
          <w:highlight w:val="none"/>
        </w:rPr>
        <w:t>小时内派出合格的人员到达现场进行服务，承担相应费用。</w:t>
      </w:r>
    </w:p>
    <w:p>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-2、如果乙方在收到通知后2天内没有弥补缺陷，甲方可采取必要的补救措施，但其风险和费用将由乙方承担，甲方根据合同规定对乙方行使的其它权力不受影响。甲方亦可从质保金中扣回索赔金额。</w:t>
      </w:r>
    </w:p>
    <w:p>
      <w:pPr>
        <w:adjustRightInd w:val="0"/>
        <w:snapToGrid w:val="0"/>
        <w:spacing w:line="360" w:lineRule="auto"/>
        <w:ind w:firstLine="645"/>
        <w:outlineLvl w:val="1"/>
        <w:rPr>
          <w:rFonts w:hint="eastAsia" w:asciiTheme="minorEastAsia" w:hAnsiTheme="minorEastAsia" w:eastAsiaTheme="minorEastAsia" w:cstheme="minorEastAsia"/>
          <w:b/>
          <w:bCs/>
          <w:color w:val="auto"/>
          <w:sz w:val="24"/>
          <w:szCs w:val="24"/>
          <w:highlight w:val="none"/>
        </w:rPr>
      </w:pPr>
      <w:bookmarkStart w:id="206" w:name="_Toc30464"/>
      <w:bookmarkStart w:id="207" w:name="_Toc3416"/>
      <w:bookmarkStart w:id="208" w:name="_Toc8644"/>
      <w:bookmarkStart w:id="209" w:name="_Toc19701"/>
      <w:bookmarkStart w:id="210" w:name="_Toc19514"/>
      <w:bookmarkStart w:id="211" w:name="_Toc17312"/>
      <w:bookmarkStart w:id="212" w:name="_Toc6697"/>
      <w:r>
        <w:rPr>
          <w:rFonts w:hint="eastAsia" w:asciiTheme="minorEastAsia" w:hAnsiTheme="minorEastAsia" w:eastAsiaTheme="minorEastAsia" w:cstheme="minorEastAsia"/>
          <w:b/>
          <w:bCs/>
          <w:color w:val="auto"/>
          <w:sz w:val="24"/>
          <w:szCs w:val="24"/>
          <w:highlight w:val="none"/>
        </w:rPr>
        <w:t>八、验收</w:t>
      </w:r>
      <w:bookmarkEnd w:id="206"/>
      <w:bookmarkEnd w:id="207"/>
      <w:bookmarkEnd w:id="208"/>
      <w:bookmarkEnd w:id="209"/>
      <w:bookmarkEnd w:id="210"/>
      <w:bookmarkEnd w:id="211"/>
      <w:bookmarkEnd w:id="212"/>
    </w:p>
    <w:p>
      <w:pPr>
        <w:adjustRightInd w:val="0"/>
        <w:snapToGrid w:val="0"/>
        <w:spacing w:line="360" w:lineRule="auto"/>
        <w:ind w:firstLine="64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1、验收：</w:t>
      </w:r>
      <w:r>
        <w:rPr>
          <w:rFonts w:hint="eastAsia" w:asciiTheme="minorEastAsia" w:hAnsiTheme="minorEastAsia" w:eastAsiaTheme="minorEastAsia" w:cstheme="minorEastAsia"/>
          <w:color w:val="auto"/>
          <w:sz w:val="24"/>
          <w:szCs w:val="24"/>
          <w:highlight w:val="none"/>
          <w:lang w:eastAsia="zh-CN"/>
        </w:rPr>
        <w:t>与采购内容和要求</w:t>
      </w:r>
      <w:r>
        <w:rPr>
          <w:rFonts w:hint="eastAsia" w:asciiTheme="minorEastAsia" w:hAnsiTheme="minorEastAsia" w:eastAsiaTheme="minorEastAsia" w:cstheme="minorEastAsia"/>
          <w:color w:val="auto"/>
          <w:sz w:val="24"/>
          <w:szCs w:val="24"/>
          <w:highlight w:val="none"/>
        </w:rPr>
        <w:t>的一致性。</w:t>
      </w:r>
    </w:p>
    <w:p>
      <w:pPr>
        <w:adjustRightInd w:val="0"/>
        <w:snapToGrid w:val="0"/>
        <w:spacing w:line="360" w:lineRule="auto"/>
        <w:ind w:firstLine="64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、验收依据：</w:t>
      </w:r>
    </w:p>
    <w:p>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-1、合同文本、合同附件、磋商文件、响应文件。</w:t>
      </w:r>
    </w:p>
    <w:p>
      <w:pPr>
        <w:snapToGrid w:val="0"/>
        <w:spacing w:line="360" w:lineRule="auto"/>
        <w:ind w:right="893"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-2、国内相应的标准、规范。</w:t>
      </w:r>
    </w:p>
    <w:p>
      <w:pPr>
        <w:adjustRightInd w:val="0"/>
        <w:snapToGrid w:val="0"/>
        <w:spacing w:line="360" w:lineRule="auto"/>
        <w:ind w:left="645"/>
        <w:outlineLvl w:val="1"/>
        <w:rPr>
          <w:rFonts w:hint="eastAsia" w:asciiTheme="minorEastAsia" w:hAnsiTheme="minorEastAsia" w:eastAsiaTheme="minorEastAsia" w:cstheme="minorEastAsia"/>
          <w:b/>
          <w:bCs/>
          <w:color w:val="auto"/>
          <w:sz w:val="24"/>
          <w:szCs w:val="24"/>
          <w:highlight w:val="none"/>
        </w:rPr>
      </w:pPr>
      <w:bookmarkStart w:id="213" w:name="_Toc20335"/>
      <w:bookmarkStart w:id="214" w:name="_Toc26564"/>
      <w:bookmarkStart w:id="215" w:name="_Toc19823"/>
      <w:bookmarkStart w:id="216" w:name="_Toc1770"/>
      <w:bookmarkStart w:id="217" w:name="_Toc14952"/>
      <w:bookmarkStart w:id="218" w:name="_Toc26458"/>
      <w:bookmarkStart w:id="219" w:name="_Toc32386"/>
      <w:r>
        <w:rPr>
          <w:rFonts w:hint="eastAsia" w:asciiTheme="minorEastAsia" w:hAnsiTheme="minorEastAsia" w:eastAsiaTheme="minorEastAsia" w:cstheme="minorEastAsia"/>
          <w:b/>
          <w:bCs/>
          <w:color w:val="auto"/>
          <w:sz w:val="24"/>
          <w:szCs w:val="24"/>
          <w:highlight w:val="none"/>
        </w:rPr>
        <w:t>九、违约责任</w:t>
      </w:r>
      <w:bookmarkEnd w:id="213"/>
      <w:bookmarkEnd w:id="214"/>
      <w:bookmarkEnd w:id="215"/>
      <w:bookmarkEnd w:id="216"/>
      <w:bookmarkEnd w:id="217"/>
      <w:bookmarkEnd w:id="218"/>
      <w:bookmarkEnd w:id="219"/>
    </w:p>
    <w:p>
      <w:pPr>
        <w:numPr>
          <w:ilvl w:val="0"/>
          <w:numId w:val="8"/>
        </w:num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按《合同法》中的相关条款执行。</w:t>
      </w:r>
    </w:p>
    <w:p>
      <w:pPr>
        <w:adjustRightInd w:val="0"/>
        <w:snapToGrid w:val="0"/>
        <w:spacing w:line="360" w:lineRule="auto"/>
        <w:ind w:firstLine="64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2、乙方履约延误</w:t>
      </w:r>
    </w:p>
    <w:p>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2-1、如乙方事先未征得甲方同意并得到甲方的谅解而单方面延迟交货，将按违约终止合同。</w:t>
      </w:r>
    </w:p>
    <w:p>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在履行合同过程中，如果乙方遇到可能妨碍按时交货和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迟交产品交货价或未提供服务的服务费用的百分之零点五（0.5%）计收，直至交货或提供服务为止。误期赔偿费的最高限额为合同价格的百分之五（5%）。一旦达到误期赔偿费的最高限额，甲方可终止合同。</w:t>
      </w:r>
    </w:p>
    <w:p>
      <w:pPr>
        <w:adjustRightInd w:val="0"/>
        <w:snapToGrid w:val="0"/>
        <w:spacing w:line="360" w:lineRule="auto"/>
        <w:ind w:firstLine="645"/>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3、违约终止合同：未按合同要求提供产品或质量不能满足技术要求，甲方会同监督机构有权终止合同，对乙方违约行为进行追究，同时按政府采购法的有关规定进行相应的处罚。</w:t>
      </w:r>
    </w:p>
    <w:p>
      <w:pPr>
        <w:adjustRightInd w:val="0"/>
        <w:snapToGrid w:val="0"/>
        <w:spacing w:line="360" w:lineRule="auto"/>
        <w:ind w:firstLine="645"/>
        <w:outlineLvl w:val="1"/>
        <w:rPr>
          <w:rFonts w:hint="eastAsia" w:asciiTheme="minorEastAsia" w:hAnsiTheme="minorEastAsia" w:eastAsiaTheme="minorEastAsia" w:cstheme="minorEastAsia"/>
          <w:b/>
          <w:bCs/>
          <w:color w:val="auto"/>
          <w:sz w:val="24"/>
          <w:szCs w:val="24"/>
          <w:highlight w:val="none"/>
        </w:rPr>
      </w:pPr>
      <w:bookmarkStart w:id="220" w:name="_Toc19966"/>
      <w:bookmarkStart w:id="221" w:name="_Toc29653"/>
      <w:bookmarkStart w:id="222" w:name="_Toc16286"/>
      <w:bookmarkStart w:id="223" w:name="_Toc319"/>
      <w:bookmarkStart w:id="224" w:name="_Toc14531"/>
      <w:bookmarkStart w:id="225" w:name="_Toc5553"/>
      <w:bookmarkStart w:id="226" w:name="_Toc31894"/>
      <w:r>
        <w:rPr>
          <w:rFonts w:hint="eastAsia" w:asciiTheme="minorEastAsia" w:hAnsiTheme="minorEastAsia" w:eastAsiaTheme="minorEastAsia" w:cstheme="minorEastAsia"/>
          <w:b/>
          <w:bCs/>
          <w:color w:val="auto"/>
          <w:sz w:val="24"/>
          <w:szCs w:val="24"/>
          <w:highlight w:val="none"/>
        </w:rPr>
        <w:t>十、合同组成</w:t>
      </w:r>
      <w:bookmarkEnd w:id="220"/>
      <w:bookmarkEnd w:id="221"/>
      <w:bookmarkEnd w:id="222"/>
      <w:bookmarkEnd w:id="223"/>
      <w:bookmarkEnd w:id="224"/>
      <w:bookmarkEnd w:id="225"/>
      <w:bookmarkEnd w:id="226"/>
    </w:p>
    <w:p>
      <w:pPr>
        <w:adjustRightInd w:val="0"/>
        <w:snapToGrid w:val="0"/>
        <w:spacing w:line="360" w:lineRule="auto"/>
        <w:ind w:firstLine="64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1、成交通知书</w:t>
      </w:r>
    </w:p>
    <w:p>
      <w:pPr>
        <w:adjustRightInd w:val="0"/>
        <w:snapToGrid w:val="0"/>
        <w:spacing w:line="360" w:lineRule="auto"/>
        <w:ind w:firstLine="64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2、合同文件</w:t>
      </w:r>
    </w:p>
    <w:p>
      <w:pPr>
        <w:adjustRightInd w:val="0"/>
        <w:snapToGrid w:val="0"/>
        <w:spacing w:line="360" w:lineRule="auto"/>
        <w:ind w:firstLine="64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3、国家相关规范及标准</w:t>
      </w:r>
    </w:p>
    <w:p>
      <w:pPr>
        <w:adjustRightInd w:val="0"/>
        <w:snapToGrid w:val="0"/>
        <w:spacing w:line="360" w:lineRule="auto"/>
        <w:ind w:firstLine="64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4、供货设备技术规格及参数表</w:t>
      </w:r>
    </w:p>
    <w:p>
      <w:pPr>
        <w:adjustRightInd w:val="0"/>
        <w:snapToGrid w:val="0"/>
        <w:spacing w:line="360" w:lineRule="auto"/>
        <w:ind w:firstLine="64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5、磋商文件</w:t>
      </w:r>
    </w:p>
    <w:p>
      <w:pPr>
        <w:adjustRightInd w:val="0"/>
        <w:snapToGrid w:val="0"/>
        <w:spacing w:line="360" w:lineRule="auto"/>
        <w:ind w:firstLine="64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6、响应文件</w:t>
      </w:r>
    </w:p>
    <w:p>
      <w:pPr>
        <w:widowControl/>
        <w:autoSpaceDE w:val="0"/>
        <w:autoSpaceDN w:val="0"/>
        <w:snapToGrid w:val="0"/>
        <w:spacing w:line="360" w:lineRule="auto"/>
        <w:ind w:right="893" w:firstLine="472" w:firstLineChars="196"/>
        <w:textAlignment w:val="bottom"/>
        <w:outlineLvl w:val="1"/>
        <w:rPr>
          <w:rFonts w:hint="eastAsia" w:asciiTheme="minorEastAsia" w:hAnsiTheme="minorEastAsia" w:eastAsiaTheme="minorEastAsia" w:cstheme="minorEastAsia"/>
          <w:b/>
          <w:bCs/>
          <w:color w:val="auto"/>
          <w:kern w:val="0"/>
          <w:sz w:val="24"/>
          <w:szCs w:val="24"/>
          <w:highlight w:val="none"/>
        </w:rPr>
      </w:pPr>
      <w:bookmarkStart w:id="227" w:name="_Toc17499"/>
      <w:bookmarkStart w:id="228" w:name="_Toc30740"/>
      <w:bookmarkStart w:id="229" w:name="_Toc32670"/>
      <w:bookmarkStart w:id="230" w:name="_Toc4565"/>
      <w:bookmarkStart w:id="231" w:name="_Toc14805"/>
      <w:bookmarkStart w:id="232" w:name="_Toc7468"/>
      <w:bookmarkStart w:id="233" w:name="_Toc15257"/>
      <w:r>
        <w:rPr>
          <w:rFonts w:hint="eastAsia" w:asciiTheme="minorEastAsia" w:hAnsiTheme="minorEastAsia" w:eastAsiaTheme="minorEastAsia" w:cstheme="minorEastAsia"/>
          <w:b/>
          <w:bCs/>
          <w:color w:val="auto"/>
          <w:kern w:val="0"/>
          <w:sz w:val="24"/>
          <w:szCs w:val="24"/>
          <w:highlight w:val="none"/>
        </w:rPr>
        <w:t>十一、合同生效及其它</w:t>
      </w:r>
      <w:bookmarkEnd w:id="227"/>
      <w:bookmarkEnd w:id="228"/>
      <w:bookmarkEnd w:id="229"/>
      <w:bookmarkEnd w:id="230"/>
      <w:bookmarkEnd w:id="231"/>
      <w:bookmarkEnd w:id="232"/>
      <w:bookmarkEnd w:id="233"/>
    </w:p>
    <w:p>
      <w:pPr>
        <w:widowControl/>
        <w:autoSpaceDE w:val="0"/>
        <w:autoSpaceDN w:val="0"/>
        <w:snapToGrid w:val="0"/>
        <w:spacing w:line="360" w:lineRule="auto"/>
        <w:ind w:right="-110" w:firstLine="480" w:firstLineChars="200"/>
        <w:textAlignment w:val="bottom"/>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1、合同未尽事宜、由甲、乙双方协商，作为合同补充，与原合同具有同等法律效力。</w:t>
      </w:r>
    </w:p>
    <w:p>
      <w:pPr>
        <w:widowControl/>
        <w:autoSpaceDE w:val="0"/>
        <w:autoSpaceDN w:val="0"/>
        <w:snapToGrid w:val="0"/>
        <w:spacing w:line="360" w:lineRule="auto"/>
        <w:ind w:right="-69" w:firstLine="480" w:firstLineChars="200"/>
        <w:textAlignment w:val="bottom"/>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2、本合同正本一式</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rPr>
        <w:t>份，甲方、乙方双方分别执</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rPr>
        <w:t>份，备案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rPr>
        <w:t>份。</w:t>
      </w:r>
    </w:p>
    <w:p>
      <w:pPr>
        <w:widowControl/>
        <w:autoSpaceDE w:val="0"/>
        <w:autoSpaceDN w:val="0"/>
        <w:snapToGrid w:val="0"/>
        <w:spacing w:line="360" w:lineRule="auto"/>
        <w:ind w:right="-69" w:firstLine="480" w:firstLineChars="200"/>
        <w:textAlignment w:val="bottom"/>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3、合同经甲</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乙双方盖章、签字后生效，合同签订地点为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rPr>
        <w:t>。</w:t>
      </w:r>
    </w:p>
    <w:p>
      <w:pPr>
        <w:widowControl/>
        <w:autoSpaceDE w:val="0"/>
        <w:autoSpaceDN w:val="0"/>
        <w:snapToGrid w:val="0"/>
        <w:spacing w:line="360" w:lineRule="auto"/>
        <w:ind w:right="-69" w:firstLine="480" w:firstLineChars="200"/>
        <w:textAlignment w:val="bottom"/>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4、生效时间：</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rPr>
        <w:t>日</w:t>
      </w:r>
    </w:p>
    <w:p>
      <w:pPr>
        <w:widowControl/>
        <w:autoSpaceDE w:val="0"/>
        <w:autoSpaceDN w:val="0"/>
        <w:snapToGrid w:val="0"/>
        <w:spacing w:line="360" w:lineRule="auto"/>
        <w:ind w:right="-69" w:firstLine="840" w:firstLineChars="350"/>
        <w:textAlignment w:val="bottom"/>
        <w:rPr>
          <w:rFonts w:hint="eastAsia" w:asciiTheme="minorEastAsia" w:hAnsiTheme="minorEastAsia" w:eastAsiaTheme="minorEastAsia" w:cstheme="minorEastAsia"/>
          <w:color w:val="auto"/>
          <w:kern w:val="0"/>
          <w:sz w:val="24"/>
          <w:szCs w:val="24"/>
          <w:highlight w:val="none"/>
        </w:rPr>
      </w:pPr>
    </w:p>
    <w:p>
      <w:pPr>
        <w:widowControl/>
        <w:autoSpaceDE w:val="0"/>
        <w:autoSpaceDN w:val="0"/>
        <w:snapToGrid w:val="0"/>
        <w:spacing w:line="360" w:lineRule="auto"/>
        <w:ind w:right="-69" w:firstLine="840" w:firstLineChars="350"/>
        <w:textAlignment w:val="bottom"/>
        <w:rPr>
          <w:rFonts w:hint="eastAsia" w:asciiTheme="minorEastAsia" w:hAnsiTheme="minorEastAsia" w:eastAsiaTheme="minorEastAsia" w:cstheme="minorEastAsia"/>
          <w:color w:val="auto"/>
          <w:kern w:val="0"/>
          <w:sz w:val="24"/>
          <w:szCs w:val="24"/>
          <w:highlight w:val="none"/>
        </w:rPr>
      </w:pPr>
    </w:p>
    <w:p>
      <w:pPr>
        <w:widowControl/>
        <w:autoSpaceDE w:val="0"/>
        <w:autoSpaceDN w:val="0"/>
        <w:snapToGrid w:val="0"/>
        <w:spacing w:line="360" w:lineRule="auto"/>
        <w:ind w:right="-69" w:firstLine="840" w:firstLineChars="350"/>
        <w:textAlignment w:val="bottom"/>
        <w:rPr>
          <w:rFonts w:hint="eastAsia" w:asciiTheme="minorEastAsia" w:hAnsiTheme="minorEastAsia" w:eastAsiaTheme="minorEastAsia" w:cstheme="minorEastAsia"/>
          <w:color w:val="auto"/>
          <w:kern w:val="0"/>
          <w:sz w:val="24"/>
          <w:szCs w:val="24"/>
          <w:highlight w:val="none"/>
        </w:rPr>
      </w:pPr>
    </w:p>
    <w:tbl>
      <w:tblPr>
        <w:tblStyle w:val="45"/>
        <w:tblW w:w="9286" w:type="dxa"/>
        <w:jc w:val="center"/>
        <w:tblLayout w:type="fixed"/>
        <w:tblCellMar>
          <w:top w:w="0" w:type="dxa"/>
          <w:left w:w="108" w:type="dxa"/>
          <w:bottom w:w="0" w:type="dxa"/>
          <w:right w:w="108" w:type="dxa"/>
        </w:tblCellMar>
      </w:tblPr>
      <w:tblGrid>
        <w:gridCol w:w="4643"/>
        <w:gridCol w:w="4643"/>
      </w:tblGrid>
      <w:tr>
        <w:trPr>
          <w:jc w:val="center"/>
        </w:trPr>
        <w:tc>
          <w:tcPr>
            <w:tcW w:w="4643" w:type="dxa"/>
          </w:tcPr>
          <w:p>
            <w:pPr>
              <w:widowControl/>
              <w:autoSpaceDE w:val="0"/>
              <w:autoSpaceDN w:val="0"/>
              <w:snapToGrid w:val="0"/>
              <w:spacing w:line="360" w:lineRule="auto"/>
              <w:ind w:left="0" w:leftChars="0" w:right="-154" w:firstLine="480" w:firstLineChars="200"/>
              <w:textAlignment w:val="bottom"/>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甲方名称</w:t>
            </w:r>
            <w:r>
              <w:rPr>
                <w:rFonts w:hint="eastAsia" w:asciiTheme="minorEastAsia" w:hAnsiTheme="minorEastAsia" w:eastAsiaTheme="minorEastAsia" w:cstheme="minorEastAsia"/>
                <w:color w:val="auto"/>
                <w:spacing w:val="-20"/>
                <w:kern w:val="0"/>
                <w:sz w:val="24"/>
                <w:szCs w:val="24"/>
                <w:highlight w:val="none"/>
              </w:rPr>
              <w:t>（盖章）</w:t>
            </w:r>
            <w:r>
              <w:rPr>
                <w:rFonts w:hint="eastAsia" w:asciiTheme="minorEastAsia" w:hAnsiTheme="minorEastAsia" w:eastAsiaTheme="minorEastAsia" w:cstheme="minorEastAsia"/>
                <w:color w:val="auto"/>
                <w:kern w:val="0"/>
                <w:sz w:val="24"/>
                <w:szCs w:val="24"/>
                <w:highlight w:val="none"/>
              </w:rPr>
              <w:t>:</w:t>
            </w:r>
          </w:p>
          <w:p>
            <w:pPr>
              <w:widowControl/>
              <w:autoSpaceDE w:val="0"/>
              <w:autoSpaceDN w:val="0"/>
              <w:snapToGrid w:val="0"/>
              <w:spacing w:line="360" w:lineRule="auto"/>
              <w:ind w:left="0" w:leftChars="0" w:right="-154" w:firstLine="480" w:firstLineChars="200"/>
              <w:textAlignment w:val="bottom"/>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地址：</w:t>
            </w:r>
          </w:p>
          <w:p>
            <w:pPr>
              <w:widowControl/>
              <w:autoSpaceDE w:val="0"/>
              <w:autoSpaceDN w:val="0"/>
              <w:snapToGrid w:val="0"/>
              <w:spacing w:line="360" w:lineRule="auto"/>
              <w:ind w:left="0" w:leftChars="0" w:right="-154" w:firstLine="480" w:firstLineChars="200"/>
              <w:textAlignment w:val="bottom"/>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代表人（签字）：</w:t>
            </w:r>
          </w:p>
          <w:p>
            <w:pPr>
              <w:widowControl/>
              <w:autoSpaceDE w:val="0"/>
              <w:autoSpaceDN w:val="0"/>
              <w:snapToGrid w:val="0"/>
              <w:spacing w:line="360" w:lineRule="auto"/>
              <w:ind w:left="0" w:leftChars="0" w:right="-154" w:firstLine="480" w:firstLineChars="200"/>
              <w:textAlignment w:val="bottom"/>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电话：</w:t>
            </w:r>
          </w:p>
          <w:p>
            <w:pPr>
              <w:widowControl/>
              <w:autoSpaceDE w:val="0"/>
              <w:autoSpaceDN w:val="0"/>
              <w:snapToGrid w:val="0"/>
              <w:spacing w:line="360" w:lineRule="auto"/>
              <w:ind w:left="0" w:leftChars="0" w:right="-154" w:firstLine="480" w:firstLineChars="200"/>
              <w:textAlignment w:val="bottom"/>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开户银行：</w:t>
            </w:r>
          </w:p>
          <w:p>
            <w:pPr>
              <w:widowControl/>
              <w:autoSpaceDE w:val="0"/>
              <w:autoSpaceDN w:val="0"/>
              <w:snapToGrid w:val="0"/>
              <w:spacing w:line="360" w:lineRule="auto"/>
              <w:ind w:left="0" w:leftChars="0" w:right="-154" w:firstLine="480" w:firstLineChars="200"/>
              <w:textAlignment w:val="bottom"/>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帐号：</w:t>
            </w:r>
          </w:p>
        </w:tc>
        <w:tc>
          <w:tcPr>
            <w:tcW w:w="4643" w:type="dxa"/>
          </w:tcPr>
          <w:p>
            <w:pPr>
              <w:widowControl/>
              <w:autoSpaceDE w:val="0"/>
              <w:autoSpaceDN w:val="0"/>
              <w:snapToGrid w:val="0"/>
              <w:spacing w:line="360" w:lineRule="auto"/>
              <w:ind w:left="0" w:leftChars="0" w:right="-154" w:firstLine="480" w:firstLineChars="200"/>
              <w:textAlignment w:val="bottom"/>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乙方名称</w:t>
            </w:r>
            <w:r>
              <w:rPr>
                <w:rFonts w:hint="eastAsia" w:asciiTheme="minorEastAsia" w:hAnsiTheme="minorEastAsia" w:eastAsiaTheme="minorEastAsia" w:cstheme="minorEastAsia"/>
                <w:color w:val="auto"/>
                <w:spacing w:val="-20"/>
                <w:kern w:val="0"/>
                <w:sz w:val="24"/>
                <w:szCs w:val="24"/>
                <w:highlight w:val="none"/>
              </w:rPr>
              <w:t>（盖章）</w:t>
            </w:r>
            <w:r>
              <w:rPr>
                <w:rFonts w:hint="eastAsia" w:asciiTheme="minorEastAsia" w:hAnsiTheme="minorEastAsia" w:eastAsiaTheme="minorEastAsia" w:cstheme="minorEastAsia"/>
                <w:color w:val="auto"/>
                <w:kern w:val="0"/>
                <w:sz w:val="24"/>
                <w:szCs w:val="24"/>
                <w:highlight w:val="none"/>
              </w:rPr>
              <w:t>:</w:t>
            </w:r>
          </w:p>
          <w:p>
            <w:pPr>
              <w:widowControl/>
              <w:autoSpaceDE w:val="0"/>
              <w:autoSpaceDN w:val="0"/>
              <w:snapToGrid w:val="0"/>
              <w:spacing w:line="360" w:lineRule="auto"/>
              <w:ind w:left="0" w:leftChars="0" w:right="-154" w:firstLine="480" w:firstLineChars="200"/>
              <w:textAlignment w:val="bottom"/>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地址：</w:t>
            </w:r>
          </w:p>
          <w:p>
            <w:pPr>
              <w:widowControl/>
              <w:autoSpaceDE w:val="0"/>
              <w:autoSpaceDN w:val="0"/>
              <w:snapToGrid w:val="0"/>
              <w:spacing w:line="360" w:lineRule="auto"/>
              <w:ind w:left="0" w:leftChars="0" w:right="-154" w:firstLine="480" w:firstLineChars="200"/>
              <w:textAlignment w:val="bottom"/>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代表人（签字）：</w:t>
            </w:r>
          </w:p>
          <w:p>
            <w:pPr>
              <w:widowControl/>
              <w:autoSpaceDE w:val="0"/>
              <w:autoSpaceDN w:val="0"/>
              <w:snapToGrid w:val="0"/>
              <w:spacing w:line="360" w:lineRule="auto"/>
              <w:ind w:left="0" w:leftChars="0" w:right="-154" w:firstLine="480" w:firstLineChars="200"/>
              <w:textAlignment w:val="bottom"/>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电话：</w:t>
            </w:r>
          </w:p>
          <w:p>
            <w:pPr>
              <w:widowControl/>
              <w:autoSpaceDE w:val="0"/>
              <w:autoSpaceDN w:val="0"/>
              <w:snapToGrid w:val="0"/>
              <w:spacing w:line="360" w:lineRule="auto"/>
              <w:ind w:left="0" w:leftChars="0" w:right="-154" w:firstLine="480" w:firstLineChars="200"/>
              <w:textAlignment w:val="bottom"/>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开户银行：</w:t>
            </w:r>
          </w:p>
          <w:p>
            <w:pPr>
              <w:widowControl/>
              <w:autoSpaceDE w:val="0"/>
              <w:autoSpaceDN w:val="0"/>
              <w:snapToGrid w:val="0"/>
              <w:spacing w:line="360" w:lineRule="auto"/>
              <w:ind w:left="0" w:leftChars="0" w:right="-154" w:firstLine="480" w:firstLineChars="200"/>
              <w:textAlignment w:val="bottom"/>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帐号：</w:t>
            </w:r>
          </w:p>
        </w:tc>
      </w:tr>
    </w:tbl>
    <w:p>
      <w:pPr>
        <w:autoSpaceDE w:val="0"/>
        <w:autoSpaceDN w:val="0"/>
        <w:adjustRightInd w:val="0"/>
        <w:spacing w:line="360" w:lineRule="auto"/>
        <w:ind w:left="0" w:leftChars="0" w:firstLine="482" w:firstLineChars="200"/>
        <w:jc w:val="left"/>
        <w:rPr>
          <w:rFonts w:hint="eastAsia" w:asciiTheme="minorEastAsia" w:hAnsiTheme="minorEastAsia" w:eastAsiaTheme="minorEastAsia" w:cstheme="minorEastAsia"/>
          <w:b/>
          <w:bCs/>
          <w:color w:val="auto"/>
          <w:sz w:val="24"/>
          <w:szCs w:val="24"/>
          <w:highlight w:val="none"/>
        </w:rPr>
      </w:pPr>
    </w:p>
    <w:p>
      <w:pPr>
        <w:widowControl/>
        <w:autoSpaceDE w:val="0"/>
        <w:autoSpaceDN w:val="0"/>
        <w:snapToGrid w:val="0"/>
        <w:spacing w:line="360" w:lineRule="auto"/>
        <w:ind w:left="0" w:leftChars="0" w:right="-69" w:firstLine="480" w:firstLineChars="200"/>
        <w:textAlignment w:val="bottom"/>
        <w:rPr>
          <w:rFonts w:hint="eastAsia" w:asciiTheme="minorEastAsia" w:hAnsiTheme="minorEastAsia" w:eastAsiaTheme="minorEastAsia" w:cstheme="minorEastAsia"/>
          <w:color w:val="auto"/>
          <w:kern w:val="0"/>
          <w:sz w:val="24"/>
          <w:szCs w:val="24"/>
          <w:highlight w:val="none"/>
        </w:rPr>
      </w:pPr>
    </w:p>
    <w:p>
      <w:pPr>
        <w:autoSpaceDE w:val="0"/>
        <w:autoSpaceDN w:val="0"/>
        <w:adjustRightInd w:val="0"/>
        <w:jc w:val="center"/>
        <w:rPr>
          <w:rFonts w:hint="eastAsia" w:asciiTheme="minorEastAsia" w:hAnsiTheme="minorEastAsia" w:eastAsiaTheme="minorEastAsia" w:cstheme="minorEastAsia"/>
          <w:b/>
          <w:bCs/>
          <w:color w:val="auto"/>
          <w:sz w:val="24"/>
          <w:szCs w:val="24"/>
          <w:highlight w:val="none"/>
          <w:lang w:val="zh-CN"/>
        </w:rPr>
        <w:sectPr>
          <w:headerReference r:id="rId4" w:type="default"/>
          <w:footerReference r:id="rId5" w:type="default"/>
          <w:pgSz w:w="11906" w:h="16838"/>
          <w:pgMar w:top="1418" w:right="1418" w:bottom="1418" w:left="1418" w:header="851" w:footer="992" w:gutter="0"/>
          <w:pgBorders>
            <w:top w:val="none" w:sz="0" w:space="0"/>
            <w:left w:val="none" w:sz="0" w:space="0"/>
            <w:bottom w:val="none" w:sz="0" w:space="0"/>
            <w:right w:val="none" w:sz="0" w:space="0"/>
          </w:pgBorders>
          <w:pgNumType w:fmt="decimal" w:start="1"/>
          <w:cols w:space="720" w:num="1"/>
          <w:docGrid w:linePitch="312" w:charSpace="0"/>
        </w:sectPr>
      </w:pPr>
    </w:p>
    <w:p>
      <w:pPr>
        <w:pStyle w:val="6"/>
        <w:numPr>
          <w:ilvl w:val="0"/>
          <w:numId w:val="0"/>
        </w:numPr>
        <w:bidi w:val="0"/>
        <w:jc w:val="center"/>
        <w:rPr>
          <w:rFonts w:hint="eastAsia"/>
          <w:color w:val="auto"/>
          <w:highlight w:val="none"/>
          <w:lang w:eastAsia="zh-CN"/>
        </w:rPr>
      </w:pPr>
      <w:bookmarkStart w:id="234" w:name="_Toc16224"/>
      <w:bookmarkStart w:id="235" w:name="_Toc13021"/>
      <w:r>
        <w:rPr>
          <w:rFonts w:hint="eastAsia"/>
          <w:color w:val="auto"/>
          <w:highlight w:val="none"/>
          <w:lang w:eastAsia="zh-CN"/>
        </w:rPr>
        <w:t>第四章</w:t>
      </w:r>
      <w:r>
        <w:rPr>
          <w:rFonts w:hint="eastAsia"/>
          <w:color w:val="auto"/>
          <w:highlight w:val="none"/>
          <w:lang w:val="en-US" w:eastAsia="zh-CN"/>
        </w:rPr>
        <w:t xml:space="preserve">  </w:t>
      </w:r>
      <w:r>
        <w:rPr>
          <w:rFonts w:hint="eastAsia"/>
          <w:color w:val="auto"/>
          <w:highlight w:val="none"/>
          <w:lang w:eastAsia="zh-CN"/>
        </w:rPr>
        <w:t>采购内容及技术要求</w:t>
      </w:r>
      <w:bookmarkEnd w:id="234"/>
      <w:bookmarkEnd w:id="235"/>
    </w:p>
    <w:p>
      <w:pPr>
        <w:rPr>
          <w:rFonts w:hint="eastAsia"/>
          <w:color w:val="auto"/>
          <w:highlight w:val="none"/>
          <w:lang w:eastAsia="zh-CN"/>
        </w:rPr>
      </w:pPr>
    </w:p>
    <w:p>
      <w:pPr>
        <w:jc w:val="center"/>
        <w:rPr>
          <w:rStyle w:val="197"/>
          <w:rFonts w:hint="default" w:ascii="宋体" w:hAnsi="宋体" w:eastAsia="宋体" w:cs="宋体"/>
          <w:b/>
          <w:szCs w:val="24"/>
          <w:highlight w:val="none"/>
          <w:lang w:val="en-US"/>
        </w:rPr>
      </w:pPr>
      <w:r>
        <w:rPr>
          <w:rStyle w:val="197"/>
          <w:rFonts w:hint="eastAsia" w:ascii="宋体" w:hAnsi="宋体" w:eastAsia="宋体" w:cs="宋体"/>
          <w:b/>
          <w:szCs w:val="24"/>
          <w:highlight w:val="none"/>
          <w:lang w:val="en-US" w:eastAsia="zh-CN"/>
        </w:rPr>
        <w:t>经颅</w:t>
      </w:r>
      <w:r>
        <w:rPr>
          <w:rStyle w:val="197"/>
          <w:rFonts w:hint="eastAsia" w:ascii="宋体" w:hAnsi="宋体" w:eastAsia="宋体" w:cs="宋体"/>
          <w:b/>
          <w:szCs w:val="24"/>
          <w:highlight w:val="none"/>
        </w:rPr>
        <w:t>磁</w:t>
      </w:r>
      <w:r>
        <w:rPr>
          <w:rStyle w:val="197"/>
          <w:rFonts w:hint="eastAsia" w:ascii="宋体" w:hAnsi="宋体" w:eastAsia="宋体" w:cs="宋体"/>
          <w:b/>
          <w:szCs w:val="24"/>
          <w:highlight w:val="none"/>
          <w:lang w:val="en-US" w:eastAsia="zh-CN"/>
        </w:rPr>
        <w:t>刺激器1台</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一、主要技术性能要求                  </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、刺激频率：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40Hz;</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、冷却系统为液态内冷系统，非风冷（以《医疗器械注册证》中结构及组成内容为准）</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、刺激线圈：能实现</w:t>
      </w:r>
      <w:r>
        <w:rPr>
          <w:rFonts w:hint="eastAsia" w:ascii="宋体" w:hAnsi="宋体" w:eastAsia="宋体" w:cs="宋体"/>
          <w:color w:val="auto"/>
          <w:sz w:val="24"/>
          <w:szCs w:val="24"/>
          <w:highlight w:val="none"/>
          <w:lang w:eastAsia="zh-CN"/>
        </w:rPr>
        <w:t>多</w:t>
      </w:r>
      <w:r>
        <w:rPr>
          <w:rFonts w:hint="eastAsia" w:ascii="宋体" w:hAnsi="宋体" w:eastAsia="宋体" w:cs="宋体"/>
          <w:color w:val="auto"/>
          <w:sz w:val="24"/>
          <w:szCs w:val="24"/>
          <w:highlight w:val="none"/>
        </w:rPr>
        <w:t>面</w:t>
      </w:r>
      <w:r>
        <w:rPr>
          <w:rFonts w:hint="eastAsia" w:ascii="宋体" w:hAnsi="宋体" w:eastAsia="宋体" w:cs="宋体"/>
          <w:color w:val="auto"/>
          <w:sz w:val="24"/>
          <w:szCs w:val="24"/>
          <w:highlight w:val="none"/>
          <w:lang w:eastAsia="zh-CN"/>
        </w:rPr>
        <w:t>多</w:t>
      </w:r>
      <w:r>
        <w:rPr>
          <w:rFonts w:hint="eastAsia" w:ascii="宋体" w:hAnsi="宋体" w:eastAsia="宋体" w:cs="宋体"/>
          <w:color w:val="auto"/>
          <w:sz w:val="24"/>
          <w:szCs w:val="24"/>
          <w:highlight w:val="none"/>
        </w:rPr>
        <w:t>向刺激。（应出具刺激线圈图样，线圈背部加装冷却系统的不具备此功能）</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单面</w:t>
      </w:r>
      <w:r>
        <w:rPr>
          <w:rFonts w:hint="eastAsia" w:ascii="宋体" w:hAnsi="宋体" w:eastAsia="宋体" w:cs="宋体"/>
          <w:color w:val="auto"/>
          <w:sz w:val="24"/>
          <w:szCs w:val="24"/>
          <w:highlight w:val="none"/>
        </w:rPr>
        <w:t>最大刺激强度≧5Tesla</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、磁感应强度最大变化率：30KT-70KT；</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、脉冲上升时间：60μs±10μs</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单个脉冲持续时间（脉冲宽度）</w:t>
      </w:r>
      <w:r>
        <w:rPr>
          <w:rFonts w:hint="eastAsia" w:ascii="宋体" w:hAnsi="宋体" w:eastAsia="宋体" w:cs="宋体"/>
          <w:color w:val="auto"/>
          <w:sz w:val="24"/>
          <w:szCs w:val="24"/>
          <w:highlight w:val="none"/>
        </w:rPr>
        <w:t>：340μs±20μs</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、电脑操作管理方式：</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a)硬盘储存、USB储存；</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b)专家方案、病历管理、以及病历打印输出</w:t>
      </w:r>
      <w:r>
        <w:rPr>
          <w:rFonts w:hint="eastAsia" w:ascii="宋体" w:hAnsi="宋体" w:eastAsia="宋体" w:cs="宋体"/>
          <w:color w:val="auto"/>
          <w:sz w:val="24"/>
          <w:szCs w:val="24"/>
          <w:highlight w:val="none"/>
          <w:lang w:eastAsia="zh-CN"/>
        </w:rPr>
        <w:t>记录</w:t>
      </w:r>
      <w:r>
        <w:rPr>
          <w:rFonts w:hint="eastAsia" w:ascii="宋体" w:hAnsi="宋体" w:eastAsia="宋体" w:cs="宋体"/>
          <w:color w:val="auto"/>
          <w:sz w:val="24"/>
          <w:szCs w:val="24"/>
          <w:highlight w:val="none"/>
        </w:rPr>
        <w:t>；</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c)刺激模式图形（数字）仿真、温度显示与控制保护。</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、刺激线圈可选配：</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a)8字形线圈拍、圆形线圈拍、动物线圈拍、枕形线圈拍</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b)近红外系统连用线圈拍（附图片）</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、一体式可推移整机结构：</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a)静音脚轮设计；</w:t>
      </w:r>
      <w:r>
        <w:rPr>
          <w:rFonts w:hint="eastAsia" w:ascii="宋体" w:hAnsi="宋体" w:eastAsia="宋体" w:cs="宋体"/>
          <w:color w:val="auto"/>
          <w:sz w:val="24"/>
          <w:szCs w:val="24"/>
          <w:highlight w:val="none"/>
        </w:rPr>
        <w:tab/>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b)可固定线圈支架；</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、具备触发输入输出通用接口。</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、开放式的技术平台，可与国内外的主流肌电诱发电位仪、脑电图等设备兼容。</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、双通道MEP可独立应用，进行MEP检测，以及MEP图形、数字显示与输出；</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a)通道数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两通道</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b)采样率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100KHz</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预留增配一个刺激线圈的升级接口，主机可以实现集成两个刺激线圈拍同时刺激。</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jc w:val="center"/>
        <w:rPr>
          <w:rStyle w:val="197"/>
          <w:rFonts w:hint="default" w:ascii="宋体" w:hAnsi="宋体" w:eastAsia="宋体" w:cs="宋体"/>
          <w:b/>
          <w:szCs w:val="24"/>
          <w:highlight w:val="none"/>
          <w:lang w:val="en-US" w:eastAsia="zh-CN"/>
        </w:rPr>
      </w:pPr>
      <w:r>
        <w:rPr>
          <w:rStyle w:val="197"/>
          <w:rFonts w:hint="eastAsia" w:ascii="宋体" w:hAnsi="宋体" w:eastAsia="宋体" w:cs="宋体"/>
          <w:b/>
          <w:szCs w:val="24"/>
          <w:highlight w:val="none"/>
          <w:lang w:val="en-US" w:eastAsia="zh-CN"/>
        </w:rPr>
        <w:t>多关节主被动训练仪</w:t>
      </w:r>
      <w:r>
        <w:rPr>
          <w:rStyle w:val="197"/>
          <w:rFonts w:hint="eastAsia" w:hAnsi="宋体" w:cs="宋体"/>
          <w:b/>
          <w:szCs w:val="24"/>
          <w:highlight w:val="none"/>
          <w:lang w:val="en-US" w:eastAsia="zh-CN"/>
        </w:rPr>
        <w:t>1台</w:t>
      </w:r>
    </w:p>
    <w:p>
      <w:pPr>
        <w:widowControl/>
        <w:spacing w:line="360" w:lineRule="auto"/>
        <w:textAlignment w:val="baseline"/>
        <w:rPr>
          <w:rStyle w:val="197"/>
          <w:rFonts w:hint="eastAsia" w:ascii="宋体" w:hAnsi="宋体" w:eastAsia="宋体" w:cs="宋体"/>
          <w:szCs w:val="24"/>
          <w:highlight w:val="none"/>
          <w:lang w:val="en-US" w:eastAsia="zh-CN"/>
        </w:rPr>
      </w:pPr>
      <w:r>
        <w:rPr>
          <w:rStyle w:val="197"/>
          <w:rFonts w:hint="eastAsia" w:ascii="宋体" w:hAnsi="宋体" w:eastAsia="宋体" w:cs="宋体"/>
          <w:szCs w:val="24"/>
          <w:highlight w:val="none"/>
          <w:lang w:val="en-US" w:eastAsia="zh-CN"/>
        </w:rPr>
        <w:t>1. 产品组成:由中央控制系统平板电脑、上肢驱动结构、下肢驱动结构、脉搏血氧等数据接口组成。</w:t>
      </w:r>
    </w:p>
    <w:p>
      <w:pPr>
        <w:widowControl/>
        <w:spacing w:line="360" w:lineRule="auto"/>
        <w:textAlignment w:val="baseline"/>
        <w:rPr>
          <w:rStyle w:val="197"/>
          <w:rFonts w:hint="eastAsia" w:ascii="宋体" w:hAnsi="宋体" w:eastAsia="宋体" w:cs="宋体"/>
          <w:szCs w:val="24"/>
          <w:highlight w:val="none"/>
          <w:lang w:val="en-US" w:eastAsia="zh-CN"/>
        </w:rPr>
      </w:pPr>
      <w:r>
        <w:rPr>
          <w:rStyle w:val="197"/>
          <w:rFonts w:hint="eastAsia" w:ascii="宋体" w:hAnsi="宋体" w:eastAsia="宋体" w:cs="宋体"/>
          <w:szCs w:val="24"/>
          <w:highlight w:val="none"/>
          <w:lang w:val="en-US" w:eastAsia="zh-CN"/>
        </w:rPr>
        <w:t>2. 肢体运动康复器参数:</w:t>
      </w:r>
    </w:p>
    <w:p>
      <w:pPr>
        <w:widowControl/>
        <w:spacing w:line="360" w:lineRule="auto"/>
        <w:textAlignment w:val="baseline"/>
        <w:rPr>
          <w:rStyle w:val="197"/>
          <w:rFonts w:hint="eastAsia" w:ascii="宋体" w:hAnsi="宋体" w:eastAsia="宋体" w:cs="宋体"/>
          <w:szCs w:val="24"/>
          <w:highlight w:val="none"/>
          <w:lang w:val="en-US" w:eastAsia="zh-CN"/>
        </w:rPr>
      </w:pPr>
      <w:r>
        <w:rPr>
          <w:rStyle w:val="197"/>
          <w:rFonts w:hint="eastAsia" w:ascii="宋体" w:hAnsi="宋体" w:eastAsia="宋体" w:cs="宋体"/>
          <w:szCs w:val="24"/>
          <w:highlight w:val="none"/>
          <w:lang w:val="en-US" w:eastAsia="zh-CN"/>
        </w:rPr>
        <w:t>2.1.电机转速:5-60x/nin 可调;</w:t>
      </w:r>
    </w:p>
    <w:p>
      <w:pPr>
        <w:widowControl/>
        <w:spacing w:line="360" w:lineRule="auto"/>
        <w:textAlignment w:val="baseline"/>
        <w:rPr>
          <w:rStyle w:val="197"/>
          <w:rFonts w:hint="eastAsia" w:ascii="宋体" w:hAnsi="宋体" w:eastAsia="宋体" w:cs="宋体"/>
          <w:szCs w:val="24"/>
          <w:highlight w:val="none"/>
          <w:lang w:val="en-US" w:eastAsia="zh-CN"/>
        </w:rPr>
      </w:pPr>
      <w:r>
        <w:rPr>
          <w:rStyle w:val="197"/>
          <w:rFonts w:hint="eastAsia" w:ascii="宋体" w:hAnsi="宋体" w:eastAsia="宋体" w:cs="宋体"/>
          <w:szCs w:val="24"/>
          <w:highlight w:val="none"/>
          <w:lang w:val="en-US" w:eastAsia="zh-CN"/>
        </w:rPr>
        <w:t>2.2.助力扭矩:上肢 1~10Nn 可调;下肢 1~20Nm可调。</w:t>
      </w:r>
    </w:p>
    <w:p>
      <w:pPr>
        <w:widowControl/>
        <w:spacing w:line="360" w:lineRule="auto"/>
        <w:textAlignment w:val="baseline"/>
        <w:rPr>
          <w:rStyle w:val="197"/>
          <w:rFonts w:hint="eastAsia" w:ascii="宋体" w:hAnsi="宋体" w:eastAsia="宋体" w:cs="宋体"/>
          <w:szCs w:val="24"/>
          <w:highlight w:val="none"/>
          <w:lang w:val="en-US" w:eastAsia="zh-CN"/>
        </w:rPr>
      </w:pPr>
      <w:r>
        <w:rPr>
          <w:rStyle w:val="197"/>
          <w:rFonts w:hint="eastAsia" w:ascii="宋体" w:hAnsi="宋体" w:eastAsia="宋体" w:cs="宋体"/>
          <w:szCs w:val="24"/>
          <w:highlight w:val="none"/>
          <w:lang w:val="en-US" w:eastAsia="zh-CN"/>
        </w:rPr>
        <w:t>2.3.阻力扭矩:0~20Na 等可调</w:t>
      </w:r>
    </w:p>
    <w:p>
      <w:pPr>
        <w:widowControl/>
        <w:spacing w:line="360" w:lineRule="auto"/>
        <w:textAlignment w:val="baseline"/>
        <w:rPr>
          <w:rStyle w:val="197"/>
          <w:rFonts w:hint="eastAsia" w:ascii="宋体" w:hAnsi="宋体" w:eastAsia="宋体" w:cs="宋体"/>
          <w:szCs w:val="24"/>
          <w:highlight w:val="none"/>
          <w:lang w:val="en-US" w:eastAsia="zh-CN"/>
        </w:rPr>
      </w:pPr>
      <w:r>
        <w:rPr>
          <w:rStyle w:val="197"/>
          <w:rFonts w:hint="eastAsia" w:ascii="宋体" w:hAnsi="宋体" w:eastAsia="宋体" w:cs="宋体"/>
          <w:szCs w:val="24"/>
          <w:highlight w:val="none"/>
          <w:lang w:val="en-US" w:eastAsia="zh-CN"/>
        </w:rPr>
        <w:t>3. 设备具有脉搏血氧监测及保护功能:肢体康复器具有可接收脉搏血氧仪设备数据的接口,当康复器接收到的血氧或脉搏数据超出当前预置血氧或脉搏限值 立即康复器停止工作。</w:t>
      </w:r>
    </w:p>
    <w:p>
      <w:pPr>
        <w:widowControl/>
        <w:spacing w:line="360" w:lineRule="auto"/>
        <w:textAlignment w:val="baseline"/>
        <w:rPr>
          <w:rStyle w:val="197"/>
          <w:rFonts w:hint="eastAsia" w:ascii="宋体" w:hAnsi="宋体" w:eastAsia="宋体" w:cs="宋体"/>
          <w:szCs w:val="24"/>
          <w:highlight w:val="none"/>
          <w:lang w:val="en-US" w:eastAsia="zh-CN"/>
        </w:rPr>
      </w:pPr>
      <w:r>
        <w:rPr>
          <w:rStyle w:val="197"/>
          <w:rFonts w:hint="eastAsia" w:ascii="宋体" w:hAnsi="宋体" w:eastAsia="宋体" w:cs="宋体"/>
          <w:szCs w:val="24"/>
          <w:highlight w:val="none"/>
          <w:lang w:val="en-US" w:eastAsia="zh-CN"/>
        </w:rPr>
        <w:t>4. 三种阻力控制模式:自动、手动、自动+手动切换。</w:t>
      </w:r>
    </w:p>
    <w:p>
      <w:pPr>
        <w:widowControl/>
        <w:spacing w:line="360" w:lineRule="auto"/>
        <w:textAlignment w:val="baseline"/>
        <w:rPr>
          <w:rStyle w:val="197"/>
          <w:rFonts w:hint="eastAsia" w:ascii="宋体" w:hAnsi="宋体" w:eastAsia="宋体" w:cs="宋体"/>
          <w:szCs w:val="24"/>
          <w:highlight w:val="none"/>
          <w:lang w:val="en-US" w:eastAsia="zh-CN"/>
        </w:rPr>
      </w:pPr>
      <w:r>
        <w:rPr>
          <w:rStyle w:val="197"/>
          <w:rFonts w:hint="eastAsia" w:ascii="宋体" w:hAnsi="宋体" w:eastAsia="宋体" w:cs="宋体"/>
          <w:szCs w:val="24"/>
          <w:highlight w:val="none"/>
          <w:lang w:val="en-US" w:eastAsia="zh-CN"/>
        </w:rPr>
        <w:t>5. 情景互动:配合机车游戏动画，实时显示左右平衡状态。</w:t>
      </w:r>
    </w:p>
    <w:p>
      <w:pPr>
        <w:widowControl/>
        <w:spacing w:line="360" w:lineRule="auto"/>
        <w:textAlignment w:val="baseline"/>
        <w:rPr>
          <w:rStyle w:val="197"/>
          <w:rFonts w:hint="eastAsia" w:ascii="宋体" w:hAnsi="宋体" w:eastAsia="宋体" w:cs="宋体"/>
          <w:szCs w:val="24"/>
          <w:highlight w:val="none"/>
          <w:lang w:val="en-US" w:eastAsia="zh-CN"/>
        </w:rPr>
      </w:pPr>
      <w:r>
        <w:rPr>
          <w:rStyle w:val="197"/>
          <w:rFonts w:hint="eastAsia" w:ascii="宋体" w:hAnsi="宋体" w:eastAsia="宋体" w:cs="宋体"/>
          <w:szCs w:val="24"/>
          <w:highlight w:val="none"/>
          <w:lang w:val="en-US" w:eastAsia="zh-CN"/>
        </w:rPr>
        <w:t>6.对称性监测:康复器提供肌力对称性信息，对称性信息以图示的方式显示，并含有相对比例数据。</w:t>
      </w:r>
    </w:p>
    <w:p>
      <w:pPr>
        <w:widowControl/>
        <w:spacing w:line="360" w:lineRule="auto"/>
        <w:textAlignment w:val="baseline"/>
        <w:rPr>
          <w:rStyle w:val="197"/>
          <w:rFonts w:hint="eastAsia" w:ascii="宋体" w:hAnsi="宋体" w:eastAsia="宋体" w:cs="宋体"/>
          <w:szCs w:val="24"/>
          <w:highlight w:val="none"/>
          <w:lang w:val="en-US" w:eastAsia="zh-CN"/>
        </w:rPr>
      </w:pPr>
      <w:r>
        <w:rPr>
          <w:rStyle w:val="197"/>
          <w:rFonts w:hint="eastAsia" w:ascii="宋体" w:hAnsi="宋体" w:eastAsia="宋体" w:cs="宋体"/>
          <w:szCs w:val="24"/>
          <w:highlight w:val="none"/>
          <w:lang w:val="en-US" w:eastAsia="zh-CN"/>
        </w:rPr>
        <w:t>7.两种痉挛保护动作:患者发生痉挛时，可选择停止。</w:t>
      </w:r>
    </w:p>
    <w:p>
      <w:pPr>
        <w:widowControl/>
        <w:spacing w:line="360" w:lineRule="auto"/>
        <w:textAlignment w:val="baseline"/>
        <w:rPr>
          <w:rStyle w:val="197"/>
          <w:rFonts w:hint="eastAsia" w:ascii="宋体" w:hAnsi="宋体" w:eastAsia="宋体" w:cs="宋体"/>
          <w:szCs w:val="24"/>
          <w:highlight w:val="none"/>
          <w:lang w:val="en-US" w:eastAsia="zh-CN"/>
        </w:rPr>
      </w:pPr>
      <w:r>
        <w:rPr>
          <w:rStyle w:val="197"/>
          <w:rFonts w:hint="eastAsia" w:ascii="宋体" w:hAnsi="宋体" w:eastAsia="宋体" w:cs="宋体"/>
          <w:szCs w:val="24"/>
          <w:highlight w:val="none"/>
          <w:lang w:val="en-US" w:eastAsia="zh-CN"/>
        </w:rPr>
        <w:t>8.四大安全功能:手动急停、痉挛保护、脉搏监测停机、血氧检测停机等</w:t>
      </w:r>
    </w:p>
    <w:p>
      <w:pPr>
        <w:widowControl/>
        <w:spacing w:line="360" w:lineRule="auto"/>
        <w:textAlignment w:val="baseline"/>
        <w:rPr>
          <w:rStyle w:val="197"/>
          <w:rFonts w:hint="eastAsia" w:ascii="宋体" w:hAnsi="宋体" w:eastAsia="宋体" w:cs="宋体"/>
          <w:szCs w:val="24"/>
          <w:highlight w:val="none"/>
          <w:lang w:val="en-US" w:eastAsia="zh-CN"/>
        </w:rPr>
      </w:pPr>
      <w:r>
        <w:rPr>
          <w:rStyle w:val="197"/>
          <w:rFonts w:hint="eastAsia" w:ascii="宋体" w:hAnsi="宋体" w:eastAsia="宋体" w:cs="宋体"/>
          <w:szCs w:val="24"/>
          <w:highlight w:val="none"/>
          <w:lang w:val="en-US" w:eastAsia="zh-CN"/>
        </w:rPr>
        <w:t>9.患者病例信息，治疗参数，治疗记录存储并支持导出。</w:t>
      </w:r>
    </w:p>
    <w:p>
      <w:pPr>
        <w:widowControl/>
        <w:spacing w:line="360" w:lineRule="auto"/>
        <w:textAlignment w:val="baseline"/>
        <w:rPr>
          <w:rStyle w:val="197"/>
          <w:rFonts w:hint="eastAsia" w:ascii="宋体" w:hAnsi="宋体" w:eastAsia="宋体" w:cs="宋体"/>
          <w:szCs w:val="24"/>
          <w:highlight w:val="none"/>
          <w:lang w:val="en-US" w:eastAsia="zh-CN"/>
        </w:rPr>
      </w:pPr>
      <w:r>
        <w:rPr>
          <w:rStyle w:val="197"/>
          <w:rFonts w:hint="eastAsia" w:ascii="宋体" w:hAnsi="宋体" w:eastAsia="宋体" w:cs="宋体"/>
          <w:szCs w:val="24"/>
          <w:highlight w:val="none"/>
          <w:lang w:val="en-US" w:eastAsia="zh-CN"/>
        </w:rPr>
        <w:t>10.具有轮椅固定装置。</w:t>
      </w:r>
    </w:p>
    <w:p>
      <w:pPr>
        <w:widowControl/>
        <w:spacing w:line="360" w:lineRule="auto"/>
        <w:textAlignment w:val="baseline"/>
        <w:rPr>
          <w:rStyle w:val="197"/>
          <w:rFonts w:hint="eastAsia" w:ascii="宋体" w:hAnsi="宋体" w:eastAsia="宋体" w:cs="宋体"/>
          <w:szCs w:val="24"/>
          <w:highlight w:val="none"/>
          <w:lang w:val="en-US" w:eastAsia="zh-CN"/>
        </w:rPr>
      </w:pPr>
      <w:r>
        <w:rPr>
          <w:rStyle w:val="197"/>
          <w:rFonts w:hint="eastAsia" w:ascii="宋体" w:hAnsi="宋体" w:eastAsia="宋体" w:cs="宋体"/>
          <w:szCs w:val="24"/>
          <w:highlight w:val="none"/>
          <w:lang w:val="en-US" w:eastAsia="zh-CN"/>
        </w:rPr>
        <w:t>11.多折段可调式屏幕支架</w:t>
      </w:r>
    </w:p>
    <w:p>
      <w:pPr>
        <w:widowControl/>
        <w:spacing w:line="360" w:lineRule="auto"/>
        <w:textAlignment w:val="baseline"/>
        <w:rPr>
          <w:rStyle w:val="197"/>
          <w:rFonts w:hint="eastAsia" w:ascii="宋体" w:hAnsi="宋体" w:eastAsia="宋体" w:cs="宋体"/>
          <w:szCs w:val="24"/>
          <w:highlight w:val="none"/>
          <w:lang w:val="en-US" w:eastAsia="zh-CN"/>
        </w:rPr>
      </w:pPr>
      <w:r>
        <w:rPr>
          <w:rStyle w:val="197"/>
          <w:rFonts w:hint="eastAsia" w:ascii="宋体" w:hAnsi="宋体" w:eastAsia="宋体" w:cs="宋体"/>
          <w:szCs w:val="24"/>
          <w:highlight w:val="none"/>
          <w:lang w:val="en-US" w:eastAsia="zh-CN"/>
        </w:rPr>
        <w:t>12.痉挛保护等级可调。</w:t>
      </w:r>
    </w:p>
    <w:p>
      <w:pPr>
        <w:widowControl/>
        <w:spacing w:line="360" w:lineRule="auto"/>
        <w:textAlignment w:val="baseline"/>
        <w:rPr>
          <w:rStyle w:val="197"/>
          <w:rFonts w:hint="eastAsia" w:ascii="宋体" w:hAnsi="宋体" w:eastAsia="宋体" w:cs="宋体"/>
          <w:szCs w:val="24"/>
          <w:highlight w:val="none"/>
          <w:lang w:val="en-US" w:eastAsia="zh-CN"/>
        </w:rPr>
      </w:pPr>
      <w:r>
        <w:rPr>
          <w:rStyle w:val="197"/>
          <w:rFonts w:hint="eastAsia" w:ascii="宋体" w:hAnsi="宋体" w:eastAsia="宋体" w:cs="宋体"/>
          <w:szCs w:val="24"/>
          <w:highlight w:val="none"/>
          <w:lang w:val="en-US" w:eastAsia="zh-CN"/>
        </w:rPr>
        <w:t>13.二阶段三期:治疗分为预热阶段、积极治疗阶段；预热期、积极治疗期、冷却期三个治疗时期，实现训练过程的循序渐进，保证训练安全有效。</w:t>
      </w:r>
    </w:p>
    <w:p>
      <w:pPr>
        <w:widowControl/>
        <w:spacing w:line="360" w:lineRule="auto"/>
        <w:textAlignment w:val="baseline"/>
        <w:rPr>
          <w:rStyle w:val="197"/>
          <w:rFonts w:hint="eastAsia" w:ascii="宋体" w:hAnsi="宋体" w:eastAsia="宋体" w:cs="宋体"/>
          <w:szCs w:val="24"/>
          <w:highlight w:val="none"/>
          <w:lang w:val="en-US" w:eastAsia="zh-CN"/>
        </w:rPr>
      </w:pPr>
      <w:r>
        <w:rPr>
          <w:rStyle w:val="197"/>
          <w:rFonts w:hint="eastAsia" w:ascii="宋体" w:hAnsi="宋体" w:eastAsia="宋体" w:cs="宋体"/>
          <w:szCs w:val="24"/>
          <w:highlight w:val="none"/>
          <w:lang w:val="en-US" w:eastAsia="zh-CN"/>
        </w:rPr>
        <w:t>14.智能语音提醒与互动。</w:t>
      </w:r>
    </w:p>
    <w:p>
      <w:pPr>
        <w:widowControl/>
        <w:spacing w:line="360" w:lineRule="auto"/>
        <w:textAlignment w:val="baseline"/>
        <w:rPr>
          <w:rStyle w:val="197"/>
          <w:rFonts w:hint="eastAsia" w:ascii="宋体" w:hAnsi="宋体" w:eastAsia="宋体" w:cs="宋体"/>
          <w:szCs w:val="24"/>
          <w:highlight w:val="none"/>
          <w:lang w:val="en-US" w:eastAsia="zh-CN"/>
        </w:rPr>
      </w:pPr>
      <w:r>
        <w:rPr>
          <w:rStyle w:val="197"/>
          <w:rFonts w:hint="eastAsia" w:ascii="宋体" w:hAnsi="宋体" w:eastAsia="宋体" w:cs="宋体"/>
          <w:szCs w:val="24"/>
          <w:highlight w:val="none"/>
          <w:lang w:val="en-US" w:eastAsia="zh-CN"/>
        </w:rPr>
        <w:t>15.治疗小结:每次训练结束，会小结本次训练的里程数，做功，主动运动时间，被动运动时间，痉挛次数等。</w:t>
      </w:r>
    </w:p>
    <w:p>
      <w:pPr>
        <w:pStyle w:val="2"/>
        <w:ind w:left="0" w:leftChars="0" w:firstLine="0" w:firstLineChars="0"/>
        <w:rPr>
          <w:rStyle w:val="197"/>
          <w:rFonts w:hint="eastAsia" w:ascii="宋体" w:hAnsi="宋体" w:eastAsia="宋体" w:cs="宋体"/>
          <w:szCs w:val="24"/>
          <w:highlight w:val="none"/>
          <w:lang w:val="en-US" w:eastAsia="zh-CN"/>
        </w:rPr>
      </w:pPr>
      <w:r>
        <w:rPr>
          <w:rStyle w:val="197"/>
          <w:rFonts w:hint="eastAsia" w:ascii="宋体" w:hAnsi="宋体" w:eastAsia="宋体" w:cs="宋体"/>
          <w:szCs w:val="24"/>
          <w:highlight w:val="none"/>
          <w:lang w:val="en-US" w:eastAsia="zh-CN"/>
        </w:rPr>
        <w:t>16.屏幕≥10英寸，分辨率≥1920*1080 旋钮/按键:触摸屏幕</w:t>
      </w:r>
    </w:p>
    <w:p>
      <w:pPr>
        <w:rPr>
          <w:rStyle w:val="197"/>
          <w:rFonts w:hint="eastAsia" w:ascii="宋体" w:hAnsi="宋体" w:eastAsia="宋体" w:cs="宋体"/>
          <w:szCs w:val="24"/>
          <w:highlight w:val="none"/>
          <w:lang w:val="en-US" w:eastAsia="zh-CN"/>
        </w:rPr>
      </w:pPr>
      <w:r>
        <w:rPr>
          <w:rStyle w:val="197"/>
          <w:rFonts w:hint="eastAsia" w:ascii="宋体" w:hAnsi="宋体" w:eastAsia="宋体" w:cs="宋体"/>
          <w:szCs w:val="24"/>
          <w:highlight w:val="none"/>
          <w:lang w:val="en-US" w:eastAsia="zh-CN"/>
        </w:rPr>
        <w:br w:type="page"/>
      </w:r>
    </w:p>
    <w:p>
      <w:pPr>
        <w:jc w:val="center"/>
        <w:rPr>
          <w:rStyle w:val="197"/>
          <w:rFonts w:hint="default" w:ascii="宋体" w:hAnsi="宋体" w:eastAsia="宋体" w:cs="宋体"/>
          <w:b/>
          <w:szCs w:val="24"/>
          <w:highlight w:val="none"/>
          <w:lang w:val="en-US" w:eastAsia="zh-CN"/>
        </w:rPr>
      </w:pPr>
      <w:r>
        <w:rPr>
          <w:rStyle w:val="197"/>
          <w:rFonts w:hint="eastAsia" w:ascii="宋体" w:hAnsi="宋体" w:eastAsia="宋体" w:cs="宋体"/>
          <w:b/>
          <w:szCs w:val="24"/>
          <w:highlight w:val="none"/>
          <w:lang w:val="en-US" w:eastAsia="zh-CN"/>
        </w:rPr>
        <w:t>离子导入康复仪</w:t>
      </w:r>
      <w:r>
        <w:rPr>
          <w:rStyle w:val="197"/>
          <w:rFonts w:hint="eastAsia" w:hAnsi="宋体" w:cs="宋体"/>
          <w:b/>
          <w:szCs w:val="24"/>
          <w:highlight w:val="none"/>
          <w:lang w:val="en-US" w:eastAsia="zh-CN"/>
        </w:rPr>
        <w:t>2台</w:t>
      </w:r>
    </w:p>
    <w:p>
      <w:pPr>
        <w:widowControl/>
        <w:spacing w:line="360" w:lineRule="auto"/>
        <w:textAlignment w:val="baseline"/>
        <w:rPr>
          <w:rStyle w:val="197"/>
          <w:rFonts w:hint="eastAsia" w:ascii="宋体" w:hAnsi="宋体" w:eastAsia="宋体" w:cs="宋体"/>
          <w:szCs w:val="24"/>
          <w:highlight w:val="none"/>
          <w:lang w:val="en-US" w:eastAsia="zh-CN"/>
        </w:rPr>
      </w:pPr>
      <w:r>
        <w:rPr>
          <w:rStyle w:val="197"/>
          <w:rFonts w:hint="eastAsia" w:ascii="宋体" w:hAnsi="宋体" w:eastAsia="宋体" w:cs="宋体"/>
          <w:szCs w:val="24"/>
          <w:highlight w:val="none"/>
          <w:lang w:val="en-US" w:eastAsia="zh-CN"/>
        </w:rPr>
        <w:t>1、中频调制频率1250～4000Hz。</w:t>
      </w:r>
    </w:p>
    <w:p>
      <w:pPr>
        <w:widowControl/>
        <w:spacing w:line="360" w:lineRule="auto"/>
        <w:textAlignment w:val="baseline"/>
        <w:rPr>
          <w:rStyle w:val="197"/>
          <w:rFonts w:hint="eastAsia" w:ascii="宋体" w:hAnsi="宋体" w:eastAsia="宋体" w:cs="宋体"/>
          <w:szCs w:val="24"/>
          <w:highlight w:val="none"/>
          <w:lang w:val="en-US" w:eastAsia="zh-CN"/>
        </w:rPr>
      </w:pPr>
      <w:r>
        <w:rPr>
          <w:rStyle w:val="197"/>
          <w:rFonts w:hint="eastAsia" w:ascii="宋体" w:hAnsi="宋体" w:eastAsia="宋体" w:cs="宋体"/>
          <w:szCs w:val="24"/>
          <w:highlight w:val="none"/>
          <w:lang w:val="en-US" w:eastAsia="zh-CN"/>
        </w:rPr>
        <w:t>2、输出强度0～99共100级步进可调。</w:t>
      </w:r>
    </w:p>
    <w:p>
      <w:pPr>
        <w:widowControl/>
        <w:spacing w:line="360" w:lineRule="auto"/>
        <w:textAlignment w:val="baseline"/>
        <w:rPr>
          <w:rStyle w:val="197"/>
          <w:rFonts w:hint="eastAsia" w:ascii="宋体" w:hAnsi="宋体" w:eastAsia="宋体" w:cs="宋体"/>
          <w:szCs w:val="24"/>
          <w:highlight w:val="none"/>
          <w:lang w:val="en-US" w:eastAsia="zh-CN"/>
        </w:rPr>
      </w:pPr>
      <w:r>
        <w:rPr>
          <w:rStyle w:val="197"/>
          <w:rFonts w:hint="eastAsia" w:ascii="宋体" w:hAnsi="宋体" w:eastAsia="宋体" w:cs="宋体"/>
          <w:szCs w:val="24"/>
          <w:highlight w:val="none"/>
          <w:lang w:val="en-US" w:eastAsia="zh-CN"/>
        </w:rPr>
        <w:t>3、定时时间：设定范围1～60分钟，默认20分钟；</w:t>
      </w:r>
    </w:p>
    <w:p>
      <w:pPr>
        <w:widowControl/>
        <w:spacing w:line="360" w:lineRule="auto"/>
        <w:textAlignment w:val="baseline"/>
        <w:rPr>
          <w:rStyle w:val="197"/>
          <w:rFonts w:hint="eastAsia" w:ascii="宋体" w:hAnsi="宋体" w:eastAsia="宋体" w:cs="宋体"/>
          <w:szCs w:val="24"/>
          <w:highlight w:val="none"/>
          <w:lang w:val="en-US" w:eastAsia="zh-CN"/>
        </w:rPr>
      </w:pPr>
      <w:r>
        <w:rPr>
          <w:rStyle w:val="197"/>
          <w:rFonts w:hint="eastAsia" w:ascii="宋体" w:hAnsi="宋体" w:eastAsia="宋体" w:cs="宋体"/>
          <w:szCs w:val="24"/>
          <w:highlight w:val="none"/>
          <w:lang w:val="en-US" w:eastAsia="zh-CN"/>
        </w:rPr>
        <w:t>4、治疗仪最大输出电流≤100mA（r.m.s）。</w:t>
      </w:r>
    </w:p>
    <w:p>
      <w:pPr>
        <w:widowControl/>
        <w:spacing w:line="360" w:lineRule="auto"/>
        <w:textAlignment w:val="baseline"/>
        <w:rPr>
          <w:rStyle w:val="197"/>
          <w:rFonts w:hint="eastAsia" w:ascii="宋体" w:hAnsi="宋体" w:eastAsia="宋体" w:cs="宋体"/>
          <w:szCs w:val="24"/>
          <w:highlight w:val="none"/>
          <w:lang w:val="en-US" w:eastAsia="zh-CN"/>
        </w:rPr>
      </w:pPr>
      <w:r>
        <w:rPr>
          <w:rStyle w:val="197"/>
          <w:rFonts w:hint="eastAsia" w:ascii="宋体" w:hAnsi="宋体" w:eastAsia="宋体" w:cs="宋体"/>
          <w:szCs w:val="24"/>
          <w:highlight w:val="none"/>
          <w:lang w:val="en-US" w:eastAsia="zh-CN"/>
        </w:rPr>
        <w:t>5、≥7英寸液晶屏，全中文显示。</w:t>
      </w:r>
    </w:p>
    <w:p>
      <w:pPr>
        <w:widowControl/>
        <w:spacing w:line="360" w:lineRule="auto"/>
        <w:textAlignment w:val="baseline"/>
        <w:rPr>
          <w:rStyle w:val="197"/>
          <w:rFonts w:hint="eastAsia" w:ascii="宋体" w:hAnsi="宋体" w:eastAsia="宋体" w:cs="宋体"/>
          <w:szCs w:val="24"/>
          <w:highlight w:val="none"/>
          <w:lang w:val="en-US" w:eastAsia="zh-CN"/>
        </w:rPr>
      </w:pPr>
      <w:r>
        <w:rPr>
          <w:rStyle w:val="197"/>
          <w:rFonts w:hint="eastAsia" w:ascii="宋体" w:hAnsi="宋体" w:eastAsia="宋体" w:cs="宋体"/>
          <w:szCs w:val="24"/>
          <w:highlight w:val="none"/>
          <w:lang w:val="en-US" w:eastAsia="zh-CN"/>
        </w:rPr>
        <w:t>★ 6、实时显示治疗电流和波形。</w:t>
      </w:r>
    </w:p>
    <w:p>
      <w:pPr>
        <w:widowControl/>
        <w:spacing w:line="360" w:lineRule="auto"/>
        <w:textAlignment w:val="baseline"/>
        <w:rPr>
          <w:rStyle w:val="197"/>
          <w:rFonts w:hint="eastAsia" w:ascii="宋体" w:hAnsi="宋体" w:eastAsia="宋体" w:cs="宋体"/>
          <w:szCs w:val="24"/>
          <w:highlight w:val="none"/>
          <w:lang w:val="en-US" w:eastAsia="zh-CN"/>
        </w:rPr>
      </w:pPr>
      <w:r>
        <w:rPr>
          <w:rStyle w:val="197"/>
          <w:rFonts w:hint="eastAsia" w:ascii="宋体" w:hAnsi="宋体" w:eastAsia="宋体" w:cs="宋体"/>
          <w:szCs w:val="24"/>
          <w:highlight w:val="none"/>
          <w:lang w:val="en-US" w:eastAsia="zh-CN"/>
        </w:rPr>
        <w:t>7、治疗处方中文显示</w:t>
      </w:r>
    </w:p>
    <w:p>
      <w:pPr>
        <w:widowControl/>
        <w:spacing w:line="360" w:lineRule="auto"/>
        <w:textAlignment w:val="baseline"/>
        <w:rPr>
          <w:rStyle w:val="197"/>
          <w:rFonts w:hint="eastAsia" w:ascii="宋体" w:hAnsi="宋体" w:eastAsia="宋体" w:cs="宋体"/>
          <w:szCs w:val="24"/>
          <w:highlight w:val="none"/>
          <w:lang w:val="en-US" w:eastAsia="zh-CN"/>
        </w:rPr>
      </w:pPr>
      <w:r>
        <w:rPr>
          <w:rStyle w:val="197"/>
          <w:rFonts w:hint="eastAsia" w:ascii="宋体" w:hAnsi="宋体" w:eastAsia="宋体" w:cs="宋体"/>
          <w:szCs w:val="24"/>
          <w:highlight w:val="none"/>
          <w:lang w:val="en-US" w:eastAsia="zh-CN"/>
        </w:rPr>
        <w:t xml:space="preserve">8、输出脉冲波形 </w:t>
      </w:r>
    </w:p>
    <w:p>
      <w:pPr>
        <w:widowControl/>
        <w:spacing w:line="360" w:lineRule="auto"/>
        <w:textAlignment w:val="baseline"/>
        <w:rPr>
          <w:rStyle w:val="197"/>
          <w:rFonts w:hint="eastAsia" w:ascii="宋体" w:hAnsi="宋体" w:eastAsia="宋体" w:cs="宋体"/>
          <w:szCs w:val="24"/>
          <w:highlight w:val="none"/>
          <w:lang w:val="en-US" w:eastAsia="zh-CN"/>
        </w:rPr>
      </w:pPr>
      <w:r>
        <w:rPr>
          <w:rStyle w:val="197"/>
          <w:rFonts w:hint="eastAsia" w:ascii="宋体" w:hAnsi="宋体" w:eastAsia="宋体" w:cs="宋体"/>
          <w:szCs w:val="24"/>
          <w:highlight w:val="none"/>
          <w:lang w:val="en-US" w:eastAsia="zh-CN"/>
        </w:rPr>
        <w:t xml:space="preserve">★9、具备中频仿生按摩、药物导入、按摩+导入三种治疗模式        </w:t>
      </w:r>
    </w:p>
    <w:p>
      <w:pPr>
        <w:widowControl/>
        <w:spacing w:line="360" w:lineRule="auto"/>
        <w:textAlignment w:val="baseline"/>
        <w:rPr>
          <w:rStyle w:val="197"/>
          <w:rFonts w:hint="eastAsia" w:ascii="宋体" w:hAnsi="宋体" w:eastAsia="宋体" w:cs="宋体"/>
          <w:szCs w:val="24"/>
          <w:highlight w:val="none"/>
          <w:lang w:val="en-US" w:eastAsia="zh-CN"/>
        </w:rPr>
      </w:pPr>
      <w:r>
        <w:rPr>
          <w:rStyle w:val="197"/>
          <w:rFonts w:hint="eastAsia" w:ascii="宋体" w:hAnsi="宋体" w:eastAsia="宋体" w:cs="宋体"/>
          <w:szCs w:val="24"/>
          <w:highlight w:val="none"/>
          <w:lang w:val="en-US" w:eastAsia="zh-CN"/>
        </w:rPr>
        <w:t>★10、≥两路四通道输出，可同时治疗2人及以上；</w:t>
      </w:r>
    </w:p>
    <w:p>
      <w:pPr>
        <w:widowControl/>
        <w:spacing w:line="360" w:lineRule="auto"/>
        <w:textAlignment w:val="baseline"/>
        <w:rPr>
          <w:rStyle w:val="197"/>
          <w:rFonts w:hint="eastAsia" w:ascii="宋体" w:hAnsi="宋体" w:eastAsia="宋体" w:cs="宋体"/>
          <w:szCs w:val="24"/>
          <w:highlight w:val="none"/>
          <w:lang w:val="en-US" w:eastAsia="zh-CN"/>
        </w:rPr>
      </w:pPr>
      <w:r>
        <w:rPr>
          <w:rStyle w:val="197"/>
          <w:rFonts w:hint="eastAsia" w:ascii="宋体" w:hAnsi="宋体" w:eastAsia="宋体" w:cs="宋体"/>
          <w:szCs w:val="24"/>
          <w:highlight w:val="none"/>
          <w:lang w:val="en-US" w:eastAsia="zh-CN"/>
        </w:rPr>
        <w:t>11、专家治疗处方，并可根据医院需求更改或增减处方。</w:t>
      </w:r>
    </w:p>
    <w:p>
      <w:pPr>
        <w:widowControl/>
        <w:spacing w:line="360" w:lineRule="auto"/>
        <w:textAlignment w:val="baseline"/>
        <w:rPr>
          <w:rStyle w:val="197"/>
          <w:rFonts w:hint="eastAsia" w:ascii="宋体" w:hAnsi="宋体" w:eastAsia="宋体" w:cs="宋体"/>
          <w:szCs w:val="24"/>
          <w:highlight w:val="none"/>
          <w:lang w:val="en-US" w:eastAsia="zh-CN"/>
        </w:rPr>
      </w:pPr>
      <w:r>
        <w:rPr>
          <w:rStyle w:val="197"/>
          <w:rFonts w:hint="eastAsia" w:ascii="宋体" w:hAnsi="宋体" w:eastAsia="宋体" w:cs="宋体"/>
          <w:szCs w:val="24"/>
          <w:highlight w:val="none"/>
          <w:lang w:val="en-US" w:eastAsia="zh-CN"/>
        </w:rPr>
        <w:t>12、治疗仪的输入功率:100VA；±5%</w:t>
      </w:r>
    </w:p>
    <w:p>
      <w:pPr>
        <w:pStyle w:val="2"/>
        <w:rPr>
          <w:rStyle w:val="197"/>
          <w:rFonts w:hint="eastAsia" w:ascii="宋体" w:hAnsi="宋体" w:eastAsia="宋体" w:cs="宋体"/>
          <w:szCs w:val="24"/>
          <w:highlight w:val="none"/>
          <w:lang w:val="en-US" w:eastAsia="zh-CN"/>
        </w:rPr>
        <w:sectPr>
          <w:footerReference r:id="rId6" w:type="default"/>
          <w:pgSz w:w="11906" w:h="16838"/>
          <w:pgMar w:top="1418" w:right="1418" w:bottom="1418" w:left="1418" w:header="720" w:footer="720" w:gutter="0"/>
          <w:pgBorders>
            <w:top w:val="none" w:sz="0" w:space="0"/>
            <w:left w:val="none" w:sz="0" w:space="0"/>
            <w:bottom w:val="none" w:sz="0" w:space="0"/>
            <w:right w:val="none" w:sz="0" w:space="0"/>
          </w:pgBorders>
          <w:pgNumType w:fmt="decimal"/>
          <w:cols w:space="720" w:num="1"/>
          <w:docGrid w:type="lines" w:linePitch="312" w:charSpace="0"/>
        </w:sectPr>
      </w:pPr>
    </w:p>
    <w:bookmarkEnd w:id="128"/>
    <w:p>
      <w:pPr>
        <w:pStyle w:val="6"/>
        <w:bidi w:val="0"/>
        <w:rPr>
          <w:color w:val="auto"/>
          <w:highlight w:val="none"/>
        </w:rPr>
      </w:pPr>
      <w:bookmarkStart w:id="236" w:name="_Toc11284"/>
      <w:bookmarkStart w:id="237" w:name="_Toc25607"/>
      <w:bookmarkStart w:id="238" w:name="_Toc1462"/>
      <w:bookmarkStart w:id="239" w:name="_Toc21416"/>
      <w:bookmarkStart w:id="240" w:name="_Toc426457697"/>
      <w:bookmarkStart w:id="241" w:name="_Toc28550"/>
      <w:bookmarkStart w:id="242" w:name="_Toc2203"/>
      <w:r>
        <w:rPr>
          <w:rFonts w:hint="eastAsia"/>
          <w:color w:val="auto"/>
          <w:highlight w:val="none"/>
        </w:rPr>
        <w:t xml:space="preserve">第五章 </w:t>
      </w:r>
      <w:r>
        <w:rPr>
          <w:rFonts w:hint="eastAsia"/>
          <w:color w:val="auto"/>
          <w:highlight w:val="none"/>
          <w:lang w:val="en-US" w:eastAsia="zh-CN"/>
        </w:rPr>
        <w:t xml:space="preserve"> </w:t>
      </w:r>
      <w:r>
        <w:rPr>
          <w:rFonts w:hint="eastAsia"/>
          <w:color w:val="auto"/>
          <w:highlight w:val="none"/>
        </w:rPr>
        <w:t>评 标 方 法</w:t>
      </w:r>
      <w:bookmarkEnd w:id="236"/>
      <w:bookmarkEnd w:id="237"/>
      <w:bookmarkEnd w:id="238"/>
      <w:bookmarkEnd w:id="239"/>
      <w:bookmarkEnd w:id="240"/>
      <w:bookmarkEnd w:id="241"/>
      <w:bookmarkEnd w:id="242"/>
    </w:p>
    <w:p>
      <w:pPr>
        <w:spacing w:line="360" w:lineRule="auto"/>
        <w:rPr>
          <w:rFonts w:hAnsi="宋体" w:cs="宋体"/>
          <w:b/>
          <w:color w:val="auto"/>
          <w:sz w:val="28"/>
          <w:szCs w:val="28"/>
          <w:highlight w:val="none"/>
        </w:rPr>
      </w:pPr>
      <w:bookmarkStart w:id="243" w:name="_Toc363463332"/>
      <w:r>
        <w:rPr>
          <w:rFonts w:hint="eastAsia" w:hAnsi="宋体" w:cs="宋体"/>
          <w:b/>
          <w:color w:val="auto"/>
          <w:sz w:val="28"/>
          <w:szCs w:val="28"/>
          <w:highlight w:val="none"/>
        </w:rPr>
        <w:t>一、评标方法</w:t>
      </w:r>
      <w:bookmarkEnd w:id="243"/>
    </w:p>
    <w:p>
      <w:pPr>
        <w:keepNext w:val="0"/>
        <w:keepLines w:val="0"/>
        <w:pageBreakBefore w:val="0"/>
        <w:widowControl w:val="0"/>
        <w:kinsoku/>
        <w:wordWrap/>
        <w:overflowPunct/>
        <w:topLinePunct w:val="0"/>
        <w:autoSpaceDE/>
        <w:autoSpaceDN/>
        <w:bidi w:val="0"/>
        <w:adjustRightInd/>
        <w:snapToGrid/>
        <w:spacing w:line="360" w:lineRule="auto"/>
        <w:ind w:left="0" w:leftChars="0" w:firstLine="496" w:firstLineChars="200"/>
        <w:textAlignment w:val="auto"/>
        <w:rPr>
          <w:rFonts w:hAnsi="宋体" w:cs="宋体"/>
          <w:color w:val="auto"/>
          <w:spacing w:val="4"/>
          <w:szCs w:val="24"/>
          <w:highlight w:val="none"/>
        </w:rPr>
      </w:pPr>
      <w:r>
        <w:rPr>
          <w:rFonts w:hint="eastAsia" w:hAnsi="宋体" w:cs="宋体"/>
          <w:color w:val="auto"/>
          <w:spacing w:val="4"/>
          <w:szCs w:val="24"/>
          <w:highlight w:val="none"/>
        </w:rPr>
        <w:t>按照</w:t>
      </w:r>
      <w:r>
        <w:rPr>
          <w:rFonts w:hint="eastAsia" w:hAnsi="宋体" w:cs="宋体"/>
          <w:color w:val="auto"/>
          <w:highlight w:val="none"/>
        </w:rPr>
        <w:t>《中华人民共和国政府采购法》及实施条例和</w:t>
      </w:r>
      <w:r>
        <w:rPr>
          <w:rFonts w:hint="eastAsia" w:hAnsi="宋体" w:cs="宋体"/>
          <w:color w:val="auto"/>
          <w:spacing w:val="4"/>
          <w:szCs w:val="24"/>
          <w:highlight w:val="none"/>
        </w:rPr>
        <w:t>中华人民共和国财政部令第87号--《政府采购货物和服务招标投标管理办法》的规定，本次评标采用</w:t>
      </w:r>
      <w:r>
        <w:rPr>
          <w:rFonts w:hint="eastAsia" w:hAnsi="宋体" w:cs="宋体"/>
          <w:b/>
          <w:color w:val="auto"/>
          <w:spacing w:val="4"/>
          <w:szCs w:val="24"/>
          <w:highlight w:val="none"/>
        </w:rPr>
        <w:t>综合评分法</w:t>
      </w:r>
      <w:r>
        <w:rPr>
          <w:rFonts w:hint="eastAsia" w:hAnsi="宋体" w:cs="宋体"/>
          <w:color w:val="auto"/>
          <w:spacing w:val="4"/>
          <w:szCs w:val="24"/>
          <w:highlight w:val="none"/>
        </w:rPr>
        <w:t>，即在最大限度地满足</w:t>
      </w:r>
      <w:r>
        <w:rPr>
          <w:rFonts w:hint="eastAsia" w:hAnsi="宋体" w:cs="宋体"/>
          <w:color w:val="auto"/>
          <w:spacing w:val="4"/>
          <w:szCs w:val="24"/>
          <w:highlight w:val="none"/>
          <w:lang w:eastAsia="zh-CN"/>
        </w:rPr>
        <w:t>竞争性磋商</w:t>
      </w:r>
      <w:r>
        <w:rPr>
          <w:rFonts w:hint="eastAsia" w:hAnsi="宋体" w:cs="宋体"/>
          <w:color w:val="auto"/>
          <w:spacing w:val="4"/>
          <w:szCs w:val="24"/>
          <w:highlight w:val="none"/>
        </w:rPr>
        <w:t>文件实质性要求前提下，按照</w:t>
      </w:r>
      <w:r>
        <w:rPr>
          <w:rFonts w:hint="eastAsia" w:hAnsi="宋体" w:cs="宋体"/>
          <w:color w:val="auto"/>
          <w:spacing w:val="4"/>
          <w:szCs w:val="24"/>
          <w:highlight w:val="none"/>
          <w:lang w:eastAsia="zh-CN"/>
        </w:rPr>
        <w:t>竞争性磋商</w:t>
      </w:r>
      <w:r>
        <w:rPr>
          <w:rFonts w:hint="eastAsia" w:hAnsi="宋体" w:cs="宋体"/>
          <w:color w:val="auto"/>
          <w:spacing w:val="4"/>
          <w:szCs w:val="24"/>
          <w:highlight w:val="none"/>
        </w:rPr>
        <w:t>文件中规定的各项因素和相应的权重分值进行综合评审后，以总得分最高的供应商作为中标候选人并依次排序（最低报价不是中标的唯一标准）。</w:t>
      </w:r>
    </w:p>
    <w:p>
      <w:pPr>
        <w:spacing w:line="360" w:lineRule="auto"/>
        <w:rPr>
          <w:rFonts w:hAnsi="宋体" w:cs="宋体"/>
          <w:b/>
          <w:color w:val="auto"/>
          <w:sz w:val="28"/>
          <w:szCs w:val="28"/>
          <w:highlight w:val="none"/>
        </w:rPr>
      </w:pPr>
      <w:r>
        <w:rPr>
          <w:rFonts w:hint="eastAsia" w:hAnsi="宋体" w:cs="宋体"/>
          <w:b/>
          <w:color w:val="auto"/>
          <w:sz w:val="28"/>
          <w:szCs w:val="28"/>
          <w:highlight w:val="none"/>
        </w:rPr>
        <w:t>二、评审标准</w:t>
      </w:r>
    </w:p>
    <w:p>
      <w:pPr>
        <w:tabs>
          <w:tab w:val="left" w:pos="0"/>
        </w:tabs>
        <w:adjustRightInd w:val="0"/>
        <w:snapToGrid w:val="0"/>
        <w:spacing w:line="360" w:lineRule="auto"/>
        <w:ind w:firstLine="472" w:firstLineChars="196"/>
        <w:rPr>
          <w:rFonts w:hAnsi="宋体" w:cs="宋体"/>
          <w:b/>
          <w:color w:val="auto"/>
          <w:highlight w:val="none"/>
        </w:rPr>
      </w:pPr>
      <w:r>
        <w:rPr>
          <w:rFonts w:hint="eastAsia" w:hAnsi="宋体" w:cs="宋体"/>
          <w:b/>
          <w:color w:val="auto"/>
          <w:highlight w:val="none"/>
        </w:rPr>
        <w:t>2.1初步评审标准</w:t>
      </w:r>
    </w:p>
    <w:p>
      <w:pPr>
        <w:tabs>
          <w:tab w:val="left" w:pos="0"/>
        </w:tabs>
        <w:adjustRightInd w:val="0"/>
        <w:snapToGrid w:val="0"/>
        <w:spacing w:line="360" w:lineRule="auto"/>
        <w:ind w:firstLine="470" w:firstLineChars="196"/>
        <w:rPr>
          <w:rFonts w:hAnsi="宋体" w:cs="宋体"/>
          <w:color w:val="auto"/>
          <w:highlight w:val="none"/>
        </w:rPr>
      </w:pPr>
      <w:r>
        <w:rPr>
          <w:rFonts w:hint="eastAsia" w:hAnsi="宋体" w:cs="宋体"/>
          <w:color w:val="auto"/>
          <w:highlight w:val="none"/>
        </w:rPr>
        <w:t>2.1.1资格性审查标准：见附件1初步审查要素表</w:t>
      </w:r>
    </w:p>
    <w:p>
      <w:pPr>
        <w:tabs>
          <w:tab w:val="left" w:pos="0"/>
        </w:tabs>
        <w:adjustRightInd w:val="0"/>
        <w:snapToGrid w:val="0"/>
        <w:spacing w:line="360" w:lineRule="auto"/>
        <w:ind w:firstLine="470" w:firstLineChars="196"/>
        <w:rPr>
          <w:rFonts w:hAnsi="宋体" w:cs="宋体"/>
          <w:color w:val="auto"/>
          <w:highlight w:val="none"/>
        </w:rPr>
      </w:pPr>
      <w:r>
        <w:rPr>
          <w:rFonts w:hint="eastAsia" w:hAnsi="宋体" w:cs="宋体"/>
          <w:color w:val="auto"/>
          <w:highlight w:val="none"/>
        </w:rPr>
        <w:t>2.1.2符合性审查标准：见附件1初步审查要素表</w:t>
      </w:r>
    </w:p>
    <w:p>
      <w:pPr>
        <w:tabs>
          <w:tab w:val="left" w:pos="0"/>
        </w:tabs>
        <w:adjustRightInd w:val="0"/>
        <w:snapToGrid w:val="0"/>
        <w:spacing w:line="360" w:lineRule="auto"/>
        <w:ind w:firstLine="472" w:firstLineChars="196"/>
        <w:rPr>
          <w:rFonts w:hAnsi="宋体" w:cs="宋体"/>
          <w:b/>
          <w:color w:val="auto"/>
          <w:szCs w:val="22"/>
          <w:highlight w:val="none"/>
        </w:rPr>
      </w:pPr>
      <w:r>
        <w:rPr>
          <w:rFonts w:hint="eastAsia" w:hAnsi="宋体" w:cs="宋体"/>
          <w:b/>
          <w:color w:val="auto"/>
          <w:szCs w:val="22"/>
          <w:highlight w:val="none"/>
        </w:rPr>
        <w:t>2.2分值构成与评分标准</w:t>
      </w:r>
    </w:p>
    <w:p>
      <w:pPr>
        <w:tabs>
          <w:tab w:val="left" w:pos="0"/>
        </w:tabs>
        <w:adjustRightInd w:val="0"/>
        <w:snapToGrid w:val="0"/>
        <w:spacing w:line="360" w:lineRule="auto"/>
        <w:ind w:firstLine="470" w:firstLineChars="196"/>
        <w:rPr>
          <w:rFonts w:hAnsi="宋体" w:cs="宋体"/>
          <w:bCs/>
          <w:color w:val="auto"/>
          <w:szCs w:val="22"/>
          <w:highlight w:val="none"/>
        </w:rPr>
      </w:pPr>
      <w:r>
        <w:rPr>
          <w:rFonts w:hint="eastAsia" w:hAnsi="宋体" w:cs="宋体"/>
          <w:bCs/>
          <w:color w:val="auto"/>
          <w:szCs w:val="22"/>
          <w:highlight w:val="none"/>
        </w:rPr>
        <w:t>2.2.1 分值构成</w:t>
      </w:r>
    </w:p>
    <w:p>
      <w:pPr>
        <w:tabs>
          <w:tab w:val="left" w:pos="0"/>
        </w:tabs>
        <w:adjustRightInd w:val="0"/>
        <w:snapToGrid w:val="0"/>
        <w:spacing w:line="360" w:lineRule="auto"/>
        <w:ind w:firstLine="470" w:firstLineChars="196"/>
        <w:rPr>
          <w:rFonts w:hAnsi="宋体" w:cs="宋体"/>
          <w:bCs/>
          <w:color w:val="auto"/>
          <w:szCs w:val="22"/>
          <w:highlight w:val="none"/>
        </w:rPr>
      </w:pPr>
      <w:r>
        <w:rPr>
          <w:rFonts w:hint="eastAsia" w:hAnsi="宋体" w:cs="宋体"/>
          <w:bCs/>
          <w:color w:val="auto"/>
          <w:szCs w:val="22"/>
          <w:highlight w:val="none"/>
        </w:rPr>
        <w:t>（1）投标价格：见附件2评标因素及权重分值表</w:t>
      </w:r>
    </w:p>
    <w:p>
      <w:pPr>
        <w:tabs>
          <w:tab w:val="left" w:pos="0"/>
        </w:tabs>
        <w:adjustRightInd w:val="0"/>
        <w:snapToGrid w:val="0"/>
        <w:spacing w:line="360" w:lineRule="auto"/>
        <w:ind w:firstLine="470" w:firstLineChars="196"/>
        <w:rPr>
          <w:rFonts w:hAnsi="宋体" w:cs="宋体"/>
          <w:bCs/>
          <w:color w:val="auto"/>
          <w:szCs w:val="22"/>
          <w:highlight w:val="none"/>
        </w:rPr>
      </w:pPr>
      <w:r>
        <w:rPr>
          <w:rFonts w:hint="eastAsia" w:hAnsi="宋体" w:cs="宋体"/>
          <w:bCs/>
          <w:color w:val="auto"/>
          <w:szCs w:val="22"/>
          <w:highlight w:val="none"/>
        </w:rPr>
        <w:t>（2）技术评审：见附件2评标因素及权重分值表</w:t>
      </w:r>
    </w:p>
    <w:p>
      <w:pPr>
        <w:tabs>
          <w:tab w:val="left" w:pos="0"/>
        </w:tabs>
        <w:adjustRightInd w:val="0"/>
        <w:snapToGrid w:val="0"/>
        <w:spacing w:line="360" w:lineRule="auto"/>
        <w:ind w:firstLine="470" w:firstLineChars="196"/>
        <w:rPr>
          <w:rFonts w:hAnsi="宋体" w:cs="宋体"/>
          <w:bCs/>
          <w:color w:val="auto"/>
          <w:szCs w:val="22"/>
          <w:highlight w:val="none"/>
        </w:rPr>
      </w:pPr>
      <w:r>
        <w:rPr>
          <w:rFonts w:hint="eastAsia" w:hAnsi="宋体" w:cs="宋体"/>
          <w:bCs/>
          <w:color w:val="auto"/>
          <w:szCs w:val="22"/>
          <w:highlight w:val="none"/>
        </w:rPr>
        <w:t>（3）履约能力及服务承诺：见附件2评标因素及权重分值表</w:t>
      </w:r>
    </w:p>
    <w:p>
      <w:pPr>
        <w:spacing w:line="360" w:lineRule="auto"/>
        <w:rPr>
          <w:rFonts w:hAnsi="宋体" w:cs="宋体"/>
          <w:b/>
          <w:color w:val="auto"/>
          <w:sz w:val="28"/>
          <w:szCs w:val="28"/>
          <w:highlight w:val="none"/>
        </w:rPr>
      </w:pPr>
      <w:bookmarkStart w:id="244" w:name="_Toc363463333"/>
      <w:r>
        <w:rPr>
          <w:rFonts w:hint="eastAsia" w:hAnsi="宋体" w:cs="宋体"/>
          <w:b/>
          <w:color w:val="auto"/>
          <w:sz w:val="28"/>
          <w:szCs w:val="28"/>
          <w:highlight w:val="none"/>
        </w:rPr>
        <w:t>三、评标程序</w:t>
      </w:r>
      <w:bookmarkEnd w:id="244"/>
    </w:p>
    <w:p>
      <w:pPr>
        <w:spacing w:line="360" w:lineRule="auto"/>
        <w:rPr>
          <w:rFonts w:hAnsi="宋体" w:cs="宋体"/>
          <w:b/>
          <w:color w:val="auto"/>
          <w:highlight w:val="none"/>
        </w:rPr>
      </w:pPr>
      <w:r>
        <w:rPr>
          <w:rFonts w:hint="eastAsia" w:hAnsi="宋体" w:cs="宋体"/>
          <w:b/>
          <w:color w:val="auto"/>
          <w:highlight w:val="none"/>
        </w:rPr>
        <w:t>1.本采购项目评标按照下列工作程序进行</w:t>
      </w:r>
      <w:r>
        <w:rPr>
          <w:rFonts w:hint="eastAsia" w:hAnsi="宋体" w:cs="宋体"/>
          <w:bCs/>
          <w:color w:val="auto"/>
          <w:highlight w:val="none"/>
        </w:rPr>
        <w:t>（在上一步评审中被认定无效投标者，不进入下一步的评审）</w:t>
      </w:r>
      <w:r>
        <w:rPr>
          <w:rFonts w:hint="eastAsia" w:hAnsi="宋体" w:cs="宋体"/>
          <w:b/>
          <w:color w:val="auto"/>
          <w:highlight w:val="none"/>
        </w:rPr>
        <w:t>。</w:t>
      </w:r>
    </w:p>
    <w:p>
      <w:pPr>
        <w:spacing w:line="360" w:lineRule="auto"/>
        <w:ind w:firstLine="495"/>
        <w:rPr>
          <w:rFonts w:hAnsi="宋体" w:cs="宋体"/>
          <w:color w:val="auto"/>
          <w:highlight w:val="none"/>
        </w:rPr>
      </w:pPr>
      <w:r>
        <w:rPr>
          <w:rFonts w:hint="eastAsia" w:hAnsi="宋体" w:cs="宋体"/>
          <w:color w:val="auto"/>
          <w:highlight w:val="none"/>
        </w:rPr>
        <w:t>（1）</w:t>
      </w:r>
      <w:r>
        <w:rPr>
          <w:rFonts w:hint="eastAsia" w:hAnsi="宋体" w:cs="宋体"/>
          <w:color w:val="auto"/>
          <w:highlight w:val="none"/>
          <w:lang w:eastAsia="zh-CN"/>
        </w:rPr>
        <w:t>响应</w:t>
      </w:r>
      <w:r>
        <w:rPr>
          <w:rFonts w:hint="eastAsia" w:hAnsi="宋体" w:cs="宋体"/>
          <w:color w:val="auto"/>
          <w:highlight w:val="none"/>
        </w:rPr>
        <w:t>文件初审；</w:t>
      </w:r>
    </w:p>
    <w:p>
      <w:pPr>
        <w:spacing w:line="360" w:lineRule="auto"/>
        <w:ind w:firstLine="495"/>
        <w:rPr>
          <w:rFonts w:hAnsi="宋体" w:cs="宋体"/>
          <w:color w:val="auto"/>
          <w:highlight w:val="none"/>
        </w:rPr>
      </w:pPr>
      <w:r>
        <w:rPr>
          <w:rFonts w:hint="eastAsia" w:hAnsi="宋体" w:cs="宋体"/>
          <w:color w:val="auto"/>
          <w:highlight w:val="none"/>
        </w:rPr>
        <w:t>（2）澄清有关问题；</w:t>
      </w:r>
    </w:p>
    <w:p>
      <w:pPr>
        <w:spacing w:line="360" w:lineRule="auto"/>
        <w:ind w:firstLine="495"/>
        <w:rPr>
          <w:rFonts w:hAnsi="宋体" w:cs="宋体"/>
          <w:color w:val="auto"/>
          <w:highlight w:val="none"/>
        </w:rPr>
      </w:pPr>
      <w:r>
        <w:rPr>
          <w:rFonts w:hint="eastAsia" w:hAnsi="宋体" w:cs="宋体"/>
          <w:color w:val="auto"/>
          <w:highlight w:val="none"/>
        </w:rPr>
        <w:t>（3）比较与评价；</w:t>
      </w:r>
    </w:p>
    <w:p>
      <w:pPr>
        <w:spacing w:line="360" w:lineRule="auto"/>
        <w:ind w:firstLine="495"/>
        <w:rPr>
          <w:rFonts w:hAnsi="宋体" w:cs="宋体"/>
          <w:color w:val="auto"/>
          <w:highlight w:val="none"/>
        </w:rPr>
      </w:pPr>
      <w:r>
        <w:rPr>
          <w:rFonts w:hint="eastAsia" w:hAnsi="宋体" w:cs="宋体"/>
          <w:color w:val="auto"/>
          <w:highlight w:val="none"/>
        </w:rPr>
        <w:t>（4）推荐中标候选人名单。</w:t>
      </w:r>
    </w:p>
    <w:p>
      <w:pPr>
        <w:spacing w:before="120" w:after="120" w:line="360" w:lineRule="auto"/>
        <w:rPr>
          <w:rFonts w:hAnsi="宋体" w:cs="宋体"/>
          <w:b/>
          <w:color w:val="auto"/>
          <w:highlight w:val="none"/>
        </w:rPr>
      </w:pPr>
      <w:r>
        <w:rPr>
          <w:rFonts w:hint="eastAsia" w:hAnsi="宋体" w:cs="宋体"/>
          <w:b/>
          <w:color w:val="auto"/>
          <w:highlight w:val="none"/>
        </w:rPr>
        <w:t>2.</w:t>
      </w:r>
      <w:r>
        <w:rPr>
          <w:rFonts w:hint="eastAsia" w:hAnsi="宋体" w:cs="宋体"/>
          <w:b/>
          <w:color w:val="auto"/>
          <w:highlight w:val="none"/>
          <w:lang w:eastAsia="zh-CN"/>
        </w:rPr>
        <w:t>响应</w:t>
      </w:r>
      <w:r>
        <w:rPr>
          <w:rFonts w:hint="eastAsia" w:hAnsi="宋体" w:cs="宋体"/>
          <w:b/>
          <w:color w:val="auto"/>
          <w:highlight w:val="none"/>
        </w:rPr>
        <w:t>文件初审</w:t>
      </w:r>
    </w:p>
    <w:p>
      <w:pPr>
        <w:tabs>
          <w:tab w:val="left" w:pos="0"/>
        </w:tabs>
        <w:adjustRightInd w:val="0"/>
        <w:snapToGrid w:val="0"/>
        <w:spacing w:line="360" w:lineRule="auto"/>
        <w:ind w:firstLine="472" w:firstLineChars="196"/>
        <w:rPr>
          <w:rFonts w:hAnsi="宋体" w:cs="宋体"/>
          <w:b/>
          <w:bCs/>
          <w:color w:val="auto"/>
          <w:highlight w:val="none"/>
        </w:rPr>
      </w:pPr>
      <w:r>
        <w:rPr>
          <w:rFonts w:hint="eastAsia" w:hAnsi="宋体" w:cs="宋体"/>
          <w:b/>
          <w:bCs/>
          <w:color w:val="auto"/>
          <w:highlight w:val="none"/>
        </w:rPr>
        <w:t>采购人或采购代理机构根据本章第 2.1.1 项规定的评审标准对</w:t>
      </w:r>
      <w:r>
        <w:rPr>
          <w:rFonts w:hint="eastAsia" w:hAnsi="宋体" w:cs="宋体"/>
          <w:b/>
          <w:bCs/>
          <w:color w:val="auto"/>
          <w:highlight w:val="none"/>
          <w:lang w:eastAsia="zh-CN"/>
        </w:rPr>
        <w:t>响应</w:t>
      </w:r>
      <w:r>
        <w:rPr>
          <w:rFonts w:hint="eastAsia" w:hAnsi="宋体" w:cs="宋体"/>
          <w:b/>
          <w:bCs/>
          <w:color w:val="auto"/>
          <w:highlight w:val="none"/>
        </w:rPr>
        <w:t>文件进行资格性审查。有一项不符合评审标准的，将被认定为无效投标。</w:t>
      </w:r>
    </w:p>
    <w:p>
      <w:pPr>
        <w:tabs>
          <w:tab w:val="left" w:pos="0"/>
        </w:tabs>
        <w:adjustRightInd w:val="0"/>
        <w:snapToGrid w:val="0"/>
        <w:spacing w:line="360" w:lineRule="auto"/>
        <w:ind w:firstLine="472" w:firstLineChars="196"/>
        <w:rPr>
          <w:rFonts w:hAnsi="宋体" w:cs="宋体"/>
          <w:color w:val="auto"/>
          <w:highlight w:val="none"/>
        </w:rPr>
      </w:pPr>
      <w:r>
        <w:rPr>
          <w:rFonts w:hint="eastAsia" w:hAnsi="宋体" w:cs="宋体"/>
          <w:b/>
          <w:bCs/>
          <w:color w:val="auto"/>
          <w:highlight w:val="none"/>
          <w:lang w:eastAsia="zh-CN"/>
        </w:rPr>
        <w:t>磋商小组</w:t>
      </w:r>
      <w:r>
        <w:rPr>
          <w:rFonts w:hint="eastAsia" w:hAnsi="宋体" w:cs="宋体"/>
          <w:b/>
          <w:bCs/>
          <w:color w:val="auto"/>
          <w:highlight w:val="none"/>
        </w:rPr>
        <w:t>根据本章第 2.1.2 项规定的评审标准对</w:t>
      </w:r>
      <w:r>
        <w:rPr>
          <w:rFonts w:hint="eastAsia" w:hAnsi="宋体" w:cs="宋体"/>
          <w:b/>
          <w:bCs/>
          <w:color w:val="auto"/>
          <w:highlight w:val="none"/>
          <w:lang w:eastAsia="zh-CN"/>
        </w:rPr>
        <w:t>响应</w:t>
      </w:r>
      <w:r>
        <w:rPr>
          <w:rFonts w:hint="eastAsia" w:hAnsi="宋体" w:cs="宋体"/>
          <w:b/>
          <w:bCs/>
          <w:color w:val="auto"/>
          <w:highlight w:val="none"/>
        </w:rPr>
        <w:t>文件进行符合性评审。有一项不符合评审标准的，</w:t>
      </w:r>
      <w:r>
        <w:rPr>
          <w:rFonts w:hint="eastAsia" w:hAnsi="宋体" w:cs="宋体"/>
          <w:b/>
          <w:bCs/>
          <w:color w:val="auto"/>
          <w:highlight w:val="none"/>
          <w:lang w:eastAsia="zh-CN"/>
        </w:rPr>
        <w:t>磋商小组</w:t>
      </w:r>
      <w:r>
        <w:rPr>
          <w:rFonts w:hint="eastAsia" w:hAnsi="宋体" w:cs="宋体"/>
          <w:b/>
          <w:bCs/>
          <w:color w:val="auto"/>
          <w:highlight w:val="none"/>
        </w:rPr>
        <w:t>应当否决其投标。</w:t>
      </w:r>
    </w:p>
    <w:p>
      <w:pPr>
        <w:tabs>
          <w:tab w:val="left" w:pos="0"/>
        </w:tabs>
        <w:adjustRightInd w:val="0"/>
        <w:snapToGrid w:val="0"/>
        <w:spacing w:line="360" w:lineRule="auto"/>
        <w:ind w:firstLine="472" w:firstLineChars="196"/>
        <w:rPr>
          <w:rFonts w:hAnsi="宋体" w:cs="宋体"/>
          <w:b/>
          <w:bCs/>
          <w:color w:val="auto"/>
          <w:highlight w:val="none"/>
        </w:rPr>
      </w:pPr>
      <w:r>
        <w:rPr>
          <w:rFonts w:hint="eastAsia" w:hAnsi="宋体" w:cs="宋体"/>
          <w:b/>
          <w:bCs/>
          <w:color w:val="auto"/>
          <w:highlight w:val="none"/>
        </w:rPr>
        <w:t>在资格性审查阶段，不符合</w:t>
      </w:r>
      <w:r>
        <w:rPr>
          <w:rFonts w:hint="eastAsia" w:hAnsi="宋体" w:cs="宋体"/>
          <w:b/>
          <w:bCs/>
          <w:color w:val="auto"/>
          <w:highlight w:val="none"/>
          <w:lang w:eastAsia="zh-CN"/>
        </w:rPr>
        <w:t>竞争性磋商</w:t>
      </w:r>
      <w:r>
        <w:rPr>
          <w:rFonts w:hint="eastAsia" w:hAnsi="宋体" w:cs="宋体"/>
          <w:b/>
          <w:bCs/>
          <w:color w:val="auto"/>
          <w:highlight w:val="none"/>
        </w:rPr>
        <w:t>文件要求的，不得进入符合性审查，在符合性审查时未通过的，不得进入后续评审环节。</w:t>
      </w:r>
    </w:p>
    <w:p>
      <w:pPr>
        <w:spacing w:before="120" w:after="120" w:line="360" w:lineRule="auto"/>
        <w:rPr>
          <w:rFonts w:hAnsi="宋体" w:cs="宋体"/>
          <w:b/>
          <w:color w:val="auto"/>
          <w:highlight w:val="none"/>
        </w:rPr>
      </w:pPr>
      <w:r>
        <w:rPr>
          <w:rFonts w:hint="eastAsia" w:hAnsi="宋体" w:cs="宋体"/>
          <w:b/>
          <w:color w:val="auto"/>
          <w:highlight w:val="none"/>
        </w:rPr>
        <w:t>3.</w:t>
      </w:r>
      <w:r>
        <w:rPr>
          <w:rFonts w:hint="eastAsia" w:hAnsi="宋体" w:cs="宋体"/>
          <w:b/>
          <w:color w:val="auto"/>
          <w:highlight w:val="none"/>
          <w:lang w:eastAsia="zh-CN"/>
        </w:rPr>
        <w:t>响应</w:t>
      </w:r>
      <w:r>
        <w:rPr>
          <w:rFonts w:hint="eastAsia" w:hAnsi="宋体" w:cs="宋体"/>
          <w:b/>
          <w:color w:val="auto"/>
          <w:highlight w:val="none"/>
        </w:rPr>
        <w:t>文件的澄清</w:t>
      </w:r>
    </w:p>
    <w:p>
      <w:pPr>
        <w:spacing w:line="360" w:lineRule="auto"/>
        <w:ind w:firstLine="480" w:firstLineChars="200"/>
        <w:rPr>
          <w:rFonts w:hAnsi="宋体" w:cs="宋体"/>
          <w:color w:val="auto"/>
          <w:highlight w:val="none"/>
        </w:rPr>
      </w:pPr>
      <w:r>
        <w:rPr>
          <w:rFonts w:hint="eastAsia" w:hAnsi="宋体" w:cs="宋体"/>
          <w:color w:val="auto"/>
          <w:highlight w:val="none"/>
        </w:rPr>
        <w:t>3.1为有助于</w:t>
      </w:r>
      <w:r>
        <w:rPr>
          <w:rFonts w:hint="eastAsia" w:hAnsi="宋体" w:cs="宋体"/>
          <w:color w:val="auto"/>
          <w:highlight w:val="none"/>
          <w:lang w:eastAsia="zh-CN"/>
        </w:rPr>
        <w:t>响应</w:t>
      </w:r>
      <w:r>
        <w:rPr>
          <w:rFonts w:hint="eastAsia" w:hAnsi="宋体" w:cs="宋体"/>
          <w:color w:val="auto"/>
          <w:highlight w:val="none"/>
        </w:rPr>
        <w:t>文件的审查、比较和评价，</w:t>
      </w:r>
      <w:r>
        <w:rPr>
          <w:rFonts w:hint="eastAsia" w:hAnsi="宋体" w:cs="宋体"/>
          <w:color w:val="auto"/>
          <w:highlight w:val="none"/>
          <w:lang w:eastAsia="zh-CN"/>
        </w:rPr>
        <w:t>磋商小组</w:t>
      </w:r>
      <w:r>
        <w:rPr>
          <w:rFonts w:hint="eastAsia" w:hAnsi="宋体" w:cs="宋体"/>
          <w:color w:val="auto"/>
          <w:highlight w:val="none"/>
        </w:rPr>
        <w:t>可要求供应商对其</w:t>
      </w:r>
      <w:r>
        <w:rPr>
          <w:rFonts w:hint="eastAsia" w:hAnsi="宋体" w:cs="宋体"/>
          <w:color w:val="auto"/>
          <w:highlight w:val="none"/>
          <w:lang w:eastAsia="zh-CN"/>
        </w:rPr>
        <w:t>响应文件</w:t>
      </w:r>
      <w:r>
        <w:rPr>
          <w:rFonts w:hint="eastAsia" w:hAnsi="宋体" w:cs="宋体"/>
          <w:color w:val="auto"/>
          <w:highlight w:val="none"/>
        </w:rPr>
        <w:t>中非实质性（</w:t>
      </w:r>
      <w:r>
        <w:rPr>
          <w:rFonts w:hint="eastAsia" w:hAnsi="宋体" w:cs="宋体"/>
          <w:color w:val="auto"/>
          <w:highlight w:val="none"/>
          <w:lang w:eastAsia="zh-CN"/>
        </w:rPr>
        <w:t>响应文件</w:t>
      </w:r>
      <w:r>
        <w:rPr>
          <w:rFonts w:hint="eastAsia" w:hAnsi="宋体" w:cs="宋体"/>
          <w:color w:val="auto"/>
          <w:highlight w:val="none"/>
        </w:rPr>
        <w:t>中含义不明确、同类问题表述不一致或者有明显文字和计算错误的内容）的有关问题进行澄清、说明或者补正。有关澄清、说明或者补正的要求和答复应以书面形式提交，并由其法定代表人或授权代表签字。供应商的澄清、说明或者补正不得超出</w:t>
      </w:r>
      <w:r>
        <w:rPr>
          <w:rFonts w:hint="eastAsia" w:hAnsi="宋体" w:cs="宋体"/>
          <w:color w:val="auto"/>
          <w:highlight w:val="none"/>
          <w:lang w:eastAsia="zh-CN"/>
        </w:rPr>
        <w:t>响应文件</w:t>
      </w:r>
      <w:r>
        <w:rPr>
          <w:rFonts w:hint="eastAsia" w:hAnsi="宋体" w:cs="宋体"/>
          <w:color w:val="auto"/>
          <w:highlight w:val="none"/>
        </w:rPr>
        <w:t>的范围或者改变</w:t>
      </w:r>
      <w:r>
        <w:rPr>
          <w:rFonts w:hint="eastAsia" w:hAnsi="宋体" w:cs="宋体"/>
          <w:color w:val="auto"/>
          <w:highlight w:val="none"/>
          <w:lang w:eastAsia="zh-CN"/>
        </w:rPr>
        <w:t>响应文件</w:t>
      </w:r>
      <w:r>
        <w:rPr>
          <w:rFonts w:hint="eastAsia" w:hAnsi="宋体" w:cs="宋体"/>
          <w:color w:val="auto"/>
          <w:highlight w:val="none"/>
        </w:rPr>
        <w:t>的实质性内容。</w:t>
      </w:r>
      <w:r>
        <w:rPr>
          <w:rFonts w:hint="eastAsia" w:hAnsi="宋体" w:cs="宋体"/>
          <w:color w:val="auto"/>
          <w:highlight w:val="none"/>
          <w:lang w:eastAsia="zh-CN"/>
        </w:rPr>
        <w:t>磋商小组</w:t>
      </w:r>
      <w:r>
        <w:rPr>
          <w:rFonts w:hint="eastAsia" w:hAnsi="宋体" w:cs="宋体"/>
          <w:color w:val="auto"/>
          <w:highlight w:val="none"/>
        </w:rPr>
        <w:t>不接受供应商主动提出的澄清、说明。</w:t>
      </w:r>
    </w:p>
    <w:p>
      <w:pPr>
        <w:spacing w:line="360" w:lineRule="auto"/>
        <w:ind w:firstLine="480" w:firstLineChars="200"/>
        <w:rPr>
          <w:rFonts w:hAnsi="宋体" w:cs="宋体"/>
          <w:color w:val="auto"/>
          <w:szCs w:val="24"/>
          <w:highlight w:val="none"/>
        </w:rPr>
      </w:pPr>
      <w:r>
        <w:rPr>
          <w:rFonts w:hint="eastAsia" w:hAnsi="宋体" w:cs="宋体"/>
          <w:color w:val="auto"/>
          <w:highlight w:val="none"/>
        </w:rPr>
        <w:t>3.2有效的书面澄清材料，是</w:t>
      </w:r>
      <w:r>
        <w:rPr>
          <w:rFonts w:hint="eastAsia" w:hAnsi="宋体" w:cs="宋体"/>
          <w:color w:val="auto"/>
          <w:highlight w:val="none"/>
          <w:lang w:eastAsia="zh-CN"/>
        </w:rPr>
        <w:t>响应文件</w:t>
      </w:r>
      <w:r>
        <w:rPr>
          <w:rFonts w:hint="eastAsia" w:hAnsi="宋体" w:cs="宋体"/>
          <w:color w:val="auto"/>
          <w:highlight w:val="none"/>
        </w:rPr>
        <w:t>的补充材料，成为</w:t>
      </w:r>
      <w:r>
        <w:rPr>
          <w:rFonts w:hint="eastAsia" w:hAnsi="宋体" w:cs="宋体"/>
          <w:color w:val="auto"/>
          <w:highlight w:val="none"/>
          <w:lang w:eastAsia="zh-CN"/>
        </w:rPr>
        <w:t>响应文件</w:t>
      </w:r>
      <w:r>
        <w:rPr>
          <w:rFonts w:hint="eastAsia" w:hAnsi="宋体" w:cs="宋体"/>
          <w:color w:val="auto"/>
          <w:highlight w:val="none"/>
        </w:rPr>
        <w:t>的组成部分。</w:t>
      </w:r>
    </w:p>
    <w:p>
      <w:pPr>
        <w:tabs>
          <w:tab w:val="left" w:pos="851"/>
        </w:tabs>
        <w:spacing w:line="360" w:lineRule="auto"/>
        <w:ind w:firstLine="480" w:firstLineChars="200"/>
        <w:rPr>
          <w:rFonts w:hAnsi="宋体" w:cs="宋体"/>
          <w:color w:val="auto"/>
          <w:szCs w:val="24"/>
          <w:highlight w:val="none"/>
        </w:rPr>
      </w:pPr>
      <w:r>
        <w:rPr>
          <w:rFonts w:hint="eastAsia" w:hAnsi="宋体" w:cs="宋体"/>
          <w:color w:val="auto"/>
          <w:szCs w:val="24"/>
          <w:highlight w:val="none"/>
        </w:rPr>
        <w:t>3.3</w:t>
      </w:r>
      <w:r>
        <w:rPr>
          <w:rFonts w:hint="eastAsia" w:hAnsi="宋体" w:cs="宋体"/>
          <w:color w:val="auto"/>
          <w:szCs w:val="24"/>
          <w:highlight w:val="none"/>
          <w:lang w:eastAsia="zh-CN"/>
        </w:rPr>
        <w:t>磋商小组</w:t>
      </w:r>
      <w:r>
        <w:rPr>
          <w:rFonts w:hint="eastAsia" w:hAnsi="宋体" w:cs="宋体"/>
          <w:color w:val="auto"/>
          <w:szCs w:val="24"/>
          <w:highlight w:val="none"/>
        </w:rPr>
        <w:t>认为供应商的报价明显低于其他通过符合性审查供应商的报价，有可能影响产品质量或者不能诚信履约的，应当要求其在评标现场合理的时间内提供书面说明，必要时提交相关证明材料；供应商不能证明其报价合理性的，</w:t>
      </w:r>
      <w:r>
        <w:rPr>
          <w:rFonts w:hint="eastAsia" w:hAnsi="宋体" w:cs="宋体"/>
          <w:color w:val="auto"/>
          <w:szCs w:val="24"/>
          <w:highlight w:val="none"/>
          <w:lang w:eastAsia="zh-CN"/>
        </w:rPr>
        <w:t>磋商小组</w:t>
      </w:r>
      <w:r>
        <w:rPr>
          <w:rFonts w:hint="eastAsia" w:hAnsi="宋体" w:cs="宋体"/>
          <w:color w:val="auto"/>
          <w:szCs w:val="24"/>
          <w:highlight w:val="none"/>
        </w:rPr>
        <w:t>应当将其作为无效投标处理。</w:t>
      </w:r>
    </w:p>
    <w:p>
      <w:pPr>
        <w:spacing w:before="120" w:after="120" w:line="360" w:lineRule="auto"/>
        <w:jc w:val="left"/>
        <w:rPr>
          <w:rFonts w:hAnsi="宋体" w:cs="宋体"/>
          <w:b/>
          <w:color w:val="auto"/>
          <w:highlight w:val="none"/>
        </w:rPr>
      </w:pPr>
      <w:r>
        <w:rPr>
          <w:rFonts w:hint="eastAsia" w:hAnsi="宋体" w:cs="宋体"/>
          <w:b/>
          <w:color w:val="auto"/>
          <w:highlight w:val="none"/>
        </w:rPr>
        <w:t>4.</w:t>
      </w:r>
      <w:r>
        <w:rPr>
          <w:rFonts w:hint="eastAsia" w:hAnsi="宋体" w:cs="宋体"/>
          <w:b/>
          <w:color w:val="auto"/>
          <w:highlight w:val="none"/>
          <w:lang w:eastAsia="zh-CN"/>
        </w:rPr>
        <w:t>响应文件</w:t>
      </w:r>
      <w:r>
        <w:rPr>
          <w:rFonts w:hint="eastAsia" w:hAnsi="宋体" w:cs="宋体"/>
          <w:b/>
          <w:color w:val="auto"/>
          <w:highlight w:val="none"/>
        </w:rPr>
        <w:t>比较与评价</w:t>
      </w:r>
    </w:p>
    <w:p>
      <w:pPr>
        <w:tabs>
          <w:tab w:val="left" w:pos="0"/>
        </w:tabs>
        <w:adjustRightInd w:val="0"/>
        <w:snapToGrid w:val="0"/>
        <w:spacing w:before="120" w:line="360" w:lineRule="auto"/>
        <w:ind w:firstLine="480" w:firstLineChars="200"/>
        <w:rPr>
          <w:rFonts w:hAnsi="宋体" w:cs="宋体"/>
          <w:color w:val="auto"/>
          <w:highlight w:val="none"/>
        </w:rPr>
      </w:pPr>
      <w:r>
        <w:rPr>
          <w:rFonts w:hint="eastAsia" w:hAnsi="宋体" w:cs="宋体"/>
          <w:color w:val="auto"/>
          <w:highlight w:val="none"/>
        </w:rPr>
        <w:t>4.1</w:t>
      </w:r>
      <w:r>
        <w:rPr>
          <w:rFonts w:hint="eastAsia" w:hAnsi="宋体" w:cs="宋体"/>
          <w:bCs/>
          <w:color w:val="auto"/>
          <w:highlight w:val="none"/>
          <w:lang w:eastAsia="zh-CN"/>
        </w:rPr>
        <w:t>磋商小组</w:t>
      </w:r>
      <w:r>
        <w:rPr>
          <w:rFonts w:hint="eastAsia" w:hAnsi="宋体" w:cs="宋体"/>
          <w:bCs/>
          <w:color w:val="auto"/>
          <w:highlight w:val="none"/>
        </w:rPr>
        <w:t>应按照</w:t>
      </w:r>
      <w:r>
        <w:rPr>
          <w:rFonts w:hint="eastAsia" w:hAnsi="宋体" w:cs="宋体"/>
          <w:bCs/>
          <w:color w:val="auto"/>
          <w:highlight w:val="none"/>
          <w:lang w:eastAsia="zh-CN"/>
        </w:rPr>
        <w:t>竞争性磋商文件</w:t>
      </w:r>
      <w:r>
        <w:rPr>
          <w:rFonts w:hint="eastAsia" w:hAnsi="宋体" w:cs="宋体"/>
          <w:bCs/>
          <w:color w:val="auto"/>
          <w:highlight w:val="none"/>
        </w:rPr>
        <w:t>中规定的评标方法</w:t>
      </w:r>
      <w:r>
        <w:rPr>
          <w:rFonts w:hint="eastAsia" w:hAnsi="宋体" w:cs="宋体"/>
          <w:color w:val="auto"/>
          <w:highlight w:val="none"/>
        </w:rPr>
        <w:t>和标准，</w:t>
      </w:r>
      <w:r>
        <w:rPr>
          <w:rFonts w:hint="eastAsia" w:hAnsi="宋体" w:cs="宋体"/>
          <w:bCs/>
          <w:color w:val="auto"/>
          <w:highlight w:val="none"/>
        </w:rPr>
        <w:t>对</w:t>
      </w:r>
      <w:r>
        <w:rPr>
          <w:rFonts w:hint="eastAsia" w:hAnsi="宋体" w:cs="宋体"/>
          <w:color w:val="auto"/>
          <w:highlight w:val="none"/>
        </w:rPr>
        <w:t>资格性检查和符合性检查</w:t>
      </w:r>
      <w:r>
        <w:rPr>
          <w:rFonts w:hint="eastAsia" w:hAnsi="宋体" w:cs="宋体"/>
          <w:bCs/>
          <w:color w:val="auto"/>
          <w:highlight w:val="none"/>
        </w:rPr>
        <w:t>合格的</w:t>
      </w:r>
      <w:r>
        <w:rPr>
          <w:rFonts w:hint="eastAsia" w:hAnsi="宋体" w:cs="宋体"/>
          <w:bCs/>
          <w:color w:val="auto"/>
          <w:highlight w:val="none"/>
          <w:lang w:eastAsia="zh-CN"/>
        </w:rPr>
        <w:t>响应文件</w:t>
      </w:r>
      <w:r>
        <w:rPr>
          <w:rFonts w:hint="eastAsia" w:hAnsi="宋体" w:cs="宋体"/>
          <w:bCs/>
          <w:color w:val="auto"/>
          <w:highlight w:val="none"/>
        </w:rPr>
        <w:t>进行商务和技术评估，综合比较与评价。</w:t>
      </w:r>
    </w:p>
    <w:p>
      <w:pPr>
        <w:spacing w:line="360" w:lineRule="auto"/>
        <w:ind w:firstLine="470" w:firstLineChars="196"/>
        <w:rPr>
          <w:rFonts w:hAnsi="宋体" w:cs="宋体"/>
          <w:color w:val="auto"/>
          <w:szCs w:val="24"/>
          <w:highlight w:val="none"/>
        </w:rPr>
      </w:pPr>
      <w:r>
        <w:rPr>
          <w:rFonts w:hint="eastAsia" w:hAnsi="宋体" w:cs="宋体"/>
          <w:color w:val="auto"/>
          <w:highlight w:val="none"/>
        </w:rPr>
        <w:t>4.2如果</w:t>
      </w:r>
      <w:r>
        <w:rPr>
          <w:rFonts w:hint="eastAsia" w:hAnsi="宋体" w:cs="宋体"/>
          <w:color w:val="auto"/>
          <w:highlight w:val="none"/>
          <w:lang w:eastAsia="zh-CN"/>
        </w:rPr>
        <w:t>响应文件</w:t>
      </w:r>
      <w:r>
        <w:rPr>
          <w:rFonts w:hint="eastAsia" w:hAnsi="宋体" w:cs="宋体"/>
          <w:color w:val="auto"/>
          <w:highlight w:val="none"/>
        </w:rPr>
        <w:t>没有实质性响应</w:t>
      </w:r>
      <w:r>
        <w:rPr>
          <w:rFonts w:hint="eastAsia" w:hAnsi="宋体" w:cs="宋体"/>
          <w:color w:val="auto"/>
          <w:highlight w:val="none"/>
          <w:lang w:eastAsia="zh-CN"/>
        </w:rPr>
        <w:t>竞争性磋商文件</w:t>
      </w:r>
      <w:r>
        <w:rPr>
          <w:rFonts w:hint="eastAsia" w:hAnsi="宋体" w:cs="宋体"/>
          <w:color w:val="auto"/>
          <w:highlight w:val="none"/>
        </w:rPr>
        <w:t>的要求，</w:t>
      </w:r>
      <w:r>
        <w:rPr>
          <w:rFonts w:hint="eastAsia" w:hAnsi="宋体" w:cs="宋体"/>
          <w:color w:val="auto"/>
          <w:highlight w:val="none"/>
          <w:lang w:eastAsia="zh-CN"/>
        </w:rPr>
        <w:t>磋商小组</w:t>
      </w:r>
      <w:r>
        <w:rPr>
          <w:rFonts w:hint="eastAsia" w:hAnsi="宋体" w:cs="宋体"/>
          <w:color w:val="auto"/>
          <w:highlight w:val="none"/>
        </w:rPr>
        <w:t>将予以拒绝。供应商不得通过修正或撤销不合要求的偏离或保留，从而使其投标成为实质性响应的投标。</w:t>
      </w:r>
    </w:p>
    <w:p>
      <w:pPr>
        <w:spacing w:line="360" w:lineRule="auto"/>
        <w:rPr>
          <w:rFonts w:hint="eastAsia" w:hAnsi="宋体" w:cs="宋体"/>
          <w:b/>
          <w:color w:val="auto"/>
          <w:sz w:val="28"/>
          <w:szCs w:val="28"/>
          <w:highlight w:val="none"/>
        </w:rPr>
      </w:pPr>
      <w:r>
        <w:rPr>
          <w:rFonts w:hint="eastAsia" w:hAnsi="宋体" w:cs="宋体"/>
          <w:b/>
          <w:color w:val="auto"/>
          <w:sz w:val="28"/>
          <w:szCs w:val="28"/>
          <w:highlight w:val="none"/>
          <w:lang w:eastAsia="zh-CN"/>
        </w:rPr>
        <w:t>四</w:t>
      </w:r>
      <w:r>
        <w:rPr>
          <w:rFonts w:hint="eastAsia" w:hAnsi="宋体" w:cs="宋体"/>
          <w:b/>
          <w:color w:val="auto"/>
          <w:sz w:val="28"/>
          <w:szCs w:val="28"/>
          <w:highlight w:val="none"/>
        </w:rPr>
        <w:t>、需要落实的政府采购政策</w:t>
      </w:r>
    </w:p>
    <w:p>
      <w:p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投标人投标时应如实提供所需要的证明文件，如存在虚假材料应标，将取消其投标资格，并依照《中华人民共和国政府采购法》等国家有关规定追究相应责任。</w:t>
      </w:r>
    </w:p>
    <w:p>
      <w:p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val="zh-CN"/>
        </w:rPr>
        <w:t>中小企业（含中型、小型、微型企业）</w:t>
      </w:r>
    </w:p>
    <w:p>
      <w:p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zh-CN"/>
        </w:rPr>
        <w:t>符合国务院有关部门根据企业从业人员、营业收入、资产总额等指标制定的中小企业划型标准（工信部联企业〔2011〕300号），提供中小企业制造的货物、由中小企业承建的工程或者由中小企业承接的服务。</w:t>
      </w:r>
    </w:p>
    <w:p>
      <w:pPr>
        <w:autoSpaceDE w:val="0"/>
        <w:autoSpaceDN w:val="0"/>
        <w:adjustRightInd w:val="0"/>
        <w:snapToGrid w:val="0"/>
        <w:spacing w:line="360" w:lineRule="auto"/>
        <w:ind w:firstLine="480" w:firstLineChars="200"/>
        <w:rPr>
          <w:rFonts w:hint="eastAsia" w:ascii="宋体" w:hAnsi="宋体" w:eastAsia="宋体" w:cs="宋体"/>
          <w:color w:val="333333"/>
          <w:sz w:val="24"/>
          <w:szCs w:val="24"/>
          <w:highlight w:val="none"/>
          <w:lang w:val="zh-CN"/>
        </w:rPr>
      </w:pPr>
      <w:r>
        <w:rPr>
          <w:rFonts w:hint="eastAsia" w:ascii="宋体" w:hAnsi="宋体" w:eastAsia="宋体" w:cs="宋体"/>
          <w:sz w:val="24"/>
          <w:szCs w:val="24"/>
          <w:highlight w:val="none"/>
        </w:rPr>
        <w:t>2、</w:t>
      </w:r>
      <w:r>
        <w:rPr>
          <w:rFonts w:hint="eastAsia" w:ascii="宋体" w:hAnsi="宋体" w:eastAsia="宋体" w:cs="宋体"/>
          <w:color w:val="333333"/>
          <w:sz w:val="24"/>
          <w:szCs w:val="24"/>
          <w:highlight w:val="none"/>
          <w:lang w:val="zh-CN"/>
        </w:rPr>
        <w:t>在货物采购项目中，投标人提供的货物既有中小企业制造货物，也有大型企业制造货物的，不享受本办法规定的中小企业扶持政策。</w:t>
      </w:r>
    </w:p>
    <w:p>
      <w:p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zh-CN"/>
        </w:rPr>
        <w:t>中小企业参加投标时，应出具《政府采购促进中小企业发展管理办法》（财库[2020]46号）文件规定的《中小企业声明函》，否则不享受相关中小企业扶持政策。</w:t>
      </w:r>
    </w:p>
    <w:p>
      <w:p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（二）监狱企业</w:t>
      </w:r>
    </w:p>
    <w:p>
      <w:p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zh-CN"/>
        </w:rPr>
        <w:t>符合《关于政府采购支持监狱企业发展有关问题的通知》（财库[2014]68号）文件规定的监狱企业，提供本企业制造的货物、由本企业承建的工程或者承接的服务。</w:t>
      </w:r>
    </w:p>
    <w:p>
      <w:p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zh-CN"/>
        </w:rPr>
        <w:t>监狱企业投标时提供由省级以上监狱管理局、戒毒管理局(含新疆生产建设兵团)出具的属于监狱企业的证明，若未提供证明不享受扶持政策。</w:t>
      </w:r>
    </w:p>
    <w:p>
      <w:p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zh-CN"/>
        </w:rPr>
        <w:t>在政府采购活动中，监狱企业视同小型、微型企业，享受相关中小企业扶持政策，若监狱企业已属于小型、微型企业的，不重复享受政策。</w:t>
      </w:r>
    </w:p>
    <w:p>
      <w:p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（三）残疾人福利性单位</w:t>
      </w:r>
    </w:p>
    <w:p>
      <w:p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zh-CN"/>
        </w:rPr>
        <w:t>符合《关于促进残疾人就业政府采购政策的通知》（财库[2017]141号）文件规定的残疾人福利性单位，提供本单位制造的货物、由本企业承建的工程或者承接的服务，或者提供其他残疾人福利性单位制造的货物（不包括使用非残疾人福利性单位注册商标的货物）。</w:t>
      </w:r>
    </w:p>
    <w:p>
      <w:p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zh-CN"/>
        </w:rPr>
        <w:t>残疾人福利性单位投标时须提供《残疾人福利性单位声明函》，若未提供声明不享受扶持政策。</w:t>
      </w:r>
    </w:p>
    <w:p>
      <w:pPr>
        <w:widowControl/>
        <w:wordWrap w:val="0"/>
        <w:spacing w:line="360" w:lineRule="auto"/>
        <w:ind w:right="-226" w:rightChars="-94" w:firstLine="480" w:firstLineChars="200"/>
        <w:jc w:val="left"/>
        <w:rPr>
          <w:rFonts w:hint="eastAsia" w:ascii="宋体" w:hAnsi="宋体" w:cs="宋体"/>
          <w:b/>
          <w:bCs/>
          <w:color w:val="auto"/>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zh-CN"/>
        </w:rPr>
        <w:t>在政府采购活动中，残疾人福利性单位视同小型、微型企业，享受相关中小企业扶持政策，残疾人福利性单位已属于小型、微型企业的，不重复享受政策。</w:t>
      </w:r>
    </w:p>
    <w:p>
      <w:pPr>
        <w:pStyle w:val="5"/>
        <w:rPr>
          <w:rFonts w:ascii="宋体" w:hAnsi="宋体" w:cs="宋体"/>
          <w:color w:val="auto"/>
          <w:szCs w:val="24"/>
          <w:highlight w:val="none"/>
        </w:rPr>
      </w:pPr>
      <w:r>
        <w:rPr>
          <w:rFonts w:hint="eastAsia" w:ascii="宋体" w:hAnsi="宋体" w:cs="宋体"/>
          <w:color w:val="auto"/>
          <w:szCs w:val="24"/>
          <w:highlight w:val="none"/>
        </w:rPr>
        <w:br w:type="page"/>
      </w:r>
      <w:r>
        <w:rPr>
          <w:rFonts w:hint="eastAsia" w:ascii="宋体" w:hAnsi="宋体" w:cs="宋体"/>
          <w:b/>
          <w:bCs/>
          <w:color w:val="auto"/>
          <w:sz w:val="24"/>
          <w:szCs w:val="24"/>
          <w:highlight w:val="none"/>
        </w:rPr>
        <w:t>附件1：</w:t>
      </w:r>
    </w:p>
    <w:p>
      <w:pPr>
        <w:pStyle w:val="5"/>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初步审查要素表</w:t>
      </w:r>
    </w:p>
    <w:tbl>
      <w:tblPr>
        <w:tblStyle w:val="4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602"/>
        <w:gridCol w:w="2848"/>
        <w:gridCol w:w="5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blHeader/>
        </w:trPr>
        <w:tc>
          <w:tcPr>
            <w:tcW w:w="1369" w:type="dxa"/>
            <w:gridSpan w:val="2"/>
            <w:vAlign w:val="center"/>
          </w:tcPr>
          <w:p>
            <w:pPr>
              <w:tabs>
                <w:tab w:val="left" w:pos="0"/>
              </w:tabs>
              <w:adjustRightInd w:val="0"/>
              <w:snapToGrid w:val="0"/>
              <w:jc w:val="center"/>
              <w:rPr>
                <w:rFonts w:hAnsi="宋体" w:cs="宋体"/>
                <w:bCs/>
                <w:color w:val="auto"/>
                <w:sz w:val="21"/>
                <w:szCs w:val="21"/>
                <w:highlight w:val="none"/>
              </w:rPr>
            </w:pPr>
            <w:r>
              <w:rPr>
                <w:rFonts w:hint="eastAsia" w:hAnsi="宋体" w:cs="宋体"/>
                <w:bCs/>
                <w:color w:val="auto"/>
                <w:sz w:val="21"/>
                <w:szCs w:val="21"/>
                <w:highlight w:val="none"/>
              </w:rPr>
              <w:t>条款号</w:t>
            </w:r>
          </w:p>
        </w:tc>
        <w:tc>
          <w:tcPr>
            <w:tcW w:w="2848" w:type="dxa"/>
            <w:vAlign w:val="center"/>
          </w:tcPr>
          <w:p>
            <w:pPr>
              <w:tabs>
                <w:tab w:val="left" w:pos="0"/>
              </w:tabs>
              <w:adjustRightInd w:val="0"/>
              <w:snapToGrid w:val="0"/>
              <w:jc w:val="center"/>
              <w:rPr>
                <w:rFonts w:hAnsi="宋体" w:cs="宋体"/>
                <w:bCs/>
                <w:color w:val="auto"/>
                <w:sz w:val="21"/>
                <w:szCs w:val="21"/>
                <w:highlight w:val="none"/>
              </w:rPr>
            </w:pPr>
            <w:r>
              <w:rPr>
                <w:rFonts w:hint="eastAsia" w:hAnsi="宋体" w:cs="宋体"/>
                <w:bCs/>
                <w:color w:val="auto"/>
                <w:sz w:val="21"/>
                <w:szCs w:val="21"/>
                <w:highlight w:val="none"/>
              </w:rPr>
              <w:t>评审因素</w:t>
            </w:r>
          </w:p>
        </w:tc>
        <w:tc>
          <w:tcPr>
            <w:tcW w:w="5341" w:type="dxa"/>
            <w:vAlign w:val="center"/>
          </w:tcPr>
          <w:p>
            <w:pPr>
              <w:tabs>
                <w:tab w:val="left" w:pos="0"/>
              </w:tabs>
              <w:adjustRightInd w:val="0"/>
              <w:snapToGrid w:val="0"/>
              <w:jc w:val="center"/>
              <w:rPr>
                <w:rFonts w:hAnsi="宋体" w:cs="宋体"/>
                <w:bCs/>
                <w:color w:val="auto"/>
                <w:sz w:val="21"/>
                <w:szCs w:val="21"/>
                <w:highlight w:val="none"/>
              </w:rPr>
            </w:pPr>
            <w:r>
              <w:rPr>
                <w:rFonts w:hint="eastAsia" w:hAnsi="宋体" w:cs="宋体"/>
                <w:bCs/>
                <w:color w:val="auto"/>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67" w:type="dxa"/>
            <w:vMerge w:val="restart"/>
            <w:vAlign w:val="center"/>
          </w:tcPr>
          <w:p>
            <w:pPr>
              <w:tabs>
                <w:tab w:val="left" w:pos="0"/>
              </w:tabs>
              <w:adjustRightInd w:val="0"/>
              <w:snapToGrid w:val="0"/>
              <w:jc w:val="center"/>
              <w:rPr>
                <w:rFonts w:hAnsi="宋体" w:cs="宋体"/>
                <w:bCs/>
                <w:color w:val="auto"/>
                <w:sz w:val="21"/>
                <w:szCs w:val="21"/>
                <w:highlight w:val="none"/>
              </w:rPr>
            </w:pPr>
            <w:r>
              <w:rPr>
                <w:rFonts w:hint="eastAsia" w:hAnsi="宋体" w:cs="宋体"/>
                <w:bCs/>
                <w:color w:val="auto"/>
                <w:sz w:val="21"/>
                <w:szCs w:val="21"/>
                <w:highlight w:val="none"/>
              </w:rPr>
              <w:t>2.1.1</w:t>
            </w:r>
          </w:p>
        </w:tc>
        <w:tc>
          <w:tcPr>
            <w:tcW w:w="602" w:type="dxa"/>
            <w:vMerge w:val="restart"/>
            <w:vAlign w:val="center"/>
          </w:tcPr>
          <w:p>
            <w:pPr>
              <w:tabs>
                <w:tab w:val="left" w:pos="0"/>
              </w:tabs>
              <w:adjustRightInd w:val="0"/>
              <w:snapToGrid w:val="0"/>
              <w:jc w:val="center"/>
              <w:rPr>
                <w:rFonts w:hAnsi="宋体" w:cs="宋体"/>
                <w:bCs/>
                <w:color w:val="auto"/>
                <w:sz w:val="21"/>
                <w:szCs w:val="21"/>
                <w:highlight w:val="none"/>
              </w:rPr>
            </w:pPr>
            <w:r>
              <w:rPr>
                <w:rFonts w:hint="eastAsia" w:hAnsi="宋体" w:cs="宋体"/>
                <w:bCs/>
                <w:color w:val="auto"/>
                <w:sz w:val="21"/>
                <w:szCs w:val="21"/>
                <w:highlight w:val="none"/>
              </w:rPr>
              <w:t>资格评审</w:t>
            </w:r>
          </w:p>
          <w:p>
            <w:pPr>
              <w:tabs>
                <w:tab w:val="left" w:pos="0"/>
              </w:tabs>
              <w:adjustRightInd w:val="0"/>
              <w:snapToGrid w:val="0"/>
              <w:jc w:val="center"/>
              <w:rPr>
                <w:rFonts w:hAnsi="宋体" w:cs="宋体"/>
                <w:bCs/>
                <w:color w:val="auto"/>
                <w:sz w:val="21"/>
                <w:szCs w:val="21"/>
                <w:highlight w:val="none"/>
              </w:rPr>
            </w:pPr>
            <w:r>
              <w:rPr>
                <w:rFonts w:hint="eastAsia" w:hAnsi="宋体" w:cs="宋体"/>
                <w:bCs/>
                <w:color w:val="auto"/>
                <w:sz w:val="21"/>
                <w:szCs w:val="21"/>
                <w:highlight w:val="none"/>
              </w:rPr>
              <w:t>标准</w:t>
            </w:r>
          </w:p>
        </w:tc>
        <w:tc>
          <w:tcPr>
            <w:tcW w:w="2848" w:type="dxa"/>
            <w:vAlign w:val="center"/>
          </w:tcPr>
          <w:p>
            <w:pPr>
              <w:tabs>
                <w:tab w:val="left" w:pos="0"/>
              </w:tabs>
              <w:adjustRightInd w:val="0"/>
              <w:snapToGrid w:val="0"/>
              <w:jc w:val="center"/>
              <w:rPr>
                <w:rFonts w:hAnsi="宋体" w:cs="宋体"/>
                <w:bCs/>
                <w:color w:val="auto"/>
                <w:sz w:val="21"/>
                <w:szCs w:val="21"/>
                <w:highlight w:val="none"/>
              </w:rPr>
            </w:pPr>
            <w:r>
              <w:rPr>
                <w:rFonts w:hint="eastAsia" w:hAnsi="宋体" w:cs="宋体"/>
                <w:bCs/>
                <w:color w:val="auto"/>
                <w:sz w:val="21"/>
                <w:szCs w:val="21"/>
                <w:highlight w:val="none"/>
              </w:rPr>
              <w:t>营业执照等主体资格证明文件</w:t>
            </w:r>
          </w:p>
        </w:tc>
        <w:tc>
          <w:tcPr>
            <w:tcW w:w="5341" w:type="dxa"/>
            <w:vAlign w:val="center"/>
          </w:tcPr>
          <w:p>
            <w:pPr>
              <w:tabs>
                <w:tab w:val="left" w:pos="0"/>
              </w:tabs>
              <w:adjustRightInd w:val="0"/>
              <w:snapToGrid w:val="0"/>
              <w:jc w:val="center"/>
              <w:rPr>
                <w:rFonts w:hint="eastAsia" w:hAnsi="宋体" w:eastAsia="宋体" w:cs="宋体"/>
                <w:bCs/>
                <w:color w:val="auto"/>
                <w:sz w:val="21"/>
                <w:szCs w:val="21"/>
                <w:highlight w:val="none"/>
                <w:lang w:eastAsia="zh-CN"/>
              </w:rPr>
            </w:pPr>
            <w:r>
              <w:rPr>
                <w:rFonts w:hint="eastAsia" w:ascii="宋体" w:hAnsi="宋体" w:eastAsia="宋体" w:cs="宋体"/>
                <w:color w:val="auto"/>
                <w:sz w:val="21"/>
                <w:szCs w:val="21"/>
                <w:highlight w:val="none"/>
                <w:shd w:val="clear" w:fill="FFFFFF"/>
              </w:rPr>
              <w:t>具有独立承担民事责任能力的法人、其他组织或自然人，并出具合法有效的营业执照，自然人参与的提供其身份证明</w:t>
            </w:r>
            <w:r>
              <w:rPr>
                <w:rFonts w:hint="eastAsia" w:ascii="宋体" w:hAnsi="宋体" w:eastAsia="宋体" w:cs="宋体"/>
                <w:color w:val="auto"/>
                <w:sz w:val="21"/>
                <w:szCs w:val="21"/>
                <w:highlight w:val="none"/>
                <w:shd w:val="clear"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767" w:type="dxa"/>
            <w:vMerge w:val="continue"/>
            <w:vAlign w:val="center"/>
          </w:tcPr>
          <w:p>
            <w:pPr>
              <w:tabs>
                <w:tab w:val="left" w:pos="0"/>
              </w:tabs>
              <w:adjustRightInd w:val="0"/>
              <w:snapToGrid w:val="0"/>
              <w:jc w:val="center"/>
              <w:rPr>
                <w:rFonts w:hAnsi="宋体" w:cs="宋体"/>
                <w:bCs/>
                <w:color w:val="auto"/>
                <w:sz w:val="21"/>
                <w:szCs w:val="21"/>
                <w:highlight w:val="none"/>
              </w:rPr>
            </w:pPr>
          </w:p>
        </w:tc>
        <w:tc>
          <w:tcPr>
            <w:tcW w:w="602" w:type="dxa"/>
            <w:vMerge w:val="continue"/>
            <w:vAlign w:val="center"/>
          </w:tcPr>
          <w:p>
            <w:pPr>
              <w:tabs>
                <w:tab w:val="left" w:pos="0"/>
              </w:tabs>
              <w:adjustRightInd w:val="0"/>
              <w:snapToGrid w:val="0"/>
              <w:jc w:val="center"/>
              <w:rPr>
                <w:rFonts w:hAnsi="宋体" w:cs="宋体"/>
                <w:bCs/>
                <w:color w:val="auto"/>
                <w:sz w:val="21"/>
                <w:szCs w:val="21"/>
                <w:highlight w:val="none"/>
              </w:rPr>
            </w:pPr>
          </w:p>
        </w:tc>
        <w:tc>
          <w:tcPr>
            <w:tcW w:w="2848" w:type="dxa"/>
            <w:vAlign w:val="center"/>
          </w:tcPr>
          <w:p>
            <w:pPr>
              <w:tabs>
                <w:tab w:val="left" w:pos="0"/>
              </w:tabs>
              <w:adjustRightInd w:val="0"/>
              <w:snapToGrid w:val="0"/>
              <w:jc w:val="center"/>
              <w:rPr>
                <w:rFonts w:hAnsi="宋体" w:cs="宋体"/>
                <w:bCs/>
                <w:color w:val="auto"/>
                <w:sz w:val="21"/>
                <w:szCs w:val="21"/>
                <w:highlight w:val="none"/>
              </w:rPr>
            </w:pPr>
            <w:r>
              <w:rPr>
                <w:rFonts w:hint="eastAsia" w:hAnsi="宋体" w:cs="宋体"/>
                <w:bCs/>
                <w:color w:val="auto"/>
                <w:sz w:val="21"/>
                <w:szCs w:val="21"/>
                <w:highlight w:val="none"/>
              </w:rPr>
              <w:t>法定代表人授权书/法定</w:t>
            </w:r>
          </w:p>
          <w:p>
            <w:pPr>
              <w:tabs>
                <w:tab w:val="left" w:pos="0"/>
              </w:tabs>
              <w:adjustRightInd w:val="0"/>
              <w:snapToGrid w:val="0"/>
              <w:jc w:val="center"/>
              <w:rPr>
                <w:rFonts w:hAnsi="宋体" w:cs="宋体"/>
                <w:bCs/>
                <w:color w:val="auto"/>
                <w:sz w:val="21"/>
                <w:szCs w:val="21"/>
                <w:highlight w:val="none"/>
              </w:rPr>
            </w:pPr>
            <w:r>
              <w:rPr>
                <w:rFonts w:hint="eastAsia" w:hAnsi="宋体" w:cs="宋体"/>
                <w:bCs/>
                <w:color w:val="auto"/>
                <w:sz w:val="21"/>
                <w:szCs w:val="21"/>
                <w:highlight w:val="none"/>
              </w:rPr>
              <w:t>代表人身份证明</w:t>
            </w:r>
          </w:p>
        </w:tc>
        <w:tc>
          <w:tcPr>
            <w:tcW w:w="5341" w:type="dxa"/>
            <w:vAlign w:val="center"/>
          </w:tcPr>
          <w:p>
            <w:pPr>
              <w:tabs>
                <w:tab w:val="left" w:pos="0"/>
              </w:tabs>
              <w:adjustRightInd w:val="0"/>
              <w:snapToGrid w:val="0"/>
              <w:jc w:val="center"/>
              <w:rPr>
                <w:rFonts w:hint="eastAsia" w:hAnsi="宋体" w:cs="宋体"/>
                <w:bCs/>
                <w:color w:val="auto"/>
                <w:sz w:val="21"/>
                <w:szCs w:val="21"/>
                <w:highlight w:val="none"/>
              </w:rPr>
            </w:pPr>
            <w:r>
              <w:rPr>
                <w:rFonts w:hint="eastAsia" w:ascii="宋体" w:hAnsi="宋体" w:eastAsia="宋体" w:cs="宋体"/>
                <w:color w:val="auto"/>
                <w:sz w:val="21"/>
                <w:szCs w:val="21"/>
                <w:highlight w:val="none"/>
                <w:shd w:val="clear" w:fill="FFFFFF"/>
              </w:rPr>
              <w:t>提供法定代表人授权书（附法定代表人、被授权人身份证复印件）及被授权人身份证（法定代表人参加磋商只需提供身份证）；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767" w:type="dxa"/>
            <w:vMerge w:val="continue"/>
            <w:vAlign w:val="center"/>
          </w:tcPr>
          <w:p>
            <w:pPr>
              <w:tabs>
                <w:tab w:val="left" w:pos="0"/>
              </w:tabs>
              <w:adjustRightInd w:val="0"/>
              <w:snapToGrid w:val="0"/>
              <w:jc w:val="center"/>
              <w:rPr>
                <w:rFonts w:hAnsi="宋体" w:cs="宋体"/>
                <w:bCs/>
                <w:color w:val="auto"/>
                <w:sz w:val="21"/>
                <w:szCs w:val="21"/>
                <w:highlight w:val="none"/>
              </w:rPr>
            </w:pPr>
          </w:p>
        </w:tc>
        <w:tc>
          <w:tcPr>
            <w:tcW w:w="602" w:type="dxa"/>
            <w:vMerge w:val="continue"/>
            <w:vAlign w:val="center"/>
          </w:tcPr>
          <w:p>
            <w:pPr>
              <w:tabs>
                <w:tab w:val="left" w:pos="0"/>
              </w:tabs>
              <w:adjustRightInd w:val="0"/>
              <w:snapToGrid w:val="0"/>
              <w:jc w:val="center"/>
              <w:rPr>
                <w:rFonts w:hAnsi="宋体" w:cs="宋体"/>
                <w:bCs/>
                <w:color w:val="auto"/>
                <w:sz w:val="21"/>
                <w:szCs w:val="21"/>
                <w:highlight w:val="none"/>
              </w:rPr>
            </w:pPr>
          </w:p>
        </w:tc>
        <w:tc>
          <w:tcPr>
            <w:tcW w:w="2848" w:type="dxa"/>
            <w:vAlign w:val="center"/>
          </w:tcPr>
          <w:p>
            <w:pPr>
              <w:tabs>
                <w:tab w:val="left" w:pos="0"/>
              </w:tabs>
              <w:adjustRightInd w:val="0"/>
              <w:snapToGrid w:val="0"/>
              <w:jc w:val="center"/>
              <w:rPr>
                <w:rFonts w:hint="eastAsia" w:hAnsi="宋体" w:eastAsia="宋体" w:cs="宋体"/>
                <w:bCs/>
                <w:color w:val="auto"/>
                <w:sz w:val="21"/>
                <w:szCs w:val="21"/>
                <w:highlight w:val="none"/>
                <w:lang w:eastAsia="zh-CN"/>
              </w:rPr>
            </w:pPr>
            <w:r>
              <w:rPr>
                <w:rFonts w:hint="eastAsia" w:hAnsi="宋体" w:cs="宋体"/>
                <w:bCs/>
                <w:color w:val="auto"/>
                <w:sz w:val="21"/>
                <w:szCs w:val="21"/>
                <w:highlight w:val="none"/>
                <w:lang w:eastAsia="zh-CN"/>
              </w:rPr>
              <w:t>特定资格</w:t>
            </w:r>
          </w:p>
        </w:tc>
        <w:tc>
          <w:tcPr>
            <w:tcW w:w="5341" w:type="dxa"/>
            <w:vAlign w:val="center"/>
          </w:tcPr>
          <w:p>
            <w:pPr>
              <w:tabs>
                <w:tab w:val="left" w:pos="0"/>
              </w:tabs>
              <w:adjustRightInd w:val="0"/>
              <w:snapToGrid w:val="0"/>
              <w:jc w:val="center"/>
              <w:rPr>
                <w:rFonts w:hint="eastAsia" w:ascii="宋体" w:hAnsi="宋体" w:eastAsia="宋体" w:cs="宋体"/>
                <w:color w:val="auto"/>
                <w:sz w:val="21"/>
                <w:szCs w:val="21"/>
                <w:highlight w:val="none"/>
                <w:shd w:val="clear" w:fill="FFFFFF"/>
              </w:rPr>
            </w:pPr>
            <w:r>
              <w:rPr>
                <w:rFonts w:hint="eastAsia" w:ascii="宋体" w:hAnsi="宋体" w:eastAsia="宋体" w:cs="宋体"/>
                <w:color w:val="auto"/>
                <w:sz w:val="21"/>
                <w:szCs w:val="21"/>
                <w:highlight w:val="none"/>
                <w:shd w:val="clear" w:fill="FFFFFF"/>
              </w:rPr>
              <w:t>供应商为制造厂家的需提供医疗器械生产许可证或医疗器械生产备案凭证；供应商为经销商的需提供医疗器械经营许可证或医疗器械经营备案凭证及生产厂家的医疗器械生产许可证或医疗器械生产备案凭证，提供所投产品的医疗器械产品注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767" w:type="dxa"/>
            <w:vMerge w:val="continue"/>
            <w:vAlign w:val="center"/>
          </w:tcPr>
          <w:p>
            <w:pPr>
              <w:tabs>
                <w:tab w:val="left" w:pos="0"/>
              </w:tabs>
              <w:adjustRightInd w:val="0"/>
              <w:snapToGrid w:val="0"/>
              <w:jc w:val="center"/>
              <w:rPr>
                <w:rFonts w:hAnsi="宋体" w:cs="宋体"/>
                <w:bCs/>
                <w:color w:val="auto"/>
                <w:sz w:val="21"/>
                <w:szCs w:val="21"/>
                <w:highlight w:val="none"/>
              </w:rPr>
            </w:pPr>
          </w:p>
        </w:tc>
        <w:tc>
          <w:tcPr>
            <w:tcW w:w="602" w:type="dxa"/>
            <w:vMerge w:val="continue"/>
            <w:vAlign w:val="center"/>
          </w:tcPr>
          <w:p>
            <w:pPr>
              <w:tabs>
                <w:tab w:val="left" w:pos="0"/>
              </w:tabs>
              <w:adjustRightInd w:val="0"/>
              <w:snapToGrid w:val="0"/>
              <w:jc w:val="center"/>
              <w:rPr>
                <w:rFonts w:hAnsi="宋体" w:cs="宋体"/>
                <w:bCs/>
                <w:color w:val="auto"/>
                <w:sz w:val="21"/>
                <w:szCs w:val="21"/>
                <w:highlight w:val="none"/>
              </w:rPr>
            </w:pPr>
          </w:p>
        </w:tc>
        <w:tc>
          <w:tcPr>
            <w:tcW w:w="2848" w:type="dxa"/>
            <w:vAlign w:val="center"/>
          </w:tcPr>
          <w:p>
            <w:pPr>
              <w:tabs>
                <w:tab w:val="left" w:pos="0"/>
              </w:tabs>
              <w:adjustRightInd w:val="0"/>
              <w:snapToGrid w:val="0"/>
              <w:jc w:val="center"/>
              <w:rPr>
                <w:rFonts w:hAnsi="宋体" w:cs="宋体"/>
                <w:bCs/>
                <w:color w:val="auto"/>
                <w:sz w:val="21"/>
                <w:szCs w:val="21"/>
                <w:highlight w:val="none"/>
              </w:rPr>
            </w:pPr>
            <w:r>
              <w:rPr>
                <w:rFonts w:hint="eastAsia" w:hAnsi="宋体" w:cs="宋体"/>
                <w:bCs/>
                <w:color w:val="auto"/>
                <w:sz w:val="21"/>
                <w:szCs w:val="21"/>
                <w:highlight w:val="none"/>
              </w:rPr>
              <w:t>财务状况</w:t>
            </w:r>
          </w:p>
        </w:tc>
        <w:tc>
          <w:tcPr>
            <w:tcW w:w="5341" w:type="dxa"/>
            <w:vAlign w:val="center"/>
          </w:tcPr>
          <w:p>
            <w:pPr>
              <w:tabs>
                <w:tab w:val="left" w:pos="0"/>
              </w:tabs>
              <w:adjustRightInd w:val="0"/>
              <w:snapToGrid w:val="0"/>
              <w:jc w:val="center"/>
              <w:rPr>
                <w:rFonts w:hint="eastAsia" w:hAnsi="宋体" w:cs="宋体"/>
                <w:bCs/>
                <w:color w:val="auto"/>
                <w:sz w:val="21"/>
                <w:szCs w:val="21"/>
                <w:highlight w:val="none"/>
              </w:rPr>
            </w:pPr>
            <w:r>
              <w:rPr>
                <w:rFonts w:hint="eastAsia" w:ascii="宋体" w:hAnsi="宋体" w:eastAsia="宋体" w:cs="宋体"/>
                <w:color w:val="auto"/>
                <w:sz w:val="21"/>
                <w:szCs w:val="21"/>
                <w:highlight w:val="none"/>
                <w:shd w:val="clear" w:fill="FFFFFF"/>
              </w:rPr>
              <w:t>提供2022年度的财务审计报告（至少包括资产负债表和利润表，成立时间至提交响应文件截止时间不足一年的可提供成立后任意时段的资产负债表），或其基本存款账户开户银行出具的资信证明；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767" w:type="dxa"/>
            <w:vMerge w:val="continue"/>
            <w:vAlign w:val="center"/>
          </w:tcPr>
          <w:p>
            <w:pPr>
              <w:tabs>
                <w:tab w:val="left" w:pos="0"/>
              </w:tabs>
              <w:adjustRightInd w:val="0"/>
              <w:snapToGrid w:val="0"/>
              <w:jc w:val="center"/>
              <w:rPr>
                <w:rFonts w:hAnsi="宋体" w:cs="宋体"/>
                <w:bCs/>
                <w:color w:val="auto"/>
                <w:sz w:val="21"/>
                <w:szCs w:val="21"/>
                <w:highlight w:val="none"/>
              </w:rPr>
            </w:pPr>
          </w:p>
        </w:tc>
        <w:tc>
          <w:tcPr>
            <w:tcW w:w="602" w:type="dxa"/>
            <w:vMerge w:val="continue"/>
            <w:vAlign w:val="center"/>
          </w:tcPr>
          <w:p>
            <w:pPr>
              <w:tabs>
                <w:tab w:val="left" w:pos="0"/>
              </w:tabs>
              <w:adjustRightInd w:val="0"/>
              <w:snapToGrid w:val="0"/>
              <w:jc w:val="center"/>
              <w:rPr>
                <w:rFonts w:hAnsi="宋体" w:cs="宋体"/>
                <w:bCs/>
                <w:color w:val="auto"/>
                <w:sz w:val="21"/>
                <w:szCs w:val="21"/>
                <w:highlight w:val="none"/>
              </w:rPr>
            </w:pPr>
          </w:p>
        </w:tc>
        <w:tc>
          <w:tcPr>
            <w:tcW w:w="2848" w:type="dxa"/>
            <w:vAlign w:val="center"/>
          </w:tcPr>
          <w:p>
            <w:pPr>
              <w:tabs>
                <w:tab w:val="left" w:pos="0"/>
              </w:tabs>
              <w:adjustRightInd w:val="0"/>
              <w:snapToGrid w:val="0"/>
              <w:jc w:val="center"/>
              <w:rPr>
                <w:rFonts w:hAnsi="宋体" w:cs="宋体"/>
                <w:bCs/>
                <w:color w:val="auto"/>
                <w:sz w:val="21"/>
                <w:szCs w:val="21"/>
                <w:highlight w:val="none"/>
              </w:rPr>
            </w:pPr>
            <w:r>
              <w:rPr>
                <w:rFonts w:hint="eastAsia" w:hAnsi="宋体" w:cs="宋体"/>
                <w:bCs/>
                <w:color w:val="auto"/>
                <w:sz w:val="21"/>
                <w:szCs w:val="21"/>
                <w:highlight w:val="none"/>
              </w:rPr>
              <w:t>税收缴纳证明</w:t>
            </w:r>
          </w:p>
        </w:tc>
        <w:tc>
          <w:tcPr>
            <w:tcW w:w="5341" w:type="dxa"/>
            <w:vAlign w:val="center"/>
          </w:tcPr>
          <w:p>
            <w:pPr>
              <w:tabs>
                <w:tab w:val="left" w:pos="0"/>
              </w:tabs>
              <w:adjustRightInd w:val="0"/>
              <w:snapToGrid w:val="0"/>
              <w:jc w:val="center"/>
              <w:rPr>
                <w:rFonts w:hint="eastAsia" w:hAnsi="宋体" w:cs="宋体"/>
                <w:bCs/>
                <w:color w:val="auto"/>
                <w:sz w:val="21"/>
                <w:szCs w:val="21"/>
                <w:highlight w:val="none"/>
              </w:rPr>
            </w:pPr>
            <w:r>
              <w:rPr>
                <w:rFonts w:hint="eastAsia" w:ascii="宋体" w:hAnsi="宋体" w:eastAsia="宋体" w:cs="宋体"/>
                <w:color w:val="auto"/>
                <w:sz w:val="21"/>
                <w:szCs w:val="21"/>
                <w:highlight w:val="none"/>
                <w:shd w:val="clear" w:fill="FFFFFF"/>
              </w:rPr>
              <w:t>提供磋商截止日前近一年内任意一个月的纳税证明或完税证明（任意税种），依法免税的单位应提供相关证明材料；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767" w:type="dxa"/>
            <w:vMerge w:val="continue"/>
            <w:vAlign w:val="center"/>
          </w:tcPr>
          <w:p>
            <w:pPr>
              <w:tabs>
                <w:tab w:val="left" w:pos="0"/>
              </w:tabs>
              <w:adjustRightInd w:val="0"/>
              <w:snapToGrid w:val="0"/>
              <w:jc w:val="center"/>
              <w:rPr>
                <w:rFonts w:hAnsi="宋体" w:cs="宋体"/>
                <w:bCs/>
                <w:color w:val="auto"/>
                <w:sz w:val="21"/>
                <w:szCs w:val="21"/>
                <w:highlight w:val="none"/>
              </w:rPr>
            </w:pPr>
          </w:p>
        </w:tc>
        <w:tc>
          <w:tcPr>
            <w:tcW w:w="602" w:type="dxa"/>
            <w:vMerge w:val="continue"/>
            <w:vAlign w:val="center"/>
          </w:tcPr>
          <w:p>
            <w:pPr>
              <w:tabs>
                <w:tab w:val="left" w:pos="0"/>
              </w:tabs>
              <w:adjustRightInd w:val="0"/>
              <w:snapToGrid w:val="0"/>
              <w:jc w:val="center"/>
              <w:rPr>
                <w:rFonts w:hAnsi="宋体" w:cs="宋体"/>
                <w:bCs/>
                <w:color w:val="auto"/>
                <w:sz w:val="21"/>
                <w:szCs w:val="21"/>
                <w:highlight w:val="none"/>
              </w:rPr>
            </w:pPr>
          </w:p>
        </w:tc>
        <w:tc>
          <w:tcPr>
            <w:tcW w:w="2848" w:type="dxa"/>
            <w:vAlign w:val="center"/>
          </w:tcPr>
          <w:p>
            <w:pPr>
              <w:tabs>
                <w:tab w:val="left" w:pos="0"/>
              </w:tabs>
              <w:adjustRightInd w:val="0"/>
              <w:snapToGrid w:val="0"/>
              <w:jc w:val="center"/>
              <w:rPr>
                <w:rFonts w:hAnsi="宋体" w:cs="宋体"/>
                <w:bCs/>
                <w:color w:val="auto"/>
                <w:sz w:val="21"/>
                <w:szCs w:val="21"/>
                <w:highlight w:val="none"/>
              </w:rPr>
            </w:pPr>
            <w:r>
              <w:rPr>
                <w:rFonts w:hint="eastAsia" w:hAnsi="宋体" w:cs="宋体"/>
                <w:bCs/>
                <w:color w:val="auto"/>
                <w:sz w:val="21"/>
                <w:szCs w:val="21"/>
                <w:highlight w:val="none"/>
              </w:rPr>
              <w:t>社会保障资金缴纳证明</w:t>
            </w:r>
          </w:p>
        </w:tc>
        <w:tc>
          <w:tcPr>
            <w:tcW w:w="5341" w:type="dxa"/>
            <w:vAlign w:val="center"/>
          </w:tcPr>
          <w:p>
            <w:pPr>
              <w:tabs>
                <w:tab w:val="left" w:pos="0"/>
              </w:tabs>
              <w:adjustRightInd w:val="0"/>
              <w:snapToGrid w:val="0"/>
              <w:jc w:val="center"/>
              <w:rPr>
                <w:rFonts w:hint="eastAsia" w:hAnsi="宋体" w:cs="宋体"/>
                <w:bCs/>
                <w:color w:val="auto"/>
                <w:sz w:val="21"/>
                <w:szCs w:val="21"/>
                <w:highlight w:val="none"/>
              </w:rPr>
            </w:pPr>
            <w:r>
              <w:rPr>
                <w:rFonts w:hint="eastAsia" w:ascii="宋体" w:hAnsi="宋体" w:eastAsia="宋体" w:cs="宋体"/>
                <w:color w:val="auto"/>
                <w:sz w:val="21"/>
                <w:szCs w:val="21"/>
                <w:highlight w:val="none"/>
                <w:shd w:val="clear" w:fill="FFFFFF"/>
              </w:rPr>
              <w:t>提供磋商截止日前近一年内任意一个月的社会保障资金缴存单据或社保机构开具的社会保险参保缴费情况证明，依法不需要缴纳社会保障资金的单位应提供相关证明材料；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767" w:type="dxa"/>
            <w:vMerge w:val="continue"/>
            <w:vAlign w:val="center"/>
          </w:tcPr>
          <w:p>
            <w:pPr>
              <w:tabs>
                <w:tab w:val="left" w:pos="0"/>
              </w:tabs>
              <w:adjustRightInd w:val="0"/>
              <w:snapToGrid w:val="0"/>
              <w:jc w:val="center"/>
              <w:rPr>
                <w:rFonts w:hAnsi="宋体" w:cs="宋体"/>
                <w:bCs/>
                <w:color w:val="auto"/>
                <w:sz w:val="21"/>
                <w:szCs w:val="21"/>
                <w:highlight w:val="none"/>
              </w:rPr>
            </w:pPr>
          </w:p>
        </w:tc>
        <w:tc>
          <w:tcPr>
            <w:tcW w:w="602" w:type="dxa"/>
            <w:vMerge w:val="continue"/>
            <w:vAlign w:val="center"/>
          </w:tcPr>
          <w:p>
            <w:pPr>
              <w:tabs>
                <w:tab w:val="left" w:pos="0"/>
              </w:tabs>
              <w:adjustRightInd w:val="0"/>
              <w:snapToGrid w:val="0"/>
              <w:jc w:val="center"/>
              <w:rPr>
                <w:rFonts w:hAnsi="宋体" w:cs="宋体"/>
                <w:bCs/>
                <w:color w:val="auto"/>
                <w:sz w:val="21"/>
                <w:szCs w:val="21"/>
                <w:highlight w:val="none"/>
              </w:rPr>
            </w:pPr>
          </w:p>
        </w:tc>
        <w:tc>
          <w:tcPr>
            <w:tcW w:w="2848" w:type="dxa"/>
            <w:vAlign w:val="center"/>
          </w:tcPr>
          <w:p>
            <w:pPr>
              <w:tabs>
                <w:tab w:val="left" w:pos="0"/>
              </w:tabs>
              <w:adjustRightInd w:val="0"/>
              <w:snapToGrid w:val="0"/>
              <w:jc w:val="center"/>
              <w:rPr>
                <w:rFonts w:hint="eastAsia" w:ascii="宋体" w:hAnsi="宋体" w:eastAsia="宋体" w:cs="宋体"/>
                <w:bCs/>
                <w:color w:val="auto"/>
                <w:sz w:val="21"/>
                <w:szCs w:val="21"/>
                <w:highlight w:val="none"/>
                <w:lang w:val="en-US" w:eastAsia="zh-CN" w:bidi="ar-SA"/>
              </w:rPr>
            </w:pPr>
            <w:r>
              <w:rPr>
                <w:rFonts w:hint="eastAsia" w:hAnsi="宋体" w:cs="宋体"/>
                <w:bCs/>
                <w:color w:val="auto"/>
                <w:sz w:val="21"/>
                <w:szCs w:val="21"/>
                <w:highlight w:val="none"/>
              </w:rPr>
              <w:t>书面声明</w:t>
            </w:r>
          </w:p>
        </w:tc>
        <w:tc>
          <w:tcPr>
            <w:tcW w:w="5341" w:type="dxa"/>
            <w:vAlign w:val="center"/>
          </w:tcPr>
          <w:p>
            <w:pPr>
              <w:tabs>
                <w:tab w:val="left" w:pos="0"/>
              </w:tabs>
              <w:adjustRightInd w:val="0"/>
              <w:snapToGrid w:val="0"/>
              <w:jc w:val="center"/>
              <w:rPr>
                <w:rFonts w:hint="eastAsia" w:hAnsi="宋体" w:cs="宋体"/>
                <w:bCs/>
                <w:color w:val="auto"/>
                <w:sz w:val="21"/>
                <w:szCs w:val="21"/>
                <w:highlight w:val="none"/>
                <w:lang w:val="en-US" w:eastAsia="zh-CN"/>
              </w:rPr>
            </w:pPr>
            <w:r>
              <w:rPr>
                <w:rFonts w:hint="eastAsia" w:ascii="宋体" w:hAnsi="宋体" w:eastAsia="宋体" w:cs="宋体"/>
                <w:color w:val="auto"/>
                <w:sz w:val="21"/>
                <w:szCs w:val="21"/>
                <w:highlight w:val="none"/>
                <w:shd w:val="clear" w:fill="FFFFFF"/>
              </w:rPr>
              <w:t>近三年内，在经营活动中没有重大违规记录或被起诉的行为声明；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767" w:type="dxa"/>
            <w:vMerge w:val="continue"/>
            <w:vAlign w:val="center"/>
          </w:tcPr>
          <w:p>
            <w:pPr>
              <w:tabs>
                <w:tab w:val="left" w:pos="0"/>
              </w:tabs>
              <w:adjustRightInd w:val="0"/>
              <w:snapToGrid w:val="0"/>
              <w:jc w:val="center"/>
              <w:rPr>
                <w:rFonts w:hAnsi="宋体" w:cs="宋体"/>
                <w:bCs/>
                <w:color w:val="auto"/>
                <w:sz w:val="21"/>
                <w:szCs w:val="21"/>
                <w:highlight w:val="none"/>
              </w:rPr>
            </w:pPr>
          </w:p>
        </w:tc>
        <w:tc>
          <w:tcPr>
            <w:tcW w:w="602" w:type="dxa"/>
            <w:vMerge w:val="continue"/>
            <w:vAlign w:val="center"/>
          </w:tcPr>
          <w:p>
            <w:pPr>
              <w:tabs>
                <w:tab w:val="left" w:pos="0"/>
              </w:tabs>
              <w:adjustRightInd w:val="0"/>
              <w:snapToGrid w:val="0"/>
              <w:jc w:val="center"/>
              <w:rPr>
                <w:rFonts w:hAnsi="宋体" w:cs="宋体"/>
                <w:bCs/>
                <w:color w:val="auto"/>
                <w:sz w:val="21"/>
                <w:szCs w:val="21"/>
                <w:highlight w:val="none"/>
              </w:rPr>
            </w:pPr>
          </w:p>
        </w:tc>
        <w:tc>
          <w:tcPr>
            <w:tcW w:w="2848" w:type="dxa"/>
            <w:vAlign w:val="center"/>
          </w:tcPr>
          <w:p>
            <w:pPr>
              <w:tabs>
                <w:tab w:val="left" w:pos="0"/>
              </w:tabs>
              <w:adjustRightInd w:val="0"/>
              <w:snapToGrid w:val="0"/>
              <w:jc w:val="center"/>
              <w:rPr>
                <w:rFonts w:hint="eastAsia" w:hAnsi="宋体" w:eastAsia="宋体" w:cs="宋体"/>
                <w:bCs/>
                <w:color w:val="auto"/>
                <w:sz w:val="21"/>
                <w:szCs w:val="21"/>
                <w:highlight w:val="none"/>
                <w:lang w:eastAsia="zh-CN"/>
              </w:rPr>
            </w:pPr>
            <w:r>
              <w:rPr>
                <w:rFonts w:hint="eastAsia" w:hAnsi="宋体" w:cs="宋体"/>
                <w:bCs/>
                <w:color w:val="auto"/>
                <w:sz w:val="21"/>
                <w:szCs w:val="21"/>
                <w:highlight w:val="none"/>
                <w:lang w:eastAsia="zh-CN"/>
              </w:rPr>
              <w:t>承诺函</w:t>
            </w:r>
          </w:p>
        </w:tc>
        <w:tc>
          <w:tcPr>
            <w:tcW w:w="5341" w:type="dxa"/>
            <w:vAlign w:val="center"/>
          </w:tcPr>
          <w:p>
            <w:pPr>
              <w:tabs>
                <w:tab w:val="left" w:pos="0"/>
              </w:tabs>
              <w:adjustRightInd w:val="0"/>
              <w:snapToGrid w:val="0"/>
              <w:jc w:val="center"/>
              <w:rPr>
                <w:rFonts w:hint="eastAsia" w:ascii="宋体" w:hAnsi="宋体" w:eastAsia="宋体" w:cs="宋体"/>
                <w:color w:val="auto"/>
                <w:sz w:val="21"/>
                <w:szCs w:val="21"/>
                <w:highlight w:val="none"/>
                <w:shd w:val="clear" w:fill="FFFFFF"/>
              </w:rPr>
            </w:pPr>
            <w:r>
              <w:rPr>
                <w:rFonts w:hint="eastAsia" w:ascii="宋体" w:hAnsi="宋体" w:eastAsia="宋体" w:cs="宋体"/>
                <w:color w:val="auto"/>
                <w:sz w:val="21"/>
                <w:szCs w:val="21"/>
                <w:highlight w:val="none"/>
                <w:shd w:val="clear" w:fill="FFFFFF"/>
              </w:rPr>
              <w:t>供应商须提供具有履行合同所必需的设备和专业技术能力的承诺函；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67" w:type="dxa"/>
            <w:vMerge w:val="continue"/>
            <w:vAlign w:val="center"/>
          </w:tcPr>
          <w:p>
            <w:pPr>
              <w:tabs>
                <w:tab w:val="left" w:pos="0"/>
              </w:tabs>
              <w:adjustRightInd w:val="0"/>
              <w:snapToGrid w:val="0"/>
              <w:jc w:val="center"/>
              <w:rPr>
                <w:rFonts w:hAnsi="宋体" w:cs="宋体"/>
                <w:bCs/>
                <w:color w:val="auto"/>
                <w:sz w:val="21"/>
                <w:szCs w:val="21"/>
                <w:highlight w:val="none"/>
              </w:rPr>
            </w:pPr>
          </w:p>
        </w:tc>
        <w:tc>
          <w:tcPr>
            <w:tcW w:w="602" w:type="dxa"/>
            <w:vMerge w:val="continue"/>
            <w:vAlign w:val="center"/>
          </w:tcPr>
          <w:p>
            <w:pPr>
              <w:tabs>
                <w:tab w:val="left" w:pos="0"/>
              </w:tabs>
              <w:adjustRightInd w:val="0"/>
              <w:snapToGrid w:val="0"/>
              <w:jc w:val="center"/>
              <w:rPr>
                <w:rFonts w:hAnsi="宋体" w:cs="宋体"/>
                <w:bCs/>
                <w:color w:val="auto"/>
                <w:sz w:val="21"/>
                <w:szCs w:val="21"/>
                <w:highlight w:val="none"/>
              </w:rPr>
            </w:pPr>
          </w:p>
        </w:tc>
        <w:tc>
          <w:tcPr>
            <w:tcW w:w="2848" w:type="dxa"/>
            <w:vAlign w:val="center"/>
          </w:tcPr>
          <w:p>
            <w:pPr>
              <w:tabs>
                <w:tab w:val="left" w:pos="0"/>
              </w:tabs>
              <w:adjustRightInd w:val="0"/>
              <w:snapToGrid w:val="0"/>
              <w:jc w:val="center"/>
              <w:rPr>
                <w:rFonts w:ascii="宋体" w:hAnsi="宋体" w:eastAsia="宋体" w:cs="宋体"/>
                <w:bCs/>
                <w:color w:val="auto"/>
                <w:sz w:val="21"/>
                <w:szCs w:val="21"/>
                <w:highlight w:val="none"/>
                <w:lang w:val="en-US" w:eastAsia="zh-CN" w:bidi="ar-SA"/>
              </w:rPr>
            </w:pPr>
            <w:r>
              <w:rPr>
                <w:rFonts w:hint="eastAsia" w:hAnsi="宋体" w:cs="宋体"/>
                <w:bCs/>
                <w:color w:val="auto"/>
                <w:sz w:val="21"/>
                <w:szCs w:val="21"/>
                <w:highlight w:val="none"/>
              </w:rPr>
              <w:t>信用记录</w:t>
            </w:r>
          </w:p>
        </w:tc>
        <w:tc>
          <w:tcPr>
            <w:tcW w:w="5341" w:type="dxa"/>
            <w:vAlign w:val="center"/>
          </w:tcPr>
          <w:p>
            <w:pPr>
              <w:tabs>
                <w:tab w:val="left" w:pos="0"/>
              </w:tabs>
              <w:adjustRightInd w:val="0"/>
              <w:snapToGrid w:val="0"/>
              <w:jc w:val="center"/>
              <w:rPr>
                <w:rFonts w:hint="eastAsia" w:hAnsi="宋体" w:cs="宋体"/>
                <w:bCs/>
                <w:color w:val="auto"/>
                <w:sz w:val="21"/>
                <w:szCs w:val="21"/>
                <w:highlight w:val="none"/>
                <w:lang w:val="en-US" w:eastAsia="zh-CN"/>
              </w:rPr>
            </w:pPr>
            <w:r>
              <w:rPr>
                <w:rFonts w:hint="eastAsia" w:ascii="宋体" w:hAnsi="宋体" w:eastAsia="宋体" w:cs="宋体"/>
                <w:color w:val="auto"/>
                <w:sz w:val="21"/>
                <w:szCs w:val="21"/>
                <w:highlight w:val="none"/>
                <w:shd w:val="clear" w:fill="FFFFFF"/>
              </w:rPr>
              <w:t>供应商不得为“中国执行信息公开网（zxgk.court.gov.cn）”被列入失信被执行人名单；“信用中国（www.creditchina.gov.cn）”重大税收违法失信主体名单，不得为“中国政府采购网（www.ccgp.gov.cn）”被列入政府采购严重违法失信行为记录名单（提供加盖公章的网页截图）</w:t>
            </w:r>
            <w:r>
              <w:rPr>
                <w:rFonts w:hint="eastAsia" w:ascii="宋体" w:hAnsi="宋体" w:eastAsia="宋体" w:cs="宋体"/>
                <w:color w:val="auto"/>
                <w:sz w:val="21"/>
                <w:szCs w:val="21"/>
                <w:highlight w:val="none"/>
                <w:shd w:val="clear"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67" w:type="dxa"/>
            <w:vMerge w:val="continue"/>
            <w:vAlign w:val="center"/>
          </w:tcPr>
          <w:p>
            <w:pPr>
              <w:tabs>
                <w:tab w:val="left" w:pos="0"/>
              </w:tabs>
              <w:adjustRightInd w:val="0"/>
              <w:snapToGrid w:val="0"/>
              <w:jc w:val="center"/>
              <w:rPr>
                <w:rFonts w:hAnsi="宋体" w:cs="宋体"/>
                <w:bCs/>
                <w:color w:val="auto"/>
                <w:sz w:val="21"/>
                <w:szCs w:val="21"/>
                <w:highlight w:val="none"/>
              </w:rPr>
            </w:pPr>
          </w:p>
        </w:tc>
        <w:tc>
          <w:tcPr>
            <w:tcW w:w="602" w:type="dxa"/>
            <w:vMerge w:val="continue"/>
            <w:vAlign w:val="center"/>
          </w:tcPr>
          <w:p>
            <w:pPr>
              <w:tabs>
                <w:tab w:val="left" w:pos="0"/>
              </w:tabs>
              <w:adjustRightInd w:val="0"/>
              <w:snapToGrid w:val="0"/>
              <w:jc w:val="center"/>
              <w:rPr>
                <w:rFonts w:hAnsi="宋体" w:cs="宋体"/>
                <w:bCs/>
                <w:color w:val="auto"/>
                <w:sz w:val="21"/>
                <w:szCs w:val="21"/>
                <w:highlight w:val="none"/>
              </w:rPr>
            </w:pPr>
          </w:p>
        </w:tc>
        <w:tc>
          <w:tcPr>
            <w:tcW w:w="2848" w:type="dxa"/>
            <w:vAlign w:val="center"/>
          </w:tcPr>
          <w:p>
            <w:pPr>
              <w:tabs>
                <w:tab w:val="left" w:pos="0"/>
              </w:tabs>
              <w:adjustRightInd w:val="0"/>
              <w:snapToGrid w:val="0"/>
              <w:jc w:val="center"/>
              <w:rPr>
                <w:rFonts w:hint="eastAsia" w:hAnsi="宋体" w:eastAsia="宋体" w:cs="宋体"/>
                <w:bCs/>
                <w:color w:val="auto"/>
                <w:sz w:val="21"/>
                <w:szCs w:val="21"/>
                <w:highlight w:val="none"/>
                <w:lang w:eastAsia="zh-CN"/>
              </w:rPr>
            </w:pPr>
            <w:r>
              <w:rPr>
                <w:rFonts w:hint="eastAsia" w:hAnsi="宋体" w:cs="宋体"/>
                <w:bCs/>
                <w:color w:val="auto"/>
                <w:sz w:val="21"/>
                <w:szCs w:val="21"/>
                <w:highlight w:val="none"/>
                <w:lang w:eastAsia="zh-CN"/>
              </w:rPr>
              <w:t>中小企业</w:t>
            </w:r>
          </w:p>
        </w:tc>
        <w:tc>
          <w:tcPr>
            <w:tcW w:w="5341" w:type="dxa"/>
            <w:vAlign w:val="center"/>
          </w:tcPr>
          <w:p>
            <w:pPr>
              <w:tabs>
                <w:tab w:val="left" w:pos="0"/>
              </w:tabs>
              <w:adjustRightInd w:val="0"/>
              <w:snapToGrid w:val="0"/>
              <w:jc w:val="center"/>
              <w:rPr>
                <w:rFonts w:hint="eastAsia" w:hAnsi="宋体" w:cs="宋体"/>
                <w:bCs/>
                <w:color w:val="auto"/>
                <w:sz w:val="21"/>
                <w:szCs w:val="21"/>
                <w:highlight w:val="none"/>
              </w:rPr>
            </w:pPr>
            <w:r>
              <w:rPr>
                <w:rFonts w:hint="eastAsia" w:ascii="宋体" w:hAnsi="宋体" w:eastAsia="宋体" w:cs="宋体"/>
                <w:color w:val="auto"/>
                <w:sz w:val="21"/>
                <w:szCs w:val="21"/>
                <w:highlight w:val="none"/>
                <w:shd w:val="clear" w:fill="FFFFFF"/>
              </w:rPr>
              <w:t>本项目专门面向中小企业采购，非中小企业单位（监狱企业、残疾人福利单位除外）不得参与投标（提供中小企业声明函）。</w:t>
            </w:r>
          </w:p>
        </w:tc>
      </w:tr>
    </w:tbl>
    <w:p>
      <w:pPr>
        <w:tabs>
          <w:tab w:val="left" w:pos="0"/>
        </w:tabs>
        <w:adjustRightInd w:val="0"/>
        <w:snapToGrid w:val="0"/>
        <w:jc w:val="left"/>
        <w:rPr>
          <w:rFonts w:hint="eastAsia" w:eastAsia="宋体"/>
          <w:color w:val="auto"/>
          <w:highlight w:val="none"/>
          <w:u w:val="none"/>
          <w:lang w:eastAsia="zh-CN"/>
        </w:rPr>
      </w:pPr>
      <w:r>
        <w:rPr>
          <w:rFonts w:hint="eastAsia"/>
          <w:b/>
          <w:bCs/>
          <w:color w:val="auto"/>
          <w:highlight w:val="none"/>
          <w:u w:val="none"/>
        </w:rPr>
        <w:t>注：以上为必备资质，缺一项或某项达不到要求，按无效投标处理。</w:t>
      </w:r>
    </w:p>
    <w:p>
      <w:pPr>
        <w:tabs>
          <w:tab w:val="left" w:pos="0"/>
        </w:tabs>
        <w:adjustRightInd w:val="0"/>
        <w:snapToGrid w:val="0"/>
        <w:jc w:val="left"/>
        <w:rPr>
          <w:rFonts w:hint="eastAsia"/>
          <w:b/>
          <w:bCs/>
          <w:color w:val="auto"/>
          <w:highlight w:val="none"/>
        </w:rPr>
      </w:pPr>
      <w:r>
        <w:rPr>
          <w:rFonts w:hint="eastAsia"/>
          <w:b/>
          <w:bCs/>
          <w:color w:val="auto"/>
          <w:highlight w:val="none"/>
        </w:rPr>
        <w:br w:type="page"/>
      </w:r>
    </w:p>
    <w:tbl>
      <w:tblPr>
        <w:tblStyle w:val="45"/>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601"/>
        <w:gridCol w:w="568"/>
        <w:gridCol w:w="2274"/>
        <w:gridCol w:w="5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540" w:type="dxa"/>
            <w:gridSpan w:val="5"/>
            <w:tcBorders>
              <w:top w:val="nil"/>
              <w:left w:val="nil"/>
              <w:bottom w:val="single" w:color="auto" w:sz="4" w:space="0"/>
              <w:right w:val="nil"/>
            </w:tcBorders>
            <w:vAlign w:val="center"/>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65" w:type="dxa"/>
            <w:vMerge w:val="restart"/>
            <w:tcBorders>
              <w:top w:val="single" w:color="auto" w:sz="4" w:space="0"/>
              <w:bottom w:val="single" w:color="auto" w:sz="4" w:space="0"/>
            </w:tcBorders>
            <w:vAlign w:val="center"/>
          </w:tcPr>
          <w:p>
            <w:pPr>
              <w:tabs>
                <w:tab w:val="left" w:pos="0"/>
              </w:tabs>
              <w:adjustRightInd w:val="0"/>
              <w:snapToGrid w:val="0"/>
              <w:spacing w:line="360" w:lineRule="auto"/>
              <w:jc w:val="center"/>
              <w:rPr>
                <w:rFonts w:hAnsi="宋体" w:cs="宋体"/>
                <w:bCs/>
                <w:color w:val="auto"/>
                <w:sz w:val="21"/>
                <w:szCs w:val="21"/>
                <w:highlight w:val="none"/>
              </w:rPr>
            </w:pPr>
            <w:r>
              <w:rPr>
                <w:rFonts w:hint="eastAsia" w:hAnsi="宋体" w:cs="宋体"/>
                <w:bCs/>
                <w:color w:val="auto"/>
                <w:sz w:val="21"/>
                <w:szCs w:val="21"/>
                <w:highlight w:val="none"/>
              </w:rPr>
              <w:t>2.1.2</w:t>
            </w:r>
          </w:p>
        </w:tc>
        <w:tc>
          <w:tcPr>
            <w:tcW w:w="601" w:type="dxa"/>
            <w:vMerge w:val="restart"/>
            <w:tcBorders>
              <w:top w:val="single" w:color="auto" w:sz="4" w:space="0"/>
              <w:bottom w:val="single" w:color="auto" w:sz="4" w:space="0"/>
            </w:tcBorders>
            <w:vAlign w:val="center"/>
          </w:tcPr>
          <w:p>
            <w:pPr>
              <w:tabs>
                <w:tab w:val="left" w:pos="0"/>
              </w:tabs>
              <w:adjustRightInd w:val="0"/>
              <w:snapToGrid w:val="0"/>
              <w:jc w:val="center"/>
              <w:rPr>
                <w:rFonts w:hAnsi="宋体" w:cs="宋体"/>
                <w:bCs/>
                <w:color w:val="auto"/>
                <w:sz w:val="21"/>
                <w:szCs w:val="21"/>
                <w:highlight w:val="none"/>
              </w:rPr>
            </w:pPr>
            <w:r>
              <w:rPr>
                <w:rFonts w:hint="eastAsia" w:hAnsi="宋体" w:cs="宋体"/>
                <w:bCs/>
                <w:color w:val="auto"/>
                <w:sz w:val="21"/>
                <w:szCs w:val="21"/>
                <w:highlight w:val="none"/>
              </w:rPr>
              <w:t>符合性评审标准</w:t>
            </w:r>
          </w:p>
        </w:tc>
        <w:tc>
          <w:tcPr>
            <w:tcW w:w="568" w:type="dxa"/>
            <w:vMerge w:val="restart"/>
            <w:tcBorders>
              <w:top w:val="single" w:color="auto" w:sz="4" w:space="0"/>
              <w:bottom w:val="single" w:color="auto" w:sz="4" w:space="0"/>
            </w:tcBorders>
            <w:vAlign w:val="center"/>
          </w:tcPr>
          <w:p>
            <w:pPr>
              <w:tabs>
                <w:tab w:val="left" w:pos="0"/>
              </w:tabs>
              <w:adjustRightInd w:val="0"/>
              <w:snapToGrid w:val="0"/>
              <w:jc w:val="center"/>
              <w:rPr>
                <w:rFonts w:hAnsi="宋体" w:cs="宋体"/>
                <w:bCs/>
                <w:color w:val="auto"/>
                <w:sz w:val="21"/>
                <w:szCs w:val="21"/>
                <w:highlight w:val="none"/>
              </w:rPr>
            </w:pPr>
            <w:r>
              <w:rPr>
                <w:rFonts w:hint="eastAsia" w:hAnsi="宋体" w:cs="宋体"/>
                <w:bCs/>
                <w:color w:val="auto"/>
                <w:sz w:val="21"/>
                <w:szCs w:val="21"/>
                <w:highlight w:val="none"/>
              </w:rPr>
              <w:t>有效性审查</w:t>
            </w:r>
          </w:p>
        </w:tc>
        <w:tc>
          <w:tcPr>
            <w:tcW w:w="2274" w:type="dxa"/>
            <w:tcBorders>
              <w:top w:val="single" w:color="auto" w:sz="4" w:space="0"/>
              <w:bottom w:val="single" w:color="auto" w:sz="4" w:space="0"/>
            </w:tcBorders>
            <w:vAlign w:val="center"/>
          </w:tcPr>
          <w:p>
            <w:pPr>
              <w:tabs>
                <w:tab w:val="left" w:pos="0"/>
              </w:tabs>
              <w:adjustRightInd w:val="0"/>
              <w:snapToGrid w:val="0"/>
              <w:rPr>
                <w:rFonts w:hAnsi="宋体" w:cs="宋体"/>
                <w:bCs/>
                <w:color w:val="auto"/>
                <w:sz w:val="21"/>
                <w:szCs w:val="21"/>
                <w:highlight w:val="none"/>
              </w:rPr>
            </w:pPr>
            <w:r>
              <w:rPr>
                <w:rFonts w:hint="eastAsia" w:hAnsi="宋体" w:cs="宋体"/>
                <w:bCs/>
                <w:color w:val="auto"/>
                <w:sz w:val="21"/>
                <w:szCs w:val="21"/>
                <w:highlight w:val="none"/>
                <w:lang w:eastAsia="zh-CN"/>
              </w:rPr>
              <w:t>响应文件</w:t>
            </w:r>
            <w:r>
              <w:rPr>
                <w:rFonts w:hint="eastAsia" w:hAnsi="宋体" w:cs="宋体"/>
                <w:bCs/>
                <w:color w:val="auto"/>
                <w:sz w:val="21"/>
                <w:szCs w:val="21"/>
                <w:highlight w:val="none"/>
              </w:rPr>
              <w:t>的签署盖章</w:t>
            </w:r>
          </w:p>
        </w:tc>
        <w:tc>
          <w:tcPr>
            <w:tcW w:w="5332" w:type="dxa"/>
            <w:tcBorders>
              <w:top w:val="single" w:color="auto" w:sz="4" w:space="0"/>
              <w:bottom w:val="single" w:color="auto" w:sz="4" w:space="0"/>
            </w:tcBorders>
            <w:vAlign w:val="center"/>
          </w:tcPr>
          <w:p>
            <w:pPr>
              <w:tabs>
                <w:tab w:val="left" w:pos="0"/>
              </w:tabs>
              <w:adjustRightInd w:val="0"/>
              <w:snapToGrid w:val="0"/>
              <w:rPr>
                <w:rFonts w:hAnsi="宋体" w:cs="宋体"/>
                <w:bCs/>
                <w:color w:val="auto"/>
                <w:sz w:val="21"/>
                <w:szCs w:val="21"/>
                <w:highlight w:val="none"/>
              </w:rPr>
            </w:pPr>
            <w:r>
              <w:rPr>
                <w:rFonts w:hint="eastAsia" w:hAnsi="宋体" w:cs="宋体"/>
                <w:bCs/>
                <w:color w:val="auto"/>
                <w:sz w:val="21"/>
                <w:szCs w:val="21"/>
                <w:highlight w:val="none"/>
                <w:lang w:eastAsia="zh-CN"/>
              </w:rPr>
              <w:t>响应文件</w:t>
            </w:r>
            <w:r>
              <w:rPr>
                <w:rFonts w:hint="eastAsia" w:hAnsi="宋体" w:cs="宋体"/>
                <w:bCs/>
                <w:color w:val="auto"/>
                <w:sz w:val="21"/>
                <w:szCs w:val="21"/>
                <w:highlight w:val="none"/>
              </w:rPr>
              <w:t>上法定代表人或其授权代表人的签字齐全并加盖公章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65" w:type="dxa"/>
            <w:vMerge w:val="continue"/>
            <w:tcBorders>
              <w:top w:val="single" w:color="auto" w:sz="4" w:space="0"/>
              <w:bottom w:val="single" w:color="auto" w:sz="4" w:space="0"/>
            </w:tcBorders>
          </w:tcPr>
          <w:p>
            <w:pPr>
              <w:tabs>
                <w:tab w:val="left" w:pos="0"/>
              </w:tabs>
              <w:adjustRightInd w:val="0"/>
              <w:snapToGrid w:val="0"/>
              <w:spacing w:line="360" w:lineRule="auto"/>
              <w:rPr>
                <w:rFonts w:hAnsi="宋体" w:cs="宋体"/>
                <w:bCs/>
                <w:color w:val="auto"/>
                <w:sz w:val="21"/>
                <w:szCs w:val="21"/>
                <w:highlight w:val="none"/>
              </w:rPr>
            </w:pPr>
          </w:p>
        </w:tc>
        <w:tc>
          <w:tcPr>
            <w:tcW w:w="601" w:type="dxa"/>
            <w:vMerge w:val="continue"/>
            <w:tcBorders>
              <w:top w:val="single" w:color="auto" w:sz="4" w:space="0"/>
              <w:bottom w:val="single" w:color="auto" w:sz="4" w:space="0"/>
            </w:tcBorders>
          </w:tcPr>
          <w:p>
            <w:pPr>
              <w:tabs>
                <w:tab w:val="left" w:pos="0"/>
              </w:tabs>
              <w:adjustRightInd w:val="0"/>
              <w:snapToGrid w:val="0"/>
              <w:spacing w:line="360" w:lineRule="auto"/>
              <w:rPr>
                <w:rFonts w:hAnsi="宋体" w:cs="宋体"/>
                <w:bCs/>
                <w:color w:val="auto"/>
                <w:sz w:val="21"/>
                <w:szCs w:val="21"/>
                <w:highlight w:val="none"/>
              </w:rPr>
            </w:pPr>
          </w:p>
        </w:tc>
        <w:tc>
          <w:tcPr>
            <w:tcW w:w="568" w:type="dxa"/>
            <w:vMerge w:val="continue"/>
            <w:tcBorders>
              <w:top w:val="single" w:color="auto" w:sz="4" w:space="0"/>
              <w:bottom w:val="single" w:color="auto" w:sz="4" w:space="0"/>
            </w:tcBorders>
          </w:tcPr>
          <w:p>
            <w:pPr>
              <w:tabs>
                <w:tab w:val="left" w:pos="0"/>
              </w:tabs>
              <w:adjustRightInd w:val="0"/>
              <w:snapToGrid w:val="0"/>
              <w:spacing w:line="360" w:lineRule="auto"/>
              <w:rPr>
                <w:rFonts w:hAnsi="宋体" w:cs="宋体"/>
                <w:bCs/>
                <w:color w:val="auto"/>
                <w:sz w:val="21"/>
                <w:szCs w:val="21"/>
                <w:highlight w:val="none"/>
              </w:rPr>
            </w:pPr>
          </w:p>
        </w:tc>
        <w:tc>
          <w:tcPr>
            <w:tcW w:w="2274" w:type="dxa"/>
            <w:tcBorders>
              <w:top w:val="single" w:color="auto" w:sz="4" w:space="0"/>
              <w:bottom w:val="single" w:color="auto" w:sz="4" w:space="0"/>
            </w:tcBorders>
            <w:vAlign w:val="center"/>
          </w:tcPr>
          <w:p>
            <w:pPr>
              <w:tabs>
                <w:tab w:val="left" w:pos="0"/>
              </w:tabs>
              <w:adjustRightInd w:val="0"/>
              <w:snapToGrid w:val="0"/>
              <w:rPr>
                <w:rFonts w:hAnsi="宋体" w:cs="宋体"/>
                <w:bCs/>
                <w:color w:val="auto"/>
                <w:sz w:val="21"/>
                <w:szCs w:val="21"/>
                <w:highlight w:val="none"/>
              </w:rPr>
            </w:pPr>
            <w:r>
              <w:rPr>
                <w:rFonts w:hint="eastAsia" w:hAnsi="宋体" w:cs="宋体"/>
                <w:bCs/>
                <w:color w:val="auto"/>
                <w:sz w:val="21"/>
                <w:szCs w:val="21"/>
                <w:highlight w:val="none"/>
                <w:lang w:eastAsia="zh-CN"/>
              </w:rPr>
              <w:t>响应文件</w:t>
            </w:r>
            <w:r>
              <w:rPr>
                <w:rFonts w:hint="eastAsia" w:hAnsi="宋体" w:cs="宋体"/>
                <w:bCs/>
                <w:color w:val="auto"/>
                <w:sz w:val="21"/>
                <w:szCs w:val="21"/>
                <w:highlight w:val="none"/>
              </w:rPr>
              <w:t>格式</w:t>
            </w:r>
          </w:p>
        </w:tc>
        <w:tc>
          <w:tcPr>
            <w:tcW w:w="5332" w:type="dxa"/>
            <w:tcBorders>
              <w:top w:val="single" w:color="auto" w:sz="4" w:space="0"/>
              <w:bottom w:val="single" w:color="auto" w:sz="4" w:space="0"/>
            </w:tcBorders>
            <w:vAlign w:val="center"/>
          </w:tcPr>
          <w:p>
            <w:pPr>
              <w:tabs>
                <w:tab w:val="left" w:pos="0"/>
              </w:tabs>
              <w:adjustRightInd w:val="0"/>
              <w:snapToGrid w:val="0"/>
              <w:rPr>
                <w:rFonts w:hint="eastAsia" w:hAnsi="宋体" w:eastAsia="宋体" w:cs="宋体"/>
                <w:bCs/>
                <w:color w:val="auto"/>
                <w:sz w:val="21"/>
                <w:szCs w:val="21"/>
                <w:highlight w:val="none"/>
                <w:lang w:eastAsia="zh-CN"/>
              </w:rPr>
            </w:pPr>
            <w:r>
              <w:rPr>
                <w:rFonts w:hint="eastAsia" w:hAnsi="宋体" w:cs="宋体"/>
                <w:bCs/>
                <w:color w:val="auto"/>
                <w:sz w:val="21"/>
                <w:szCs w:val="21"/>
                <w:highlight w:val="none"/>
              </w:rPr>
              <w:t>应符合“</w:t>
            </w:r>
            <w:r>
              <w:rPr>
                <w:rFonts w:hint="eastAsia" w:hAnsi="宋体" w:cs="宋体"/>
                <w:bCs/>
                <w:color w:val="auto"/>
                <w:sz w:val="21"/>
                <w:szCs w:val="21"/>
                <w:highlight w:val="none"/>
                <w:lang w:eastAsia="zh-CN"/>
              </w:rPr>
              <w:t>响应文件</w:t>
            </w:r>
            <w:r>
              <w:rPr>
                <w:rFonts w:hint="eastAsia" w:hAnsi="宋体" w:cs="宋体"/>
                <w:bCs/>
                <w:color w:val="auto"/>
                <w:sz w:val="21"/>
                <w:szCs w:val="21"/>
                <w:highlight w:val="none"/>
              </w:rPr>
              <w:t>格式”要求</w:t>
            </w:r>
            <w:r>
              <w:rPr>
                <w:rFonts w:hint="eastAsia" w:hAnsi="宋体" w:cs="宋体"/>
                <w:bCs/>
                <w:color w:val="auto"/>
                <w:sz w:val="21"/>
                <w:szCs w:val="21"/>
                <w:highlight w:val="none"/>
                <w:lang w:eastAsia="zh-CN"/>
              </w:rPr>
              <w:t>，不得擅自更改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65" w:type="dxa"/>
            <w:vMerge w:val="continue"/>
            <w:tcBorders>
              <w:top w:val="single" w:color="auto" w:sz="4" w:space="0"/>
              <w:bottom w:val="single" w:color="auto" w:sz="4" w:space="0"/>
            </w:tcBorders>
          </w:tcPr>
          <w:p>
            <w:pPr>
              <w:tabs>
                <w:tab w:val="left" w:pos="0"/>
              </w:tabs>
              <w:adjustRightInd w:val="0"/>
              <w:snapToGrid w:val="0"/>
              <w:spacing w:line="360" w:lineRule="auto"/>
              <w:rPr>
                <w:rFonts w:hAnsi="宋体" w:cs="宋体"/>
                <w:bCs/>
                <w:color w:val="auto"/>
                <w:sz w:val="21"/>
                <w:szCs w:val="21"/>
                <w:highlight w:val="none"/>
              </w:rPr>
            </w:pPr>
          </w:p>
        </w:tc>
        <w:tc>
          <w:tcPr>
            <w:tcW w:w="601" w:type="dxa"/>
            <w:vMerge w:val="continue"/>
            <w:tcBorders>
              <w:top w:val="single" w:color="auto" w:sz="4" w:space="0"/>
              <w:bottom w:val="single" w:color="auto" w:sz="4" w:space="0"/>
            </w:tcBorders>
          </w:tcPr>
          <w:p>
            <w:pPr>
              <w:tabs>
                <w:tab w:val="left" w:pos="0"/>
              </w:tabs>
              <w:adjustRightInd w:val="0"/>
              <w:snapToGrid w:val="0"/>
              <w:spacing w:line="360" w:lineRule="auto"/>
              <w:rPr>
                <w:rFonts w:hAnsi="宋体" w:cs="宋体"/>
                <w:bCs/>
                <w:color w:val="auto"/>
                <w:sz w:val="21"/>
                <w:szCs w:val="21"/>
                <w:highlight w:val="none"/>
              </w:rPr>
            </w:pPr>
          </w:p>
        </w:tc>
        <w:tc>
          <w:tcPr>
            <w:tcW w:w="568" w:type="dxa"/>
            <w:vMerge w:val="continue"/>
            <w:tcBorders>
              <w:top w:val="single" w:color="auto" w:sz="4" w:space="0"/>
              <w:bottom w:val="single" w:color="auto" w:sz="4" w:space="0"/>
            </w:tcBorders>
          </w:tcPr>
          <w:p>
            <w:pPr>
              <w:tabs>
                <w:tab w:val="left" w:pos="0"/>
              </w:tabs>
              <w:adjustRightInd w:val="0"/>
              <w:snapToGrid w:val="0"/>
              <w:spacing w:line="360" w:lineRule="auto"/>
              <w:rPr>
                <w:rFonts w:hAnsi="宋体" w:cs="宋体"/>
                <w:bCs/>
                <w:color w:val="auto"/>
                <w:sz w:val="21"/>
                <w:szCs w:val="21"/>
                <w:highlight w:val="none"/>
              </w:rPr>
            </w:pPr>
          </w:p>
        </w:tc>
        <w:tc>
          <w:tcPr>
            <w:tcW w:w="2274" w:type="dxa"/>
            <w:tcBorders>
              <w:top w:val="single" w:color="auto" w:sz="4" w:space="0"/>
              <w:bottom w:val="single" w:color="auto" w:sz="4" w:space="0"/>
            </w:tcBorders>
            <w:vAlign w:val="center"/>
          </w:tcPr>
          <w:p>
            <w:pPr>
              <w:tabs>
                <w:tab w:val="left" w:pos="0"/>
              </w:tabs>
              <w:adjustRightInd w:val="0"/>
              <w:snapToGrid w:val="0"/>
              <w:rPr>
                <w:rFonts w:hAnsi="宋体" w:cs="宋体"/>
                <w:bCs/>
                <w:color w:val="auto"/>
                <w:sz w:val="21"/>
                <w:szCs w:val="21"/>
                <w:highlight w:val="none"/>
              </w:rPr>
            </w:pPr>
            <w:r>
              <w:rPr>
                <w:rFonts w:hint="eastAsia" w:hAnsi="宋体" w:cs="宋体"/>
                <w:bCs/>
                <w:color w:val="auto"/>
                <w:sz w:val="21"/>
                <w:szCs w:val="21"/>
                <w:highlight w:val="none"/>
              </w:rPr>
              <w:t>报价唯一</w:t>
            </w:r>
          </w:p>
        </w:tc>
        <w:tc>
          <w:tcPr>
            <w:tcW w:w="5332" w:type="dxa"/>
            <w:tcBorders>
              <w:top w:val="single" w:color="auto" w:sz="4" w:space="0"/>
              <w:bottom w:val="single" w:color="auto" w:sz="4" w:space="0"/>
            </w:tcBorders>
            <w:vAlign w:val="center"/>
          </w:tcPr>
          <w:p>
            <w:pPr>
              <w:tabs>
                <w:tab w:val="left" w:pos="0"/>
              </w:tabs>
              <w:adjustRightInd w:val="0"/>
              <w:snapToGrid w:val="0"/>
              <w:rPr>
                <w:rFonts w:hAnsi="宋体" w:cs="宋体"/>
                <w:bCs/>
                <w:color w:val="auto"/>
                <w:sz w:val="21"/>
                <w:szCs w:val="21"/>
                <w:highlight w:val="none"/>
              </w:rPr>
            </w:pPr>
            <w:r>
              <w:rPr>
                <w:rFonts w:hint="eastAsia" w:hAnsi="宋体" w:cs="宋体"/>
                <w:bCs/>
                <w:color w:val="auto"/>
                <w:sz w:val="21"/>
                <w:szCs w:val="21"/>
                <w:highlight w:val="none"/>
              </w:rPr>
              <w:t>只能有一个有效报价，不得提交选择性报价，且报价不超过采购预算金额或最高限价。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65" w:type="dxa"/>
            <w:vMerge w:val="continue"/>
            <w:tcBorders>
              <w:top w:val="single" w:color="auto" w:sz="4" w:space="0"/>
              <w:bottom w:val="single" w:color="auto" w:sz="4" w:space="0"/>
            </w:tcBorders>
            <w:vAlign w:val="center"/>
          </w:tcPr>
          <w:p>
            <w:pPr>
              <w:tabs>
                <w:tab w:val="left" w:pos="0"/>
              </w:tabs>
              <w:adjustRightInd w:val="0"/>
              <w:snapToGrid w:val="0"/>
              <w:spacing w:line="360" w:lineRule="auto"/>
              <w:jc w:val="center"/>
              <w:rPr>
                <w:rFonts w:hAnsi="宋体" w:cs="宋体"/>
                <w:bCs/>
                <w:color w:val="auto"/>
                <w:sz w:val="21"/>
                <w:szCs w:val="21"/>
                <w:highlight w:val="none"/>
              </w:rPr>
            </w:pPr>
          </w:p>
        </w:tc>
        <w:tc>
          <w:tcPr>
            <w:tcW w:w="601" w:type="dxa"/>
            <w:vMerge w:val="continue"/>
            <w:tcBorders>
              <w:top w:val="single" w:color="auto" w:sz="4" w:space="0"/>
              <w:bottom w:val="single" w:color="auto" w:sz="4" w:space="0"/>
            </w:tcBorders>
            <w:vAlign w:val="center"/>
          </w:tcPr>
          <w:p>
            <w:pPr>
              <w:tabs>
                <w:tab w:val="left" w:pos="0"/>
              </w:tabs>
              <w:adjustRightInd w:val="0"/>
              <w:snapToGrid w:val="0"/>
              <w:jc w:val="center"/>
              <w:rPr>
                <w:rFonts w:hAnsi="宋体" w:cs="宋体"/>
                <w:bCs/>
                <w:color w:val="auto"/>
                <w:sz w:val="21"/>
                <w:szCs w:val="21"/>
                <w:highlight w:val="none"/>
              </w:rPr>
            </w:pPr>
          </w:p>
        </w:tc>
        <w:tc>
          <w:tcPr>
            <w:tcW w:w="568" w:type="dxa"/>
            <w:vMerge w:val="restart"/>
            <w:tcBorders>
              <w:top w:val="single" w:color="auto" w:sz="4" w:space="0"/>
              <w:bottom w:val="single" w:color="auto" w:sz="4" w:space="0"/>
            </w:tcBorders>
            <w:vAlign w:val="center"/>
          </w:tcPr>
          <w:p>
            <w:pPr>
              <w:tabs>
                <w:tab w:val="left" w:pos="0"/>
              </w:tabs>
              <w:adjustRightInd w:val="0"/>
              <w:snapToGrid w:val="0"/>
              <w:jc w:val="center"/>
              <w:rPr>
                <w:rFonts w:hAnsi="宋体" w:cs="宋体"/>
                <w:bCs/>
                <w:color w:val="auto"/>
                <w:sz w:val="21"/>
                <w:szCs w:val="21"/>
                <w:highlight w:val="none"/>
              </w:rPr>
            </w:pPr>
            <w:r>
              <w:rPr>
                <w:rFonts w:hint="eastAsia" w:hAnsi="宋体" w:cs="宋体"/>
                <w:bCs/>
                <w:color w:val="auto"/>
                <w:sz w:val="21"/>
                <w:szCs w:val="21"/>
                <w:highlight w:val="none"/>
              </w:rPr>
              <w:t>完整性审查</w:t>
            </w:r>
          </w:p>
        </w:tc>
        <w:tc>
          <w:tcPr>
            <w:tcW w:w="2274" w:type="dxa"/>
            <w:tcBorders>
              <w:top w:val="single" w:color="auto" w:sz="4" w:space="0"/>
              <w:bottom w:val="single" w:color="auto" w:sz="4" w:space="0"/>
            </w:tcBorders>
            <w:vAlign w:val="center"/>
          </w:tcPr>
          <w:p>
            <w:pPr>
              <w:tabs>
                <w:tab w:val="left" w:pos="0"/>
              </w:tabs>
              <w:adjustRightInd w:val="0"/>
              <w:snapToGrid w:val="0"/>
              <w:rPr>
                <w:rFonts w:hAnsi="宋体" w:cs="宋体"/>
                <w:bCs/>
                <w:color w:val="auto"/>
                <w:sz w:val="21"/>
                <w:szCs w:val="21"/>
                <w:highlight w:val="none"/>
              </w:rPr>
            </w:pPr>
            <w:r>
              <w:rPr>
                <w:rFonts w:hint="eastAsia" w:hAnsi="宋体" w:cs="宋体"/>
                <w:bCs/>
                <w:color w:val="auto"/>
                <w:sz w:val="21"/>
                <w:szCs w:val="21"/>
                <w:highlight w:val="none"/>
                <w:lang w:eastAsia="zh-CN"/>
              </w:rPr>
              <w:t>响应文件</w:t>
            </w:r>
            <w:r>
              <w:rPr>
                <w:rFonts w:hint="eastAsia" w:hAnsi="宋体" w:cs="宋体"/>
                <w:bCs/>
                <w:color w:val="auto"/>
                <w:sz w:val="21"/>
                <w:szCs w:val="21"/>
                <w:highlight w:val="none"/>
              </w:rPr>
              <w:t>份数</w:t>
            </w:r>
          </w:p>
        </w:tc>
        <w:tc>
          <w:tcPr>
            <w:tcW w:w="5332" w:type="dxa"/>
            <w:tcBorders>
              <w:top w:val="single" w:color="auto" w:sz="4" w:space="0"/>
              <w:bottom w:val="single" w:color="auto" w:sz="4" w:space="0"/>
            </w:tcBorders>
            <w:vAlign w:val="center"/>
          </w:tcPr>
          <w:p>
            <w:pPr>
              <w:tabs>
                <w:tab w:val="left" w:pos="0"/>
              </w:tabs>
              <w:adjustRightInd w:val="0"/>
              <w:snapToGrid w:val="0"/>
              <w:rPr>
                <w:rFonts w:hAnsi="宋体" w:cs="宋体"/>
                <w:bCs/>
                <w:color w:val="auto"/>
                <w:sz w:val="21"/>
                <w:szCs w:val="21"/>
                <w:highlight w:val="none"/>
              </w:rPr>
            </w:pPr>
            <w:r>
              <w:rPr>
                <w:rFonts w:hint="eastAsia" w:hAnsi="宋体" w:cs="宋体"/>
                <w:bCs/>
                <w:color w:val="auto"/>
                <w:sz w:val="21"/>
                <w:szCs w:val="21"/>
                <w:highlight w:val="none"/>
              </w:rPr>
              <w:t>应符合“供应商须知前附表”规定的正本、副本、电子文件数量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65" w:type="dxa"/>
            <w:vMerge w:val="continue"/>
            <w:tcBorders>
              <w:top w:val="single" w:color="auto" w:sz="4" w:space="0"/>
              <w:bottom w:val="single" w:color="auto" w:sz="4" w:space="0"/>
            </w:tcBorders>
          </w:tcPr>
          <w:p>
            <w:pPr>
              <w:tabs>
                <w:tab w:val="left" w:pos="0"/>
              </w:tabs>
              <w:adjustRightInd w:val="0"/>
              <w:snapToGrid w:val="0"/>
              <w:spacing w:line="360" w:lineRule="auto"/>
              <w:rPr>
                <w:rFonts w:hAnsi="宋体" w:cs="宋体"/>
                <w:bCs/>
                <w:color w:val="auto"/>
                <w:sz w:val="21"/>
                <w:szCs w:val="21"/>
                <w:highlight w:val="none"/>
              </w:rPr>
            </w:pPr>
          </w:p>
        </w:tc>
        <w:tc>
          <w:tcPr>
            <w:tcW w:w="601" w:type="dxa"/>
            <w:vMerge w:val="continue"/>
            <w:tcBorders>
              <w:top w:val="single" w:color="auto" w:sz="4" w:space="0"/>
              <w:bottom w:val="single" w:color="auto" w:sz="4" w:space="0"/>
            </w:tcBorders>
          </w:tcPr>
          <w:p>
            <w:pPr>
              <w:tabs>
                <w:tab w:val="left" w:pos="0"/>
              </w:tabs>
              <w:adjustRightInd w:val="0"/>
              <w:snapToGrid w:val="0"/>
              <w:spacing w:line="360" w:lineRule="auto"/>
              <w:rPr>
                <w:rFonts w:hAnsi="宋体" w:cs="宋体"/>
                <w:bCs/>
                <w:color w:val="auto"/>
                <w:sz w:val="21"/>
                <w:szCs w:val="21"/>
                <w:highlight w:val="none"/>
              </w:rPr>
            </w:pPr>
          </w:p>
        </w:tc>
        <w:tc>
          <w:tcPr>
            <w:tcW w:w="568" w:type="dxa"/>
            <w:vMerge w:val="continue"/>
            <w:tcBorders>
              <w:top w:val="single" w:color="auto" w:sz="4" w:space="0"/>
              <w:bottom w:val="single" w:color="auto" w:sz="4" w:space="0"/>
            </w:tcBorders>
          </w:tcPr>
          <w:p>
            <w:pPr>
              <w:tabs>
                <w:tab w:val="left" w:pos="0"/>
              </w:tabs>
              <w:adjustRightInd w:val="0"/>
              <w:snapToGrid w:val="0"/>
              <w:spacing w:line="360" w:lineRule="auto"/>
              <w:rPr>
                <w:rFonts w:hAnsi="宋体" w:cs="宋体"/>
                <w:bCs/>
                <w:color w:val="auto"/>
                <w:sz w:val="21"/>
                <w:szCs w:val="21"/>
                <w:highlight w:val="none"/>
              </w:rPr>
            </w:pPr>
          </w:p>
        </w:tc>
        <w:tc>
          <w:tcPr>
            <w:tcW w:w="2274" w:type="dxa"/>
            <w:tcBorders>
              <w:top w:val="single" w:color="auto" w:sz="4" w:space="0"/>
              <w:bottom w:val="single" w:color="auto" w:sz="4" w:space="0"/>
            </w:tcBorders>
            <w:vAlign w:val="center"/>
          </w:tcPr>
          <w:p>
            <w:pPr>
              <w:tabs>
                <w:tab w:val="left" w:pos="0"/>
              </w:tabs>
              <w:adjustRightInd w:val="0"/>
              <w:snapToGrid w:val="0"/>
              <w:rPr>
                <w:rFonts w:hAnsi="宋体" w:cs="宋体"/>
                <w:bCs/>
                <w:color w:val="auto"/>
                <w:sz w:val="21"/>
                <w:szCs w:val="21"/>
                <w:highlight w:val="none"/>
              </w:rPr>
            </w:pPr>
            <w:r>
              <w:rPr>
                <w:rFonts w:hint="eastAsia" w:hAnsi="宋体" w:cs="宋体"/>
                <w:bCs/>
                <w:color w:val="auto"/>
                <w:sz w:val="21"/>
                <w:szCs w:val="21"/>
                <w:highlight w:val="none"/>
                <w:lang w:eastAsia="zh-CN"/>
              </w:rPr>
              <w:t>响应文件</w:t>
            </w:r>
            <w:r>
              <w:rPr>
                <w:rFonts w:hint="eastAsia" w:hAnsi="宋体" w:cs="宋体"/>
                <w:bCs/>
                <w:color w:val="auto"/>
                <w:sz w:val="21"/>
                <w:szCs w:val="21"/>
                <w:highlight w:val="none"/>
              </w:rPr>
              <w:t>内容</w:t>
            </w:r>
          </w:p>
        </w:tc>
        <w:tc>
          <w:tcPr>
            <w:tcW w:w="5332" w:type="dxa"/>
            <w:tcBorders>
              <w:top w:val="single" w:color="auto" w:sz="4" w:space="0"/>
              <w:bottom w:val="single" w:color="auto" w:sz="4" w:space="0"/>
            </w:tcBorders>
            <w:vAlign w:val="center"/>
          </w:tcPr>
          <w:p>
            <w:pPr>
              <w:tabs>
                <w:tab w:val="left" w:pos="0"/>
              </w:tabs>
              <w:adjustRightInd w:val="0"/>
              <w:snapToGrid w:val="0"/>
              <w:rPr>
                <w:rFonts w:hAnsi="宋体" w:cs="宋体"/>
                <w:bCs/>
                <w:color w:val="auto"/>
                <w:sz w:val="21"/>
                <w:szCs w:val="21"/>
                <w:highlight w:val="none"/>
              </w:rPr>
            </w:pPr>
            <w:r>
              <w:rPr>
                <w:rFonts w:hint="eastAsia" w:hAnsi="宋体" w:cs="宋体"/>
                <w:bCs/>
                <w:color w:val="auto"/>
                <w:sz w:val="21"/>
                <w:szCs w:val="21"/>
                <w:highlight w:val="none"/>
                <w:lang w:eastAsia="zh-CN"/>
              </w:rPr>
              <w:t>响应文件</w:t>
            </w:r>
            <w:r>
              <w:rPr>
                <w:rFonts w:hint="eastAsia" w:hAnsi="宋体" w:cs="宋体"/>
                <w:bCs/>
                <w:color w:val="auto"/>
                <w:sz w:val="21"/>
                <w:szCs w:val="21"/>
                <w:highlight w:val="none"/>
              </w:rPr>
              <w:t>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65" w:type="dxa"/>
            <w:vMerge w:val="continue"/>
            <w:tcBorders>
              <w:top w:val="single" w:color="auto" w:sz="4" w:space="0"/>
              <w:bottom w:val="single" w:color="auto" w:sz="4" w:space="0"/>
            </w:tcBorders>
            <w:vAlign w:val="center"/>
          </w:tcPr>
          <w:p>
            <w:pPr>
              <w:tabs>
                <w:tab w:val="left" w:pos="0"/>
              </w:tabs>
              <w:adjustRightInd w:val="0"/>
              <w:snapToGrid w:val="0"/>
              <w:spacing w:line="360" w:lineRule="auto"/>
              <w:jc w:val="center"/>
              <w:rPr>
                <w:rFonts w:hAnsi="宋体" w:cs="宋体"/>
                <w:bCs/>
                <w:color w:val="auto"/>
                <w:sz w:val="21"/>
                <w:szCs w:val="21"/>
                <w:highlight w:val="none"/>
              </w:rPr>
            </w:pPr>
          </w:p>
        </w:tc>
        <w:tc>
          <w:tcPr>
            <w:tcW w:w="601" w:type="dxa"/>
            <w:vMerge w:val="continue"/>
            <w:tcBorders>
              <w:top w:val="single" w:color="auto" w:sz="4" w:space="0"/>
              <w:bottom w:val="single" w:color="auto" w:sz="4" w:space="0"/>
            </w:tcBorders>
            <w:vAlign w:val="center"/>
          </w:tcPr>
          <w:p>
            <w:pPr>
              <w:tabs>
                <w:tab w:val="left" w:pos="0"/>
              </w:tabs>
              <w:adjustRightInd w:val="0"/>
              <w:snapToGrid w:val="0"/>
              <w:jc w:val="center"/>
              <w:rPr>
                <w:rFonts w:hAnsi="宋体" w:cs="宋体"/>
                <w:bCs/>
                <w:color w:val="auto"/>
                <w:sz w:val="21"/>
                <w:szCs w:val="21"/>
                <w:highlight w:val="none"/>
              </w:rPr>
            </w:pPr>
          </w:p>
        </w:tc>
        <w:tc>
          <w:tcPr>
            <w:tcW w:w="568" w:type="dxa"/>
            <w:vMerge w:val="restart"/>
            <w:tcBorders>
              <w:top w:val="single" w:color="auto" w:sz="4" w:space="0"/>
              <w:bottom w:val="single" w:color="auto" w:sz="4" w:space="0"/>
            </w:tcBorders>
            <w:vAlign w:val="center"/>
          </w:tcPr>
          <w:p>
            <w:pPr>
              <w:tabs>
                <w:tab w:val="left" w:pos="0"/>
              </w:tabs>
              <w:adjustRightInd w:val="0"/>
              <w:snapToGrid w:val="0"/>
              <w:jc w:val="center"/>
              <w:rPr>
                <w:rFonts w:hAnsi="宋体" w:cs="宋体"/>
                <w:bCs/>
                <w:color w:val="auto"/>
                <w:sz w:val="21"/>
                <w:szCs w:val="21"/>
                <w:highlight w:val="none"/>
              </w:rPr>
            </w:pPr>
            <w:r>
              <w:rPr>
                <w:rFonts w:hint="eastAsia" w:hAnsi="宋体" w:cs="宋体"/>
                <w:bCs/>
                <w:color w:val="auto"/>
                <w:sz w:val="21"/>
                <w:szCs w:val="21"/>
                <w:highlight w:val="none"/>
              </w:rPr>
              <w:t>响应性审查</w:t>
            </w:r>
          </w:p>
        </w:tc>
        <w:tc>
          <w:tcPr>
            <w:tcW w:w="2274" w:type="dxa"/>
            <w:tcBorders>
              <w:top w:val="single" w:color="auto" w:sz="4" w:space="0"/>
              <w:bottom w:val="single" w:color="auto" w:sz="4" w:space="0"/>
            </w:tcBorders>
            <w:vAlign w:val="center"/>
          </w:tcPr>
          <w:p>
            <w:pPr>
              <w:tabs>
                <w:tab w:val="left" w:pos="0"/>
              </w:tabs>
              <w:adjustRightInd w:val="0"/>
              <w:snapToGrid w:val="0"/>
              <w:rPr>
                <w:rFonts w:hAnsi="宋体" w:cs="宋体"/>
                <w:bCs/>
                <w:color w:val="auto"/>
                <w:sz w:val="21"/>
                <w:szCs w:val="21"/>
                <w:highlight w:val="none"/>
              </w:rPr>
            </w:pPr>
            <w:r>
              <w:rPr>
                <w:rFonts w:hint="eastAsia" w:hAnsi="宋体" w:cs="宋体"/>
                <w:bCs/>
                <w:color w:val="auto"/>
                <w:sz w:val="21"/>
                <w:szCs w:val="21"/>
                <w:highlight w:val="none"/>
              </w:rPr>
              <w:t>对</w:t>
            </w:r>
            <w:r>
              <w:rPr>
                <w:rFonts w:hint="eastAsia" w:hAnsi="宋体" w:cs="宋体"/>
                <w:bCs/>
                <w:color w:val="auto"/>
                <w:sz w:val="21"/>
                <w:szCs w:val="21"/>
                <w:highlight w:val="none"/>
                <w:lang w:eastAsia="zh-CN"/>
              </w:rPr>
              <w:t>竞争性磋商文件</w:t>
            </w:r>
            <w:r>
              <w:rPr>
                <w:rFonts w:hint="eastAsia" w:hAnsi="宋体" w:cs="宋体"/>
                <w:bCs/>
                <w:color w:val="auto"/>
                <w:sz w:val="21"/>
                <w:szCs w:val="21"/>
                <w:highlight w:val="none"/>
              </w:rPr>
              <w:t>响应程度</w:t>
            </w:r>
          </w:p>
        </w:tc>
        <w:tc>
          <w:tcPr>
            <w:tcW w:w="5332" w:type="dxa"/>
            <w:tcBorders>
              <w:top w:val="single" w:color="auto" w:sz="4" w:space="0"/>
              <w:bottom w:val="single" w:color="auto" w:sz="4" w:space="0"/>
            </w:tcBorders>
            <w:vAlign w:val="center"/>
          </w:tcPr>
          <w:p>
            <w:pPr>
              <w:tabs>
                <w:tab w:val="left" w:pos="0"/>
              </w:tabs>
              <w:adjustRightInd w:val="0"/>
              <w:snapToGrid w:val="0"/>
              <w:rPr>
                <w:rFonts w:hAnsi="宋体" w:cs="宋体"/>
                <w:bCs/>
                <w:color w:val="auto"/>
                <w:sz w:val="21"/>
                <w:szCs w:val="21"/>
                <w:highlight w:val="none"/>
              </w:rPr>
            </w:pPr>
            <w:r>
              <w:rPr>
                <w:rFonts w:hint="eastAsia" w:hAnsi="宋体" w:cs="宋体"/>
                <w:bCs/>
                <w:color w:val="auto"/>
                <w:sz w:val="21"/>
                <w:szCs w:val="21"/>
                <w:highlight w:val="none"/>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65" w:type="dxa"/>
            <w:vMerge w:val="continue"/>
            <w:tcBorders>
              <w:top w:val="single" w:color="auto" w:sz="4" w:space="0"/>
              <w:bottom w:val="single" w:color="auto" w:sz="4" w:space="0"/>
            </w:tcBorders>
          </w:tcPr>
          <w:p>
            <w:pPr>
              <w:tabs>
                <w:tab w:val="left" w:pos="0"/>
              </w:tabs>
              <w:adjustRightInd w:val="0"/>
              <w:snapToGrid w:val="0"/>
              <w:spacing w:line="360" w:lineRule="auto"/>
              <w:rPr>
                <w:rFonts w:hAnsi="宋体" w:cs="宋体"/>
                <w:bCs/>
                <w:color w:val="auto"/>
                <w:sz w:val="21"/>
                <w:szCs w:val="21"/>
                <w:highlight w:val="none"/>
              </w:rPr>
            </w:pPr>
          </w:p>
        </w:tc>
        <w:tc>
          <w:tcPr>
            <w:tcW w:w="601" w:type="dxa"/>
            <w:vMerge w:val="continue"/>
            <w:tcBorders>
              <w:top w:val="single" w:color="auto" w:sz="4" w:space="0"/>
              <w:bottom w:val="single" w:color="auto" w:sz="4" w:space="0"/>
            </w:tcBorders>
          </w:tcPr>
          <w:p>
            <w:pPr>
              <w:tabs>
                <w:tab w:val="left" w:pos="0"/>
              </w:tabs>
              <w:adjustRightInd w:val="0"/>
              <w:snapToGrid w:val="0"/>
              <w:spacing w:line="360" w:lineRule="auto"/>
              <w:rPr>
                <w:rFonts w:hAnsi="宋体" w:cs="宋体"/>
                <w:bCs/>
                <w:color w:val="auto"/>
                <w:sz w:val="21"/>
                <w:szCs w:val="21"/>
                <w:highlight w:val="none"/>
              </w:rPr>
            </w:pPr>
          </w:p>
        </w:tc>
        <w:tc>
          <w:tcPr>
            <w:tcW w:w="568" w:type="dxa"/>
            <w:vMerge w:val="continue"/>
            <w:tcBorders>
              <w:top w:val="single" w:color="auto" w:sz="4" w:space="0"/>
              <w:bottom w:val="single" w:color="auto" w:sz="4" w:space="0"/>
            </w:tcBorders>
          </w:tcPr>
          <w:p>
            <w:pPr>
              <w:tabs>
                <w:tab w:val="left" w:pos="0"/>
              </w:tabs>
              <w:adjustRightInd w:val="0"/>
              <w:snapToGrid w:val="0"/>
              <w:spacing w:line="360" w:lineRule="auto"/>
              <w:rPr>
                <w:rFonts w:hAnsi="宋体" w:cs="宋体"/>
                <w:bCs/>
                <w:color w:val="auto"/>
                <w:sz w:val="21"/>
                <w:szCs w:val="21"/>
                <w:highlight w:val="none"/>
              </w:rPr>
            </w:pPr>
          </w:p>
        </w:tc>
        <w:tc>
          <w:tcPr>
            <w:tcW w:w="2274" w:type="dxa"/>
            <w:tcBorders>
              <w:top w:val="single" w:color="auto" w:sz="4" w:space="0"/>
              <w:bottom w:val="single" w:color="auto" w:sz="4" w:space="0"/>
            </w:tcBorders>
            <w:vAlign w:val="center"/>
          </w:tcPr>
          <w:p>
            <w:pPr>
              <w:tabs>
                <w:tab w:val="left" w:pos="0"/>
              </w:tabs>
              <w:adjustRightInd w:val="0"/>
              <w:snapToGrid w:val="0"/>
              <w:rPr>
                <w:rFonts w:hAnsi="宋体" w:cs="宋体"/>
                <w:bCs/>
                <w:color w:val="auto"/>
                <w:sz w:val="21"/>
                <w:szCs w:val="21"/>
                <w:highlight w:val="none"/>
              </w:rPr>
            </w:pPr>
            <w:r>
              <w:rPr>
                <w:rFonts w:hint="eastAsia" w:hAnsi="宋体" w:cs="宋体"/>
                <w:bCs/>
                <w:color w:val="auto"/>
                <w:sz w:val="21"/>
                <w:szCs w:val="21"/>
                <w:highlight w:val="none"/>
                <w:lang w:eastAsia="zh-CN"/>
              </w:rPr>
              <w:t>供货期</w:t>
            </w:r>
          </w:p>
        </w:tc>
        <w:tc>
          <w:tcPr>
            <w:tcW w:w="5332" w:type="dxa"/>
            <w:tcBorders>
              <w:top w:val="single" w:color="auto" w:sz="4" w:space="0"/>
              <w:bottom w:val="single" w:color="auto" w:sz="4" w:space="0"/>
            </w:tcBorders>
            <w:vAlign w:val="center"/>
          </w:tcPr>
          <w:p>
            <w:pPr>
              <w:tabs>
                <w:tab w:val="left" w:pos="0"/>
              </w:tabs>
              <w:adjustRightInd w:val="0"/>
              <w:snapToGrid w:val="0"/>
              <w:rPr>
                <w:rFonts w:hint="eastAsia" w:hAnsi="宋体" w:eastAsia="宋体" w:cs="宋体"/>
                <w:bCs/>
                <w:color w:val="auto"/>
                <w:sz w:val="21"/>
                <w:szCs w:val="21"/>
                <w:highlight w:val="none"/>
                <w:lang w:eastAsia="zh-CN"/>
              </w:rPr>
            </w:pPr>
            <w:r>
              <w:rPr>
                <w:rFonts w:hint="eastAsia" w:hAnsi="宋体" w:cs="宋体"/>
                <w:bCs/>
                <w:color w:val="auto"/>
                <w:sz w:val="21"/>
                <w:szCs w:val="21"/>
                <w:highlight w:val="none"/>
              </w:rPr>
              <w:t>应满足</w:t>
            </w:r>
            <w:r>
              <w:rPr>
                <w:rFonts w:hint="eastAsia" w:hAnsi="宋体" w:cs="宋体"/>
                <w:bCs/>
                <w:color w:val="auto"/>
                <w:sz w:val="21"/>
                <w:szCs w:val="21"/>
                <w:highlight w:val="none"/>
                <w:lang w:eastAsia="zh-CN"/>
              </w:rPr>
              <w:t>竞争性磋商文件</w:t>
            </w:r>
            <w:r>
              <w:rPr>
                <w:rFonts w:hint="eastAsia" w:hAnsi="宋体" w:cs="宋体"/>
                <w:bCs/>
                <w:color w:val="auto"/>
                <w:sz w:val="21"/>
                <w:szCs w:val="21"/>
                <w:highlight w:val="none"/>
              </w:rPr>
              <w:t>中要求的</w:t>
            </w:r>
            <w:r>
              <w:rPr>
                <w:rFonts w:hint="eastAsia" w:hAnsi="宋体" w:cs="宋体"/>
                <w:bCs/>
                <w:color w:val="auto"/>
                <w:sz w:val="21"/>
                <w:szCs w:val="21"/>
                <w:highlight w:val="none"/>
                <w:lang w:eastAsia="zh-CN"/>
              </w:rPr>
              <w:t>供货期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65" w:type="dxa"/>
            <w:vMerge w:val="continue"/>
            <w:tcBorders>
              <w:top w:val="single" w:color="auto" w:sz="4" w:space="0"/>
            </w:tcBorders>
          </w:tcPr>
          <w:p>
            <w:pPr>
              <w:tabs>
                <w:tab w:val="left" w:pos="0"/>
              </w:tabs>
              <w:adjustRightInd w:val="0"/>
              <w:snapToGrid w:val="0"/>
              <w:spacing w:line="360" w:lineRule="auto"/>
              <w:rPr>
                <w:rFonts w:hAnsi="宋体" w:cs="宋体"/>
                <w:bCs/>
                <w:color w:val="auto"/>
                <w:sz w:val="21"/>
                <w:szCs w:val="21"/>
                <w:highlight w:val="none"/>
              </w:rPr>
            </w:pPr>
          </w:p>
        </w:tc>
        <w:tc>
          <w:tcPr>
            <w:tcW w:w="601" w:type="dxa"/>
            <w:vMerge w:val="continue"/>
            <w:tcBorders>
              <w:top w:val="single" w:color="auto" w:sz="4" w:space="0"/>
            </w:tcBorders>
          </w:tcPr>
          <w:p>
            <w:pPr>
              <w:tabs>
                <w:tab w:val="left" w:pos="0"/>
              </w:tabs>
              <w:adjustRightInd w:val="0"/>
              <w:snapToGrid w:val="0"/>
              <w:spacing w:line="360" w:lineRule="auto"/>
              <w:rPr>
                <w:rFonts w:hAnsi="宋体" w:cs="宋体"/>
                <w:bCs/>
                <w:color w:val="auto"/>
                <w:sz w:val="21"/>
                <w:szCs w:val="21"/>
                <w:highlight w:val="none"/>
              </w:rPr>
            </w:pPr>
          </w:p>
        </w:tc>
        <w:tc>
          <w:tcPr>
            <w:tcW w:w="568" w:type="dxa"/>
            <w:vMerge w:val="continue"/>
            <w:tcBorders>
              <w:top w:val="single" w:color="auto" w:sz="4" w:space="0"/>
            </w:tcBorders>
          </w:tcPr>
          <w:p>
            <w:pPr>
              <w:tabs>
                <w:tab w:val="left" w:pos="0"/>
              </w:tabs>
              <w:adjustRightInd w:val="0"/>
              <w:snapToGrid w:val="0"/>
              <w:spacing w:line="360" w:lineRule="auto"/>
              <w:rPr>
                <w:rFonts w:hAnsi="宋体" w:cs="宋体"/>
                <w:bCs/>
                <w:color w:val="auto"/>
                <w:sz w:val="21"/>
                <w:szCs w:val="21"/>
                <w:highlight w:val="none"/>
              </w:rPr>
            </w:pPr>
          </w:p>
        </w:tc>
        <w:tc>
          <w:tcPr>
            <w:tcW w:w="2274" w:type="dxa"/>
            <w:tcBorders>
              <w:top w:val="single" w:color="auto" w:sz="4" w:space="0"/>
            </w:tcBorders>
            <w:vAlign w:val="center"/>
          </w:tcPr>
          <w:p>
            <w:pPr>
              <w:tabs>
                <w:tab w:val="left" w:pos="0"/>
              </w:tabs>
              <w:adjustRightInd w:val="0"/>
              <w:snapToGrid w:val="0"/>
              <w:rPr>
                <w:rFonts w:hAnsi="宋体" w:cs="宋体"/>
                <w:bCs/>
                <w:color w:val="auto"/>
                <w:sz w:val="21"/>
                <w:szCs w:val="21"/>
                <w:highlight w:val="none"/>
              </w:rPr>
            </w:pPr>
            <w:r>
              <w:rPr>
                <w:rFonts w:hint="eastAsia" w:hAnsi="宋体" w:cs="宋体"/>
                <w:bCs/>
                <w:color w:val="auto"/>
                <w:sz w:val="21"/>
                <w:szCs w:val="21"/>
                <w:highlight w:val="none"/>
              </w:rPr>
              <w:t>投标有效期</w:t>
            </w:r>
          </w:p>
        </w:tc>
        <w:tc>
          <w:tcPr>
            <w:tcW w:w="5332" w:type="dxa"/>
            <w:tcBorders>
              <w:top w:val="single" w:color="auto" w:sz="4" w:space="0"/>
            </w:tcBorders>
            <w:vAlign w:val="center"/>
          </w:tcPr>
          <w:p>
            <w:pPr>
              <w:tabs>
                <w:tab w:val="left" w:pos="0"/>
              </w:tabs>
              <w:adjustRightInd w:val="0"/>
              <w:snapToGrid w:val="0"/>
              <w:rPr>
                <w:rFonts w:hAnsi="宋体" w:cs="宋体"/>
                <w:bCs/>
                <w:color w:val="auto"/>
                <w:sz w:val="21"/>
                <w:szCs w:val="21"/>
                <w:highlight w:val="none"/>
              </w:rPr>
            </w:pPr>
            <w:r>
              <w:rPr>
                <w:rFonts w:hint="eastAsia" w:hAnsi="宋体" w:cs="宋体"/>
                <w:bCs/>
                <w:color w:val="auto"/>
                <w:sz w:val="21"/>
                <w:szCs w:val="21"/>
                <w:highlight w:val="none"/>
              </w:rPr>
              <w:t>应满足</w:t>
            </w:r>
            <w:r>
              <w:rPr>
                <w:rFonts w:hint="eastAsia" w:hAnsi="宋体" w:cs="宋体"/>
                <w:bCs/>
                <w:color w:val="auto"/>
                <w:sz w:val="21"/>
                <w:szCs w:val="21"/>
                <w:highlight w:val="none"/>
                <w:lang w:eastAsia="zh-CN"/>
              </w:rPr>
              <w:t>竞争性磋商文件</w:t>
            </w:r>
            <w:r>
              <w:rPr>
                <w:rFonts w:hint="eastAsia" w:hAnsi="宋体" w:cs="宋体"/>
                <w:bCs/>
                <w:color w:val="auto"/>
                <w:sz w:val="21"/>
                <w:szCs w:val="21"/>
                <w:highlight w:val="none"/>
              </w:rPr>
              <w:t>中的规定</w:t>
            </w:r>
          </w:p>
        </w:tc>
      </w:tr>
    </w:tbl>
    <w:p>
      <w:pPr>
        <w:widowControl/>
        <w:spacing w:line="360" w:lineRule="auto"/>
        <w:rPr>
          <w:rFonts w:hint="eastAsia" w:asciiTheme="minorEastAsia" w:hAnsiTheme="minorEastAsia" w:eastAsiaTheme="minorEastAsia" w:cstheme="minorEastAsia"/>
          <w:color w:val="auto"/>
          <w:sz w:val="24"/>
          <w:szCs w:val="24"/>
          <w:highlight w:val="none"/>
          <w:lang w:val="zh-CN"/>
        </w:rPr>
      </w:pPr>
      <w:r>
        <w:rPr>
          <w:rFonts w:hint="eastAsia" w:hAnsi="宋体" w:cs="宋体"/>
          <w:b/>
          <w:color w:val="auto"/>
          <w:sz w:val="28"/>
          <w:szCs w:val="28"/>
          <w:highlight w:val="none"/>
        </w:rPr>
        <w:br w:type="page"/>
      </w:r>
      <w:r>
        <w:rPr>
          <w:rFonts w:hint="eastAsia" w:hAnsi="宋体" w:cs="宋体"/>
          <w:b/>
          <w:color w:val="auto"/>
          <w:sz w:val="28"/>
          <w:szCs w:val="28"/>
          <w:highlight w:val="none"/>
        </w:rPr>
        <w:t>附件2：</w:t>
      </w:r>
      <w:r>
        <w:rPr>
          <w:rFonts w:hint="eastAsia" w:asciiTheme="minorEastAsia" w:hAnsiTheme="minorEastAsia" w:eastAsiaTheme="minorEastAsia" w:cstheme="minorEastAsia"/>
          <w:color w:val="auto"/>
          <w:sz w:val="24"/>
          <w:szCs w:val="24"/>
          <w:highlight w:val="none"/>
          <w:lang w:val="zh-CN"/>
        </w:rPr>
        <w:t>评审方法：综合评分法（总计100分）</w:t>
      </w:r>
    </w:p>
    <w:tbl>
      <w:tblPr>
        <w:tblStyle w:val="45"/>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975"/>
        <w:gridCol w:w="7576"/>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14" w:type="dxa"/>
            <w:vAlign w:val="center"/>
          </w:tcPr>
          <w:p>
            <w:pPr>
              <w:adjustRightInd w:val="0"/>
              <w:snapToGri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评标</w:t>
            </w:r>
          </w:p>
          <w:p>
            <w:pPr>
              <w:adjustRightInd w:val="0"/>
              <w:snapToGri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因素</w:t>
            </w:r>
          </w:p>
        </w:tc>
        <w:tc>
          <w:tcPr>
            <w:tcW w:w="975" w:type="dxa"/>
            <w:vAlign w:val="center"/>
          </w:tcPr>
          <w:p>
            <w:pPr>
              <w:adjustRightInd w:val="0"/>
              <w:snapToGri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权值%</w:t>
            </w:r>
          </w:p>
        </w:tc>
        <w:tc>
          <w:tcPr>
            <w:tcW w:w="7589" w:type="dxa"/>
            <w:gridSpan w:val="2"/>
            <w:vAlign w:val="center"/>
          </w:tcPr>
          <w:p>
            <w:pPr>
              <w:adjustRightInd w:val="0"/>
              <w:snapToGri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914" w:type="dxa"/>
            <w:vAlign w:val="center"/>
          </w:tcPr>
          <w:p>
            <w:pPr>
              <w:adjustRightInd w:val="0"/>
              <w:snapToGrid w:val="0"/>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价格</w:t>
            </w:r>
          </w:p>
        </w:tc>
        <w:tc>
          <w:tcPr>
            <w:tcW w:w="975" w:type="dxa"/>
            <w:vAlign w:val="center"/>
          </w:tcPr>
          <w:p>
            <w:pPr>
              <w:adjustRightInd w:val="0"/>
              <w:snapToGrid w:val="0"/>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30</w:t>
            </w:r>
          </w:p>
        </w:tc>
        <w:tc>
          <w:tcPr>
            <w:tcW w:w="7589" w:type="dxa"/>
            <w:gridSpan w:val="2"/>
            <w:vAlign w:val="center"/>
          </w:tcPr>
          <w:p>
            <w:pPr>
              <w:adjustRightInd w:val="0"/>
              <w:snapToGrid w:val="0"/>
              <w:spacing w:line="312" w:lineRule="auto"/>
              <w:ind w:firstLine="420" w:firstLineChars="200"/>
              <w:jc w:val="both"/>
              <w:rPr>
                <w:rFonts w:hint="eastAsia"/>
                <w:sz w:val="21"/>
                <w:szCs w:val="21"/>
                <w:highlight w:val="none"/>
              </w:rPr>
            </w:pPr>
            <w:r>
              <w:rPr>
                <w:rFonts w:hint="eastAsia"/>
                <w:sz w:val="21"/>
                <w:szCs w:val="21"/>
                <w:highlight w:val="none"/>
              </w:rPr>
              <w:t>满足磋商文件要求且最后报价最低的供应商的价格为磋商基准价。各供应商的价格分统一按照下列公式计算：磋商报价得分=（磋商基准价/最后磋商报价）×价格权值。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 w:type="dxa"/>
          <w:trHeight w:val="3468" w:hRule="atLeast"/>
          <w:jc w:val="center"/>
        </w:trPr>
        <w:tc>
          <w:tcPr>
            <w:tcW w:w="9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技术方案</w:t>
            </w:r>
          </w:p>
        </w:tc>
        <w:tc>
          <w:tcPr>
            <w:tcW w:w="975"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30</w:t>
            </w:r>
          </w:p>
        </w:tc>
        <w:tc>
          <w:tcPr>
            <w:tcW w:w="7576" w:type="dxa"/>
            <w:tcBorders>
              <w:top w:val="single" w:color="auto" w:sz="4" w:space="0"/>
              <w:left w:val="nil"/>
              <w:bottom w:val="single" w:color="auto" w:sz="4" w:space="0"/>
              <w:right w:val="single" w:color="auto" w:sz="4" w:space="0"/>
            </w:tcBorders>
            <w:vAlign w:val="center"/>
          </w:tcPr>
          <w:p>
            <w:pPr>
              <w:adjustRightInd w:val="0"/>
              <w:snapToGrid w:val="0"/>
              <w:spacing w:line="336" w:lineRule="auto"/>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1、项目实施方案：项目组织实施计划完整可行，资金等保障措施可靠，能够保证按期供货，具有明确的项目组织机构及实施方案，磋商小组从以下方面进行比较后赋分。（30分）</w:t>
            </w:r>
          </w:p>
          <w:p>
            <w:pPr>
              <w:adjustRightInd w:val="0"/>
              <w:snapToGrid w:val="0"/>
              <w:spacing w:line="336" w:lineRule="auto"/>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1）投标产品是否符合国家相关标准及法规要求（0-10分）；</w:t>
            </w:r>
          </w:p>
          <w:p>
            <w:pPr>
              <w:adjustRightInd w:val="0"/>
              <w:snapToGrid w:val="0"/>
              <w:spacing w:line="336" w:lineRule="auto"/>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2）产品制造、质量、安全及性能可靠性满足采购要求（0-10分）；</w:t>
            </w:r>
          </w:p>
          <w:p>
            <w:pPr>
              <w:adjustRightInd w:val="0"/>
              <w:snapToGrid w:val="0"/>
              <w:spacing w:line="336" w:lineRule="auto"/>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3）投标产品配置合理，质量保证措施科学、合理、可操作性强（0-10分）。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 w:type="dxa"/>
          <w:trHeight w:val="2276" w:hRule="atLeast"/>
          <w:jc w:val="center"/>
        </w:trPr>
        <w:tc>
          <w:tcPr>
            <w:tcW w:w="9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售后服务</w:t>
            </w:r>
            <w:r>
              <w:rPr>
                <w:rFonts w:hint="eastAsia" w:asciiTheme="minorEastAsia" w:hAnsiTheme="minorEastAsia" w:eastAsiaTheme="minorEastAsia" w:cstheme="minorEastAsia"/>
                <w:sz w:val="21"/>
                <w:szCs w:val="21"/>
                <w:highlight w:val="none"/>
              </w:rPr>
              <w:t>方案</w:t>
            </w:r>
          </w:p>
        </w:tc>
        <w:tc>
          <w:tcPr>
            <w:tcW w:w="975"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15</w:t>
            </w:r>
          </w:p>
        </w:tc>
        <w:tc>
          <w:tcPr>
            <w:tcW w:w="7576"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firstLine="420" w:firstLineChars="20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售后服务方案详细、具体、可行（针对本项目在售后服务方案及承诺详细、具体</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根据</w:t>
            </w:r>
            <w:r>
              <w:rPr>
                <w:rFonts w:hint="eastAsia" w:asciiTheme="minorEastAsia" w:hAnsiTheme="minorEastAsia" w:eastAsiaTheme="minorEastAsia" w:cstheme="minorEastAsia"/>
                <w:sz w:val="21"/>
                <w:szCs w:val="21"/>
                <w:highlight w:val="none"/>
                <w:lang w:eastAsia="zh-CN"/>
              </w:rPr>
              <w:t>响</w:t>
            </w:r>
            <w:r>
              <w:rPr>
                <w:rFonts w:hint="eastAsia" w:asciiTheme="minorEastAsia" w:hAnsiTheme="minorEastAsia" w:eastAsiaTheme="minorEastAsia" w:cstheme="minorEastAsia"/>
                <w:sz w:val="21"/>
                <w:szCs w:val="21"/>
                <w:highlight w:val="none"/>
              </w:rPr>
              <w:t>应程度计0-</w:t>
            </w: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分。</w:t>
            </w:r>
          </w:p>
          <w:p>
            <w:pPr>
              <w:adjustRightInd w:val="0"/>
              <w:snapToGrid w:val="0"/>
              <w:spacing w:line="360" w:lineRule="auto"/>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eastAsia="zh-CN"/>
              </w:rPr>
              <w:t>货物</w:t>
            </w:r>
            <w:r>
              <w:rPr>
                <w:rFonts w:hint="eastAsia" w:asciiTheme="minorEastAsia" w:hAnsiTheme="minorEastAsia" w:eastAsiaTheme="minorEastAsia" w:cstheme="minorEastAsia"/>
                <w:sz w:val="21"/>
                <w:szCs w:val="21"/>
                <w:highlight w:val="none"/>
              </w:rPr>
              <w:t>交付用户后出现故障能提供立即解决问题的承诺</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后期维护管理、技术支持及服务</w:t>
            </w:r>
            <w:r>
              <w:rPr>
                <w:rFonts w:hint="eastAsia" w:asciiTheme="minorEastAsia" w:hAnsiTheme="minorEastAsia" w:eastAsiaTheme="minorEastAsia" w:cstheme="minorEastAsia"/>
                <w:sz w:val="21"/>
                <w:szCs w:val="21"/>
                <w:highlight w:val="none"/>
                <w:lang w:eastAsia="zh-CN"/>
              </w:rPr>
              <w:t>承诺</w:t>
            </w:r>
            <w:r>
              <w:rPr>
                <w:rFonts w:hint="eastAsia" w:asciiTheme="minorEastAsia" w:hAnsiTheme="minorEastAsia" w:eastAsiaTheme="minorEastAsia" w:cstheme="minorEastAsia"/>
                <w:sz w:val="21"/>
                <w:szCs w:val="21"/>
                <w:highlight w:val="none"/>
              </w:rPr>
              <w:t>，要求措施具体，切实可行</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根据</w:t>
            </w:r>
            <w:r>
              <w:rPr>
                <w:rFonts w:hint="eastAsia" w:asciiTheme="minorEastAsia" w:hAnsiTheme="minorEastAsia" w:eastAsiaTheme="minorEastAsia" w:cstheme="minorEastAsia"/>
                <w:sz w:val="21"/>
                <w:szCs w:val="21"/>
                <w:highlight w:val="none"/>
                <w:lang w:eastAsia="zh-CN"/>
              </w:rPr>
              <w:t>响</w:t>
            </w:r>
            <w:r>
              <w:rPr>
                <w:rFonts w:hint="eastAsia" w:asciiTheme="minorEastAsia" w:hAnsiTheme="minorEastAsia" w:eastAsiaTheme="minorEastAsia" w:cstheme="minorEastAsia"/>
                <w:sz w:val="21"/>
                <w:szCs w:val="21"/>
                <w:highlight w:val="none"/>
              </w:rPr>
              <w:t>应程度计0-</w:t>
            </w: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 w:type="dxa"/>
          <w:trHeight w:val="2739" w:hRule="atLeast"/>
          <w:jc w:val="center"/>
        </w:trPr>
        <w:tc>
          <w:tcPr>
            <w:tcW w:w="9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质量保证</w:t>
            </w:r>
          </w:p>
        </w:tc>
        <w:tc>
          <w:tcPr>
            <w:tcW w:w="975"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15</w:t>
            </w:r>
          </w:p>
        </w:tc>
        <w:tc>
          <w:tcPr>
            <w:tcW w:w="7576"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1、设备及配件货源渠道正常、有质量保障。根据响应</w:t>
            </w:r>
            <w:r>
              <w:rPr>
                <w:rFonts w:hint="eastAsia" w:asciiTheme="minorEastAsia" w:hAnsiTheme="minorEastAsia" w:eastAsiaTheme="minorEastAsia" w:cstheme="minorEastAsia"/>
                <w:sz w:val="21"/>
                <w:szCs w:val="21"/>
                <w:highlight w:val="none"/>
              </w:rPr>
              <w:t>程度</w:t>
            </w:r>
            <w:r>
              <w:rPr>
                <w:rFonts w:hint="eastAsia" w:asciiTheme="minorEastAsia" w:hAnsiTheme="minorEastAsia" w:eastAsiaTheme="minorEastAsia" w:cstheme="minorEastAsia"/>
                <w:sz w:val="21"/>
                <w:szCs w:val="21"/>
                <w:highlight w:val="none"/>
                <w:lang w:val="en-US" w:eastAsia="zh-CN"/>
              </w:rPr>
              <w:t>计0-5分。</w:t>
            </w:r>
          </w:p>
          <w:p>
            <w:pPr>
              <w:adjustRightInd w:val="0"/>
              <w:snapToGrid w:val="0"/>
              <w:spacing w:line="360" w:lineRule="auto"/>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2、制造厂商有可靠的、完备的质量管理体系，足够的设计、工艺、加工、检验能力、产品符合国家有关标准，根据响应</w:t>
            </w:r>
            <w:r>
              <w:rPr>
                <w:rFonts w:hint="eastAsia" w:asciiTheme="minorEastAsia" w:hAnsiTheme="minorEastAsia" w:eastAsiaTheme="minorEastAsia" w:cstheme="minorEastAsia"/>
                <w:sz w:val="21"/>
                <w:szCs w:val="21"/>
                <w:highlight w:val="none"/>
              </w:rPr>
              <w:t>程度</w:t>
            </w:r>
            <w:r>
              <w:rPr>
                <w:rFonts w:hint="eastAsia" w:asciiTheme="minorEastAsia" w:hAnsiTheme="minorEastAsia" w:eastAsiaTheme="minorEastAsia" w:cstheme="minorEastAsia"/>
                <w:sz w:val="21"/>
                <w:szCs w:val="21"/>
                <w:highlight w:val="none"/>
                <w:lang w:val="en-US" w:eastAsia="zh-CN"/>
              </w:rPr>
              <w:t>计0-5分。</w:t>
            </w:r>
          </w:p>
          <w:p>
            <w:pPr>
              <w:adjustRightInd w:val="0"/>
              <w:snapToGrid w:val="0"/>
              <w:spacing w:line="360" w:lineRule="auto"/>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3、质量保证措施是否科学、合理、完善、可行。根据响应</w:t>
            </w:r>
            <w:r>
              <w:rPr>
                <w:rFonts w:hint="eastAsia" w:asciiTheme="minorEastAsia" w:hAnsiTheme="minorEastAsia" w:eastAsiaTheme="minorEastAsia" w:cstheme="minorEastAsia"/>
                <w:sz w:val="21"/>
                <w:szCs w:val="21"/>
                <w:highlight w:val="none"/>
              </w:rPr>
              <w:t>程度</w:t>
            </w:r>
            <w:r>
              <w:rPr>
                <w:rFonts w:hint="eastAsia" w:asciiTheme="minorEastAsia" w:hAnsiTheme="minorEastAsia" w:eastAsiaTheme="minorEastAsia" w:cstheme="minorEastAsia"/>
                <w:sz w:val="21"/>
                <w:szCs w:val="21"/>
                <w:highlight w:val="none"/>
                <w:lang w:val="en-US" w:eastAsia="zh-CN"/>
              </w:rPr>
              <w:t>计0-5分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 w:type="dxa"/>
          <w:trHeight w:val="819" w:hRule="atLeast"/>
          <w:jc w:val="center"/>
        </w:trPr>
        <w:tc>
          <w:tcPr>
            <w:tcW w:w="9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业绩</w:t>
            </w:r>
          </w:p>
        </w:tc>
        <w:tc>
          <w:tcPr>
            <w:tcW w:w="975"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w:t>
            </w:r>
          </w:p>
        </w:tc>
        <w:tc>
          <w:tcPr>
            <w:tcW w:w="7576"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hAnsi="宋体"/>
                <w:sz w:val="21"/>
                <w:szCs w:val="21"/>
                <w:highlight w:val="none"/>
              </w:rPr>
              <w:t>供应商近三年</w:t>
            </w:r>
            <w:r>
              <w:rPr>
                <w:rFonts w:hint="eastAsia" w:hAnsi="宋体"/>
                <w:sz w:val="21"/>
                <w:szCs w:val="21"/>
                <w:highlight w:val="none"/>
                <w:lang w:eastAsia="zh-CN"/>
              </w:rPr>
              <w:t>（</w:t>
            </w:r>
            <w:r>
              <w:rPr>
                <w:rFonts w:hint="eastAsia" w:hAnsi="宋体"/>
                <w:sz w:val="21"/>
                <w:szCs w:val="21"/>
                <w:highlight w:val="none"/>
                <w:lang w:val="en-US" w:eastAsia="zh-CN"/>
              </w:rPr>
              <w:t>2020年1月至今</w:t>
            </w:r>
            <w:r>
              <w:rPr>
                <w:rFonts w:hint="eastAsia" w:hAnsi="宋体"/>
                <w:sz w:val="21"/>
                <w:szCs w:val="21"/>
                <w:highlight w:val="none"/>
                <w:lang w:eastAsia="zh-CN"/>
              </w:rPr>
              <w:t>）</w:t>
            </w:r>
            <w:r>
              <w:rPr>
                <w:rFonts w:hint="eastAsia" w:hAnsi="宋体"/>
                <w:sz w:val="21"/>
                <w:szCs w:val="21"/>
                <w:highlight w:val="none"/>
                <w:lang w:val="en-US" w:eastAsia="zh-CN"/>
              </w:rPr>
              <w:t>类似</w:t>
            </w:r>
            <w:r>
              <w:rPr>
                <w:rFonts w:hint="eastAsia" w:hAnsi="宋体"/>
                <w:sz w:val="21"/>
                <w:szCs w:val="21"/>
                <w:highlight w:val="none"/>
              </w:rPr>
              <w:t>项目业绩，每提供1份得</w:t>
            </w:r>
            <w:r>
              <w:rPr>
                <w:rFonts w:hint="eastAsia" w:hAnsi="宋体"/>
                <w:sz w:val="21"/>
                <w:szCs w:val="21"/>
                <w:highlight w:val="none"/>
                <w:lang w:val="en-US" w:eastAsia="zh-CN"/>
              </w:rPr>
              <w:t>2</w:t>
            </w:r>
            <w:r>
              <w:rPr>
                <w:rFonts w:hint="eastAsia" w:hAnsi="宋体"/>
                <w:sz w:val="21"/>
                <w:szCs w:val="21"/>
                <w:highlight w:val="none"/>
              </w:rPr>
              <w:t>分，最高得</w:t>
            </w:r>
            <w:r>
              <w:rPr>
                <w:rFonts w:hint="eastAsia" w:hAnsi="宋体"/>
                <w:sz w:val="21"/>
                <w:szCs w:val="21"/>
                <w:highlight w:val="none"/>
                <w:lang w:val="en-US" w:eastAsia="zh-CN"/>
              </w:rPr>
              <w:t>10</w:t>
            </w:r>
            <w:r>
              <w:rPr>
                <w:rFonts w:hint="eastAsia" w:hAnsi="宋体"/>
                <w:sz w:val="21"/>
                <w:szCs w:val="21"/>
                <w:highlight w:val="none"/>
              </w:rPr>
              <w:t>分；业绩证明（以合同或中标通知书为准，须在</w:t>
            </w:r>
            <w:r>
              <w:rPr>
                <w:rFonts w:hint="eastAsia" w:hAnsi="宋体"/>
                <w:sz w:val="21"/>
                <w:szCs w:val="21"/>
                <w:highlight w:val="none"/>
                <w:lang w:eastAsia="zh-CN"/>
              </w:rPr>
              <w:t>磋商响应</w:t>
            </w:r>
            <w:r>
              <w:rPr>
                <w:rFonts w:hint="eastAsia" w:hAnsi="宋体"/>
                <w:sz w:val="21"/>
                <w:szCs w:val="21"/>
                <w:highlight w:val="none"/>
              </w:rPr>
              <w:t>文件中附合同或中标通知书的扫描件加盖单位公章）弄虚作假者，取消其中标资格。</w:t>
            </w:r>
          </w:p>
        </w:tc>
      </w:tr>
    </w:tbl>
    <w:p>
      <w:pPr>
        <w:spacing w:line="360" w:lineRule="auto"/>
        <w:rPr>
          <w:rFonts w:hint="eastAsia" w:hAnsi="宋体" w:cs="宋体"/>
          <w:b/>
          <w:color w:val="auto"/>
          <w:spacing w:val="4"/>
          <w:szCs w:val="24"/>
          <w:highlight w:val="none"/>
          <w:lang w:eastAsia="zh-CN"/>
        </w:rPr>
      </w:pPr>
    </w:p>
    <w:p>
      <w:pPr>
        <w:spacing w:line="360" w:lineRule="auto"/>
        <w:rPr>
          <w:rFonts w:hAnsi="宋体" w:cs="宋体"/>
          <w:b/>
          <w:color w:val="auto"/>
          <w:spacing w:val="4"/>
          <w:szCs w:val="24"/>
          <w:highlight w:val="none"/>
        </w:rPr>
      </w:pPr>
      <w:r>
        <w:rPr>
          <w:rFonts w:hint="eastAsia" w:hAnsi="宋体" w:cs="宋体"/>
          <w:b/>
          <w:color w:val="auto"/>
          <w:spacing w:val="4"/>
          <w:szCs w:val="24"/>
          <w:highlight w:val="none"/>
          <w:lang w:eastAsia="zh-CN"/>
        </w:rPr>
        <w:t>五</w:t>
      </w:r>
      <w:r>
        <w:rPr>
          <w:rFonts w:hint="eastAsia" w:hAnsi="宋体" w:cs="宋体"/>
          <w:b/>
          <w:color w:val="auto"/>
          <w:spacing w:val="4"/>
          <w:szCs w:val="24"/>
          <w:highlight w:val="none"/>
        </w:rPr>
        <w:t>、定标：</w:t>
      </w:r>
    </w:p>
    <w:p>
      <w:pPr>
        <w:spacing w:line="360" w:lineRule="auto"/>
        <w:ind w:firstLine="496" w:firstLineChars="200"/>
        <w:rPr>
          <w:rFonts w:hAnsi="宋体" w:cs="宋体"/>
          <w:color w:val="auto"/>
          <w:spacing w:val="4"/>
          <w:szCs w:val="24"/>
          <w:highlight w:val="none"/>
        </w:rPr>
      </w:pPr>
      <w:r>
        <w:rPr>
          <w:rFonts w:hint="eastAsia" w:hAnsi="宋体" w:cs="宋体"/>
          <w:color w:val="auto"/>
          <w:spacing w:val="4"/>
          <w:szCs w:val="24"/>
          <w:highlight w:val="none"/>
        </w:rPr>
        <w:t>1、评标结果由全体</w:t>
      </w:r>
      <w:r>
        <w:rPr>
          <w:rFonts w:hint="eastAsia" w:hAnsi="宋体" w:cs="宋体"/>
          <w:color w:val="auto"/>
          <w:szCs w:val="24"/>
          <w:highlight w:val="none"/>
          <w:lang w:eastAsia="zh-CN"/>
        </w:rPr>
        <w:t>磋商小组</w:t>
      </w:r>
      <w:r>
        <w:rPr>
          <w:rFonts w:hint="eastAsia" w:hAnsi="宋体" w:cs="宋体"/>
          <w:color w:val="auto"/>
          <w:szCs w:val="24"/>
          <w:highlight w:val="none"/>
        </w:rPr>
        <w:t>成员</w:t>
      </w:r>
      <w:r>
        <w:rPr>
          <w:rFonts w:hint="eastAsia" w:hAnsi="宋体" w:cs="宋体"/>
          <w:color w:val="auto"/>
          <w:spacing w:val="4"/>
          <w:szCs w:val="24"/>
          <w:highlight w:val="none"/>
        </w:rPr>
        <w:t>签字确认。</w:t>
      </w:r>
    </w:p>
    <w:p>
      <w:pPr>
        <w:spacing w:line="360" w:lineRule="auto"/>
        <w:ind w:left="814" w:leftChars="236" w:hanging="248" w:hangingChars="100"/>
        <w:rPr>
          <w:rFonts w:hAnsi="宋体" w:cs="宋体"/>
          <w:color w:val="auto"/>
          <w:spacing w:val="4"/>
          <w:szCs w:val="24"/>
          <w:highlight w:val="none"/>
        </w:rPr>
      </w:pPr>
      <w:r>
        <w:rPr>
          <w:rFonts w:hint="eastAsia" w:hAnsi="宋体" w:cs="宋体"/>
          <w:color w:val="auto"/>
          <w:spacing w:val="4"/>
          <w:szCs w:val="24"/>
          <w:highlight w:val="none"/>
        </w:rPr>
        <w:t>2、采购人根据评标报告中推荐的中标候选人排列顺序确定中标人，以复函通知采购代理机构。</w:t>
      </w:r>
    </w:p>
    <w:bookmarkEnd w:id="123"/>
    <w:bookmarkEnd w:id="129"/>
    <w:bookmarkEnd w:id="130"/>
    <w:bookmarkEnd w:id="131"/>
    <w:bookmarkEnd w:id="132"/>
    <w:bookmarkEnd w:id="133"/>
    <w:bookmarkEnd w:id="134"/>
    <w:bookmarkEnd w:id="135"/>
    <w:p>
      <w:pPr>
        <w:rPr>
          <w:rFonts w:hint="eastAsia" w:ascii="宋体" w:eastAsia="宋体" w:cs="宋体"/>
          <w:bCs/>
          <w:color w:val="auto"/>
          <w:sz w:val="36"/>
          <w:szCs w:val="36"/>
          <w:highlight w:val="none"/>
        </w:rPr>
      </w:pPr>
      <w:bookmarkStart w:id="245" w:name="_Toc426457698"/>
      <w:bookmarkStart w:id="246" w:name="_Toc12618"/>
      <w:bookmarkStart w:id="247" w:name="_Toc28411"/>
      <w:bookmarkStart w:id="248" w:name="_Toc363474025"/>
      <w:bookmarkStart w:id="249" w:name="_Toc22538"/>
      <w:bookmarkStart w:id="250" w:name="_Toc835"/>
      <w:bookmarkStart w:id="251" w:name="_Toc8830"/>
      <w:r>
        <w:rPr>
          <w:rFonts w:hint="eastAsia" w:ascii="宋体" w:eastAsia="宋体" w:cs="宋体"/>
          <w:bCs/>
          <w:color w:val="auto"/>
          <w:sz w:val="36"/>
          <w:szCs w:val="36"/>
          <w:highlight w:val="none"/>
        </w:rPr>
        <w:br w:type="page"/>
      </w:r>
    </w:p>
    <w:p>
      <w:pPr>
        <w:pStyle w:val="6"/>
        <w:spacing w:line="360" w:lineRule="auto"/>
        <w:jc w:val="center"/>
        <w:rPr>
          <w:rFonts w:ascii="宋体" w:eastAsia="宋体" w:cs="宋体"/>
          <w:bCs/>
          <w:color w:val="auto"/>
          <w:sz w:val="36"/>
          <w:szCs w:val="36"/>
          <w:highlight w:val="none"/>
        </w:rPr>
      </w:pPr>
      <w:bookmarkStart w:id="252" w:name="_Toc17603"/>
      <w:r>
        <w:rPr>
          <w:rFonts w:hint="eastAsia" w:ascii="宋体" w:eastAsia="宋体" w:cs="宋体"/>
          <w:bCs/>
          <w:color w:val="auto"/>
          <w:sz w:val="36"/>
          <w:szCs w:val="36"/>
          <w:highlight w:val="none"/>
        </w:rPr>
        <w:t>第六章</w:t>
      </w:r>
      <w:r>
        <w:rPr>
          <w:rFonts w:hint="eastAsia" w:ascii="宋体" w:cs="宋体"/>
          <w:bCs/>
          <w:color w:val="auto"/>
          <w:sz w:val="36"/>
          <w:szCs w:val="36"/>
          <w:highlight w:val="none"/>
          <w:lang w:val="en-US" w:eastAsia="zh-CN"/>
        </w:rPr>
        <w:t xml:space="preserve"> </w:t>
      </w:r>
      <w:r>
        <w:rPr>
          <w:rFonts w:hint="eastAsia" w:ascii="宋体" w:eastAsia="宋体" w:cs="宋体"/>
          <w:bCs/>
          <w:color w:val="auto"/>
          <w:sz w:val="36"/>
          <w:szCs w:val="36"/>
          <w:highlight w:val="none"/>
        </w:rPr>
        <w:t xml:space="preserve"> </w:t>
      </w:r>
      <w:r>
        <w:rPr>
          <w:rFonts w:hint="eastAsia" w:ascii="宋体" w:cs="宋体"/>
          <w:bCs/>
          <w:color w:val="auto"/>
          <w:sz w:val="36"/>
          <w:szCs w:val="36"/>
          <w:highlight w:val="none"/>
          <w:lang w:eastAsia="zh-CN"/>
        </w:rPr>
        <w:t>响应文件</w:t>
      </w:r>
      <w:r>
        <w:rPr>
          <w:rFonts w:hint="eastAsia" w:ascii="宋体" w:eastAsia="宋体" w:cs="宋体"/>
          <w:bCs/>
          <w:color w:val="auto"/>
          <w:sz w:val="36"/>
          <w:szCs w:val="36"/>
          <w:highlight w:val="none"/>
        </w:rPr>
        <w:t>构成及格式</w:t>
      </w:r>
      <w:bookmarkEnd w:id="245"/>
      <w:bookmarkEnd w:id="246"/>
      <w:bookmarkEnd w:id="247"/>
      <w:bookmarkEnd w:id="248"/>
      <w:bookmarkEnd w:id="249"/>
      <w:bookmarkEnd w:id="250"/>
      <w:bookmarkEnd w:id="251"/>
      <w:bookmarkEnd w:id="252"/>
    </w:p>
    <w:p>
      <w:pPr>
        <w:spacing w:line="480" w:lineRule="exact"/>
        <w:ind w:left="240" w:leftChars="100" w:firstLine="2771" w:firstLineChars="1150"/>
        <w:rPr>
          <w:rFonts w:hint="eastAsia" w:asciiTheme="minorEastAsia" w:hAnsiTheme="minorEastAsia" w:eastAsiaTheme="minorEastAsia" w:cstheme="minorEastAsia"/>
          <w:b/>
          <w:bCs/>
          <w:color w:val="auto"/>
          <w:sz w:val="24"/>
          <w:szCs w:val="24"/>
          <w:highlight w:val="none"/>
        </w:rPr>
      </w:pPr>
      <w:bookmarkStart w:id="253" w:name="_Toc403077647"/>
      <w:bookmarkStart w:id="254" w:name="_Toc17702"/>
      <w:bookmarkStart w:id="255" w:name="_Toc426457699"/>
      <w:bookmarkStart w:id="256" w:name="_Toc363474026"/>
      <w:bookmarkStart w:id="257" w:name="_Toc22537"/>
      <w:bookmarkStart w:id="258" w:name="_Toc23850"/>
      <w:bookmarkStart w:id="259" w:name="_Toc30983"/>
      <w:bookmarkStart w:id="260" w:name="_Toc23267"/>
      <w:r>
        <w:rPr>
          <w:rFonts w:hint="eastAsia" w:asciiTheme="minorEastAsia" w:hAnsiTheme="minorEastAsia" w:eastAsiaTheme="minorEastAsia" w:cstheme="minorEastAsia"/>
          <w:b/>
          <w:bCs/>
          <w:color w:val="auto"/>
          <w:sz w:val="24"/>
          <w:szCs w:val="24"/>
          <w:highlight w:val="none"/>
          <w:lang w:eastAsia="zh-CN"/>
        </w:rPr>
        <w:t>响应文件</w:t>
      </w:r>
      <w:r>
        <w:rPr>
          <w:rFonts w:hint="eastAsia" w:asciiTheme="minorEastAsia" w:hAnsiTheme="minorEastAsia" w:eastAsiaTheme="minorEastAsia" w:cstheme="minorEastAsia"/>
          <w:b/>
          <w:bCs/>
          <w:color w:val="auto"/>
          <w:sz w:val="24"/>
          <w:szCs w:val="24"/>
          <w:highlight w:val="none"/>
        </w:rPr>
        <w:t>编制说明</w:t>
      </w:r>
    </w:p>
    <w:p>
      <w:pPr>
        <w:keepNext w:val="0"/>
        <w:keepLines w:val="0"/>
        <w:pageBreakBefore w:val="0"/>
        <w:widowControl w:val="0"/>
        <w:kinsoku/>
        <w:wordWrap/>
        <w:overflowPunct/>
        <w:topLinePunct w:val="0"/>
        <w:autoSpaceDE/>
        <w:autoSpaceDN/>
        <w:bidi w:val="0"/>
        <w:adjustRightInd/>
        <w:snapToGrid/>
        <w:spacing w:line="480" w:lineRule="exact"/>
        <w:ind w:left="240" w:leftChars="100" w:firstLine="480" w:firstLineChars="200"/>
        <w:textAlignment w:val="auto"/>
        <w:outlineLvl w:val="9"/>
        <w:rPr>
          <w:rFonts w:hint="eastAsia" w:ascii="宋体" w:hAnsi="宋体"/>
          <w:color w:val="auto"/>
          <w:sz w:val="28"/>
          <w:szCs w:val="28"/>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陕西中采项目管理有限公司</w:t>
      </w:r>
      <w:r>
        <w:rPr>
          <w:rFonts w:hint="eastAsia" w:asciiTheme="minorEastAsia" w:hAnsiTheme="minorEastAsia" w:eastAsiaTheme="minorEastAsia" w:cstheme="minorEastAsia"/>
          <w:color w:val="auto"/>
          <w:sz w:val="24"/>
          <w:szCs w:val="24"/>
          <w:highlight w:val="none"/>
        </w:rPr>
        <w:t>提供的</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格式，起到样式作用，编制</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前，请详细阅读</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，理解文件中的每一项要求。</w:t>
      </w:r>
      <w:r>
        <w:rPr>
          <w:rFonts w:hint="eastAsia" w:asciiTheme="minorEastAsia" w:hAnsiTheme="minorEastAsia" w:eastAsiaTheme="minorEastAsia" w:cstheme="minorEastAsia"/>
          <w:color w:val="auto"/>
          <w:sz w:val="24"/>
          <w:szCs w:val="24"/>
          <w:highlight w:val="none"/>
        </w:rPr>
        <w:cr/>
      </w:r>
      <w:r>
        <w:rPr>
          <w:rFonts w:hint="eastAsia" w:asciiTheme="minorEastAsia" w:hAnsiTheme="minorEastAsia" w:eastAsiaTheme="minorEastAsia" w:cstheme="minorEastAsia"/>
          <w:color w:val="auto"/>
          <w:sz w:val="24"/>
          <w:szCs w:val="24"/>
          <w:highlight w:val="none"/>
        </w:rPr>
        <w:t xml:space="preserve">    2、</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的编制应按照样本格式提供的内容，做出逐一明确的答复；供应商认为有必要，还可以做其它补充说明。</w:t>
      </w:r>
      <w:r>
        <w:rPr>
          <w:rFonts w:hint="eastAsia" w:asciiTheme="minorEastAsia" w:hAnsiTheme="minorEastAsia" w:eastAsiaTheme="minorEastAsia" w:cstheme="minorEastAsia"/>
          <w:color w:val="auto"/>
          <w:sz w:val="24"/>
          <w:szCs w:val="24"/>
          <w:highlight w:val="none"/>
        </w:rPr>
        <w:cr/>
      </w:r>
      <w:r>
        <w:rPr>
          <w:rFonts w:hint="eastAsia" w:asciiTheme="minorEastAsia" w:hAnsiTheme="minorEastAsia" w:eastAsiaTheme="minorEastAsia" w:cstheme="minorEastAsia"/>
          <w:color w:val="auto"/>
          <w:sz w:val="24"/>
          <w:szCs w:val="24"/>
          <w:highlight w:val="none"/>
        </w:rPr>
        <w:t xml:space="preserve">    3、全部编制完成，并加盖印章后，按规定分别装订成册。</w:t>
      </w:r>
      <w:r>
        <w:rPr>
          <w:rFonts w:hint="eastAsia" w:ascii="宋体" w:hAnsi="宋体"/>
          <w:color w:val="auto"/>
          <w:sz w:val="28"/>
          <w:szCs w:val="28"/>
          <w:highlight w:val="none"/>
        </w:rPr>
        <w:cr/>
      </w:r>
    </w:p>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p>
    <w:bookmarkEnd w:id="253"/>
    <w:bookmarkEnd w:id="254"/>
    <w:bookmarkEnd w:id="255"/>
    <w:bookmarkEnd w:id="256"/>
    <w:bookmarkEnd w:id="257"/>
    <w:bookmarkEnd w:id="258"/>
    <w:bookmarkEnd w:id="259"/>
    <w:bookmarkEnd w:id="260"/>
    <w:p>
      <w:pPr>
        <w:jc w:val="right"/>
        <w:rPr>
          <w:rFonts w:hint="eastAsia" w:ascii="宋体" w:hAnsi="宋体"/>
          <w:color w:val="auto"/>
          <w:sz w:val="48"/>
          <w:szCs w:val="48"/>
          <w:highlight w:val="none"/>
        </w:rPr>
      </w:pPr>
      <w:r>
        <w:rPr>
          <w:rFonts w:hint="eastAsia" w:ascii="宋体" w:hAnsi="宋体" w:cs="宋体"/>
          <w:color w:val="auto"/>
          <w:sz w:val="28"/>
          <w:szCs w:val="28"/>
          <w:highlight w:val="none"/>
        </w:rPr>
        <w:t>（正本/副本）</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hAnsi="宋体"/>
          <w:b/>
          <w:bCs/>
          <w:color w:val="auto"/>
          <w:sz w:val="52"/>
          <w:szCs w:val="52"/>
          <w:highlight w:val="none"/>
          <w:lang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hAnsi="宋体"/>
          <w:b/>
          <w:bCs/>
          <w:color w:val="auto"/>
          <w:sz w:val="52"/>
          <w:szCs w:val="52"/>
          <w:highlight w:val="none"/>
          <w:lang w:eastAsia="zh-CN"/>
        </w:rPr>
      </w:pPr>
      <w:r>
        <w:rPr>
          <w:rFonts w:hint="eastAsia" w:hAnsi="宋体"/>
          <w:b/>
          <w:bCs/>
          <w:color w:val="auto"/>
          <w:sz w:val="52"/>
          <w:szCs w:val="52"/>
          <w:highlight w:val="none"/>
          <w:lang w:eastAsia="zh-CN"/>
        </w:rPr>
        <w:t>礼泉县中医院康复科设备采购项目</w:t>
      </w:r>
    </w:p>
    <w:p>
      <w:pPr>
        <w:spacing w:before="156" w:beforeLines="50" w:after="240" w:line="1200" w:lineRule="exact"/>
        <w:rPr>
          <w:rFonts w:hint="eastAsia" w:ascii="宋体" w:hAnsi="宋体" w:cs="宋体"/>
          <w:b/>
          <w:bCs/>
          <w:color w:val="auto"/>
          <w:spacing w:val="20"/>
          <w:kern w:val="0"/>
          <w:sz w:val="18"/>
          <w:szCs w:val="18"/>
          <w:highlight w:val="none"/>
        </w:rPr>
      </w:pPr>
    </w:p>
    <w:p>
      <w:pPr>
        <w:pStyle w:val="5"/>
        <w:rPr>
          <w:rFonts w:hint="eastAsia"/>
          <w:color w:val="auto"/>
          <w:highlight w:val="none"/>
        </w:rPr>
      </w:pPr>
    </w:p>
    <w:p>
      <w:pPr>
        <w:spacing w:before="156" w:beforeLines="50" w:after="240" w:line="1200" w:lineRule="exact"/>
        <w:jc w:val="center"/>
        <w:outlineLvl w:val="0"/>
        <w:rPr>
          <w:rFonts w:hint="eastAsia" w:ascii="宋体" w:hAnsi="宋体" w:eastAsia="宋体" w:cs="宋体"/>
          <w:b/>
          <w:bCs/>
          <w:color w:val="auto"/>
          <w:spacing w:val="1"/>
          <w:kern w:val="0"/>
          <w:sz w:val="84"/>
          <w:szCs w:val="84"/>
          <w:highlight w:val="none"/>
          <w:lang w:eastAsia="zh-CN"/>
        </w:rPr>
      </w:pPr>
      <w:bookmarkStart w:id="261" w:name="_Toc10185"/>
      <w:bookmarkStart w:id="262" w:name="_Toc10337"/>
      <w:bookmarkStart w:id="263" w:name="_Toc3829"/>
      <w:bookmarkStart w:id="264" w:name="_Toc28024"/>
      <w:bookmarkStart w:id="265" w:name="_Toc2931"/>
      <w:r>
        <w:rPr>
          <w:rFonts w:hint="eastAsia" w:hAnsi="宋体" w:cs="宋体"/>
          <w:b/>
          <w:bCs/>
          <w:color w:val="auto"/>
          <w:spacing w:val="140"/>
          <w:kern w:val="0"/>
          <w:sz w:val="84"/>
          <w:szCs w:val="84"/>
          <w:highlight w:val="none"/>
          <w:lang w:eastAsia="zh-CN"/>
        </w:rPr>
        <w:t>响应文件</w:t>
      </w:r>
      <w:bookmarkEnd w:id="261"/>
      <w:bookmarkEnd w:id="262"/>
      <w:bookmarkEnd w:id="263"/>
      <w:bookmarkEnd w:id="264"/>
      <w:bookmarkEnd w:id="265"/>
    </w:p>
    <w:p>
      <w:pPr>
        <w:spacing w:before="218" w:beforeLines="70"/>
        <w:jc w:val="center"/>
        <w:outlineLvl w:val="0"/>
        <w:rPr>
          <w:rFonts w:hint="default" w:ascii="宋体" w:hAnsi="宋体" w:eastAsia="宋体" w:cs="宋体"/>
          <w:b/>
          <w:bCs/>
          <w:color w:val="auto"/>
          <w:spacing w:val="20"/>
          <w:kern w:val="0"/>
          <w:sz w:val="84"/>
          <w:szCs w:val="84"/>
          <w:highlight w:val="none"/>
          <w:lang w:val="en-US" w:eastAsia="zh-CN"/>
        </w:rPr>
      </w:pPr>
      <w:bookmarkStart w:id="266" w:name="_Toc12915"/>
      <w:bookmarkStart w:id="267" w:name="_Toc26548"/>
      <w:bookmarkStart w:id="268" w:name="_Toc9437"/>
      <w:bookmarkStart w:id="269" w:name="_Toc27663"/>
      <w:bookmarkStart w:id="270" w:name="_Toc22553"/>
      <w:r>
        <w:rPr>
          <w:rFonts w:hint="eastAsia" w:ascii="宋体" w:hAnsi="宋体" w:cs="宋体"/>
          <w:b/>
          <w:bCs/>
          <w:color w:val="auto"/>
          <w:spacing w:val="20"/>
          <w:kern w:val="0"/>
          <w:sz w:val="32"/>
          <w:szCs w:val="32"/>
          <w:highlight w:val="none"/>
          <w:lang w:val="en-US" w:eastAsia="zh-CN"/>
        </w:rPr>
        <w:t>项目编号：</w:t>
      </w:r>
      <w:bookmarkEnd w:id="266"/>
      <w:bookmarkEnd w:id="267"/>
      <w:bookmarkEnd w:id="268"/>
      <w:bookmarkEnd w:id="269"/>
      <w:bookmarkEnd w:id="270"/>
      <w:r>
        <w:rPr>
          <w:rFonts w:hint="eastAsia" w:hAnsi="宋体" w:cs="宋体"/>
          <w:b/>
          <w:bCs/>
          <w:color w:val="auto"/>
          <w:spacing w:val="20"/>
          <w:kern w:val="0"/>
          <w:sz w:val="32"/>
          <w:szCs w:val="32"/>
          <w:highlight w:val="none"/>
          <w:lang w:val="en-US" w:eastAsia="zh-CN"/>
        </w:rPr>
        <w:t>LCBH—22—17</w:t>
      </w:r>
    </w:p>
    <w:p>
      <w:pPr>
        <w:spacing w:before="218" w:beforeLines="70"/>
        <w:rPr>
          <w:rFonts w:hint="eastAsia" w:ascii="宋体" w:hAnsi="宋体" w:cs="宋体"/>
          <w:b/>
          <w:color w:val="auto"/>
          <w:spacing w:val="8"/>
          <w:sz w:val="15"/>
          <w:szCs w:val="15"/>
          <w:highlight w:val="none"/>
        </w:rPr>
      </w:pPr>
    </w:p>
    <w:p>
      <w:pPr>
        <w:spacing w:before="218" w:beforeLines="70"/>
        <w:rPr>
          <w:rFonts w:hint="eastAsia" w:ascii="宋体" w:hAnsi="宋体" w:cs="宋体"/>
          <w:b/>
          <w:color w:val="auto"/>
          <w:spacing w:val="8"/>
          <w:sz w:val="32"/>
          <w:szCs w:val="32"/>
          <w:highlight w:val="none"/>
        </w:rPr>
      </w:pPr>
    </w:p>
    <w:p>
      <w:pPr>
        <w:pStyle w:val="5"/>
        <w:rPr>
          <w:rFonts w:hint="eastAsia" w:ascii="宋体" w:hAnsi="宋体" w:cs="宋体"/>
          <w:b/>
          <w:color w:val="auto"/>
          <w:spacing w:val="8"/>
          <w:sz w:val="32"/>
          <w:szCs w:val="32"/>
          <w:highlight w:val="none"/>
        </w:rPr>
      </w:pPr>
    </w:p>
    <w:p>
      <w:pPr>
        <w:spacing w:before="218" w:beforeLines="70"/>
        <w:ind w:firstLine="998" w:firstLineChars="296"/>
        <w:outlineLvl w:val="1"/>
        <w:rPr>
          <w:rFonts w:hint="eastAsia" w:ascii="宋体" w:hAnsi="宋体" w:cs="宋体"/>
          <w:b/>
          <w:color w:val="auto"/>
          <w:spacing w:val="8"/>
          <w:sz w:val="32"/>
          <w:szCs w:val="32"/>
          <w:highlight w:val="none"/>
        </w:rPr>
      </w:pPr>
      <w:bookmarkStart w:id="271" w:name="_Toc30212"/>
      <w:bookmarkStart w:id="272" w:name="_Toc25635"/>
      <w:bookmarkStart w:id="273" w:name="_Toc16768"/>
      <w:bookmarkStart w:id="274" w:name="_Toc30901"/>
      <w:bookmarkStart w:id="275" w:name="_Toc11779"/>
      <w:r>
        <w:rPr>
          <w:rFonts w:hint="eastAsia" w:ascii="宋体" w:hAnsi="宋体" w:cs="宋体"/>
          <w:b/>
          <w:color w:val="auto"/>
          <w:spacing w:val="8"/>
          <w:sz w:val="32"/>
          <w:szCs w:val="32"/>
          <w:highlight w:val="none"/>
        </w:rPr>
        <w:t>投标供应商：</w:t>
      </w:r>
      <w:r>
        <w:rPr>
          <w:rFonts w:hint="eastAsia" w:ascii="宋体" w:hAnsi="宋体" w:cs="宋体"/>
          <w:b/>
          <w:color w:val="auto"/>
          <w:spacing w:val="8"/>
          <w:sz w:val="32"/>
          <w:szCs w:val="32"/>
          <w:highlight w:val="none"/>
          <w:u w:val="single"/>
        </w:rPr>
        <w:t xml:space="preserve">         </w:t>
      </w:r>
      <w:r>
        <w:rPr>
          <w:rFonts w:hint="eastAsia" w:ascii="宋体" w:hAnsi="宋体" w:cs="宋体"/>
          <w:b/>
          <w:color w:val="auto"/>
          <w:spacing w:val="8"/>
          <w:sz w:val="32"/>
          <w:szCs w:val="32"/>
          <w:highlight w:val="none"/>
          <w:u w:val="single"/>
          <w:lang w:val="en-US" w:eastAsia="zh-CN"/>
        </w:rPr>
        <w:t xml:space="preserve">  </w:t>
      </w:r>
      <w:r>
        <w:rPr>
          <w:rFonts w:hint="eastAsia" w:ascii="宋体" w:hAnsi="宋体" w:cs="宋体"/>
          <w:b/>
          <w:color w:val="auto"/>
          <w:spacing w:val="8"/>
          <w:sz w:val="32"/>
          <w:szCs w:val="32"/>
          <w:highlight w:val="none"/>
          <w:u w:val="single"/>
        </w:rPr>
        <w:t xml:space="preserve">　     </w:t>
      </w:r>
      <w:r>
        <w:rPr>
          <w:rFonts w:hint="eastAsia" w:ascii="宋体" w:hAnsi="宋体" w:cs="宋体"/>
          <w:b/>
          <w:color w:val="auto"/>
          <w:spacing w:val="8"/>
          <w:sz w:val="32"/>
          <w:szCs w:val="32"/>
          <w:highlight w:val="none"/>
          <w:u w:val="none"/>
        </w:rPr>
        <w:t>（全称并盖章）</w:t>
      </w:r>
      <w:bookmarkEnd w:id="271"/>
      <w:bookmarkEnd w:id="272"/>
      <w:bookmarkEnd w:id="273"/>
      <w:bookmarkEnd w:id="274"/>
      <w:bookmarkEnd w:id="275"/>
      <w:r>
        <w:rPr>
          <w:rFonts w:hint="eastAsia" w:ascii="宋体" w:hAnsi="宋体" w:cs="宋体"/>
          <w:b/>
          <w:color w:val="auto"/>
          <w:spacing w:val="8"/>
          <w:sz w:val="32"/>
          <w:szCs w:val="32"/>
          <w:highlight w:val="none"/>
          <w:u w:val="none"/>
        </w:rPr>
        <w:t xml:space="preserve"> </w:t>
      </w:r>
      <w:r>
        <w:rPr>
          <w:rFonts w:hint="eastAsia" w:ascii="宋体" w:hAnsi="宋体" w:cs="宋体"/>
          <w:b/>
          <w:color w:val="auto"/>
          <w:spacing w:val="8"/>
          <w:sz w:val="32"/>
          <w:szCs w:val="32"/>
          <w:highlight w:val="none"/>
        </w:rPr>
        <w:t xml:space="preserve"> </w:t>
      </w:r>
    </w:p>
    <w:p>
      <w:pPr>
        <w:spacing w:before="218" w:beforeLines="70"/>
        <w:ind w:firstLine="998" w:firstLineChars="296"/>
        <w:outlineLvl w:val="1"/>
        <w:rPr>
          <w:rFonts w:hint="eastAsia" w:ascii="宋体" w:hAnsi="宋体" w:cs="宋体"/>
          <w:b/>
          <w:color w:val="auto"/>
          <w:spacing w:val="8"/>
          <w:sz w:val="32"/>
          <w:szCs w:val="32"/>
          <w:highlight w:val="none"/>
        </w:rPr>
      </w:pPr>
      <w:bookmarkStart w:id="276" w:name="_Toc13118"/>
      <w:bookmarkStart w:id="277" w:name="_Toc18013"/>
      <w:bookmarkStart w:id="278" w:name="_Toc25500"/>
      <w:bookmarkStart w:id="279" w:name="_Toc10704"/>
      <w:bookmarkStart w:id="280" w:name="_Toc1127"/>
      <w:r>
        <w:rPr>
          <w:rFonts w:hint="eastAsia" w:ascii="宋体" w:hAnsi="宋体" w:cs="宋体"/>
          <w:b/>
          <w:color w:val="auto"/>
          <w:spacing w:val="8"/>
          <w:sz w:val="32"/>
          <w:szCs w:val="32"/>
          <w:highlight w:val="none"/>
        </w:rPr>
        <w:t>法定代表人</w:t>
      </w:r>
      <w:bookmarkEnd w:id="276"/>
      <w:bookmarkEnd w:id="277"/>
      <w:bookmarkEnd w:id="278"/>
      <w:bookmarkEnd w:id="279"/>
      <w:bookmarkEnd w:id="280"/>
    </w:p>
    <w:p>
      <w:pPr>
        <w:spacing w:before="218" w:beforeLines="70"/>
        <w:ind w:firstLine="998" w:firstLineChars="296"/>
        <w:outlineLvl w:val="1"/>
        <w:rPr>
          <w:rFonts w:hint="eastAsia" w:ascii="宋体" w:hAnsi="宋体" w:cs="宋体"/>
          <w:b/>
          <w:color w:val="auto"/>
          <w:spacing w:val="8"/>
          <w:sz w:val="32"/>
          <w:szCs w:val="32"/>
          <w:highlight w:val="none"/>
          <w:u w:val="single"/>
        </w:rPr>
      </w:pPr>
      <w:bookmarkStart w:id="281" w:name="_Toc29812"/>
      <w:bookmarkStart w:id="282" w:name="_Toc14268"/>
      <w:bookmarkStart w:id="283" w:name="_Toc22676"/>
      <w:bookmarkStart w:id="284" w:name="_Toc25122"/>
      <w:bookmarkStart w:id="285" w:name="_Toc7184"/>
      <w:r>
        <w:rPr>
          <w:rFonts w:hint="eastAsia" w:ascii="宋体" w:hAnsi="宋体" w:cs="宋体"/>
          <w:b/>
          <w:color w:val="auto"/>
          <w:spacing w:val="8"/>
          <w:sz w:val="32"/>
          <w:szCs w:val="32"/>
          <w:highlight w:val="none"/>
        </w:rPr>
        <w:t>或其委托代理人：</w:t>
      </w:r>
      <w:r>
        <w:rPr>
          <w:rFonts w:hint="eastAsia" w:ascii="宋体" w:hAnsi="宋体" w:cs="宋体"/>
          <w:b/>
          <w:color w:val="auto"/>
          <w:spacing w:val="8"/>
          <w:sz w:val="32"/>
          <w:szCs w:val="32"/>
          <w:highlight w:val="none"/>
          <w:u w:val="single"/>
        </w:rPr>
        <w:t xml:space="preserve">       </w:t>
      </w:r>
      <w:r>
        <w:rPr>
          <w:rFonts w:hint="eastAsia" w:ascii="宋体" w:hAnsi="宋体" w:cs="宋体"/>
          <w:b/>
          <w:color w:val="auto"/>
          <w:spacing w:val="8"/>
          <w:sz w:val="32"/>
          <w:szCs w:val="32"/>
          <w:highlight w:val="none"/>
          <w:u w:val="single"/>
          <w:lang w:val="en-US" w:eastAsia="zh-CN"/>
        </w:rPr>
        <w:t xml:space="preserve">  </w:t>
      </w:r>
      <w:r>
        <w:rPr>
          <w:rFonts w:hint="eastAsia" w:ascii="宋体" w:hAnsi="宋体" w:cs="宋体"/>
          <w:b/>
          <w:color w:val="auto"/>
          <w:spacing w:val="8"/>
          <w:sz w:val="32"/>
          <w:szCs w:val="32"/>
          <w:highlight w:val="none"/>
          <w:u w:val="single"/>
        </w:rPr>
        <w:t xml:space="preserve">      </w:t>
      </w:r>
      <w:r>
        <w:rPr>
          <w:rFonts w:hint="eastAsia" w:ascii="宋体" w:hAnsi="宋体" w:cs="宋体"/>
          <w:b/>
          <w:color w:val="auto"/>
          <w:spacing w:val="8"/>
          <w:sz w:val="32"/>
          <w:szCs w:val="32"/>
          <w:highlight w:val="none"/>
          <w:u w:val="none"/>
        </w:rPr>
        <w:t>（</w:t>
      </w:r>
      <w:r>
        <w:rPr>
          <w:rFonts w:hint="eastAsia" w:hAnsi="宋体" w:cs="宋体"/>
          <w:b/>
          <w:color w:val="auto"/>
          <w:spacing w:val="8"/>
          <w:sz w:val="32"/>
          <w:szCs w:val="32"/>
          <w:highlight w:val="none"/>
          <w:u w:val="none"/>
          <w:lang w:eastAsia="zh-CN"/>
        </w:rPr>
        <w:t>签字或盖章</w:t>
      </w:r>
      <w:r>
        <w:rPr>
          <w:rFonts w:hint="eastAsia" w:ascii="宋体" w:hAnsi="宋体" w:cs="宋体"/>
          <w:b/>
          <w:color w:val="auto"/>
          <w:spacing w:val="8"/>
          <w:sz w:val="32"/>
          <w:szCs w:val="32"/>
          <w:highlight w:val="none"/>
          <w:u w:val="none"/>
        </w:rPr>
        <w:t>）</w:t>
      </w:r>
      <w:bookmarkEnd w:id="281"/>
      <w:bookmarkEnd w:id="282"/>
      <w:bookmarkEnd w:id="283"/>
      <w:bookmarkEnd w:id="284"/>
      <w:bookmarkEnd w:id="285"/>
      <w:r>
        <w:rPr>
          <w:rFonts w:hint="eastAsia" w:ascii="宋体" w:hAnsi="宋体" w:cs="宋体"/>
          <w:b/>
          <w:color w:val="auto"/>
          <w:spacing w:val="8"/>
          <w:sz w:val="32"/>
          <w:szCs w:val="32"/>
          <w:highlight w:val="none"/>
          <w:u w:val="none"/>
        </w:rPr>
        <w:t xml:space="preserve"> </w:t>
      </w:r>
      <w:r>
        <w:rPr>
          <w:rFonts w:hint="eastAsia" w:ascii="宋体" w:hAnsi="宋体" w:cs="宋体"/>
          <w:b/>
          <w:color w:val="auto"/>
          <w:spacing w:val="8"/>
          <w:sz w:val="32"/>
          <w:szCs w:val="32"/>
          <w:highlight w:val="none"/>
        </w:rPr>
        <w:t xml:space="preserve">                         </w:t>
      </w:r>
    </w:p>
    <w:p>
      <w:pPr>
        <w:spacing w:before="218" w:beforeLines="70"/>
        <w:jc w:val="center"/>
        <w:rPr>
          <w:rFonts w:hint="eastAsia" w:ascii="宋体" w:hAnsi="宋体" w:cs="宋体"/>
          <w:b/>
          <w:color w:val="auto"/>
          <w:sz w:val="32"/>
          <w:szCs w:val="32"/>
          <w:highlight w:val="none"/>
        </w:rPr>
      </w:pPr>
    </w:p>
    <w:p>
      <w:pPr>
        <w:spacing w:before="218" w:beforeLines="70"/>
        <w:ind w:firstLine="2249" w:firstLineChars="700"/>
        <w:jc w:val="both"/>
        <w:outlineLvl w:val="1"/>
        <w:rPr>
          <w:rFonts w:hint="eastAsia" w:ascii="宋体" w:hAnsi="宋体" w:cs="宋体"/>
          <w:b/>
          <w:color w:val="auto"/>
          <w:sz w:val="32"/>
          <w:szCs w:val="32"/>
          <w:highlight w:val="none"/>
        </w:rPr>
      </w:pPr>
      <w:bookmarkStart w:id="286" w:name="_Toc4041"/>
      <w:bookmarkStart w:id="287" w:name="_Toc15632"/>
      <w:bookmarkStart w:id="288" w:name="_Toc19606"/>
      <w:bookmarkStart w:id="289" w:name="_Toc8601"/>
      <w:bookmarkStart w:id="290" w:name="_Toc29999"/>
      <w:r>
        <w:rPr>
          <w:rFonts w:hint="eastAsia" w:ascii="宋体" w:hAnsi="宋体" w:cs="宋体"/>
          <w:b/>
          <w:color w:val="auto"/>
          <w:sz w:val="32"/>
          <w:szCs w:val="32"/>
          <w:highlight w:val="none"/>
        </w:rPr>
        <w:t>时 间：     年    月    日</w:t>
      </w:r>
      <w:bookmarkEnd w:id="286"/>
      <w:bookmarkEnd w:id="287"/>
      <w:bookmarkEnd w:id="288"/>
      <w:bookmarkEnd w:id="289"/>
      <w:bookmarkEnd w:id="290"/>
    </w:p>
    <w:p>
      <w:pPr>
        <w:spacing w:line="720" w:lineRule="auto"/>
        <w:jc w:val="center"/>
        <w:rPr>
          <w:rFonts w:hint="eastAsia" w:hAnsi="宋体" w:cs="宋体"/>
          <w:color w:val="auto"/>
          <w:sz w:val="32"/>
          <w:szCs w:val="32"/>
          <w:highlight w:val="none"/>
        </w:rPr>
      </w:pPr>
      <w:r>
        <w:rPr>
          <w:rFonts w:hint="eastAsia" w:hAnsi="宋体" w:cs="宋体"/>
          <w:color w:val="auto"/>
          <w:sz w:val="32"/>
          <w:szCs w:val="32"/>
          <w:highlight w:val="none"/>
        </w:rPr>
        <w:br w:type="page"/>
      </w:r>
    </w:p>
    <w:p>
      <w:pPr>
        <w:autoSpaceDE w:val="0"/>
        <w:autoSpaceDN w:val="0"/>
        <w:adjustRightInd w:val="0"/>
        <w:snapToGrid w:val="0"/>
        <w:spacing w:line="360" w:lineRule="auto"/>
        <w:jc w:val="center"/>
        <w:outlineLvl w:val="0"/>
        <w:rPr>
          <w:rFonts w:hint="eastAsia" w:asciiTheme="minorEastAsia" w:hAnsiTheme="minorEastAsia" w:eastAsiaTheme="minorEastAsia" w:cstheme="minorEastAsia"/>
          <w:b/>
          <w:bCs/>
          <w:color w:val="auto"/>
          <w:sz w:val="32"/>
          <w:szCs w:val="32"/>
          <w:highlight w:val="none"/>
        </w:rPr>
      </w:pPr>
      <w:bookmarkStart w:id="291" w:name="_Toc13663"/>
      <w:bookmarkStart w:id="292" w:name="_Toc419"/>
      <w:bookmarkStart w:id="293" w:name="_Toc23549"/>
      <w:bookmarkStart w:id="294" w:name="_Toc15105"/>
      <w:bookmarkStart w:id="295" w:name="_Toc15124"/>
      <w:r>
        <w:rPr>
          <w:rFonts w:hint="eastAsia" w:asciiTheme="minorEastAsia" w:hAnsiTheme="minorEastAsia" w:eastAsiaTheme="minorEastAsia" w:cstheme="minorEastAsia"/>
          <w:b/>
          <w:bCs/>
          <w:color w:val="auto"/>
          <w:sz w:val="32"/>
          <w:szCs w:val="32"/>
          <w:highlight w:val="none"/>
        </w:rPr>
        <w:t>目</w:t>
      </w: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rPr>
        <w:t>录</w:t>
      </w:r>
      <w:bookmarkEnd w:id="291"/>
      <w:bookmarkEnd w:id="292"/>
      <w:bookmarkEnd w:id="293"/>
      <w:bookmarkEnd w:id="294"/>
      <w:bookmarkEnd w:id="295"/>
    </w:p>
    <w:p>
      <w:pPr>
        <w:autoSpaceDE w:val="0"/>
        <w:autoSpaceDN w:val="0"/>
        <w:adjustRightInd w:val="0"/>
        <w:snapToGrid w:val="0"/>
        <w:spacing w:line="360" w:lineRule="auto"/>
        <w:rPr>
          <w:rFonts w:hint="eastAsia" w:asciiTheme="minorEastAsia" w:hAnsiTheme="minorEastAsia" w:eastAsiaTheme="minorEastAsia" w:cstheme="minorEastAsia"/>
          <w:b/>
          <w:bCs/>
          <w:color w:val="auto"/>
          <w:sz w:val="24"/>
          <w:szCs w:val="24"/>
          <w:highlight w:val="none"/>
        </w:rPr>
      </w:pPr>
    </w:p>
    <w:p>
      <w:pPr>
        <w:autoSpaceDE w:val="0"/>
        <w:autoSpaceDN w:val="0"/>
        <w:adjustRightInd w:val="0"/>
        <w:snapToGrid w:val="0"/>
        <w:spacing w:line="360" w:lineRule="auto"/>
        <w:rPr>
          <w:rFonts w:hint="eastAsia" w:asciiTheme="minorEastAsia" w:hAnsiTheme="minorEastAsia" w:eastAsiaTheme="minorEastAsia" w:cstheme="minorEastAsia"/>
          <w:b/>
          <w:bCs/>
          <w:color w:val="auto"/>
          <w:sz w:val="24"/>
          <w:szCs w:val="24"/>
          <w:highlight w:val="none"/>
        </w:rPr>
      </w:pPr>
    </w:p>
    <w:p>
      <w:pPr>
        <w:autoSpaceDE w:val="0"/>
        <w:autoSpaceDN w:val="0"/>
        <w:adjustRightInd w:val="0"/>
        <w:snapToGrid w:val="0"/>
        <w:spacing w:line="360" w:lineRule="auto"/>
        <w:ind w:left="0" w:leftChars="0" w:firstLine="1896" w:firstLineChars="787"/>
        <w:outlineLvl w:val="0"/>
        <w:rPr>
          <w:rFonts w:hint="eastAsia" w:asciiTheme="minorEastAsia" w:hAnsiTheme="minorEastAsia" w:eastAsiaTheme="minorEastAsia" w:cstheme="minorEastAsia"/>
          <w:b/>
          <w:bCs/>
          <w:color w:val="auto"/>
          <w:sz w:val="24"/>
          <w:szCs w:val="24"/>
          <w:highlight w:val="none"/>
        </w:rPr>
      </w:pPr>
      <w:bookmarkStart w:id="296" w:name="_Toc24225"/>
      <w:bookmarkStart w:id="297" w:name="_Toc8507"/>
      <w:bookmarkStart w:id="298" w:name="_Toc32494"/>
      <w:bookmarkStart w:id="299" w:name="_Toc13154"/>
      <w:bookmarkStart w:id="300" w:name="_Toc5588"/>
      <w:r>
        <w:rPr>
          <w:rFonts w:hint="eastAsia" w:asciiTheme="minorEastAsia" w:hAnsiTheme="minorEastAsia" w:eastAsiaTheme="minorEastAsia" w:cstheme="minorEastAsia"/>
          <w:b/>
          <w:bCs/>
          <w:color w:val="auto"/>
          <w:sz w:val="24"/>
          <w:szCs w:val="24"/>
          <w:highlight w:val="none"/>
        </w:rPr>
        <w:t>第一部分</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磋商响应函</w:t>
      </w:r>
      <w:bookmarkEnd w:id="296"/>
      <w:bookmarkEnd w:id="297"/>
      <w:bookmarkEnd w:id="298"/>
      <w:bookmarkEnd w:id="299"/>
      <w:bookmarkEnd w:id="300"/>
    </w:p>
    <w:p>
      <w:pPr>
        <w:autoSpaceDE w:val="0"/>
        <w:autoSpaceDN w:val="0"/>
        <w:adjustRightInd w:val="0"/>
        <w:snapToGrid w:val="0"/>
        <w:spacing w:line="360" w:lineRule="auto"/>
        <w:ind w:left="0" w:leftChars="0" w:firstLine="1896" w:firstLineChars="787"/>
        <w:outlineLvl w:val="0"/>
        <w:rPr>
          <w:rFonts w:hint="eastAsia" w:asciiTheme="minorEastAsia" w:hAnsiTheme="minorEastAsia" w:eastAsiaTheme="minorEastAsia" w:cstheme="minorEastAsia"/>
          <w:b/>
          <w:bCs/>
          <w:color w:val="auto"/>
          <w:sz w:val="24"/>
          <w:szCs w:val="24"/>
          <w:highlight w:val="none"/>
        </w:rPr>
      </w:pPr>
      <w:bookmarkStart w:id="301" w:name="_Toc20239"/>
      <w:bookmarkStart w:id="302" w:name="_Toc19125"/>
      <w:bookmarkStart w:id="303" w:name="_Toc10330"/>
      <w:bookmarkStart w:id="304" w:name="_Toc29838"/>
      <w:bookmarkStart w:id="305" w:name="_Toc30135"/>
      <w:r>
        <w:rPr>
          <w:rFonts w:hint="eastAsia" w:asciiTheme="minorEastAsia" w:hAnsiTheme="minorEastAsia" w:eastAsiaTheme="minorEastAsia" w:cstheme="minorEastAsia"/>
          <w:b/>
          <w:bCs/>
          <w:color w:val="auto"/>
          <w:sz w:val="24"/>
          <w:szCs w:val="24"/>
          <w:highlight w:val="none"/>
        </w:rPr>
        <w:t>第二部分</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首次磋商报价表</w:t>
      </w:r>
      <w:bookmarkEnd w:id="301"/>
      <w:bookmarkEnd w:id="302"/>
      <w:bookmarkEnd w:id="303"/>
      <w:bookmarkEnd w:id="304"/>
      <w:bookmarkEnd w:id="305"/>
    </w:p>
    <w:p>
      <w:pPr>
        <w:autoSpaceDE w:val="0"/>
        <w:autoSpaceDN w:val="0"/>
        <w:adjustRightInd w:val="0"/>
        <w:snapToGrid w:val="0"/>
        <w:spacing w:line="360" w:lineRule="auto"/>
        <w:ind w:left="0" w:leftChars="0" w:firstLine="1896" w:firstLineChars="787"/>
        <w:outlineLvl w:val="0"/>
        <w:rPr>
          <w:rFonts w:hint="eastAsia" w:asciiTheme="minorEastAsia" w:hAnsiTheme="minorEastAsia" w:eastAsiaTheme="minorEastAsia" w:cstheme="minorEastAsia"/>
          <w:b/>
          <w:bCs/>
          <w:color w:val="auto"/>
          <w:sz w:val="24"/>
          <w:szCs w:val="24"/>
          <w:highlight w:val="none"/>
        </w:rPr>
      </w:pPr>
      <w:bookmarkStart w:id="306" w:name="_Toc10447"/>
      <w:bookmarkStart w:id="307" w:name="_Toc23481"/>
      <w:bookmarkStart w:id="308" w:name="_Toc31880"/>
      <w:bookmarkStart w:id="309" w:name="_Toc9290"/>
      <w:bookmarkStart w:id="310" w:name="_Toc15715"/>
      <w:r>
        <w:rPr>
          <w:rFonts w:hint="eastAsia" w:asciiTheme="minorEastAsia" w:hAnsiTheme="minorEastAsia" w:eastAsiaTheme="minorEastAsia" w:cstheme="minorEastAsia"/>
          <w:b/>
          <w:bCs/>
          <w:color w:val="auto"/>
          <w:sz w:val="24"/>
          <w:szCs w:val="24"/>
          <w:highlight w:val="none"/>
          <w:lang w:eastAsia="zh-CN"/>
        </w:rPr>
        <w:t>第三部分</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商务规格偏离表</w:t>
      </w:r>
      <w:bookmarkEnd w:id="306"/>
      <w:bookmarkEnd w:id="307"/>
      <w:bookmarkEnd w:id="308"/>
      <w:bookmarkEnd w:id="309"/>
      <w:bookmarkEnd w:id="310"/>
    </w:p>
    <w:p>
      <w:pPr>
        <w:autoSpaceDE w:val="0"/>
        <w:autoSpaceDN w:val="0"/>
        <w:adjustRightInd w:val="0"/>
        <w:snapToGrid w:val="0"/>
        <w:spacing w:line="360" w:lineRule="auto"/>
        <w:ind w:left="0" w:leftChars="0" w:firstLine="1896" w:firstLineChars="787"/>
        <w:outlineLvl w:val="0"/>
        <w:rPr>
          <w:rFonts w:hint="eastAsia" w:asciiTheme="minorEastAsia" w:hAnsiTheme="minorEastAsia" w:eastAsiaTheme="minorEastAsia" w:cstheme="minorEastAsia"/>
          <w:b/>
          <w:bCs/>
          <w:color w:val="auto"/>
          <w:sz w:val="24"/>
          <w:szCs w:val="24"/>
          <w:highlight w:val="none"/>
        </w:rPr>
      </w:pPr>
      <w:bookmarkStart w:id="311" w:name="_Toc20316"/>
      <w:bookmarkStart w:id="312" w:name="_Toc170"/>
      <w:bookmarkStart w:id="313" w:name="_Toc18324"/>
      <w:bookmarkStart w:id="314" w:name="_Toc31503"/>
      <w:bookmarkStart w:id="315" w:name="_Toc28080"/>
      <w:r>
        <w:rPr>
          <w:rFonts w:hint="eastAsia" w:asciiTheme="minorEastAsia" w:hAnsiTheme="minorEastAsia" w:eastAsiaTheme="minorEastAsia" w:cstheme="minorEastAsia"/>
          <w:b/>
          <w:bCs/>
          <w:color w:val="auto"/>
          <w:sz w:val="24"/>
          <w:szCs w:val="24"/>
          <w:highlight w:val="none"/>
          <w:lang w:eastAsia="zh-CN"/>
        </w:rPr>
        <w:t>第四部分</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技术规格偏离表</w:t>
      </w:r>
      <w:bookmarkEnd w:id="311"/>
      <w:bookmarkEnd w:id="312"/>
      <w:bookmarkEnd w:id="313"/>
      <w:bookmarkEnd w:id="314"/>
      <w:bookmarkEnd w:id="315"/>
    </w:p>
    <w:p>
      <w:pPr>
        <w:autoSpaceDE w:val="0"/>
        <w:autoSpaceDN w:val="0"/>
        <w:adjustRightInd w:val="0"/>
        <w:snapToGrid w:val="0"/>
        <w:spacing w:line="360" w:lineRule="auto"/>
        <w:ind w:left="0" w:leftChars="0" w:firstLine="1896" w:firstLineChars="787"/>
        <w:outlineLvl w:val="0"/>
        <w:rPr>
          <w:rFonts w:hint="eastAsia" w:asciiTheme="minorEastAsia" w:hAnsiTheme="minorEastAsia" w:eastAsiaTheme="minorEastAsia" w:cstheme="minorEastAsia"/>
          <w:b/>
          <w:bCs/>
          <w:color w:val="auto"/>
          <w:sz w:val="24"/>
          <w:szCs w:val="24"/>
          <w:highlight w:val="none"/>
        </w:rPr>
      </w:pPr>
      <w:bookmarkStart w:id="316" w:name="_Toc16789"/>
      <w:bookmarkStart w:id="317" w:name="_Toc4660"/>
      <w:bookmarkStart w:id="318" w:name="_Toc18315"/>
      <w:bookmarkStart w:id="319" w:name="_Toc18291"/>
      <w:bookmarkStart w:id="320" w:name="_Toc15724"/>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eastAsiaTheme="minorEastAsia" w:cstheme="minorEastAsia"/>
          <w:b/>
          <w:bCs/>
          <w:color w:val="auto"/>
          <w:sz w:val="24"/>
          <w:szCs w:val="24"/>
          <w:highlight w:val="none"/>
          <w:lang w:eastAsia="zh-CN"/>
        </w:rPr>
        <w:t>五</w:t>
      </w:r>
      <w:r>
        <w:rPr>
          <w:rFonts w:hint="eastAsia" w:asciiTheme="minorEastAsia" w:hAnsiTheme="minorEastAsia" w:eastAsiaTheme="minorEastAsia" w:cstheme="minorEastAsia"/>
          <w:b/>
          <w:bCs/>
          <w:color w:val="auto"/>
          <w:sz w:val="24"/>
          <w:szCs w:val="24"/>
          <w:highlight w:val="none"/>
        </w:rPr>
        <w:t>部分</w:t>
      </w:r>
      <w:r>
        <w:rPr>
          <w:rFonts w:hint="eastAsia" w:asciiTheme="minorEastAsia" w:hAnsiTheme="minorEastAsia" w:eastAsiaTheme="minorEastAsia" w:cstheme="minorEastAsia"/>
          <w:b/>
          <w:bCs/>
          <w:color w:val="auto"/>
          <w:sz w:val="24"/>
          <w:szCs w:val="24"/>
          <w:highlight w:val="none"/>
          <w:lang w:val="en-US" w:eastAsia="zh-CN"/>
        </w:rPr>
        <w:t xml:space="preserve">  磋商</w:t>
      </w:r>
      <w:r>
        <w:rPr>
          <w:rFonts w:hint="eastAsia" w:asciiTheme="minorEastAsia" w:hAnsiTheme="minorEastAsia" w:eastAsiaTheme="minorEastAsia" w:cstheme="minorEastAsia"/>
          <w:b/>
          <w:bCs/>
          <w:color w:val="auto"/>
          <w:sz w:val="24"/>
          <w:szCs w:val="24"/>
          <w:highlight w:val="none"/>
        </w:rPr>
        <w:t>响应方案说明</w:t>
      </w:r>
      <w:bookmarkEnd w:id="316"/>
      <w:bookmarkEnd w:id="317"/>
      <w:bookmarkEnd w:id="318"/>
      <w:bookmarkEnd w:id="319"/>
      <w:bookmarkEnd w:id="320"/>
    </w:p>
    <w:p>
      <w:pPr>
        <w:autoSpaceDE w:val="0"/>
        <w:autoSpaceDN w:val="0"/>
        <w:adjustRightInd w:val="0"/>
        <w:snapToGrid w:val="0"/>
        <w:spacing w:line="360" w:lineRule="auto"/>
        <w:ind w:left="0" w:leftChars="0" w:firstLine="1896" w:firstLineChars="787"/>
        <w:outlineLvl w:val="0"/>
        <w:rPr>
          <w:rFonts w:hint="eastAsia" w:asciiTheme="minorEastAsia" w:hAnsiTheme="minorEastAsia" w:eastAsiaTheme="minorEastAsia" w:cstheme="minorEastAsia"/>
          <w:b/>
          <w:bCs/>
          <w:color w:val="auto"/>
          <w:sz w:val="24"/>
          <w:szCs w:val="24"/>
          <w:highlight w:val="none"/>
        </w:rPr>
      </w:pPr>
      <w:bookmarkStart w:id="321" w:name="_Toc32748"/>
      <w:bookmarkStart w:id="322" w:name="_Toc25877"/>
      <w:bookmarkStart w:id="323" w:name="_Toc17278"/>
      <w:bookmarkStart w:id="324" w:name="_Toc20133"/>
      <w:bookmarkStart w:id="325" w:name="_Toc28420"/>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eastAsiaTheme="minorEastAsia" w:cstheme="minorEastAsia"/>
          <w:b/>
          <w:bCs/>
          <w:color w:val="auto"/>
          <w:sz w:val="24"/>
          <w:szCs w:val="24"/>
          <w:highlight w:val="none"/>
          <w:lang w:eastAsia="zh-CN"/>
        </w:rPr>
        <w:t>六</w:t>
      </w:r>
      <w:r>
        <w:rPr>
          <w:rFonts w:hint="eastAsia" w:asciiTheme="minorEastAsia" w:hAnsiTheme="minorEastAsia" w:eastAsiaTheme="minorEastAsia" w:cstheme="minorEastAsia"/>
          <w:b/>
          <w:bCs/>
          <w:color w:val="auto"/>
          <w:sz w:val="24"/>
          <w:szCs w:val="24"/>
          <w:highlight w:val="none"/>
        </w:rPr>
        <w:t>部分</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供应商承诺书</w:t>
      </w:r>
      <w:bookmarkEnd w:id="321"/>
      <w:bookmarkEnd w:id="322"/>
      <w:bookmarkEnd w:id="323"/>
      <w:bookmarkEnd w:id="324"/>
      <w:bookmarkEnd w:id="325"/>
    </w:p>
    <w:p>
      <w:pPr>
        <w:autoSpaceDE w:val="0"/>
        <w:autoSpaceDN w:val="0"/>
        <w:adjustRightInd w:val="0"/>
        <w:snapToGrid w:val="0"/>
        <w:spacing w:line="360" w:lineRule="auto"/>
        <w:ind w:left="0" w:leftChars="0" w:firstLine="1896" w:firstLineChars="787"/>
        <w:outlineLvl w:val="0"/>
        <w:rPr>
          <w:rFonts w:hint="eastAsia" w:asciiTheme="minorEastAsia" w:hAnsiTheme="minorEastAsia" w:eastAsiaTheme="minorEastAsia" w:cstheme="minorEastAsia"/>
          <w:b/>
          <w:bCs/>
          <w:color w:val="auto"/>
          <w:sz w:val="24"/>
          <w:szCs w:val="24"/>
          <w:highlight w:val="none"/>
        </w:rPr>
      </w:pPr>
      <w:bookmarkStart w:id="326" w:name="_Toc9611"/>
      <w:bookmarkStart w:id="327" w:name="_Toc7569"/>
      <w:bookmarkStart w:id="328" w:name="_Toc27607"/>
      <w:bookmarkStart w:id="329" w:name="_Toc7218"/>
      <w:bookmarkStart w:id="330" w:name="_Toc18978"/>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eastAsiaTheme="minorEastAsia" w:cstheme="minorEastAsia"/>
          <w:b/>
          <w:bCs/>
          <w:color w:val="auto"/>
          <w:sz w:val="24"/>
          <w:szCs w:val="24"/>
          <w:highlight w:val="none"/>
          <w:lang w:eastAsia="zh-CN"/>
        </w:rPr>
        <w:t>七</w:t>
      </w:r>
      <w:r>
        <w:rPr>
          <w:rFonts w:hint="eastAsia" w:asciiTheme="minorEastAsia" w:hAnsiTheme="minorEastAsia" w:eastAsiaTheme="minorEastAsia" w:cstheme="minorEastAsia"/>
          <w:b/>
          <w:bCs/>
          <w:color w:val="auto"/>
          <w:sz w:val="24"/>
          <w:szCs w:val="24"/>
          <w:highlight w:val="none"/>
        </w:rPr>
        <w:t>部分</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合格供应商证明文件</w:t>
      </w:r>
      <w:bookmarkEnd w:id="326"/>
      <w:bookmarkEnd w:id="327"/>
      <w:bookmarkEnd w:id="328"/>
      <w:bookmarkEnd w:id="329"/>
      <w:bookmarkEnd w:id="330"/>
    </w:p>
    <w:p>
      <w:pPr>
        <w:autoSpaceDE w:val="0"/>
        <w:autoSpaceDN w:val="0"/>
        <w:adjustRightInd w:val="0"/>
        <w:snapToGrid w:val="0"/>
        <w:spacing w:line="360" w:lineRule="auto"/>
        <w:ind w:left="0" w:leftChars="0" w:firstLine="1896" w:firstLineChars="787"/>
        <w:outlineLvl w:val="0"/>
        <w:rPr>
          <w:rFonts w:hint="default" w:asciiTheme="minorEastAsia" w:hAnsiTheme="minorEastAsia" w:eastAsiaTheme="minorEastAsia" w:cstheme="minorEastAsia"/>
          <w:b/>
          <w:bCs/>
          <w:color w:val="auto"/>
          <w:sz w:val="24"/>
          <w:szCs w:val="24"/>
          <w:highlight w:val="none"/>
          <w:lang w:val="en-US" w:eastAsia="zh-CN"/>
        </w:rPr>
      </w:pPr>
      <w:bookmarkStart w:id="331" w:name="_Toc13391"/>
      <w:bookmarkStart w:id="332" w:name="_Toc13205"/>
      <w:bookmarkStart w:id="333" w:name="_Toc29597"/>
      <w:r>
        <w:rPr>
          <w:rFonts w:hint="eastAsia" w:asciiTheme="minorEastAsia" w:hAnsiTheme="minorEastAsia" w:eastAsiaTheme="minorEastAsia" w:cstheme="minorEastAsia"/>
          <w:b/>
          <w:bCs/>
          <w:color w:val="auto"/>
          <w:sz w:val="24"/>
          <w:szCs w:val="24"/>
          <w:highlight w:val="none"/>
          <w:lang w:eastAsia="zh-CN"/>
        </w:rPr>
        <w:t>第八部分</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供应商</w:t>
      </w:r>
      <w:r>
        <w:rPr>
          <w:rFonts w:hint="eastAsia" w:asciiTheme="minorEastAsia" w:hAnsiTheme="minorEastAsia" w:eastAsiaTheme="minorEastAsia" w:cstheme="minorEastAsia"/>
          <w:b/>
          <w:bCs/>
          <w:color w:val="auto"/>
          <w:sz w:val="24"/>
          <w:szCs w:val="24"/>
          <w:highlight w:val="none"/>
          <w:lang w:eastAsia="zh-CN"/>
        </w:rPr>
        <w:t>认为</w:t>
      </w:r>
      <w:r>
        <w:rPr>
          <w:rFonts w:hint="eastAsia" w:asciiTheme="minorEastAsia" w:hAnsiTheme="minorEastAsia" w:eastAsiaTheme="minorEastAsia" w:cstheme="minorEastAsia"/>
          <w:b/>
          <w:bCs/>
          <w:color w:val="auto"/>
          <w:sz w:val="24"/>
          <w:szCs w:val="24"/>
          <w:highlight w:val="none"/>
        </w:rPr>
        <w:t>有必要说明的其他问题</w:t>
      </w:r>
      <w:bookmarkEnd w:id="331"/>
      <w:bookmarkEnd w:id="332"/>
      <w:bookmarkEnd w:id="333"/>
    </w:p>
    <w:p>
      <w:pPr>
        <w:autoSpaceDE w:val="0"/>
        <w:autoSpaceDN w:val="0"/>
        <w:adjustRightInd w:val="0"/>
        <w:snapToGrid w:val="0"/>
        <w:spacing w:line="360" w:lineRule="auto"/>
        <w:jc w:val="both"/>
        <w:rPr>
          <w:rFonts w:hint="eastAsia" w:asciiTheme="minorEastAsia" w:hAnsiTheme="minorEastAsia" w:eastAsiaTheme="minorEastAsia" w:cstheme="minorEastAsia"/>
          <w:b w:val="0"/>
          <w:bCs w:val="0"/>
          <w:color w:val="auto"/>
          <w:sz w:val="24"/>
          <w:szCs w:val="24"/>
          <w:highlight w:val="none"/>
          <w:lang w:eastAsia="zh-CN"/>
        </w:rPr>
      </w:pPr>
    </w:p>
    <w:p>
      <w:pPr>
        <w:autoSpaceDE w:val="0"/>
        <w:autoSpaceDN w:val="0"/>
        <w:adjustRightInd w:val="0"/>
        <w:snapToGrid w:val="0"/>
        <w:spacing w:line="360" w:lineRule="auto"/>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注：</w:t>
      </w:r>
      <w:r>
        <w:rPr>
          <w:rFonts w:hint="eastAsia" w:asciiTheme="minorEastAsia" w:hAnsiTheme="minorEastAsia" w:eastAsiaTheme="minorEastAsia" w:cstheme="minorEastAsia"/>
          <w:b w:val="0"/>
          <w:bCs w:val="0"/>
          <w:color w:val="auto"/>
          <w:sz w:val="24"/>
          <w:szCs w:val="24"/>
          <w:highlight w:val="none"/>
        </w:rPr>
        <w:t>目录可根据供应商的响应文件编制情况每部分自行拓展，标清页码</w:t>
      </w:r>
      <w:r>
        <w:rPr>
          <w:rFonts w:hint="eastAsia" w:asciiTheme="minorEastAsia" w:hAnsiTheme="minorEastAsia" w:eastAsiaTheme="minorEastAsia" w:cstheme="minorEastAsia"/>
          <w:b w:val="0"/>
          <w:bCs w:val="0"/>
          <w:color w:val="auto"/>
          <w:sz w:val="24"/>
          <w:szCs w:val="24"/>
          <w:highlight w:val="none"/>
          <w:lang w:eastAsia="zh-CN"/>
        </w:rPr>
        <w:t>。</w:t>
      </w:r>
    </w:p>
    <w:p>
      <w:pPr>
        <w:autoSpaceDE w:val="0"/>
        <w:autoSpaceDN w:val="0"/>
        <w:adjustRightInd w:val="0"/>
        <w:snapToGrid w:val="0"/>
        <w:spacing w:line="312" w:lineRule="auto"/>
        <w:jc w:val="center"/>
        <w:outlineLvl w:val="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br w:type="page"/>
      </w:r>
      <w:bookmarkStart w:id="334" w:name="_Toc13128"/>
      <w:bookmarkStart w:id="335" w:name="_Toc31198"/>
      <w:bookmarkStart w:id="336" w:name="_Toc4488"/>
      <w:bookmarkStart w:id="337" w:name="_Toc6864"/>
      <w:bookmarkStart w:id="338" w:name="_Toc10715"/>
      <w:r>
        <w:rPr>
          <w:rFonts w:hint="eastAsia" w:asciiTheme="minorEastAsia" w:hAnsiTheme="minorEastAsia" w:eastAsiaTheme="minorEastAsia" w:cstheme="minorEastAsia"/>
          <w:b/>
          <w:bCs/>
          <w:color w:val="auto"/>
          <w:sz w:val="24"/>
          <w:szCs w:val="24"/>
          <w:highlight w:val="none"/>
        </w:rPr>
        <w:t>第一部分  磋商响应函</w:t>
      </w:r>
      <w:bookmarkEnd w:id="334"/>
      <w:bookmarkEnd w:id="335"/>
      <w:bookmarkEnd w:id="336"/>
      <w:bookmarkEnd w:id="337"/>
      <w:bookmarkEnd w:id="338"/>
    </w:p>
    <w:p>
      <w:pPr>
        <w:autoSpaceDE w:val="0"/>
        <w:autoSpaceDN w:val="0"/>
        <w:adjustRightInd w:val="0"/>
        <w:snapToGrid w:val="0"/>
        <w:spacing w:line="312"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陕西中采项目管理有限公司</w:t>
      </w:r>
      <w:r>
        <w:rPr>
          <w:rFonts w:hint="eastAsia" w:asciiTheme="minorEastAsia" w:hAnsiTheme="minorEastAsia" w:eastAsiaTheme="minorEastAsia" w:cstheme="minorEastAsia"/>
          <w:b/>
          <w:bCs/>
          <w:color w:val="auto"/>
          <w:sz w:val="24"/>
          <w:szCs w:val="24"/>
          <w:highlight w:val="none"/>
        </w:rPr>
        <w:t>：</w:t>
      </w:r>
    </w:p>
    <w:p>
      <w:pPr>
        <w:autoSpaceDE w:val="0"/>
        <w:autoSpaceDN w:val="0"/>
        <w:adjustRightInd w:val="0"/>
        <w:snapToGrid w:val="0"/>
        <w:spacing w:line="312" w:lineRule="auto"/>
        <w:ind w:firstLine="6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我单位收到贵公司</w:t>
      </w:r>
      <w:r>
        <w:rPr>
          <w:rFonts w:hint="eastAsia" w:asciiTheme="minorEastAsia" w:hAnsiTheme="minorEastAsia" w:eastAsiaTheme="minorEastAsia" w:cstheme="minorEastAsia"/>
          <w:color w:val="auto"/>
          <w:sz w:val="24"/>
          <w:szCs w:val="24"/>
          <w:highlight w:val="none"/>
          <w:lang w:val="en-US" w:eastAsia="zh-CN"/>
        </w:rPr>
        <w:t>LCBH—22—17</w:t>
      </w:r>
      <w:r>
        <w:rPr>
          <w:rFonts w:hint="eastAsia" w:asciiTheme="minorEastAsia" w:hAnsiTheme="minorEastAsia" w:eastAsiaTheme="minorEastAsia" w:cstheme="minorEastAsia"/>
          <w:color w:val="auto"/>
          <w:sz w:val="24"/>
          <w:szCs w:val="24"/>
          <w:highlight w:val="none"/>
        </w:rPr>
        <w:t>磋商文件，经详细研究，我们决定参加本次磋商活动。为此，我方郑重声明以下诸点，并负法律责任。</w:t>
      </w:r>
    </w:p>
    <w:p>
      <w:pPr>
        <w:autoSpaceDE w:val="0"/>
        <w:autoSpaceDN w:val="0"/>
        <w:adjustRightInd w:val="0"/>
        <w:snapToGrid w:val="0"/>
        <w:spacing w:line="312" w:lineRule="auto"/>
        <w:ind w:firstLine="6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1、愿意按照磋商文件中的要求，提供服务，完成合同的责任和义务。</w:t>
      </w:r>
    </w:p>
    <w:p>
      <w:pPr>
        <w:autoSpaceDE w:val="0"/>
        <w:autoSpaceDN w:val="0"/>
        <w:adjustRightInd w:val="0"/>
        <w:snapToGrid w:val="0"/>
        <w:spacing w:line="312" w:lineRule="auto"/>
        <w:ind w:firstLine="6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2、按磋商文件的规定，我公司的第一次磋商总报价为：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w:t>
      </w:r>
      <w:r>
        <w:rPr>
          <w:rFonts w:hint="eastAsia" w:asciiTheme="minorEastAsia" w:hAnsiTheme="minorEastAsia" w:eastAsiaTheme="minorEastAsia" w:cstheme="minorEastAsia"/>
          <w:color w:val="auto"/>
          <w:sz w:val="24"/>
          <w:szCs w:val="24"/>
          <w:highlight w:val="none"/>
        </w:rPr>
        <w:t>人民币（大写）：</w:t>
      </w:r>
      <w:r>
        <w:rPr>
          <w:rFonts w:hint="eastAsia" w:asciiTheme="minorEastAsia" w:hAnsiTheme="minorEastAsia" w:eastAsiaTheme="minorEastAsia" w:cstheme="minorEastAsia"/>
          <w:color w:val="auto"/>
          <w:sz w:val="24"/>
          <w:szCs w:val="24"/>
          <w:highlight w:val="none"/>
          <w:u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元），并对其后的磋商报价负法律责任。</w:t>
      </w:r>
    </w:p>
    <w:p>
      <w:pPr>
        <w:autoSpaceDE w:val="0"/>
        <w:autoSpaceDN w:val="0"/>
        <w:adjustRightInd w:val="0"/>
        <w:snapToGrid w:val="0"/>
        <w:spacing w:line="312" w:lineRule="auto"/>
        <w:ind w:firstLine="6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3、我方提交的</w:t>
      </w:r>
      <w:r>
        <w:rPr>
          <w:rFonts w:hint="eastAsia" w:hAnsi="宋体" w:cs="Times New Roman"/>
          <w:b w:val="0"/>
          <w:bCs/>
          <w:color w:val="auto"/>
          <w:kern w:val="0"/>
          <w:sz w:val="24"/>
          <w:szCs w:val="24"/>
          <w:highlight w:val="none"/>
          <w:lang w:eastAsia="zh-CN"/>
        </w:rPr>
        <w:t>响应文件</w:t>
      </w:r>
      <w:r>
        <w:rPr>
          <w:rFonts w:hint="eastAsia" w:ascii="宋体" w:hAnsi="宋体" w:cs="Times New Roman"/>
          <w:b w:val="0"/>
          <w:bCs/>
          <w:color w:val="auto"/>
          <w:kern w:val="0"/>
          <w:sz w:val="24"/>
          <w:szCs w:val="24"/>
          <w:highlight w:val="none"/>
          <w:lang w:eastAsia="zh-CN"/>
        </w:rPr>
        <w:t>共</w:t>
      </w:r>
      <w:r>
        <w:rPr>
          <w:rFonts w:hint="eastAsia" w:hAnsi="宋体" w:cs="Times New Roman"/>
          <w:b w:val="0"/>
          <w:bCs/>
          <w:color w:val="auto"/>
          <w:kern w:val="0"/>
          <w:sz w:val="24"/>
          <w:szCs w:val="24"/>
          <w:highlight w:val="none"/>
          <w:lang w:eastAsia="zh-CN"/>
        </w:rPr>
        <w:t>四</w:t>
      </w:r>
      <w:r>
        <w:rPr>
          <w:rFonts w:hint="eastAsia" w:ascii="宋体" w:hAnsi="宋体" w:cs="Times New Roman"/>
          <w:b w:val="0"/>
          <w:bCs/>
          <w:color w:val="auto"/>
          <w:kern w:val="0"/>
          <w:sz w:val="24"/>
          <w:szCs w:val="24"/>
          <w:highlight w:val="none"/>
          <w:lang w:eastAsia="zh-CN"/>
        </w:rPr>
        <w:t>份，其中正本一份，副本</w:t>
      </w:r>
      <w:r>
        <w:rPr>
          <w:rFonts w:hint="eastAsia" w:hAnsi="宋体" w:cs="Times New Roman"/>
          <w:b w:val="0"/>
          <w:bCs/>
          <w:color w:val="auto"/>
          <w:kern w:val="0"/>
          <w:sz w:val="24"/>
          <w:szCs w:val="24"/>
          <w:highlight w:val="none"/>
          <w:lang w:eastAsia="zh-CN"/>
        </w:rPr>
        <w:t>二</w:t>
      </w:r>
      <w:r>
        <w:rPr>
          <w:rFonts w:hint="eastAsia" w:ascii="宋体" w:hAnsi="宋体" w:cs="Times New Roman"/>
          <w:b w:val="0"/>
          <w:bCs/>
          <w:color w:val="auto"/>
          <w:kern w:val="0"/>
          <w:sz w:val="24"/>
          <w:szCs w:val="24"/>
          <w:highlight w:val="none"/>
          <w:lang w:eastAsia="zh-CN"/>
        </w:rPr>
        <w:t>份，电子文件（U盘）</w:t>
      </w:r>
      <w:r>
        <w:rPr>
          <w:rFonts w:hint="eastAsia" w:hAnsi="宋体" w:cs="Times New Roman"/>
          <w:b w:val="0"/>
          <w:bCs/>
          <w:color w:val="auto"/>
          <w:kern w:val="0"/>
          <w:sz w:val="24"/>
          <w:szCs w:val="24"/>
          <w:highlight w:val="none"/>
          <w:lang w:eastAsia="zh-CN"/>
        </w:rPr>
        <w:t>一</w:t>
      </w:r>
      <w:r>
        <w:rPr>
          <w:rFonts w:hint="eastAsia" w:ascii="宋体" w:hAnsi="宋体" w:cs="Times New Roman"/>
          <w:b w:val="0"/>
          <w:bCs/>
          <w:color w:val="auto"/>
          <w:kern w:val="0"/>
          <w:sz w:val="24"/>
          <w:szCs w:val="24"/>
          <w:highlight w:val="none"/>
          <w:lang w:eastAsia="zh-CN"/>
        </w:rPr>
        <w:t>份</w:t>
      </w:r>
      <w:r>
        <w:rPr>
          <w:rFonts w:hint="eastAsia" w:asciiTheme="minorEastAsia" w:hAnsiTheme="minorEastAsia" w:eastAsiaTheme="minorEastAsia" w:cstheme="minorEastAsia"/>
          <w:color w:val="auto"/>
          <w:sz w:val="24"/>
          <w:szCs w:val="24"/>
          <w:highlight w:val="none"/>
        </w:rPr>
        <w:t>。</w:t>
      </w:r>
    </w:p>
    <w:p>
      <w:pPr>
        <w:autoSpaceDE w:val="0"/>
        <w:autoSpaceDN w:val="0"/>
        <w:adjustRightInd w:val="0"/>
        <w:snapToGrid w:val="0"/>
        <w:spacing w:line="312" w:lineRule="auto"/>
        <w:ind w:firstLine="6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4、我方已详细阅读了磋商文件，完全理解并放弃提出含糊不清或易形成歧义的表述和资料。</w:t>
      </w:r>
    </w:p>
    <w:p>
      <w:pPr>
        <w:autoSpaceDE w:val="0"/>
        <w:autoSpaceDN w:val="0"/>
        <w:adjustRightInd w:val="0"/>
        <w:snapToGrid w:val="0"/>
        <w:spacing w:line="312" w:lineRule="auto"/>
        <w:ind w:firstLine="6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5、磋商后</w:t>
      </w:r>
      <w:r>
        <w:rPr>
          <w:rFonts w:hint="eastAsia" w:asciiTheme="minorEastAsia" w:hAnsiTheme="minorEastAsia" w:eastAsiaTheme="minorEastAsia" w:cstheme="minorEastAsia"/>
          <w:color w:val="auto"/>
          <w:sz w:val="24"/>
          <w:szCs w:val="24"/>
          <w:highlight w:val="none"/>
          <w:lang w:eastAsia="zh-CN"/>
        </w:rPr>
        <w:t>，若</w:t>
      </w:r>
      <w:r>
        <w:rPr>
          <w:rFonts w:hint="eastAsia" w:asciiTheme="minorEastAsia" w:hAnsiTheme="minorEastAsia" w:eastAsiaTheme="minorEastAsia" w:cstheme="minorEastAsia"/>
          <w:color w:val="auto"/>
          <w:sz w:val="24"/>
          <w:szCs w:val="24"/>
          <w:highlight w:val="none"/>
        </w:rPr>
        <w:t>在规定的有效期内撤回磋商</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，我方愿接受政府采购</w:t>
      </w:r>
      <w:r>
        <w:rPr>
          <w:rFonts w:hint="eastAsia" w:asciiTheme="minorEastAsia" w:hAnsiTheme="minorEastAsia" w:eastAsiaTheme="minorEastAsia" w:cstheme="minorEastAsia"/>
          <w:color w:val="auto"/>
          <w:sz w:val="24"/>
          <w:szCs w:val="24"/>
          <w:highlight w:val="none"/>
          <w:lang w:eastAsia="zh-CN"/>
        </w:rPr>
        <w:t>部门</w:t>
      </w:r>
      <w:r>
        <w:rPr>
          <w:rFonts w:hint="eastAsia" w:asciiTheme="minorEastAsia" w:hAnsiTheme="minorEastAsia" w:eastAsiaTheme="minorEastAsia" w:cstheme="minorEastAsia"/>
          <w:color w:val="auto"/>
          <w:sz w:val="24"/>
          <w:szCs w:val="24"/>
          <w:highlight w:val="none"/>
        </w:rPr>
        <w:t>的有关处罚决定。</w:t>
      </w:r>
    </w:p>
    <w:p>
      <w:pPr>
        <w:autoSpaceDE w:val="0"/>
        <w:autoSpaceDN w:val="0"/>
        <w:adjustRightInd w:val="0"/>
        <w:snapToGrid w:val="0"/>
        <w:spacing w:line="312" w:lineRule="auto"/>
        <w:ind w:firstLine="6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6、同意向贵方提供可能要求的，与本次磋商有关的任何证据或资料，且尊重磋商小组的评审结论和结果。</w:t>
      </w:r>
      <w:r>
        <w:rPr>
          <w:rFonts w:hint="eastAsia" w:asciiTheme="minorEastAsia" w:hAnsiTheme="minorEastAsia" w:eastAsiaTheme="minorEastAsia" w:cstheme="minorEastAsia"/>
          <w:color w:val="auto"/>
          <w:sz w:val="24"/>
          <w:szCs w:val="24"/>
          <w:highlight w:val="none"/>
          <w:lang w:val="zh-CN"/>
        </w:rPr>
        <w:t>响应文件有效期为自磋商之日起</w:t>
      </w:r>
      <w:r>
        <w:rPr>
          <w:rFonts w:hint="eastAsia" w:asciiTheme="minorEastAsia" w:hAnsiTheme="minorEastAsia" w:eastAsiaTheme="minorEastAsia" w:cstheme="minorEastAsia"/>
          <w:color w:val="auto"/>
          <w:sz w:val="24"/>
          <w:szCs w:val="24"/>
          <w:highlight w:val="none"/>
          <w:lang w:val="en-US" w:eastAsia="zh-CN"/>
        </w:rPr>
        <w:t>九十(90)</w:t>
      </w:r>
      <w:r>
        <w:rPr>
          <w:rFonts w:hint="eastAsia" w:asciiTheme="minorEastAsia" w:hAnsiTheme="minorEastAsia" w:eastAsiaTheme="minorEastAsia" w:cstheme="minorEastAsia"/>
          <w:color w:val="auto"/>
          <w:sz w:val="24"/>
          <w:szCs w:val="24"/>
          <w:highlight w:val="none"/>
        </w:rPr>
        <w:t>个日历天，若我方成交，响应文件有效期延长至合同执行完毕。</w:t>
      </w:r>
    </w:p>
    <w:p>
      <w:pPr>
        <w:autoSpaceDE w:val="0"/>
        <w:autoSpaceDN w:val="0"/>
        <w:adjustRightInd w:val="0"/>
        <w:snapToGrid w:val="0"/>
        <w:spacing w:line="312" w:lineRule="auto"/>
        <w:ind w:firstLine="6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、有关于本磋商文件的函电，请按下列地址联系。</w:t>
      </w:r>
    </w:p>
    <w:p>
      <w:pPr>
        <w:autoSpaceDE w:val="0"/>
        <w:autoSpaceDN w:val="0"/>
        <w:adjustRightInd w:val="0"/>
        <w:snapToGrid w:val="0"/>
        <w:spacing w:line="312" w:lineRule="auto"/>
        <w:rPr>
          <w:rFonts w:hint="eastAsia" w:asciiTheme="minorEastAsia" w:hAnsiTheme="minorEastAsia" w:eastAsiaTheme="minorEastAsia" w:cstheme="minorEastAsia"/>
          <w:color w:val="auto"/>
          <w:sz w:val="24"/>
          <w:szCs w:val="24"/>
          <w:highlight w:val="none"/>
        </w:rPr>
      </w:pPr>
    </w:p>
    <w:p>
      <w:pPr>
        <w:autoSpaceDE w:val="0"/>
        <w:autoSpaceDN w:val="0"/>
        <w:adjustRightInd w:val="0"/>
        <w:snapToGrid w:val="0"/>
        <w:spacing w:line="312" w:lineRule="auto"/>
        <w:ind w:firstLine="630"/>
        <w:rPr>
          <w:rFonts w:hint="eastAsia" w:asciiTheme="minorEastAsia" w:hAnsiTheme="minorEastAsia" w:eastAsiaTheme="minorEastAsia" w:cstheme="minorEastAsia"/>
          <w:color w:val="auto"/>
          <w:sz w:val="24"/>
          <w:szCs w:val="24"/>
          <w:highlight w:val="none"/>
        </w:rPr>
      </w:pPr>
    </w:p>
    <w:p>
      <w:pPr>
        <w:autoSpaceDE w:val="0"/>
        <w:autoSpaceDN w:val="0"/>
        <w:adjustRightInd w:val="0"/>
        <w:snapToGrid w:val="0"/>
        <w:spacing w:line="312" w:lineRule="auto"/>
        <w:ind w:left="0" w:leftChars="0" w:firstLine="720" w:firstLineChars="300"/>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供应商全称（印章）：</w:t>
      </w:r>
      <w:r>
        <w:rPr>
          <w:rFonts w:hint="eastAsia" w:asciiTheme="minorEastAsia" w:hAnsiTheme="minorEastAsia" w:eastAsiaTheme="minorEastAsia" w:cstheme="minorEastAsia"/>
          <w:color w:val="auto"/>
          <w:sz w:val="24"/>
          <w:szCs w:val="24"/>
          <w:highlight w:val="none"/>
          <w:u w:val="single"/>
          <w:lang w:val="en-US" w:eastAsia="zh-CN"/>
        </w:rPr>
        <w:t xml:space="preserve">                              </w:t>
      </w:r>
    </w:p>
    <w:p>
      <w:pPr>
        <w:autoSpaceDE w:val="0"/>
        <w:autoSpaceDN w:val="0"/>
        <w:adjustRightInd w:val="0"/>
        <w:snapToGrid w:val="0"/>
        <w:spacing w:line="312" w:lineRule="auto"/>
        <w:ind w:left="0" w:leftChars="0"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lang w:val="en-US" w:eastAsia="zh-CN"/>
        </w:rPr>
        <w:t xml:space="preserve">                                        </w:t>
      </w:r>
    </w:p>
    <w:p>
      <w:pPr>
        <w:autoSpaceDE w:val="0"/>
        <w:autoSpaceDN w:val="0"/>
        <w:adjustRightInd w:val="0"/>
        <w:snapToGrid w:val="0"/>
        <w:spacing w:line="312" w:lineRule="auto"/>
        <w:ind w:left="0" w:leftChars="0"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开户银行：</w:t>
      </w:r>
      <w:r>
        <w:rPr>
          <w:rFonts w:hint="eastAsia" w:asciiTheme="minorEastAsia" w:hAnsiTheme="minorEastAsia" w:eastAsiaTheme="minorEastAsia" w:cstheme="minorEastAsia"/>
          <w:color w:val="auto"/>
          <w:sz w:val="24"/>
          <w:szCs w:val="24"/>
          <w:highlight w:val="none"/>
          <w:u w:val="single"/>
          <w:lang w:val="en-US" w:eastAsia="zh-CN"/>
        </w:rPr>
        <w:t xml:space="preserve">                                        </w:t>
      </w:r>
    </w:p>
    <w:p>
      <w:pPr>
        <w:autoSpaceDE w:val="0"/>
        <w:autoSpaceDN w:val="0"/>
        <w:adjustRightInd w:val="0"/>
        <w:snapToGrid w:val="0"/>
        <w:spacing w:line="312" w:lineRule="auto"/>
        <w:ind w:left="0" w:leftChars="0"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帐    号：</w:t>
      </w:r>
      <w:r>
        <w:rPr>
          <w:rFonts w:hint="eastAsia" w:asciiTheme="minorEastAsia" w:hAnsiTheme="minorEastAsia" w:eastAsiaTheme="minorEastAsia" w:cstheme="minorEastAsia"/>
          <w:color w:val="auto"/>
          <w:sz w:val="24"/>
          <w:szCs w:val="24"/>
          <w:highlight w:val="none"/>
          <w:u w:val="single"/>
          <w:lang w:val="en-US" w:eastAsia="zh-CN"/>
        </w:rPr>
        <w:t xml:space="preserve">                                        </w:t>
      </w:r>
    </w:p>
    <w:p>
      <w:pPr>
        <w:autoSpaceDE w:val="0"/>
        <w:autoSpaceDN w:val="0"/>
        <w:adjustRightInd w:val="0"/>
        <w:snapToGrid w:val="0"/>
        <w:spacing w:line="312" w:lineRule="auto"/>
        <w:ind w:left="0" w:leftChars="0" w:firstLine="720" w:firstLineChars="3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u w:val="single"/>
          <w:lang w:val="en-US" w:eastAsia="zh-CN"/>
        </w:rPr>
        <w:t xml:space="preserve">                                        </w:t>
      </w:r>
    </w:p>
    <w:p>
      <w:pPr>
        <w:autoSpaceDE w:val="0"/>
        <w:autoSpaceDN w:val="0"/>
        <w:adjustRightInd w:val="0"/>
        <w:snapToGrid w:val="0"/>
        <w:spacing w:line="312" w:lineRule="auto"/>
        <w:ind w:left="0" w:leftChars="0" w:firstLine="720" w:firstLineChars="3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传    真：</w:t>
      </w:r>
      <w:r>
        <w:rPr>
          <w:rFonts w:hint="eastAsia" w:asciiTheme="minorEastAsia" w:hAnsiTheme="minorEastAsia" w:eastAsiaTheme="minorEastAsia" w:cstheme="minorEastAsia"/>
          <w:color w:val="auto"/>
          <w:sz w:val="24"/>
          <w:szCs w:val="24"/>
          <w:highlight w:val="none"/>
          <w:u w:val="single"/>
          <w:lang w:val="en-US" w:eastAsia="zh-CN"/>
        </w:rPr>
        <w:t xml:space="preserve">                                        </w:t>
      </w:r>
    </w:p>
    <w:p>
      <w:pPr>
        <w:autoSpaceDE w:val="0"/>
        <w:autoSpaceDN w:val="0"/>
        <w:adjustRightInd w:val="0"/>
        <w:snapToGrid w:val="0"/>
        <w:spacing w:line="312" w:lineRule="auto"/>
        <w:ind w:left="0" w:leftChars="0"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法定代表人或授权代表（签字</w:t>
      </w:r>
      <w:r>
        <w:rPr>
          <w:rFonts w:hint="eastAsia" w:asciiTheme="minorEastAsia" w:hAnsiTheme="minorEastAsia" w:eastAsiaTheme="minorEastAsia" w:cstheme="minorEastAsia"/>
          <w:color w:val="auto"/>
          <w:sz w:val="24"/>
          <w:szCs w:val="24"/>
          <w:highlight w:val="none"/>
          <w:lang w:eastAsia="zh-CN"/>
        </w:rPr>
        <w:t>或</w:t>
      </w:r>
      <w:r>
        <w:rPr>
          <w:rFonts w:hint="eastAsia" w:asciiTheme="minorEastAsia" w:hAnsiTheme="minorEastAsia" w:eastAsiaTheme="minorEastAsia" w:cstheme="minorEastAsia"/>
          <w:color w:val="auto"/>
          <w:sz w:val="24"/>
          <w:szCs w:val="24"/>
          <w:highlight w:val="none"/>
        </w:rPr>
        <w:t>盖章）：</w:t>
      </w:r>
      <w:r>
        <w:rPr>
          <w:rFonts w:hint="eastAsia" w:asciiTheme="minorEastAsia" w:hAnsiTheme="minorEastAsia" w:eastAsiaTheme="minorEastAsia" w:cstheme="minorEastAsia"/>
          <w:color w:val="auto"/>
          <w:sz w:val="24"/>
          <w:szCs w:val="24"/>
          <w:highlight w:val="none"/>
          <w:u w:val="single"/>
          <w:lang w:val="en-US" w:eastAsia="zh-CN"/>
        </w:rPr>
        <w:t xml:space="preserve">              </w:t>
      </w:r>
    </w:p>
    <w:p>
      <w:pPr>
        <w:autoSpaceDE w:val="0"/>
        <w:autoSpaceDN w:val="0"/>
        <w:adjustRightInd w:val="0"/>
        <w:snapToGrid w:val="0"/>
        <w:spacing w:line="312" w:lineRule="auto"/>
        <w:ind w:left="0" w:leftChars="0" w:firstLine="720" w:firstLineChars="300"/>
        <w:rPr>
          <w:rFonts w:hint="eastAsia" w:asciiTheme="minorEastAsia" w:hAnsiTheme="minorEastAsia" w:eastAsiaTheme="minorEastAsia" w:cstheme="minorEastAsia"/>
          <w:color w:val="auto"/>
          <w:sz w:val="24"/>
          <w:szCs w:val="24"/>
          <w:highlight w:val="none"/>
        </w:rPr>
      </w:pPr>
    </w:p>
    <w:p>
      <w:pPr>
        <w:autoSpaceDE w:val="0"/>
        <w:autoSpaceDN w:val="0"/>
        <w:adjustRightInd w:val="0"/>
        <w:snapToGrid w:val="0"/>
        <w:spacing w:line="312" w:lineRule="auto"/>
        <w:ind w:left="0" w:leftChars="0" w:firstLine="720" w:firstLineChars="3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日</w:t>
      </w:r>
    </w:p>
    <w:p>
      <w:pPr>
        <w:widowControl/>
        <w:spacing w:line="312" w:lineRule="auto"/>
        <w:jc w:val="left"/>
        <w:rPr>
          <w:rFonts w:hint="eastAsia" w:asciiTheme="minorEastAsia" w:hAnsiTheme="minorEastAsia" w:eastAsiaTheme="minorEastAsia" w:cstheme="minorEastAsia"/>
          <w:b/>
          <w:bCs/>
          <w:color w:val="auto"/>
          <w:sz w:val="24"/>
          <w:szCs w:val="24"/>
          <w:highlight w:val="none"/>
        </w:rPr>
        <w:sectPr>
          <w:pgSz w:w="11906" w:h="16838"/>
          <w:pgMar w:top="1418" w:right="1418" w:bottom="1418" w:left="1418" w:header="720" w:footer="720" w:gutter="0"/>
          <w:pgBorders>
            <w:top w:val="none" w:sz="0" w:space="0"/>
            <w:left w:val="none" w:sz="0" w:space="0"/>
            <w:bottom w:val="none" w:sz="0" w:space="0"/>
            <w:right w:val="none" w:sz="0" w:space="0"/>
          </w:pgBorders>
          <w:pgNumType w:fmt="decimal"/>
          <w:cols w:space="720" w:num="1"/>
          <w:docGrid w:type="lines" w:linePitch="312" w:charSpace="0"/>
        </w:sectPr>
      </w:pPr>
    </w:p>
    <w:p>
      <w:pPr>
        <w:autoSpaceDE w:val="0"/>
        <w:autoSpaceDN w:val="0"/>
        <w:adjustRightInd w:val="0"/>
        <w:snapToGrid w:val="0"/>
        <w:spacing w:line="360" w:lineRule="auto"/>
        <w:jc w:val="center"/>
        <w:outlineLvl w:val="0"/>
        <w:rPr>
          <w:rFonts w:hint="eastAsia" w:asciiTheme="minorEastAsia" w:hAnsiTheme="minorEastAsia" w:eastAsiaTheme="minorEastAsia" w:cstheme="minorEastAsia"/>
          <w:color w:val="auto"/>
          <w:sz w:val="24"/>
          <w:szCs w:val="24"/>
          <w:highlight w:val="none"/>
        </w:rPr>
      </w:pPr>
      <w:bookmarkStart w:id="339" w:name="_Toc20082"/>
      <w:bookmarkStart w:id="340" w:name="_Toc9324"/>
      <w:bookmarkStart w:id="341" w:name="_Toc11762"/>
      <w:bookmarkStart w:id="342" w:name="_Toc15311"/>
      <w:bookmarkStart w:id="343" w:name="_Toc8176"/>
      <w:r>
        <w:rPr>
          <w:rFonts w:hint="eastAsia" w:asciiTheme="minorEastAsia" w:hAnsiTheme="minorEastAsia" w:eastAsiaTheme="minorEastAsia" w:cstheme="minorEastAsia"/>
          <w:b/>
          <w:bCs/>
          <w:color w:val="auto"/>
          <w:sz w:val="24"/>
          <w:szCs w:val="24"/>
          <w:highlight w:val="none"/>
        </w:rPr>
        <w:t>第二部分   首次磋商报价表</w:t>
      </w:r>
      <w:bookmarkEnd w:id="339"/>
      <w:bookmarkEnd w:id="340"/>
      <w:bookmarkEnd w:id="341"/>
      <w:bookmarkEnd w:id="342"/>
      <w:bookmarkEnd w:id="343"/>
    </w:p>
    <w:p>
      <w:pPr>
        <w:autoSpaceDE w:val="0"/>
        <w:autoSpaceDN w:val="0"/>
        <w:adjustRightInd w:val="0"/>
        <w:snapToGrid w:val="0"/>
        <w:spacing w:line="360" w:lineRule="auto"/>
        <w:jc w:val="righ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单位：元 </w:t>
      </w:r>
    </w:p>
    <w:tbl>
      <w:tblPr>
        <w:tblStyle w:val="45"/>
        <w:tblW w:w="9742" w:type="dxa"/>
        <w:jc w:val="center"/>
        <w:tblLayout w:type="fixed"/>
        <w:tblCellMar>
          <w:top w:w="0" w:type="dxa"/>
          <w:left w:w="108" w:type="dxa"/>
          <w:bottom w:w="0" w:type="dxa"/>
          <w:right w:w="108" w:type="dxa"/>
        </w:tblCellMar>
      </w:tblPr>
      <w:tblGrid>
        <w:gridCol w:w="2215"/>
        <w:gridCol w:w="3075"/>
        <w:gridCol w:w="1862"/>
        <w:gridCol w:w="1325"/>
        <w:gridCol w:w="1265"/>
      </w:tblGrid>
      <w:tr>
        <w:tblPrEx>
          <w:tblCellMar>
            <w:top w:w="0" w:type="dxa"/>
            <w:left w:w="108" w:type="dxa"/>
            <w:bottom w:w="0" w:type="dxa"/>
            <w:right w:w="108" w:type="dxa"/>
          </w:tblCellMar>
        </w:tblPrEx>
        <w:trPr>
          <w:trHeight w:val="1397" w:hRule="atLeast"/>
          <w:jc w:val="center"/>
        </w:trPr>
        <w:tc>
          <w:tcPr>
            <w:tcW w:w="2215" w:type="dxa"/>
            <w:tcBorders>
              <w:top w:val="single" w:color="auto" w:sz="6" w:space="0"/>
              <w:left w:val="single" w:color="auto" w:sz="6" w:space="0"/>
              <w:bottom w:val="single" w:color="auto" w:sz="6" w:space="0"/>
              <w:right w:val="single" w:color="auto" w:sz="6" w:space="0"/>
              <w:tl2br w:val="single" w:color="auto" w:sz="4" w:space="0"/>
            </w:tcBorders>
            <w:vAlign w:val="top"/>
          </w:tcPr>
          <w:p>
            <w:pPr>
              <w:autoSpaceDE w:val="0"/>
              <w:autoSpaceDN w:val="0"/>
              <w:adjustRightInd w:val="0"/>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报价内容</w:t>
            </w:r>
          </w:p>
          <w:p>
            <w:pPr>
              <w:autoSpaceDE w:val="0"/>
              <w:autoSpaceDN w:val="0"/>
              <w:adjustRightInd w:val="0"/>
              <w:snapToGrid w:val="0"/>
              <w:spacing w:line="360" w:lineRule="auto"/>
              <w:ind w:left="-1" w:hanging="419"/>
              <w:rPr>
                <w:rFonts w:hint="eastAsia" w:ascii="宋体" w:hAnsi="宋体" w:eastAsia="宋体" w:cs="宋体"/>
                <w:color w:val="auto"/>
                <w:sz w:val="24"/>
                <w:szCs w:val="24"/>
                <w:highlight w:val="none"/>
              </w:rPr>
            </w:pPr>
          </w:p>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磋商内容</w:t>
            </w:r>
          </w:p>
        </w:tc>
        <w:tc>
          <w:tcPr>
            <w:tcW w:w="307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磋商总报价（元）</w:t>
            </w:r>
          </w:p>
        </w:tc>
        <w:tc>
          <w:tcPr>
            <w:tcW w:w="1862"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供货</w:t>
            </w:r>
            <w:r>
              <w:rPr>
                <w:rFonts w:hint="eastAsia" w:ascii="宋体" w:hAnsi="宋体" w:eastAsia="宋体" w:cs="宋体"/>
                <w:color w:val="auto"/>
                <w:sz w:val="24"/>
                <w:szCs w:val="24"/>
                <w:highlight w:val="none"/>
              </w:rPr>
              <w:t>期</w:t>
            </w:r>
          </w:p>
        </w:tc>
        <w:tc>
          <w:tcPr>
            <w:tcW w:w="132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宋体" w:hAnsi="宋体" w:eastAsia="宋体" w:cs="宋体"/>
                <w:color w:val="auto"/>
                <w:sz w:val="24"/>
                <w:szCs w:val="24"/>
                <w:highlight w:val="none"/>
              </w:rPr>
            </w:pPr>
            <w:r>
              <w:rPr>
                <w:rFonts w:hint="eastAsia" w:hAnsi="宋体" w:cs="宋体"/>
                <w:color w:val="auto"/>
                <w:sz w:val="24"/>
                <w:szCs w:val="24"/>
                <w:highlight w:val="none"/>
                <w:lang w:eastAsia="zh-CN"/>
              </w:rPr>
              <w:t>质保期</w:t>
            </w:r>
          </w:p>
        </w:tc>
        <w:tc>
          <w:tcPr>
            <w:tcW w:w="12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w:t>
            </w:r>
          </w:p>
          <w:p>
            <w:pPr>
              <w:autoSpaceDE w:val="0"/>
              <w:autoSpaceDN w:val="0"/>
              <w:adjustRightInd w:val="0"/>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标准</w:t>
            </w:r>
          </w:p>
        </w:tc>
      </w:tr>
      <w:tr>
        <w:tblPrEx>
          <w:tblCellMar>
            <w:top w:w="0" w:type="dxa"/>
            <w:left w:w="108" w:type="dxa"/>
            <w:bottom w:w="0" w:type="dxa"/>
            <w:right w:w="108" w:type="dxa"/>
          </w:tblCellMar>
        </w:tblPrEx>
        <w:trPr>
          <w:trHeight w:val="1760" w:hRule="atLeast"/>
          <w:jc w:val="center"/>
        </w:trPr>
        <w:tc>
          <w:tcPr>
            <w:tcW w:w="221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宋体" w:hAnsi="宋体" w:eastAsia="宋体" w:cs="宋体"/>
                <w:color w:val="auto"/>
                <w:sz w:val="24"/>
                <w:szCs w:val="24"/>
                <w:highlight w:val="none"/>
                <w:lang w:eastAsia="zh-CN"/>
              </w:rPr>
            </w:pPr>
            <w:r>
              <w:rPr>
                <w:rFonts w:hint="eastAsia" w:hAnsi="宋体" w:cs="宋体"/>
                <w:color w:val="auto"/>
                <w:kern w:val="0"/>
                <w:sz w:val="24"/>
                <w:szCs w:val="24"/>
                <w:highlight w:val="none"/>
                <w:lang w:eastAsia="zh-CN"/>
              </w:rPr>
              <w:t>礼泉县中医院康复科设备采购项目</w:t>
            </w:r>
          </w:p>
        </w:tc>
        <w:tc>
          <w:tcPr>
            <w:tcW w:w="307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p>
        </w:tc>
        <w:tc>
          <w:tcPr>
            <w:tcW w:w="1862"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rPr>
                <w:rFonts w:hint="eastAsia" w:ascii="宋体" w:hAnsi="宋体" w:eastAsia="宋体" w:cs="宋体"/>
                <w:color w:val="auto"/>
                <w:sz w:val="24"/>
                <w:szCs w:val="24"/>
                <w:highlight w:val="none"/>
              </w:rPr>
            </w:pPr>
          </w:p>
        </w:tc>
        <w:tc>
          <w:tcPr>
            <w:tcW w:w="132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宋体" w:hAnsi="宋体" w:eastAsia="宋体" w:cs="宋体"/>
                <w:color w:val="auto"/>
                <w:sz w:val="24"/>
                <w:szCs w:val="24"/>
                <w:highlight w:val="none"/>
              </w:rPr>
            </w:pPr>
          </w:p>
        </w:tc>
        <w:tc>
          <w:tcPr>
            <w:tcW w:w="12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1082" w:hRule="atLeast"/>
          <w:jc w:val="center"/>
        </w:trPr>
        <w:tc>
          <w:tcPr>
            <w:tcW w:w="9742"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备注：所有报价均为含税报价，表内报价内容精确到元。</w:t>
            </w:r>
          </w:p>
        </w:tc>
      </w:tr>
    </w:tbl>
    <w:p>
      <w:pPr>
        <w:autoSpaceDE w:val="0"/>
        <w:autoSpaceDN w:val="0"/>
        <w:adjustRightInd w:val="0"/>
        <w:snapToGrid w:val="0"/>
        <w:spacing w:line="360" w:lineRule="auto"/>
        <w:rPr>
          <w:rFonts w:hint="eastAsia" w:asciiTheme="minorEastAsia" w:hAnsiTheme="minorEastAsia" w:eastAsiaTheme="minorEastAsia" w:cstheme="minorEastAsia"/>
          <w:color w:val="auto"/>
          <w:sz w:val="24"/>
          <w:szCs w:val="24"/>
          <w:highlight w:val="none"/>
        </w:rPr>
      </w:pPr>
    </w:p>
    <w:p>
      <w:pPr>
        <w:spacing w:line="360" w:lineRule="auto"/>
        <w:rPr>
          <w:rFonts w:ascii="宋体" w:hAnsi="宋体" w:cs="宋体"/>
          <w:color w:val="auto"/>
          <w:sz w:val="24"/>
          <w:highlight w:val="none"/>
          <w:u w:val="single"/>
        </w:rPr>
      </w:pPr>
      <w:r>
        <w:rPr>
          <w:rFonts w:hint="eastAsia" w:hAnsi="宋体" w:cs="宋体"/>
          <w:color w:val="auto"/>
          <w:sz w:val="24"/>
          <w:highlight w:val="none"/>
          <w:lang w:eastAsia="zh-CN"/>
        </w:rPr>
        <w:t>磋商</w:t>
      </w: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法定代表人或被授权代表（签</w:t>
      </w:r>
      <w:r>
        <w:rPr>
          <w:rFonts w:hint="eastAsia" w:hAnsi="宋体" w:cs="宋体"/>
          <w:color w:val="auto"/>
          <w:sz w:val="24"/>
          <w:highlight w:val="none"/>
          <w:lang w:eastAsia="zh-CN"/>
        </w:rPr>
        <w:t>字或</w:t>
      </w:r>
      <w:r>
        <w:rPr>
          <w:rFonts w:hint="eastAsia" w:ascii="宋体" w:hAnsi="宋体" w:cs="宋体"/>
          <w:color w:val="auto"/>
          <w:sz w:val="24"/>
          <w:highlight w:val="none"/>
        </w:rPr>
        <w:t>盖章）：</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hAnsi="宋体" w:cs="宋体"/>
          <w:color w:val="auto"/>
          <w:sz w:val="24"/>
          <w:highlight w:val="none"/>
          <w:u w:val="none"/>
          <w:lang w:eastAsia="zh-CN"/>
        </w:rPr>
        <w:t>年</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u w:val="none"/>
          <w:lang w:eastAsia="zh-CN"/>
        </w:rPr>
        <w:t>月</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u w:val="none"/>
          <w:lang w:eastAsia="zh-CN"/>
        </w:rPr>
        <w:t>日</w:t>
      </w:r>
    </w:p>
    <w:p>
      <w:pPr>
        <w:widowControl/>
        <w:jc w:val="left"/>
        <w:rPr>
          <w:rFonts w:hint="eastAsia" w:asciiTheme="minorEastAsia" w:hAnsiTheme="minorEastAsia" w:eastAsiaTheme="minorEastAsia" w:cstheme="minorEastAsia"/>
          <w:b/>
          <w:bCs/>
          <w:color w:val="auto"/>
          <w:sz w:val="24"/>
          <w:szCs w:val="24"/>
          <w:highlight w:val="none"/>
        </w:rPr>
      </w:pPr>
    </w:p>
    <w:p>
      <w:pPr>
        <w:widowControl/>
        <w:jc w:val="left"/>
        <w:rPr>
          <w:rFonts w:hint="eastAsia" w:asciiTheme="minorEastAsia" w:hAnsiTheme="minorEastAsia" w:eastAsiaTheme="minorEastAsia" w:cstheme="minorEastAsia"/>
          <w:b/>
          <w:bCs/>
          <w:color w:val="auto"/>
          <w:sz w:val="24"/>
          <w:szCs w:val="24"/>
          <w:highlight w:val="none"/>
        </w:rPr>
      </w:pPr>
    </w:p>
    <w:p>
      <w:pPr>
        <w:widowControl/>
        <w:jc w:val="left"/>
        <w:rPr>
          <w:rFonts w:hint="eastAsia" w:asciiTheme="minorEastAsia" w:hAnsiTheme="minorEastAsia" w:eastAsiaTheme="minorEastAsia" w:cstheme="minorEastAsia"/>
          <w:b/>
          <w:bCs/>
          <w:color w:val="auto"/>
          <w:sz w:val="24"/>
          <w:szCs w:val="24"/>
          <w:highlight w:val="none"/>
        </w:rPr>
        <w:sectPr>
          <w:footerReference r:id="rId7" w:type="default"/>
          <w:pgSz w:w="11906" w:h="16838"/>
          <w:pgMar w:top="1418" w:right="1418" w:bottom="1418" w:left="1418" w:header="720" w:footer="720" w:gutter="0"/>
          <w:pgBorders>
            <w:top w:val="none" w:sz="0" w:space="0"/>
            <w:left w:val="none" w:sz="0" w:space="0"/>
            <w:bottom w:val="none" w:sz="0" w:space="0"/>
            <w:right w:val="none" w:sz="0" w:space="0"/>
          </w:pgBorders>
          <w:pgNumType w:fmt="decimal"/>
          <w:cols w:space="720" w:num="1"/>
          <w:docGrid w:type="lines" w:linePitch="312" w:charSpace="0"/>
        </w:sectPr>
      </w:pPr>
    </w:p>
    <w:p>
      <w:pPr>
        <w:numPr>
          <w:ilvl w:val="0"/>
          <w:numId w:val="0"/>
        </w:numPr>
        <w:spacing w:line="480" w:lineRule="exact"/>
        <w:jc w:val="center"/>
        <w:outlineLvl w:val="1"/>
        <w:rPr>
          <w:rFonts w:hint="eastAsia" w:asciiTheme="minorEastAsia" w:hAnsiTheme="minorEastAsia" w:eastAsiaTheme="minorEastAsia" w:cstheme="minorEastAsia"/>
          <w:b/>
          <w:bCs/>
          <w:color w:val="auto"/>
          <w:sz w:val="24"/>
          <w:szCs w:val="24"/>
          <w:highlight w:val="none"/>
        </w:rPr>
      </w:pPr>
      <w:bookmarkStart w:id="344" w:name="_Toc16825"/>
      <w:bookmarkStart w:id="345" w:name="_Toc21385"/>
      <w:bookmarkStart w:id="346" w:name="_Toc16584"/>
      <w:bookmarkStart w:id="347" w:name="_Toc7779"/>
      <w:bookmarkStart w:id="348" w:name="_Toc11937"/>
      <w:bookmarkStart w:id="349" w:name="_Toc22807"/>
      <w:r>
        <w:rPr>
          <w:rFonts w:hint="eastAsia" w:asciiTheme="minorEastAsia" w:hAnsiTheme="minorEastAsia" w:eastAsiaTheme="minorEastAsia" w:cstheme="minorEastAsia"/>
          <w:b/>
          <w:bCs/>
          <w:color w:val="auto"/>
          <w:sz w:val="24"/>
          <w:szCs w:val="24"/>
          <w:highlight w:val="none"/>
        </w:rPr>
        <w:t>分项报价表</w:t>
      </w:r>
      <w:bookmarkEnd w:id="344"/>
      <w:bookmarkEnd w:id="345"/>
      <w:bookmarkEnd w:id="346"/>
      <w:bookmarkEnd w:id="347"/>
      <w:bookmarkEnd w:id="348"/>
      <w:bookmarkEnd w:id="349"/>
    </w:p>
    <w:p>
      <w:pPr>
        <w:pStyle w:val="5"/>
        <w:spacing w:line="360" w:lineRule="auto"/>
        <w:rPr>
          <w:rFonts w:hint="eastAsia"/>
          <w:highlight w:val="none"/>
          <w:lang w:eastAsia="zh-CN"/>
        </w:rPr>
      </w:pPr>
      <w:r>
        <w:rPr>
          <w:rFonts w:hint="eastAsia" w:ascii="宋体" w:hAnsi="宋体" w:cs="宋体"/>
          <w:color w:val="auto"/>
          <w:sz w:val="24"/>
          <w:szCs w:val="24"/>
          <w:highlight w:val="none"/>
          <w:lang w:eastAsia="zh-CN"/>
        </w:rPr>
        <w:t>磋商</w:t>
      </w:r>
      <w:r>
        <w:rPr>
          <w:rFonts w:hint="eastAsia" w:ascii="宋体" w:hAnsi="宋体" w:cs="宋体"/>
          <w:color w:val="auto"/>
          <w:sz w:val="24"/>
          <w:szCs w:val="24"/>
          <w:highlight w:val="none"/>
        </w:rPr>
        <w:t>供应商名称：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采购项目编号：</w:t>
      </w:r>
      <w:r>
        <w:rPr>
          <w:rFonts w:hint="eastAsia" w:ascii="宋体" w:hAnsi="宋体" w:cs="宋体"/>
          <w:color w:val="auto"/>
          <w:sz w:val="24"/>
          <w:szCs w:val="24"/>
          <w:highlight w:val="none"/>
          <w:u w:val="single"/>
        </w:rPr>
        <w:t xml:space="preserve">             </w:t>
      </w:r>
      <w:r>
        <w:rPr>
          <w:rFonts w:hint="eastAsia"/>
          <w:highlight w:val="none"/>
          <w:lang w:val="en-US" w:eastAsia="zh-CN"/>
        </w:rPr>
        <w:t xml:space="preserve">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1105"/>
        <w:gridCol w:w="1139"/>
        <w:gridCol w:w="1397"/>
        <w:gridCol w:w="1139"/>
        <w:gridCol w:w="954"/>
        <w:gridCol w:w="1260"/>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743"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ighlight w:val="none"/>
                <w:vertAlign w:val="baseline"/>
                <w:lang w:val="en-US" w:eastAsia="zh-CN"/>
              </w:rPr>
            </w:pPr>
            <w:r>
              <w:rPr>
                <w:rFonts w:hint="eastAsia"/>
                <w:highlight w:val="none"/>
                <w:vertAlign w:val="baseline"/>
                <w:lang w:val="en-US" w:eastAsia="zh-CN"/>
              </w:rPr>
              <w:t>序号</w:t>
            </w:r>
          </w:p>
        </w:tc>
        <w:tc>
          <w:tcPr>
            <w:tcW w:w="1105"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ighlight w:val="none"/>
                <w:vertAlign w:val="baseline"/>
                <w:lang w:val="en-US" w:eastAsia="zh-CN"/>
              </w:rPr>
            </w:pPr>
            <w:r>
              <w:rPr>
                <w:rFonts w:hint="eastAsia"/>
                <w:highlight w:val="none"/>
                <w:vertAlign w:val="baseline"/>
                <w:lang w:val="en-US" w:eastAsia="zh-CN"/>
              </w:rPr>
              <w:t>名称</w:t>
            </w:r>
          </w:p>
        </w:tc>
        <w:tc>
          <w:tcPr>
            <w:tcW w:w="113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highlight w:val="none"/>
                <w:vertAlign w:val="baseline"/>
                <w:lang w:val="en-US" w:eastAsia="zh-CN"/>
              </w:rPr>
            </w:pPr>
            <w:r>
              <w:rPr>
                <w:rFonts w:hint="eastAsia"/>
                <w:highlight w:val="none"/>
                <w:vertAlign w:val="baseline"/>
                <w:lang w:val="en-US" w:eastAsia="zh-CN"/>
              </w:rPr>
              <w:t>品牌/型号</w:t>
            </w:r>
          </w:p>
        </w:tc>
        <w:tc>
          <w:tcPr>
            <w:tcW w:w="1397"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ighlight w:val="none"/>
                <w:vertAlign w:val="baseline"/>
                <w:lang w:val="en-US" w:eastAsia="zh-CN"/>
              </w:rPr>
            </w:pPr>
            <w:r>
              <w:rPr>
                <w:rFonts w:hint="eastAsia"/>
                <w:highlight w:val="none"/>
                <w:vertAlign w:val="baseline"/>
                <w:lang w:val="en-US" w:eastAsia="zh-CN"/>
              </w:rPr>
              <w:t>制造厂家</w:t>
            </w:r>
          </w:p>
        </w:tc>
        <w:tc>
          <w:tcPr>
            <w:tcW w:w="113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ighlight w:val="none"/>
                <w:vertAlign w:val="baseline"/>
                <w:lang w:val="en-US" w:eastAsia="zh-CN"/>
              </w:rPr>
            </w:pPr>
            <w:r>
              <w:rPr>
                <w:rFonts w:hint="eastAsia"/>
                <w:highlight w:val="none"/>
                <w:vertAlign w:val="baseline"/>
                <w:lang w:val="en-US" w:eastAsia="zh-CN"/>
              </w:rPr>
              <w:t>单位</w:t>
            </w:r>
          </w:p>
        </w:tc>
        <w:tc>
          <w:tcPr>
            <w:tcW w:w="954"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ighlight w:val="none"/>
                <w:vertAlign w:val="baseline"/>
                <w:lang w:val="en-US" w:eastAsia="zh-CN"/>
              </w:rPr>
            </w:pPr>
            <w:r>
              <w:rPr>
                <w:rFonts w:hint="eastAsia"/>
                <w:highlight w:val="none"/>
                <w:vertAlign w:val="baseline"/>
                <w:lang w:val="en-US" w:eastAsia="zh-CN"/>
              </w:rPr>
              <w:t>数量</w:t>
            </w:r>
          </w:p>
        </w:tc>
        <w:tc>
          <w:tcPr>
            <w:tcW w:w="126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highlight w:val="none"/>
                <w:vertAlign w:val="baseline"/>
                <w:lang w:val="en-US" w:eastAsia="zh-CN"/>
              </w:rPr>
            </w:pPr>
            <w:r>
              <w:rPr>
                <w:rFonts w:hint="eastAsia"/>
                <w:highlight w:val="none"/>
                <w:lang w:eastAsia="zh-CN"/>
              </w:rPr>
              <w:t>单价（元）</w:t>
            </w:r>
          </w:p>
        </w:tc>
        <w:tc>
          <w:tcPr>
            <w:tcW w:w="154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ighlight w:val="none"/>
                <w:vertAlign w:val="baseline"/>
                <w:lang w:val="en-US" w:eastAsia="zh-CN"/>
              </w:rPr>
            </w:pPr>
            <w:r>
              <w:rPr>
                <w:rFonts w:hint="eastAsia"/>
                <w:highlight w:val="none"/>
                <w:vertAlign w:val="baseline"/>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43"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highlight w:val="none"/>
                <w:vertAlign w:val="baseline"/>
                <w:lang w:val="en-US" w:eastAsia="zh-CN"/>
              </w:rPr>
            </w:pPr>
            <w:r>
              <w:rPr>
                <w:rFonts w:hint="eastAsia"/>
                <w:highlight w:val="none"/>
                <w:vertAlign w:val="baseline"/>
                <w:lang w:val="en-US" w:eastAsia="zh-CN"/>
              </w:rPr>
              <w:t>1</w:t>
            </w:r>
          </w:p>
        </w:tc>
        <w:tc>
          <w:tcPr>
            <w:tcW w:w="1105"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ighlight w:val="none"/>
                <w:vertAlign w:val="baseline"/>
                <w:lang w:val="en-US" w:eastAsia="zh-CN"/>
              </w:rPr>
            </w:pPr>
          </w:p>
        </w:tc>
        <w:tc>
          <w:tcPr>
            <w:tcW w:w="113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ighlight w:val="none"/>
                <w:vertAlign w:val="baseline"/>
                <w:lang w:val="en-US" w:eastAsia="zh-CN"/>
              </w:rPr>
            </w:pPr>
          </w:p>
        </w:tc>
        <w:tc>
          <w:tcPr>
            <w:tcW w:w="1397"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ighlight w:val="none"/>
                <w:vertAlign w:val="baseline"/>
                <w:lang w:val="en-US" w:eastAsia="zh-CN"/>
              </w:rPr>
            </w:pPr>
          </w:p>
        </w:tc>
        <w:tc>
          <w:tcPr>
            <w:tcW w:w="113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ighlight w:val="none"/>
                <w:vertAlign w:val="baseline"/>
                <w:lang w:val="en-US" w:eastAsia="zh-CN"/>
              </w:rPr>
            </w:pPr>
          </w:p>
        </w:tc>
        <w:tc>
          <w:tcPr>
            <w:tcW w:w="954"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ighlight w:val="none"/>
                <w:vertAlign w:val="baseline"/>
                <w:lang w:val="en-US" w:eastAsia="zh-CN"/>
              </w:rPr>
            </w:pPr>
          </w:p>
        </w:tc>
        <w:tc>
          <w:tcPr>
            <w:tcW w:w="126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ighlight w:val="none"/>
                <w:vertAlign w:val="baseline"/>
                <w:lang w:val="en-US" w:eastAsia="zh-CN"/>
              </w:rPr>
            </w:pPr>
          </w:p>
        </w:tc>
        <w:tc>
          <w:tcPr>
            <w:tcW w:w="154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43"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highlight w:val="none"/>
                <w:vertAlign w:val="baseline"/>
                <w:lang w:val="en-US" w:eastAsia="zh-CN"/>
              </w:rPr>
            </w:pPr>
            <w:r>
              <w:rPr>
                <w:rFonts w:hint="eastAsia"/>
                <w:highlight w:val="none"/>
                <w:vertAlign w:val="baseline"/>
                <w:lang w:val="en-US" w:eastAsia="zh-CN"/>
              </w:rPr>
              <w:t>2</w:t>
            </w:r>
          </w:p>
        </w:tc>
        <w:tc>
          <w:tcPr>
            <w:tcW w:w="1105"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ighlight w:val="none"/>
                <w:vertAlign w:val="baseline"/>
                <w:lang w:val="en-US" w:eastAsia="zh-CN"/>
              </w:rPr>
            </w:pPr>
          </w:p>
        </w:tc>
        <w:tc>
          <w:tcPr>
            <w:tcW w:w="113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ighlight w:val="none"/>
                <w:vertAlign w:val="baseline"/>
                <w:lang w:val="en-US" w:eastAsia="zh-CN"/>
              </w:rPr>
            </w:pPr>
          </w:p>
        </w:tc>
        <w:tc>
          <w:tcPr>
            <w:tcW w:w="1397"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ighlight w:val="none"/>
                <w:vertAlign w:val="baseline"/>
                <w:lang w:val="en-US" w:eastAsia="zh-CN"/>
              </w:rPr>
            </w:pPr>
          </w:p>
        </w:tc>
        <w:tc>
          <w:tcPr>
            <w:tcW w:w="113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ighlight w:val="none"/>
                <w:vertAlign w:val="baseline"/>
                <w:lang w:val="en-US" w:eastAsia="zh-CN"/>
              </w:rPr>
            </w:pPr>
          </w:p>
        </w:tc>
        <w:tc>
          <w:tcPr>
            <w:tcW w:w="954"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ighlight w:val="none"/>
                <w:vertAlign w:val="baseline"/>
                <w:lang w:val="en-US" w:eastAsia="zh-CN"/>
              </w:rPr>
            </w:pPr>
          </w:p>
        </w:tc>
        <w:tc>
          <w:tcPr>
            <w:tcW w:w="126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ighlight w:val="none"/>
                <w:vertAlign w:val="baseline"/>
                <w:lang w:val="en-US" w:eastAsia="zh-CN"/>
              </w:rPr>
            </w:pPr>
          </w:p>
        </w:tc>
        <w:tc>
          <w:tcPr>
            <w:tcW w:w="154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43"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highlight w:val="none"/>
                <w:vertAlign w:val="baseline"/>
                <w:lang w:val="en-US" w:eastAsia="zh-CN"/>
              </w:rPr>
            </w:pPr>
            <w:r>
              <w:rPr>
                <w:rFonts w:hint="eastAsia"/>
                <w:highlight w:val="none"/>
                <w:vertAlign w:val="baseline"/>
                <w:lang w:val="en-US" w:eastAsia="zh-CN"/>
              </w:rPr>
              <w:t>3</w:t>
            </w:r>
          </w:p>
        </w:tc>
        <w:tc>
          <w:tcPr>
            <w:tcW w:w="1105"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ighlight w:val="none"/>
                <w:vertAlign w:val="baseline"/>
                <w:lang w:val="en-US" w:eastAsia="zh-CN"/>
              </w:rPr>
            </w:pPr>
          </w:p>
        </w:tc>
        <w:tc>
          <w:tcPr>
            <w:tcW w:w="113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ighlight w:val="none"/>
                <w:vertAlign w:val="baseline"/>
                <w:lang w:val="en-US" w:eastAsia="zh-CN"/>
              </w:rPr>
            </w:pPr>
          </w:p>
        </w:tc>
        <w:tc>
          <w:tcPr>
            <w:tcW w:w="1397"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ighlight w:val="none"/>
                <w:vertAlign w:val="baseline"/>
                <w:lang w:val="en-US" w:eastAsia="zh-CN"/>
              </w:rPr>
            </w:pPr>
          </w:p>
        </w:tc>
        <w:tc>
          <w:tcPr>
            <w:tcW w:w="113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ighlight w:val="none"/>
                <w:vertAlign w:val="baseline"/>
                <w:lang w:val="en-US" w:eastAsia="zh-CN"/>
              </w:rPr>
            </w:pPr>
          </w:p>
        </w:tc>
        <w:tc>
          <w:tcPr>
            <w:tcW w:w="954"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ighlight w:val="none"/>
                <w:vertAlign w:val="baseline"/>
                <w:lang w:val="en-US" w:eastAsia="zh-CN"/>
              </w:rPr>
            </w:pPr>
          </w:p>
        </w:tc>
        <w:tc>
          <w:tcPr>
            <w:tcW w:w="126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ighlight w:val="none"/>
                <w:vertAlign w:val="baseline"/>
                <w:lang w:val="en-US" w:eastAsia="zh-CN"/>
              </w:rPr>
            </w:pPr>
          </w:p>
        </w:tc>
        <w:tc>
          <w:tcPr>
            <w:tcW w:w="154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743"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highlight w:val="none"/>
                <w:vertAlign w:val="baseline"/>
                <w:lang w:val="en-US" w:eastAsia="zh-CN"/>
              </w:rPr>
            </w:pPr>
            <w:r>
              <w:rPr>
                <w:rFonts w:hint="eastAsia"/>
                <w:highlight w:val="none"/>
                <w:vertAlign w:val="baseline"/>
                <w:lang w:val="en-US" w:eastAsia="zh-CN"/>
              </w:rPr>
              <w:t>...</w:t>
            </w:r>
          </w:p>
        </w:tc>
        <w:tc>
          <w:tcPr>
            <w:tcW w:w="1105"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ighlight w:val="none"/>
                <w:vertAlign w:val="baseline"/>
                <w:lang w:val="en-US" w:eastAsia="zh-CN"/>
              </w:rPr>
            </w:pPr>
          </w:p>
        </w:tc>
        <w:tc>
          <w:tcPr>
            <w:tcW w:w="113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ighlight w:val="none"/>
                <w:vertAlign w:val="baseline"/>
                <w:lang w:val="en-US" w:eastAsia="zh-CN"/>
              </w:rPr>
            </w:pPr>
          </w:p>
        </w:tc>
        <w:tc>
          <w:tcPr>
            <w:tcW w:w="1397"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ighlight w:val="none"/>
                <w:vertAlign w:val="baseline"/>
                <w:lang w:val="en-US" w:eastAsia="zh-CN"/>
              </w:rPr>
            </w:pPr>
          </w:p>
        </w:tc>
        <w:tc>
          <w:tcPr>
            <w:tcW w:w="113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ighlight w:val="none"/>
                <w:vertAlign w:val="baseline"/>
                <w:lang w:val="en-US" w:eastAsia="zh-CN"/>
              </w:rPr>
            </w:pPr>
          </w:p>
        </w:tc>
        <w:tc>
          <w:tcPr>
            <w:tcW w:w="954"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ighlight w:val="none"/>
                <w:vertAlign w:val="baseline"/>
                <w:lang w:val="en-US" w:eastAsia="zh-CN"/>
              </w:rPr>
            </w:pPr>
          </w:p>
        </w:tc>
        <w:tc>
          <w:tcPr>
            <w:tcW w:w="126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ighlight w:val="none"/>
                <w:vertAlign w:val="baseline"/>
                <w:lang w:val="en-US" w:eastAsia="zh-CN"/>
              </w:rPr>
            </w:pPr>
          </w:p>
        </w:tc>
        <w:tc>
          <w:tcPr>
            <w:tcW w:w="154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743"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highlight w:val="none"/>
                <w:vertAlign w:val="baseline"/>
                <w:lang w:val="en-US" w:eastAsia="zh-CN"/>
              </w:rPr>
            </w:pPr>
            <w:r>
              <w:rPr>
                <w:rFonts w:hint="eastAsia"/>
                <w:highlight w:val="none"/>
                <w:vertAlign w:val="baseline"/>
                <w:lang w:val="en-US" w:eastAsia="zh-CN"/>
              </w:rPr>
              <w:t>...</w:t>
            </w:r>
          </w:p>
        </w:tc>
        <w:tc>
          <w:tcPr>
            <w:tcW w:w="1105"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ighlight w:val="none"/>
                <w:vertAlign w:val="baseline"/>
                <w:lang w:val="en-US" w:eastAsia="zh-CN"/>
              </w:rPr>
            </w:pPr>
          </w:p>
        </w:tc>
        <w:tc>
          <w:tcPr>
            <w:tcW w:w="113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ighlight w:val="none"/>
                <w:vertAlign w:val="baseline"/>
                <w:lang w:val="en-US" w:eastAsia="zh-CN"/>
              </w:rPr>
            </w:pPr>
          </w:p>
        </w:tc>
        <w:tc>
          <w:tcPr>
            <w:tcW w:w="1397"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ighlight w:val="none"/>
                <w:vertAlign w:val="baseline"/>
                <w:lang w:val="en-US" w:eastAsia="zh-CN"/>
              </w:rPr>
            </w:pPr>
          </w:p>
        </w:tc>
        <w:tc>
          <w:tcPr>
            <w:tcW w:w="113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ighlight w:val="none"/>
                <w:vertAlign w:val="baseline"/>
                <w:lang w:val="en-US" w:eastAsia="zh-CN"/>
              </w:rPr>
            </w:pPr>
          </w:p>
        </w:tc>
        <w:tc>
          <w:tcPr>
            <w:tcW w:w="954"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ighlight w:val="none"/>
                <w:vertAlign w:val="baseline"/>
                <w:lang w:val="en-US" w:eastAsia="zh-CN"/>
              </w:rPr>
            </w:pPr>
          </w:p>
        </w:tc>
        <w:tc>
          <w:tcPr>
            <w:tcW w:w="126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ighlight w:val="none"/>
                <w:vertAlign w:val="baseline"/>
                <w:lang w:val="en-US" w:eastAsia="zh-CN"/>
              </w:rPr>
            </w:pPr>
          </w:p>
        </w:tc>
        <w:tc>
          <w:tcPr>
            <w:tcW w:w="154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743"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ighlight w:val="none"/>
                <w:vertAlign w:val="baseline"/>
                <w:lang w:val="en-US" w:eastAsia="zh-CN"/>
              </w:rPr>
            </w:pPr>
          </w:p>
        </w:tc>
        <w:tc>
          <w:tcPr>
            <w:tcW w:w="1105"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ighlight w:val="none"/>
                <w:vertAlign w:val="baseline"/>
                <w:lang w:val="en-US" w:eastAsia="zh-CN"/>
              </w:rPr>
            </w:pPr>
          </w:p>
        </w:tc>
        <w:tc>
          <w:tcPr>
            <w:tcW w:w="113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ighlight w:val="none"/>
                <w:vertAlign w:val="baseline"/>
                <w:lang w:val="en-US" w:eastAsia="zh-CN"/>
              </w:rPr>
            </w:pPr>
          </w:p>
        </w:tc>
        <w:tc>
          <w:tcPr>
            <w:tcW w:w="1397"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ighlight w:val="none"/>
                <w:vertAlign w:val="baseline"/>
                <w:lang w:val="en-US" w:eastAsia="zh-CN"/>
              </w:rPr>
            </w:pPr>
          </w:p>
        </w:tc>
        <w:tc>
          <w:tcPr>
            <w:tcW w:w="113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ighlight w:val="none"/>
                <w:vertAlign w:val="baseline"/>
                <w:lang w:val="en-US" w:eastAsia="zh-CN"/>
              </w:rPr>
            </w:pPr>
          </w:p>
        </w:tc>
        <w:tc>
          <w:tcPr>
            <w:tcW w:w="954"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ighlight w:val="none"/>
                <w:vertAlign w:val="baseline"/>
                <w:lang w:val="en-US" w:eastAsia="zh-CN"/>
              </w:rPr>
            </w:pPr>
          </w:p>
        </w:tc>
        <w:tc>
          <w:tcPr>
            <w:tcW w:w="126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ighlight w:val="none"/>
                <w:vertAlign w:val="baseline"/>
                <w:lang w:val="en-US" w:eastAsia="zh-CN"/>
              </w:rPr>
            </w:pPr>
          </w:p>
        </w:tc>
        <w:tc>
          <w:tcPr>
            <w:tcW w:w="154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48" w:type="dxa"/>
            <w:gridSpan w:val="2"/>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ighlight w:val="none"/>
                <w:vertAlign w:val="baseline"/>
                <w:lang w:val="en-US" w:eastAsia="zh-CN"/>
              </w:rPr>
            </w:pPr>
            <w:r>
              <w:rPr>
                <w:rFonts w:hint="eastAsia"/>
                <w:highlight w:val="none"/>
                <w:vertAlign w:val="baseline"/>
                <w:lang w:val="en-US" w:eastAsia="zh-CN"/>
              </w:rPr>
              <w:t>磋商总报价</w:t>
            </w:r>
          </w:p>
        </w:tc>
        <w:tc>
          <w:tcPr>
            <w:tcW w:w="7438" w:type="dxa"/>
            <w:gridSpan w:val="6"/>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highlight w:val="none"/>
                <w:vertAlign w:val="baseline"/>
                <w:lang w:val="en-US" w:eastAsia="zh-CN"/>
              </w:rPr>
            </w:pPr>
          </w:p>
        </w:tc>
      </w:tr>
    </w:tbl>
    <w:tbl>
      <w:tblPr>
        <w:tblStyle w:val="46"/>
        <w:tblpPr w:leftFromText="180" w:rightFromText="180" w:vertAnchor="text" w:tblpX="10596" w:tblpY="-2134"/>
        <w:tblOverlap w:val="never"/>
        <w:tblW w:w="1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207" w:type="dxa"/>
          </w:tcPr>
          <w:p>
            <w:pPr>
              <w:spacing w:line="300" w:lineRule="exact"/>
              <w:rPr>
                <w:rFonts w:hint="eastAsia" w:asciiTheme="minorEastAsia" w:hAnsiTheme="minorEastAsia" w:eastAsiaTheme="minorEastAsia" w:cstheme="minorEastAsia"/>
                <w:color w:val="auto"/>
                <w:sz w:val="24"/>
                <w:szCs w:val="24"/>
                <w:highlight w:val="none"/>
                <w:vertAlign w:val="baseline"/>
              </w:rPr>
            </w:pPr>
          </w:p>
        </w:tc>
      </w:tr>
    </w:tbl>
    <w:p>
      <w:pPr>
        <w:spacing w:line="300" w:lineRule="exact"/>
        <w:rPr>
          <w:rFonts w:hint="eastAsia" w:asciiTheme="minorEastAsia" w:hAnsiTheme="minorEastAsia" w:eastAsiaTheme="minorEastAsia" w:cstheme="minorEastAsia"/>
          <w:color w:val="auto"/>
          <w:sz w:val="24"/>
          <w:szCs w:val="24"/>
          <w:highlight w:val="none"/>
        </w:rPr>
      </w:pPr>
    </w:p>
    <w:p>
      <w:pPr>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注：1.本表应按“投标供应商须知”规定的要求填写。</w:t>
      </w:r>
    </w:p>
    <w:p>
      <w:pPr>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2.如果按单价计算的结果与总价不一致，以单价为准修正总价。</w:t>
      </w:r>
    </w:p>
    <w:p>
      <w:pPr>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3.如果不提供详细分项报价将视为没有实质性响应</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w:t>
      </w:r>
    </w:p>
    <w:p>
      <w:pPr>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hAnsi="宋体"/>
          <w:spacing w:val="-6"/>
          <w:szCs w:val="24"/>
          <w:highlight w:val="none"/>
        </w:rPr>
        <w:t>报价保留小数点后两位</w:t>
      </w:r>
      <w:r>
        <w:rPr>
          <w:rFonts w:hint="eastAsia" w:asciiTheme="minorEastAsia" w:hAnsiTheme="minorEastAsia" w:eastAsiaTheme="minorEastAsia" w:cstheme="minorEastAsia"/>
          <w:color w:val="auto"/>
          <w:sz w:val="24"/>
          <w:szCs w:val="24"/>
          <w:highlight w:val="none"/>
        </w:rPr>
        <w:t>。</w:t>
      </w:r>
    </w:p>
    <w:p>
      <w:pPr>
        <w:spacing w:line="480" w:lineRule="exact"/>
        <w:ind w:firstLine="480" w:firstLineChars="200"/>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u w:val="single"/>
        </w:rPr>
      </w:pPr>
      <w:r>
        <w:rPr>
          <w:rFonts w:hint="eastAsia" w:hAnsi="宋体" w:cs="宋体"/>
          <w:color w:val="auto"/>
          <w:sz w:val="24"/>
          <w:highlight w:val="none"/>
          <w:lang w:eastAsia="zh-CN"/>
        </w:rPr>
        <w:t>磋商</w:t>
      </w: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u w:val="single"/>
        </w:rPr>
      </w:pPr>
      <w:r>
        <w:rPr>
          <w:rFonts w:hint="eastAsia" w:ascii="宋体" w:hAnsi="宋体" w:cs="宋体"/>
          <w:color w:val="auto"/>
          <w:sz w:val="24"/>
          <w:highlight w:val="none"/>
        </w:rPr>
        <w:t>法定代表人或被授权代表（签</w:t>
      </w:r>
      <w:r>
        <w:rPr>
          <w:rFonts w:hint="eastAsia" w:hAnsi="宋体" w:cs="宋体"/>
          <w:color w:val="auto"/>
          <w:sz w:val="24"/>
          <w:highlight w:val="none"/>
          <w:lang w:eastAsia="zh-CN"/>
        </w:rPr>
        <w:t>字</w:t>
      </w:r>
      <w:r>
        <w:rPr>
          <w:rFonts w:hint="eastAsia" w:ascii="宋体" w:hAnsi="宋体" w:cs="宋体"/>
          <w:color w:val="auto"/>
          <w:sz w:val="24"/>
          <w:highlight w:val="none"/>
        </w:rPr>
        <w:t>或盖章）：</w:t>
      </w:r>
      <w:r>
        <w:rPr>
          <w:rFonts w:hint="eastAsia" w:ascii="宋体" w:hAnsi="宋体" w:cs="宋体"/>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hAnsi="宋体" w:cs="宋体"/>
          <w:color w:val="auto"/>
          <w:sz w:val="24"/>
          <w:highlight w:val="none"/>
          <w:u w:val="none"/>
          <w:lang w:eastAsia="zh-CN"/>
        </w:rPr>
        <w:t>年</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u w:val="none"/>
          <w:lang w:eastAsia="zh-CN"/>
        </w:rPr>
        <w:t>月</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u w:val="none"/>
          <w:lang w:eastAsia="zh-CN"/>
        </w:rPr>
        <w:t>日</w:t>
      </w:r>
    </w:p>
    <w:p>
      <w:pPr>
        <w:widowControl/>
        <w:jc w:val="left"/>
        <w:rPr>
          <w:rFonts w:hint="eastAsia" w:asciiTheme="minorEastAsia" w:hAnsiTheme="minorEastAsia" w:eastAsiaTheme="minorEastAsia" w:cstheme="minorEastAsia"/>
          <w:b/>
          <w:bCs/>
          <w:color w:val="auto"/>
          <w:sz w:val="24"/>
          <w:szCs w:val="24"/>
          <w:highlight w:val="none"/>
        </w:rPr>
        <w:sectPr>
          <w:pgSz w:w="11906" w:h="16838"/>
          <w:pgMar w:top="1418" w:right="1418" w:bottom="1418" w:left="1418" w:header="720" w:footer="720" w:gutter="0"/>
          <w:pgBorders>
            <w:top w:val="none" w:sz="0" w:space="0"/>
            <w:left w:val="none" w:sz="0" w:space="0"/>
            <w:bottom w:val="none" w:sz="0" w:space="0"/>
            <w:right w:val="none" w:sz="0" w:space="0"/>
          </w:pgBorders>
          <w:pgNumType w:fmt="decimal"/>
          <w:cols w:space="720" w:num="1"/>
          <w:docGrid w:type="lines" w:linePitch="312" w:charSpace="0"/>
        </w:sectPr>
      </w:pPr>
    </w:p>
    <w:p>
      <w:pPr>
        <w:autoSpaceDE w:val="0"/>
        <w:autoSpaceDN w:val="0"/>
        <w:adjustRightInd w:val="0"/>
        <w:snapToGrid w:val="0"/>
        <w:spacing w:line="360" w:lineRule="auto"/>
        <w:ind w:left="0" w:leftChars="0" w:firstLine="3337" w:firstLineChars="1385"/>
        <w:jc w:val="both"/>
        <w:outlineLvl w:val="0"/>
        <w:rPr>
          <w:rFonts w:hint="eastAsia" w:asciiTheme="minorEastAsia" w:hAnsiTheme="minorEastAsia" w:eastAsiaTheme="minorEastAsia" w:cstheme="minorEastAsia"/>
          <w:b/>
          <w:bCs/>
          <w:color w:val="auto"/>
          <w:sz w:val="24"/>
          <w:szCs w:val="24"/>
          <w:highlight w:val="none"/>
        </w:rPr>
      </w:pPr>
      <w:bookmarkStart w:id="350" w:name="_Toc16765"/>
      <w:bookmarkStart w:id="351" w:name="_Toc11916"/>
      <w:bookmarkStart w:id="352" w:name="_Toc24024"/>
      <w:bookmarkStart w:id="353" w:name="_Toc25592"/>
      <w:bookmarkStart w:id="354" w:name="_Toc1087"/>
      <w:r>
        <w:rPr>
          <w:rFonts w:hint="eastAsia" w:asciiTheme="minorEastAsia" w:hAnsiTheme="minorEastAsia" w:eastAsiaTheme="minorEastAsia" w:cstheme="minorEastAsia"/>
          <w:b/>
          <w:bCs/>
          <w:color w:val="auto"/>
          <w:sz w:val="24"/>
          <w:szCs w:val="24"/>
          <w:highlight w:val="none"/>
          <w:lang w:eastAsia="zh-CN"/>
        </w:rPr>
        <w:t>第三部分</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商务规格偏离表</w:t>
      </w:r>
      <w:bookmarkEnd w:id="350"/>
      <w:bookmarkEnd w:id="351"/>
      <w:bookmarkEnd w:id="352"/>
      <w:bookmarkEnd w:id="353"/>
      <w:bookmarkEnd w:id="354"/>
    </w:p>
    <w:p>
      <w:pPr>
        <w:pStyle w:val="5"/>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eastAsia="zh-CN"/>
        </w:rPr>
        <w:t>磋商</w:t>
      </w:r>
      <w:r>
        <w:rPr>
          <w:rFonts w:hint="eastAsia" w:ascii="宋体" w:hAnsi="宋体" w:cs="宋体"/>
          <w:color w:val="auto"/>
          <w:sz w:val="24"/>
          <w:szCs w:val="24"/>
          <w:highlight w:val="none"/>
        </w:rPr>
        <w:t>供应商名称：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采购项目编号：</w:t>
      </w:r>
      <w:r>
        <w:rPr>
          <w:rFonts w:hint="eastAsia" w:ascii="宋体" w:hAnsi="宋体" w:cs="宋体"/>
          <w:color w:val="auto"/>
          <w:sz w:val="24"/>
          <w:szCs w:val="24"/>
          <w:highlight w:val="none"/>
          <w:u w:val="single"/>
        </w:rPr>
        <w:t xml:space="preserve">             </w:t>
      </w:r>
    </w:p>
    <w:tbl>
      <w:tblPr>
        <w:tblStyle w:val="4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952"/>
        <w:gridCol w:w="2268"/>
        <w:gridCol w:w="1896"/>
        <w:gridCol w:w="9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noWrap w:val="0"/>
            <w:vAlign w:val="center"/>
          </w:tcPr>
          <w:p>
            <w:pPr>
              <w:spacing w:before="240" w:after="240" w:line="360" w:lineRule="auto"/>
              <w:jc w:val="center"/>
              <w:rPr>
                <w:rFonts w:ascii="宋体" w:hAnsi="宋体" w:cs="宋体"/>
                <w:color w:val="auto"/>
                <w:highlight w:val="none"/>
              </w:rPr>
            </w:pPr>
            <w:r>
              <w:rPr>
                <w:rFonts w:hint="eastAsia" w:ascii="宋体" w:hAnsi="宋体" w:cs="宋体"/>
                <w:color w:val="auto"/>
                <w:highlight w:val="none"/>
              </w:rPr>
              <w:t>序号</w:t>
            </w:r>
          </w:p>
        </w:tc>
        <w:tc>
          <w:tcPr>
            <w:tcW w:w="2952" w:type="dxa"/>
            <w:noWrap w:val="0"/>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竞争性磋商文件要求</w:t>
            </w:r>
          </w:p>
        </w:tc>
        <w:tc>
          <w:tcPr>
            <w:tcW w:w="2268" w:type="dxa"/>
            <w:noWrap w:val="0"/>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竞争性磋商响应文件响应内容</w:t>
            </w:r>
          </w:p>
        </w:tc>
        <w:tc>
          <w:tcPr>
            <w:tcW w:w="1896" w:type="dxa"/>
            <w:noWrap w:val="0"/>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偏离情况</w:t>
            </w:r>
          </w:p>
        </w:tc>
        <w:tc>
          <w:tcPr>
            <w:tcW w:w="984" w:type="dxa"/>
            <w:noWrap w:val="0"/>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center"/>
          </w:tcPr>
          <w:p>
            <w:pPr>
              <w:spacing w:before="240" w:after="240" w:line="360" w:lineRule="auto"/>
              <w:jc w:val="center"/>
              <w:rPr>
                <w:rFonts w:ascii="宋体" w:hAnsi="宋体" w:cs="宋体"/>
                <w:color w:val="auto"/>
                <w:highlight w:val="none"/>
              </w:rPr>
            </w:pPr>
          </w:p>
        </w:tc>
        <w:tc>
          <w:tcPr>
            <w:tcW w:w="2952" w:type="dxa"/>
            <w:noWrap w:val="0"/>
            <w:vAlign w:val="center"/>
          </w:tcPr>
          <w:p>
            <w:pPr>
              <w:spacing w:line="360" w:lineRule="auto"/>
              <w:jc w:val="center"/>
              <w:rPr>
                <w:rFonts w:ascii="宋体" w:hAnsi="宋体" w:cs="宋体"/>
                <w:color w:val="auto"/>
                <w:highlight w:val="none"/>
              </w:rPr>
            </w:pPr>
          </w:p>
        </w:tc>
        <w:tc>
          <w:tcPr>
            <w:tcW w:w="2268" w:type="dxa"/>
            <w:noWrap w:val="0"/>
            <w:vAlign w:val="center"/>
          </w:tcPr>
          <w:p>
            <w:pPr>
              <w:spacing w:line="360" w:lineRule="auto"/>
              <w:jc w:val="center"/>
              <w:rPr>
                <w:rFonts w:ascii="宋体" w:hAnsi="宋体" w:cs="宋体"/>
                <w:color w:val="auto"/>
                <w:highlight w:val="none"/>
              </w:rPr>
            </w:pPr>
          </w:p>
        </w:tc>
        <w:tc>
          <w:tcPr>
            <w:tcW w:w="1896" w:type="dxa"/>
            <w:noWrap w:val="0"/>
            <w:vAlign w:val="center"/>
          </w:tcPr>
          <w:p>
            <w:pPr>
              <w:spacing w:line="360" w:lineRule="auto"/>
              <w:jc w:val="center"/>
              <w:rPr>
                <w:rFonts w:ascii="宋体" w:hAnsi="宋体" w:cs="宋体"/>
                <w:color w:val="auto"/>
                <w:highlight w:val="none"/>
              </w:rPr>
            </w:pPr>
          </w:p>
        </w:tc>
        <w:tc>
          <w:tcPr>
            <w:tcW w:w="984" w:type="dxa"/>
            <w:noWrap w:val="0"/>
            <w:vAlign w:val="center"/>
          </w:tcPr>
          <w:p>
            <w:pPr>
              <w:spacing w:line="360" w:lineRule="auto"/>
              <w:jc w:val="center"/>
              <w:rPr>
                <w:rFonts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pPr>
              <w:spacing w:before="240" w:after="240" w:line="360" w:lineRule="auto"/>
              <w:rPr>
                <w:rFonts w:ascii="宋体" w:hAnsi="宋体" w:cs="宋体"/>
                <w:color w:val="auto"/>
                <w:highlight w:val="none"/>
              </w:rPr>
            </w:pPr>
          </w:p>
        </w:tc>
        <w:tc>
          <w:tcPr>
            <w:tcW w:w="2952" w:type="dxa"/>
            <w:noWrap w:val="0"/>
            <w:vAlign w:val="top"/>
          </w:tcPr>
          <w:p>
            <w:pPr>
              <w:spacing w:line="360" w:lineRule="auto"/>
              <w:rPr>
                <w:rFonts w:ascii="宋体" w:hAnsi="宋体" w:cs="宋体"/>
                <w:color w:val="auto"/>
                <w:highlight w:val="none"/>
              </w:rPr>
            </w:pPr>
          </w:p>
        </w:tc>
        <w:tc>
          <w:tcPr>
            <w:tcW w:w="2268" w:type="dxa"/>
            <w:noWrap w:val="0"/>
            <w:vAlign w:val="top"/>
          </w:tcPr>
          <w:p>
            <w:pPr>
              <w:spacing w:line="360" w:lineRule="auto"/>
              <w:rPr>
                <w:rFonts w:ascii="宋体" w:hAnsi="宋体" w:cs="宋体"/>
                <w:color w:val="auto"/>
                <w:highlight w:val="none"/>
              </w:rPr>
            </w:pPr>
          </w:p>
        </w:tc>
        <w:tc>
          <w:tcPr>
            <w:tcW w:w="1896" w:type="dxa"/>
            <w:noWrap w:val="0"/>
            <w:vAlign w:val="top"/>
          </w:tcPr>
          <w:p>
            <w:pPr>
              <w:spacing w:line="360" w:lineRule="auto"/>
              <w:rPr>
                <w:rFonts w:ascii="宋体" w:hAnsi="宋体" w:cs="宋体"/>
                <w:color w:val="auto"/>
                <w:highlight w:val="none"/>
              </w:rPr>
            </w:pPr>
          </w:p>
        </w:tc>
        <w:tc>
          <w:tcPr>
            <w:tcW w:w="984" w:type="dxa"/>
            <w:noWrap w:val="0"/>
            <w:vAlign w:val="top"/>
          </w:tcPr>
          <w:p>
            <w:pPr>
              <w:spacing w:line="360" w:lineRule="auto"/>
              <w:rPr>
                <w:rFonts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pPr>
              <w:spacing w:before="240" w:after="240" w:line="360" w:lineRule="auto"/>
              <w:rPr>
                <w:rFonts w:ascii="宋体" w:hAnsi="宋体" w:cs="宋体"/>
                <w:color w:val="auto"/>
                <w:highlight w:val="none"/>
              </w:rPr>
            </w:pPr>
          </w:p>
        </w:tc>
        <w:tc>
          <w:tcPr>
            <w:tcW w:w="2952" w:type="dxa"/>
            <w:noWrap w:val="0"/>
            <w:vAlign w:val="top"/>
          </w:tcPr>
          <w:p>
            <w:pPr>
              <w:spacing w:line="360" w:lineRule="auto"/>
              <w:rPr>
                <w:rFonts w:ascii="宋体" w:hAnsi="宋体" w:cs="宋体"/>
                <w:color w:val="auto"/>
                <w:highlight w:val="none"/>
              </w:rPr>
            </w:pPr>
          </w:p>
        </w:tc>
        <w:tc>
          <w:tcPr>
            <w:tcW w:w="2268" w:type="dxa"/>
            <w:noWrap w:val="0"/>
            <w:vAlign w:val="top"/>
          </w:tcPr>
          <w:p>
            <w:pPr>
              <w:spacing w:line="360" w:lineRule="auto"/>
              <w:rPr>
                <w:rFonts w:ascii="宋体" w:hAnsi="宋体" w:cs="宋体"/>
                <w:color w:val="auto"/>
                <w:highlight w:val="none"/>
              </w:rPr>
            </w:pPr>
          </w:p>
        </w:tc>
        <w:tc>
          <w:tcPr>
            <w:tcW w:w="1896" w:type="dxa"/>
            <w:noWrap w:val="0"/>
            <w:vAlign w:val="top"/>
          </w:tcPr>
          <w:p>
            <w:pPr>
              <w:spacing w:line="360" w:lineRule="auto"/>
              <w:rPr>
                <w:rFonts w:ascii="宋体" w:hAnsi="宋体" w:cs="宋体"/>
                <w:color w:val="auto"/>
                <w:highlight w:val="none"/>
              </w:rPr>
            </w:pPr>
          </w:p>
        </w:tc>
        <w:tc>
          <w:tcPr>
            <w:tcW w:w="984" w:type="dxa"/>
            <w:noWrap w:val="0"/>
            <w:vAlign w:val="top"/>
          </w:tcPr>
          <w:p>
            <w:pPr>
              <w:spacing w:line="360" w:lineRule="auto"/>
              <w:rPr>
                <w:rFonts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pPr>
              <w:spacing w:before="240" w:after="240" w:line="360" w:lineRule="auto"/>
              <w:rPr>
                <w:rFonts w:ascii="宋体" w:hAnsi="宋体" w:cs="宋体"/>
                <w:color w:val="auto"/>
                <w:highlight w:val="none"/>
              </w:rPr>
            </w:pPr>
          </w:p>
        </w:tc>
        <w:tc>
          <w:tcPr>
            <w:tcW w:w="2952" w:type="dxa"/>
            <w:noWrap w:val="0"/>
            <w:vAlign w:val="top"/>
          </w:tcPr>
          <w:p>
            <w:pPr>
              <w:spacing w:line="360" w:lineRule="auto"/>
              <w:rPr>
                <w:rFonts w:ascii="宋体" w:hAnsi="宋体" w:cs="宋体"/>
                <w:color w:val="auto"/>
                <w:highlight w:val="none"/>
              </w:rPr>
            </w:pPr>
          </w:p>
        </w:tc>
        <w:tc>
          <w:tcPr>
            <w:tcW w:w="2268" w:type="dxa"/>
            <w:noWrap w:val="0"/>
            <w:vAlign w:val="top"/>
          </w:tcPr>
          <w:p>
            <w:pPr>
              <w:spacing w:line="360" w:lineRule="auto"/>
              <w:rPr>
                <w:rFonts w:ascii="宋体" w:hAnsi="宋体" w:cs="宋体"/>
                <w:color w:val="auto"/>
                <w:highlight w:val="none"/>
              </w:rPr>
            </w:pPr>
          </w:p>
        </w:tc>
        <w:tc>
          <w:tcPr>
            <w:tcW w:w="1896" w:type="dxa"/>
            <w:noWrap w:val="0"/>
            <w:vAlign w:val="top"/>
          </w:tcPr>
          <w:p>
            <w:pPr>
              <w:spacing w:line="360" w:lineRule="auto"/>
              <w:rPr>
                <w:rFonts w:ascii="宋体" w:hAnsi="宋体" w:cs="宋体"/>
                <w:color w:val="auto"/>
                <w:highlight w:val="none"/>
              </w:rPr>
            </w:pPr>
          </w:p>
        </w:tc>
        <w:tc>
          <w:tcPr>
            <w:tcW w:w="984" w:type="dxa"/>
            <w:noWrap w:val="0"/>
            <w:vAlign w:val="top"/>
          </w:tcPr>
          <w:p>
            <w:pPr>
              <w:spacing w:line="360" w:lineRule="auto"/>
              <w:rPr>
                <w:rFonts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pPr>
              <w:spacing w:before="240" w:after="240" w:line="360" w:lineRule="auto"/>
              <w:rPr>
                <w:rFonts w:ascii="宋体" w:hAnsi="宋体" w:cs="宋体"/>
                <w:color w:val="auto"/>
                <w:highlight w:val="none"/>
              </w:rPr>
            </w:pPr>
          </w:p>
        </w:tc>
        <w:tc>
          <w:tcPr>
            <w:tcW w:w="2952" w:type="dxa"/>
            <w:noWrap w:val="0"/>
            <w:vAlign w:val="top"/>
          </w:tcPr>
          <w:p>
            <w:pPr>
              <w:spacing w:line="360" w:lineRule="auto"/>
              <w:rPr>
                <w:rFonts w:ascii="宋体" w:hAnsi="宋体" w:cs="宋体"/>
                <w:color w:val="auto"/>
                <w:highlight w:val="none"/>
              </w:rPr>
            </w:pPr>
          </w:p>
        </w:tc>
        <w:tc>
          <w:tcPr>
            <w:tcW w:w="2268" w:type="dxa"/>
            <w:noWrap w:val="0"/>
            <w:vAlign w:val="top"/>
          </w:tcPr>
          <w:p>
            <w:pPr>
              <w:spacing w:line="360" w:lineRule="auto"/>
              <w:rPr>
                <w:rFonts w:ascii="宋体" w:hAnsi="宋体" w:cs="宋体"/>
                <w:color w:val="auto"/>
                <w:highlight w:val="none"/>
              </w:rPr>
            </w:pPr>
          </w:p>
        </w:tc>
        <w:tc>
          <w:tcPr>
            <w:tcW w:w="1896" w:type="dxa"/>
            <w:noWrap w:val="0"/>
            <w:vAlign w:val="top"/>
          </w:tcPr>
          <w:p>
            <w:pPr>
              <w:spacing w:line="360" w:lineRule="auto"/>
              <w:rPr>
                <w:rFonts w:ascii="宋体" w:hAnsi="宋体" w:cs="宋体"/>
                <w:color w:val="auto"/>
                <w:highlight w:val="none"/>
              </w:rPr>
            </w:pPr>
          </w:p>
        </w:tc>
        <w:tc>
          <w:tcPr>
            <w:tcW w:w="984" w:type="dxa"/>
            <w:noWrap w:val="0"/>
            <w:vAlign w:val="top"/>
          </w:tcPr>
          <w:p>
            <w:pPr>
              <w:spacing w:line="360" w:lineRule="auto"/>
              <w:rPr>
                <w:rFonts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pPr>
              <w:spacing w:before="240" w:after="240" w:line="360" w:lineRule="auto"/>
              <w:rPr>
                <w:rFonts w:ascii="宋体" w:hAnsi="宋体" w:cs="宋体"/>
                <w:color w:val="auto"/>
                <w:highlight w:val="none"/>
              </w:rPr>
            </w:pPr>
          </w:p>
        </w:tc>
        <w:tc>
          <w:tcPr>
            <w:tcW w:w="2952" w:type="dxa"/>
            <w:noWrap w:val="0"/>
            <w:vAlign w:val="top"/>
          </w:tcPr>
          <w:p>
            <w:pPr>
              <w:spacing w:line="360" w:lineRule="auto"/>
              <w:rPr>
                <w:rFonts w:ascii="宋体" w:hAnsi="宋体" w:cs="宋体"/>
                <w:color w:val="auto"/>
                <w:highlight w:val="none"/>
              </w:rPr>
            </w:pPr>
          </w:p>
        </w:tc>
        <w:tc>
          <w:tcPr>
            <w:tcW w:w="2268" w:type="dxa"/>
            <w:noWrap w:val="0"/>
            <w:vAlign w:val="top"/>
          </w:tcPr>
          <w:p>
            <w:pPr>
              <w:spacing w:line="360" w:lineRule="auto"/>
              <w:rPr>
                <w:rFonts w:ascii="宋体" w:hAnsi="宋体" w:cs="宋体"/>
                <w:color w:val="auto"/>
                <w:highlight w:val="none"/>
              </w:rPr>
            </w:pPr>
          </w:p>
        </w:tc>
        <w:tc>
          <w:tcPr>
            <w:tcW w:w="1896" w:type="dxa"/>
            <w:noWrap w:val="0"/>
            <w:vAlign w:val="top"/>
          </w:tcPr>
          <w:p>
            <w:pPr>
              <w:spacing w:line="360" w:lineRule="auto"/>
              <w:rPr>
                <w:rFonts w:ascii="宋体" w:hAnsi="宋体" w:cs="宋体"/>
                <w:color w:val="auto"/>
                <w:highlight w:val="none"/>
              </w:rPr>
            </w:pPr>
          </w:p>
        </w:tc>
        <w:tc>
          <w:tcPr>
            <w:tcW w:w="984" w:type="dxa"/>
            <w:noWrap w:val="0"/>
            <w:vAlign w:val="top"/>
          </w:tcPr>
          <w:p>
            <w:pPr>
              <w:spacing w:line="360" w:lineRule="auto"/>
              <w:rPr>
                <w:rFonts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pPr>
              <w:spacing w:before="240" w:after="240" w:line="360" w:lineRule="auto"/>
              <w:rPr>
                <w:rFonts w:ascii="宋体" w:hAnsi="宋体" w:cs="宋体"/>
                <w:color w:val="auto"/>
                <w:highlight w:val="none"/>
              </w:rPr>
            </w:pPr>
          </w:p>
        </w:tc>
        <w:tc>
          <w:tcPr>
            <w:tcW w:w="2952" w:type="dxa"/>
            <w:noWrap w:val="0"/>
            <w:vAlign w:val="top"/>
          </w:tcPr>
          <w:p>
            <w:pPr>
              <w:spacing w:line="360" w:lineRule="auto"/>
              <w:rPr>
                <w:rFonts w:ascii="宋体" w:hAnsi="宋体" w:cs="宋体"/>
                <w:color w:val="auto"/>
                <w:highlight w:val="none"/>
              </w:rPr>
            </w:pPr>
          </w:p>
        </w:tc>
        <w:tc>
          <w:tcPr>
            <w:tcW w:w="2268" w:type="dxa"/>
            <w:noWrap w:val="0"/>
            <w:vAlign w:val="top"/>
          </w:tcPr>
          <w:p>
            <w:pPr>
              <w:spacing w:line="360" w:lineRule="auto"/>
              <w:rPr>
                <w:rFonts w:ascii="宋体" w:hAnsi="宋体" w:cs="宋体"/>
                <w:color w:val="auto"/>
                <w:highlight w:val="none"/>
              </w:rPr>
            </w:pPr>
          </w:p>
        </w:tc>
        <w:tc>
          <w:tcPr>
            <w:tcW w:w="1896" w:type="dxa"/>
            <w:noWrap w:val="0"/>
            <w:vAlign w:val="top"/>
          </w:tcPr>
          <w:p>
            <w:pPr>
              <w:spacing w:line="360" w:lineRule="auto"/>
              <w:rPr>
                <w:rFonts w:ascii="宋体" w:hAnsi="宋体" w:cs="宋体"/>
                <w:color w:val="auto"/>
                <w:highlight w:val="none"/>
              </w:rPr>
            </w:pPr>
          </w:p>
        </w:tc>
        <w:tc>
          <w:tcPr>
            <w:tcW w:w="984" w:type="dxa"/>
            <w:noWrap w:val="0"/>
            <w:vAlign w:val="top"/>
          </w:tcPr>
          <w:p>
            <w:pPr>
              <w:spacing w:line="360" w:lineRule="auto"/>
              <w:rPr>
                <w:rFonts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pPr>
              <w:spacing w:before="240" w:after="240" w:line="360" w:lineRule="auto"/>
              <w:rPr>
                <w:rFonts w:ascii="宋体" w:hAnsi="宋体" w:cs="宋体"/>
                <w:color w:val="auto"/>
                <w:highlight w:val="none"/>
              </w:rPr>
            </w:pPr>
          </w:p>
        </w:tc>
        <w:tc>
          <w:tcPr>
            <w:tcW w:w="2952" w:type="dxa"/>
            <w:noWrap w:val="0"/>
            <w:vAlign w:val="top"/>
          </w:tcPr>
          <w:p>
            <w:pPr>
              <w:spacing w:line="360" w:lineRule="auto"/>
              <w:rPr>
                <w:rFonts w:ascii="宋体" w:hAnsi="宋体" w:cs="宋体"/>
                <w:color w:val="auto"/>
                <w:highlight w:val="none"/>
              </w:rPr>
            </w:pPr>
          </w:p>
        </w:tc>
        <w:tc>
          <w:tcPr>
            <w:tcW w:w="2268" w:type="dxa"/>
            <w:noWrap w:val="0"/>
            <w:vAlign w:val="top"/>
          </w:tcPr>
          <w:p>
            <w:pPr>
              <w:spacing w:line="360" w:lineRule="auto"/>
              <w:rPr>
                <w:rFonts w:ascii="宋体" w:hAnsi="宋体" w:cs="宋体"/>
                <w:color w:val="auto"/>
                <w:highlight w:val="none"/>
              </w:rPr>
            </w:pPr>
          </w:p>
        </w:tc>
        <w:tc>
          <w:tcPr>
            <w:tcW w:w="1896" w:type="dxa"/>
            <w:noWrap w:val="0"/>
            <w:vAlign w:val="top"/>
          </w:tcPr>
          <w:p>
            <w:pPr>
              <w:spacing w:line="360" w:lineRule="auto"/>
              <w:rPr>
                <w:rFonts w:ascii="宋体" w:hAnsi="宋体" w:cs="宋体"/>
                <w:color w:val="auto"/>
                <w:highlight w:val="none"/>
              </w:rPr>
            </w:pPr>
          </w:p>
        </w:tc>
        <w:tc>
          <w:tcPr>
            <w:tcW w:w="984" w:type="dxa"/>
            <w:noWrap w:val="0"/>
            <w:vAlign w:val="top"/>
          </w:tcPr>
          <w:p>
            <w:pPr>
              <w:spacing w:line="360" w:lineRule="auto"/>
              <w:rPr>
                <w:rFonts w:ascii="宋体" w:hAnsi="宋体" w:cs="宋体"/>
                <w:color w:val="auto"/>
                <w:highlight w:val="none"/>
              </w:rPr>
            </w:pPr>
          </w:p>
        </w:tc>
      </w:tr>
    </w:tbl>
    <w:p>
      <w:pPr>
        <w:bidi w:val="0"/>
        <w:spacing w:line="360" w:lineRule="auto"/>
        <w:ind w:firstLine="480" w:firstLineChars="200"/>
        <w:jc w:val="left"/>
        <w:rPr>
          <w:rFonts w:hint="eastAsia" w:eastAsia="宋体" w:asciiTheme="minorAscii" w:hAnsiTheme="minorAscii" w:cstheme="minorBidi"/>
          <w:kern w:val="2"/>
          <w:szCs w:val="24"/>
          <w:highlight w:val="none"/>
          <w:lang w:val="en-US" w:eastAsia="zh-CN"/>
        </w:rPr>
      </w:pPr>
      <w:r>
        <w:rPr>
          <w:rFonts w:hint="eastAsia" w:eastAsia="宋体" w:asciiTheme="minorAscii" w:hAnsiTheme="minorAscii" w:cstheme="minorBidi"/>
          <w:kern w:val="2"/>
          <w:szCs w:val="24"/>
          <w:highlight w:val="none"/>
          <w:lang w:val="en-US" w:eastAsia="zh-CN"/>
        </w:rPr>
        <w:t>注：</w:t>
      </w:r>
      <w:r>
        <w:rPr>
          <w:rFonts w:hint="eastAsia" w:asciiTheme="minorAscii" w:hAnsiTheme="minorAscii" w:cstheme="minorBidi"/>
          <w:kern w:val="2"/>
          <w:szCs w:val="24"/>
          <w:highlight w:val="none"/>
          <w:lang w:val="en-US" w:eastAsia="zh-CN"/>
        </w:rPr>
        <w:t>1</w:t>
      </w:r>
      <w:r>
        <w:rPr>
          <w:rFonts w:hint="eastAsia" w:eastAsia="宋体" w:asciiTheme="minorAscii" w:hAnsiTheme="minorAscii" w:cstheme="minorBidi"/>
          <w:kern w:val="2"/>
          <w:szCs w:val="24"/>
          <w:highlight w:val="none"/>
          <w:lang w:val="en-US" w:eastAsia="zh-CN"/>
        </w:rPr>
        <w:t>.供应商可根据项目情况自行增加内容项完善表格，表格不够用，可按此表复制。</w:t>
      </w:r>
    </w:p>
    <w:p>
      <w:pPr>
        <w:bidi w:val="0"/>
        <w:spacing w:line="360" w:lineRule="auto"/>
        <w:ind w:firstLine="480" w:firstLineChars="200"/>
        <w:jc w:val="left"/>
        <w:rPr>
          <w:rFonts w:hint="eastAsia" w:eastAsia="宋体" w:asciiTheme="minorAscii" w:hAnsiTheme="minorAscii" w:cstheme="minorBidi"/>
          <w:kern w:val="2"/>
          <w:szCs w:val="24"/>
          <w:highlight w:val="none"/>
          <w:lang w:val="en-US" w:eastAsia="zh-CN"/>
        </w:rPr>
      </w:pPr>
      <w:r>
        <w:rPr>
          <w:rFonts w:hint="eastAsia" w:asciiTheme="minorAscii" w:hAnsiTheme="minorAscii" w:cstheme="minorBidi"/>
          <w:kern w:val="2"/>
          <w:szCs w:val="24"/>
          <w:highlight w:val="none"/>
          <w:lang w:val="en-US" w:eastAsia="zh-CN"/>
        </w:rPr>
        <w:t>2</w:t>
      </w:r>
      <w:r>
        <w:rPr>
          <w:rFonts w:hint="eastAsia" w:eastAsia="宋体" w:asciiTheme="minorAscii" w:hAnsiTheme="minorAscii" w:cstheme="minorBidi"/>
          <w:kern w:val="2"/>
          <w:szCs w:val="24"/>
          <w:highlight w:val="none"/>
          <w:lang w:val="en-US" w:eastAsia="zh-CN"/>
        </w:rPr>
        <w:t>.供应商须如实填写该表，如有隐瞒，后果由供应商自负。</w:t>
      </w:r>
    </w:p>
    <w:p>
      <w:pPr>
        <w:bidi w:val="0"/>
        <w:spacing w:line="360" w:lineRule="auto"/>
        <w:ind w:firstLine="480" w:firstLineChars="200"/>
        <w:jc w:val="left"/>
        <w:rPr>
          <w:rFonts w:hint="eastAsia" w:eastAsia="宋体" w:asciiTheme="minorAscii" w:hAnsiTheme="minorAscii" w:cstheme="minorBidi"/>
          <w:kern w:val="2"/>
          <w:szCs w:val="24"/>
          <w:highlight w:val="none"/>
          <w:lang w:val="en-US" w:eastAsia="zh-CN"/>
        </w:rPr>
      </w:pPr>
      <w:r>
        <w:rPr>
          <w:rFonts w:hint="eastAsia" w:asciiTheme="minorAscii" w:hAnsiTheme="minorAscii" w:cstheme="minorBidi"/>
          <w:kern w:val="2"/>
          <w:szCs w:val="24"/>
          <w:highlight w:val="none"/>
          <w:lang w:val="en-US" w:eastAsia="zh-CN"/>
        </w:rPr>
        <w:t>3</w:t>
      </w:r>
      <w:r>
        <w:rPr>
          <w:rFonts w:hint="eastAsia" w:eastAsia="宋体" w:asciiTheme="minorAscii" w:hAnsiTheme="minorAscii" w:cstheme="minorBidi"/>
          <w:kern w:val="2"/>
          <w:szCs w:val="24"/>
          <w:highlight w:val="none"/>
          <w:lang w:val="en-US" w:eastAsia="zh-CN"/>
        </w:rPr>
        <w:t>.本表只填写响应文件中与磋商文件有偏离的内容，响应文件中合同条款响应与磋商文件要求完全一致的，不用在此表中列出，但必须提交空白表。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u w:val="single"/>
        </w:rPr>
      </w:pPr>
      <w:r>
        <w:rPr>
          <w:rFonts w:hint="eastAsia" w:hAnsi="宋体" w:cs="宋体"/>
          <w:color w:val="auto"/>
          <w:sz w:val="24"/>
          <w:highlight w:val="none"/>
          <w:lang w:eastAsia="zh-CN"/>
        </w:rPr>
        <w:t>磋商</w:t>
      </w: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u w:val="single"/>
        </w:rPr>
      </w:pPr>
      <w:r>
        <w:rPr>
          <w:rFonts w:hint="eastAsia" w:ascii="宋体" w:hAnsi="宋体" w:cs="宋体"/>
          <w:color w:val="auto"/>
          <w:sz w:val="24"/>
          <w:highlight w:val="none"/>
        </w:rPr>
        <w:t>法定代表人或被授权代表（签</w:t>
      </w:r>
      <w:r>
        <w:rPr>
          <w:rFonts w:hint="eastAsia" w:hAnsi="宋体" w:cs="宋体"/>
          <w:color w:val="auto"/>
          <w:sz w:val="24"/>
          <w:highlight w:val="none"/>
          <w:lang w:eastAsia="zh-CN"/>
        </w:rPr>
        <w:t>字</w:t>
      </w:r>
      <w:r>
        <w:rPr>
          <w:rFonts w:hint="eastAsia" w:ascii="宋体" w:hAnsi="宋体" w:cs="宋体"/>
          <w:color w:val="auto"/>
          <w:sz w:val="24"/>
          <w:highlight w:val="none"/>
        </w:rPr>
        <w:t>或盖章）：</w:t>
      </w:r>
      <w:r>
        <w:rPr>
          <w:rFonts w:hint="eastAsia" w:ascii="宋体" w:hAnsi="宋体" w:cs="宋体"/>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hAnsi="宋体" w:cs="宋体"/>
          <w:color w:val="auto"/>
          <w:sz w:val="24"/>
          <w:highlight w:val="none"/>
          <w:u w:val="none"/>
          <w:lang w:eastAsia="zh-CN"/>
        </w:rPr>
        <w:t>年</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u w:val="none"/>
          <w:lang w:eastAsia="zh-CN"/>
        </w:rPr>
        <w:t>月</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u w:val="none"/>
          <w:lang w:eastAsia="zh-CN"/>
        </w:rPr>
        <w:t>日</w:t>
      </w:r>
    </w:p>
    <w:p>
      <w:pPr>
        <w:rPr>
          <w:rFonts w:hint="eastAsia" w:asciiTheme="minorEastAsia" w:hAnsiTheme="minorEastAsia" w:eastAsiaTheme="minorEastAsia" w:cstheme="minorEastAsia"/>
          <w:b/>
          <w:bCs/>
          <w:color w:val="auto"/>
          <w:sz w:val="24"/>
          <w:szCs w:val="24"/>
          <w:highlight w:val="none"/>
          <w:lang w:eastAsia="zh-CN"/>
        </w:rPr>
      </w:pPr>
      <w:bookmarkStart w:id="355" w:name="_Toc7253"/>
      <w:bookmarkStart w:id="356" w:name="_Toc5863"/>
      <w:bookmarkStart w:id="357" w:name="_Toc21855"/>
      <w:bookmarkStart w:id="358" w:name="_Toc4684"/>
      <w:bookmarkStart w:id="359" w:name="_Toc14104"/>
      <w:r>
        <w:rPr>
          <w:rFonts w:hint="eastAsia" w:asciiTheme="minorEastAsia" w:hAnsiTheme="minorEastAsia" w:eastAsiaTheme="minorEastAsia" w:cstheme="minorEastAsia"/>
          <w:b/>
          <w:bCs/>
          <w:color w:val="auto"/>
          <w:sz w:val="24"/>
          <w:szCs w:val="24"/>
          <w:highlight w:val="none"/>
          <w:lang w:eastAsia="zh-CN"/>
        </w:rPr>
        <w:br w:type="page"/>
      </w:r>
    </w:p>
    <w:p>
      <w:pPr>
        <w:autoSpaceDE w:val="0"/>
        <w:autoSpaceDN w:val="0"/>
        <w:adjustRightInd w:val="0"/>
        <w:snapToGrid w:val="0"/>
        <w:spacing w:line="360" w:lineRule="auto"/>
        <w:ind w:left="0" w:leftChars="0" w:firstLine="3096" w:firstLineChars="1285"/>
        <w:jc w:val="both"/>
        <w:outlineLvl w:val="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第四部分</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技术规格偏离表</w:t>
      </w:r>
      <w:bookmarkEnd w:id="355"/>
      <w:bookmarkEnd w:id="356"/>
      <w:bookmarkEnd w:id="357"/>
      <w:bookmarkEnd w:id="358"/>
      <w:bookmarkEnd w:id="359"/>
    </w:p>
    <w:p>
      <w:pPr>
        <w:spacing w:after="240" w:line="360" w:lineRule="auto"/>
        <w:rPr>
          <w:rFonts w:ascii="宋体" w:hAnsi="宋体" w:cs="宋体"/>
          <w:color w:val="auto"/>
          <w:sz w:val="24"/>
          <w:szCs w:val="24"/>
          <w:highlight w:val="none"/>
        </w:rPr>
      </w:pPr>
      <w:r>
        <w:rPr>
          <w:rFonts w:hint="eastAsia" w:hAnsi="宋体" w:cs="宋体"/>
          <w:color w:val="auto"/>
          <w:sz w:val="24"/>
          <w:szCs w:val="24"/>
          <w:highlight w:val="none"/>
          <w:lang w:eastAsia="zh-CN"/>
        </w:rPr>
        <w:t>磋商</w:t>
      </w:r>
      <w:r>
        <w:rPr>
          <w:rFonts w:hint="eastAsia" w:ascii="宋体" w:hAnsi="宋体" w:cs="宋体"/>
          <w:color w:val="auto"/>
          <w:sz w:val="24"/>
          <w:szCs w:val="24"/>
          <w:highlight w:val="none"/>
        </w:rPr>
        <w:t>供应商名称：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采购项目编号：</w:t>
      </w:r>
      <w:r>
        <w:rPr>
          <w:rFonts w:hint="eastAsia" w:ascii="宋体" w:hAnsi="宋体" w:cs="宋体"/>
          <w:color w:val="auto"/>
          <w:sz w:val="24"/>
          <w:szCs w:val="24"/>
          <w:highlight w:val="none"/>
          <w:u w:val="single"/>
        </w:rPr>
        <w:t xml:space="preserve">                </w:t>
      </w:r>
    </w:p>
    <w:tbl>
      <w:tblPr>
        <w:tblStyle w:val="4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952"/>
        <w:gridCol w:w="2268"/>
        <w:gridCol w:w="1896"/>
        <w:gridCol w:w="9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noWrap w:val="0"/>
            <w:vAlign w:val="center"/>
          </w:tcPr>
          <w:p>
            <w:pPr>
              <w:spacing w:before="240" w:after="240" w:line="360" w:lineRule="auto"/>
              <w:jc w:val="center"/>
              <w:rPr>
                <w:rFonts w:ascii="宋体" w:hAnsi="宋体" w:cs="宋体"/>
                <w:color w:val="auto"/>
                <w:highlight w:val="none"/>
              </w:rPr>
            </w:pPr>
            <w:r>
              <w:rPr>
                <w:rFonts w:hint="eastAsia" w:ascii="宋体" w:hAnsi="宋体" w:cs="宋体"/>
                <w:color w:val="auto"/>
                <w:highlight w:val="none"/>
              </w:rPr>
              <w:t>序号</w:t>
            </w:r>
          </w:p>
        </w:tc>
        <w:tc>
          <w:tcPr>
            <w:tcW w:w="2952" w:type="dxa"/>
            <w:noWrap w:val="0"/>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竞争性磋商文件要求</w:t>
            </w:r>
          </w:p>
        </w:tc>
        <w:tc>
          <w:tcPr>
            <w:tcW w:w="2268" w:type="dxa"/>
            <w:noWrap w:val="0"/>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竞争性磋商响应文件响应内容</w:t>
            </w:r>
          </w:p>
        </w:tc>
        <w:tc>
          <w:tcPr>
            <w:tcW w:w="1896" w:type="dxa"/>
            <w:noWrap w:val="0"/>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偏离情况</w:t>
            </w:r>
          </w:p>
        </w:tc>
        <w:tc>
          <w:tcPr>
            <w:tcW w:w="984" w:type="dxa"/>
            <w:noWrap w:val="0"/>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center"/>
          </w:tcPr>
          <w:p>
            <w:pPr>
              <w:spacing w:before="240" w:after="240" w:line="360" w:lineRule="auto"/>
              <w:jc w:val="center"/>
              <w:rPr>
                <w:rFonts w:ascii="宋体" w:hAnsi="宋体" w:cs="宋体"/>
                <w:color w:val="auto"/>
                <w:highlight w:val="none"/>
              </w:rPr>
            </w:pPr>
          </w:p>
        </w:tc>
        <w:tc>
          <w:tcPr>
            <w:tcW w:w="2952" w:type="dxa"/>
            <w:noWrap w:val="0"/>
            <w:vAlign w:val="center"/>
          </w:tcPr>
          <w:p>
            <w:pPr>
              <w:spacing w:line="360" w:lineRule="auto"/>
              <w:jc w:val="center"/>
              <w:rPr>
                <w:rFonts w:ascii="宋体" w:hAnsi="宋体" w:cs="宋体"/>
                <w:color w:val="auto"/>
                <w:highlight w:val="none"/>
              </w:rPr>
            </w:pPr>
          </w:p>
        </w:tc>
        <w:tc>
          <w:tcPr>
            <w:tcW w:w="2268" w:type="dxa"/>
            <w:noWrap w:val="0"/>
            <w:vAlign w:val="center"/>
          </w:tcPr>
          <w:p>
            <w:pPr>
              <w:spacing w:line="360" w:lineRule="auto"/>
              <w:jc w:val="center"/>
              <w:rPr>
                <w:rFonts w:ascii="宋体" w:hAnsi="宋体" w:cs="宋体"/>
                <w:color w:val="auto"/>
                <w:highlight w:val="none"/>
              </w:rPr>
            </w:pPr>
          </w:p>
        </w:tc>
        <w:tc>
          <w:tcPr>
            <w:tcW w:w="1896" w:type="dxa"/>
            <w:noWrap w:val="0"/>
            <w:vAlign w:val="center"/>
          </w:tcPr>
          <w:p>
            <w:pPr>
              <w:spacing w:line="360" w:lineRule="auto"/>
              <w:jc w:val="center"/>
              <w:rPr>
                <w:rFonts w:ascii="宋体" w:hAnsi="宋体" w:cs="宋体"/>
                <w:color w:val="auto"/>
                <w:highlight w:val="none"/>
              </w:rPr>
            </w:pPr>
          </w:p>
        </w:tc>
        <w:tc>
          <w:tcPr>
            <w:tcW w:w="984" w:type="dxa"/>
            <w:noWrap w:val="0"/>
            <w:vAlign w:val="center"/>
          </w:tcPr>
          <w:p>
            <w:pPr>
              <w:spacing w:line="360" w:lineRule="auto"/>
              <w:jc w:val="center"/>
              <w:rPr>
                <w:rFonts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pPr>
              <w:spacing w:before="240" w:after="240" w:line="360" w:lineRule="auto"/>
              <w:rPr>
                <w:rFonts w:ascii="宋体" w:hAnsi="宋体" w:cs="宋体"/>
                <w:color w:val="auto"/>
                <w:highlight w:val="none"/>
              </w:rPr>
            </w:pPr>
          </w:p>
        </w:tc>
        <w:tc>
          <w:tcPr>
            <w:tcW w:w="2952" w:type="dxa"/>
            <w:noWrap w:val="0"/>
            <w:vAlign w:val="top"/>
          </w:tcPr>
          <w:p>
            <w:pPr>
              <w:spacing w:line="360" w:lineRule="auto"/>
              <w:rPr>
                <w:rFonts w:ascii="宋体" w:hAnsi="宋体" w:cs="宋体"/>
                <w:color w:val="auto"/>
                <w:highlight w:val="none"/>
              </w:rPr>
            </w:pPr>
          </w:p>
        </w:tc>
        <w:tc>
          <w:tcPr>
            <w:tcW w:w="2268" w:type="dxa"/>
            <w:noWrap w:val="0"/>
            <w:vAlign w:val="top"/>
          </w:tcPr>
          <w:p>
            <w:pPr>
              <w:spacing w:line="360" w:lineRule="auto"/>
              <w:rPr>
                <w:rFonts w:ascii="宋体" w:hAnsi="宋体" w:cs="宋体"/>
                <w:color w:val="auto"/>
                <w:highlight w:val="none"/>
              </w:rPr>
            </w:pPr>
          </w:p>
        </w:tc>
        <w:tc>
          <w:tcPr>
            <w:tcW w:w="1896" w:type="dxa"/>
            <w:noWrap w:val="0"/>
            <w:vAlign w:val="top"/>
          </w:tcPr>
          <w:p>
            <w:pPr>
              <w:spacing w:line="360" w:lineRule="auto"/>
              <w:rPr>
                <w:rFonts w:ascii="宋体" w:hAnsi="宋体" w:cs="宋体"/>
                <w:color w:val="auto"/>
                <w:highlight w:val="none"/>
              </w:rPr>
            </w:pPr>
          </w:p>
        </w:tc>
        <w:tc>
          <w:tcPr>
            <w:tcW w:w="984" w:type="dxa"/>
            <w:noWrap w:val="0"/>
            <w:vAlign w:val="top"/>
          </w:tcPr>
          <w:p>
            <w:pPr>
              <w:spacing w:line="360" w:lineRule="auto"/>
              <w:rPr>
                <w:rFonts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pPr>
              <w:spacing w:before="240" w:after="240" w:line="360" w:lineRule="auto"/>
              <w:rPr>
                <w:rFonts w:ascii="宋体" w:hAnsi="宋体" w:cs="宋体"/>
                <w:color w:val="auto"/>
                <w:highlight w:val="none"/>
              </w:rPr>
            </w:pPr>
          </w:p>
        </w:tc>
        <w:tc>
          <w:tcPr>
            <w:tcW w:w="2952" w:type="dxa"/>
            <w:noWrap w:val="0"/>
            <w:vAlign w:val="top"/>
          </w:tcPr>
          <w:p>
            <w:pPr>
              <w:spacing w:line="360" w:lineRule="auto"/>
              <w:rPr>
                <w:rFonts w:ascii="宋体" w:hAnsi="宋体" w:cs="宋体"/>
                <w:color w:val="auto"/>
                <w:highlight w:val="none"/>
              </w:rPr>
            </w:pPr>
          </w:p>
        </w:tc>
        <w:tc>
          <w:tcPr>
            <w:tcW w:w="2268" w:type="dxa"/>
            <w:noWrap w:val="0"/>
            <w:vAlign w:val="top"/>
          </w:tcPr>
          <w:p>
            <w:pPr>
              <w:spacing w:line="360" w:lineRule="auto"/>
              <w:rPr>
                <w:rFonts w:ascii="宋体" w:hAnsi="宋体" w:cs="宋体"/>
                <w:color w:val="auto"/>
                <w:highlight w:val="none"/>
              </w:rPr>
            </w:pPr>
          </w:p>
        </w:tc>
        <w:tc>
          <w:tcPr>
            <w:tcW w:w="1896" w:type="dxa"/>
            <w:noWrap w:val="0"/>
            <w:vAlign w:val="top"/>
          </w:tcPr>
          <w:p>
            <w:pPr>
              <w:spacing w:line="360" w:lineRule="auto"/>
              <w:rPr>
                <w:rFonts w:ascii="宋体" w:hAnsi="宋体" w:cs="宋体"/>
                <w:color w:val="auto"/>
                <w:highlight w:val="none"/>
              </w:rPr>
            </w:pPr>
          </w:p>
        </w:tc>
        <w:tc>
          <w:tcPr>
            <w:tcW w:w="984" w:type="dxa"/>
            <w:noWrap w:val="0"/>
            <w:vAlign w:val="top"/>
          </w:tcPr>
          <w:p>
            <w:pPr>
              <w:spacing w:line="360" w:lineRule="auto"/>
              <w:rPr>
                <w:rFonts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pPr>
              <w:spacing w:before="240" w:after="240" w:line="360" w:lineRule="auto"/>
              <w:rPr>
                <w:rFonts w:ascii="宋体" w:hAnsi="宋体" w:cs="宋体"/>
                <w:color w:val="auto"/>
                <w:highlight w:val="none"/>
              </w:rPr>
            </w:pPr>
          </w:p>
        </w:tc>
        <w:tc>
          <w:tcPr>
            <w:tcW w:w="2952" w:type="dxa"/>
            <w:noWrap w:val="0"/>
            <w:vAlign w:val="top"/>
          </w:tcPr>
          <w:p>
            <w:pPr>
              <w:spacing w:line="360" w:lineRule="auto"/>
              <w:rPr>
                <w:rFonts w:ascii="宋体" w:hAnsi="宋体" w:cs="宋体"/>
                <w:color w:val="auto"/>
                <w:highlight w:val="none"/>
              </w:rPr>
            </w:pPr>
          </w:p>
        </w:tc>
        <w:tc>
          <w:tcPr>
            <w:tcW w:w="2268" w:type="dxa"/>
            <w:noWrap w:val="0"/>
            <w:vAlign w:val="top"/>
          </w:tcPr>
          <w:p>
            <w:pPr>
              <w:spacing w:line="360" w:lineRule="auto"/>
              <w:rPr>
                <w:rFonts w:ascii="宋体" w:hAnsi="宋体" w:cs="宋体"/>
                <w:color w:val="auto"/>
                <w:highlight w:val="none"/>
              </w:rPr>
            </w:pPr>
          </w:p>
        </w:tc>
        <w:tc>
          <w:tcPr>
            <w:tcW w:w="1896" w:type="dxa"/>
            <w:noWrap w:val="0"/>
            <w:vAlign w:val="top"/>
          </w:tcPr>
          <w:p>
            <w:pPr>
              <w:spacing w:line="360" w:lineRule="auto"/>
              <w:rPr>
                <w:rFonts w:ascii="宋体" w:hAnsi="宋体" w:cs="宋体"/>
                <w:color w:val="auto"/>
                <w:highlight w:val="none"/>
              </w:rPr>
            </w:pPr>
          </w:p>
        </w:tc>
        <w:tc>
          <w:tcPr>
            <w:tcW w:w="984" w:type="dxa"/>
            <w:noWrap w:val="0"/>
            <w:vAlign w:val="top"/>
          </w:tcPr>
          <w:p>
            <w:pPr>
              <w:spacing w:line="360" w:lineRule="auto"/>
              <w:rPr>
                <w:rFonts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pPr>
              <w:spacing w:before="240" w:after="240" w:line="360" w:lineRule="auto"/>
              <w:rPr>
                <w:rFonts w:ascii="宋体" w:hAnsi="宋体" w:cs="宋体"/>
                <w:color w:val="auto"/>
                <w:highlight w:val="none"/>
              </w:rPr>
            </w:pPr>
          </w:p>
        </w:tc>
        <w:tc>
          <w:tcPr>
            <w:tcW w:w="2952" w:type="dxa"/>
            <w:noWrap w:val="0"/>
            <w:vAlign w:val="top"/>
          </w:tcPr>
          <w:p>
            <w:pPr>
              <w:spacing w:line="360" w:lineRule="auto"/>
              <w:rPr>
                <w:rFonts w:ascii="宋体" w:hAnsi="宋体" w:cs="宋体"/>
                <w:color w:val="auto"/>
                <w:highlight w:val="none"/>
              </w:rPr>
            </w:pPr>
          </w:p>
        </w:tc>
        <w:tc>
          <w:tcPr>
            <w:tcW w:w="2268" w:type="dxa"/>
            <w:noWrap w:val="0"/>
            <w:vAlign w:val="top"/>
          </w:tcPr>
          <w:p>
            <w:pPr>
              <w:spacing w:line="360" w:lineRule="auto"/>
              <w:rPr>
                <w:rFonts w:ascii="宋体" w:hAnsi="宋体" w:cs="宋体"/>
                <w:color w:val="auto"/>
                <w:highlight w:val="none"/>
              </w:rPr>
            </w:pPr>
          </w:p>
        </w:tc>
        <w:tc>
          <w:tcPr>
            <w:tcW w:w="1896" w:type="dxa"/>
            <w:noWrap w:val="0"/>
            <w:vAlign w:val="top"/>
          </w:tcPr>
          <w:p>
            <w:pPr>
              <w:spacing w:line="360" w:lineRule="auto"/>
              <w:rPr>
                <w:rFonts w:ascii="宋体" w:hAnsi="宋体" w:cs="宋体"/>
                <w:color w:val="auto"/>
                <w:highlight w:val="none"/>
              </w:rPr>
            </w:pPr>
          </w:p>
        </w:tc>
        <w:tc>
          <w:tcPr>
            <w:tcW w:w="984" w:type="dxa"/>
            <w:noWrap w:val="0"/>
            <w:vAlign w:val="top"/>
          </w:tcPr>
          <w:p>
            <w:pPr>
              <w:spacing w:line="360" w:lineRule="auto"/>
              <w:rPr>
                <w:rFonts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pPr>
              <w:spacing w:before="240" w:after="240" w:line="360" w:lineRule="auto"/>
              <w:rPr>
                <w:rFonts w:ascii="宋体" w:hAnsi="宋体" w:cs="宋体"/>
                <w:color w:val="auto"/>
                <w:highlight w:val="none"/>
              </w:rPr>
            </w:pPr>
          </w:p>
        </w:tc>
        <w:tc>
          <w:tcPr>
            <w:tcW w:w="2952" w:type="dxa"/>
            <w:noWrap w:val="0"/>
            <w:vAlign w:val="top"/>
          </w:tcPr>
          <w:p>
            <w:pPr>
              <w:spacing w:line="360" w:lineRule="auto"/>
              <w:rPr>
                <w:rFonts w:ascii="宋体" w:hAnsi="宋体" w:cs="宋体"/>
                <w:color w:val="auto"/>
                <w:highlight w:val="none"/>
              </w:rPr>
            </w:pPr>
          </w:p>
        </w:tc>
        <w:tc>
          <w:tcPr>
            <w:tcW w:w="2268" w:type="dxa"/>
            <w:noWrap w:val="0"/>
            <w:vAlign w:val="top"/>
          </w:tcPr>
          <w:p>
            <w:pPr>
              <w:spacing w:line="360" w:lineRule="auto"/>
              <w:rPr>
                <w:rFonts w:ascii="宋体" w:hAnsi="宋体" w:cs="宋体"/>
                <w:color w:val="auto"/>
                <w:highlight w:val="none"/>
              </w:rPr>
            </w:pPr>
          </w:p>
        </w:tc>
        <w:tc>
          <w:tcPr>
            <w:tcW w:w="1896" w:type="dxa"/>
            <w:noWrap w:val="0"/>
            <w:vAlign w:val="top"/>
          </w:tcPr>
          <w:p>
            <w:pPr>
              <w:spacing w:line="360" w:lineRule="auto"/>
              <w:rPr>
                <w:rFonts w:ascii="宋体" w:hAnsi="宋体" w:cs="宋体"/>
                <w:color w:val="auto"/>
                <w:highlight w:val="none"/>
              </w:rPr>
            </w:pPr>
          </w:p>
        </w:tc>
        <w:tc>
          <w:tcPr>
            <w:tcW w:w="984" w:type="dxa"/>
            <w:noWrap w:val="0"/>
            <w:vAlign w:val="top"/>
          </w:tcPr>
          <w:p>
            <w:pPr>
              <w:spacing w:line="360" w:lineRule="auto"/>
              <w:rPr>
                <w:rFonts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pPr>
              <w:spacing w:before="240" w:after="240" w:line="360" w:lineRule="auto"/>
              <w:rPr>
                <w:rFonts w:ascii="宋体" w:hAnsi="宋体" w:cs="宋体"/>
                <w:color w:val="auto"/>
                <w:highlight w:val="none"/>
              </w:rPr>
            </w:pPr>
          </w:p>
        </w:tc>
        <w:tc>
          <w:tcPr>
            <w:tcW w:w="2952" w:type="dxa"/>
            <w:noWrap w:val="0"/>
            <w:vAlign w:val="top"/>
          </w:tcPr>
          <w:p>
            <w:pPr>
              <w:spacing w:line="360" w:lineRule="auto"/>
              <w:rPr>
                <w:rFonts w:ascii="宋体" w:hAnsi="宋体" w:cs="宋体"/>
                <w:color w:val="auto"/>
                <w:highlight w:val="none"/>
              </w:rPr>
            </w:pPr>
          </w:p>
        </w:tc>
        <w:tc>
          <w:tcPr>
            <w:tcW w:w="2268" w:type="dxa"/>
            <w:noWrap w:val="0"/>
            <w:vAlign w:val="top"/>
          </w:tcPr>
          <w:p>
            <w:pPr>
              <w:spacing w:line="360" w:lineRule="auto"/>
              <w:rPr>
                <w:rFonts w:ascii="宋体" w:hAnsi="宋体" w:cs="宋体"/>
                <w:color w:val="auto"/>
                <w:highlight w:val="none"/>
              </w:rPr>
            </w:pPr>
          </w:p>
        </w:tc>
        <w:tc>
          <w:tcPr>
            <w:tcW w:w="1896" w:type="dxa"/>
            <w:noWrap w:val="0"/>
            <w:vAlign w:val="top"/>
          </w:tcPr>
          <w:p>
            <w:pPr>
              <w:spacing w:line="360" w:lineRule="auto"/>
              <w:rPr>
                <w:rFonts w:ascii="宋体" w:hAnsi="宋体" w:cs="宋体"/>
                <w:color w:val="auto"/>
                <w:highlight w:val="none"/>
              </w:rPr>
            </w:pPr>
          </w:p>
        </w:tc>
        <w:tc>
          <w:tcPr>
            <w:tcW w:w="984" w:type="dxa"/>
            <w:noWrap w:val="0"/>
            <w:vAlign w:val="top"/>
          </w:tcPr>
          <w:p>
            <w:pPr>
              <w:spacing w:line="360" w:lineRule="auto"/>
              <w:rPr>
                <w:rFonts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pPr>
              <w:spacing w:before="240" w:after="240" w:line="360" w:lineRule="auto"/>
              <w:rPr>
                <w:rFonts w:ascii="宋体" w:hAnsi="宋体" w:cs="宋体"/>
                <w:color w:val="auto"/>
                <w:highlight w:val="none"/>
              </w:rPr>
            </w:pPr>
          </w:p>
        </w:tc>
        <w:tc>
          <w:tcPr>
            <w:tcW w:w="2952" w:type="dxa"/>
            <w:noWrap w:val="0"/>
            <w:vAlign w:val="top"/>
          </w:tcPr>
          <w:p>
            <w:pPr>
              <w:spacing w:line="360" w:lineRule="auto"/>
              <w:rPr>
                <w:rFonts w:ascii="宋体" w:hAnsi="宋体" w:cs="宋体"/>
                <w:color w:val="auto"/>
                <w:highlight w:val="none"/>
              </w:rPr>
            </w:pPr>
          </w:p>
        </w:tc>
        <w:tc>
          <w:tcPr>
            <w:tcW w:w="2268" w:type="dxa"/>
            <w:noWrap w:val="0"/>
            <w:vAlign w:val="top"/>
          </w:tcPr>
          <w:p>
            <w:pPr>
              <w:spacing w:line="360" w:lineRule="auto"/>
              <w:rPr>
                <w:rFonts w:ascii="宋体" w:hAnsi="宋体" w:cs="宋体"/>
                <w:color w:val="auto"/>
                <w:highlight w:val="none"/>
              </w:rPr>
            </w:pPr>
          </w:p>
        </w:tc>
        <w:tc>
          <w:tcPr>
            <w:tcW w:w="1896" w:type="dxa"/>
            <w:noWrap w:val="0"/>
            <w:vAlign w:val="top"/>
          </w:tcPr>
          <w:p>
            <w:pPr>
              <w:spacing w:line="360" w:lineRule="auto"/>
              <w:rPr>
                <w:rFonts w:ascii="宋体" w:hAnsi="宋体" w:cs="宋体"/>
                <w:color w:val="auto"/>
                <w:highlight w:val="none"/>
              </w:rPr>
            </w:pPr>
          </w:p>
        </w:tc>
        <w:tc>
          <w:tcPr>
            <w:tcW w:w="984" w:type="dxa"/>
            <w:noWrap w:val="0"/>
            <w:vAlign w:val="top"/>
          </w:tcPr>
          <w:p>
            <w:pPr>
              <w:spacing w:line="360" w:lineRule="auto"/>
              <w:rPr>
                <w:rFonts w:ascii="宋体" w:hAnsi="宋体" w:cs="宋体"/>
                <w:color w:val="auto"/>
                <w:highlight w:val="none"/>
              </w:rPr>
            </w:pPr>
          </w:p>
        </w:tc>
      </w:tr>
    </w:tbl>
    <w:p>
      <w:pPr>
        <w:bidi w:val="0"/>
        <w:spacing w:line="360" w:lineRule="auto"/>
        <w:ind w:firstLine="480" w:firstLineChars="200"/>
        <w:jc w:val="left"/>
        <w:rPr>
          <w:rFonts w:hint="eastAsia" w:eastAsia="宋体" w:asciiTheme="minorAscii" w:hAnsiTheme="minorAscii" w:cstheme="minorBidi"/>
          <w:kern w:val="2"/>
          <w:szCs w:val="24"/>
          <w:highlight w:val="none"/>
          <w:lang w:val="en-US" w:eastAsia="zh-CN"/>
        </w:rPr>
      </w:pPr>
      <w:bookmarkStart w:id="360" w:name="_Toc193187103"/>
      <w:bookmarkStart w:id="361" w:name="_Toc188808838"/>
      <w:bookmarkStart w:id="362" w:name="_Toc193126887"/>
      <w:bookmarkStart w:id="363" w:name="_Toc194663924"/>
      <w:r>
        <w:rPr>
          <w:rFonts w:hint="eastAsia" w:eastAsia="宋体" w:asciiTheme="minorAscii" w:hAnsiTheme="minorAscii" w:cstheme="minorBidi"/>
          <w:kern w:val="2"/>
          <w:szCs w:val="24"/>
          <w:highlight w:val="none"/>
          <w:lang w:val="en-US" w:eastAsia="zh-CN"/>
        </w:rPr>
        <w:t>注：</w:t>
      </w:r>
      <w:r>
        <w:rPr>
          <w:rFonts w:hint="eastAsia" w:asciiTheme="minorAscii" w:hAnsiTheme="minorAscii" w:cstheme="minorBidi"/>
          <w:kern w:val="2"/>
          <w:szCs w:val="24"/>
          <w:highlight w:val="none"/>
          <w:lang w:val="en-US" w:eastAsia="zh-CN"/>
        </w:rPr>
        <w:t>1</w:t>
      </w:r>
      <w:r>
        <w:rPr>
          <w:rFonts w:hint="eastAsia" w:eastAsia="宋体" w:asciiTheme="minorAscii" w:hAnsiTheme="minorAscii" w:cstheme="minorBidi"/>
          <w:kern w:val="2"/>
          <w:szCs w:val="24"/>
          <w:highlight w:val="none"/>
          <w:lang w:val="en-US" w:eastAsia="zh-CN"/>
        </w:rPr>
        <w:t>.供应商可根据项目情况自行增加内容项完善表格，表格不够用，可按此表复制。</w:t>
      </w:r>
    </w:p>
    <w:p>
      <w:pPr>
        <w:bidi w:val="0"/>
        <w:spacing w:line="360" w:lineRule="auto"/>
        <w:ind w:firstLine="480" w:firstLineChars="200"/>
        <w:jc w:val="left"/>
        <w:rPr>
          <w:rFonts w:hint="eastAsia" w:eastAsia="宋体" w:asciiTheme="minorAscii" w:hAnsiTheme="minorAscii" w:cstheme="minorBidi"/>
          <w:kern w:val="2"/>
          <w:szCs w:val="24"/>
          <w:highlight w:val="none"/>
          <w:lang w:val="en-US" w:eastAsia="zh-CN"/>
        </w:rPr>
      </w:pPr>
      <w:r>
        <w:rPr>
          <w:rFonts w:hint="eastAsia" w:asciiTheme="minorAscii" w:hAnsiTheme="minorAscii" w:cstheme="minorBidi"/>
          <w:kern w:val="2"/>
          <w:szCs w:val="24"/>
          <w:highlight w:val="none"/>
          <w:lang w:val="en-US" w:eastAsia="zh-CN"/>
        </w:rPr>
        <w:t>2</w:t>
      </w:r>
      <w:r>
        <w:rPr>
          <w:rFonts w:hint="eastAsia" w:eastAsia="宋体" w:asciiTheme="minorAscii" w:hAnsiTheme="minorAscii" w:cstheme="minorBidi"/>
          <w:kern w:val="2"/>
          <w:szCs w:val="24"/>
          <w:highlight w:val="none"/>
          <w:lang w:val="en-US" w:eastAsia="zh-CN"/>
        </w:rPr>
        <w:t>.供应商须如实填写该表，如有隐瞒，后果由供应商自负。</w:t>
      </w:r>
    </w:p>
    <w:p>
      <w:pPr>
        <w:bidi w:val="0"/>
        <w:spacing w:line="360" w:lineRule="auto"/>
        <w:ind w:firstLine="480" w:firstLineChars="200"/>
        <w:jc w:val="left"/>
        <w:rPr>
          <w:rFonts w:hint="eastAsia" w:eastAsia="宋体" w:asciiTheme="minorAscii" w:hAnsiTheme="minorAscii" w:cstheme="minorBidi"/>
          <w:kern w:val="2"/>
          <w:szCs w:val="24"/>
          <w:highlight w:val="none"/>
          <w:lang w:val="en-US" w:eastAsia="zh-CN"/>
        </w:rPr>
      </w:pPr>
      <w:r>
        <w:rPr>
          <w:rFonts w:hint="eastAsia" w:asciiTheme="minorAscii" w:hAnsiTheme="minorAscii" w:cstheme="minorBidi"/>
          <w:kern w:val="2"/>
          <w:szCs w:val="24"/>
          <w:highlight w:val="none"/>
          <w:lang w:val="en-US" w:eastAsia="zh-CN"/>
        </w:rPr>
        <w:t>3</w:t>
      </w:r>
      <w:r>
        <w:rPr>
          <w:rFonts w:hint="eastAsia" w:eastAsia="宋体" w:asciiTheme="minorAscii" w:hAnsiTheme="minorAscii" w:cstheme="minorBidi"/>
          <w:kern w:val="2"/>
          <w:szCs w:val="24"/>
          <w:highlight w:val="none"/>
          <w:lang w:val="en-US" w:eastAsia="zh-CN"/>
        </w:rPr>
        <w:t>.本表只填写响应文件中与磋商文件有偏离的内容，响应文件中</w:t>
      </w:r>
      <w:r>
        <w:rPr>
          <w:rFonts w:hint="eastAsia" w:asciiTheme="minorAscii" w:hAnsiTheme="minorAscii" w:cstheme="minorBidi"/>
          <w:kern w:val="2"/>
          <w:szCs w:val="24"/>
          <w:highlight w:val="none"/>
          <w:lang w:val="en-US" w:eastAsia="zh-CN"/>
        </w:rPr>
        <w:t>技术</w:t>
      </w:r>
      <w:r>
        <w:rPr>
          <w:rFonts w:hint="eastAsia" w:eastAsia="宋体" w:asciiTheme="minorAscii" w:hAnsiTheme="minorAscii" w:cstheme="minorBidi"/>
          <w:kern w:val="2"/>
          <w:szCs w:val="24"/>
          <w:highlight w:val="none"/>
          <w:lang w:val="en-US" w:eastAsia="zh-CN"/>
        </w:rPr>
        <w:t>条款响应与磋商文件要求完全一致的，不用在此表中列出，但必须提交空白表。</w:t>
      </w:r>
    </w:p>
    <w:bookmarkEnd w:id="360"/>
    <w:bookmarkEnd w:id="361"/>
    <w:bookmarkEnd w:id="362"/>
    <w:bookmarkEnd w:id="363"/>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u w:val="single"/>
        </w:rPr>
      </w:pPr>
      <w:r>
        <w:rPr>
          <w:rFonts w:hint="eastAsia" w:hAnsi="宋体" w:cs="宋体"/>
          <w:color w:val="auto"/>
          <w:sz w:val="24"/>
          <w:highlight w:val="none"/>
          <w:lang w:eastAsia="zh-CN"/>
        </w:rPr>
        <w:t>磋商</w:t>
      </w: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u w:val="single"/>
        </w:rPr>
      </w:pPr>
      <w:r>
        <w:rPr>
          <w:rFonts w:hint="eastAsia" w:ascii="宋体" w:hAnsi="宋体" w:cs="宋体"/>
          <w:color w:val="auto"/>
          <w:sz w:val="24"/>
          <w:highlight w:val="none"/>
        </w:rPr>
        <w:t>法定代表人或被授权代表（签</w:t>
      </w:r>
      <w:r>
        <w:rPr>
          <w:rFonts w:hint="eastAsia" w:hAnsi="宋体" w:cs="宋体"/>
          <w:color w:val="auto"/>
          <w:sz w:val="24"/>
          <w:highlight w:val="none"/>
          <w:lang w:eastAsia="zh-CN"/>
        </w:rPr>
        <w:t>字</w:t>
      </w:r>
      <w:r>
        <w:rPr>
          <w:rFonts w:hint="eastAsia" w:ascii="宋体" w:hAnsi="宋体" w:cs="宋体"/>
          <w:color w:val="auto"/>
          <w:sz w:val="24"/>
          <w:highlight w:val="none"/>
        </w:rPr>
        <w:t>或盖章）：</w:t>
      </w:r>
      <w:r>
        <w:rPr>
          <w:rFonts w:hint="eastAsia" w:ascii="宋体" w:hAnsi="宋体" w:cs="宋体"/>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hAnsi="宋体" w:cs="宋体"/>
          <w:color w:val="auto"/>
          <w:sz w:val="24"/>
          <w:highlight w:val="none"/>
          <w:u w:val="none"/>
          <w:lang w:eastAsia="zh-CN"/>
        </w:rPr>
        <w:t>年</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u w:val="none"/>
          <w:lang w:eastAsia="zh-CN"/>
        </w:rPr>
        <w:t>月</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u w:val="none"/>
          <w:lang w:eastAsia="zh-CN"/>
        </w:rPr>
        <w:t>日</w:t>
      </w:r>
    </w:p>
    <w:p>
      <w:pPr>
        <w:rPr>
          <w:rFonts w:hint="eastAsia" w:asciiTheme="minorEastAsia" w:hAnsiTheme="minorEastAsia" w:eastAsiaTheme="minorEastAsia" w:cstheme="minorEastAsia"/>
          <w:b/>
          <w:bCs/>
          <w:color w:val="auto"/>
          <w:sz w:val="24"/>
          <w:szCs w:val="24"/>
          <w:highlight w:val="none"/>
          <w:lang w:eastAsia="zh-CN"/>
        </w:rPr>
      </w:pPr>
      <w:bookmarkStart w:id="364" w:name="_Toc4861"/>
      <w:bookmarkStart w:id="365" w:name="_Toc6741"/>
      <w:bookmarkStart w:id="366" w:name="_Toc17888"/>
      <w:bookmarkStart w:id="367" w:name="_Toc16268"/>
      <w:bookmarkStart w:id="368" w:name="_Toc5126"/>
      <w:r>
        <w:rPr>
          <w:rFonts w:hint="eastAsia" w:asciiTheme="minorEastAsia" w:hAnsiTheme="minorEastAsia" w:eastAsiaTheme="minorEastAsia" w:cstheme="minorEastAsia"/>
          <w:b/>
          <w:bCs/>
          <w:color w:val="auto"/>
          <w:sz w:val="24"/>
          <w:szCs w:val="24"/>
          <w:highlight w:val="none"/>
          <w:lang w:eastAsia="zh-CN"/>
        </w:rPr>
        <w:br w:type="page"/>
      </w:r>
    </w:p>
    <w:p>
      <w:pPr>
        <w:numPr>
          <w:ilvl w:val="0"/>
          <w:numId w:val="0"/>
        </w:numPr>
        <w:autoSpaceDE w:val="0"/>
        <w:autoSpaceDN w:val="0"/>
        <w:adjustRightInd w:val="0"/>
        <w:snapToGrid w:val="0"/>
        <w:spacing w:line="312" w:lineRule="auto"/>
        <w:ind w:leftChars="0"/>
        <w:jc w:val="center"/>
        <w:outlineLvl w:val="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第五部分</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 xml:space="preserve"> 磋商</w:t>
      </w:r>
      <w:r>
        <w:rPr>
          <w:rFonts w:hint="eastAsia" w:asciiTheme="minorEastAsia" w:hAnsiTheme="minorEastAsia" w:eastAsiaTheme="minorEastAsia" w:cstheme="minorEastAsia"/>
          <w:b/>
          <w:bCs/>
          <w:color w:val="auto"/>
          <w:sz w:val="24"/>
          <w:szCs w:val="24"/>
          <w:highlight w:val="none"/>
          <w:lang w:eastAsia="zh-CN"/>
        </w:rPr>
        <w:t>响应</w:t>
      </w:r>
      <w:r>
        <w:rPr>
          <w:rFonts w:hint="eastAsia" w:asciiTheme="minorEastAsia" w:hAnsiTheme="minorEastAsia" w:eastAsiaTheme="minorEastAsia" w:cstheme="minorEastAsia"/>
          <w:b/>
          <w:bCs/>
          <w:color w:val="auto"/>
          <w:sz w:val="24"/>
          <w:szCs w:val="24"/>
          <w:highlight w:val="none"/>
        </w:rPr>
        <w:t>方案说明</w:t>
      </w:r>
      <w:bookmarkEnd w:id="364"/>
      <w:bookmarkEnd w:id="365"/>
      <w:bookmarkEnd w:id="366"/>
      <w:bookmarkEnd w:id="367"/>
      <w:bookmarkEnd w:id="368"/>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(供应商根据</w:t>
      </w:r>
      <w:r>
        <w:rPr>
          <w:rFonts w:hint="eastAsia" w:asciiTheme="minorEastAsia" w:hAnsiTheme="minorEastAsia" w:eastAsiaTheme="minorEastAsia" w:cstheme="minorEastAsia"/>
          <w:color w:val="auto"/>
          <w:sz w:val="24"/>
          <w:szCs w:val="24"/>
          <w:highlight w:val="none"/>
          <w:lang w:eastAsia="zh-CN"/>
        </w:rPr>
        <w:t>磋商文件及</w:t>
      </w:r>
      <w:r>
        <w:rPr>
          <w:rFonts w:hint="eastAsia" w:asciiTheme="minorEastAsia" w:hAnsiTheme="minorEastAsia" w:eastAsiaTheme="minorEastAsia" w:cstheme="minorEastAsia"/>
          <w:color w:val="auto"/>
          <w:sz w:val="24"/>
          <w:szCs w:val="24"/>
          <w:highlight w:val="none"/>
        </w:rPr>
        <w:t>评标办法自行编制</w:t>
      </w:r>
      <w:r>
        <w:rPr>
          <w:rFonts w:hint="eastAsia" w:asciiTheme="minorEastAsia" w:hAnsiTheme="minorEastAsia" w:eastAsiaTheme="minorEastAsia" w:cstheme="minorEastAsia"/>
          <w:color w:val="auto"/>
          <w:sz w:val="24"/>
          <w:szCs w:val="24"/>
          <w:highlight w:val="none"/>
          <w:lang w:eastAsia="zh-CN"/>
        </w:rPr>
        <w:t>技术</w:t>
      </w:r>
      <w:r>
        <w:rPr>
          <w:rFonts w:hint="eastAsia" w:asciiTheme="minorEastAsia" w:hAnsiTheme="minorEastAsia" w:eastAsiaTheme="minorEastAsia" w:cstheme="minorEastAsia"/>
          <w:color w:val="auto"/>
          <w:sz w:val="24"/>
          <w:szCs w:val="24"/>
          <w:highlight w:val="none"/>
        </w:rPr>
        <w:t>方案、</w:t>
      </w:r>
      <w:r>
        <w:rPr>
          <w:rFonts w:hint="eastAsia" w:asciiTheme="minorEastAsia" w:hAnsiTheme="minorEastAsia" w:eastAsiaTheme="minorEastAsia" w:cstheme="minorEastAsia"/>
          <w:color w:val="auto"/>
          <w:sz w:val="24"/>
          <w:szCs w:val="24"/>
          <w:highlight w:val="none"/>
          <w:lang w:eastAsia="zh-CN"/>
        </w:rPr>
        <w:t>售后服务方案、质量保证、业绩</w:t>
      </w:r>
      <w:r>
        <w:rPr>
          <w:rFonts w:hint="eastAsia" w:asciiTheme="minorEastAsia" w:hAnsiTheme="minorEastAsia" w:eastAsiaTheme="minorEastAsia" w:cstheme="minorEastAsia"/>
          <w:color w:val="auto"/>
          <w:sz w:val="24"/>
          <w:szCs w:val="24"/>
          <w:highlight w:val="none"/>
        </w:rPr>
        <w:t>等要求的内容，格式自拟)</w:t>
      </w:r>
    </w:p>
    <w:p>
      <w:pPr>
        <w:autoSpaceDE w:val="0"/>
        <w:autoSpaceDN w:val="0"/>
        <w:adjustRightInd w:val="0"/>
        <w:spacing w:line="348" w:lineRule="auto"/>
        <w:ind w:firstLine="630"/>
        <w:rPr>
          <w:rFonts w:hint="eastAsia" w:asciiTheme="minorEastAsia" w:hAnsiTheme="minorEastAsia" w:eastAsiaTheme="minorEastAsia" w:cstheme="minorEastAsia"/>
          <w:b/>
          <w:bCs/>
          <w:color w:val="auto"/>
          <w:sz w:val="24"/>
          <w:szCs w:val="24"/>
          <w:highlight w:val="none"/>
        </w:rPr>
      </w:pPr>
    </w:p>
    <w:p>
      <w:pPr>
        <w:spacing w:after="60"/>
        <w:rPr>
          <w:rFonts w:hint="eastAsia" w:asciiTheme="minorEastAsia" w:hAnsiTheme="minorEastAsia" w:eastAsiaTheme="minorEastAsia" w:cstheme="minorEastAsia"/>
          <w:color w:val="auto"/>
          <w:sz w:val="24"/>
          <w:szCs w:val="24"/>
          <w:highlight w:val="none"/>
        </w:rPr>
      </w:pPr>
    </w:p>
    <w:p>
      <w:pPr>
        <w:spacing w:after="60"/>
        <w:rPr>
          <w:rFonts w:hint="eastAsia" w:asciiTheme="minorEastAsia" w:hAnsiTheme="minorEastAsia" w:eastAsiaTheme="minorEastAsia" w:cstheme="minorEastAsia"/>
          <w:color w:val="auto"/>
          <w:sz w:val="24"/>
          <w:szCs w:val="24"/>
          <w:highlight w:val="none"/>
        </w:rPr>
      </w:pPr>
    </w:p>
    <w:p>
      <w:pPr>
        <w:autoSpaceDE w:val="0"/>
        <w:autoSpaceDN w:val="0"/>
        <w:adjustRightInd w:val="0"/>
        <w:spacing w:line="360" w:lineRule="auto"/>
        <w:jc w:val="center"/>
        <w:rPr>
          <w:rFonts w:hint="eastAsia" w:asciiTheme="minorEastAsia" w:hAnsiTheme="minorEastAsia" w:eastAsiaTheme="minorEastAsia" w:cstheme="minorEastAsia"/>
          <w:b/>
          <w:bCs/>
          <w:color w:val="auto"/>
          <w:sz w:val="24"/>
          <w:szCs w:val="24"/>
          <w:highlight w:val="none"/>
        </w:rPr>
      </w:pPr>
    </w:p>
    <w:p>
      <w:pPr>
        <w:autoSpaceDE w:val="0"/>
        <w:autoSpaceDN w:val="0"/>
        <w:adjustRightInd w:val="0"/>
        <w:spacing w:line="360" w:lineRule="auto"/>
        <w:jc w:val="center"/>
        <w:rPr>
          <w:rFonts w:hint="eastAsia" w:asciiTheme="minorEastAsia" w:hAnsiTheme="minorEastAsia" w:eastAsiaTheme="minorEastAsia" w:cstheme="minorEastAsia"/>
          <w:b/>
          <w:bCs/>
          <w:color w:val="auto"/>
          <w:sz w:val="24"/>
          <w:szCs w:val="24"/>
          <w:highlight w:val="none"/>
        </w:rPr>
      </w:pPr>
    </w:p>
    <w:p>
      <w:pPr>
        <w:autoSpaceDE w:val="0"/>
        <w:autoSpaceDN w:val="0"/>
        <w:adjustRightInd w:val="0"/>
        <w:spacing w:line="360" w:lineRule="auto"/>
        <w:jc w:val="center"/>
        <w:rPr>
          <w:rFonts w:hint="eastAsia" w:asciiTheme="minorEastAsia" w:hAnsiTheme="minorEastAsia" w:eastAsiaTheme="minorEastAsia" w:cstheme="minorEastAsia"/>
          <w:b/>
          <w:bCs/>
          <w:color w:val="auto"/>
          <w:sz w:val="24"/>
          <w:szCs w:val="24"/>
          <w:highlight w:val="none"/>
        </w:rPr>
      </w:pPr>
    </w:p>
    <w:p>
      <w:pPr>
        <w:autoSpaceDE w:val="0"/>
        <w:autoSpaceDN w:val="0"/>
        <w:adjustRightInd w:val="0"/>
        <w:spacing w:line="360" w:lineRule="auto"/>
        <w:jc w:val="center"/>
        <w:rPr>
          <w:rFonts w:hint="eastAsia" w:asciiTheme="minorEastAsia" w:hAnsiTheme="minorEastAsia" w:eastAsiaTheme="minorEastAsia" w:cstheme="minorEastAsia"/>
          <w:b/>
          <w:bCs/>
          <w:color w:val="auto"/>
          <w:sz w:val="24"/>
          <w:szCs w:val="24"/>
          <w:highlight w:val="none"/>
        </w:rPr>
      </w:pPr>
    </w:p>
    <w:p>
      <w:pPr>
        <w:widowControl/>
        <w:spacing w:line="360" w:lineRule="auto"/>
        <w:jc w:val="left"/>
        <w:rPr>
          <w:rFonts w:hint="eastAsia" w:asciiTheme="minorEastAsia" w:hAnsiTheme="minorEastAsia" w:eastAsiaTheme="minorEastAsia" w:cstheme="minorEastAsia"/>
          <w:b/>
          <w:bCs/>
          <w:color w:val="auto"/>
          <w:sz w:val="24"/>
          <w:szCs w:val="24"/>
          <w:highlight w:val="none"/>
        </w:rPr>
        <w:sectPr>
          <w:pgSz w:w="11906" w:h="16838"/>
          <w:pgMar w:top="1418" w:right="1418" w:bottom="1418" w:left="1418" w:header="720" w:footer="720" w:gutter="0"/>
          <w:pgBorders>
            <w:top w:val="none" w:sz="0" w:space="0"/>
            <w:left w:val="none" w:sz="0" w:space="0"/>
            <w:bottom w:val="none" w:sz="0" w:space="0"/>
            <w:right w:val="none" w:sz="0" w:space="0"/>
          </w:pgBorders>
          <w:pgNumType w:fmt="decimal"/>
          <w:cols w:space="720" w:num="1"/>
          <w:docGrid w:type="lines" w:linePitch="312" w:charSpace="0"/>
        </w:sectPr>
      </w:pPr>
    </w:p>
    <w:p>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highlight w:val="none"/>
        </w:rPr>
      </w:pPr>
      <w:bookmarkStart w:id="369" w:name="_Toc18882"/>
      <w:bookmarkStart w:id="370" w:name="_Toc9788"/>
      <w:bookmarkStart w:id="371" w:name="_Toc5821"/>
      <w:bookmarkStart w:id="372" w:name="_Toc13773"/>
      <w:bookmarkStart w:id="373" w:name="_Toc6296"/>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eastAsiaTheme="minorEastAsia" w:cstheme="minorEastAsia"/>
          <w:b/>
          <w:bCs/>
          <w:color w:val="auto"/>
          <w:sz w:val="24"/>
          <w:szCs w:val="24"/>
          <w:highlight w:val="none"/>
          <w:lang w:eastAsia="zh-CN"/>
        </w:rPr>
        <w:t>六</w:t>
      </w:r>
      <w:r>
        <w:rPr>
          <w:rFonts w:hint="eastAsia" w:asciiTheme="minorEastAsia" w:hAnsiTheme="minorEastAsia" w:eastAsiaTheme="minorEastAsia" w:cstheme="minorEastAsia"/>
          <w:b/>
          <w:bCs/>
          <w:color w:val="auto"/>
          <w:sz w:val="24"/>
          <w:szCs w:val="24"/>
          <w:highlight w:val="none"/>
        </w:rPr>
        <w:t>部分  供应商承诺书</w:t>
      </w:r>
      <w:bookmarkEnd w:id="369"/>
      <w:bookmarkEnd w:id="370"/>
      <w:bookmarkEnd w:id="371"/>
      <w:bookmarkEnd w:id="372"/>
      <w:bookmarkEnd w:id="373"/>
    </w:p>
    <w:p>
      <w:pPr>
        <w:autoSpaceDE w:val="0"/>
        <w:autoSpaceDN w:val="0"/>
        <w:adjustRightInd w:val="0"/>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陕西中采项目管理有限公司</w:t>
      </w:r>
      <w:r>
        <w:rPr>
          <w:rFonts w:hint="eastAsia" w:asciiTheme="minorEastAsia" w:hAnsiTheme="minorEastAsia" w:eastAsiaTheme="minorEastAsia" w:cstheme="minorEastAsia"/>
          <w:color w:val="auto"/>
          <w:sz w:val="24"/>
          <w:szCs w:val="24"/>
          <w:highlight w:val="none"/>
        </w:rPr>
        <w:t>：</w:t>
      </w:r>
    </w:p>
    <w:p>
      <w:pPr>
        <w:autoSpaceDE w:val="0"/>
        <w:autoSpaceDN w:val="0"/>
        <w:adjustRightIn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做为参加贵单位组织的</w:t>
      </w:r>
      <w:r>
        <w:rPr>
          <w:rFonts w:hint="eastAsia" w:asciiTheme="minorEastAsia" w:hAnsiTheme="minorEastAsia" w:eastAsiaTheme="minorEastAsia" w:cstheme="minorEastAsia"/>
          <w:color w:val="auto"/>
          <w:kern w:val="0"/>
          <w:sz w:val="24"/>
          <w:szCs w:val="24"/>
          <w:highlight w:val="none"/>
          <w:u w:val="single"/>
          <w:lang w:val="en-US" w:eastAsia="zh-CN"/>
        </w:rPr>
        <w:t>礼泉县中医院康复科设备采购项目</w:t>
      </w:r>
      <w:r>
        <w:rPr>
          <w:rFonts w:hint="eastAsia" w:asciiTheme="minorEastAsia" w:hAnsiTheme="minorEastAsia" w:eastAsiaTheme="minorEastAsia" w:cstheme="minorEastAsia"/>
          <w:color w:val="auto"/>
          <w:sz w:val="24"/>
          <w:szCs w:val="24"/>
          <w:highlight w:val="none"/>
        </w:rPr>
        <w:t>的供应商，本公司郑重承诺：</w:t>
      </w:r>
    </w:p>
    <w:p>
      <w:pPr>
        <w:autoSpaceDE w:val="0"/>
        <w:autoSpaceDN w:val="0"/>
        <w:adjustRightIn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1、在参加本项目磋商之前不存在被依法禁止经营行为、财产被接管或冻结的情况，如有隐瞒实情，愿承担一切责任及后果。</w:t>
      </w:r>
    </w:p>
    <w:p>
      <w:pPr>
        <w:autoSpaceDE w:val="0"/>
        <w:autoSpaceDN w:val="0"/>
        <w:adjustRightIn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2、</w:t>
      </w:r>
      <w:r>
        <w:rPr>
          <w:rFonts w:hint="eastAsia" w:asciiTheme="minorEastAsia" w:hAnsiTheme="minorEastAsia" w:eastAsiaTheme="minorEastAsia" w:cstheme="minorEastAsia"/>
          <w:color w:val="auto"/>
          <w:sz w:val="24"/>
          <w:szCs w:val="24"/>
          <w:highlight w:val="none"/>
        </w:rPr>
        <w:t>近三年受到有关行政主管部门的行政处理、不良行为记录为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次（没有填零），如有隐瞒实情，愿承担一切责任及后果。</w:t>
      </w:r>
    </w:p>
    <w:p>
      <w:pPr>
        <w:autoSpaceDE w:val="0"/>
        <w:autoSpaceDN w:val="0"/>
        <w:adjustRightInd w:val="0"/>
        <w:spacing w:line="360" w:lineRule="auto"/>
        <w:ind w:firstLine="480"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3、参加本次磋商提交的所有资质证明文件和资信证明文件是真实的、有效的，如有隐瞒实情，愿承担一切责任及后果。</w:t>
      </w:r>
    </w:p>
    <w:p>
      <w:pPr>
        <w:autoSpaceDE w:val="0"/>
        <w:autoSpaceDN w:val="0"/>
        <w:adjustRightInd w:val="0"/>
        <w:spacing w:line="360" w:lineRule="auto"/>
        <w:jc w:val="center"/>
        <w:rPr>
          <w:rFonts w:hint="eastAsia" w:asciiTheme="minorEastAsia" w:hAnsiTheme="minorEastAsia" w:eastAsiaTheme="minorEastAsia" w:cstheme="minorEastAsia"/>
          <w:b/>
          <w:bCs/>
          <w:color w:val="auto"/>
          <w:sz w:val="24"/>
          <w:szCs w:val="24"/>
          <w:highlight w:val="none"/>
        </w:rPr>
      </w:pPr>
    </w:p>
    <w:p>
      <w:pPr>
        <w:autoSpaceDE w:val="0"/>
        <w:autoSpaceDN w:val="0"/>
        <w:adjustRightInd w:val="0"/>
        <w:spacing w:line="360" w:lineRule="auto"/>
        <w:jc w:val="center"/>
        <w:rPr>
          <w:rFonts w:hint="eastAsia" w:asciiTheme="minorEastAsia" w:hAnsiTheme="minorEastAsia" w:eastAsiaTheme="minorEastAsia" w:cstheme="minorEastAsia"/>
          <w:b/>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u w:val="single"/>
        </w:rPr>
      </w:pPr>
      <w:r>
        <w:rPr>
          <w:rFonts w:hint="eastAsia" w:hAnsi="宋体" w:cs="宋体"/>
          <w:color w:val="auto"/>
          <w:sz w:val="24"/>
          <w:highlight w:val="none"/>
          <w:lang w:eastAsia="zh-CN"/>
        </w:rPr>
        <w:t>磋商</w:t>
      </w: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u w:val="single"/>
        </w:rPr>
      </w:pPr>
      <w:r>
        <w:rPr>
          <w:rFonts w:hint="eastAsia" w:ascii="宋体" w:hAnsi="宋体" w:cs="宋体"/>
          <w:color w:val="auto"/>
          <w:sz w:val="24"/>
          <w:highlight w:val="none"/>
        </w:rPr>
        <w:t>法定代表人或被授权代表（签</w:t>
      </w:r>
      <w:r>
        <w:rPr>
          <w:rFonts w:hint="eastAsia" w:hAnsi="宋体" w:cs="宋体"/>
          <w:color w:val="auto"/>
          <w:sz w:val="24"/>
          <w:highlight w:val="none"/>
          <w:lang w:eastAsia="zh-CN"/>
        </w:rPr>
        <w:t>字</w:t>
      </w:r>
      <w:r>
        <w:rPr>
          <w:rFonts w:hint="eastAsia" w:ascii="宋体" w:hAnsi="宋体" w:cs="宋体"/>
          <w:color w:val="auto"/>
          <w:sz w:val="24"/>
          <w:highlight w:val="none"/>
        </w:rPr>
        <w:t>或盖章）：</w:t>
      </w:r>
      <w:r>
        <w:rPr>
          <w:rFonts w:hint="eastAsia" w:ascii="宋体" w:hAnsi="宋体" w:cs="宋体"/>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hAnsi="宋体" w:cs="宋体"/>
          <w:color w:val="auto"/>
          <w:sz w:val="24"/>
          <w:highlight w:val="none"/>
          <w:u w:val="none"/>
          <w:lang w:eastAsia="zh-CN"/>
        </w:rPr>
        <w:t>年</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u w:val="none"/>
          <w:lang w:eastAsia="zh-CN"/>
        </w:rPr>
        <w:t>月</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u w:val="none"/>
          <w:lang w:eastAsia="zh-CN"/>
        </w:rPr>
        <w:t>日</w:t>
      </w:r>
    </w:p>
    <w:p>
      <w:pPr>
        <w:autoSpaceDE w:val="0"/>
        <w:autoSpaceDN w:val="0"/>
        <w:adjustRightInd w:val="0"/>
        <w:spacing w:line="360" w:lineRule="auto"/>
        <w:jc w:val="center"/>
        <w:outlineLvl w:val="1"/>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br w:type="page"/>
      </w:r>
      <w:bookmarkStart w:id="374" w:name="_Toc2880"/>
      <w:bookmarkStart w:id="375" w:name="_Toc27820"/>
      <w:bookmarkStart w:id="376" w:name="_Toc7392"/>
      <w:bookmarkStart w:id="377" w:name="_Toc10803"/>
      <w:bookmarkStart w:id="378" w:name="_Toc11133"/>
      <w:r>
        <w:rPr>
          <w:rFonts w:hint="eastAsia" w:asciiTheme="minorEastAsia" w:hAnsiTheme="minorEastAsia" w:eastAsiaTheme="minorEastAsia" w:cstheme="minorEastAsia"/>
          <w:b/>
          <w:bCs/>
          <w:color w:val="auto"/>
          <w:sz w:val="24"/>
          <w:szCs w:val="24"/>
          <w:highlight w:val="none"/>
        </w:rPr>
        <w:t>供应商企业关系关联承诺书</w:t>
      </w:r>
      <w:bookmarkEnd w:id="374"/>
      <w:bookmarkEnd w:id="375"/>
      <w:bookmarkEnd w:id="376"/>
      <w:bookmarkEnd w:id="377"/>
      <w:bookmarkEnd w:id="378"/>
    </w:p>
    <w:p>
      <w:pPr>
        <w:autoSpaceDE w:val="0"/>
        <w:autoSpaceDN w:val="0"/>
        <w:adjustRightInd w:val="0"/>
        <w:spacing w:line="360" w:lineRule="auto"/>
        <w:rPr>
          <w:rFonts w:hint="eastAsia" w:asciiTheme="minorEastAsia" w:hAnsiTheme="minorEastAsia" w:eastAsiaTheme="minorEastAsia" w:cstheme="minorEastAsia"/>
          <w:color w:val="auto"/>
          <w:sz w:val="24"/>
          <w:szCs w:val="24"/>
          <w:highlight w:val="none"/>
        </w:rPr>
      </w:pPr>
    </w:p>
    <w:p>
      <w:pPr>
        <w:numPr>
          <w:ilvl w:val="0"/>
          <w:numId w:val="9"/>
        </w:numPr>
        <w:autoSpaceDE w:val="0"/>
        <w:autoSpaceDN w:val="0"/>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供应商股东及股权证明。</w:t>
      </w:r>
    </w:p>
    <w:p>
      <w:pPr>
        <w:autoSpaceDE w:val="0"/>
        <w:autoSpaceDN w:val="0"/>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2、供应商在本磋商项目中，不存在与其它供应商负责人为同一人，有控股、管理等关联关系承诺。</w:t>
      </w:r>
    </w:p>
    <w:p>
      <w:pPr>
        <w:snapToGrid w:val="0"/>
        <w:spacing w:line="360" w:lineRule="auto"/>
        <w:outlineLvl w:val="1"/>
        <w:rPr>
          <w:rFonts w:hint="eastAsia" w:asciiTheme="minorEastAsia" w:hAnsiTheme="minorEastAsia" w:eastAsiaTheme="minorEastAsia" w:cstheme="minorEastAsia"/>
          <w:color w:val="auto"/>
          <w:sz w:val="24"/>
          <w:szCs w:val="24"/>
          <w:highlight w:val="none"/>
        </w:rPr>
      </w:pPr>
      <w:bookmarkStart w:id="379" w:name="_Toc24900"/>
      <w:bookmarkStart w:id="380" w:name="_Toc6759"/>
      <w:bookmarkStart w:id="381" w:name="_Toc10316"/>
      <w:bookmarkStart w:id="382" w:name="_Toc6399"/>
      <w:bookmarkStart w:id="383" w:name="_Toc4890"/>
      <w:r>
        <w:rPr>
          <w:rFonts w:hint="eastAsia" w:asciiTheme="minorEastAsia" w:hAnsiTheme="minorEastAsia" w:eastAsiaTheme="minorEastAsia" w:cstheme="minorEastAsia"/>
          <w:color w:val="auto"/>
          <w:sz w:val="24"/>
          <w:szCs w:val="24"/>
          <w:highlight w:val="none"/>
        </w:rPr>
        <w:t>2-1、管理关系说明：</w:t>
      </w:r>
      <w:bookmarkEnd w:id="379"/>
      <w:bookmarkEnd w:id="380"/>
      <w:bookmarkEnd w:id="381"/>
      <w:bookmarkEnd w:id="382"/>
      <w:bookmarkEnd w:id="383"/>
    </w:p>
    <w:p>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我单位管理的具有独立法人的下属单位有：</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w:t>
      </w:r>
    </w:p>
    <w:p>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我单位的上级管理单位有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w:t>
      </w:r>
    </w:p>
    <w:p>
      <w:pPr>
        <w:snapToGrid w:val="0"/>
        <w:spacing w:line="360" w:lineRule="auto"/>
        <w:outlineLvl w:val="1"/>
        <w:rPr>
          <w:rFonts w:hint="eastAsia" w:asciiTheme="minorEastAsia" w:hAnsiTheme="minorEastAsia" w:eastAsiaTheme="minorEastAsia" w:cstheme="minorEastAsia"/>
          <w:color w:val="auto"/>
          <w:sz w:val="24"/>
          <w:szCs w:val="24"/>
          <w:highlight w:val="none"/>
        </w:rPr>
      </w:pPr>
      <w:bookmarkStart w:id="384" w:name="_Toc15512"/>
      <w:bookmarkStart w:id="385" w:name="_Toc13259"/>
      <w:bookmarkStart w:id="386" w:name="_Toc1990"/>
      <w:bookmarkStart w:id="387" w:name="_Toc26218"/>
      <w:bookmarkStart w:id="388" w:name="_Toc23287"/>
      <w:r>
        <w:rPr>
          <w:rFonts w:hint="eastAsia" w:asciiTheme="minorEastAsia" w:hAnsiTheme="minorEastAsia" w:eastAsiaTheme="minorEastAsia" w:cstheme="minorEastAsia"/>
          <w:color w:val="auto"/>
          <w:sz w:val="24"/>
          <w:szCs w:val="24"/>
          <w:highlight w:val="none"/>
        </w:rPr>
        <w:t>2-2、股权关系说明：</w:t>
      </w:r>
      <w:bookmarkEnd w:id="384"/>
      <w:bookmarkEnd w:id="385"/>
      <w:bookmarkEnd w:id="386"/>
      <w:bookmarkEnd w:id="387"/>
      <w:bookmarkEnd w:id="388"/>
    </w:p>
    <w:p>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我单位控股的单位有</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w:t>
      </w:r>
    </w:p>
    <w:p>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我单位被单位控股</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w:t>
      </w:r>
    </w:p>
    <w:p>
      <w:pPr>
        <w:autoSpaceDE w:val="0"/>
        <w:autoSpaceDN w:val="0"/>
        <w:adjustRightInd w:val="0"/>
        <w:snapToGrid w:val="0"/>
        <w:spacing w:line="360" w:lineRule="auto"/>
        <w:outlineLvl w:val="1"/>
        <w:rPr>
          <w:rFonts w:hint="eastAsia" w:asciiTheme="minorEastAsia" w:hAnsiTheme="minorEastAsia" w:eastAsiaTheme="minorEastAsia" w:cstheme="minorEastAsia"/>
          <w:color w:val="auto"/>
          <w:sz w:val="24"/>
          <w:szCs w:val="24"/>
          <w:highlight w:val="none"/>
          <w:u w:val="single"/>
        </w:rPr>
      </w:pPr>
      <w:bookmarkStart w:id="389" w:name="_Toc1888"/>
      <w:bookmarkStart w:id="390" w:name="_Toc15667"/>
      <w:bookmarkStart w:id="391" w:name="_Toc26087"/>
      <w:bookmarkStart w:id="392" w:name="_Toc15899"/>
      <w:bookmarkStart w:id="393" w:name="_Toc25690"/>
      <w:r>
        <w:rPr>
          <w:rFonts w:hint="eastAsia" w:asciiTheme="minorEastAsia" w:hAnsiTheme="minorEastAsia" w:eastAsiaTheme="minorEastAsia" w:cstheme="minorEastAsia"/>
          <w:color w:val="auto"/>
          <w:sz w:val="24"/>
          <w:szCs w:val="24"/>
          <w:highlight w:val="none"/>
        </w:rPr>
        <w:t>2-3、单位负责人</w:t>
      </w:r>
      <w:r>
        <w:rPr>
          <w:rFonts w:hint="eastAsia" w:asciiTheme="minorEastAsia" w:hAnsiTheme="minorEastAsia" w:eastAsiaTheme="minorEastAsia" w:cstheme="minorEastAsia"/>
          <w:color w:val="auto"/>
          <w:sz w:val="24"/>
          <w:szCs w:val="24"/>
          <w:highlight w:val="none"/>
          <w:lang w:eastAsia="zh-CN"/>
        </w:rPr>
        <w:t>：</w:t>
      </w:r>
      <w:bookmarkEnd w:id="389"/>
      <w:bookmarkEnd w:id="390"/>
      <w:bookmarkEnd w:id="391"/>
      <w:bookmarkEnd w:id="392"/>
      <w:bookmarkEnd w:id="393"/>
      <w:r>
        <w:rPr>
          <w:rFonts w:hint="eastAsia" w:asciiTheme="minorEastAsia" w:hAnsiTheme="minorEastAsia" w:eastAsiaTheme="minorEastAsia" w:cstheme="minorEastAsia"/>
          <w:color w:val="auto"/>
          <w:sz w:val="24"/>
          <w:szCs w:val="24"/>
          <w:highlight w:val="none"/>
          <w:u w:val="single"/>
          <w:lang w:val="en-US" w:eastAsia="zh-CN"/>
        </w:rPr>
        <w:t xml:space="preserve">     </w:t>
      </w:r>
    </w:p>
    <w:p>
      <w:pPr>
        <w:autoSpaceDE w:val="0"/>
        <w:autoSpaceDN w:val="0"/>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3、其他与本项目有关的利害关系说明：</w:t>
      </w:r>
    </w:p>
    <w:p>
      <w:pPr>
        <w:autoSpaceDE w:val="0"/>
        <w:autoSpaceDN w:val="0"/>
        <w:adjustRightInd w:val="0"/>
        <w:snapToGrid w:val="0"/>
        <w:spacing w:line="360" w:lineRule="auto"/>
        <w:rPr>
          <w:rFonts w:hint="eastAsia" w:asciiTheme="minorEastAsia" w:hAnsiTheme="minorEastAsia" w:eastAsiaTheme="minorEastAsia" w:cstheme="minorEastAsia"/>
          <w:color w:val="auto"/>
          <w:sz w:val="24"/>
          <w:szCs w:val="24"/>
          <w:highlight w:val="none"/>
        </w:rPr>
      </w:pPr>
    </w:p>
    <w:p>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我单位承诺以上说明真实有效，无虚假内容或隐瞒。</w:t>
      </w:r>
    </w:p>
    <w:p>
      <w:pPr>
        <w:autoSpaceDE w:val="0"/>
        <w:autoSpaceDN w:val="0"/>
        <w:adjustRightInd w:val="0"/>
        <w:snapToGrid w:val="0"/>
        <w:spacing w:line="360" w:lineRule="auto"/>
        <w:rPr>
          <w:rFonts w:hint="eastAsia" w:asciiTheme="minorEastAsia" w:hAnsiTheme="minorEastAsia" w:eastAsiaTheme="minorEastAsia" w:cstheme="minorEastAsia"/>
          <w:color w:val="auto"/>
          <w:sz w:val="24"/>
          <w:szCs w:val="24"/>
          <w:highlight w:val="none"/>
        </w:rPr>
      </w:pPr>
    </w:p>
    <w:p>
      <w:pPr>
        <w:autoSpaceDE w:val="0"/>
        <w:autoSpaceDN w:val="0"/>
        <w:adjustRightInd w:val="0"/>
        <w:snapToGrid w:val="0"/>
        <w:spacing w:line="360" w:lineRule="auto"/>
        <w:jc w:val="center"/>
        <w:rPr>
          <w:rFonts w:hint="eastAsia" w:asciiTheme="minorEastAsia" w:hAnsiTheme="minorEastAsia" w:eastAsiaTheme="minorEastAsia" w:cstheme="minorEastAsia"/>
          <w:b/>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u w:val="single"/>
        </w:rPr>
      </w:pPr>
      <w:r>
        <w:rPr>
          <w:rFonts w:hint="eastAsia" w:hAnsi="宋体" w:cs="宋体"/>
          <w:color w:val="auto"/>
          <w:sz w:val="24"/>
          <w:highlight w:val="none"/>
          <w:lang w:eastAsia="zh-CN"/>
        </w:rPr>
        <w:t>磋商</w:t>
      </w: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u w:val="single"/>
        </w:rPr>
      </w:pPr>
      <w:r>
        <w:rPr>
          <w:rFonts w:hint="eastAsia" w:ascii="宋体" w:hAnsi="宋体" w:cs="宋体"/>
          <w:color w:val="auto"/>
          <w:sz w:val="24"/>
          <w:highlight w:val="none"/>
        </w:rPr>
        <w:t>法定代表人或被授权代表（签</w:t>
      </w:r>
      <w:r>
        <w:rPr>
          <w:rFonts w:hint="eastAsia" w:hAnsi="宋体" w:cs="宋体"/>
          <w:color w:val="auto"/>
          <w:sz w:val="24"/>
          <w:highlight w:val="none"/>
          <w:lang w:eastAsia="zh-CN"/>
        </w:rPr>
        <w:t>字</w:t>
      </w:r>
      <w:r>
        <w:rPr>
          <w:rFonts w:hint="eastAsia" w:ascii="宋体" w:hAnsi="宋体" w:cs="宋体"/>
          <w:color w:val="auto"/>
          <w:sz w:val="24"/>
          <w:highlight w:val="none"/>
        </w:rPr>
        <w:t>或盖章）：</w:t>
      </w:r>
      <w:r>
        <w:rPr>
          <w:rFonts w:hint="eastAsia" w:ascii="宋体" w:hAnsi="宋体" w:cs="宋体"/>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hAnsi="宋体" w:cs="宋体"/>
          <w:color w:val="auto"/>
          <w:sz w:val="24"/>
          <w:highlight w:val="none"/>
          <w:u w:val="none"/>
          <w:lang w:eastAsia="zh-CN"/>
        </w:rPr>
        <w:t>年</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u w:val="none"/>
          <w:lang w:eastAsia="zh-CN"/>
        </w:rPr>
        <w:t>月</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u w:val="none"/>
          <w:lang w:eastAsia="zh-CN"/>
        </w:rPr>
        <w:t>日</w:t>
      </w:r>
    </w:p>
    <w:p>
      <w:pPr>
        <w:widowControl/>
        <w:spacing w:line="360" w:lineRule="auto"/>
        <w:jc w:val="left"/>
        <w:rPr>
          <w:rFonts w:hint="eastAsia" w:asciiTheme="minorEastAsia" w:hAnsiTheme="minorEastAsia" w:eastAsiaTheme="minorEastAsia" w:cstheme="minorEastAsia"/>
          <w:b/>
          <w:bCs/>
          <w:color w:val="auto"/>
          <w:sz w:val="24"/>
          <w:szCs w:val="24"/>
          <w:highlight w:val="none"/>
        </w:rPr>
        <w:sectPr>
          <w:footerReference r:id="rId8" w:type="default"/>
          <w:pgSz w:w="11906" w:h="16838"/>
          <w:pgMar w:top="1418" w:right="1418" w:bottom="1418" w:left="1418" w:header="720" w:footer="720"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val="0"/>
        <w:kinsoku/>
        <w:wordWrap/>
        <w:overflowPunct/>
        <w:topLinePunct w:val="0"/>
        <w:autoSpaceDE w:val="0"/>
        <w:autoSpaceDN w:val="0"/>
        <w:bidi w:val="0"/>
        <w:adjustRightInd w:val="0"/>
        <w:snapToGrid/>
        <w:spacing w:line="480" w:lineRule="auto"/>
        <w:jc w:val="center"/>
        <w:textAlignment w:val="auto"/>
        <w:outlineLvl w:val="0"/>
        <w:rPr>
          <w:rFonts w:hint="eastAsia" w:asciiTheme="minorEastAsia" w:hAnsiTheme="minorEastAsia" w:eastAsiaTheme="minorEastAsia" w:cstheme="minorEastAsia"/>
          <w:b/>
          <w:bCs/>
          <w:color w:val="auto"/>
          <w:sz w:val="24"/>
          <w:szCs w:val="24"/>
          <w:highlight w:val="none"/>
        </w:rPr>
      </w:pPr>
      <w:bookmarkStart w:id="394" w:name="_Toc15101"/>
      <w:bookmarkStart w:id="395" w:name="_Toc11932"/>
      <w:bookmarkStart w:id="396" w:name="_Toc25667"/>
      <w:bookmarkStart w:id="397" w:name="_Toc10430"/>
      <w:bookmarkStart w:id="398" w:name="_Toc28465"/>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eastAsiaTheme="minorEastAsia" w:cstheme="minorEastAsia"/>
          <w:b/>
          <w:bCs/>
          <w:color w:val="auto"/>
          <w:sz w:val="24"/>
          <w:szCs w:val="24"/>
          <w:highlight w:val="none"/>
          <w:lang w:eastAsia="zh-CN"/>
        </w:rPr>
        <w:t>七</w:t>
      </w:r>
      <w:r>
        <w:rPr>
          <w:rFonts w:hint="eastAsia" w:asciiTheme="minorEastAsia" w:hAnsiTheme="minorEastAsia" w:eastAsiaTheme="minorEastAsia" w:cstheme="minorEastAsia"/>
          <w:b/>
          <w:bCs/>
          <w:color w:val="auto"/>
          <w:sz w:val="24"/>
          <w:szCs w:val="24"/>
          <w:highlight w:val="none"/>
        </w:rPr>
        <w:t>部分  合格供应商证明文件</w:t>
      </w:r>
      <w:bookmarkEnd w:id="394"/>
      <w:bookmarkEnd w:id="395"/>
      <w:bookmarkEnd w:id="396"/>
      <w:bookmarkEnd w:id="397"/>
      <w:bookmarkEnd w:id="39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shd w:val="clear" w:fill="FFFFFF"/>
          <w:lang w:eastAsia="zh-CN"/>
        </w:rPr>
      </w:pPr>
      <w:r>
        <w:rPr>
          <w:rFonts w:hint="eastAsia" w:ascii="宋体" w:hAnsi="宋体" w:eastAsia="宋体" w:cs="宋体"/>
          <w:color w:val="auto"/>
          <w:sz w:val="24"/>
          <w:szCs w:val="24"/>
          <w:highlight w:val="none"/>
          <w:shd w:val="clear" w:fill="FFFFFF"/>
        </w:rPr>
        <w:t>1.满足《中华人民共和国政府采购法》第二十二条规定</w:t>
      </w:r>
      <w:r>
        <w:rPr>
          <w:rFonts w:hint="eastAsia" w:ascii="宋体" w:hAnsi="宋体" w:eastAsia="宋体" w:cs="宋体"/>
          <w:color w:val="auto"/>
          <w:sz w:val="24"/>
          <w:szCs w:val="24"/>
          <w:highlight w:val="none"/>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shd w:val="clear" w:fill="FFFFFF"/>
        </w:rPr>
      </w:pPr>
      <w:r>
        <w:rPr>
          <w:rFonts w:hint="eastAsia" w:hAnsi="宋体" w:cs="宋体"/>
          <w:color w:val="auto"/>
          <w:sz w:val="24"/>
          <w:szCs w:val="24"/>
          <w:highlight w:val="none"/>
          <w:shd w:val="clear" w:fill="FFFFFF"/>
          <w:lang w:val="en-US" w:eastAsia="zh-CN"/>
        </w:rPr>
        <w:t>2</w:t>
      </w:r>
      <w:r>
        <w:rPr>
          <w:rFonts w:hint="eastAsia" w:ascii="宋体" w:hAnsi="宋体" w:eastAsia="宋体" w:cs="宋体"/>
          <w:color w:val="auto"/>
          <w:sz w:val="24"/>
          <w:szCs w:val="24"/>
          <w:highlight w:val="none"/>
          <w:shd w:val="clear" w:fill="FFFFFF"/>
        </w:rPr>
        <w:t>.本项目的特定资格要求：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rPr>
      </w:pPr>
      <w:r>
        <w:rPr>
          <w:rFonts w:hint="eastAsia" w:ascii="宋体" w:hAnsi="宋体" w:eastAsia="宋体" w:cs="宋体"/>
          <w:color w:val="auto"/>
          <w:sz w:val="24"/>
          <w:szCs w:val="24"/>
          <w:highlight w:val="none"/>
          <w:shd w:val="clear" w:fill="FFFFFF"/>
        </w:rPr>
        <w:t>（1）具有独立承担民事责任能力的法人、其他组织或自然人，并出具合法有效的营业执照，自然人参与的提供其身份证明；</w:t>
      </w:r>
      <w:r>
        <w:rPr>
          <w:rFonts w:hint="eastAsia" w:ascii="宋体" w:hAnsi="宋体" w:eastAsia="宋体" w:cs="宋体"/>
          <w:color w:val="auto"/>
          <w:sz w:val="24"/>
          <w:szCs w:val="24"/>
          <w:highlight w:val="none"/>
          <w:shd w:val="clear" w:fill="FFFFFF"/>
        </w:rPr>
        <w:br w:type="textWrapping"/>
      </w:r>
      <w:r>
        <w:rPr>
          <w:rFonts w:hint="eastAsia" w:ascii="宋体" w:hAnsi="宋体" w:eastAsia="宋体" w:cs="宋体"/>
          <w:color w:val="auto"/>
          <w:sz w:val="24"/>
          <w:szCs w:val="24"/>
          <w:highlight w:val="none"/>
          <w:shd w:val="clear" w:fill="FFFFFF"/>
          <w:lang w:val="en-US" w:eastAsia="zh-CN"/>
        </w:rPr>
        <w:t xml:space="preserve">    </w:t>
      </w:r>
      <w:r>
        <w:rPr>
          <w:rFonts w:hint="eastAsia" w:ascii="宋体" w:hAnsi="宋体" w:eastAsia="宋体" w:cs="宋体"/>
          <w:color w:val="auto"/>
          <w:sz w:val="24"/>
          <w:szCs w:val="24"/>
          <w:highlight w:val="none"/>
          <w:shd w:val="clear" w:fill="FFFFFF"/>
        </w:rPr>
        <w:t>（2）提供法定代表人授权书（附法定代表人、被授权人身份证复印件）及被授权人身份证（法定代表人参加磋商只需提供身份证）；</w:t>
      </w:r>
      <w:r>
        <w:rPr>
          <w:rFonts w:hint="eastAsia" w:ascii="宋体" w:hAnsi="宋体" w:eastAsia="宋体" w:cs="宋体"/>
          <w:color w:val="auto"/>
          <w:sz w:val="24"/>
          <w:szCs w:val="24"/>
          <w:highlight w:val="none"/>
          <w:shd w:val="clear" w:fill="FFFFFF"/>
        </w:rPr>
        <w:br w:type="textWrapping"/>
      </w:r>
      <w:r>
        <w:rPr>
          <w:rFonts w:hint="eastAsia" w:ascii="宋体" w:hAnsi="宋体" w:eastAsia="宋体" w:cs="宋体"/>
          <w:color w:val="auto"/>
          <w:sz w:val="24"/>
          <w:szCs w:val="24"/>
          <w:highlight w:val="none"/>
          <w:shd w:val="clear" w:fill="FFFFFF"/>
          <w:lang w:val="en-US" w:eastAsia="zh-CN"/>
        </w:rPr>
        <w:t xml:space="preserve">    </w:t>
      </w:r>
      <w:r>
        <w:rPr>
          <w:rFonts w:hint="eastAsia" w:ascii="宋体" w:hAnsi="宋体" w:eastAsia="宋体" w:cs="宋体"/>
          <w:color w:val="auto"/>
          <w:sz w:val="24"/>
          <w:szCs w:val="24"/>
          <w:highlight w:val="none"/>
          <w:shd w:val="clear" w:fill="FFFFFF"/>
        </w:rPr>
        <w:t>（3）供应商为制造厂家的需提供医疗器械生产许可证或医疗器械生产备案凭证；供应商为经销商的需提供医疗器械经营许可证或医疗器械经营备案凭证及生产厂家的医疗器械生产许可证或医疗器械生产备案凭证，提供所投产品的医疗器械产品注册证；</w:t>
      </w:r>
      <w:r>
        <w:rPr>
          <w:rFonts w:hint="eastAsia" w:ascii="宋体" w:hAnsi="宋体" w:eastAsia="宋体" w:cs="宋体"/>
          <w:color w:val="auto"/>
          <w:sz w:val="24"/>
          <w:szCs w:val="24"/>
          <w:highlight w:val="none"/>
          <w:shd w:val="clear" w:fill="FFFFFF"/>
        </w:rPr>
        <w:br w:type="textWrapping"/>
      </w:r>
      <w:r>
        <w:rPr>
          <w:rFonts w:hint="eastAsia" w:ascii="宋体" w:hAnsi="宋体" w:eastAsia="宋体" w:cs="宋体"/>
          <w:color w:val="auto"/>
          <w:sz w:val="24"/>
          <w:szCs w:val="24"/>
          <w:highlight w:val="none"/>
          <w:shd w:val="clear" w:fill="FFFFFF"/>
          <w:lang w:val="en-US" w:eastAsia="zh-CN"/>
        </w:rPr>
        <w:t xml:space="preserve">    </w:t>
      </w:r>
      <w:r>
        <w:rPr>
          <w:rFonts w:hint="eastAsia" w:ascii="宋体" w:hAnsi="宋体" w:eastAsia="宋体" w:cs="宋体"/>
          <w:color w:val="auto"/>
          <w:sz w:val="24"/>
          <w:szCs w:val="24"/>
          <w:highlight w:val="none"/>
          <w:shd w:val="clear" w:fill="FFFFFF"/>
        </w:rPr>
        <w:t>（4）财务状况：提供2022年度的财务审计报告（至少包括资产负债表和利润表，成立时间至提交响应文件截止时间不足一年的可提供成立后任意时段的资产负债表），或其基本存款账户开户银行出具的资信证明；</w:t>
      </w:r>
      <w:r>
        <w:rPr>
          <w:rFonts w:hint="eastAsia" w:ascii="宋体" w:hAnsi="宋体" w:eastAsia="宋体" w:cs="宋体"/>
          <w:color w:val="auto"/>
          <w:sz w:val="24"/>
          <w:szCs w:val="24"/>
          <w:highlight w:val="none"/>
          <w:shd w:val="clear" w:fill="FFFFFF"/>
        </w:rPr>
        <w:br w:type="textWrapping"/>
      </w:r>
      <w:r>
        <w:rPr>
          <w:rFonts w:hint="eastAsia" w:ascii="宋体" w:hAnsi="宋体" w:eastAsia="宋体" w:cs="宋体"/>
          <w:color w:val="auto"/>
          <w:sz w:val="24"/>
          <w:szCs w:val="24"/>
          <w:highlight w:val="none"/>
          <w:shd w:val="clear" w:fill="FFFFFF"/>
          <w:lang w:val="en-US" w:eastAsia="zh-CN"/>
        </w:rPr>
        <w:t xml:space="preserve">    </w:t>
      </w:r>
      <w:r>
        <w:rPr>
          <w:rFonts w:hint="eastAsia" w:ascii="宋体" w:hAnsi="宋体" w:eastAsia="宋体" w:cs="宋体"/>
          <w:color w:val="auto"/>
          <w:sz w:val="24"/>
          <w:szCs w:val="24"/>
          <w:highlight w:val="none"/>
          <w:shd w:val="clear" w:fill="FFFFFF"/>
        </w:rPr>
        <w:t>（5）税收缴纳证明：提供磋商截止日前近一年内任意一个月的纳税证明或完税证明（任意税种），依法免税的单位应提供相关证明材料；</w:t>
      </w:r>
      <w:r>
        <w:rPr>
          <w:rFonts w:hint="eastAsia" w:ascii="宋体" w:hAnsi="宋体" w:eastAsia="宋体" w:cs="宋体"/>
          <w:color w:val="auto"/>
          <w:sz w:val="24"/>
          <w:szCs w:val="24"/>
          <w:highlight w:val="none"/>
          <w:shd w:val="clear" w:fill="FFFFFF"/>
        </w:rPr>
        <w:br w:type="textWrapping"/>
      </w:r>
      <w:r>
        <w:rPr>
          <w:rFonts w:hint="eastAsia" w:ascii="宋体" w:hAnsi="宋体" w:eastAsia="宋体" w:cs="宋体"/>
          <w:color w:val="auto"/>
          <w:sz w:val="24"/>
          <w:szCs w:val="24"/>
          <w:highlight w:val="none"/>
          <w:shd w:val="clear" w:fill="FFFFFF"/>
          <w:lang w:val="en-US" w:eastAsia="zh-CN"/>
        </w:rPr>
        <w:t xml:space="preserve">    </w:t>
      </w:r>
      <w:r>
        <w:rPr>
          <w:rFonts w:hint="eastAsia" w:ascii="宋体" w:hAnsi="宋体" w:eastAsia="宋体" w:cs="宋体"/>
          <w:color w:val="auto"/>
          <w:sz w:val="24"/>
          <w:szCs w:val="24"/>
          <w:highlight w:val="none"/>
          <w:shd w:val="clear" w:fill="FFFFFF"/>
        </w:rPr>
        <w:t>（6）社会保障资金缴纳证明：提供磋商截止日前近一年内任意一个月的社会保障资金缴存单据或社保机构开具的社会保险参保缴费情况证明，依法不需要缴纳社会保障资金的单位应提供相关证明材料；</w:t>
      </w:r>
      <w:r>
        <w:rPr>
          <w:rFonts w:hint="eastAsia" w:ascii="宋体" w:hAnsi="宋体" w:eastAsia="宋体" w:cs="宋体"/>
          <w:color w:val="auto"/>
          <w:sz w:val="24"/>
          <w:szCs w:val="24"/>
          <w:highlight w:val="none"/>
          <w:shd w:val="clear" w:fill="FFFFFF"/>
        </w:rPr>
        <w:br w:type="textWrapping"/>
      </w:r>
      <w:r>
        <w:rPr>
          <w:rFonts w:hint="eastAsia" w:ascii="宋体" w:hAnsi="宋体" w:eastAsia="宋体" w:cs="宋体"/>
          <w:color w:val="auto"/>
          <w:sz w:val="24"/>
          <w:szCs w:val="24"/>
          <w:highlight w:val="none"/>
          <w:shd w:val="clear" w:fill="FFFFFF"/>
          <w:lang w:val="en-US" w:eastAsia="zh-CN"/>
        </w:rPr>
        <w:t xml:space="preserve">    </w:t>
      </w:r>
      <w:r>
        <w:rPr>
          <w:rFonts w:hint="eastAsia" w:ascii="宋体" w:hAnsi="宋体" w:eastAsia="宋体" w:cs="宋体"/>
          <w:color w:val="auto"/>
          <w:sz w:val="24"/>
          <w:szCs w:val="24"/>
          <w:highlight w:val="none"/>
          <w:shd w:val="clear" w:fill="FFFFFF"/>
        </w:rPr>
        <w:t>（7）近三年内，在经营活动中没有重大违规记录或被起诉的行为声明；</w:t>
      </w:r>
      <w:r>
        <w:rPr>
          <w:rFonts w:hint="eastAsia" w:ascii="宋体" w:hAnsi="宋体" w:eastAsia="宋体" w:cs="宋体"/>
          <w:color w:val="auto"/>
          <w:sz w:val="24"/>
          <w:szCs w:val="24"/>
          <w:highlight w:val="none"/>
          <w:shd w:val="clear" w:fill="FFFFFF"/>
        </w:rPr>
        <w:br w:type="textWrapping"/>
      </w:r>
      <w:r>
        <w:rPr>
          <w:rFonts w:hint="eastAsia" w:ascii="宋体" w:hAnsi="宋体" w:eastAsia="宋体" w:cs="宋体"/>
          <w:color w:val="auto"/>
          <w:sz w:val="24"/>
          <w:szCs w:val="24"/>
          <w:highlight w:val="none"/>
          <w:shd w:val="clear" w:fill="FFFFFF"/>
          <w:lang w:val="en-US" w:eastAsia="zh-CN"/>
        </w:rPr>
        <w:t xml:space="preserve">    </w:t>
      </w:r>
      <w:r>
        <w:rPr>
          <w:rFonts w:hint="eastAsia" w:ascii="宋体" w:hAnsi="宋体" w:eastAsia="宋体" w:cs="宋体"/>
          <w:color w:val="auto"/>
          <w:sz w:val="24"/>
          <w:szCs w:val="24"/>
          <w:highlight w:val="none"/>
          <w:shd w:val="clear" w:fill="FFFFFF"/>
        </w:rPr>
        <w:t>（8）供应商须提供具有履行合同所必需的设备和专业技术能力的承诺函；</w:t>
      </w:r>
      <w:r>
        <w:rPr>
          <w:rFonts w:hint="eastAsia" w:ascii="宋体" w:hAnsi="宋体" w:eastAsia="宋体" w:cs="宋体"/>
          <w:color w:val="auto"/>
          <w:sz w:val="24"/>
          <w:szCs w:val="24"/>
          <w:highlight w:val="none"/>
          <w:shd w:val="clear" w:fill="FFFFFF"/>
        </w:rPr>
        <w:br w:type="textWrapping"/>
      </w:r>
      <w:r>
        <w:rPr>
          <w:rFonts w:hint="eastAsia" w:ascii="宋体" w:hAnsi="宋体" w:eastAsia="宋体" w:cs="宋体"/>
          <w:color w:val="auto"/>
          <w:sz w:val="24"/>
          <w:szCs w:val="24"/>
          <w:highlight w:val="none"/>
          <w:shd w:val="clear" w:fill="FFFFFF"/>
          <w:lang w:val="en-US" w:eastAsia="zh-CN"/>
        </w:rPr>
        <w:t xml:space="preserve">    </w:t>
      </w:r>
      <w:r>
        <w:rPr>
          <w:rFonts w:hint="eastAsia" w:ascii="宋体" w:hAnsi="宋体" w:eastAsia="宋体" w:cs="宋体"/>
          <w:color w:val="auto"/>
          <w:sz w:val="24"/>
          <w:szCs w:val="24"/>
          <w:highlight w:val="none"/>
          <w:shd w:val="clear" w:fill="FFFFFF"/>
        </w:rPr>
        <w:t>（9）供应商不得为“中国执行信息公开网（zxgk.court.gov.cn）”被列入失信被执行人名单；“信用中国（www.creditchina.gov.cn）”重大税收违法失信主体名单，不得为“中国政府采购网（www.ccgp.gov.cn）”被列入政府采购严重违法失信行为记录名单（提供加盖公章的网页截图）</w:t>
      </w:r>
      <w:r>
        <w:rPr>
          <w:rFonts w:hint="eastAsia" w:ascii="宋体" w:hAnsi="宋体" w:eastAsia="宋体" w:cs="宋体"/>
          <w:color w:val="auto"/>
          <w:sz w:val="24"/>
          <w:szCs w:val="24"/>
          <w:highlight w:val="none"/>
          <w:shd w:val="clear" w:fill="FFFFFF"/>
          <w:lang w:eastAsia="zh-CN"/>
        </w:rPr>
        <w:t>；</w:t>
      </w:r>
      <w:r>
        <w:rPr>
          <w:rFonts w:hint="eastAsia" w:ascii="宋体" w:hAnsi="宋体" w:eastAsia="宋体" w:cs="宋体"/>
          <w:color w:val="auto"/>
          <w:sz w:val="24"/>
          <w:szCs w:val="24"/>
          <w:highlight w:val="none"/>
          <w:shd w:val="clear" w:fill="FFFFFF"/>
        </w:rPr>
        <w:br w:type="textWrapping"/>
      </w:r>
      <w:r>
        <w:rPr>
          <w:rFonts w:hint="eastAsia" w:ascii="宋体" w:hAnsi="宋体" w:eastAsia="宋体" w:cs="宋体"/>
          <w:color w:val="auto"/>
          <w:sz w:val="24"/>
          <w:szCs w:val="24"/>
          <w:highlight w:val="none"/>
          <w:shd w:val="clear" w:fill="FFFFFF"/>
          <w:lang w:val="en-US" w:eastAsia="zh-CN"/>
        </w:rPr>
        <w:t xml:space="preserve">    </w:t>
      </w:r>
      <w:r>
        <w:rPr>
          <w:rFonts w:hint="eastAsia" w:ascii="宋体" w:hAnsi="宋体" w:eastAsia="宋体" w:cs="宋体"/>
          <w:color w:val="auto"/>
          <w:sz w:val="24"/>
          <w:szCs w:val="24"/>
          <w:highlight w:val="none"/>
          <w:shd w:val="clear" w:fill="FFFFFF"/>
        </w:rPr>
        <w:t>（10）本项目专门面向中小企业采购，非中小企业单位（监狱企业、残疾人福利单位除外）不得参与投标（提供中小企业声明函）。</w:t>
      </w:r>
    </w:p>
    <w:p>
      <w:pPr>
        <w:keepNext w:val="0"/>
        <w:keepLines w:val="0"/>
        <w:pageBreakBefore w:val="0"/>
        <w:widowControl/>
        <w:tabs>
          <w:tab w:val="left" w:pos="1620"/>
        </w:tabs>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cs="宋体"/>
          <w:color w:val="auto"/>
          <w:kern w:val="0"/>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cs="宋体"/>
          <w:color w:val="auto"/>
          <w:sz w:val="21"/>
          <w:szCs w:val="21"/>
          <w:highlight w:val="none"/>
          <w:shd w:val="clear" w:fill="FFFFFF"/>
          <w:lang w:eastAsia="zh-CN"/>
        </w:rPr>
      </w:pPr>
      <w:bookmarkStart w:id="399" w:name="_Toc31394"/>
      <w:bookmarkStart w:id="400" w:name="_Toc7166"/>
      <w:r>
        <w:rPr>
          <w:rFonts w:hint="eastAsia" w:ascii="宋体" w:hAnsi="宋体" w:eastAsia="宋体" w:cs="宋体"/>
          <w:b/>
          <w:bCs/>
          <w:color w:val="auto"/>
          <w:sz w:val="24"/>
          <w:szCs w:val="24"/>
          <w:highlight w:val="none"/>
          <w:lang w:eastAsia="zh-CN"/>
        </w:rPr>
        <w:t>附件</w:t>
      </w:r>
      <w:r>
        <w:rPr>
          <w:rFonts w:hint="eastAsia"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en-US" w:eastAsia="zh-CN"/>
        </w:rPr>
        <w:t xml:space="preserve">-1 </w:t>
      </w:r>
      <w:r>
        <w:rPr>
          <w:rFonts w:hint="eastAsia" w:ascii="宋体" w:hAnsi="宋体" w:eastAsia="宋体" w:cs="宋体"/>
          <w:color w:val="auto"/>
          <w:sz w:val="24"/>
          <w:szCs w:val="24"/>
          <w:highlight w:val="none"/>
          <w:shd w:val="clear" w:fill="FFFFFF"/>
        </w:rPr>
        <w:t>满足《中华人民共和国政府采购法》第二十二条规定</w:t>
      </w:r>
      <w:r>
        <w:rPr>
          <w:rFonts w:hint="eastAsia" w:hAnsi="宋体" w:cs="宋体"/>
          <w:color w:val="auto"/>
          <w:sz w:val="24"/>
          <w:szCs w:val="24"/>
          <w:highlight w:val="none"/>
          <w:shd w:val="clear" w:fill="FFFFFF"/>
          <w:lang w:eastAsia="zh-CN"/>
        </w:rPr>
        <w:t>；</w:t>
      </w:r>
    </w:p>
    <w:p>
      <w:pPr>
        <w:widowControl/>
        <w:spacing w:line="400" w:lineRule="exact"/>
        <w:ind w:firstLine="567"/>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承诺书</w:t>
      </w:r>
    </w:p>
    <w:p>
      <w:pPr>
        <w:rPr>
          <w:rFonts w:hint="eastAsia" w:ascii="宋体" w:hAnsi="宋体" w:eastAsia="宋体" w:cs="宋体"/>
          <w:color w:val="auto"/>
          <w:highlight w:val="none"/>
        </w:rPr>
      </w:pPr>
    </w:p>
    <w:p>
      <w:pPr>
        <w:spacing w:line="480" w:lineRule="auto"/>
        <w:rPr>
          <w:rFonts w:hint="eastAsia" w:ascii="宋体" w:hAnsi="宋体" w:eastAsia="宋体" w:cs="宋体"/>
          <w:color w:val="auto"/>
          <w:spacing w:val="4"/>
          <w:sz w:val="24"/>
          <w:highlight w:val="none"/>
          <w:u w:val="single"/>
        </w:rPr>
      </w:pPr>
      <w:r>
        <w:rPr>
          <w:rFonts w:hint="eastAsia" w:ascii="宋体" w:hAnsi="宋体" w:eastAsia="宋体" w:cs="宋体"/>
          <w:color w:val="auto"/>
          <w:spacing w:val="4"/>
          <w:sz w:val="24"/>
          <w:highlight w:val="none"/>
        </w:rPr>
        <w:t>致：</w:t>
      </w:r>
      <w:r>
        <w:rPr>
          <w:rFonts w:hint="eastAsia" w:ascii="宋体" w:hAnsi="宋体" w:eastAsia="宋体" w:cs="宋体"/>
          <w:color w:val="auto"/>
          <w:spacing w:val="4"/>
          <w:sz w:val="24"/>
          <w:highlight w:val="none"/>
          <w:u w:val="single"/>
        </w:rPr>
        <w:t xml:space="preserve">   （采购人名称）    </w:t>
      </w:r>
      <w:r>
        <w:rPr>
          <w:rFonts w:hint="eastAsia" w:ascii="宋体" w:hAnsi="宋体" w:eastAsia="宋体" w:cs="宋体"/>
          <w:color w:val="auto"/>
          <w:spacing w:val="4"/>
          <w:sz w:val="24"/>
          <w:highlight w:val="none"/>
        </w:rPr>
        <w:t>：</w:t>
      </w:r>
    </w:p>
    <w:p>
      <w:pPr>
        <w:widowControl/>
        <w:adjustRightInd w:val="0"/>
        <w:snapToGrid w:val="0"/>
        <w:spacing w:line="360" w:lineRule="auto"/>
        <w:ind w:firstLine="567"/>
        <w:jc w:val="left"/>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本公司</w:t>
      </w:r>
      <w:r>
        <w:rPr>
          <w:rFonts w:hint="eastAsia" w:ascii="宋体" w:hAnsi="宋体" w:eastAsia="宋体" w:cs="宋体"/>
          <w:color w:val="auto"/>
          <w:kern w:val="0"/>
          <w:sz w:val="24"/>
          <w:szCs w:val="28"/>
          <w:highlight w:val="none"/>
          <w:u w:val="single"/>
        </w:rPr>
        <w:t xml:space="preserve">                   （</w:t>
      </w:r>
      <w:r>
        <w:rPr>
          <w:rFonts w:hint="eastAsia" w:ascii="宋体" w:hAnsi="宋体" w:eastAsia="宋体" w:cs="宋体"/>
          <w:color w:val="auto"/>
          <w:kern w:val="0"/>
          <w:sz w:val="24"/>
          <w:szCs w:val="28"/>
          <w:highlight w:val="none"/>
        </w:rPr>
        <w:t>公司名称）参加</w:t>
      </w:r>
      <w:r>
        <w:rPr>
          <w:rFonts w:hint="eastAsia" w:ascii="宋体" w:hAnsi="宋体" w:eastAsia="宋体" w:cs="宋体"/>
          <w:color w:val="auto"/>
          <w:kern w:val="0"/>
          <w:sz w:val="24"/>
          <w:szCs w:val="28"/>
          <w:highlight w:val="none"/>
          <w:u w:val="single"/>
        </w:rPr>
        <w:t xml:space="preserve">            </w:t>
      </w:r>
      <w:r>
        <w:rPr>
          <w:rFonts w:hint="eastAsia" w:ascii="宋体" w:hAnsi="宋体" w:eastAsia="宋体" w:cs="宋体"/>
          <w:color w:val="auto"/>
          <w:kern w:val="0"/>
          <w:sz w:val="24"/>
          <w:szCs w:val="28"/>
          <w:highlight w:val="none"/>
        </w:rPr>
        <w:t>（项目名称）的磋商活动，现承诺：</w:t>
      </w:r>
    </w:p>
    <w:p>
      <w:pPr>
        <w:widowControl/>
        <w:adjustRightInd w:val="0"/>
        <w:snapToGrid w:val="0"/>
        <w:spacing w:line="360" w:lineRule="auto"/>
        <w:ind w:firstLine="567"/>
        <w:jc w:val="left"/>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我公司满足政府采购法第二十二条关于供应商的资格要求：</w:t>
      </w:r>
    </w:p>
    <w:p>
      <w:pPr>
        <w:widowControl/>
        <w:adjustRightInd w:val="0"/>
        <w:snapToGrid w:val="0"/>
        <w:spacing w:line="360" w:lineRule="auto"/>
        <w:ind w:firstLine="567"/>
        <w:jc w:val="left"/>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（一）具有独立承担民事责任的能力；</w:t>
      </w:r>
    </w:p>
    <w:p>
      <w:pPr>
        <w:widowControl/>
        <w:adjustRightInd w:val="0"/>
        <w:snapToGrid w:val="0"/>
        <w:spacing w:line="360" w:lineRule="auto"/>
        <w:ind w:firstLine="567"/>
        <w:jc w:val="left"/>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（二）具有良好的商业信誉和健全的财务会计制度；</w:t>
      </w:r>
    </w:p>
    <w:p>
      <w:pPr>
        <w:widowControl/>
        <w:adjustRightInd w:val="0"/>
        <w:snapToGrid w:val="0"/>
        <w:spacing w:line="360" w:lineRule="auto"/>
        <w:ind w:firstLine="567"/>
        <w:jc w:val="left"/>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（三）具有履行合同所必需的设备和专业技术能力；</w:t>
      </w:r>
    </w:p>
    <w:p>
      <w:pPr>
        <w:widowControl/>
        <w:adjustRightInd w:val="0"/>
        <w:snapToGrid w:val="0"/>
        <w:spacing w:line="360" w:lineRule="auto"/>
        <w:ind w:firstLine="567"/>
        <w:jc w:val="left"/>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（四）有依法缴纳税收和社会保障资金的良好记录；</w:t>
      </w:r>
    </w:p>
    <w:p>
      <w:pPr>
        <w:widowControl/>
        <w:adjustRightInd w:val="0"/>
        <w:snapToGrid w:val="0"/>
        <w:spacing w:line="360" w:lineRule="auto"/>
        <w:ind w:firstLine="567"/>
        <w:jc w:val="left"/>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（五）参加政府采购活动前三年内，在经营活动中没有重大违法记录；</w:t>
      </w:r>
    </w:p>
    <w:p>
      <w:pPr>
        <w:widowControl/>
        <w:adjustRightInd w:val="0"/>
        <w:snapToGrid w:val="0"/>
        <w:spacing w:line="360" w:lineRule="auto"/>
        <w:ind w:firstLine="567"/>
        <w:jc w:val="left"/>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（六）法律、行政法规规定的其他条件。</w:t>
      </w:r>
    </w:p>
    <w:p>
      <w:pPr>
        <w:widowControl/>
        <w:adjustRightInd w:val="0"/>
        <w:snapToGrid w:val="0"/>
        <w:spacing w:line="360" w:lineRule="auto"/>
        <w:ind w:firstLine="567"/>
        <w:jc w:val="left"/>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同时也满足本项目法律法规规章规定关于供应商的其他资格性条件，未参与本采购项目前期咨询论证，不属于禁止参加磋商的供应商。</w:t>
      </w:r>
    </w:p>
    <w:p>
      <w:pPr>
        <w:widowControl/>
        <w:adjustRightInd w:val="0"/>
        <w:snapToGrid w:val="0"/>
        <w:spacing w:line="360" w:lineRule="auto"/>
        <w:ind w:firstLine="567"/>
        <w:jc w:val="left"/>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如违反以上承诺，本公司愿承担一切法律责任。</w:t>
      </w:r>
    </w:p>
    <w:p>
      <w:pPr>
        <w:pStyle w:val="3"/>
        <w:rPr>
          <w:rFonts w:hint="eastAsia" w:ascii="宋体" w:hAnsi="宋体" w:eastAsia="宋体" w:cs="宋体"/>
          <w:color w:val="auto"/>
          <w:highlight w:val="none"/>
        </w:rPr>
      </w:pPr>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480" w:lineRule="auto"/>
        <w:ind w:righ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（盖章）</w:t>
      </w:r>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48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法定代表人或授权代理人：</w:t>
      </w:r>
      <w:r>
        <w:rPr>
          <w:rFonts w:hint="eastAsia" w:ascii="宋体" w:hAnsi="宋体" w:eastAsia="宋体" w:cs="宋体"/>
          <w:color w:val="auto"/>
          <w:sz w:val="24"/>
          <w:szCs w:val="24"/>
          <w:highlight w:val="none"/>
          <w:u w:val="single"/>
        </w:rPr>
        <w:t xml:space="preserve">         （签字或盖章）</w:t>
      </w:r>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480" w:lineRule="auto"/>
        <w:ind w:right="0"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u w:val="none"/>
          <w:lang w:val="en-US" w:eastAsia="zh-CN"/>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198"/>
        <w:spacing w:line="500" w:lineRule="atLeast"/>
        <w:ind w:firstLine="2400" w:firstLineChars="1000"/>
        <w:jc w:val="both"/>
        <w:rPr>
          <w:rFonts w:hint="eastAsia" w:ascii="宋体" w:hAnsi="宋体" w:eastAsia="宋体" w:cs="宋体"/>
          <w:b w:val="0"/>
          <w:color w:val="auto"/>
          <w:sz w:val="24"/>
          <w:szCs w:val="24"/>
          <w:highlight w:val="none"/>
          <w:lang w:val="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附件</w:t>
      </w:r>
      <w:r>
        <w:rPr>
          <w:rFonts w:hint="eastAsia"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en-US" w:eastAsia="zh-CN"/>
        </w:rPr>
        <w:t>-2</w:t>
      </w:r>
      <w:r>
        <w:rPr>
          <w:rFonts w:hint="eastAsia"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shd w:val="clear" w:fill="FFFFFF"/>
        </w:rPr>
        <w:t>具有独立承担民事责任能力的法人、其他组织或自然人，并出具合法有效的营业执照，自然人参与的提供其身份证明；</w:t>
      </w:r>
    </w:p>
    <w:p>
      <w:pP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附件</w:t>
      </w:r>
      <w:r>
        <w:rPr>
          <w:rFonts w:hint="eastAsia"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en-US" w:eastAsia="zh-CN"/>
        </w:rPr>
        <w:t>-2</w:t>
      </w:r>
      <w:r>
        <w:rPr>
          <w:rFonts w:hint="eastAsia"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shd w:val="clear" w:fill="FFFFFF"/>
        </w:rPr>
        <w:t>提供法定代表人授权书（附法定代表人、被授权人身份证复印件）及被授权人身份证（法定代表人参加磋商只需提供身份证）；</w:t>
      </w:r>
    </w:p>
    <w:p>
      <w:pPr>
        <w:spacing w:line="480" w:lineRule="exact"/>
        <w:jc w:val="center"/>
        <w:outlineLvl w:val="1"/>
        <w:rPr>
          <w:rFonts w:hint="eastAsia" w:asciiTheme="minorEastAsia" w:hAnsiTheme="minorEastAsia" w:eastAsiaTheme="minorEastAsia" w:cstheme="minorEastAsia"/>
          <w:b/>
          <w:bCs/>
          <w:color w:val="auto"/>
          <w:sz w:val="24"/>
          <w:szCs w:val="24"/>
          <w:highlight w:val="none"/>
        </w:rPr>
      </w:pPr>
    </w:p>
    <w:bookmarkEnd w:id="399"/>
    <w:bookmarkEnd w:id="400"/>
    <w:p>
      <w:pPr>
        <w:autoSpaceDE w:val="0"/>
        <w:autoSpaceDN w:val="0"/>
        <w:adjustRightInd w:val="0"/>
        <w:spacing w:line="360" w:lineRule="auto"/>
        <w:ind w:firstLine="482" w:firstLineChars="200"/>
        <w:jc w:val="center"/>
        <w:outlineLvl w:val="1"/>
        <w:rPr>
          <w:rFonts w:hint="eastAsia" w:ascii="宋体" w:hAnsi="宋体" w:eastAsia="宋体" w:cs="宋体"/>
          <w:b/>
          <w:bCs/>
          <w:color w:val="auto"/>
          <w:sz w:val="22"/>
          <w:highlight w:val="none"/>
        </w:rPr>
      </w:pPr>
      <w:bookmarkStart w:id="401" w:name="_Toc325"/>
      <w:bookmarkStart w:id="402" w:name="_Toc5455"/>
      <w:bookmarkStart w:id="403" w:name="_Toc15487"/>
      <w:bookmarkStart w:id="404" w:name="_Toc29488"/>
      <w:bookmarkStart w:id="405" w:name="_Toc27662"/>
      <w:r>
        <w:rPr>
          <w:rFonts w:hint="eastAsia" w:ascii="宋体" w:hAnsi="宋体" w:eastAsia="宋体" w:cs="宋体"/>
          <w:b/>
          <w:color w:val="auto"/>
          <w:sz w:val="24"/>
          <w:highlight w:val="none"/>
        </w:rPr>
        <w:t>法人身份证明</w:t>
      </w:r>
      <w:bookmarkEnd w:id="401"/>
      <w:bookmarkEnd w:id="402"/>
      <w:bookmarkEnd w:id="403"/>
      <w:bookmarkEnd w:id="404"/>
      <w:bookmarkEnd w:id="405"/>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w:t>
      </w:r>
      <w:r>
        <w:rPr>
          <w:rFonts w:hint="eastAsia"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pPr>
        <w:pageBreakBefore w:val="0"/>
        <w:kinsoku/>
        <w:wordWrap/>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法定代表人复印件（二代身份证</w:t>
      </w:r>
      <w:r>
        <w:rPr>
          <w:rFonts w:hint="eastAsia" w:ascii="宋体" w:hAnsi="宋体" w:eastAsia="宋体" w:cs="宋体"/>
          <w:color w:val="auto"/>
          <w:sz w:val="24"/>
          <w:highlight w:val="none"/>
          <w:lang w:eastAsia="zh-CN"/>
        </w:rPr>
        <w:t>正反面</w:t>
      </w:r>
      <w:r>
        <w:rPr>
          <w:rFonts w:hint="eastAsia" w:ascii="宋体" w:hAnsi="宋体" w:eastAsia="宋体" w:cs="宋体"/>
          <w:color w:val="auto"/>
          <w:sz w:val="24"/>
          <w:highlight w:val="none"/>
        </w:rPr>
        <w:t>）</w:t>
      </w:r>
    </w:p>
    <w:tbl>
      <w:tblPr>
        <w:tblStyle w:val="45"/>
        <w:tblpPr w:leftFromText="180" w:rightFromText="180" w:vertAnchor="text" w:horzAnchor="page" w:tblpX="1990" w:tblpY="2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550"/>
        <w:gridCol w:w="4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3205" w:hRule="atLeast"/>
        </w:trPr>
        <w:tc>
          <w:tcPr>
            <w:tcW w:w="4550" w:type="dxa"/>
            <w:shd w:val="clear" w:color="auto" w:fill="E0E0E0"/>
            <w:noWrap w:val="0"/>
            <w:vAlign w:val="center"/>
          </w:tcPr>
          <w:p>
            <w:pPr>
              <w:pStyle w:val="24"/>
              <w:spacing w:line="500" w:lineRule="exact"/>
              <w:jc w:val="center"/>
              <w:rPr>
                <w:rFonts w:hint="eastAsia" w:ascii="宋体" w:hAnsi="宋体" w:eastAsia="宋体" w:cs="宋体"/>
                <w:color w:val="auto"/>
                <w:sz w:val="24"/>
                <w:szCs w:val="24"/>
                <w:highlight w:val="none"/>
                <w:shd w:val="pct10" w:color="auto" w:fill="FFFFFF"/>
              </w:rPr>
            </w:pPr>
            <w:r>
              <w:rPr>
                <w:rFonts w:hint="eastAsia" w:ascii="宋体" w:hAnsi="宋体" w:eastAsia="宋体" w:cs="宋体"/>
                <w:color w:val="auto"/>
                <w:sz w:val="24"/>
                <w:szCs w:val="24"/>
                <w:highlight w:val="none"/>
                <w:shd w:val="pct10" w:color="auto" w:fill="FFFFFF"/>
              </w:rPr>
              <w:t>法定代表人身份证</w:t>
            </w:r>
            <w:r>
              <w:rPr>
                <w:rFonts w:hint="eastAsia" w:ascii="宋体" w:hAnsi="宋体" w:eastAsia="宋体" w:cs="宋体"/>
                <w:color w:val="auto"/>
                <w:sz w:val="24"/>
                <w:szCs w:val="24"/>
                <w:highlight w:val="none"/>
                <w:shd w:val="pct10" w:color="auto" w:fill="FFFFFF"/>
                <w:lang w:eastAsia="zh-CN"/>
              </w:rPr>
              <w:t>（</w:t>
            </w:r>
            <w:r>
              <w:rPr>
                <w:rFonts w:hint="eastAsia" w:ascii="宋体" w:hAnsi="宋体" w:eastAsia="宋体" w:cs="宋体"/>
                <w:color w:val="auto"/>
                <w:sz w:val="24"/>
                <w:szCs w:val="24"/>
                <w:highlight w:val="none"/>
                <w:shd w:val="pct10" w:color="auto" w:fill="FFFFFF"/>
                <w:lang w:val="en-US" w:eastAsia="zh-CN"/>
              </w:rPr>
              <w:t>正面</w:t>
            </w:r>
            <w:r>
              <w:rPr>
                <w:rFonts w:hint="eastAsia" w:ascii="宋体" w:hAnsi="宋体" w:eastAsia="宋体" w:cs="宋体"/>
                <w:color w:val="auto"/>
                <w:sz w:val="24"/>
                <w:szCs w:val="24"/>
                <w:highlight w:val="none"/>
                <w:shd w:val="pct10" w:color="auto" w:fill="FFFFFF"/>
                <w:lang w:eastAsia="zh-CN"/>
              </w:rPr>
              <w:t>）</w:t>
            </w:r>
            <w:r>
              <w:rPr>
                <w:rFonts w:hint="eastAsia" w:ascii="宋体" w:hAnsi="宋体" w:eastAsia="宋体" w:cs="宋体"/>
                <w:color w:val="auto"/>
                <w:sz w:val="24"/>
                <w:szCs w:val="24"/>
                <w:highlight w:val="none"/>
                <w:shd w:val="pct10" w:color="auto" w:fill="FFFFFF"/>
              </w:rPr>
              <w:t>复印件</w:t>
            </w:r>
          </w:p>
        </w:tc>
        <w:tc>
          <w:tcPr>
            <w:tcW w:w="4550" w:type="dxa"/>
            <w:shd w:val="clear" w:color="auto" w:fill="E0E0E0"/>
            <w:noWrap w:val="0"/>
            <w:vAlign w:val="center"/>
          </w:tcPr>
          <w:p>
            <w:pPr>
              <w:pStyle w:val="24"/>
              <w:spacing w:line="500" w:lineRule="exact"/>
              <w:jc w:val="center"/>
              <w:rPr>
                <w:rFonts w:hint="eastAsia" w:ascii="宋体" w:hAnsi="宋体" w:eastAsia="宋体" w:cs="宋体"/>
                <w:color w:val="auto"/>
                <w:sz w:val="24"/>
                <w:szCs w:val="24"/>
                <w:highlight w:val="none"/>
                <w:shd w:val="pct10" w:color="auto" w:fill="FFFFFF"/>
              </w:rPr>
            </w:pPr>
            <w:r>
              <w:rPr>
                <w:rFonts w:hint="eastAsia" w:ascii="宋体" w:hAnsi="宋体" w:eastAsia="宋体" w:cs="宋体"/>
                <w:color w:val="auto"/>
                <w:sz w:val="24"/>
                <w:szCs w:val="24"/>
                <w:highlight w:val="none"/>
                <w:shd w:val="pct10" w:color="auto" w:fill="FFFFFF"/>
              </w:rPr>
              <w:t>法定代表人身份证</w:t>
            </w:r>
            <w:r>
              <w:rPr>
                <w:rFonts w:hint="eastAsia" w:ascii="宋体" w:hAnsi="宋体" w:eastAsia="宋体" w:cs="宋体"/>
                <w:color w:val="auto"/>
                <w:sz w:val="24"/>
                <w:szCs w:val="24"/>
                <w:highlight w:val="none"/>
                <w:shd w:val="pct10" w:color="auto" w:fill="FFFFFF"/>
                <w:lang w:eastAsia="zh-CN"/>
              </w:rPr>
              <w:t>（</w:t>
            </w:r>
            <w:r>
              <w:rPr>
                <w:rFonts w:hint="eastAsia" w:ascii="宋体" w:hAnsi="宋体" w:eastAsia="宋体" w:cs="宋体"/>
                <w:color w:val="auto"/>
                <w:sz w:val="24"/>
                <w:szCs w:val="24"/>
                <w:highlight w:val="none"/>
                <w:shd w:val="pct10" w:color="auto" w:fill="FFFFFF"/>
                <w:lang w:val="en-US" w:eastAsia="zh-CN"/>
              </w:rPr>
              <w:t>反面</w:t>
            </w:r>
            <w:r>
              <w:rPr>
                <w:rFonts w:hint="eastAsia" w:ascii="宋体" w:hAnsi="宋体" w:eastAsia="宋体" w:cs="宋体"/>
                <w:color w:val="auto"/>
                <w:sz w:val="24"/>
                <w:szCs w:val="24"/>
                <w:highlight w:val="none"/>
                <w:shd w:val="pct10" w:color="auto" w:fill="FFFFFF"/>
                <w:lang w:eastAsia="zh-CN"/>
              </w:rPr>
              <w:t>）</w:t>
            </w:r>
            <w:r>
              <w:rPr>
                <w:rFonts w:hint="eastAsia" w:ascii="宋体" w:hAnsi="宋体" w:eastAsia="宋体" w:cs="宋体"/>
                <w:color w:val="auto"/>
                <w:sz w:val="24"/>
                <w:szCs w:val="24"/>
                <w:highlight w:val="none"/>
                <w:shd w:val="pct10" w:color="auto" w:fill="FFFFFF"/>
              </w:rPr>
              <w:t>复印件</w:t>
            </w:r>
          </w:p>
        </w:tc>
      </w:tr>
    </w:tbl>
    <w:p>
      <w:pPr>
        <w:spacing w:line="360" w:lineRule="auto"/>
        <w:ind w:firstLine="480" w:firstLineChars="200"/>
        <w:rPr>
          <w:rFonts w:hint="eastAsia" w:ascii="宋体" w:hAnsi="宋体" w:eastAsia="宋体" w:cs="宋体"/>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u w:val="single"/>
        </w:rPr>
      </w:pPr>
      <w:r>
        <w:rPr>
          <w:rFonts w:hint="eastAsia" w:hAnsi="宋体" w:cs="宋体"/>
          <w:color w:val="auto"/>
          <w:sz w:val="24"/>
          <w:highlight w:val="none"/>
          <w:lang w:eastAsia="zh-CN"/>
        </w:rPr>
        <w:t>磋商</w:t>
      </w: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u w:val="single"/>
        </w:rPr>
      </w:pPr>
      <w:r>
        <w:rPr>
          <w:rFonts w:hint="eastAsia" w:ascii="宋体" w:hAnsi="宋体" w:cs="宋体"/>
          <w:color w:val="auto"/>
          <w:sz w:val="24"/>
          <w:highlight w:val="none"/>
        </w:rPr>
        <w:t>法定代表人（签</w:t>
      </w:r>
      <w:r>
        <w:rPr>
          <w:rFonts w:hint="eastAsia" w:hAnsi="宋体" w:cs="宋体"/>
          <w:color w:val="auto"/>
          <w:sz w:val="24"/>
          <w:highlight w:val="none"/>
          <w:lang w:eastAsia="zh-CN"/>
        </w:rPr>
        <w:t>字</w:t>
      </w:r>
      <w:r>
        <w:rPr>
          <w:rFonts w:hint="eastAsia" w:ascii="宋体" w:hAnsi="宋体" w:cs="宋体"/>
          <w:color w:val="auto"/>
          <w:sz w:val="24"/>
          <w:highlight w:val="none"/>
        </w:rPr>
        <w:t>或盖章）：</w:t>
      </w:r>
      <w:r>
        <w:rPr>
          <w:rFonts w:hint="eastAsia" w:ascii="宋体" w:hAnsi="宋体" w:cs="宋体"/>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hAnsi="宋体" w:cs="宋体"/>
          <w:color w:val="auto"/>
          <w:sz w:val="24"/>
          <w:highlight w:val="none"/>
          <w:u w:val="none"/>
          <w:lang w:eastAsia="zh-CN"/>
        </w:rPr>
        <w:t>年</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u w:val="none"/>
          <w:lang w:eastAsia="zh-CN"/>
        </w:rPr>
        <w:t>月</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u w:val="none"/>
          <w:lang w:eastAsia="zh-CN"/>
        </w:rPr>
        <w:t>日</w:t>
      </w:r>
    </w:p>
    <w:p>
      <w:pPr>
        <w:jc w:val="center"/>
        <w:outlineLvl w:val="1"/>
        <w:rPr>
          <w:rFonts w:hint="eastAsia" w:ascii="宋体" w:hAnsi="宋体" w:eastAsia="宋体" w:cs="宋体"/>
          <w:b/>
          <w:color w:val="auto"/>
          <w:sz w:val="28"/>
          <w:szCs w:val="24"/>
          <w:highlight w:val="none"/>
        </w:rPr>
      </w:pPr>
      <w:r>
        <w:rPr>
          <w:rFonts w:hint="eastAsia" w:ascii="宋体" w:hAnsi="宋体" w:eastAsia="宋体" w:cs="宋体"/>
          <w:bCs/>
          <w:color w:val="auto"/>
          <w:sz w:val="32"/>
          <w:szCs w:val="32"/>
          <w:highlight w:val="none"/>
        </w:rPr>
        <w:br w:type="page"/>
      </w:r>
      <w:bookmarkStart w:id="406" w:name="_Toc3122"/>
      <w:bookmarkStart w:id="407" w:name="_Toc13133"/>
      <w:bookmarkStart w:id="408" w:name="_Toc3457"/>
      <w:bookmarkStart w:id="409" w:name="_Toc15377"/>
      <w:bookmarkStart w:id="410" w:name="_Toc22493"/>
      <w:r>
        <w:rPr>
          <w:rFonts w:hint="eastAsia" w:ascii="宋体" w:hAnsi="宋体" w:eastAsia="宋体" w:cs="宋体"/>
          <w:b/>
          <w:color w:val="auto"/>
          <w:sz w:val="28"/>
          <w:szCs w:val="24"/>
          <w:highlight w:val="none"/>
        </w:rPr>
        <w:t>法定代表人授权书</w:t>
      </w:r>
      <w:bookmarkEnd w:id="406"/>
      <w:bookmarkEnd w:id="407"/>
      <w:bookmarkEnd w:id="408"/>
      <w:bookmarkEnd w:id="409"/>
      <w:bookmarkEnd w:id="410"/>
    </w:p>
    <w:p>
      <w:pPr>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陕西中采项目管理有限公司：</w:t>
      </w: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注册于</w:t>
      </w:r>
      <w:r>
        <w:rPr>
          <w:rFonts w:hint="eastAsia" w:ascii="宋体" w:hAnsi="宋体" w:eastAsia="宋体" w:cs="宋体"/>
          <w:color w:val="auto"/>
          <w:sz w:val="24"/>
          <w:szCs w:val="24"/>
          <w:highlight w:val="none"/>
          <w:u w:val="single"/>
          <w:lang w:val="zh-CN"/>
        </w:rPr>
        <w:t>（工商行政管理局名称）</w:t>
      </w:r>
      <w:r>
        <w:rPr>
          <w:rFonts w:hint="eastAsia" w:ascii="宋体" w:hAnsi="宋体" w:eastAsia="宋体" w:cs="宋体"/>
          <w:color w:val="auto"/>
          <w:sz w:val="24"/>
          <w:szCs w:val="24"/>
          <w:highlight w:val="none"/>
          <w:lang w:val="zh-CN"/>
        </w:rPr>
        <w:t>之</w:t>
      </w:r>
      <w:r>
        <w:rPr>
          <w:rFonts w:hint="eastAsia" w:ascii="宋体" w:hAnsi="宋体" w:eastAsia="宋体" w:cs="宋体"/>
          <w:color w:val="auto"/>
          <w:sz w:val="24"/>
          <w:szCs w:val="24"/>
          <w:highlight w:val="none"/>
          <w:u w:val="single"/>
          <w:lang w:val="zh-CN"/>
        </w:rPr>
        <w:t>（供应商全称）</w:t>
      </w:r>
      <w:r>
        <w:rPr>
          <w:rFonts w:hint="eastAsia" w:ascii="宋体" w:hAnsi="宋体" w:eastAsia="宋体" w:cs="宋体"/>
          <w:color w:val="auto"/>
          <w:sz w:val="24"/>
          <w:szCs w:val="24"/>
          <w:highlight w:val="none"/>
          <w:lang w:val="zh-CN"/>
        </w:rPr>
        <w:t>法人代表</w:t>
      </w:r>
      <w:r>
        <w:rPr>
          <w:rFonts w:hint="eastAsia" w:ascii="宋体" w:hAnsi="宋体" w:eastAsia="宋体" w:cs="宋体"/>
          <w:color w:val="auto"/>
          <w:sz w:val="24"/>
          <w:szCs w:val="24"/>
          <w:highlight w:val="none"/>
          <w:u w:val="single"/>
          <w:lang w:val="zh-CN"/>
        </w:rPr>
        <w:t>（姓名、职务）</w:t>
      </w:r>
      <w:r>
        <w:rPr>
          <w:rFonts w:hint="eastAsia" w:ascii="宋体" w:hAnsi="宋体" w:eastAsia="宋体" w:cs="宋体"/>
          <w:color w:val="auto"/>
          <w:sz w:val="24"/>
          <w:szCs w:val="24"/>
          <w:highlight w:val="none"/>
          <w:lang w:val="zh-CN"/>
        </w:rPr>
        <w:t>授权</w:t>
      </w:r>
      <w:r>
        <w:rPr>
          <w:rFonts w:hint="eastAsia" w:ascii="宋体" w:hAnsi="宋体" w:eastAsia="宋体" w:cs="宋体"/>
          <w:color w:val="auto"/>
          <w:sz w:val="24"/>
          <w:szCs w:val="24"/>
          <w:highlight w:val="none"/>
          <w:u w:val="single"/>
          <w:lang w:val="zh-CN"/>
        </w:rPr>
        <w:t>（被授权人姓名、职务）</w:t>
      </w:r>
      <w:r>
        <w:rPr>
          <w:rFonts w:hint="eastAsia" w:ascii="宋体" w:hAnsi="宋体" w:eastAsia="宋体" w:cs="宋体"/>
          <w:color w:val="auto"/>
          <w:sz w:val="24"/>
          <w:szCs w:val="24"/>
          <w:highlight w:val="none"/>
          <w:lang w:val="zh-CN"/>
        </w:rPr>
        <w:t>为本公司的合法代理人，就</w:t>
      </w:r>
      <w:r>
        <w:rPr>
          <w:rFonts w:hint="eastAsia" w:ascii="宋体" w:hAnsi="宋体" w:eastAsia="宋体" w:cs="宋体"/>
          <w:color w:val="auto"/>
          <w:sz w:val="24"/>
          <w:szCs w:val="24"/>
          <w:highlight w:val="none"/>
          <w:u w:val="single"/>
          <w:lang w:val="zh-CN"/>
        </w:rPr>
        <w:t>（项目名称）</w:t>
      </w:r>
      <w:r>
        <w:rPr>
          <w:rFonts w:hint="eastAsia" w:ascii="宋体" w:hAnsi="宋体" w:eastAsia="宋体" w:cs="宋体"/>
          <w:color w:val="auto"/>
          <w:sz w:val="24"/>
          <w:szCs w:val="24"/>
          <w:highlight w:val="none"/>
          <w:lang w:val="zh-CN"/>
        </w:rPr>
        <w:t>的磋商及合同的执行和完成，以本公司的名义处理一切与之有关的事宜。</w:t>
      </w:r>
    </w:p>
    <w:p>
      <w:pPr>
        <w:tabs>
          <w:tab w:val="left" w:pos="4035"/>
        </w:tabs>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p>
    <w:p>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附：全权代表姓名（签字）：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4"/>
          <w:highlight w:val="none"/>
          <w:u w:val="single"/>
        </w:rPr>
        <w:t xml:space="preserve">                   </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年  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职</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务：</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4"/>
          <w:highlight w:val="none"/>
          <w:u w:val="single"/>
        </w:rPr>
        <w:t xml:space="preserve">               </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身份证号码：</w:t>
      </w:r>
      <w:r>
        <w:rPr>
          <w:rFonts w:hint="eastAsia" w:ascii="宋体" w:hAnsi="宋体" w:eastAsia="宋体" w:cs="宋体"/>
          <w:color w:val="auto"/>
          <w:sz w:val="24"/>
          <w:szCs w:val="24"/>
          <w:highlight w:val="none"/>
          <w:u w:val="single"/>
        </w:rPr>
        <w:t xml:space="preserve">                   </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通讯地址：</w:t>
      </w:r>
      <w:r>
        <w:rPr>
          <w:rFonts w:hint="eastAsia" w:ascii="宋体" w:hAnsi="宋体" w:eastAsia="宋体" w:cs="宋体"/>
          <w:color w:val="auto"/>
          <w:sz w:val="24"/>
          <w:szCs w:val="24"/>
          <w:highlight w:val="none"/>
          <w:u w:val="single"/>
        </w:rPr>
        <w:t xml:space="preserve">                     </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邮政编码：</w:t>
      </w:r>
      <w:r>
        <w:rPr>
          <w:rFonts w:hint="eastAsia" w:ascii="宋体" w:hAnsi="宋体" w:eastAsia="宋体" w:cs="宋体"/>
          <w:color w:val="auto"/>
          <w:sz w:val="24"/>
          <w:szCs w:val="24"/>
          <w:highlight w:val="none"/>
          <w:u w:val="single"/>
        </w:rPr>
        <w:t xml:space="preserve">                     </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电</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话：</w:t>
      </w:r>
      <w:r>
        <w:rPr>
          <w:rFonts w:hint="eastAsia" w:ascii="宋体" w:hAnsi="宋体" w:eastAsia="宋体" w:cs="宋体"/>
          <w:color w:val="auto"/>
          <w:sz w:val="24"/>
          <w:szCs w:val="24"/>
          <w:highlight w:val="none"/>
          <w:u w:val="single"/>
        </w:rPr>
        <w:t xml:space="preserve">                     </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电    传：</w:t>
      </w:r>
      <w:r>
        <w:rPr>
          <w:rFonts w:hint="eastAsia" w:ascii="宋体" w:hAnsi="宋体" w:eastAsia="宋体" w:cs="宋体"/>
          <w:color w:val="auto"/>
          <w:sz w:val="24"/>
          <w:szCs w:val="24"/>
          <w:highlight w:val="none"/>
          <w:u w:val="single"/>
        </w:rPr>
        <w:t xml:space="preserve">                     </w:t>
      </w: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rPr>
        <w:t>及</w:t>
      </w:r>
      <w:r>
        <w:rPr>
          <w:rFonts w:hint="eastAsia" w:ascii="宋体" w:hAnsi="宋体" w:eastAsia="宋体" w:cs="宋体"/>
          <w:color w:val="auto"/>
          <w:sz w:val="24"/>
          <w:szCs w:val="24"/>
          <w:highlight w:val="none"/>
          <w:lang w:val="zh-CN"/>
        </w:rPr>
        <w:t>授权代表身份证复印件</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790"/>
        <w:gridCol w:w="4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155" w:hRule="atLeast"/>
          <w:jc w:val="center"/>
        </w:trPr>
        <w:tc>
          <w:tcPr>
            <w:tcW w:w="4790" w:type="dxa"/>
            <w:shd w:val="clear" w:color="auto" w:fill="E0E0E0"/>
            <w:noWrap w:val="0"/>
            <w:vAlign w:val="center"/>
          </w:tcPr>
          <w:p>
            <w:pPr>
              <w:pStyle w:val="24"/>
              <w:spacing w:line="500" w:lineRule="exact"/>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法定代表人身份证</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正面</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复印件</w:t>
            </w:r>
          </w:p>
        </w:tc>
        <w:tc>
          <w:tcPr>
            <w:tcW w:w="4790" w:type="dxa"/>
            <w:shd w:val="clear" w:color="auto" w:fill="E0E0E0"/>
            <w:noWrap w:val="0"/>
            <w:vAlign w:val="center"/>
          </w:tcPr>
          <w:p>
            <w:pPr>
              <w:pStyle w:val="24"/>
              <w:spacing w:line="500" w:lineRule="exact"/>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被授权人身份证</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正面</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4790" w:type="dxa"/>
            <w:shd w:val="clear" w:color="auto" w:fill="E0E0E0"/>
            <w:noWrap w:val="0"/>
            <w:vAlign w:val="center"/>
          </w:tcPr>
          <w:p>
            <w:pPr>
              <w:pStyle w:val="24"/>
              <w:spacing w:line="500" w:lineRule="exact"/>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法定代表人身份证</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反面</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复印件</w:t>
            </w:r>
          </w:p>
        </w:tc>
        <w:tc>
          <w:tcPr>
            <w:tcW w:w="4790" w:type="dxa"/>
            <w:shd w:val="clear" w:color="auto" w:fill="E0E0E0"/>
            <w:noWrap w:val="0"/>
            <w:vAlign w:val="center"/>
          </w:tcPr>
          <w:p>
            <w:pPr>
              <w:pStyle w:val="24"/>
              <w:spacing w:line="500" w:lineRule="exact"/>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被授权人身份证</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反面</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复印件</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color w:val="auto"/>
          <w:sz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u w:val="single"/>
        </w:rPr>
      </w:pPr>
      <w:r>
        <w:rPr>
          <w:rFonts w:hint="eastAsia" w:hAnsi="宋体" w:cs="宋体"/>
          <w:color w:val="auto"/>
          <w:sz w:val="24"/>
          <w:highlight w:val="none"/>
          <w:lang w:eastAsia="zh-CN"/>
        </w:rPr>
        <w:t>磋商</w:t>
      </w: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u w:val="single"/>
        </w:rPr>
      </w:pPr>
      <w:r>
        <w:rPr>
          <w:rFonts w:hint="eastAsia" w:ascii="宋体" w:hAnsi="宋体" w:cs="宋体"/>
          <w:color w:val="auto"/>
          <w:sz w:val="24"/>
          <w:highlight w:val="none"/>
        </w:rPr>
        <w:t>法定代表人（签</w:t>
      </w:r>
      <w:r>
        <w:rPr>
          <w:rFonts w:hint="eastAsia" w:hAnsi="宋体" w:cs="宋体"/>
          <w:color w:val="auto"/>
          <w:sz w:val="24"/>
          <w:highlight w:val="none"/>
          <w:lang w:eastAsia="zh-CN"/>
        </w:rPr>
        <w:t>字</w:t>
      </w:r>
      <w:r>
        <w:rPr>
          <w:rFonts w:hint="eastAsia" w:ascii="宋体" w:hAnsi="宋体" w:cs="宋体"/>
          <w:color w:val="auto"/>
          <w:sz w:val="24"/>
          <w:highlight w:val="none"/>
        </w:rPr>
        <w:t>或盖章）：</w:t>
      </w:r>
      <w:r>
        <w:rPr>
          <w:rFonts w:hint="eastAsia" w:ascii="宋体" w:hAnsi="宋体" w:cs="宋体"/>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hAnsi="宋体" w:cs="宋体"/>
          <w:color w:val="auto"/>
          <w:sz w:val="24"/>
          <w:highlight w:val="none"/>
          <w:u w:val="none"/>
          <w:lang w:eastAsia="zh-CN"/>
        </w:rPr>
        <w:t>年</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u w:val="none"/>
          <w:lang w:eastAsia="zh-CN"/>
        </w:rPr>
        <w:t>月</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u w:val="none"/>
          <w:lang w:eastAsia="zh-CN"/>
        </w:rPr>
        <w:t>日</w:t>
      </w:r>
    </w:p>
    <w:p>
      <w:pPr>
        <w:autoSpaceDE w:val="0"/>
        <w:autoSpaceDN w:val="0"/>
        <w:adjustRightInd w:val="0"/>
        <w:spacing w:line="360" w:lineRule="auto"/>
        <w:ind w:right="96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本授权书有效期：</w:t>
      </w:r>
      <w:r>
        <w:rPr>
          <w:rFonts w:hint="eastAsia" w:ascii="宋体" w:hAnsi="宋体" w:eastAsia="宋体" w:cs="宋体"/>
          <w:color w:val="auto"/>
          <w:sz w:val="24"/>
          <w:szCs w:val="24"/>
          <w:highlight w:val="none"/>
          <w:lang w:val="en-US" w:eastAsia="zh-CN"/>
        </w:rPr>
        <w:t>90个日历天</w:t>
      </w:r>
      <w:r>
        <w:rPr>
          <w:rFonts w:hint="eastAsia" w:ascii="宋体" w:hAnsi="宋体" w:eastAsia="宋体" w:cs="宋体"/>
          <w:color w:val="auto"/>
          <w:sz w:val="24"/>
          <w:szCs w:val="24"/>
          <w:highlight w:val="none"/>
        </w:rPr>
        <w:t>。</w:t>
      </w:r>
    </w:p>
    <w:p>
      <w:pP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p>
    <w:p>
      <w:pP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附件</w:t>
      </w:r>
      <w:r>
        <w:rPr>
          <w:rFonts w:hint="eastAsia"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en-US" w:eastAsia="zh-CN"/>
        </w:rPr>
        <w:t>-2</w:t>
      </w:r>
      <w:r>
        <w:rPr>
          <w:rFonts w:hint="eastAsia"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shd w:val="clear" w:fill="FFFFFF"/>
        </w:rPr>
        <w:t>供应商为制造厂家的需提供医疗器械生产许可证或医疗器械生产备案凭证；供应商为经销商的需提供医疗器械经营许可证或医疗器械经营备案凭证及生产厂家的医疗器械生产许可证或医疗器械生产备案凭证，提供所投产品的医疗器械产品注册证；</w:t>
      </w:r>
      <w:r>
        <w:rPr>
          <w:rFonts w:hint="eastAsia" w:ascii="宋体" w:hAnsi="宋体" w:eastAsia="宋体" w:cs="宋体"/>
          <w:b/>
          <w:bCs/>
          <w:color w:val="auto"/>
          <w:sz w:val="24"/>
          <w:szCs w:val="24"/>
          <w:highlight w:val="none"/>
          <w:lang w:eastAsia="zh-CN"/>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附件</w:t>
      </w:r>
      <w:r>
        <w:rPr>
          <w:rFonts w:hint="eastAsia" w:ascii="宋体" w:hAnsi="宋体" w:eastAsia="宋体" w:cs="宋体"/>
          <w:b/>
          <w:bCs/>
          <w:color w:val="auto"/>
          <w:sz w:val="24"/>
          <w:szCs w:val="24"/>
          <w:highlight w:val="none"/>
          <w:lang w:val="en-US" w:eastAsia="zh-CN"/>
        </w:rPr>
        <w:t>7-</w:t>
      </w:r>
      <w:r>
        <w:rPr>
          <w:rFonts w:hint="eastAsia" w:hAnsi="宋体" w:cs="宋体"/>
          <w:b/>
          <w:bCs/>
          <w:color w:val="auto"/>
          <w:sz w:val="24"/>
          <w:szCs w:val="24"/>
          <w:highlight w:val="none"/>
          <w:lang w:val="en-US" w:eastAsia="zh-CN"/>
        </w:rPr>
        <w:t>2-4</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shd w:val="clear" w:fill="FFFFFF"/>
        </w:rPr>
        <w:t>财务状况：提供2022年度的财务审计报告（至少包括资产负债表和利润表，成立时间至提交响应文件截止时间不足一年的可提供成立后任意时段的资产负债表），或其基本存款账户开户银行出具的资信证明；</w:t>
      </w:r>
    </w:p>
    <w:p>
      <w:pPr>
        <w:rPr>
          <w:rFonts w:hint="eastAsia" w:ascii="宋体" w:hAnsi="宋体" w:eastAsia="宋体" w:cs="宋体"/>
          <w:b/>
          <w:bCs/>
          <w:color w:val="auto"/>
          <w:sz w:val="24"/>
          <w:szCs w:val="24"/>
          <w:highlight w:val="none"/>
          <w:lang w:eastAsia="zh-CN"/>
        </w:rPr>
      </w:pPr>
      <w:bookmarkStart w:id="411" w:name="_Toc7262"/>
      <w:bookmarkStart w:id="412" w:name="_Toc25600"/>
      <w:r>
        <w:rPr>
          <w:rFonts w:hint="eastAsia" w:ascii="宋体" w:hAnsi="宋体" w:eastAsia="宋体" w:cs="宋体"/>
          <w:b/>
          <w:bCs/>
          <w:color w:val="auto"/>
          <w:sz w:val="24"/>
          <w:szCs w:val="24"/>
          <w:highlight w:val="none"/>
          <w:lang w:eastAsia="zh-CN"/>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附件</w:t>
      </w:r>
      <w:r>
        <w:rPr>
          <w:rFonts w:hint="eastAsia"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en-US" w:eastAsia="zh-CN"/>
        </w:rPr>
        <w:t>-</w:t>
      </w:r>
      <w:r>
        <w:rPr>
          <w:rFonts w:hint="eastAsia" w:hAnsi="宋体" w:cs="宋体"/>
          <w:b/>
          <w:bCs/>
          <w:color w:val="auto"/>
          <w:sz w:val="24"/>
          <w:szCs w:val="24"/>
          <w:highlight w:val="none"/>
          <w:lang w:val="en-US" w:eastAsia="zh-CN"/>
        </w:rPr>
        <w:t>2-5</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shd w:val="clear" w:fill="FFFFFF"/>
        </w:rPr>
        <w:t>税收缴纳证明：提供磋商截止日前近一年内任意一个月的纳税证明或完税证明（任意税种），依法免税的单位应提供相关证明材料；</w:t>
      </w:r>
    </w:p>
    <w:p>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en-US" w:eastAsia="zh-CN"/>
        </w:rPr>
        <w:t>-</w:t>
      </w:r>
      <w:r>
        <w:rPr>
          <w:rFonts w:hint="eastAsia" w:hAnsi="宋体" w:cs="宋体"/>
          <w:b/>
          <w:bCs/>
          <w:color w:val="auto"/>
          <w:sz w:val="24"/>
          <w:szCs w:val="24"/>
          <w:highlight w:val="none"/>
          <w:lang w:val="en-US" w:eastAsia="zh-CN"/>
        </w:rPr>
        <w:t>2-6</w:t>
      </w:r>
      <w:r>
        <w:rPr>
          <w:rFonts w:hint="eastAsia" w:ascii="宋体" w:hAnsi="宋体" w:eastAsia="宋体" w:cs="宋体"/>
          <w:b/>
          <w:bCs/>
          <w:color w:val="auto"/>
          <w:sz w:val="24"/>
          <w:szCs w:val="24"/>
          <w:highlight w:val="none"/>
          <w:lang w:val="en-US" w:eastAsia="zh-CN"/>
        </w:rPr>
        <w:t xml:space="preserve"> </w:t>
      </w:r>
      <w:r>
        <w:rPr>
          <w:rFonts w:hint="eastAsia" w:hAnsi="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shd w:val="clear" w:fill="FFFFFF"/>
        </w:rPr>
        <w:t>社会保障资金缴纳证明：提供磋商截止日前近一年内任意一个月的社会保障资金缴存单据或社保机构开具的社会保险参保缴费情况证明，依法不需要缴纳社会保障资金的单位应提供相关证明材料；</w:t>
      </w:r>
    </w:p>
    <w:p>
      <w:pPr>
        <w:rPr>
          <w:rFonts w:hint="eastAsia"/>
          <w:color w:val="auto"/>
          <w:highlight w:val="none"/>
          <w:lang w:val="en-US" w:eastAsia="zh-CN"/>
        </w:rPr>
      </w:pPr>
      <w:r>
        <w:rPr>
          <w:rFonts w:hint="eastAsia" w:ascii="宋体" w:hAnsi="宋体" w:eastAsia="宋体" w:cs="宋体"/>
          <w:b/>
          <w:bCs/>
          <w:color w:val="auto"/>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en-US" w:eastAsia="zh-CN"/>
        </w:rPr>
        <w:t>-</w:t>
      </w:r>
      <w:r>
        <w:rPr>
          <w:rFonts w:hint="eastAsia" w:hAnsi="宋体" w:cs="宋体"/>
          <w:b/>
          <w:bCs/>
          <w:color w:val="auto"/>
          <w:sz w:val="24"/>
          <w:szCs w:val="24"/>
          <w:highlight w:val="none"/>
          <w:lang w:val="en-US" w:eastAsia="zh-CN"/>
        </w:rPr>
        <w:t>2-7</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shd w:val="clear" w:fill="FFFFFF"/>
        </w:rPr>
        <w:t>近三年内，在经营活动中没有重大违规记录或被起诉的行为声明；</w:t>
      </w:r>
    </w:p>
    <w:p>
      <w:pPr>
        <w:rPr>
          <w:rFonts w:hint="eastAsia" w:ascii="宋体" w:hAnsi="宋体" w:eastAsia="宋体" w:cs="宋体"/>
          <w:color w:val="auto"/>
          <w:spacing w:val="4"/>
          <w:sz w:val="24"/>
          <w:szCs w:val="24"/>
          <w:highlight w:val="none"/>
        </w:rPr>
      </w:pPr>
    </w:p>
    <w:p>
      <w:pPr>
        <w:rPr>
          <w:rFonts w:hint="eastAsia" w:ascii="宋体" w:hAnsi="宋体" w:eastAsia="宋体" w:cs="宋体"/>
          <w:color w:val="auto"/>
          <w:spacing w:val="4"/>
          <w:sz w:val="24"/>
          <w:szCs w:val="24"/>
          <w:highlight w:val="none"/>
        </w:rPr>
      </w:pPr>
    </w:p>
    <w:p>
      <w:pPr>
        <w:pStyle w:val="2"/>
        <w:rPr>
          <w:rFonts w:hint="eastAsia" w:ascii="宋体" w:hAnsi="宋体" w:eastAsia="宋体" w:cs="宋体"/>
          <w:color w:val="auto"/>
          <w:spacing w:val="4"/>
          <w:sz w:val="24"/>
          <w:szCs w:val="24"/>
          <w:highlight w:val="none"/>
        </w:rPr>
      </w:pPr>
    </w:p>
    <w:p>
      <w:pPr>
        <w:pStyle w:val="5"/>
        <w:jc w:val="center"/>
        <w:rPr>
          <w:rFonts w:hint="eastAsia"/>
          <w:b/>
          <w:bCs/>
          <w:sz w:val="28"/>
          <w:szCs w:val="28"/>
          <w:highlight w:val="none"/>
        </w:rPr>
      </w:pPr>
      <w:r>
        <w:rPr>
          <w:rFonts w:hint="eastAsia" w:ascii="宋体" w:hAnsi="宋体" w:eastAsia="宋体" w:cs="宋体"/>
          <w:b/>
          <w:bCs/>
          <w:color w:val="auto"/>
          <w:sz w:val="28"/>
          <w:szCs w:val="28"/>
          <w:highlight w:val="none"/>
          <w:shd w:val="clear" w:fill="FFFFFF"/>
        </w:rPr>
        <w:t>近三年内，在经营活动中没有重大违规记录或被起诉的行为声明</w:t>
      </w:r>
    </w:p>
    <w:p>
      <w:pPr>
        <w:rPr>
          <w:rFonts w:hint="eastAsia" w:ascii="宋体" w:hAnsi="宋体" w:eastAsia="宋体" w:cs="宋体"/>
          <w:color w:val="auto"/>
          <w:spacing w:val="4"/>
          <w:sz w:val="24"/>
          <w:szCs w:val="24"/>
          <w:highlight w:val="none"/>
        </w:rPr>
      </w:pPr>
    </w:p>
    <w:p>
      <w:pPr>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致：</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rPr>
        <w:t>（采购人名称）</w:t>
      </w:r>
      <w:r>
        <w:rPr>
          <w:rFonts w:hint="eastAsia" w:ascii="宋体" w:hAnsi="宋体" w:eastAsia="宋体" w:cs="宋体"/>
          <w:color w:val="auto"/>
          <w:spacing w:val="4"/>
          <w:sz w:val="24"/>
          <w:szCs w:val="24"/>
          <w:highlight w:val="none"/>
        </w:rPr>
        <w:t>：</w:t>
      </w:r>
    </w:p>
    <w:p>
      <w:pPr>
        <w:spacing w:line="480" w:lineRule="auto"/>
        <w:ind w:firstLine="496" w:firstLineChars="200"/>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z w:val="24"/>
          <w:szCs w:val="24"/>
          <w:highlight w:val="none"/>
          <w:u w:val="single"/>
        </w:rPr>
        <w:t>供应商名称</w:t>
      </w:r>
      <w:r>
        <w:rPr>
          <w:rFonts w:hint="eastAsia" w:ascii="宋体" w:hAnsi="宋体" w:eastAsia="宋体" w:cs="宋体"/>
          <w:color w:val="auto"/>
          <w:spacing w:val="4"/>
          <w:sz w:val="24"/>
          <w:szCs w:val="24"/>
          <w:highlight w:val="none"/>
        </w:rPr>
        <w:t>）为在中华人民共和国境内合法注册并经营的机构。在此郑重声明，我公司在参与本次政府采购活动前3年内在经营活动中没有重大违法记录。</w:t>
      </w: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480" w:lineRule="auto"/>
        <w:ind w:righ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（盖章）</w:t>
      </w:r>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48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法定代表人或授权代理人：</w:t>
      </w:r>
      <w:r>
        <w:rPr>
          <w:rFonts w:hint="eastAsia" w:ascii="宋体" w:hAnsi="宋体" w:eastAsia="宋体" w:cs="宋体"/>
          <w:color w:val="auto"/>
          <w:sz w:val="24"/>
          <w:szCs w:val="24"/>
          <w:highlight w:val="none"/>
          <w:u w:val="single"/>
        </w:rPr>
        <w:t xml:space="preserve">         （签字或盖章）</w:t>
      </w:r>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480" w:lineRule="auto"/>
        <w:ind w:right="0"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u w:val="none"/>
          <w:lang w:val="en-US" w:eastAsia="zh-CN"/>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2"/>
        <w:rPr>
          <w:rFonts w:hint="eastAsia"/>
          <w:color w:val="auto"/>
          <w:highlight w:val="none"/>
          <w:lang w:val="en-US" w:eastAsia="zh-CN"/>
        </w:rPr>
      </w:pPr>
    </w:p>
    <w:p>
      <w:pPr>
        <w:pStyle w:val="2"/>
        <w:rPr>
          <w:rFonts w:hint="eastAsia" w:ascii="宋体" w:hAnsi="宋体" w:eastAsia="宋体" w:cs="宋体"/>
          <w:b/>
          <w:bCs/>
          <w:color w:val="auto"/>
          <w:sz w:val="24"/>
          <w:szCs w:val="24"/>
          <w:highlight w:val="none"/>
          <w:lang w:val="en-US" w:eastAsia="zh-CN"/>
        </w:rPr>
      </w:pPr>
    </w:p>
    <w:p>
      <w:pPr>
        <w:pStyle w:val="2"/>
        <w:rPr>
          <w:rFonts w:hint="eastAsia" w:ascii="宋体" w:hAnsi="宋体" w:eastAsia="宋体" w:cs="宋体"/>
          <w:b/>
          <w:bCs/>
          <w:color w:val="auto"/>
          <w:sz w:val="24"/>
          <w:szCs w:val="24"/>
          <w:highlight w:val="none"/>
          <w:lang w:val="en-US" w:eastAsia="zh-CN"/>
        </w:rPr>
      </w:pPr>
    </w:p>
    <w:p>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Times New Roman" w:eastAsia="宋体" w:cs="Times New Roman"/>
          <w:color w:val="auto"/>
          <w:kern w:val="0"/>
          <w:sz w:val="24"/>
          <w:highlight w:val="none"/>
          <w:lang w:val="en-US" w:eastAsia="zh-CN" w:bidi="ar-SA"/>
        </w:rPr>
      </w:pPr>
      <w:r>
        <w:rPr>
          <w:rFonts w:hint="eastAsia" w:ascii="宋体" w:hAnsi="宋体" w:eastAsia="宋体" w:cs="宋体"/>
          <w:b/>
          <w:bCs/>
          <w:color w:val="auto"/>
          <w:sz w:val="24"/>
          <w:szCs w:val="24"/>
          <w:highlight w:val="none"/>
          <w:lang w:val="en-US" w:eastAsia="zh-CN"/>
        </w:rPr>
        <w:t>附件</w:t>
      </w:r>
      <w:r>
        <w:rPr>
          <w:rFonts w:hint="eastAsia"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en-US" w:eastAsia="zh-CN"/>
        </w:rPr>
        <w:t>-</w:t>
      </w:r>
      <w:r>
        <w:rPr>
          <w:rFonts w:hint="eastAsia" w:cs="宋体"/>
          <w:b/>
          <w:bCs/>
          <w:color w:val="auto"/>
          <w:sz w:val="24"/>
          <w:szCs w:val="24"/>
          <w:highlight w:val="none"/>
          <w:lang w:val="en-US" w:eastAsia="zh-CN"/>
        </w:rPr>
        <w:t xml:space="preserve">2-8 </w:t>
      </w:r>
      <w:r>
        <w:rPr>
          <w:rFonts w:hint="eastAsia" w:ascii="宋体" w:hAnsi="宋体" w:eastAsia="宋体" w:cs="宋体"/>
          <w:color w:val="auto"/>
          <w:sz w:val="24"/>
          <w:szCs w:val="24"/>
          <w:highlight w:val="none"/>
          <w:shd w:val="clear" w:fill="FFFFFF"/>
        </w:rPr>
        <w:t>供应商须提供具有履行合同所必需的设备和专业技术能力的承诺函</w:t>
      </w:r>
      <w:r>
        <w:rPr>
          <w:rFonts w:hint="eastAsia" w:eastAsia="宋体" w:cs="宋体"/>
          <w:color w:val="auto"/>
          <w:sz w:val="24"/>
          <w:szCs w:val="24"/>
          <w:highlight w:val="none"/>
          <w:lang w:eastAsia="zh-CN"/>
        </w:rPr>
        <w:t>；</w:t>
      </w:r>
    </w:p>
    <w:p>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color w:val="auto"/>
          <w:sz w:val="30"/>
          <w:szCs w:val="30"/>
          <w:highlight w:val="none"/>
          <w:shd w:val="clear" w:fill="FFFFFF"/>
        </w:rPr>
      </w:pPr>
    </w:p>
    <w:p>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color w:val="auto"/>
          <w:sz w:val="28"/>
          <w:szCs w:val="28"/>
          <w:highlight w:val="none"/>
          <w:shd w:val="clear" w:fill="FFFFFF"/>
        </w:rPr>
      </w:pPr>
      <w:r>
        <w:rPr>
          <w:rFonts w:hint="eastAsia" w:ascii="宋体" w:hAnsi="宋体" w:eastAsia="宋体" w:cs="宋体"/>
          <w:b/>
          <w:bCs/>
          <w:color w:val="auto"/>
          <w:sz w:val="28"/>
          <w:szCs w:val="28"/>
          <w:highlight w:val="none"/>
          <w:shd w:val="clear" w:fill="FFFFFF"/>
        </w:rPr>
        <w:t>具有履行合同所必需的设备和专业技术能力的承诺函</w:t>
      </w:r>
    </w:p>
    <w:p>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shd w:val="clear" w:fill="FFFFFF"/>
        </w:rPr>
      </w:pPr>
    </w:p>
    <w:p>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sz w:val="24"/>
          <w:szCs w:val="24"/>
          <w:highlight w:val="none"/>
          <w:u w:val="single"/>
        </w:rPr>
      </w:pPr>
      <w:r>
        <w:rPr>
          <w:rFonts w:hint="eastAsia" w:ascii="宋体" w:hAnsi="宋体" w:eastAsia="宋体" w:cs="宋体"/>
          <w:kern w:val="0"/>
          <w:sz w:val="24"/>
          <w:szCs w:val="24"/>
          <w:highlight w:val="none"/>
        </w:rPr>
        <w:t>致：</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sz w:val="24"/>
          <w:szCs w:val="24"/>
          <w:highlight w:val="none"/>
          <w:u w:val="single"/>
        </w:rPr>
        <w:t>（采购人</w:t>
      </w:r>
      <w:r>
        <w:rPr>
          <w:rFonts w:hint="eastAsia" w:ascii="宋体" w:hAnsi="宋体" w:eastAsia="宋体" w:cs="宋体"/>
          <w:sz w:val="24"/>
          <w:szCs w:val="24"/>
          <w:highlight w:val="none"/>
          <w:u w:val="single"/>
          <w:lang w:val="en-US" w:eastAsia="zh-CN"/>
        </w:rPr>
        <w:t>名称</w:t>
      </w:r>
      <w:r>
        <w:rPr>
          <w:rFonts w:hint="eastAsia" w:ascii="宋体" w:hAnsi="宋体" w:eastAsia="宋体" w:cs="宋体"/>
          <w:sz w:val="24"/>
          <w:szCs w:val="24"/>
          <w:highlight w:val="none"/>
          <w:u w:val="single"/>
        </w:rPr>
        <w:t>）</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sz w:val="24"/>
          <w:szCs w:val="24"/>
          <w:highlight w:val="none"/>
        </w:rPr>
      </w:pPr>
    </w:p>
    <w:p>
      <w:pPr>
        <w:keepNext w:val="0"/>
        <w:keepLines w:val="0"/>
        <w:pageBreakBefore w:val="0"/>
        <w:widowControl w:val="0"/>
        <w:kinsoku/>
        <w:wordWrap/>
        <w:overflowPunct/>
        <w:topLinePunct w:val="0"/>
        <w:autoSpaceDE w:val="0"/>
        <w:autoSpaceDN w:val="0"/>
        <w:bidi w:val="0"/>
        <w:adjustRightInd w:val="0"/>
        <w:snapToGrid/>
        <w:spacing w:line="360" w:lineRule="auto"/>
        <w:ind w:firstLine="480"/>
        <w:jc w:val="lef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rPr>
        <w:t>作为参加贵单位组织的</w:t>
      </w:r>
      <w:r>
        <w:rPr>
          <w:rFonts w:hint="eastAsia" w:ascii="宋体" w:hAnsi="宋体" w:eastAsia="宋体" w:cs="宋体"/>
          <w:sz w:val="24"/>
          <w:szCs w:val="24"/>
          <w:highlight w:val="none"/>
          <w:u w:val="single"/>
        </w:rPr>
        <w:t xml:space="preserve">   （项目名称）</w:t>
      </w:r>
      <w:r>
        <w:rPr>
          <w:rFonts w:hint="eastAsia" w:ascii="宋体" w:hAnsi="宋体" w:eastAsia="宋体" w:cs="宋体"/>
          <w:sz w:val="24"/>
          <w:szCs w:val="24"/>
          <w:highlight w:val="none"/>
        </w:rPr>
        <w:t>的供应商，</w:t>
      </w:r>
      <w:r>
        <w:rPr>
          <w:rFonts w:hint="eastAsia" w:ascii="宋体" w:hAnsi="宋体" w:eastAsia="宋体" w:cs="宋体"/>
          <w:sz w:val="24"/>
          <w:szCs w:val="24"/>
          <w:highlight w:val="none"/>
          <w:shd w:val="clear" w:color="auto" w:fill="FFFFFF"/>
        </w:rPr>
        <w:t>我单位郑重承诺：</w:t>
      </w:r>
      <w:r>
        <w:rPr>
          <w:rFonts w:hint="eastAsia" w:ascii="宋体" w:hAnsi="宋体" w:cs="宋体"/>
          <w:sz w:val="24"/>
          <w:szCs w:val="24"/>
          <w:highlight w:val="none"/>
          <w:shd w:val="clear" w:color="auto" w:fill="FFFFFF"/>
          <w:lang w:eastAsia="zh-CN"/>
        </w:rPr>
        <w:t>我单位</w:t>
      </w:r>
      <w:r>
        <w:rPr>
          <w:rFonts w:hint="eastAsia" w:ascii="宋体" w:hAnsi="宋体" w:eastAsia="宋体" w:cs="宋体"/>
          <w:sz w:val="24"/>
          <w:szCs w:val="24"/>
          <w:highlight w:val="none"/>
          <w:shd w:val="clear" w:color="auto" w:fill="FFFFFF"/>
          <w:lang w:eastAsia="zh-CN"/>
        </w:rPr>
        <w:t>具有履行合同所必需的设备和专业技术能力。</w:t>
      </w:r>
    </w:p>
    <w:p>
      <w:pPr>
        <w:pStyle w:val="5"/>
        <w:widowControl w:val="0"/>
        <w:tabs>
          <w:tab w:val="left" w:pos="8360"/>
        </w:tabs>
        <w:autoSpaceDE w:val="0"/>
        <w:autoSpaceDN w:val="0"/>
        <w:spacing w:beforeLines="0" w:afterLines="0" w:line="362" w:lineRule="auto"/>
        <w:ind w:left="0" w:leftChars="0" w:right="-58" w:rightChars="-24" w:firstLine="439" w:firstLineChars="183"/>
        <w:rPr>
          <w:rFonts w:hint="eastAsia"/>
          <w:sz w:val="24"/>
          <w:szCs w:val="24"/>
          <w:highlight w:val="none"/>
        </w:rPr>
      </w:pPr>
      <w:r>
        <w:rPr>
          <w:rFonts w:hint="eastAsia"/>
          <w:sz w:val="24"/>
          <w:szCs w:val="24"/>
          <w:highlight w:val="none"/>
        </w:rPr>
        <w:t>我方保证上述内容真实、有效、准确，并愿意承担因我方就此弄虚作假所引起的一切法律后果。</w:t>
      </w:r>
    </w:p>
    <w:p>
      <w:pPr>
        <w:pStyle w:val="29"/>
        <w:ind w:firstLine="480" w:firstLineChars="200"/>
        <w:jc w:val="both"/>
        <w:rPr>
          <w:rFonts w:hint="eastAsia" w:eastAsia="宋体"/>
          <w:highlight w:val="none"/>
          <w:lang w:val="en-US" w:eastAsia="zh-CN"/>
        </w:rPr>
      </w:pPr>
      <w:r>
        <w:rPr>
          <w:rFonts w:hint="eastAsia"/>
          <w:sz w:val="24"/>
          <w:szCs w:val="24"/>
          <w:highlight w:val="none"/>
        </w:rPr>
        <w:t>特此承诺</w:t>
      </w:r>
      <w:r>
        <w:rPr>
          <w:rFonts w:hint="eastAsia"/>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jc w:val="left"/>
        <w:textAlignment w:val="auto"/>
        <w:rPr>
          <w:rFonts w:hint="eastAsia" w:ascii="宋体" w:hAnsi="宋体" w:eastAsia="宋体" w:cs="宋体"/>
          <w:sz w:val="24"/>
          <w:szCs w:val="24"/>
          <w:highlight w:val="none"/>
          <w:shd w:val="clear" w:color="auto" w:fill="FFFFFF"/>
        </w:rPr>
      </w:pPr>
    </w:p>
    <w:p>
      <w:pPr>
        <w:pStyle w:val="1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highlight w:val="none"/>
          <w:shd w:val="clear" w:color="auto" w:fill="FFFFFF"/>
        </w:rPr>
      </w:pPr>
    </w:p>
    <w:p>
      <w:pPr>
        <w:autoSpaceDE w:val="0"/>
        <w:autoSpaceDN w:val="0"/>
        <w:adjustRightInd w:val="0"/>
        <w:jc w:val="left"/>
        <w:rPr>
          <w:rFonts w:hint="eastAsia" w:ascii="宋体" w:hAnsi="宋体" w:eastAsia="宋体" w:cs="宋体"/>
          <w:b/>
          <w:sz w:val="24"/>
          <w:szCs w:val="24"/>
          <w:highlight w:val="none"/>
        </w:rPr>
      </w:pPr>
    </w:p>
    <w:p>
      <w:pPr>
        <w:autoSpaceDE w:val="0"/>
        <w:autoSpaceDN w:val="0"/>
        <w:adjustRightInd w:val="0"/>
        <w:ind w:firstLine="1928" w:firstLineChars="800"/>
        <w:jc w:val="left"/>
        <w:rPr>
          <w:rFonts w:hint="eastAsia" w:ascii="宋体" w:hAnsi="宋体" w:eastAsia="宋体" w:cs="宋体"/>
          <w:b/>
          <w:sz w:val="24"/>
          <w:szCs w:val="24"/>
          <w:highlight w:val="none"/>
        </w:rPr>
      </w:pPr>
    </w:p>
    <w:p>
      <w:pPr>
        <w:autoSpaceDE w:val="0"/>
        <w:autoSpaceDN w:val="0"/>
        <w:adjustRightInd w:val="0"/>
        <w:ind w:firstLine="1920" w:firstLineChars="800"/>
        <w:jc w:val="left"/>
        <w:rPr>
          <w:rFonts w:hint="eastAsia" w:ascii="宋体" w:hAnsi="宋体" w:eastAsia="宋体" w:cs="宋体"/>
          <w:bCs/>
          <w:sz w:val="24"/>
          <w:szCs w:val="24"/>
          <w:highlight w:val="none"/>
        </w:rPr>
      </w:pPr>
    </w:p>
    <w:p>
      <w:pPr>
        <w:pStyle w:val="5"/>
        <w:rPr>
          <w:rFonts w:hint="eastAsia" w:ascii="宋体" w:hAnsi="宋体" w:eastAsia="宋体" w:cs="宋体"/>
          <w:b/>
          <w:sz w:val="24"/>
          <w:szCs w:val="24"/>
          <w:highlight w:val="none"/>
        </w:rPr>
      </w:pPr>
    </w:p>
    <w:p>
      <w:pPr>
        <w:pStyle w:val="5"/>
        <w:rPr>
          <w:rFonts w:hint="eastAsia" w:ascii="宋体" w:hAnsi="宋体" w:eastAsia="宋体" w:cs="宋体"/>
          <w:b/>
          <w:sz w:val="24"/>
          <w:szCs w:val="24"/>
          <w:highlight w:val="none"/>
        </w:rPr>
      </w:pPr>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480" w:lineRule="auto"/>
        <w:ind w:right="0" w:firstLine="480" w:firstLineChars="200"/>
        <w:textAlignment w:val="auto"/>
        <w:rPr>
          <w:rFonts w:hint="eastAsia" w:ascii="宋体" w:hAnsi="宋体" w:eastAsia="宋体" w:cs="宋体"/>
          <w:szCs w:val="24"/>
          <w:highlight w:val="none"/>
          <w:u w:val="single"/>
        </w:rPr>
      </w:pPr>
      <w:r>
        <w:rPr>
          <w:rFonts w:hint="eastAsia" w:ascii="宋体" w:hAnsi="宋体" w:eastAsia="宋体" w:cs="宋体"/>
          <w:szCs w:val="24"/>
          <w:highlight w:val="none"/>
        </w:rPr>
        <w:t>供应商名称：</w:t>
      </w:r>
      <w:r>
        <w:rPr>
          <w:rFonts w:hint="eastAsia" w:ascii="宋体" w:hAnsi="宋体" w:eastAsia="宋体" w:cs="宋体"/>
          <w:szCs w:val="24"/>
          <w:highlight w:val="none"/>
          <w:u w:val="single"/>
        </w:rPr>
        <w:t xml:space="preserve">                           （盖章）</w:t>
      </w:r>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480" w:lineRule="auto"/>
        <w:ind w:right="0"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法定代表人或授权代理人：</w:t>
      </w:r>
      <w:r>
        <w:rPr>
          <w:rFonts w:hint="eastAsia" w:ascii="宋体" w:hAnsi="宋体" w:eastAsia="宋体" w:cs="宋体"/>
          <w:szCs w:val="24"/>
          <w:highlight w:val="none"/>
          <w:u w:val="single"/>
        </w:rPr>
        <w:t xml:space="preserve">         （签字或盖章）</w:t>
      </w:r>
    </w:p>
    <w:p>
      <w:pPr>
        <w:ind w:firstLine="480" w:firstLineChars="200"/>
        <w:rPr>
          <w:rFonts w:hint="eastAsia" w:ascii="宋体" w:hAnsi="宋体" w:eastAsia="宋体" w:cs="宋体"/>
          <w:b/>
          <w:bCs/>
          <w:color w:val="auto"/>
          <w:sz w:val="24"/>
          <w:szCs w:val="24"/>
          <w:highlight w:val="none"/>
          <w:lang w:val="en-US" w:eastAsia="zh-CN"/>
        </w:rPr>
      </w:pPr>
      <w:bookmarkStart w:id="429" w:name="_GoBack"/>
      <w:bookmarkEnd w:id="429"/>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pPr>
        <w:rPr>
          <w:rFonts w:hint="eastAsia" w:asciiTheme="minorEastAsia" w:hAnsiTheme="minorEastAsia" w:eastAsiaTheme="minorEastAsia" w:cstheme="minorEastAsia"/>
          <w:b/>
          <w:bCs/>
          <w:color w:val="auto"/>
          <w:sz w:val="24"/>
          <w:szCs w:val="24"/>
          <w:highlight w:val="none"/>
          <w:lang w:eastAsia="zh-CN"/>
        </w:rPr>
      </w:pPr>
      <w:bookmarkStart w:id="413" w:name="_Toc3587"/>
      <w:bookmarkStart w:id="414" w:name="_Toc9232"/>
      <w:bookmarkStart w:id="415" w:name="_Toc15624"/>
      <w:r>
        <w:rPr>
          <w:rFonts w:hint="eastAsia" w:asciiTheme="minorEastAsia" w:hAnsiTheme="minorEastAsia" w:eastAsiaTheme="minorEastAsia" w:cstheme="minorEastAsia"/>
          <w:b/>
          <w:bCs/>
          <w:color w:val="auto"/>
          <w:sz w:val="24"/>
          <w:szCs w:val="24"/>
          <w:highlight w:val="none"/>
          <w:lang w:eastAsia="zh-CN"/>
        </w:rPr>
        <w:br w:type="page"/>
      </w:r>
    </w:p>
    <w:p>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Times New Roman" w:eastAsia="宋体" w:cs="Times New Roman"/>
          <w:color w:val="auto"/>
          <w:kern w:val="0"/>
          <w:sz w:val="24"/>
          <w:highlight w:val="none"/>
          <w:lang w:val="en-US" w:eastAsia="zh-CN" w:bidi="ar-SA"/>
        </w:rPr>
      </w:pPr>
      <w:r>
        <w:rPr>
          <w:rFonts w:hint="eastAsia" w:ascii="宋体" w:hAnsi="宋体" w:eastAsia="宋体" w:cs="宋体"/>
          <w:b/>
          <w:bCs/>
          <w:color w:val="auto"/>
          <w:sz w:val="24"/>
          <w:szCs w:val="24"/>
          <w:highlight w:val="none"/>
          <w:lang w:val="en-US" w:eastAsia="zh-CN"/>
        </w:rPr>
        <w:t>附件</w:t>
      </w:r>
      <w:r>
        <w:rPr>
          <w:rFonts w:hint="eastAsia"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en-US" w:eastAsia="zh-CN"/>
        </w:rPr>
        <w:t>-</w:t>
      </w:r>
      <w:r>
        <w:rPr>
          <w:rFonts w:hint="eastAsia" w:cs="宋体"/>
          <w:b/>
          <w:bCs/>
          <w:color w:val="auto"/>
          <w:sz w:val="24"/>
          <w:szCs w:val="24"/>
          <w:highlight w:val="none"/>
          <w:lang w:val="en-US" w:eastAsia="zh-CN"/>
        </w:rPr>
        <w:t xml:space="preserve">2-9 </w:t>
      </w:r>
      <w:r>
        <w:rPr>
          <w:rFonts w:hint="eastAsia" w:ascii="宋体" w:hAnsi="宋体" w:eastAsia="宋体" w:cs="宋体"/>
          <w:color w:val="auto"/>
          <w:sz w:val="24"/>
          <w:szCs w:val="24"/>
          <w:highlight w:val="none"/>
          <w:shd w:val="clear" w:fill="FFFFFF"/>
        </w:rPr>
        <w:t>供应商不得为“中国执行信息公开网（zxgk.court.gov.cn）”被列入失信被执行人名单；“信用中国（www.creditchina.gov.cn）”重大税收违法失信主体名单，不得为“中国政府采购网（www.ccgp.gov.cn）”被列入政府采购严重违法失信行为记录名单（提供加盖公章的网页截图）</w:t>
      </w:r>
      <w:r>
        <w:rPr>
          <w:rFonts w:hint="eastAsia" w:ascii="宋体" w:hAnsi="宋体" w:eastAsia="宋体" w:cs="宋体"/>
          <w:color w:val="auto"/>
          <w:sz w:val="24"/>
          <w:szCs w:val="24"/>
          <w:highlight w:val="none"/>
          <w:shd w:val="clear" w:fill="FFFFFF"/>
          <w:lang w:eastAsia="zh-CN"/>
        </w:rPr>
        <w:t>；</w:t>
      </w:r>
    </w:p>
    <w:p>
      <w:pPr>
        <w:rPr>
          <w:rFonts w:hint="eastAsia" w:asciiTheme="minorEastAsia" w:hAnsiTheme="minorEastAsia" w:eastAsiaTheme="minorEastAsia" w:cstheme="minorEastAsia"/>
          <w:b/>
          <w:bCs/>
          <w:color w:val="auto"/>
          <w:sz w:val="24"/>
          <w:szCs w:val="24"/>
          <w:highlight w:val="none"/>
          <w:lang w:eastAsia="zh-CN"/>
        </w:rPr>
      </w:pPr>
    </w:p>
    <w:p>
      <w:pP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br w:type="page"/>
      </w:r>
    </w:p>
    <w:p>
      <w:pPr>
        <w:rPr>
          <w:rFonts w:hint="default" w:asciiTheme="minorEastAsia" w:hAnsiTheme="minorEastAsia" w:eastAsiaTheme="minorEastAsia" w:cstheme="minorEastAsia"/>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en-US" w:eastAsia="zh-CN"/>
        </w:rPr>
        <w:t>-</w:t>
      </w:r>
      <w:r>
        <w:rPr>
          <w:rFonts w:hint="eastAsia" w:cs="宋体"/>
          <w:b/>
          <w:bCs/>
          <w:color w:val="auto"/>
          <w:sz w:val="24"/>
          <w:szCs w:val="24"/>
          <w:highlight w:val="none"/>
          <w:lang w:val="en-US" w:eastAsia="zh-CN"/>
        </w:rPr>
        <w:t xml:space="preserve">2-10 </w:t>
      </w:r>
      <w:r>
        <w:rPr>
          <w:rFonts w:hint="eastAsia" w:ascii="宋体" w:hAnsi="宋体" w:eastAsia="宋体" w:cs="宋体"/>
          <w:color w:val="auto"/>
          <w:sz w:val="24"/>
          <w:szCs w:val="24"/>
          <w:highlight w:val="none"/>
          <w:shd w:val="clear" w:fill="FFFFFF"/>
        </w:rPr>
        <w:t>本项目专门面向中小企业采购，非中小企业单位（监狱企业、残疾人福利单位除外）不得参与投标（提供中小企业声明函）。</w:t>
      </w:r>
    </w:p>
    <w:p>
      <w:pP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br w:type="page"/>
      </w:r>
    </w:p>
    <w:p>
      <w:pPr>
        <w:widowControl/>
        <w:spacing w:line="520" w:lineRule="exact"/>
        <w:jc w:val="center"/>
        <w:outlineLvl w:val="1"/>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第八部分</w:t>
      </w:r>
      <w:r>
        <w:rPr>
          <w:rFonts w:hint="eastAsia" w:asciiTheme="minorEastAsia" w:hAnsiTheme="minorEastAsia" w:eastAsiaTheme="minorEastAsia" w:cstheme="minorEastAsia"/>
          <w:b/>
          <w:bCs/>
          <w:color w:val="auto"/>
          <w:sz w:val="24"/>
          <w:szCs w:val="24"/>
          <w:highlight w:val="none"/>
          <w:lang w:val="en-US" w:eastAsia="zh-CN"/>
        </w:rPr>
        <w:t xml:space="preserve">  </w:t>
      </w:r>
      <w:bookmarkEnd w:id="411"/>
      <w:bookmarkEnd w:id="412"/>
      <w:bookmarkStart w:id="416" w:name="_Toc26191"/>
      <w:bookmarkStart w:id="417" w:name="_Toc220"/>
      <w:r>
        <w:rPr>
          <w:rFonts w:hint="eastAsia" w:asciiTheme="minorEastAsia" w:hAnsiTheme="minorEastAsia" w:eastAsiaTheme="minorEastAsia" w:cstheme="minorEastAsia"/>
          <w:b/>
          <w:bCs/>
          <w:color w:val="auto"/>
          <w:sz w:val="24"/>
          <w:szCs w:val="24"/>
          <w:highlight w:val="none"/>
        </w:rPr>
        <w:t>供应商</w:t>
      </w:r>
      <w:r>
        <w:rPr>
          <w:rFonts w:hint="eastAsia" w:asciiTheme="minorEastAsia" w:hAnsiTheme="minorEastAsia" w:eastAsiaTheme="minorEastAsia" w:cstheme="minorEastAsia"/>
          <w:b/>
          <w:bCs/>
          <w:color w:val="auto"/>
          <w:sz w:val="24"/>
          <w:szCs w:val="24"/>
          <w:highlight w:val="none"/>
          <w:lang w:eastAsia="zh-CN"/>
        </w:rPr>
        <w:t>认为</w:t>
      </w:r>
      <w:r>
        <w:rPr>
          <w:rFonts w:hint="eastAsia" w:asciiTheme="minorEastAsia" w:hAnsiTheme="minorEastAsia" w:eastAsiaTheme="minorEastAsia" w:cstheme="minorEastAsia"/>
          <w:b/>
          <w:bCs/>
          <w:color w:val="auto"/>
          <w:sz w:val="24"/>
          <w:szCs w:val="24"/>
          <w:highlight w:val="none"/>
        </w:rPr>
        <w:t>有必要说明的其他问题</w:t>
      </w:r>
      <w:bookmarkEnd w:id="413"/>
      <w:bookmarkEnd w:id="414"/>
      <w:bookmarkEnd w:id="415"/>
      <w:bookmarkEnd w:id="416"/>
      <w:bookmarkEnd w:id="417"/>
    </w:p>
    <w:p>
      <w:pPr>
        <w:widowControl/>
        <w:spacing w:line="520" w:lineRule="exact"/>
        <w:jc w:val="center"/>
        <w:outlineLvl w:val="1"/>
        <w:rPr>
          <w:rFonts w:hint="eastAsia" w:asciiTheme="minorEastAsia" w:hAnsiTheme="minorEastAsia" w:eastAsiaTheme="minorEastAsia" w:cstheme="minorEastAsia"/>
          <w:color w:val="auto"/>
          <w:kern w:val="0"/>
          <w:sz w:val="24"/>
          <w:szCs w:val="24"/>
          <w:highlight w:val="none"/>
          <w:u w:val="none"/>
          <w:lang w:eastAsia="zh-CN"/>
        </w:rPr>
      </w:pPr>
    </w:p>
    <w:p>
      <w:pPr>
        <w:widowControl/>
        <w:spacing w:line="520" w:lineRule="exact"/>
        <w:jc w:val="center"/>
        <w:outlineLvl w:val="1"/>
        <w:rPr>
          <w:rFonts w:hint="eastAsia" w:asciiTheme="minorEastAsia" w:hAnsiTheme="minorEastAsia" w:eastAsiaTheme="minorEastAsia" w:cstheme="minorEastAsia"/>
          <w:color w:val="auto"/>
          <w:kern w:val="0"/>
          <w:sz w:val="24"/>
          <w:szCs w:val="24"/>
          <w:highlight w:val="none"/>
          <w:u w:val="none"/>
          <w:lang w:eastAsia="zh-CN"/>
        </w:rPr>
      </w:pPr>
      <w:bookmarkStart w:id="418" w:name="_Toc5513"/>
      <w:bookmarkStart w:id="419" w:name="_Toc25139"/>
      <w:bookmarkStart w:id="420" w:name="_Toc5939"/>
      <w:bookmarkStart w:id="421" w:name="_Toc22080"/>
      <w:bookmarkStart w:id="422" w:name="_Toc2303"/>
      <w:r>
        <w:rPr>
          <w:rFonts w:hint="eastAsia" w:asciiTheme="minorEastAsia" w:hAnsiTheme="minorEastAsia" w:eastAsiaTheme="minorEastAsia" w:cstheme="minorEastAsia"/>
          <w:color w:val="auto"/>
          <w:kern w:val="0"/>
          <w:sz w:val="24"/>
          <w:szCs w:val="24"/>
          <w:highlight w:val="none"/>
          <w:u w:val="none"/>
          <w:lang w:eastAsia="zh-CN"/>
        </w:rPr>
        <w:t>格式自拟</w:t>
      </w:r>
      <w:bookmarkEnd w:id="418"/>
      <w:bookmarkEnd w:id="419"/>
      <w:bookmarkEnd w:id="420"/>
      <w:bookmarkEnd w:id="421"/>
      <w:bookmarkEnd w:id="422"/>
    </w:p>
    <w:p>
      <w:pPr>
        <w:rPr>
          <w:rFonts w:hint="eastAsia" w:asciiTheme="minorEastAsia" w:hAnsiTheme="minorEastAsia" w:eastAsiaTheme="minorEastAsia" w:cstheme="minorEastAsia"/>
          <w:b/>
          <w:bCs/>
          <w:color w:val="auto"/>
          <w:sz w:val="24"/>
          <w:szCs w:val="24"/>
          <w:highlight w:val="none"/>
        </w:rPr>
      </w:pPr>
    </w:p>
    <w:p>
      <w:pPr>
        <w:widowControl/>
        <w:spacing w:line="520" w:lineRule="exact"/>
        <w:rPr>
          <w:rFonts w:hint="eastAsia" w:asciiTheme="minorEastAsia" w:hAnsiTheme="minorEastAsia" w:eastAsiaTheme="minorEastAsia" w:cstheme="minorEastAsia"/>
          <w:color w:val="auto"/>
          <w:kern w:val="0"/>
          <w:sz w:val="24"/>
          <w:szCs w:val="24"/>
          <w:highlight w:val="none"/>
          <w:u w:val="single"/>
        </w:rPr>
      </w:pPr>
    </w:p>
    <w:p>
      <w:pPr>
        <w:widowControl/>
        <w:spacing w:line="520" w:lineRule="exact"/>
        <w:rPr>
          <w:rFonts w:hint="eastAsia" w:asciiTheme="minorEastAsia" w:hAnsiTheme="minorEastAsia" w:eastAsiaTheme="minorEastAsia" w:cstheme="minorEastAsia"/>
          <w:color w:val="auto"/>
          <w:kern w:val="0"/>
          <w:sz w:val="24"/>
          <w:szCs w:val="24"/>
          <w:highlight w:val="none"/>
          <w:u w:val="single"/>
        </w:rPr>
      </w:pPr>
    </w:p>
    <w:p>
      <w:pPr>
        <w:widowControl/>
        <w:spacing w:line="480" w:lineRule="exact"/>
        <w:jc w:val="center"/>
        <w:rPr>
          <w:rFonts w:hint="eastAsia" w:asciiTheme="minorEastAsia" w:hAnsiTheme="minorEastAsia" w:eastAsiaTheme="minorEastAsia" w:cstheme="minorEastAsia"/>
          <w:b/>
          <w:bCs/>
          <w:color w:val="auto"/>
          <w:kern w:val="0"/>
          <w:sz w:val="24"/>
          <w:szCs w:val="24"/>
          <w:highlight w:val="none"/>
        </w:rPr>
      </w:pPr>
    </w:p>
    <w:p>
      <w:pPr>
        <w:widowControl/>
        <w:spacing w:line="480" w:lineRule="exact"/>
        <w:jc w:val="center"/>
        <w:rPr>
          <w:rFonts w:hint="eastAsia" w:asciiTheme="minorEastAsia" w:hAnsiTheme="minorEastAsia" w:eastAsiaTheme="minorEastAsia" w:cstheme="minorEastAsia"/>
          <w:b/>
          <w:bCs/>
          <w:color w:val="auto"/>
          <w:kern w:val="0"/>
          <w:sz w:val="24"/>
          <w:szCs w:val="24"/>
          <w:highlight w:val="none"/>
        </w:rPr>
      </w:pPr>
    </w:p>
    <w:p>
      <w:pPr>
        <w:widowControl/>
        <w:spacing w:line="480" w:lineRule="exact"/>
        <w:jc w:val="center"/>
        <w:rPr>
          <w:rFonts w:hint="eastAsia" w:asciiTheme="minorEastAsia" w:hAnsiTheme="minorEastAsia" w:eastAsiaTheme="minorEastAsia" w:cstheme="minorEastAsia"/>
          <w:b/>
          <w:bCs/>
          <w:color w:val="auto"/>
          <w:kern w:val="0"/>
          <w:sz w:val="24"/>
          <w:szCs w:val="24"/>
          <w:highlight w:val="none"/>
        </w:rPr>
      </w:pPr>
    </w:p>
    <w:p>
      <w:pPr>
        <w:widowControl/>
        <w:spacing w:line="480" w:lineRule="exact"/>
        <w:jc w:val="center"/>
        <w:rPr>
          <w:rFonts w:hint="eastAsia" w:asciiTheme="minorEastAsia" w:hAnsiTheme="minorEastAsia" w:eastAsiaTheme="minorEastAsia" w:cstheme="minorEastAsia"/>
          <w:b/>
          <w:bCs/>
          <w:color w:val="auto"/>
          <w:kern w:val="0"/>
          <w:sz w:val="24"/>
          <w:szCs w:val="24"/>
          <w:highlight w:val="none"/>
        </w:rPr>
      </w:pPr>
    </w:p>
    <w:p>
      <w:pPr>
        <w:widowControl/>
        <w:spacing w:line="480" w:lineRule="exact"/>
        <w:jc w:val="center"/>
        <w:rPr>
          <w:rFonts w:hint="eastAsia" w:asciiTheme="minorEastAsia" w:hAnsiTheme="minorEastAsia" w:eastAsiaTheme="minorEastAsia" w:cstheme="minorEastAsia"/>
          <w:b/>
          <w:bCs/>
          <w:color w:val="auto"/>
          <w:kern w:val="0"/>
          <w:sz w:val="24"/>
          <w:szCs w:val="24"/>
          <w:highlight w:val="none"/>
        </w:rPr>
      </w:pPr>
    </w:p>
    <w:p>
      <w:pPr>
        <w:widowControl/>
        <w:spacing w:line="480" w:lineRule="exact"/>
        <w:jc w:val="center"/>
        <w:rPr>
          <w:rFonts w:hint="eastAsia" w:asciiTheme="minorEastAsia" w:hAnsiTheme="minorEastAsia" w:eastAsiaTheme="minorEastAsia" w:cstheme="minorEastAsia"/>
          <w:b/>
          <w:bCs/>
          <w:color w:val="auto"/>
          <w:kern w:val="0"/>
          <w:sz w:val="24"/>
          <w:szCs w:val="24"/>
          <w:highlight w:val="none"/>
        </w:rPr>
      </w:pPr>
    </w:p>
    <w:p>
      <w:pPr>
        <w:widowControl/>
        <w:spacing w:line="480" w:lineRule="exact"/>
        <w:jc w:val="center"/>
        <w:rPr>
          <w:rFonts w:hint="eastAsia" w:asciiTheme="minorEastAsia" w:hAnsiTheme="minorEastAsia" w:eastAsiaTheme="minorEastAsia" w:cstheme="minorEastAsia"/>
          <w:b/>
          <w:bCs/>
          <w:color w:val="auto"/>
          <w:kern w:val="0"/>
          <w:sz w:val="24"/>
          <w:szCs w:val="24"/>
          <w:highlight w:val="none"/>
        </w:rPr>
      </w:pPr>
    </w:p>
    <w:p>
      <w:pPr>
        <w:widowControl/>
        <w:spacing w:line="480" w:lineRule="exact"/>
        <w:jc w:val="center"/>
        <w:rPr>
          <w:rFonts w:hint="eastAsia" w:asciiTheme="minorEastAsia" w:hAnsiTheme="minorEastAsia" w:eastAsiaTheme="minorEastAsia" w:cstheme="minorEastAsia"/>
          <w:b/>
          <w:bCs/>
          <w:color w:val="auto"/>
          <w:kern w:val="0"/>
          <w:sz w:val="24"/>
          <w:szCs w:val="24"/>
          <w:highlight w:val="none"/>
        </w:rPr>
      </w:pPr>
    </w:p>
    <w:p>
      <w:pPr>
        <w:widowControl/>
        <w:spacing w:line="480" w:lineRule="exact"/>
        <w:jc w:val="center"/>
        <w:rPr>
          <w:rFonts w:hint="eastAsia" w:asciiTheme="minorEastAsia" w:hAnsiTheme="minorEastAsia" w:eastAsiaTheme="minorEastAsia" w:cstheme="minorEastAsia"/>
          <w:b/>
          <w:bCs/>
          <w:color w:val="auto"/>
          <w:kern w:val="0"/>
          <w:sz w:val="24"/>
          <w:szCs w:val="24"/>
          <w:highlight w:val="none"/>
        </w:rPr>
      </w:pPr>
    </w:p>
    <w:p>
      <w:pPr>
        <w:widowControl/>
        <w:spacing w:line="480" w:lineRule="exact"/>
        <w:jc w:val="center"/>
        <w:rPr>
          <w:rFonts w:hint="eastAsia" w:asciiTheme="minorEastAsia" w:hAnsiTheme="minorEastAsia" w:eastAsiaTheme="minorEastAsia" w:cstheme="minorEastAsia"/>
          <w:b/>
          <w:bCs/>
          <w:color w:val="auto"/>
          <w:kern w:val="0"/>
          <w:sz w:val="24"/>
          <w:szCs w:val="24"/>
          <w:highlight w:val="none"/>
        </w:rPr>
      </w:pPr>
    </w:p>
    <w:p>
      <w:pPr>
        <w:widowControl/>
        <w:spacing w:line="480" w:lineRule="exact"/>
        <w:jc w:val="center"/>
        <w:rPr>
          <w:rFonts w:hint="eastAsia" w:asciiTheme="minorEastAsia" w:hAnsiTheme="minorEastAsia" w:eastAsiaTheme="minorEastAsia" w:cstheme="minorEastAsia"/>
          <w:b/>
          <w:bCs/>
          <w:color w:val="auto"/>
          <w:kern w:val="0"/>
          <w:sz w:val="24"/>
          <w:szCs w:val="24"/>
          <w:highlight w:val="none"/>
        </w:rPr>
      </w:pPr>
    </w:p>
    <w:p>
      <w:pPr>
        <w:widowControl/>
        <w:spacing w:line="480" w:lineRule="exact"/>
        <w:jc w:val="center"/>
        <w:rPr>
          <w:rFonts w:hint="eastAsia" w:asciiTheme="minorEastAsia" w:hAnsiTheme="minorEastAsia" w:eastAsiaTheme="minorEastAsia" w:cstheme="minorEastAsia"/>
          <w:b/>
          <w:bCs/>
          <w:color w:val="auto"/>
          <w:kern w:val="0"/>
          <w:sz w:val="24"/>
          <w:szCs w:val="24"/>
          <w:highlight w:val="none"/>
        </w:rPr>
      </w:pPr>
    </w:p>
    <w:p>
      <w:pPr>
        <w:widowControl/>
        <w:spacing w:line="480" w:lineRule="exact"/>
        <w:jc w:val="center"/>
        <w:rPr>
          <w:rFonts w:hint="eastAsia" w:asciiTheme="minorEastAsia" w:hAnsiTheme="minorEastAsia" w:eastAsiaTheme="minorEastAsia" w:cstheme="minorEastAsia"/>
          <w:b/>
          <w:bCs/>
          <w:color w:val="auto"/>
          <w:kern w:val="0"/>
          <w:sz w:val="24"/>
          <w:szCs w:val="24"/>
          <w:highlight w:val="none"/>
        </w:rPr>
      </w:pPr>
    </w:p>
    <w:p>
      <w:pPr>
        <w:widowControl/>
        <w:spacing w:line="480" w:lineRule="exact"/>
        <w:jc w:val="center"/>
        <w:rPr>
          <w:rFonts w:hint="eastAsia" w:asciiTheme="minorEastAsia" w:hAnsiTheme="minorEastAsia" w:eastAsiaTheme="minorEastAsia" w:cstheme="minorEastAsia"/>
          <w:b/>
          <w:bCs/>
          <w:color w:val="auto"/>
          <w:kern w:val="0"/>
          <w:sz w:val="24"/>
          <w:szCs w:val="24"/>
          <w:highlight w:val="none"/>
        </w:rPr>
      </w:pPr>
    </w:p>
    <w:p>
      <w:pPr>
        <w:widowControl/>
        <w:spacing w:line="480" w:lineRule="exact"/>
        <w:jc w:val="center"/>
        <w:rPr>
          <w:rFonts w:hint="eastAsia" w:asciiTheme="minorEastAsia" w:hAnsiTheme="minorEastAsia" w:eastAsiaTheme="minorEastAsia" w:cstheme="minorEastAsia"/>
          <w:b/>
          <w:bCs/>
          <w:color w:val="auto"/>
          <w:kern w:val="0"/>
          <w:sz w:val="24"/>
          <w:szCs w:val="24"/>
          <w:highlight w:val="none"/>
        </w:rPr>
      </w:pPr>
    </w:p>
    <w:p>
      <w:pPr>
        <w:widowControl/>
        <w:spacing w:line="480" w:lineRule="exact"/>
        <w:jc w:val="center"/>
        <w:rPr>
          <w:rFonts w:hint="eastAsia" w:asciiTheme="minorEastAsia" w:hAnsiTheme="minorEastAsia" w:eastAsiaTheme="minorEastAsia" w:cstheme="minorEastAsia"/>
          <w:b/>
          <w:bCs/>
          <w:color w:val="auto"/>
          <w:kern w:val="0"/>
          <w:sz w:val="24"/>
          <w:szCs w:val="24"/>
          <w:highlight w:val="none"/>
        </w:rPr>
      </w:pPr>
    </w:p>
    <w:p>
      <w:pPr>
        <w:widowControl/>
        <w:spacing w:line="480" w:lineRule="exact"/>
        <w:jc w:val="center"/>
        <w:rPr>
          <w:rFonts w:hint="eastAsia" w:asciiTheme="minorEastAsia" w:hAnsiTheme="minorEastAsia" w:eastAsiaTheme="minorEastAsia" w:cstheme="minorEastAsia"/>
          <w:b/>
          <w:bCs/>
          <w:color w:val="auto"/>
          <w:kern w:val="0"/>
          <w:sz w:val="24"/>
          <w:szCs w:val="24"/>
          <w:highlight w:val="none"/>
        </w:rPr>
      </w:pPr>
    </w:p>
    <w:p>
      <w:pPr>
        <w:widowControl/>
        <w:spacing w:line="480" w:lineRule="exact"/>
        <w:jc w:val="center"/>
        <w:rPr>
          <w:rFonts w:hint="eastAsia" w:asciiTheme="minorEastAsia" w:hAnsiTheme="minorEastAsia" w:eastAsiaTheme="minorEastAsia" w:cstheme="minorEastAsia"/>
          <w:b/>
          <w:bCs/>
          <w:color w:val="auto"/>
          <w:kern w:val="0"/>
          <w:sz w:val="24"/>
          <w:szCs w:val="24"/>
          <w:highlight w:val="none"/>
        </w:rPr>
      </w:pPr>
    </w:p>
    <w:p>
      <w:pPr>
        <w:widowControl/>
        <w:spacing w:line="480" w:lineRule="exact"/>
        <w:jc w:val="center"/>
        <w:rPr>
          <w:rFonts w:hint="eastAsia" w:asciiTheme="minorEastAsia" w:hAnsiTheme="minorEastAsia" w:eastAsiaTheme="minorEastAsia" w:cstheme="minorEastAsia"/>
          <w:b/>
          <w:bCs/>
          <w:color w:val="auto"/>
          <w:kern w:val="0"/>
          <w:sz w:val="24"/>
          <w:szCs w:val="24"/>
          <w:highlight w:val="none"/>
        </w:rPr>
      </w:pPr>
    </w:p>
    <w:p>
      <w:pPr>
        <w:widowControl/>
        <w:spacing w:line="480" w:lineRule="exact"/>
        <w:jc w:val="center"/>
        <w:rPr>
          <w:rFonts w:hint="eastAsia" w:asciiTheme="minorEastAsia" w:hAnsiTheme="minorEastAsia" w:eastAsiaTheme="minorEastAsia" w:cstheme="minorEastAsia"/>
          <w:b/>
          <w:bCs/>
          <w:color w:val="auto"/>
          <w:kern w:val="0"/>
          <w:sz w:val="24"/>
          <w:szCs w:val="24"/>
          <w:highlight w:val="none"/>
        </w:rPr>
      </w:pPr>
    </w:p>
    <w:p>
      <w:pPr>
        <w:widowControl/>
        <w:spacing w:line="480" w:lineRule="exact"/>
        <w:jc w:val="center"/>
        <w:rPr>
          <w:rFonts w:hint="eastAsia" w:asciiTheme="minorEastAsia" w:hAnsiTheme="minorEastAsia" w:eastAsiaTheme="minorEastAsia" w:cstheme="minorEastAsia"/>
          <w:b/>
          <w:bCs/>
          <w:color w:val="auto"/>
          <w:kern w:val="0"/>
          <w:sz w:val="24"/>
          <w:szCs w:val="24"/>
          <w:highlight w:val="none"/>
        </w:rPr>
      </w:pPr>
    </w:p>
    <w:p>
      <w:pPr>
        <w:widowControl/>
        <w:spacing w:line="480" w:lineRule="exact"/>
        <w:jc w:val="center"/>
        <w:rPr>
          <w:rFonts w:hint="eastAsia" w:asciiTheme="minorEastAsia" w:hAnsiTheme="minorEastAsia" w:eastAsiaTheme="minorEastAsia" w:cstheme="minorEastAsia"/>
          <w:b/>
          <w:bCs/>
          <w:color w:val="auto"/>
          <w:kern w:val="0"/>
          <w:sz w:val="24"/>
          <w:szCs w:val="24"/>
          <w:highlight w:val="none"/>
        </w:rPr>
      </w:pPr>
    </w:p>
    <w:p>
      <w:pPr>
        <w:widowControl/>
        <w:spacing w:line="480" w:lineRule="exact"/>
        <w:jc w:val="center"/>
        <w:rPr>
          <w:rFonts w:hint="eastAsia" w:asciiTheme="minorEastAsia" w:hAnsiTheme="minorEastAsia" w:eastAsiaTheme="minorEastAsia" w:cstheme="minorEastAsia"/>
          <w:b/>
          <w:bCs/>
          <w:color w:val="auto"/>
          <w:kern w:val="0"/>
          <w:sz w:val="24"/>
          <w:szCs w:val="24"/>
          <w:highlight w:val="none"/>
        </w:rPr>
      </w:pPr>
    </w:p>
    <w:p>
      <w:pPr>
        <w:snapToGrid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附件一</w:t>
      </w:r>
    </w:p>
    <w:p>
      <w:pPr>
        <w:widowControl/>
        <w:spacing w:after="240" w:line="360" w:lineRule="auto"/>
        <w:jc w:val="center"/>
        <w:rPr>
          <w:rFonts w:hint="eastAsia" w:ascii="宋体" w:hAnsi="宋体" w:eastAsia="宋体" w:cs="宋体"/>
          <w:b/>
          <w:color w:val="auto"/>
          <w:kern w:val="0"/>
          <w:sz w:val="24"/>
          <w:highlight w:val="none"/>
          <w:lang w:val="en-US" w:eastAsia="zh-CN"/>
        </w:rPr>
      </w:pPr>
      <w:bookmarkStart w:id="423" w:name="_Toc10340"/>
      <w:bookmarkStart w:id="424" w:name="_Toc499739990"/>
      <w:bookmarkStart w:id="425" w:name="_Toc27928"/>
      <w:r>
        <w:rPr>
          <w:rFonts w:hint="eastAsia" w:ascii="宋体" w:hAnsi="宋体" w:eastAsia="宋体" w:cs="宋体"/>
          <w:b/>
          <w:color w:val="auto"/>
          <w:kern w:val="0"/>
          <w:sz w:val="24"/>
          <w:highlight w:val="none"/>
        </w:rPr>
        <w:t>中小企业声明函</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本公司（联合体）郑重声明，根据《</w:t>
      </w:r>
      <w:r>
        <w:rPr>
          <w:rFonts w:hint="eastAsia" w:ascii="宋体" w:hAnsi="宋体" w:eastAsia="宋体" w:cs="宋体"/>
          <w:color w:val="auto"/>
          <w:sz w:val="24"/>
          <w:szCs w:val="24"/>
          <w:highlight w:val="none"/>
          <w:lang w:eastAsia="zh-CN" w:bidi="ar"/>
        </w:rPr>
        <w:t>政府采购促进中小企业发展管理办法</w:t>
      </w:r>
      <w:r>
        <w:rPr>
          <w:rFonts w:hint="eastAsia" w:ascii="宋体" w:hAnsi="宋体" w:eastAsia="宋体" w:cs="宋体"/>
          <w:color w:val="auto"/>
          <w:sz w:val="24"/>
          <w:szCs w:val="24"/>
          <w:highlight w:val="none"/>
          <w:lang w:bidi="ar"/>
        </w:rPr>
        <w:t>》（财库[20</w:t>
      </w:r>
      <w:r>
        <w:rPr>
          <w:rFonts w:hint="eastAsia" w:ascii="宋体" w:hAnsi="宋体" w:eastAsia="宋体" w:cs="宋体"/>
          <w:color w:val="auto"/>
          <w:sz w:val="24"/>
          <w:szCs w:val="24"/>
          <w:highlight w:val="none"/>
          <w:lang w:val="en-US" w:eastAsia="zh-CN" w:bidi="ar"/>
        </w:rPr>
        <w:t>20</w:t>
      </w:r>
      <w:r>
        <w:rPr>
          <w:rFonts w:hint="eastAsia" w:ascii="宋体" w:hAnsi="宋体" w:eastAsia="宋体" w:cs="宋体"/>
          <w:color w:val="auto"/>
          <w:sz w:val="24"/>
          <w:szCs w:val="24"/>
          <w:highlight w:val="none"/>
          <w:lang w:bidi="ar"/>
        </w:rPr>
        <w:t>]</w:t>
      </w:r>
      <w:r>
        <w:rPr>
          <w:rFonts w:hint="eastAsia" w:ascii="宋体" w:hAnsi="宋体" w:eastAsia="宋体" w:cs="宋体"/>
          <w:color w:val="auto"/>
          <w:sz w:val="24"/>
          <w:szCs w:val="24"/>
          <w:highlight w:val="none"/>
          <w:lang w:val="en-US" w:eastAsia="zh-CN" w:bidi="ar"/>
        </w:rPr>
        <w:t>46</w:t>
      </w:r>
      <w:r>
        <w:rPr>
          <w:rFonts w:hint="eastAsia" w:ascii="宋体" w:hAnsi="宋体" w:eastAsia="宋体" w:cs="宋体"/>
          <w:color w:val="auto"/>
          <w:sz w:val="24"/>
          <w:szCs w:val="24"/>
          <w:highlight w:val="none"/>
          <w:lang w:bidi="ar"/>
        </w:rPr>
        <w:t>号）的规定，本公司（联合体）参加（</w:t>
      </w:r>
      <w:r>
        <w:rPr>
          <w:rFonts w:hint="eastAsia" w:ascii="宋体" w:hAnsi="宋体" w:eastAsia="宋体" w:cs="宋体"/>
          <w:color w:val="auto"/>
          <w:sz w:val="24"/>
          <w:szCs w:val="24"/>
          <w:highlight w:val="none"/>
          <w:u w:val="single"/>
          <w:lang w:bidi="ar"/>
        </w:rPr>
        <w:t>单位名称</w:t>
      </w:r>
      <w:r>
        <w:rPr>
          <w:rFonts w:hint="eastAsia" w:ascii="宋体" w:hAnsi="宋体" w:eastAsia="宋体" w:cs="宋体"/>
          <w:color w:val="auto"/>
          <w:sz w:val="24"/>
          <w:szCs w:val="24"/>
          <w:highlight w:val="none"/>
          <w:lang w:bidi="ar"/>
        </w:rPr>
        <w:t>）的（</w:t>
      </w:r>
      <w:r>
        <w:rPr>
          <w:rFonts w:hint="eastAsia" w:ascii="宋体" w:hAnsi="宋体" w:eastAsia="宋体" w:cs="宋体"/>
          <w:color w:val="auto"/>
          <w:sz w:val="24"/>
          <w:szCs w:val="24"/>
          <w:highlight w:val="none"/>
          <w:u w:val="single"/>
          <w:lang w:bidi="ar"/>
        </w:rPr>
        <w:t>项目名称</w:t>
      </w:r>
      <w:r>
        <w:rPr>
          <w:rFonts w:hint="eastAsia" w:ascii="宋体" w:hAnsi="宋体" w:eastAsia="宋体" w:cs="宋体"/>
          <w:color w:val="auto"/>
          <w:sz w:val="24"/>
          <w:szCs w:val="24"/>
          <w:highlight w:val="none"/>
          <w:lang w:bidi="ar"/>
        </w:rPr>
        <w:t>）采购活动，提 供的货物全部由符合政策要求的中小企业制造。相关企业 （含联合体中的中小企业、签订分包意向协议的中小企业） 的具体情况如下：</w:t>
      </w:r>
    </w:p>
    <w:p>
      <w:pPr>
        <w:numPr>
          <w:ilvl w:val="0"/>
          <w:numId w:val="10"/>
        </w:numPr>
        <w:spacing w:line="500" w:lineRule="exact"/>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u w:val="single"/>
          <w:lang w:bidi="ar"/>
        </w:rPr>
        <w:t>（标的名称）</w:t>
      </w:r>
      <w:r>
        <w:rPr>
          <w:rFonts w:hint="eastAsia" w:ascii="宋体" w:hAnsi="宋体" w:eastAsia="宋体" w:cs="宋体"/>
          <w:color w:val="auto"/>
          <w:sz w:val="24"/>
          <w:szCs w:val="24"/>
          <w:highlight w:val="none"/>
          <w:lang w:bidi="ar"/>
        </w:rPr>
        <w:t>，属于</w:t>
      </w:r>
      <w:r>
        <w:rPr>
          <w:rFonts w:hint="eastAsia" w:ascii="宋体" w:hAnsi="宋体" w:eastAsia="宋体" w:cs="宋体"/>
          <w:color w:val="auto"/>
          <w:sz w:val="24"/>
          <w:szCs w:val="24"/>
          <w:highlight w:val="none"/>
          <w:u w:val="single"/>
          <w:lang w:bidi="ar"/>
        </w:rPr>
        <w:t>（采购文件中明确的所属行业）行业</w:t>
      </w:r>
      <w:r>
        <w:rPr>
          <w:rFonts w:hint="eastAsia" w:ascii="宋体" w:hAnsi="宋体" w:eastAsia="宋体" w:cs="宋体"/>
          <w:color w:val="auto"/>
          <w:sz w:val="24"/>
          <w:szCs w:val="24"/>
          <w:highlight w:val="none"/>
          <w:lang w:bidi="ar"/>
        </w:rPr>
        <w:t>；</w:t>
      </w:r>
      <w:r>
        <w:rPr>
          <w:rFonts w:hint="eastAsia" w:ascii="宋体" w:hAnsi="宋体" w:eastAsia="宋体" w:cs="宋体"/>
          <w:color w:val="auto"/>
          <w:sz w:val="24"/>
          <w:szCs w:val="24"/>
          <w:highlight w:val="none"/>
        </w:rPr>
        <w:t>承建（承接）</w:t>
      </w:r>
      <w:r>
        <w:rPr>
          <w:rFonts w:hint="eastAsia" w:ascii="宋体" w:hAnsi="宋体" w:eastAsia="宋体" w:cs="宋体"/>
          <w:color w:val="auto"/>
          <w:sz w:val="24"/>
          <w:szCs w:val="24"/>
          <w:highlight w:val="none"/>
          <w:lang w:eastAsia="zh-CN"/>
        </w:rPr>
        <w:t>企业</w:t>
      </w:r>
      <w:r>
        <w:rPr>
          <w:rFonts w:hint="eastAsia" w:ascii="宋体" w:hAnsi="宋体" w:eastAsia="宋体" w:cs="宋体"/>
          <w:color w:val="auto"/>
          <w:sz w:val="24"/>
          <w:szCs w:val="24"/>
          <w:highlight w:val="none"/>
          <w:lang w:bidi="ar"/>
        </w:rPr>
        <w:t>为</w:t>
      </w:r>
      <w:r>
        <w:rPr>
          <w:rFonts w:hint="eastAsia" w:ascii="宋体" w:hAnsi="宋体" w:eastAsia="宋体" w:cs="宋体"/>
          <w:color w:val="auto"/>
          <w:sz w:val="24"/>
          <w:szCs w:val="24"/>
          <w:highlight w:val="none"/>
          <w:u w:val="single"/>
          <w:lang w:bidi="ar"/>
        </w:rPr>
        <w:t>（企业名称）</w:t>
      </w:r>
      <w:r>
        <w:rPr>
          <w:rFonts w:hint="eastAsia" w:ascii="宋体" w:hAnsi="宋体" w:eastAsia="宋体" w:cs="宋体"/>
          <w:color w:val="auto"/>
          <w:sz w:val="24"/>
          <w:szCs w:val="24"/>
          <w:highlight w:val="none"/>
          <w:lang w:bidi="ar"/>
        </w:rPr>
        <w:t>，从业人员</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lang w:bidi="ar"/>
        </w:rPr>
        <w:t>人，营业收入为</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lang w:bidi="ar"/>
        </w:rPr>
        <w:t>万元，资产总额为</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lang w:bidi="ar"/>
        </w:rPr>
        <w:t>万元</w:t>
      </w:r>
      <w:r>
        <w:rPr>
          <w:rFonts w:hint="eastAsia" w:ascii="宋体" w:hAnsi="宋体" w:eastAsia="宋体" w:cs="宋体"/>
          <w:color w:val="auto"/>
          <w:sz w:val="24"/>
          <w:szCs w:val="24"/>
          <w:highlight w:val="none"/>
          <w:vertAlign w:val="superscript"/>
          <w:lang w:bidi="ar"/>
        </w:rPr>
        <w:t>1</w:t>
      </w:r>
      <w:r>
        <w:rPr>
          <w:rFonts w:hint="eastAsia" w:ascii="宋体" w:hAnsi="宋体" w:eastAsia="宋体" w:cs="宋体"/>
          <w:color w:val="auto"/>
          <w:sz w:val="24"/>
          <w:szCs w:val="24"/>
          <w:highlight w:val="none"/>
          <w:lang w:bidi="ar"/>
        </w:rPr>
        <w:t>，属于（</w:t>
      </w:r>
      <w:r>
        <w:rPr>
          <w:rFonts w:hint="eastAsia" w:ascii="宋体" w:hAnsi="宋体" w:eastAsia="宋体" w:cs="宋体"/>
          <w:color w:val="auto"/>
          <w:sz w:val="24"/>
          <w:szCs w:val="24"/>
          <w:highlight w:val="none"/>
          <w:u w:val="single"/>
          <w:lang w:bidi="ar"/>
        </w:rPr>
        <w:t>中型企业、小型企业、微型企业</w:t>
      </w:r>
      <w:r>
        <w:rPr>
          <w:rFonts w:hint="eastAsia" w:ascii="宋体" w:hAnsi="宋体" w:eastAsia="宋体" w:cs="宋体"/>
          <w:color w:val="auto"/>
          <w:sz w:val="24"/>
          <w:szCs w:val="24"/>
          <w:highlight w:val="none"/>
          <w:lang w:bidi="ar"/>
        </w:rPr>
        <w:t>）；</w:t>
      </w:r>
    </w:p>
    <w:p>
      <w:pPr>
        <w:numPr>
          <w:ilvl w:val="0"/>
          <w:numId w:val="0"/>
        </w:numPr>
        <w:spacing w:line="500" w:lineRule="exact"/>
        <w:ind w:firstLine="240" w:firstLineChars="1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 2. </w:t>
      </w:r>
      <w:r>
        <w:rPr>
          <w:rFonts w:hint="eastAsia" w:ascii="宋体" w:hAnsi="宋体" w:eastAsia="宋体" w:cs="宋体"/>
          <w:color w:val="auto"/>
          <w:sz w:val="24"/>
          <w:szCs w:val="24"/>
          <w:highlight w:val="none"/>
          <w:u w:val="single"/>
          <w:lang w:bidi="ar"/>
        </w:rPr>
        <w:t>（标的名称）</w:t>
      </w:r>
      <w:r>
        <w:rPr>
          <w:rFonts w:hint="eastAsia" w:ascii="宋体" w:hAnsi="宋体" w:eastAsia="宋体" w:cs="宋体"/>
          <w:color w:val="auto"/>
          <w:sz w:val="24"/>
          <w:szCs w:val="24"/>
          <w:highlight w:val="none"/>
          <w:lang w:bidi="ar"/>
        </w:rPr>
        <w:t>，属于</w:t>
      </w:r>
      <w:r>
        <w:rPr>
          <w:rFonts w:hint="eastAsia" w:ascii="宋体" w:hAnsi="宋体" w:eastAsia="宋体" w:cs="宋体"/>
          <w:color w:val="auto"/>
          <w:sz w:val="24"/>
          <w:szCs w:val="24"/>
          <w:highlight w:val="none"/>
          <w:u w:val="single"/>
          <w:lang w:bidi="ar"/>
        </w:rPr>
        <w:t>（采购文件中明确的所属行业）行业</w:t>
      </w:r>
      <w:r>
        <w:rPr>
          <w:rFonts w:hint="eastAsia" w:ascii="宋体" w:hAnsi="宋体" w:eastAsia="宋体" w:cs="宋体"/>
          <w:color w:val="auto"/>
          <w:sz w:val="24"/>
          <w:szCs w:val="24"/>
          <w:highlight w:val="none"/>
          <w:lang w:bidi="ar"/>
        </w:rPr>
        <w:t>；</w:t>
      </w:r>
      <w:r>
        <w:rPr>
          <w:rFonts w:hint="eastAsia" w:ascii="宋体" w:hAnsi="宋体" w:eastAsia="宋体" w:cs="宋体"/>
          <w:color w:val="auto"/>
          <w:sz w:val="24"/>
          <w:szCs w:val="24"/>
          <w:highlight w:val="none"/>
        </w:rPr>
        <w:t>承建（承接）</w:t>
      </w:r>
      <w:r>
        <w:rPr>
          <w:rFonts w:hint="eastAsia" w:ascii="宋体" w:hAnsi="宋体" w:eastAsia="宋体" w:cs="宋体"/>
          <w:color w:val="auto"/>
          <w:sz w:val="24"/>
          <w:szCs w:val="24"/>
          <w:highlight w:val="none"/>
          <w:lang w:eastAsia="zh-CN"/>
        </w:rPr>
        <w:t>企业</w:t>
      </w:r>
      <w:r>
        <w:rPr>
          <w:rFonts w:hint="eastAsia" w:ascii="宋体" w:hAnsi="宋体" w:eastAsia="宋体" w:cs="宋体"/>
          <w:color w:val="auto"/>
          <w:sz w:val="24"/>
          <w:szCs w:val="24"/>
          <w:highlight w:val="none"/>
          <w:lang w:bidi="ar"/>
        </w:rPr>
        <w:t>为</w:t>
      </w:r>
      <w:r>
        <w:rPr>
          <w:rFonts w:hint="eastAsia" w:ascii="宋体" w:hAnsi="宋体" w:eastAsia="宋体" w:cs="宋体"/>
          <w:color w:val="auto"/>
          <w:sz w:val="24"/>
          <w:szCs w:val="24"/>
          <w:highlight w:val="none"/>
          <w:u w:val="single"/>
          <w:lang w:bidi="ar"/>
        </w:rPr>
        <w:t>（企业名称）</w:t>
      </w:r>
      <w:r>
        <w:rPr>
          <w:rFonts w:hint="eastAsia" w:ascii="宋体" w:hAnsi="宋体" w:eastAsia="宋体" w:cs="宋体"/>
          <w:color w:val="auto"/>
          <w:sz w:val="24"/>
          <w:szCs w:val="24"/>
          <w:highlight w:val="none"/>
          <w:lang w:bidi="ar"/>
        </w:rPr>
        <w:t>，从业人员</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lang w:bidi="ar"/>
        </w:rPr>
        <w:t>人，营业收入为</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lang w:bidi="ar"/>
        </w:rPr>
        <w:t>万元，资产总额为</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lang w:bidi="ar"/>
        </w:rPr>
        <w:t>万元</w:t>
      </w:r>
      <w:r>
        <w:rPr>
          <w:rFonts w:hint="eastAsia" w:ascii="宋体" w:hAnsi="宋体" w:eastAsia="宋体" w:cs="宋体"/>
          <w:color w:val="auto"/>
          <w:sz w:val="24"/>
          <w:szCs w:val="24"/>
          <w:highlight w:val="none"/>
          <w:vertAlign w:val="superscript"/>
          <w:lang w:bidi="ar"/>
        </w:rPr>
        <w:t>1</w:t>
      </w:r>
      <w:r>
        <w:rPr>
          <w:rFonts w:hint="eastAsia" w:ascii="宋体" w:hAnsi="宋体" w:eastAsia="宋体" w:cs="宋体"/>
          <w:color w:val="auto"/>
          <w:sz w:val="24"/>
          <w:szCs w:val="24"/>
          <w:highlight w:val="none"/>
          <w:lang w:bidi="ar"/>
        </w:rPr>
        <w:t>，属于（</w:t>
      </w:r>
      <w:r>
        <w:rPr>
          <w:rFonts w:hint="eastAsia" w:ascii="宋体" w:hAnsi="宋体" w:eastAsia="宋体" w:cs="宋体"/>
          <w:color w:val="auto"/>
          <w:sz w:val="24"/>
          <w:szCs w:val="24"/>
          <w:highlight w:val="none"/>
          <w:u w:val="single"/>
          <w:lang w:bidi="ar"/>
        </w:rPr>
        <w:t>中型企业、小型企业、微型企业</w:t>
      </w:r>
      <w:r>
        <w:rPr>
          <w:rFonts w:hint="eastAsia" w:ascii="宋体" w:hAnsi="宋体" w:eastAsia="宋体" w:cs="宋体"/>
          <w:color w:val="auto"/>
          <w:sz w:val="24"/>
          <w:szCs w:val="24"/>
          <w:highlight w:val="none"/>
          <w:lang w:bidi="ar"/>
        </w:rPr>
        <w:t>）；</w:t>
      </w:r>
    </w:p>
    <w:p>
      <w:pPr>
        <w:spacing w:line="500" w:lineRule="exact"/>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以上企业，不属于大企业的分支机构，不存在控股股东 为大企业的情形，也不存在与大企业的负责人为同一人的情形。 </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本企业对上述声明内容的真实性负责。如有虚假，将依法承担相应责任。</w:t>
      </w:r>
    </w:p>
    <w:p>
      <w:pPr>
        <w:spacing w:line="500" w:lineRule="exact"/>
        <w:ind w:firstLine="480" w:firstLineChars="200"/>
        <w:rPr>
          <w:rFonts w:hint="eastAsia" w:ascii="宋体" w:hAnsi="宋体" w:eastAsia="宋体" w:cs="宋体"/>
          <w:color w:val="auto"/>
          <w:sz w:val="24"/>
          <w:szCs w:val="24"/>
          <w:highlight w:val="none"/>
        </w:rPr>
      </w:pPr>
    </w:p>
    <w:p>
      <w:pPr>
        <w:tabs>
          <w:tab w:val="left" w:pos="5674"/>
        </w:tabs>
        <w:spacing w:line="500" w:lineRule="exact"/>
        <w:ind w:firstLine="480" w:firstLineChars="200"/>
        <w:rPr>
          <w:rFonts w:hint="eastAsia" w:ascii="宋体" w:hAnsi="宋体" w:eastAsia="宋体" w:cs="宋体"/>
          <w:color w:val="auto"/>
          <w:sz w:val="24"/>
          <w:szCs w:val="24"/>
          <w:highlight w:val="none"/>
        </w:rPr>
      </w:pPr>
    </w:p>
    <w:p>
      <w:pPr>
        <w:tabs>
          <w:tab w:val="left" w:pos="5674"/>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pPr>
        <w:tabs>
          <w:tab w:val="left" w:pos="5674"/>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pPr>
        <w:tabs>
          <w:tab w:val="left" w:pos="5674"/>
        </w:tabs>
        <w:spacing w:line="500" w:lineRule="exact"/>
        <w:ind w:firstLine="480" w:firstLineChars="200"/>
        <w:rPr>
          <w:rFonts w:hint="eastAsia" w:ascii="宋体" w:hAnsi="宋体" w:eastAsia="宋体" w:cs="宋体"/>
          <w:color w:val="auto"/>
          <w:sz w:val="24"/>
          <w:szCs w:val="24"/>
          <w:highlight w:val="none"/>
        </w:rPr>
      </w:pPr>
    </w:p>
    <w:p>
      <w:pPr>
        <w:tabs>
          <w:tab w:val="left" w:pos="5674"/>
        </w:tabs>
        <w:spacing w:line="500" w:lineRule="exact"/>
        <w:ind w:firstLine="480" w:firstLineChars="200"/>
        <w:rPr>
          <w:rFonts w:hint="eastAsia" w:ascii="宋体" w:hAnsi="宋体" w:eastAsia="宋体" w:cs="宋体"/>
          <w:color w:val="auto"/>
          <w:sz w:val="24"/>
          <w:szCs w:val="24"/>
          <w:highlight w:val="none"/>
        </w:rPr>
      </w:pPr>
    </w:p>
    <w:p>
      <w:pPr>
        <w:keepNext w:val="0"/>
        <w:keepLines w:val="0"/>
        <w:pageBreakBefore w:val="0"/>
        <w:widowControl w:val="0"/>
        <w:tabs>
          <w:tab w:val="left" w:pos="5674"/>
        </w:tabs>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lang w:bidi="ar"/>
        </w:rPr>
      </w:pPr>
      <w:r>
        <w:rPr>
          <w:rFonts w:hint="eastAsia" w:ascii="宋体" w:hAnsi="宋体" w:eastAsia="宋体" w:cs="宋体"/>
          <w:b/>
          <w:color w:val="auto"/>
          <w:sz w:val="21"/>
          <w:szCs w:val="21"/>
          <w:highlight w:val="none"/>
          <w:lang w:bidi="ar"/>
        </w:rPr>
        <w:t>备注：</w:t>
      </w:r>
      <w:r>
        <w:rPr>
          <w:rFonts w:hint="eastAsia" w:ascii="宋体" w:hAnsi="宋体" w:eastAsia="宋体" w:cs="宋体"/>
          <w:b/>
          <w:color w:val="auto"/>
          <w:sz w:val="21"/>
          <w:szCs w:val="21"/>
          <w:highlight w:val="none"/>
          <w:lang w:val="en-US" w:eastAsia="zh-CN" w:bidi="ar"/>
        </w:rPr>
        <w:t>1.</w:t>
      </w:r>
      <w:r>
        <w:rPr>
          <w:rFonts w:hint="eastAsia" w:ascii="宋体" w:hAnsi="宋体" w:eastAsia="宋体" w:cs="宋体"/>
          <w:b/>
          <w:color w:val="auto"/>
          <w:sz w:val="21"/>
          <w:szCs w:val="21"/>
          <w:highlight w:val="none"/>
          <w:lang w:bidi="ar"/>
        </w:rPr>
        <w:t>从业人员、营业收入、资产总额填报上一年度数据，无上一年度数据的新成立企业可不填报。</w:t>
      </w:r>
    </w:p>
    <w:p>
      <w:pPr>
        <w:pStyle w:val="5"/>
        <w:keepNext w:val="0"/>
        <w:keepLines w:val="0"/>
        <w:pageBreakBefore w:val="0"/>
        <w:widowControl w:val="0"/>
        <w:kinsoku/>
        <w:wordWrap/>
        <w:overflowPunct/>
        <w:topLinePunct w:val="0"/>
        <w:autoSpaceDE/>
        <w:autoSpaceDN/>
        <w:bidi w:val="0"/>
        <w:adjustRightInd/>
        <w:snapToGrid/>
        <w:spacing w:after="0" w:line="360" w:lineRule="auto"/>
        <w:ind w:firstLine="422"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lang w:val="en-US" w:eastAsia="zh-CN" w:bidi="ar"/>
        </w:rPr>
        <w:t>2.填写前请认真阅读《工业和信息化部、国家统计局、国家发展和改革委员会、财政部关于印发中小企业划型标准规定的通知》（工信部联企业[2011]300号）和《财政部工业和信息化部关于印发＜政府采购促进中小企业发展暂行办法＞的通知》(财库[2020]46号)相关规定。</w:t>
      </w:r>
    </w:p>
    <w:p>
      <w:pPr>
        <w:snapToGrid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附件二</w:t>
      </w:r>
      <w:bookmarkEnd w:id="423"/>
      <w:bookmarkEnd w:id="424"/>
      <w:bookmarkEnd w:id="425"/>
    </w:p>
    <w:p>
      <w:pPr>
        <w:widowControl/>
        <w:spacing w:after="240" w:line="360" w:lineRule="auto"/>
        <w:jc w:val="center"/>
        <w:rPr>
          <w:rFonts w:hint="eastAsia" w:ascii="宋体" w:hAnsi="宋体" w:eastAsia="宋体" w:cs="宋体"/>
          <w:b/>
          <w:color w:val="auto"/>
          <w:kern w:val="0"/>
          <w:sz w:val="24"/>
          <w:highlight w:val="none"/>
        </w:rPr>
      </w:pPr>
      <w:bookmarkStart w:id="426" w:name="_Toc499739991"/>
      <w:r>
        <w:rPr>
          <w:rFonts w:hint="eastAsia" w:ascii="宋体" w:hAnsi="宋体" w:eastAsia="宋体" w:cs="宋体"/>
          <w:b/>
          <w:color w:val="auto"/>
          <w:kern w:val="0"/>
          <w:sz w:val="24"/>
          <w:highlight w:val="none"/>
        </w:rPr>
        <w:t>监狱企业证明函</w:t>
      </w:r>
    </w:p>
    <w:p>
      <w:pPr>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监狱企业参加政府采购活动时，应当提供由省级以上监狱管理局、戒毒管理局（含新疆生产建设兵团）出具的属于监狱企业的证明文件。</w:t>
      </w:r>
    </w:p>
    <w:p>
      <w:pPr>
        <w:pStyle w:val="29"/>
        <w:rPr>
          <w:rFonts w:hint="eastAsia"/>
          <w:color w:val="auto"/>
          <w:highlight w:val="none"/>
        </w:rPr>
      </w:pPr>
    </w:p>
    <w:p>
      <w:pPr>
        <w:spacing w:line="360" w:lineRule="auto"/>
        <w:rPr>
          <w:rFonts w:hint="eastAsia" w:ascii="宋体" w:hAnsi="宋体"/>
          <w:color w:val="auto"/>
          <w:sz w:val="24"/>
          <w:szCs w:val="24"/>
          <w:highlight w:val="none"/>
        </w:rPr>
      </w:pPr>
    </w:p>
    <w:p>
      <w:pPr>
        <w:spacing w:line="360" w:lineRule="auto"/>
        <w:rPr>
          <w:rFonts w:hint="eastAsia" w:ascii="宋体" w:hAnsi="宋体" w:cs="宋体"/>
          <w:b/>
          <w:color w:val="auto"/>
          <w:sz w:val="32"/>
          <w:szCs w:val="32"/>
          <w:highlight w:val="none"/>
        </w:rPr>
      </w:pPr>
    </w:p>
    <w:p>
      <w:pPr>
        <w:snapToGrid w:val="0"/>
        <w:spacing w:line="360" w:lineRule="auto"/>
        <w:rPr>
          <w:rFonts w:hint="eastAsia" w:ascii="宋体" w:hAnsi="宋体" w:cs="宋体"/>
          <w:b/>
          <w:color w:val="auto"/>
          <w:sz w:val="24"/>
          <w:highlight w:val="none"/>
        </w:rPr>
      </w:pPr>
      <w:bookmarkStart w:id="427" w:name="_Toc22304"/>
      <w:bookmarkStart w:id="428" w:name="_Toc14450"/>
      <w:r>
        <w:rPr>
          <w:rFonts w:hint="eastAsia" w:ascii="宋体" w:hAnsi="宋体" w:cs="宋体"/>
          <w:b/>
          <w:color w:val="auto"/>
          <w:sz w:val="24"/>
          <w:highlight w:val="none"/>
        </w:rPr>
        <w:br w:type="page"/>
      </w:r>
      <w:r>
        <w:rPr>
          <w:rFonts w:hint="eastAsia" w:ascii="宋体" w:hAnsi="宋体" w:cs="宋体"/>
          <w:b/>
          <w:color w:val="auto"/>
          <w:sz w:val="24"/>
          <w:highlight w:val="none"/>
        </w:rPr>
        <w:t>附件三</w:t>
      </w:r>
      <w:bookmarkEnd w:id="426"/>
      <w:bookmarkEnd w:id="427"/>
      <w:bookmarkEnd w:id="428"/>
    </w:p>
    <w:p>
      <w:pPr>
        <w:widowControl/>
        <w:spacing w:after="240" w:line="36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残疾人福利性单位声明函格式</w:t>
      </w:r>
    </w:p>
    <w:p>
      <w:pPr>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szCs w:val="24"/>
          <w:highlight w:val="none"/>
          <w:u w:val="single"/>
          <w:lang w:bidi="ar"/>
        </w:rPr>
        <w:t xml:space="preserve">   项目名称       （</w:t>
      </w:r>
      <w:r>
        <w:rPr>
          <w:rFonts w:hint="eastAsia" w:ascii="宋体" w:hAnsi="宋体" w:cs="宋体"/>
          <w:color w:val="auto"/>
          <w:sz w:val="24"/>
          <w:szCs w:val="24"/>
          <w:highlight w:val="none"/>
          <w:lang w:bidi="ar"/>
        </w:rPr>
        <w:t>项目编号：____）采购活动提供本单位制造的货物（由本单位承担工程/提供服务），或者提供其他残疾人福利性单位制造的货物（不包括使用非残疾人福利性单位注册商标的货物）。</w:t>
      </w:r>
    </w:p>
    <w:p>
      <w:pPr>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本单位对上述声明的真实性负责。如有虚假，将依法承担相应责任。</w:t>
      </w:r>
    </w:p>
    <w:p>
      <w:pPr>
        <w:spacing w:line="500" w:lineRule="exact"/>
        <w:ind w:firstLine="480" w:firstLineChars="200"/>
        <w:rPr>
          <w:rFonts w:hint="eastAsia" w:ascii="宋体" w:hAnsi="宋体" w:cs="宋体"/>
          <w:color w:val="auto"/>
          <w:sz w:val="24"/>
          <w:szCs w:val="24"/>
          <w:highlight w:val="none"/>
        </w:rPr>
      </w:pPr>
    </w:p>
    <w:p>
      <w:pPr>
        <w:tabs>
          <w:tab w:val="left" w:pos="5674"/>
        </w:tabs>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供应商：</w:t>
      </w:r>
      <w:r>
        <w:rPr>
          <w:rFonts w:hint="eastAsia" w:ascii="宋体" w:hAnsi="宋体" w:cs="宋体"/>
          <w:color w:val="auto"/>
          <w:sz w:val="24"/>
          <w:szCs w:val="24"/>
          <w:highlight w:val="none"/>
          <w:u w:val="single"/>
          <w:lang w:bidi="ar"/>
        </w:rPr>
        <w:t>名称</w:t>
      </w:r>
      <w:r>
        <w:rPr>
          <w:rFonts w:hint="eastAsia" w:ascii="宋体" w:hAnsi="宋体" w:cs="宋体"/>
          <w:color w:val="auto"/>
          <w:sz w:val="24"/>
          <w:szCs w:val="24"/>
          <w:highlight w:val="none"/>
          <w:lang w:bidi="ar"/>
        </w:rPr>
        <w:t>（加盖公章）</w:t>
      </w:r>
    </w:p>
    <w:p>
      <w:pPr>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法定代表人或授权代表：（签字或盖章）</w:t>
      </w:r>
    </w:p>
    <w:p>
      <w:pPr>
        <w:tabs>
          <w:tab w:val="left" w:pos="5674"/>
        </w:tabs>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日　期：　　年　月　日</w:t>
      </w:r>
    </w:p>
    <w:p>
      <w:pPr>
        <w:tabs>
          <w:tab w:val="left" w:pos="5674"/>
        </w:tabs>
        <w:spacing w:line="500" w:lineRule="exact"/>
        <w:ind w:firstLine="480" w:firstLineChars="200"/>
        <w:rPr>
          <w:rFonts w:hint="eastAsia" w:ascii="宋体" w:hAnsi="宋体" w:cs="宋体"/>
          <w:color w:val="auto"/>
          <w:sz w:val="24"/>
          <w:szCs w:val="24"/>
          <w:highlight w:val="none"/>
        </w:rPr>
      </w:pPr>
    </w:p>
    <w:p>
      <w:pPr>
        <w:tabs>
          <w:tab w:val="left" w:pos="5674"/>
        </w:tabs>
        <w:ind w:firstLine="566"/>
        <w:rPr>
          <w:rFonts w:hint="eastAsia" w:ascii="宋体" w:hAnsi="宋体" w:cs="宋体"/>
          <w:color w:val="auto"/>
          <w:sz w:val="24"/>
          <w:szCs w:val="24"/>
          <w:highlight w:val="none"/>
        </w:rPr>
      </w:pPr>
      <w:r>
        <w:rPr>
          <w:rFonts w:hint="eastAsia" w:ascii="宋体" w:hAnsi="宋体" w:cs="宋体"/>
          <w:b/>
          <w:color w:val="auto"/>
          <w:sz w:val="24"/>
          <w:szCs w:val="24"/>
          <w:highlight w:val="none"/>
          <w:lang w:bidi="ar"/>
        </w:rPr>
        <w:t>备注：</w:t>
      </w:r>
      <w:r>
        <w:rPr>
          <w:rFonts w:hint="eastAsia" w:ascii="宋体" w:hAnsi="宋体" w:cs="宋体"/>
          <w:color w:val="auto"/>
          <w:sz w:val="24"/>
          <w:szCs w:val="24"/>
          <w:highlight w:val="none"/>
          <w:lang w:bidi="ar"/>
        </w:rPr>
        <w:t>根据《财政部 民政部 中国残疾人联合会关于促进残疾人就业政府采购政策的通知》（财库〔2017〕141号）的规定：</w:t>
      </w:r>
    </w:p>
    <w:p>
      <w:pPr>
        <w:tabs>
          <w:tab w:val="left" w:pos="5674"/>
        </w:tabs>
        <w:ind w:firstLine="566"/>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一、享受政府采购支持政策的残疾人福利性单位应当同时满足以下条件：</w:t>
      </w:r>
    </w:p>
    <w:p>
      <w:pPr>
        <w:tabs>
          <w:tab w:val="left" w:pos="5674"/>
        </w:tabs>
        <w:ind w:firstLine="566"/>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（一）安置的残疾人占本单位在职职工人数的比例不低于25%（含25%），并且安置的残疾人人数不少于10人（含10人）；</w:t>
      </w:r>
    </w:p>
    <w:p>
      <w:pPr>
        <w:tabs>
          <w:tab w:val="left" w:pos="5674"/>
        </w:tabs>
        <w:ind w:firstLine="566"/>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（二）依法与安置的每位残疾人签订了一年以上（含一年）的劳动合同或服务协议；</w:t>
      </w:r>
    </w:p>
    <w:p>
      <w:pPr>
        <w:tabs>
          <w:tab w:val="left" w:pos="5674"/>
        </w:tabs>
        <w:ind w:firstLine="566"/>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（三）为安置的每位残疾人按月足额缴纳了基本养老保险、基本医疗保险、失业保险、工伤保险和生育保险等社会保险费；</w:t>
      </w:r>
    </w:p>
    <w:p>
      <w:pPr>
        <w:tabs>
          <w:tab w:val="left" w:pos="5674"/>
        </w:tabs>
        <w:ind w:firstLine="566"/>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（四）通过银行等金融机构向安置的每位残疾人，按月支付了不低于单位所在区县适用的经省级人民政府批准的月最低工资标准的工资；</w:t>
      </w:r>
    </w:p>
    <w:p>
      <w:pPr>
        <w:tabs>
          <w:tab w:val="left" w:pos="5674"/>
        </w:tabs>
        <w:ind w:firstLine="566"/>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（五）提供本单位制造的货物、承担的工程或者服务（以下简称产品），或者提供其他残疾人福利性单位制造的货物（不包括使用非残疾人福利性单位注册商标的货物）。</w:t>
      </w:r>
    </w:p>
    <w:p>
      <w:pPr>
        <w:tabs>
          <w:tab w:val="left" w:pos="5674"/>
        </w:tabs>
        <w:ind w:firstLine="566"/>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tabs>
          <w:tab w:val="left" w:pos="5674"/>
        </w:tabs>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二、中标、成交供应商为残疾人福利性单位的，采购人或者其委托的采购代理机构应当随中标、成交结果同时公告其《残疾人福利性单位声明函》，接受社会监督。</w:t>
      </w:r>
    </w:p>
    <w:p>
      <w:pPr>
        <w:spacing w:after="312" w:afterLines="100" w:line="360" w:lineRule="auto"/>
        <w:jc w:val="left"/>
        <w:rPr>
          <w:rFonts w:hint="eastAsia" w:ascii="宋体" w:hAnsi="宋体"/>
          <w:b/>
          <w:color w:val="auto"/>
          <w:sz w:val="28"/>
          <w:szCs w:val="28"/>
          <w:highlight w:val="none"/>
        </w:rPr>
      </w:pPr>
    </w:p>
    <w:p>
      <w:pPr>
        <w:widowControl/>
        <w:spacing w:line="480" w:lineRule="exact"/>
        <w:jc w:val="center"/>
        <w:rPr>
          <w:rFonts w:hint="eastAsia" w:asciiTheme="minorEastAsia" w:hAnsiTheme="minorEastAsia" w:eastAsiaTheme="minorEastAsia" w:cstheme="minorEastAsia"/>
          <w:b/>
          <w:bCs/>
          <w:color w:val="auto"/>
          <w:kern w:val="0"/>
          <w:sz w:val="28"/>
          <w:szCs w:val="28"/>
          <w:highlight w:val="none"/>
        </w:rPr>
      </w:pPr>
      <w:r>
        <w:rPr>
          <w:rFonts w:hint="eastAsia" w:asciiTheme="minorEastAsia" w:hAnsiTheme="minorEastAsia" w:eastAsiaTheme="minorEastAsia" w:cstheme="minorEastAsia"/>
          <w:b/>
          <w:bCs/>
          <w:color w:val="auto"/>
          <w:kern w:val="0"/>
          <w:sz w:val="28"/>
          <w:szCs w:val="28"/>
          <w:highlight w:val="none"/>
        </w:rPr>
        <w:t>陕西省政府采购供应商</w:t>
      </w:r>
    </w:p>
    <w:p>
      <w:pPr>
        <w:widowControl/>
        <w:spacing w:line="480" w:lineRule="exact"/>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拒绝政府采购领域商业贿赂承诺书</w:t>
      </w:r>
    </w:p>
    <w:p>
      <w:pPr>
        <w:widowControl/>
        <w:spacing w:line="240" w:lineRule="exact"/>
        <w:ind w:firstLine="480" w:firstLineChars="200"/>
        <w:jc w:val="left"/>
        <w:rPr>
          <w:rFonts w:hint="eastAsia" w:asciiTheme="minorEastAsia" w:hAnsiTheme="minorEastAsia" w:eastAsiaTheme="minorEastAsia" w:cstheme="minorEastAsia"/>
          <w:color w:val="auto"/>
          <w:kern w:val="0"/>
          <w:sz w:val="24"/>
          <w:szCs w:val="24"/>
          <w:highlight w:val="none"/>
        </w:rPr>
      </w:pPr>
    </w:p>
    <w:p>
      <w:pPr>
        <w:widowControl/>
        <w:spacing w:line="52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 xml:space="preserve">为响应党中央、国务院关于治理政府采购领域商业贿赂行为的号召，我单位在此庄严承诺：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 xml:space="preserve">　　1、在参与政府采购活动中遵纪守法、诚信经营、公平竞标。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 xml:space="preserve">　　2、不向采购人、采购代理机构和政府采购评审专家进行任何形式的商业贿赂以谋取交易机会。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 xml:space="preserve">   3、不向政府采购采购代理机构和采购人提供虚假资质文件或采用虚假应标方式参与政府采购市场竞争并谋取成交。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 xml:space="preserve">   4、不采取“围标、陪标”等商业欺诈手段获得政府采购定单。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 xml:space="preserve">   5、不采取不正当手段低毁、排挤其他供应商。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 xml:space="preserve">   6、不在提供商品和服务时“偷梁换柱、以次充好”损害采购人的合法权益。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 xml:space="preserve">   7、不与采购人、采购代理机构政府采购评审专家或其它供应商恶意串通，进行质疑和投诉，维护政府采购市场秩序。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 xml:space="preserve">   8、尊重和接受政府采购监督管理部门的监督和政府采购代理机构采购要求，承担因违约行为给采购人造成的损失。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 xml:space="preserve">　　9、不发生其他有悖于政府采购公开、公平、公正和诚信原则的行为。 </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   </w:t>
      </w:r>
    </w:p>
    <w:p>
      <w:pPr>
        <w:widowControl/>
        <w:spacing w:line="52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p>
      <w:pPr>
        <w:widowControl/>
        <w:spacing w:line="520" w:lineRule="exact"/>
        <w:ind w:firstLine="960" w:firstLineChars="4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承诺单位：</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（盖章） </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    全权代表：</w:t>
      </w:r>
      <w:r>
        <w:rPr>
          <w:rFonts w:hint="eastAsia" w:asciiTheme="minorEastAsia" w:hAnsiTheme="minorEastAsia" w:eastAsiaTheme="minorEastAsia" w:cstheme="minorEastAsia"/>
          <w:color w:val="auto"/>
          <w:kern w:val="0"/>
          <w:sz w:val="24"/>
          <w:szCs w:val="24"/>
          <w:highlight w:val="none"/>
          <w:u w:val="single"/>
        </w:rPr>
        <w:t>　　　　　     　　　          　</w:t>
      </w:r>
      <w:r>
        <w:rPr>
          <w:rFonts w:hint="eastAsia" w:asciiTheme="minorEastAsia" w:hAnsiTheme="minorEastAsia" w:eastAsiaTheme="minorEastAsia" w:cstheme="minorEastAsia"/>
          <w:color w:val="auto"/>
          <w:kern w:val="0"/>
          <w:sz w:val="24"/>
          <w:szCs w:val="24"/>
          <w:highlight w:val="none"/>
        </w:rPr>
        <w:t xml:space="preserve">（签字） </w:t>
      </w:r>
    </w:p>
    <w:p>
      <w:pPr>
        <w:keepNext w:val="0"/>
        <w:keepLines w:val="0"/>
        <w:pageBreakBefore w:val="0"/>
        <w:widowControl w:val="0"/>
        <w:tabs>
          <w:tab w:val="left" w:pos="7735"/>
        </w:tabs>
        <w:kinsoku/>
        <w:wordWrap/>
        <w:overflowPunct/>
        <w:topLinePunct w:val="0"/>
        <w:autoSpaceDE/>
        <w:autoSpaceDN/>
        <w:bidi w:val="0"/>
        <w:adjustRightInd/>
        <w:snapToGrid/>
        <w:spacing w:line="520" w:lineRule="exact"/>
        <w:ind w:left="0" w:leftChars="0" w:right="0" w:rightChars="0" w:firstLine="960" w:firstLineChars="400"/>
        <w:jc w:val="both"/>
        <w:textAlignment w:val="auto"/>
        <w:outlineLvl w:val="9"/>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rPr>
        <w:t>地　　址：</w:t>
      </w:r>
      <w:r>
        <w:rPr>
          <w:rFonts w:hint="eastAsia" w:asciiTheme="minorEastAsia" w:hAnsiTheme="minorEastAsia" w:eastAsiaTheme="minorEastAsia" w:cstheme="minorEastAsia"/>
          <w:color w:val="auto"/>
          <w:kern w:val="0"/>
          <w:sz w:val="24"/>
          <w:szCs w:val="24"/>
          <w:highlight w:val="none"/>
          <w:u w:val="single"/>
        </w:rPr>
        <w:t>　　　　　     　　　          　</w:t>
      </w:r>
    </w:p>
    <w:p>
      <w:pPr>
        <w:widowControl/>
        <w:spacing w:line="520" w:lineRule="exact"/>
        <w:ind w:firstLine="960" w:firstLineChars="400"/>
        <w:rPr>
          <w:rFonts w:hint="eastAsia" w:asciiTheme="minorEastAsia" w:hAnsiTheme="minorEastAsia" w:eastAsiaTheme="minorEastAsia" w:cstheme="minorEastAsia"/>
          <w:color w:val="auto"/>
          <w:kern w:val="0"/>
          <w:sz w:val="24"/>
          <w:szCs w:val="24"/>
          <w:highlight w:val="none"/>
          <w:u w:val="none"/>
          <w:lang w:eastAsia="zh-CN"/>
        </w:rPr>
      </w:pPr>
      <w:r>
        <w:rPr>
          <w:rFonts w:hint="eastAsia" w:asciiTheme="minorEastAsia" w:hAnsiTheme="minorEastAsia" w:eastAsiaTheme="minorEastAsia" w:cstheme="minorEastAsia"/>
          <w:color w:val="auto"/>
          <w:kern w:val="0"/>
          <w:sz w:val="24"/>
          <w:szCs w:val="24"/>
          <w:highlight w:val="none"/>
        </w:rPr>
        <w:t>邮    编：</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rPr>
        <w:br w:type="textWrapping"/>
      </w:r>
      <w:r>
        <w:rPr>
          <w:rFonts w:hint="eastAsia" w:asciiTheme="minorEastAsia" w:hAnsiTheme="minorEastAsia" w:eastAsiaTheme="minorEastAsia" w:cstheme="minorEastAsia"/>
          <w:color w:val="auto"/>
          <w:kern w:val="0"/>
          <w:sz w:val="24"/>
          <w:szCs w:val="24"/>
          <w:highlight w:val="none"/>
        </w:rPr>
        <w:t>    电　　话：</w:t>
      </w:r>
      <w:r>
        <w:rPr>
          <w:rFonts w:hint="eastAsia" w:asciiTheme="minorEastAsia" w:hAnsiTheme="minorEastAsia" w:eastAsiaTheme="minorEastAsia" w:cstheme="minorEastAsia"/>
          <w:color w:val="auto"/>
          <w:kern w:val="0"/>
          <w:sz w:val="24"/>
          <w:szCs w:val="24"/>
          <w:highlight w:val="none"/>
          <w:u w:val="single"/>
        </w:rPr>
        <w:t>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p>
    <w:p>
      <w:pPr>
        <w:widowControl/>
        <w:spacing w:line="520" w:lineRule="exact"/>
        <w:ind w:firstLine="960" w:firstLineChars="400"/>
        <w:rPr>
          <w:rFonts w:hint="eastAsia" w:asciiTheme="minorEastAsia" w:hAnsiTheme="minorEastAsia" w:eastAsiaTheme="minorEastAsia" w:cstheme="minorEastAsia"/>
          <w:color w:val="auto"/>
          <w:kern w:val="0"/>
          <w:sz w:val="24"/>
          <w:szCs w:val="24"/>
          <w:highlight w:val="none"/>
          <w:u w:val="none"/>
          <w:lang w:eastAsia="zh-CN"/>
        </w:rPr>
      </w:pPr>
    </w:p>
    <w:p>
      <w:pPr>
        <w:rPr>
          <w:color w:val="auto"/>
          <w:highlight w:val="none"/>
        </w:rPr>
      </w:pPr>
    </w:p>
    <w:sectPr>
      <w:footerReference r:id="rId10" w:type="first"/>
      <w:footerReference r:id="rId9" w:type="default"/>
      <w:pgSz w:w="11906" w:h="16838"/>
      <w:pgMar w:top="1417" w:right="1134" w:bottom="1417" w:left="1417" w:header="1134" w:footer="992" w:gutter="0"/>
      <w:pgBorders>
        <w:top w:val="none" w:sz="0" w:space="0"/>
        <w:left w:val="none" w:sz="0" w:space="0"/>
        <w:bottom w:val="none" w:sz="0" w:space="0"/>
        <w:right w:val="none" w:sz="0" w:space="0"/>
      </w:pgBorders>
      <w:pgNumType w:fmt="decimal"/>
      <w:cols w:space="720" w:num="1"/>
      <w:titlePg/>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opperplate Gothic Bold">
    <w:altName w:val="Segoe Print"/>
    <w:panose1 w:val="020E0705020206020404"/>
    <w:charset w:val="00"/>
    <w:family w:val="swiss"/>
    <w:pitch w:val="default"/>
    <w:sig w:usb0="00000000" w:usb1="00000000" w:usb2="00000000" w:usb3="00000000" w:csb0="00000001" w:csb1="00000000"/>
  </w:font>
  <w:font w:name="Consolas">
    <w:panose1 w:val="020B0609020204030204"/>
    <w:charset w:val="00"/>
    <w:family w:val="modern"/>
    <w:pitch w:val="default"/>
    <w:sig w:usb0="E10002FF" w:usb1="4000FCFF" w:usb2="00000009" w:usb3="00000000" w:csb0="6000019F" w:csb1="DFD70000"/>
  </w:font>
  <w:font w:name="新宋体">
    <w:panose1 w:val="02010609030101010101"/>
    <w:charset w:val="86"/>
    <w:family w:val="auto"/>
    <w:pitch w:val="default"/>
    <w:sig w:usb0="000000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AGYXIQ+Frutiger-Cn">
    <w:altName w:val="宋体"/>
    <w:panose1 w:val="00000000000000000000"/>
    <w:charset w:val="86"/>
    <w:family w:val="swiss"/>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hint="eastAsia" w:eastAsia="宋体"/>
        <w:lang w:val="en-US" w:eastAsia="zh-CN"/>
      </w:rPr>
    </w:pPr>
    <w:r>
      <w:rPr>
        <w:rFonts w:hint="eastAsia"/>
        <w:lang w:val="en-US" w:eastAsia="zh-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single" w:color="auto" w:sz="4" w:space="1"/>
        <w:left w:val="none" w:color="auto" w:sz="0" w:space="4"/>
        <w:bottom w:val="none" w:color="auto" w:sz="0" w:space="1"/>
        <w:right w:val="none" w:color="auto" w:sz="0" w:space="4"/>
        <w:between w:val="none" w:color="auto" w:sz="0" w:space="0"/>
      </w:pBdr>
      <w:tabs>
        <w:tab w:val="left" w:pos="5646"/>
      </w:tabs>
      <w:jc w:val="both"/>
    </w:pPr>
    <w:r>
      <w:rPr>
        <w:sz w:val="18"/>
      </w:rPr>
      <mc:AlternateContent>
        <mc:Choice Requires="wps">
          <w:drawing>
            <wp:anchor distT="0" distB="0" distL="114300" distR="114300" simplePos="0" relativeHeight="251675648"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9"/>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v:textbox>
            </v:shape>
          </w:pict>
        </mc:Fallback>
      </mc:AlternateContent>
    </w:r>
    <w:r>
      <w:rPr>
        <w:sz w:val="18"/>
        <w:szCs w:val="18"/>
      </w:rPr>
      <mc:AlternateContent>
        <mc:Choice Requires="wps">
          <w:drawing>
            <wp:anchor distT="0" distB="0" distL="114300" distR="114300" simplePos="0" relativeHeight="251666432"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24" name="文本框 20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upright="1">
                      <a:spAutoFit/>
                    </wps:bodyPr>
                  </wps:wsp>
                </a:graphicData>
              </a:graphic>
            </wp:anchor>
          </w:drawing>
        </mc:Choice>
        <mc:Fallback>
          <w:pict>
            <v:shape id="文本框 2058" o:spid="_x0000_s1026" o:spt="202" type="#_x0000_t202" style="position:absolute;left:0pt;margin-left:229.35pt;margin-top:0pt;height:144pt;width:144pt;mso-position-horizontal-relative:margin;mso-wrap-style:none;z-index:251666432;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&#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IQC4YnUAAAACAEAAA8AAAAAAAAAAQAgAAAAIgAAAGRy&#10;cy9kb3ducmV2LnhtbFBLAQIUABQAAAAIAIdO4kC5a0bQ0AEAAKsDAAAOAAAAAAAAAAEAIAAAACMB&#10;AABkcnMvZTJvRG9jLnhtbFBLBQYAAAAABgAGAFkBAABlBQ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rFonts w:hint="eastAsia"/>
        <w:sz w:val="18"/>
        <w:szCs w:val="18"/>
        <w:lang w:eastAsia="zh-CN"/>
      </w:rPr>
      <w:t>陕西中采项目管理有限公司</w:t>
    </w:r>
    <w:r>
      <w:rPr>
        <w:rFonts w:hint="eastAsia"/>
        <w:sz w:val="18"/>
        <w:szCs w:val="18"/>
      </w:rPr>
      <w:t xml:space="preserve">                            </w:t>
    </w:r>
    <w:r>
      <w:rPr>
        <w:rFonts w:hint="eastAsia"/>
        <w:sz w:val="18"/>
        <w:szCs w:val="18"/>
      </w:rPr>
      <mc:AlternateContent>
        <mc:Choice Requires="wps">
          <w:drawing>
            <wp:anchor distT="0" distB="0" distL="114300" distR="114300" simplePos="0" relativeHeight="251665408"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27" name="文本框 20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upright="1">
                      <a:spAutoFit/>
                    </wps:bodyPr>
                  </wps:wsp>
                </a:graphicData>
              </a:graphic>
            </wp:anchor>
          </w:drawing>
        </mc:Choice>
        <mc:Fallback>
          <w:pict>
            <v:shape id="文本框 2056" o:spid="_x0000_s1026" o:spt="202" type="#_x0000_t202" style="position:absolute;left:0pt;margin-left:229.35pt;margin-top:0pt;height:144pt;width:144pt;mso-position-horizontal-relative:margin;mso-wrap-style:none;z-index:251665408;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EAuGJ1AAAAAgBAAAPAAAAAAAAAAEAIAAAACIAAABk&#10;cnMvZG93bnJldi54bWxQSwECFAAUAAAACACHTuJAs0fsH9EBAACrAwAADgAAAAAAAAABACAAAAAj&#10;AQAAZHJzL2Uyb0RvYy54bWxQSwUGAAAAAAYABgBZAQAAZgU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rFonts w:hint="eastAsia"/>
        <w:sz w:val="18"/>
        <w:szCs w:val="18"/>
      </w:rPr>
      <mc:AlternateContent>
        <mc:Choice Requires="wps">
          <w:drawing>
            <wp:anchor distT="0" distB="0" distL="114300" distR="114300" simplePos="0" relativeHeight="251664384"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28" name="文本框 20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upright="1">
                      <a:spAutoFit/>
                    </wps:bodyPr>
                  </wps:wsp>
                </a:graphicData>
              </a:graphic>
            </wp:anchor>
          </w:drawing>
        </mc:Choice>
        <mc:Fallback>
          <w:pict>
            <v:shape id="文本框 2054" o:spid="_x0000_s1026" o:spt="202" type="#_x0000_t202" style="position:absolute;left:0pt;margin-left:229.35pt;margin-top:0pt;height:144pt;width:144pt;mso-position-horizontal-relative:margin;mso-wrap-style:none;z-index:251664384;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EAuGJ1AAAAAgBAAAPAAAAAAAAAAEAIAAAACIAAABk&#10;cnMvZG93bnJldi54bWxQSwECFAAUAAAACACHTuJAjz/5ENEBAACrAwAADgAAAAAAAAABACAAAAAj&#10;AQAAZHJzL2Uyb0RvYy54bWxQSwUGAAAAAAYABgBZAQAAZgU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rFonts w:hint="eastAsia"/>
        <w:sz w:val="18"/>
        <w:szCs w:val="18"/>
      </w:rPr>
      <mc:AlternateContent>
        <mc:Choice Requires="wps">
          <w:drawing>
            <wp:anchor distT="0" distB="0" distL="114300" distR="114300" simplePos="0" relativeHeight="251663360"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31" name="文本框 20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upright="1">
                      <a:spAutoFit/>
                    </wps:bodyPr>
                  </wps:wsp>
                </a:graphicData>
              </a:graphic>
            </wp:anchor>
          </w:drawing>
        </mc:Choice>
        <mc:Fallback>
          <w:pict>
            <v:shape id="文本框 2053" o:spid="_x0000_s1026" o:spt="202" type="#_x0000_t202" style="position:absolute;left:0pt;margin-left:229.35pt;margin-top:0pt;height:144pt;width:144pt;mso-position-horizontal-relative:margin;mso-wrap-style:none;z-index:251663360;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&#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IQC4YnUAAAACAEAAA8AAAAAAAAAAQAgAAAAIgAAAGRy&#10;cy9kb3ducmV2LnhtbFBLAQIUABQAAAAIAIdO4kD25LYh0AEAAKsDAAAOAAAAAAAAAAEAIAAAACMB&#10;AABkcnMvZTJvRG9jLnhtbFBLBQYAAAAABgAGAFkBAABlBQ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rFonts w:hint="eastAsia"/>
        <w:sz w:val="18"/>
        <w:szCs w:val="18"/>
      </w:rPr>
      <mc:AlternateContent>
        <mc:Choice Requires="wps">
          <w:drawing>
            <wp:anchor distT="0" distB="0" distL="114300" distR="114300" simplePos="0" relativeHeight="251662336" behindDoc="0" locked="0" layoutInCell="1" allowOverlap="1">
              <wp:simplePos x="0" y="0"/>
              <wp:positionH relativeFrom="margin">
                <wp:posOffset>2821940</wp:posOffset>
              </wp:positionH>
              <wp:positionV relativeFrom="paragraph">
                <wp:posOffset>0</wp:posOffset>
              </wp:positionV>
              <wp:extent cx="1828800" cy="1828800"/>
              <wp:effectExtent l="0" t="0" r="0" b="0"/>
              <wp:wrapNone/>
              <wp:docPr id="32"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upright="1">
                      <a:spAutoFit/>
                    </wps:bodyPr>
                  </wps:wsp>
                </a:graphicData>
              </a:graphic>
            </wp:anchor>
          </w:drawing>
        </mc:Choice>
        <mc:Fallback>
          <w:pict>
            <v:shape id="文本框 2049" o:spid="_x0000_s1026" o:spt="202" type="#_x0000_t202" style="position:absolute;left:0pt;margin-left:222.2pt;margin-top:0pt;height:144pt;width:144pt;mso-position-horizontal-relative:margin;mso-wrap-style:none;z-index:251662336;mso-width-relative:page;mso-height-relative:page;" filled="f" stroked="f" coordsize="21600,21600" o:gfxdata="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&#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LZQSHTAAAACAEAAA8AAAAAAAAAAQAgAAAAIgAAAGRy&#10;cy9kb3ducmV2LnhtbFBLAQIUABQAAAAIAIdO4kCztqkD0QEAAKsDAAAOAAAAAAAAAAEAIAAAACIB&#10;AABkcnMvZTJvRG9jLnhtbFBLBQYAAAAABgAGAFkBAABlBQ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single" w:color="auto" w:sz="4" w:space="1"/>
        <w:left w:val="none" w:color="auto" w:sz="0" w:space="4"/>
        <w:bottom w:val="none" w:color="auto" w:sz="0" w:space="1"/>
        <w:right w:val="none" w:color="auto" w:sz="0" w:space="4"/>
        <w:between w:val="none" w:color="auto" w:sz="0" w:space="0"/>
      </w:pBdr>
      <w:tabs>
        <w:tab w:val="left" w:pos="5646"/>
      </w:tabs>
      <w:jc w:val="both"/>
    </w:pPr>
    <w:r>
      <w:rPr>
        <w:sz w:val="18"/>
      </w:rPr>
      <mc:AlternateContent>
        <mc:Choice Requires="wps">
          <w:drawing>
            <wp:anchor distT="0" distB="0" distL="114300" distR="114300" simplePos="0" relativeHeight="251682816"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9"/>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23</w:t>
                    </w:r>
                    <w:r>
                      <w:rPr>
                        <w:rFonts w:hint="eastAsia"/>
                        <w:lang w:eastAsia="zh-CN"/>
                      </w:rPr>
                      <w:fldChar w:fldCharType="end"/>
                    </w:r>
                    <w:r>
                      <w:rPr>
                        <w:rFonts w:hint="eastAsia"/>
                        <w:lang w:eastAsia="zh-CN"/>
                      </w:rPr>
                      <w:t xml:space="preserve"> 页</w:t>
                    </w:r>
                  </w:p>
                </w:txbxContent>
              </v:textbox>
            </v:shape>
          </w:pict>
        </mc:Fallback>
      </mc:AlternateContent>
    </w:r>
    <w:r>
      <w:rPr>
        <w:sz w:val="18"/>
        <w:szCs w:val="18"/>
      </w:rPr>
      <mc:AlternateContent>
        <mc:Choice Requires="wps">
          <w:drawing>
            <wp:anchor distT="0" distB="0" distL="114300" distR="114300" simplePos="0" relativeHeight="251671552"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41" name="文本框 20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upright="1">
                      <a:spAutoFit/>
                    </wps:bodyPr>
                  </wps:wsp>
                </a:graphicData>
              </a:graphic>
            </wp:anchor>
          </w:drawing>
        </mc:Choice>
        <mc:Fallback>
          <w:pict>
            <v:shape id="文本框 2058" o:spid="_x0000_s1026" o:spt="202" type="#_x0000_t202" style="position:absolute;left:0pt;margin-left:229.35pt;margin-top:0pt;height:144pt;width:144pt;mso-position-horizontal-relative:margin;mso-wrap-style:none;z-index:251671552;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EAuGJ1AAAAAgBAAAPAAAAAAAAAAEAIAAAACIAAABk&#10;cnMvZG93bnJldi54bWxQSwECFAAUAAAACACHTuJAFsuTTNEBAACrAwAADgAAAAAAAAABACAAAAAj&#10;AQAAZHJzL2Uyb0RvYy54bWxQSwUGAAAAAAYABgBZAQAAZgU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rFonts w:hint="eastAsia"/>
        <w:sz w:val="18"/>
        <w:szCs w:val="18"/>
        <w:lang w:eastAsia="zh-CN"/>
      </w:rPr>
      <w:t>陕西中采项目管理有限公司</w:t>
    </w:r>
    <w:r>
      <w:rPr>
        <w:rFonts w:hint="eastAsia"/>
        <w:sz w:val="18"/>
        <w:szCs w:val="18"/>
      </w:rPr>
      <w:t xml:space="preserve">                            </w:t>
    </w:r>
    <w:r>
      <w:rPr>
        <w:rFonts w:hint="eastAsia"/>
        <w:sz w:val="18"/>
        <w:szCs w:val="18"/>
      </w:rPr>
      <mc:AlternateContent>
        <mc:Choice Requires="wps">
          <w:drawing>
            <wp:anchor distT="0" distB="0" distL="114300" distR="114300" simplePos="0" relativeHeight="251670528"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42" name="文本框 20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upright="1">
                      <a:spAutoFit/>
                    </wps:bodyPr>
                  </wps:wsp>
                </a:graphicData>
              </a:graphic>
            </wp:anchor>
          </w:drawing>
        </mc:Choice>
        <mc:Fallback>
          <w:pict>
            <v:shape id="文本框 2056" o:spid="_x0000_s1026" o:spt="202" type="#_x0000_t202" style="position:absolute;left:0pt;margin-left:229.35pt;margin-top:0pt;height:144pt;width:144pt;mso-position-horizontal-relative:margin;mso-wrap-style:none;z-index:251670528;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EAuGJ1AAAAAgBAAAPAAAAAAAAAAEAIAAAACIAAABk&#10;cnMvZG93bnJldi54bWxQSwECFAAUAAAACACHTuJAHOc5g9EBAACrAwAADgAAAAAAAAABACAAAAAj&#10;AQAAZHJzL2Uyb0RvYy54bWxQSwUGAAAAAAYABgBZAQAAZgU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rFonts w:hint="eastAsia"/>
        <w:sz w:val="18"/>
        <w:szCs w:val="18"/>
      </w:rPr>
      <mc:AlternateContent>
        <mc:Choice Requires="wps">
          <w:drawing>
            <wp:anchor distT="0" distB="0" distL="114300" distR="114300" simplePos="0" relativeHeight="251669504"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43" name="文本框 20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upright="1">
                      <a:spAutoFit/>
                    </wps:bodyPr>
                  </wps:wsp>
                </a:graphicData>
              </a:graphic>
            </wp:anchor>
          </w:drawing>
        </mc:Choice>
        <mc:Fallback>
          <w:pict>
            <v:shape id="文本框 2054" o:spid="_x0000_s1026" o:spt="202" type="#_x0000_t202" style="position:absolute;left:0pt;margin-left:229.35pt;margin-top:0pt;height:144pt;width:144pt;mso-position-horizontal-relative:margin;mso-wrap-style:none;z-index:251669504;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hALhidQAAAAIAQAADwAAAAAAAAABACAAAAAiAAAA&#10;ZHJzL2Rvd25yZXYueG1sUEsBAhQAFAAAAAgAh07iQL7IS6nSAQAAqwMAAA4AAAAAAAAAAQAgAAAA&#10;IwEAAGRycy9lMm9Eb2MueG1sUEsFBgAAAAAGAAYAWQEAAGcFA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rFonts w:hint="eastAsia"/>
        <w:sz w:val="18"/>
        <w:szCs w:val="18"/>
      </w:rPr>
      <mc:AlternateContent>
        <mc:Choice Requires="wps">
          <w:drawing>
            <wp:anchor distT="0" distB="0" distL="114300" distR="114300" simplePos="0" relativeHeight="251668480"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44" name="文本框 20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upright="1">
                      <a:spAutoFit/>
                    </wps:bodyPr>
                  </wps:wsp>
                </a:graphicData>
              </a:graphic>
            </wp:anchor>
          </w:drawing>
        </mc:Choice>
        <mc:Fallback>
          <w:pict>
            <v:shape id="文本框 2053" o:spid="_x0000_s1026" o:spt="202" type="#_x0000_t202" style="position:absolute;left:0pt;margin-left:229.35pt;margin-top:0pt;height:144pt;width:144pt;mso-position-horizontal-relative:margin;mso-wrap-style:none;z-index:251668480;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hALhidQAAAAIAQAADwAAAAAAAAABACAAAAAiAAAA&#10;ZHJzL2Rvd25yZXYueG1sUEsBAhQAFAAAAAgAh07iQIFStjTSAQAAqwMAAA4AAAAAAAAAAQAgAAAA&#10;IwEAAGRycy9lMm9Eb2MueG1sUEsFBgAAAAAGAAYAWQEAAGcFA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rFonts w:hint="eastAsia"/>
        <w:sz w:val="18"/>
        <w:szCs w:val="18"/>
      </w:rPr>
      <mc:AlternateContent>
        <mc:Choice Requires="wps">
          <w:drawing>
            <wp:anchor distT="0" distB="0" distL="114300" distR="114300" simplePos="0" relativeHeight="251667456" behindDoc="0" locked="0" layoutInCell="1" allowOverlap="1">
              <wp:simplePos x="0" y="0"/>
              <wp:positionH relativeFrom="margin">
                <wp:posOffset>2821940</wp:posOffset>
              </wp:positionH>
              <wp:positionV relativeFrom="paragraph">
                <wp:posOffset>0</wp:posOffset>
              </wp:positionV>
              <wp:extent cx="1828800" cy="1828800"/>
              <wp:effectExtent l="0" t="0" r="0" b="0"/>
              <wp:wrapNone/>
              <wp:docPr id="45"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upright="1">
                      <a:spAutoFit/>
                    </wps:bodyPr>
                  </wps:wsp>
                </a:graphicData>
              </a:graphic>
            </wp:anchor>
          </w:drawing>
        </mc:Choice>
        <mc:Fallback>
          <w:pict>
            <v:shape id="文本框 2049" o:spid="_x0000_s1026" o:spt="202" type="#_x0000_t202" style="position:absolute;left:0pt;margin-left:222.2pt;margin-top:0pt;height:144pt;width:144pt;mso-position-horizontal-relative:margin;mso-wrap-style:none;z-index:251667456;mso-width-relative:page;mso-height-relative:page;" filled="f" stroked="f" coordsize="21600,21600" o:gfxdata="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&#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LZQSHTAAAACAEAAA8AAAAAAAAAAQAgAAAAIgAAAGRy&#10;cy9kb3ducmV2LnhtbFBLAQIUABQAAAAIAIdO4kD2cdMa0QEAAKsDAAAOAAAAAAAAAAEAIAAAACIB&#10;AABkcnMvZTJvRG9jLnhtbFBLBQYAAAAABgAGAFkBAABlBQAAAAA=&#10;">
              <v:fill on="f" focussize="0,0"/>
              <v:stroke on="f"/>
              <v:imagedata o:title=""/>
              <o:lock v:ext="edit" aspectratio="f"/>
              <v:textbox inset="0mm,0mm,0mm,0mm" style="mso-fit-shape-to-text:t;">
                <w:txbxContent>
                  <w:p>
                    <w:pPr>
                      <w:snapToGrid w:val="0"/>
                      <w:rPr>
                        <w:sz w:val="18"/>
                      </w:rPr>
                    </w:pPr>
                  </w:p>
                </w:txbxContent>
              </v:textbox>
            </v:shape>
          </w:pict>
        </mc:Fallback>
      </mc:AlternateContent>
    </w:r>
  </w:p>
  <w:p>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single" w:color="auto" w:sz="4" w:space="1"/>
        <w:left w:val="none" w:color="auto" w:sz="0" w:space="4"/>
        <w:bottom w:val="none" w:color="auto" w:sz="0" w:space="1"/>
        <w:right w:val="none" w:color="auto" w:sz="0" w:space="4"/>
        <w:between w:val="none" w:color="auto" w:sz="0" w:space="0"/>
      </w:pBdr>
      <w:tabs>
        <w:tab w:val="left" w:pos="5646"/>
      </w:tabs>
      <w:jc w:val="both"/>
    </w:pPr>
    <w:r>
      <w:rPr>
        <w:sz w:val="18"/>
      </w:rPr>
      <mc:AlternateContent>
        <mc:Choice Requires="wps">
          <w:drawing>
            <wp:anchor distT="0" distB="0" distL="114300" distR="114300" simplePos="0" relativeHeight="251683840"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9"/>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r>
                      <w:rPr>
                        <w:rFonts w:hint="eastAsia"/>
                        <w:lang w:eastAsia="zh-CN"/>
                      </w:rPr>
                      <w:t xml:space="preserve"> 页</w:t>
                    </w:r>
                  </w:p>
                </w:txbxContent>
              </v:textbox>
            </v:shape>
          </w:pict>
        </mc:Fallback>
      </mc:AlternateContent>
    </w:r>
    <w:r>
      <w:rPr>
        <w:sz w:val="18"/>
        <w:szCs w:val="18"/>
      </w:rPr>
      <mc:AlternateContent>
        <mc:Choice Requires="wps">
          <w:drawing>
            <wp:anchor distT="0" distB="0" distL="114300" distR="114300" simplePos="0" relativeHeight="251676672"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47" name="文本框 20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upright="1">
                      <a:spAutoFit/>
                    </wps:bodyPr>
                  </wps:wsp>
                </a:graphicData>
              </a:graphic>
            </wp:anchor>
          </w:drawing>
        </mc:Choice>
        <mc:Fallback>
          <w:pict>
            <v:shape id="文本框 2058" o:spid="_x0000_s1026" o:spt="202" type="#_x0000_t202" style="position:absolute;left:0pt;margin-left:229.35pt;margin-top:0pt;height:144pt;width:144pt;mso-position-horizontal-relative:margin;mso-wrap-style:none;z-index:251676672;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EAuGJ1AAAAAgBAAAPAAAAAAAAAAEAIAAAACIAAABk&#10;cnMvZG93bnJldi54bWxQSwECFAAUAAAACACHTuJAQFgdWNEBAACrAwAADgAAAAAAAAABACAAAAAj&#10;AQAAZHJzL2Uyb0RvYy54bWxQSwUGAAAAAAYABgBZAQAAZgU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rFonts w:hint="eastAsia"/>
        <w:sz w:val="18"/>
        <w:szCs w:val="18"/>
        <w:lang w:eastAsia="zh-CN"/>
      </w:rPr>
      <w:t>陕西中采项目管理有限公司</w:t>
    </w:r>
    <w:r>
      <w:rPr>
        <w:rFonts w:hint="eastAsia"/>
        <w:sz w:val="18"/>
        <w:szCs w:val="18"/>
      </w:rPr>
      <w:t xml:space="preserve">                            </w:t>
    </w:r>
    <w:r>
      <w:rPr>
        <w:rFonts w:hint="eastAsia"/>
        <w:sz w:val="18"/>
        <w:szCs w:val="18"/>
      </w:rPr>
      <mc:AlternateContent>
        <mc:Choice Requires="wps">
          <w:drawing>
            <wp:anchor distT="0" distB="0" distL="114300" distR="114300" simplePos="0" relativeHeight="251675648"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48" name="文本框 20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upright="1">
                      <a:spAutoFit/>
                    </wps:bodyPr>
                  </wps:wsp>
                </a:graphicData>
              </a:graphic>
            </wp:anchor>
          </w:drawing>
        </mc:Choice>
        <mc:Fallback>
          <w:pict>
            <v:shape id="文本框 2056" o:spid="_x0000_s1026" o:spt="202" type="#_x0000_t202" style="position:absolute;left:0pt;margin-left:229.35pt;margin-top:0pt;height:144pt;width:144pt;mso-position-horizontal-relative:margin;mso-wrap-style:none;z-index:251675648;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&#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IQC4YnUAAAACAEAAA8AAAAAAAAAAQAgAAAAIgAAAGRy&#10;cy9kb3ducmV2LnhtbFBLAQIUABQAAAAIAIdO4kDmUqq+0AEAAKsDAAAOAAAAAAAAAAEAIAAAACMB&#10;AABkcnMvZTJvRG9jLnhtbFBLBQYAAAAABgAGAFkBAABlBQ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rFonts w:hint="eastAsia"/>
        <w:sz w:val="18"/>
        <w:szCs w:val="18"/>
      </w:rPr>
      <mc:AlternateContent>
        <mc:Choice Requires="wps">
          <w:drawing>
            <wp:anchor distT="0" distB="0" distL="114300" distR="114300" simplePos="0" relativeHeight="251674624"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49" name="文本框 20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upright="1">
                      <a:spAutoFit/>
                    </wps:bodyPr>
                  </wps:wsp>
                </a:graphicData>
              </a:graphic>
            </wp:anchor>
          </w:drawing>
        </mc:Choice>
        <mc:Fallback>
          <w:pict>
            <v:shape id="文本框 2054" o:spid="_x0000_s1026" o:spt="202" type="#_x0000_t202" style="position:absolute;left:0pt;margin-left:229.35pt;margin-top:0pt;height:144pt;width:144pt;mso-position-horizontal-relative:margin;mso-wrap-style:none;z-index:251674624;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EAuGJ1AAAAAgBAAAPAAAAAAAAAAEAIAAAACIAAABk&#10;cnMvZG93bnJldi54bWxQSwECFAAUAAAACACHTuJARH3YlNEBAACrAwAADgAAAAAAAAABACAAAAAj&#10;AQAAZHJzL2Uyb0RvYy54bWxQSwUGAAAAAAYABgBZAQAAZgU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rFonts w:hint="eastAsia"/>
        <w:sz w:val="18"/>
        <w:szCs w:val="18"/>
      </w:rPr>
      <mc:AlternateContent>
        <mc:Choice Requires="wps">
          <w:drawing>
            <wp:anchor distT="0" distB="0" distL="114300" distR="114300" simplePos="0" relativeHeight="251673600"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50" name="文本框 20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upright="1">
                      <a:spAutoFit/>
                    </wps:bodyPr>
                  </wps:wsp>
                </a:graphicData>
              </a:graphic>
            </wp:anchor>
          </w:drawing>
        </mc:Choice>
        <mc:Fallback>
          <w:pict>
            <v:shape id="文本框 2053" o:spid="_x0000_s1026" o:spt="202" type="#_x0000_t202" style="position:absolute;left:0pt;margin-left:229.35pt;margin-top:0pt;height:144pt;width:144pt;mso-position-horizontal-relative:margin;mso-wrap-style:none;z-index:251673600;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EAuGJ1AAAAAgBAAAPAAAAAAAAAAEAIAAAACIAAABk&#10;cnMvZG93bnJldi54bWxQSwECFAAUAAAACACHTuJAPaaXpdEBAACrAwAADgAAAAAAAAABACAAAAAj&#10;AQAAZHJzL2Uyb0RvYy54bWxQSwUGAAAAAAYABgBZAQAAZgU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rFonts w:hint="eastAsia"/>
        <w:sz w:val="18"/>
        <w:szCs w:val="18"/>
      </w:rPr>
      <mc:AlternateContent>
        <mc:Choice Requires="wps">
          <w:drawing>
            <wp:anchor distT="0" distB="0" distL="114300" distR="114300" simplePos="0" relativeHeight="251672576" behindDoc="0" locked="0" layoutInCell="1" allowOverlap="1">
              <wp:simplePos x="0" y="0"/>
              <wp:positionH relativeFrom="margin">
                <wp:posOffset>2821940</wp:posOffset>
              </wp:positionH>
              <wp:positionV relativeFrom="paragraph">
                <wp:posOffset>0</wp:posOffset>
              </wp:positionV>
              <wp:extent cx="1828800" cy="1828800"/>
              <wp:effectExtent l="0" t="0" r="0" b="0"/>
              <wp:wrapNone/>
              <wp:docPr id="51"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upright="1">
                      <a:spAutoFit/>
                    </wps:bodyPr>
                  </wps:wsp>
                </a:graphicData>
              </a:graphic>
            </wp:anchor>
          </w:drawing>
        </mc:Choice>
        <mc:Fallback>
          <w:pict>
            <v:shape id="文本框 2049" o:spid="_x0000_s1026" o:spt="202" type="#_x0000_t202" style="position:absolute;left:0pt;margin-left:222.2pt;margin-top:0pt;height:144pt;width:144pt;mso-position-horizontal-relative:margin;mso-wrap-style:none;z-index:251672576;mso-width-relative:page;mso-height-relative:page;" filled="f" stroked="f" coordsize="21600,21600" o:gfxdata="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&#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LZQSHTAAAACAEAAA8AAAAAAAAAAQAgAAAAIgAAAGRy&#10;cy9kb3ducmV2LnhtbFBLAQIUABQAAAAIAIdO4kBKhfKL0QEAAKsDAAAOAAAAAAAAAAEAIAAAACIB&#10;AABkcnMvZTJvRG9jLnhtbFBLBQYAAAAABgAGAFkBAABlBQAAAAA=&#10;">
              <v:fill on="f" focussize="0,0"/>
              <v:stroke on="f"/>
              <v:imagedata o:title=""/>
              <o:lock v:ext="edit" aspectratio="f"/>
              <v:textbox inset="0mm,0mm,0mm,0mm" style="mso-fit-shape-to-text:t;">
                <w:txbxContent>
                  <w:p>
                    <w:pPr>
                      <w:snapToGrid w:val="0"/>
                      <w:rPr>
                        <w:sz w:val="18"/>
                      </w:rPr>
                    </w:pPr>
                  </w:p>
                </w:txbxContent>
              </v:textbox>
            </v:shape>
          </w:pict>
        </mc:Fallback>
      </mc:AlternateContent>
    </w:r>
  </w:p>
  <w:p>
    <w:pPr>
      <w:pStyle w:val="29"/>
      <w:tabs>
        <w:tab w:val="right" w:pos="8820"/>
        <w:tab w:val="clear" w:pos="8306"/>
      </w:tabs>
      <w:ind w:right="77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single" w:color="auto" w:sz="4" w:space="1"/>
        <w:left w:val="none" w:color="auto" w:sz="0" w:space="4"/>
        <w:bottom w:val="none" w:color="auto" w:sz="0" w:space="1"/>
        <w:right w:val="none" w:color="auto" w:sz="0" w:space="4"/>
        <w:between w:val="none" w:color="auto" w:sz="0" w:space="0"/>
      </w:pBdr>
      <w:tabs>
        <w:tab w:val="left" w:pos="5646"/>
      </w:tabs>
      <w:jc w:val="both"/>
    </w:pPr>
    <w:r>
      <w:rPr>
        <w:sz w:val="18"/>
      </w:rPr>
      <mc:AlternateContent>
        <mc:Choice Requires="wps">
          <w:drawing>
            <wp:anchor distT="0" distB="0" distL="114300" distR="114300" simplePos="0" relativeHeight="251684864"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9"/>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46</w:t>
                    </w:r>
                    <w:r>
                      <w:rPr>
                        <w:rFonts w:hint="eastAsia"/>
                        <w:lang w:eastAsia="zh-CN"/>
                      </w:rPr>
                      <w:fldChar w:fldCharType="end"/>
                    </w:r>
                    <w:r>
                      <w:rPr>
                        <w:rFonts w:hint="eastAsia"/>
                        <w:lang w:eastAsia="zh-CN"/>
                      </w:rPr>
                      <w:t xml:space="preserve"> 页</w:t>
                    </w:r>
                  </w:p>
                </w:txbxContent>
              </v:textbox>
            </v:shape>
          </w:pict>
        </mc:Fallback>
      </mc:AlternateContent>
    </w:r>
    <w:r>
      <w:rPr>
        <w:sz w:val="18"/>
        <w:szCs w:val="18"/>
      </w:rPr>
      <mc:AlternateContent>
        <mc:Choice Requires="wps">
          <w:drawing>
            <wp:anchor distT="0" distB="0" distL="114300" distR="114300" simplePos="0" relativeHeight="251681792"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53" name="文本框 20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upright="1">
                      <a:spAutoFit/>
                    </wps:bodyPr>
                  </wps:wsp>
                </a:graphicData>
              </a:graphic>
            </wp:anchor>
          </w:drawing>
        </mc:Choice>
        <mc:Fallback>
          <w:pict>
            <v:shape id="文本框 2058" o:spid="_x0000_s1026" o:spt="202" type="#_x0000_t202" style="position:absolute;left:0pt;margin-left:229.35pt;margin-top:0pt;height:144pt;width:144pt;mso-position-horizontal-relative:margin;mso-wrap-style:none;z-index:251681792;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EAuGJ1AAAAAgBAAAPAAAAAAAAAAEAIAAAACIAAABk&#10;cnMvZG93bnJldi54bWxQSwECFAAUAAAACACHTuJA/Kw8ydEBAACrAwAADgAAAAAAAAABACAAAAAj&#10;AQAAZHJzL2Uyb0RvYy54bWxQSwUGAAAAAAYABgBZAQAAZgU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rFonts w:hint="eastAsia"/>
        <w:sz w:val="18"/>
        <w:szCs w:val="18"/>
        <w:lang w:eastAsia="zh-CN"/>
      </w:rPr>
      <w:t>陕西中采项目管理有限公司</w:t>
    </w:r>
    <w:r>
      <w:rPr>
        <w:rFonts w:hint="eastAsia"/>
        <w:sz w:val="18"/>
        <w:szCs w:val="18"/>
      </w:rPr>
      <w:t xml:space="preserve">                            </w:t>
    </w:r>
    <w:r>
      <w:rPr>
        <w:rFonts w:hint="eastAsia"/>
        <w:sz w:val="18"/>
        <w:szCs w:val="18"/>
      </w:rPr>
      <mc:AlternateContent>
        <mc:Choice Requires="wps">
          <w:drawing>
            <wp:anchor distT="0" distB="0" distL="114300" distR="114300" simplePos="0" relativeHeight="251680768"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54" name="文本框 20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upright="1">
                      <a:spAutoFit/>
                    </wps:bodyPr>
                  </wps:wsp>
                </a:graphicData>
              </a:graphic>
            </wp:anchor>
          </w:drawing>
        </mc:Choice>
        <mc:Fallback>
          <w:pict>
            <v:shape id="文本框 2056" o:spid="_x0000_s1026" o:spt="202" type="#_x0000_t202" style="position:absolute;left:0pt;margin-left:229.35pt;margin-top:0pt;height:144pt;width:144pt;mso-position-horizontal-relative:margin;mso-wrap-style:none;z-index:251680768;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&#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EAuGJ1AAAAAgBAAAPAAAAAAAAAAEAIAAAACIAAABk&#10;cnMvZG93bnJldi54bWxQSwECFAAUAAAACACHTuJAkmJiHtEBAACrAwAADgAAAAAAAAABACAAAAAj&#10;AQAAZHJzL2Uyb0RvYy54bWxQSwUGAAAAAAYABgBZAQAAZgU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rFonts w:hint="eastAsia"/>
        <w:sz w:val="18"/>
        <w:szCs w:val="18"/>
      </w:rPr>
      <mc:AlternateContent>
        <mc:Choice Requires="wps">
          <w:drawing>
            <wp:anchor distT="0" distB="0" distL="114300" distR="114300" simplePos="0" relativeHeight="251679744"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55" name="文本框 20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upright="1">
                      <a:spAutoFit/>
                    </wps:bodyPr>
                  </wps:wsp>
                </a:graphicData>
              </a:graphic>
            </wp:anchor>
          </w:drawing>
        </mc:Choice>
        <mc:Fallback>
          <w:pict>
            <v:shape id="文本框 2054" o:spid="_x0000_s1026" o:spt="202" type="#_x0000_t202" style="position:absolute;left:0pt;margin-left:229.35pt;margin-top:0pt;height:144pt;width:144pt;mso-position-horizontal-relative:margin;mso-wrap-style:none;z-index:251679744;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EAuGJ1AAAAAgBAAAPAAAAAAAAAAEAIAAAACIAAABk&#10;cnMvZG93bnJldi54bWxQSwECFAAUAAAACACHTuJAME0QNNEBAACrAwAADgAAAAAAAAABACAAAAAj&#10;AQAAZHJzL2Uyb0RvYy54bWxQSwUGAAAAAAYABgBZAQAAZgU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rFonts w:hint="eastAsia"/>
        <w:sz w:val="18"/>
        <w:szCs w:val="18"/>
      </w:rPr>
      <mc:AlternateContent>
        <mc:Choice Requires="wps">
          <w:drawing>
            <wp:anchor distT="0" distB="0" distL="114300" distR="114300" simplePos="0" relativeHeight="251678720"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56" name="文本框 20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upright="1">
                      <a:spAutoFit/>
                    </wps:bodyPr>
                  </wps:wsp>
                </a:graphicData>
              </a:graphic>
            </wp:anchor>
          </w:drawing>
        </mc:Choice>
        <mc:Fallback>
          <w:pict>
            <v:shape id="文本框 2053" o:spid="_x0000_s1026" o:spt="202" type="#_x0000_t202" style="position:absolute;left:0pt;margin-left:229.35pt;margin-top:0pt;height:144pt;width:144pt;mso-position-horizontal-relative:margin;mso-wrap-style:none;z-index:251678720;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&#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EAuGJ1AAAAAgBAAAPAAAAAAAAAAEAIAAAACIAAABk&#10;cnMvZG93bnJldi54bWxQSwECFAAUAAAACACHTuJAazUZsdEBAACrAwAADgAAAAAAAAABACAAAAAj&#10;AQAAZHJzL2Uyb0RvYy54bWxQSwUGAAAAAAYABgBZAQAAZgU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rFonts w:hint="eastAsia"/>
        <w:sz w:val="18"/>
        <w:szCs w:val="18"/>
      </w:rPr>
      <mc:AlternateContent>
        <mc:Choice Requires="wps">
          <w:drawing>
            <wp:anchor distT="0" distB="0" distL="114300" distR="114300" simplePos="0" relativeHeight="251677696" behindDoc="0" locked="0" layoutInCell="1" allowOverlap="1">
              <wp:simplePos x="0" y="0"/>
              <wp:positionH relativeFrom="margin">
                <wp:posOffset>2821940</wp:posOffset>
              </wp:positionH>
              <wp:positionV relativeFrom="paragraph">
                <wp:posOffset>0</wp:posOffset>
              </wp:positionV>
              <wp:extent cx="1828800" cy="1828800"/>
              <wp:effectExtent l="0" t="0" r="0" b="0"/>
              <wp:wrapNone/>
              <wp:docPr id="57"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upright="1">
                      <a:spAutoFit/>
                    </wps:bodyPr>
                  </wps:wsp>
                </a:graphicData>
              </a:graphic>
            </wp:anchor>
          </w:drawing>
        </mc:Choice>
        <mc:Fallback>
          <w:pict>
            <v:shape id="文本框 2049" o:spid="_x0000_s1026" o:spt="202" type="#_x0000_t202" style="position:absolute;left:0pt;margin-left:222.2pt;margin-top:0pt;height:144pt;width:144pt;mso-position-horizontal-relative:margin;mso-wrap-style:none;z-index:251677696;mso-width-relative:page;mso-height-relative:page;" filled="f" stroked="f" coordsize="21600,21600" o:gfxdata="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LZQSHTAAAACAEAAA8AAAAAAAAAAQAgAAAAIgAAAGRy&#10;cy9kb3ducmV2LnhtbFBLAQIUABQAAAAIAIdO4kAcFnyf0QEAAKsDAAAOAAAAAAAAAAEAIAAAACIB&#10;AABkcnMvZTJvRG9jLnhtbFBLBQYAAAAABgAGAFkBAABlBQAAAAA=&#10;">
              <v:fill on="f" focussize="0,0"/>
              <v:stroke on="f"/>
              <v:imagedata o:title=""/>
              <o:lock v:ext="edit" aspectratio="f"/>
              <v:textbox inset="0mm,0mm,0mm,0mm" style="mso-fit-shape-to-text:t;">
                <w:txbxContent>
                  <w:p>
                    <w:pPr>
                      <w:snapToGrid w:val="0"/>
                      <w:rPr>
                        <w:sz w:val="18"/>
                      </w:rPr>
                    </w:pPr>
                  </w:p>
                </w:txbxContent>
              </v:textbox>
            </v:shape>
          </w:pict>
        </mc:Fallback>
      </mc:AlternateContent>
    </w:r>
  </w:p>
  <w:p>
    <w:pPr>
      <w:pStyle w:val="29"/>
      <w:tabs>
        <w:tab w:val="right" w:pos="8820"/>
        <w:tab w:val="clear" w:pos="8306"/>
      </w:tabs>
      <w:ind w:right="77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single" w:color="auto" w:sz="4" w:space="1"/>
        <w:left w:val="none" w:color="auto" w:sz="0" w:space="4"/>
        <w:bottom w:val="none" w:color="auto" w:sz="0" w:space="1"/>
        <w:right w:val="none" w:color="auto" w:sz="0" w:space="4"/>
        <w:between w:val="none" w:color="auto" w:sz="0" w:space="0"/>
      </w:pBdr>
      <w:tabs>
        <w:tab w:val="left" w:pos="5646"/>
      </w:tabs>
      <w:jc w:val="both"/>
    </w:pPr>
    <w:r>
      <w:rPr>
        <w:sz w:val="18"/>
      </w:rPr>
      <mc:AlternateContent>
        <mc:Choice Requires="wps">
          <w:drawing>
            <wp:anchor distT="0" distB="0" distL="114300" distR="114300" simplePos="0" relativeHeight="251679744" behindDoc="0" locked="0" layoutInCell="1" allowOverlap="1">
              <wp:simplePos x="0" y="0"/>
              <wp:positionH relativeFrom="margin">
                <wp:align>right</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29"/>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46</w:t>
                    </w:r>
                    <w:r>
                      <w:rPr>
                        <w:rFonts w:hint="eastAsia"/>
                        <w:lang w:eastAsia="zh-CN"/>
                      </w:rPr>
                      <w:fldChar w:fldCharType="end"/>
                    </w:r>
                    <w:r>
                      <w:rPr>
                        <w:rFonts w:hint="eastAsia"/>
                        <w:lang w:eastAsia="zh-CN"/>
                      </w:rPr>
                      <w:t xml:space="preserve"> 页</w:t>
                    </w:r>
                  </w:p>
                </w:txbxContent>
              </v:textbox>
            </v:shape>
          </w:pict>
        </mc:Fallback>
      </mc:AlternateContent>
    </w:r>
    <w:r>
      <w:rPr>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0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upright="1">
                      <a:spAutoFit/>
                    </wps:bodyPr>
                  </wps:wsp>
                </a:graphicData>
              </a:graphic>
            </wp:anchor>
          </w:drawing>
        </mc:Choice>
        <mc:Fallback>
          <w:pict>
            <v:shape id="文本框 205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vIajnRAQAAqwMAAA4AAAAAAAAAAQAgAAAAHgEAAGRy&#10;cy9lMm9Eb2MueG1sUEsFBgAAAAAGAAYAWQEAAGEFA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rFonts w:hint="eastAsia"/>
        <w:sz w:val="18"/>
        <w:lang w:eastAsia="zh-CN"/>
      </w:rPr>
      <w:t>陕西中采项目管理有限公司</w:t>
    </w:r>
    <w:r>
      <w:rPr>
        <w:rFonts w:hint="eastAsia"/>
        <w:sz w:val="18"/>
        <w:szCs w:val="1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single" w:color="auto" w:sz="4" w:space="1"/>
        <w:left w:val="none" w:color="auto" w:sz="0" w:space="4"/>
        <w:bottom w:val="none" w:color="auto" w:sz="0" w:space="1"/>
        <w:right w:val="none" w:color="auto" w:sz="0" w:space="4"/>
        <w:between w:val="none" w:color="auto" w:sz="0" w:space="0"/>
      </w:pBdr>
      <w:tabs>
        <w:tab w:val="left" w:pos="5646"/>
      </w:tabs>
      <w:jc w:val="both"/>
    </w:pPr>
    <w:r>
      <w:rPr>
        <w:sz w:val="18"/>
      </w:rPr>
      <mc:AlternateContent>
        <mc:Choice Requires="wps">
          <w:drawing>
            <wp:anchor distT="0" distB="0" distL="114300" distR="114300" simplePos="0" relativeHeight="251680768" behindDoc="0" locked="0" layoutInCell="1" allowOverlap="1">
              <wp:simplePos x="0" y="0"/>
              <wp:positionH relativeFrom="margin">
                <wp:align>right</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29"/>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48</w:t>
                    </w:r>
                    <w:r>
                      <w:rPr>
                        <w:rFonts w:hint="eastAsia"/>
                        <w:lang w:eastAsia="zh-CN"/>
                      </w:rPr>
                      <w:fldChar w:fldCharType="end"/>
                    </w:r>
                    <w:r>
                      <w:rPr>
                        <w:rFonts w:hint="eastAsia"/>
                        <w:lang w:eastAsia="zh-CN"/>
                      </w:rPr>
                      <w:t xml:space="preserve"> 页</w:t>
                    </w:r>
                  </w:p>
                </w:txbxContent>
              </v:textbox>
            </v:shape>
          </w:pict>
        </mc:Fallback>
      </mc:AlternateContent>
    </w:r>
    <w:r>
      <w:rPr>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0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upright="1">
                      <a:spAutoFit/>
                    </wps:bodyPr>
                  </wps:wsp>
                </a:graphicData>
              </a:graphic>
            </wp:anchor>
          </w:drawing>
        </mc:Choice>
        <mc:Fallback>
          <w:pict>
            <v:shape id="文本框 205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CXRtjpzwEAAKoDAAAOAAAAAAAAAAEAIAAAAB4BAABkcnMv&#10;ZTJvRG9jLnhtbFBLBQYAAAAABgAGAFkBAABfBQ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rFonts w:hint="eastAsia"/>
        <w:sz w:val="18"/>
        <w:lang w:eastAsia="zh-CN"/>
      </w:rPr>
      <w:t>陕西中采项目管理有限公司</w:t>
    </w:r>
    <w:r>
      <w:rPr>
        <w:rFonts w:hint="eastAsia"/>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left="2880" w:hanging="2880" w:hangingChars="1600"/>
      <w:jc w:val="both"/>
      <w:rPr>
        <w:rFonts w:hint="eastAsia" w:ascii="宋体" w:hAnsi="宋体" w:eastAsia="宋体" w:cs="宋体"/>
      </w:rPr>
    </w:pPr>
    <w:r>
      <w:rPr>
        <w:rFonts w:hint="eastAsia" w:ascii="宋体" w:hAnsi="宋体" w:cs="宋体"/>
        <w:i w:val="0"/>
        <w:iCs w:val="0"/>
        <w:caps w:val="0"/>
        <w:color w:val="auto"/>
        <w:spacing w:val="0"/>
        <w:sz w:val="18"/>
        <w:szCs w:val="18"/>
        <w:highlight w:val="none"/>
        <w:shd w:val="clear" w:fill="FFFFFF"/>
        <w:lang w:eastAsia="zh-CN"/>
      </w:rPr>
      <w:t>礼泉县中医院康复科设备采购项目</w:t>
    </w:r>
    <w:r>
      <w:rPr>
        <w:rFonts w:hint="eastAsia" w:ascii="宋体" w:hAnsi="宋体" w:cs="宋体"/>
        <w:lang w:val="en-US" w:eastAsia="zh-CN"/>
      </w:rPr>
      <w:t xml:space="preserve">                                                       </w:t>
    </w:r>
    <w:r>
      <w:rPr>
        <w:rFonts w:hint="eastAsia" w:ascii="宋体" w:hAnsi="宋体" w:eastAsia="宋体" w:cs="宋体"/>
        <w:lang w:eastAsia="zh-CN"/>
      </w:rPr>
      <w:t>竞争性磋商</w:t>
    </w:r>
    <w:r>
      <w:rPr>
        <w:rFonts w:hint="eastAsia" w:ascii="宋体" w:hAnsi="宋体" w:eastAsia="宋体" w:cs="宋体"/>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161"/>
      <w:lvlText w:val="%1. "/>
      <w:lvlJc w:val="left"/>
      <w:pPr>
        <w:tabs>
          <w:tab w:val="left" w:pos="839"/>
        </w:tabs>
        <w:ind w:left="839" w:hanging="419"/>
      </w:pPr>
      <w:rPr>
        <w:rFonts w:hint="eastAsia"/>
      </w:rPr>
    </w:lvl>
    <w:lvl w:ilvl="1" w:tentative="0">
      <w:start w:val="1"/>
      <w:numFmt w:val="upperLetter"/>
      <w:pStyle w:val="166"/>
      <w:lvlText w:val="%2. "/>
      <w:lvlJc w:val="left"/>
      <w:pPr>
        <w:tabs>
          <w:tab w:val="left" w:pos="1049"/>
        </w:tabs>
        <w:ind w:left="1049" w:hanging="420"/>
      </w:pPr>
      <w:rPr>
        <w:rFonts w:hint="eastAsia"/>
      </w:rPr>
    </w:lvl>
    <w:lvl w:ilvl="2" w:tentative="0">
      <w:start w:val="1"/>
      <w:numFmt w:val="lowerLetter"/>
      <w:pStyle w:val="134"/>
      <w:lvlText w:val="%3. "/>
      <w:lvlJc w:val="left"/>
      <w:pPr>
        <w:tabs>
          <w:tab w:val="left" w:pos="1259"/>
        </w:tabs>
        <w:ind w:left="1259" w:hanging="420"/>
      </w:pPr>
      <w:rPr>
        <w:rFonts w:hint="eastAsia"/>
      </w:rPr>
    </w:lvl>
    <w:lvl w:ilvl="3" w:tentative="0">
      <w:start w:val="1"/>
      <w:numFmt w:val="lowerLetter"/>
      <w:pStyle w:val="180"/>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abstractNum w:abstractNumId="1">
    <w:nsid w:val="0000001F"/>
    <w:multiLevelType w:val="singleLevel"/>
    <w:tmpl w:val="0000001F"/>
    <w:lvl w:ilvl="0" w:tentative="0">
      <w:start w:val="1"/>
      <w:numFmt w:val="decimal"/>
      <w:pStyle w:val="153"/>
      <w:lvlText w:val="%1．"/>
      <w:lvlJc w:val="left"/>
      <w:pPr>
        <w:tabs>
          <w:tab w:val="left" w:pos="720"/>
        </w:tabs>
        <w:ind w:left="720" w:hanging="720"/>
      </w:pPr>
    </w:lvl>
  </w:abstractNum>
  <w:abstractNum w:abstractNumId="2">
    <w:nsid w:val="00000024"/>
    <w:multiLevelType w:val="multilevel"/>
    <w:tmpl w:val="00000024"/>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pStyle w:val="150"/>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00000031"/>
    <w:multiLevelType w:val="multilevel"/>
    <w:tmpl w:val="00000031"/>
    <w:lvl w:ilvl="0" w:tentative="0">
      <w:start w:val="1"/>
      <w:numFmt w:val="decimal"/>
      <w:lvlText w:val="%1."/>
      <w:lvlJc w:val="left"/>
      <w:pPr>
        <w:tabs>
          <w:tab w:val="left" w:pos="420"/>
        </w:tabs>
        <w:ind w:left="420" w:hanging="420"/>
      </w:pPr>
    </w:lvl>
    <w:lvl w:ilvl="1" w:tentative="0">
      <w:start w:val="1"/>
      <w:numFmt w:val="bullet"/>
      <w:pStyle w:val="34"/>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4"/>
      <w:numFmt w:val="decimal"/>
      <w:lvlText w:val="%5、"/>
      <w:lvlJc w:val="left"/>
      <w:pPr>
        <w:tabs>
          <w:tab w:val="left" w:pos="2160"/>
        </w:tabs>
        <w:ind w:left="2160" w:hanging="480"/>
      </w:pPr>
      <w:rPr>
        <w:rFonts w:hint="eastAsia"/>
      </w:rPr>
    </w:lvl>
    <w:lvl w:ilvl="5" w:tentative="0">
      <w:start w:val="28"/>
      <w:numFmt w:val="decimal"/>
      <w:lvlText w:val="%6．"/>
      <w:lvlJc w:val="left"/>
      <w:pPr>
        <w:tabs>
          <w:tab w:val="left" w:pos="2520"/>
        </w:tabs>
        <w:ind w:left="2520" w:hanging="42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2792C7B"/>
    <w:multiLevelType w:val="multilevel"/>
    <w:tmpl w:val="22792C7B"/>
    <w:lvl w:ilvl="0" w:tentative="0">
      <w:start w:val="1"/>
      <w:numFmt w:val="decimal"/>
      <w:lvlText w:val="%1、"/>
      <w:lvlJc w:val="left"/>
      <w:pPr>
        <w:tabs>
          <w:tab w:val="left" w:pos="1125"/>
        </w:tabs>
        <w:ind w:left="1125" w:hanging="480"/>
      </w:pPr>
      <w:rPr>
        <w:rFonts w:hint="eastAsia" w:ascii="宋体" w:hAnsi="宋体" w:eastAsia="宋体"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5">
    <w:nsid w:val="235CA32F"/>
    <w:multiLevelType w:val="singleLevel"/>
    <w:tmpl w:val="235CA32F"/>
    <w:lvl w:ilvl="0" w:tentative="0">
      <w:start w:val="1"/>
      <w:numFmt w:val="decimal"/>
      <w:suff w:val="space"/>
      <w:lvlText w:val="%1."/>
      <w:lvlJc w:val="left"/>
    </w:lvl>
  </w:abstractNum>
  <w:abstractNum w:abstractNumId="6">
    <w:nsid w:val="23D07E6F"/>
    <w:multiLevelType w:val="singleLevel"/>
    <w:tmpl w:val="23D07E6F"/>
    <w:lvl w:ilvl="0" w:tentative="0">
      <w:start w:val="1"/>
      <w:numFmt w:val="decimal"/>
      <w:suff w:val="space"/>
      <w:lvlText w:val="（%1)"/>
      <w:lvlJc w:val="left"/>
    </w:lvl>
  </w:abstractNum>
  <w:abstractNum w:abstractNumId="7">
    <w:nsid w:val="470B4115"/>
    <w:multiLevelType w:val="multilevel"/>
    <w:tmpl w:val="470B4115"/>
    <w:lvl w:ilvl="0" w:tentative="0">
      <w:start w:val="1"/>
      <w:numFmt w:val="decimal"/>
      <w:suff w:val="nothing"/>
      <w:lvlText w:val="%1、"/>
      <w:lvlJc w:val="left"/>
      <w:rPr>
        <w:rFonts w:hint="default" w:ascii="Times New Roman" w:hAnsi="Times New Roman"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8">
    <w:nsid w:val="59B2460E"/>
    <w:multiLevelType w:val="singleLevel"/>
    <w:tmpl w:val="59B2460E"/>
    <w:lvl w:ilvl="0" w:tentative="0">
      <w:start w:val="2"/>
      <w:numFmt w:val="decimal"/>
      <w:suff w:val="nothing"/>
      <w:lvlText w:val="%1."/>
      <w:lvlJc w:val="left"/>
    </w:lvl>
  </w:abstractNum>
  <w:abstractNum w:abstractNumId="9">
    <w:nsid w:val="59B25AF4"/>
    <w:multiLevelType w:val="singleLevel"/>
    <w:tmpl w:val="59B25AF4"/>
    <w:lvl w:ilvl="0" w:tentative="0">
      <w:start w:val="1"/>
      <w:numFmt w:val="decimal"/>
      <w:suff w:val="nothing"/>
      <w:lvlText w:val="（%1）"/>
      <w:lvlJc w:val="left"/>
    </w:lvl>
  </w:abstractNum>
  <w:num w:numId="1">
    <w:abstractNumId w:val="3"/>
  </w:num>
  <w:num w:numId="2">
    <w:abstractNumId w:val="0"/>
  </w:num>
  <w:num w:numId="3">
    <w:abstractNumId w:val="2"/>
  </w:num>
  <w:num w:numId="4">
    <w:abstractNumId w:val="1"/>
  </w:num>
  <w:num w:numId="5">
    <w:abstractNumId w:val="8"/>
  </w:num>
  <w:num w:numId="6">
    <w:abstractNumId w:val="6"/>
  </w:num>
  <w:num w:numId="7">
    <w:abstractNumId w:val="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240"/>
  <w:drawingGridVerticalSpacing w:val="99999990"/>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yZTFhZWNiZjFkMTk4MGI4ZmU4ODg3NzFmMWU1MTEifQ=="/>
  </w:docVars>
  <w:rsids>
    <w:rsidRoot w:val="00172A27"/>
    <w:rsid w:val="000012D2"/>
    <w:rsid w:val="00002B00"/>
    <w:rsid w:val="000038C2"/>
    <w:rsid w:val="00005F6B"/>
    <w:rsid w:val="00007E5D"/>
    <w:rsid w:val="00010047"/>
    <w:rsid w:val="00010A9B"/>
    <w:rsid w:val="00013844"/>
    <w:rsid w:val="000200CD"/>
    <w:rsid w:val="000213A4"/>
    <w:rsid w:val="000217ED"/>
    <w:rsid w:val="00022A7C"/>
    <w:rsid w:val="00022D5B"/>
    <w:rsid w:val="00023B4B"/>
    <w:rsid w:val="00023CB4"/>
    <w:rsid w:val="0002463D"/>
    <w:rsid w:val="00025024"/>
    <w:rsid w:val="00026E6E"/>
    <w:rsid w:val="00027C7A"/>
    <w:rsid w:val="000305A9"/>
    <w:rsid w:val="0003107B"/>
    <w:rsid w:val="00031900"/>
    <w:rsid w:val="00031F87"/>
    <w:rsid w:val="00032B82"/>
    <w:rsid w:val="00033AAB"/>
    <w:rsid w:val="0003640E"/>
    <w:rsid w:val="00036555"/>
    <w:rsid w:val="000365AC"/>
    <w:rsid w:val="00041B7C"/>
    <w:rsid w:val="00042698"/>
    <w:rsid w:val="000438D2"/>
    <w:rsid w:val="00043B48"/>
    <w:rsid w:val="00044FD0"/>
    <w:rsid w:val="000469FE"/>
    <w:rsid w:val="00047AB5"/>
    <w:rsid w:val="00047D88"/>
    <w:rsid w:val="0005073F"/>
    <w:rsid w:val="0005079D"/>
    <w:rsid w:val="00053E5E"/>
    <w:rsid w:val="0005520E"/>
    <w:rsid w:val="00055DEA"/>
    <w:rsid w:val="000565B0"/>
    <w:rsid w:val="00056B91"/>
    <w:rsid w:val="00056D53"/>
    <w:rsid w:val="00057587"/>
    <w:rsid w:val="0006079B"/>
    <w:rsid w:val="000608D5"/>
    <w:rsid w:val="00060C25"/>
    <w:rsid w:val="00062CDB"/>
    <w:rsid w:val="00062CE6"/>
    <w:rsid w:val="000637A2"/>
    <w:rsid w:val="00063DA2"/>
    <w:rsid w:val="00063F92"/>
    <w:rsid w:val="00064AF1"/>
    <w:rsid w:val="000657E3"/>
    <w:rsid w:val="00066B43"/>
    <w:rsid w:val="000719E7"/>
    <w:rsid w:val="00074D9F"/>
    <w:rsid w:val="00074EFA"/>
    <w:rsid w:val="00075C16"/>
    <w:rsid w:val="00075CE3"/>
    <w:rsid w:val="000801B6"/>
    <w:rsid w:val="00082F4D"/>
    <w:rsid w:val="00085C2B"/>
    <w:rsid w:val="000873CE"/>
    <w:rsid w:val="00093FA0"/>
    <w:rsid w:val="00094888"/>
    <w:rsid w:val="00094DB4"/>
    <w:rsid w:val="000A0C7F"/>
    <w:rsid w:val="000A2116"/>
    <w:rsid w:val="000A2748"/>
    <w:rsid w:val="000A286B"/>
    <w:rsid w:val="000A2FA7"/>
    <w:rsid w:val="000A35A8"/>
    <w:rsid w:val="000A3AE0"/>
    <w:rsid w:val="000A45E4"/>
    <w:rsid w:val="000A6376"/>
    <w:rsid w:val="000B0BCD"/>
    <w:rsid w:val="000B1179"/>
    <w:rsid w:val="000C1C22"/>
    <w:rsid w:val="000C53C8"/>
    <w:rsid w:val="000C62BA"/>
    <w:rsid w:val="000C63C8"/>
    <w:rsid w:val="000C659F"/>
    <w:rsid w:val="000C6743"/>
    <w:rsid w:val="000D04E4"/>
    <w:rsid w:val="000D0F01"/>
    <w:rsid w:val="000D2D89"/>
    <w:rsid w:val="000D3B02"/>
    <w:rsid w:val="000D6DE2"/>
    <w:rsid w:val="000D7D4B"/>
    <w:rsid w:val="000E1AE1"/>
    <w:rsid w:val="000E1B20"/>
    <w:rsid w:val="000E276A"/>
    <w:rsid w:val="000E34A7"/>
    <w:rsid w:val="000E43B9"/>
    <w:rsid w:val="000E50FC"/>
    <w:rsid w:val="000E5A92"/>
    <w:rsid w:val="000E5D5F"/>
    <w:rsid w:val="000E61E7"/>
    <w:rsid w:val="000F1A0E"/>
    <w:rsid w:val="000F1A9E"/>
    <w:rsid w:val="000F4AF5"/>
    <w:rsid w:val="000F55F7"/>
    <w:rsid w:val="000F796B"/>
    <w:rsid w:val="00100983"/>
    <w:rsid w:val="00101CF8"/>
    <w:rsid w:val="0010580A"/>
    <w:rsid w:val="001058CA"/>
    <w:rsid w:val="0010604B"/>
    <w:rsid w:val="0010605E"/>
    <w:rsid w:val="00117899"/>
    <w:rsid w:val="001208B9"/>
    <w:rsid w:val="00120A9F"/>
    <w:rsid w:val="00122278"/>
    <w:rsid w:val="00123494"/>
    <w:rsid w:val="00123553"/>
    <w:rsid w:val="001235D9"/>
    <w:rsid w:val="001254DD"/>
    <w:rsid w:val="00125A87"/>
    <w:rsid w:val="001274A2"/>
    <w:rsid w:val="001328B1"/>
    <w:rsid w:val="00133921"/>
    <w:rsid w:val="00135B3D"/>
    <w:rsid w:val="00136D87"/>
    <w:rsid w:val="001374E6"/>
    <w:rsid w:val="001407F0"/>
    <w:rsid w:val="00140EBC"/>
    <w:rsid w:val="00141BA0"/>
    <w:rsid w:val="00143AFF"/>
    <w:rsid w:val="00143B3B"/>
    <w:rsid w:val="00143D3B"/>
    <w:rsid w:val="00146123"/>
    <w:rsid w:val="001462C6"/>
    <w:rsid w:val="00146A73"/>
    <w:rsid w:val="00146D90"/>
    <w:rsid w:val="001515EF"/>
    <w:rsid w:val="00152CE8"/>
    <w:rsid w:val="00152FAD"/>
    <w:rsid w:val="00153967"/>
    <w:rsid w:val="00155F47"/>
    <w:rsid w:val="001601EB"/>
    <w:rsid w:val="00160DBE"/>
    <w:rsid w:val="00161827"/>
    <w:rsid w:val="00171C82"/>
    <w:rsid w:val="00172650"/>
    <w:rsid w:val="00172A27"/>
    <w:rsid w:val="00175A12"/>
    <w:rsid w:val="00177AF0"/>
    <w:rsid w:val="00180763"/>
    <w:rsid w:val="001811CA"/>
    <w:rsid w:val="00181BBD"/>
    <w:rsid w:val="00181EAD"/>
    <w:rsid w:val="00183CF9"/>
    <w:rsid w:val="00185937"/>
    <w:rsid w:val="00186F95"/>
    <w:rsid w:val="00187A48"/>
    <w:rsid w:val="001901B6"/>
    <w:rsid w:val="0019096D"/>
    <w:rsid w:val="0019145F"/>
    <w:rsid w:val="00191B2F"/>
    <w:rsid w:val="00191E12"/>
    <w:rsid w:val="00192CC2"/>
    <w:rsid w:val="00192D23"/>
    <w:rsid w:val="00192EF0"/>
    <w:rsid w:val="0019304F"/>
    <w:rsid w:val="00193D70"/>
    <w:rsid w:val="0019450B"/>
    <w:rsid w:val="00195C0C"/>
    <w:rsid w:val="00195D20"/>
    <w:rsid w:val="00196F6C"/>
    <w:rsid w:val="001970A3"/>
    <w:rsid w:val="00197545"/>
    <w:rsid w:val="001A0BF7"/>
    <w:rsid w:val="001A11CD"/>
    <w:rsid w:val="001A12BD"/>
    <w:rsid w:val="001A16AC"/>
    <w:rsid w:val="001A3A9B"/>
    <w:rsid w:val="001A5525"/>
    <w:rsid w:val="001A5ABD"/>
    <w:rsid w:val="001A7465"/>
    <w:rsid w:val="001A7DAE"/>
    <w:rsid w:val="001B049A"/>
    <w:rsid w:val="001B0838"/>
    <w:rsid w:val="001B0F2D"/>
    <w:rsid w:val="001B1041"/>
    <w:rsid w:val="001B4875"/>
    <w:rsid w:val="001B48CA"/>
    <w:rsid w:val="001B52DC"/>
    <w:rsid w:val="001B6234"/>
    <w:rsid w:val="001B69A0"/>
    <w:rsid w:val="001B6A37"/>
    <w:rsid w:val="001B6ACD"/>
    <w:rsid w:val="001B7A89"/>
    <w:rsid w:val="001C391B"/>
    <w:rsid w:val="001C4AB4"/>
    <w:rsid w:val="001C4DAC"/>
    <w:rsid w:val="001C5413"/>
    <w:rsid w:val="001C5432"/>
    <w:rsid w:val="001C5D6F"/>
    <w:rsid w:val="001C6F54"/>
    <w:rsid w:val="001D03B6"/>
    <w:rsid w:val="001D2015"/>
    <w:rsid w:val="001D2346"/>
    <w:rsid w:val="001D23B9"/>
    <w:rsid w:val="001D3EFF"/>
    <w:rsid w:val="001D403A"/>
    <w:rsid w:val="001D43D2"/>
    <w:rsid w:val="001D5276"/>
    <w:rsid w:val="001D79D9"/>
    <w:rsid w:val="001D7DDD"/>
    <w:rsid w:val="001E63FA"/>
    <w:rsid w:val="001E6B35"/>
    <w:rsid w:val="001E7866"/>
    <w:rsid w:val="001F20F9"/>
    <w:rsid w:val="001F4189"/>
    <w:rsid w:val="001F5DE8"/>
    <w:rsid w:val="001F6478"/>
    <w:rsid w:val="001F655E"/>
    <w:rsid w:val="001F7C73"/>
    <w:rsid w:val="00200DF2"/>
    <w:rsid w:val="002023A2"/>
    <w:rsid w:val="002023AB"/>
    <w:rsid w:val="00203F3B"/>
    <w:rsid w:val="0020401E"/>
    <w:rsid w:val="0020407A"/>
    <w:rsid w:val="00204497"/>
    <w:rsid w:val="0020609B"/>
    <w:rsid w:val="00206E6D"/>
    <w:rsid w:val="002072CF"/>
    <w:rsid w:val="002140FB"/>
    <w:rsid w:val="00220627"/>
    <w:rsid w:val="00220CA0"/>
    <w:rsid w:val="00222BEA"/>
    <w:rsid w:val="00223DD6"/>
    <w:rsid w:val="00224DAF"/>
    <w:rsid w:val="00232C05"/>
    <w:rsid w:val="002360A1"/>
    <w:rsid w:val="00236A16"/>
    <w:rsid w:val="00237F01"/>
    <w:rsid w:val="002416C6"/>
    <w:rsid w:val="002431A6"/>
    <w:rsid w:val="00245742"/>
    <w:rsid w:val="0024620A"/>
    <w:rsid w:val="00246984"/>
    <w:rsid w:val="002469DC"/>
    <w:rsid w:val="00246D18"/>
    <w:rsid w:val="0024731F"/>
    <w:rsid w:val="0024793C"/>
    <w:rsid w:val="002515D2"/>
    <w:rsid w:val="00254950"/>
    <w:rsid w:val="00256036"/>
    <w:rsid w:val="002578C4"/>
    <w:rsid w:val="00257DF7"/>
    <w:rsid w:val="00260ADD"/>
    <w:rsid w:val="00261E18"/>
    <w:rsid w:val="00262052"/>
    <w:rsid w:val="00263943"/>
    <w:rsid w:val="002665AE"/>
    <w:rsid w:val="00267FE3"/>
    <w:rsid w:val="002710EB"/>
    <w:rsid w:val="002715C0"/>
    <w:rsid w:val="00271E15"/>
    <w:rsid w:val="002729A5"/>
    <w:rsid w:val="00273121"/>
    <w:rsid w:val="002743DD"/>
    <w:rsid w:val="0027618B"/>
    <w:rsid w:val="0027621A"/>
    <w:rsid w:val="0027676B"/>
    <w:rsid w:val="00282591"/>
    <w:rsid w:val="00283EAB"/>
    <w:rsid w:val="00284749"/>
    <w:rsid w:val="00284B38"/>
    <w:rsid w:val="00285F0A"/>
    <w:rsid w:val="00287E4B"/>
    <w:rsid w:val="0029168F"/>
    <w:rsid w:val="00291E57"/>
    <w:rsid w:val="002926B0"/>
    <w:rsid w:val="00292805"/>
    <w:rsid w:val="00292EC3"/>
    <w:rsid w:val="00294AE4"/>
    <w:rsid w:val="002952B6"/>
    <w:rsid w:val="00296E03"/>
    <w:rsid w:val="00297178"/>
    <w:rsid w:val="00297836"/>
    <w:rsid w:val="00297A00"/>
    <w:rsid w:val="002A02CF"/>
    <w:rsid w:val="002A1205"/>
    <w:rsid w:val="002A284F"/>
    <w:rsid w:val="002A3C35"/>
    <w:rsid w:val="002A5726"/>
    <w:rsid w:val="002A58BD"/>
    <w:rsid w:val="002A60AE"/>
    <w:rsid w:val="002A6589"/>
    <w:rsid w:val="002A6FB9"/>
    <w:rsid w:val="002A6FF1"/>
    <w:rsid w:val="002B0549"/>
    <w:rsid w:val="002B2819"/>
    <w:rsid w:val="002B31D1"/>
    <w:rsid w:val="002B3EBD"/>
    <w:rsid w:val="002B4750"/>
    <w:rsid w:val="002B530D"/>
    <w:rsid w:val="002B532D"/>
    <w:rsid w:val="002B71C3"/>
    <w:rsid w:val="002B77C0"/>
    <w:rsid w:val="002C0490"/>
    <w:rsid w:val="002C148F"/>
    <w:rsid w:val="002C2359"/>
    <w:rsid w:val="002C2953"/>
    <w:rsid w:val="002C5EC2"/>
    <w:rsid w:val="002C612D"/>
    <w:rsid w:val="002C67D3"/>
    <w:rsid w:val="002D13FF"/>
    <w:rsid w:val="002D16A5"/>
    <w:rsid w:val="002D2ADB"/>
    <w:rsid w:val="002D57A6"/>
    <w:rsid w:val="002D6E29"/>
    <w:rsid w:val="002E0D84"/>
    <w:rsid w:val="002E14B8"/>
    <w:rsid w:val="002E6B4B"/>
    <w:rsid w:val="002F04C6"/>
    <w:rsid w:val="002F0D73"/>
    <w:rsid w:val="002F1B6E"/>
    <w:rsid w:val="002F2258"/>
    <w:rsid w:val="002F29F8"/>
    <w:rsid w:val="002F365D"/>
    <w:rsid w:val="002F5F1A"/>
    <w:rsid w:val="002F63C5"/>
    <w:rsid w:val="002F6825"/>
    <w:rsid w:val="002F6AFF"/>
    <w:rsid w:val="002F71BF"/>
    <w:rsid w:val="002F76ED"/>
    <w:rsid w:val="00300B9E"/>
    <w:rsid w:val="0030141B"/>
    <w:rsid w:val="00302E94"/>
    <w:rsid w:val="00304D48"/>
    <w:rsid w:val="00305B11"/>
    <w:rsid w:val="00307FB5"/>
    <w:rsid w:val="00311F60"/>
    <w:rsid w:val="003131D3"/>
    <w:rsid w:val="00314270"/>
    <w:rsid w:val="00314C15"/>
    <w:rsid w:val="003153BB"/>
    <w:rsid w:val="003156D5"/>
    <w:rsid w:val="003163BC"/>
    <w:rsid w:val="00316E3B"/>
    <w:rsid w:val="00317566"/>
    <w:rsid w:val="003202ED"/>
    <w:rsid w:val="00320F96"/>
    <w:rsid w:val="003210D7"/>
    <w:rsid w:val="0032176D"/>
    <w:rsid w:val="003231B5"/>
    <w:rsid w:val="00324146"/>
    <w:rsid w:val="00325CAE"/>
    <w:rsid w:val="00332060"/>
    <w:rsid w:val="0033486A"/>
    <w:rsid w:val="00334DA1"/>
    <w:rsid w:val="00336BF5"/>
    <w:rsid w:val="00340B50"/>
    <w:rsid w:val="00341409"/>
    <w:rsid w:val="00341A2C"/>
    <w:rsid w:val="00341D74"/>
    <w:rsid w:val="0034291B"/>
    <w:rsid w:val="0034505B"/>
    <w:rsid w:val="0034546A"/>
    <w:rsid w:val="003461CB"/>
    <w:rsid w:val="00346702"/>
    <w:rsid w:val="003475F6"/>
    <w:rsid w:val="0034776A"/>
    <w:rsid w:val="00347D41"/>
    <w:rsid w:val="00347D7F"/>
    <w:rsid w:val="00350EE6"/>
    <w:rsid w:val="003511C6"/>
    <w:rsid w:val="003511FE"/>
    <w:rsid w:val="00351B8B"/>
    <w:rsid w:val="00354360"/>
    <w:rsid w:val="00355A15"/>
    <w:rsid w:val="0035608B"/>
    <w:rsid w:val="003562C6"/>
    <w:rsid w:val="00357437"/>
    <w:rsid w:val="00357FB9"/>
    <w:rsid w:val="00361CFF"/>
    <w:rsid w:val="00362942"/>
    <w:rsid w:val="00364C97"/>
    <w:rsid w:val="00365A8B"/>
    <w:rsid w:val="00365D33"/>
    <w:rsid w:val="003662C7"/>
    <w:rsid w:val="003675EE"/>
    <w:rsid w:val="00367AF9"/>
    <w:rsid w:val="00367D1B"/>
    <w:rsid w:val="0037189E"/>
    <w:rsid w:val="00373CA0"/>
    <w:rsid w:val="00380CF2"/>
    <w:rsid w:val="00381B70"/>
    <w:rsid w:val="00382977"/>
    <w:rsid w:val="00382D0C"/>
    <w:rsid w:val="00385E6D"/>
    <w:rsid w:val="00387456"/>
    <w:rsid w:val="00394241"/>
    <w:rsid w:val="00395D4F"/>
    <w:rsid w:val="00397092"/>
    <w:rsid w:val="00397D83"/>
    <w:rsid w:val="003A0FEE"/>
    <w:rsid w:val="003A1264"/>
    <w:rsid w:val="003A3202"/>
    <w:rsid w:val="003A3CC5"/>
    <w:rsid w:val="003A67CF"/>
    <w:rsid w:val="003A731A"/>
    <w:rsid w:val="003B08EF"/>
    <w:rsid w:val="003B318A"/>
    <w:rsid w:val="003B34AC"/>
    <w:rsid w:val="003B34BE"/>
    <w:rsid w:val="003B3985"/>
    <w:rsid w:val="003B3D71"/>
    <w:rsid w:val="003B3EA3"/>
    <w:rsid w:val="003B7936"/>
    <w:rsid w:val="003C098E"/>
    <w:rsid w:val="003C31E2"/>
    <w:rsid w:val="003C3F07"/>
    <w:rsid w:val="003C4A14"/>
    <w:rsid w:val="003C5F7B"/>
    <w:rsid w:val="003C6AFD"/>
    <w:rsid w:val="003C6FFB"/>
    <w:rsid w:val="003C72AA"/>
    <w:rsid w:val="003D0DD0"/>
    <w:rsid w:val="003D2811"/>
    <w:rsid w:val="003D3509"/>
    <w:rsid w:val="003D407E"/>
    <w:rsid w:val="003D442D"/>
    <w:rsid w:val="003D6E4A"/>
    <w:rsid w:val="003D791C"/>
    <w:rsid w:val="003E1B40"/>
    <w:rsid w:val="003E281F"/>
    <w:rsid w:val="003E4B61"/>
    <w:rsid w:val="003E54A3"/>
    <w:rsid w:val="003E57FC"/>
    <w:rsid w:val="003E7FAD"/>
    <w:rsid w:val="003F37EA"/>
    <w:rsid w:val="003F41ED"/>
    <w:rsid w:val="004007CB"/>
    <w:rsid w:val="00400A7D"/>
    <w:rsid w:val="00401BB8"/>
    <w:rsid w:val="00402004"/>
    <w:rsid w:val="004023F1"/>
    <w:rsid w:val="00403AE3"/>
    <w:rsid w:val="0040608B"/>
    <w:rsid w:val="004068BB"/>
    <w:rsid w:val="004103C6"/>
    <w:rsid w:val="00410CFB"/>
    <w:rsid w:val="00410F74"/>
    <w:rsid w:val="004120D0"/>
    <w:rsid w:val="00413401"/>
    <w:rsid w:val="00415979"/>
    <w:rsid w:val="00416CA7"/>
    <w:rsid w:val="00421C4E"/>
    <w:rsid w:val="004220E6"/>
    <w:rsid w:val="0042318F"/>
    <w:rsid w:val="004254B8"/>
    <w:rsid w:val="00425BBD"/>
    <w:rsid w:val="00425D51"/>
    <w:rsid w:val="00426B8C"/>
    <w:rsid w:val="00427864"/>
    <w:rsid w:val="00433012"/>
    <w:rsid w:val="00436AFB"/>
    <w:rsid w:val="00437B01"/>
    <w:rsid w:val="00440128"/>
    <w:rsid w:val="00440274"/>
    <w:rsid w:val="00441AEE"/>
    <w:rsid w:val="00442BE1"/>
    <w:rsid w:val="00443900"/>
    <w:rsid w:val="00445402"/>
    <w:rsid w:val="00446588"/>
    <w:rsid w:val="004467CE"/>
    <w:rsid w:val="00453700"/>
    <w:rsid w:val="00454B8E"/>
    <w:rsid w:val="00455E9E"/>
    <w:rsid w:val="00455FD5"/>
    <w:rsid w:val="00456D2F"/>
    <w:rsid w:val="00461FEF"/>
    <w:rsid w:val="004625DD"/>
    <w:rsid w:val="00463B00"/>
    <w:rsid w:val="00464A75"/>
    <w:rsid w:val="00465240"/>
    <w:rsid w:val="004658B9"/>
    <w:rsid w:val="0046611B"/>
    <w:rsid w:val="0046614D"/>
    <w:rsid w:val="00467E4E"/>
    <w:rsid w:val="0047352D"/>
    <w:rsid w:val="0047353F"/>
    <w:rsid w:val="00473A61"/>
    <w:rsid w:val="004743A9"/>
    <w:rsid w:val="004748A2"/>
    <w:rsid w:val="00474A4C"/>
    <w:rsid w:val="00474CC7"/>
    <w:rsid w:val="00476CF6"/>
    <w:rsid w:val="00482CBC"/>
    <w:rsid w:val="004856AF"/>
    <w:rsid w:val="00485B0A"/>
    <w:rsid w:val="00485CED"/>
    <w:rsid w:val="004870CF"/>
    <w:rsid w:val="00487443"/>
    <w:rsid w:val="004879C8"/>
    <w:rsid w:val="00490ACF"/>
    <w:rsid w:val="00492F78"/>
    <w:rsid w:val="00493D09"/>
    <w:rsid w:val="00494C44"/>
    <w:rsid w:val="004950BA"/>
    <w:rsid w:val="00495D9C"/>
    <w:rsid w:val="00496054"/>
    <w:rsid w:val="00496BFE"/>
    <w:rsid w:val="004A154C"/>
    <w:rsid w:val="004A2C5D"/>
    <w:rsid w:val="004A3680"/>
    <w:rsid w:val="004A4F66"/>
    <w:rsid w:val="004A559B"/>
    <w:rsid w:val="004A6E2A"/>
    <w:rsid w:val="004B0456"/>
    <w:rsid w:val="004B3CF3"/>
    <w:rsid w:val="004B48E8"/>
    <w:rsid w:val="004B5EDA"/>
    <w:rsid w:val="004C0DA1"/>
    <w:rsid w:val="004C381B"/>
    <w:rsid w:val="004C4384"/>
    <w:rsid w:val="004C4C6F"/>
    <w:rsid w:val="004C5071"/>
    <w:rsid w:val="004C5764"/>
    <w:rsid w:val="004C59E7"/>
    <w:rsid w:val="004C5B06"/>
    <w:rsid w:val="004C5D32"/>
    <w:rsid w:val="004C64AA"/>
    <w:rsid w:val="004C691C"/>
    <w:rsid w:val="004C6A9A"/>
    <w:rsid w:val="004C757C"/>
    <w:rsid w:val="004C7797"/>
    <w:rsid w:val="004C7DEA"/>
    <w:rsid w:val="004D0372"/>
    <w:rsid w:val="004D1233"/>
    <w:rsid w:val="004D156D"/>
    <w:rsid w:val="004D2E27"/>
    <w:rsid w:val="004D3E27"/>
    <w:rsid w:val="004E1799"/>
    <w:rsid w:val="004E2EF0"/>
    <w:rsid w:val="004E3AA3"/>
    <w:rsid w:val="004E47E0"/>
    <w:rsid w:val="004E6FE2"/>
    <w:rsid w:val="004F09D7"/>
    <w:rsid w:val="004F2039"/>
    <w:rsid w:val="004F27E7"/>
    <w:rsid w:val="004F29C5"/>
    <w:rsid w:val="004F5595"/>
    <w:rsid w:val="004F5A55"/>
    <w:rsid w:val="004F67AB"/>
    <w:rsid w:val="005019A4"/>
    <w:rsid w:val="00502282"/>
    <w:rsid w:val="0050503C"/>
    <w:rsid w:val="0050765B"/>
    <w:rsid w:val="00507A55"/>
    <w:rsid w:val="00511A3E"/>
    <w:rsid w:val="00512510"/>
    <w:rsid w:val="00512695"/>
    <w:rsid w:val="00512BE4"/>
    <w:rsid w:val="00516BE2"/>
    <w:rsid w:val="00516EFF"/>
    <w:rsid w:val="00521796"/>
    <w:rsid w:val="00521EC6"/>
    <w:rsid w:val="0052386A"/>
    <w:rsid w:val="00524F9D"/>
    <w:rsid w:val="005250CB"/>
    <w:rsid w:val="00525D6D"/>
    <w:rsid w:val="005271F9"/>
    <w:rsid w:val="00530B06"/>
    <w:rsid w:val="005320B4"/>
    <w:rsid w:val="00532196"/>
    <w:rsid w:val="005329EC"/>
    <w:rsid w:val="005335F2"/>
    <w:rsid w:val="00533A1D"/>
    <w:rsid w:val="00533DA4"/>
    <w:rsid w:val="00533DC6"/>
    <w:rsid w:val="0053431E"/>
    <w:rsid w:val="00534CB2"/>
    <w:rsid w:val="005402A4"/>
    <w:rsid w:val="005418A7"/>
    <w:rsid w:val="00542612"/>
    <w:rsid w:val="0054314A"/>
    <w:rsid w:val="0054527D"/>
    <w:rsid w:val="00547072"/>
    <w:rsid w:val="00550095"/>
    <w:rsid w:val="0055039F"/>
    <w:rsid w:val="00551656"/>
    <w:rsid w:val="0055167A"/>
    <w:rsid w:val="005531C3"/>
    <w:rsid w:val="005531F8"/>
    <w:rsid w:val="00553795"/>
    <w:rsid w:val="00553F46"/>
    <w:rsid w:val="0055508B"/>
    <w:rsid w:val="00557137"/>
    <w:rsid w:val="0056123F"/>
    <w:rsid w:val="00562107"/>
    <w:rsid w:val="005644E1"/>
    <w:rsid w:val="00564EFF"/>
    <w:rsid w:val="00565195"/>
    <w:rsid w:val="005665FA"/>
    <w:rsid w:val="00566D38"/>
    <w:rsid w:val="00566DF8"/>
    <w:rsid w:val="0056729C"/>
    <w:rsid w:val="00567CF2"/>
    <w:rsid w:val="005704A1"/>
    <w:rsid w:val="00570DBB"/>
    <w:rsid w:val="00571F04"/>
    <w:rsid w:val="00574070"/>
    <w:rsid w:val="00575C43"/>
    <w:rsid w:val="005762FE"/>
    <w:rsid w:val="00576FA5"/>
    <w:rsid w:val="00577B5D"/>
    <w:rsid w:val="00577D69"/>
    <w:rsid w:val="00580D0D"/>
    <w:rsid w:val="00581814"/>
    <w:rsid w:val="00581AD3"/>
    <w:rsid w:val="00585D85"/>
    <w:rsid w:val="00587608"/>
    <w:rsid w:val="005908C0"/>
    <w:rsid w:val="005912A1"/>
    <w:rsid w:val="005A111F"/>
    <w:rsid w:val="005A21AD"/>
    <w:rsid w:val="005A3742"/>
    <w:rsid w:val="005A41BF"/>
    <w:rsid w:val="005A5801"/>
    <w:rsid w:val="005A7A4E"/>
    <w:rsid w:val="005A7B60"/>
    <w:rsid w:val="005B099B"/>
    <w:rsid w:val="005B1B6E"/>
    <w:rsid w:val="005B3238"/>
    <w:rsid w:val="005B3315"/>
    <w:rsid w:val="005B3385"/>
    <w:rsid w:val="005B4906"/>
    <w:rsid w:val="005B59C4"/>
    <w:rsid w:val="005B59E0"/>
    <w:rsid w:val="005B660B"/>
    <w:rsid w:val="005B717F"/>
    <w:rsid w:val="005C0C3C"/>
    <w:rsid w:val="005C3BE2"/>
    <w:rsid w:val="005C71D3"/>
    <w:rsid w:val="005C7B3B"/>
    <w:rsid w:val="005D0601"/>
    <w:rsid w:val="005D3410"/>
    <w:rsid w:val="005D51B9"/>
    <w:rsid w:val="005D527D"/>
    <w:rsid w:val="005D5919"/>
    <w:rsid w:val="005D5FF2"/>
    <w:rsid w:val="005D6C2B"/>
    <w:rsid w:val="005E16B8"/>
    <w:rsid w:val="005E21C0"/>
    <w:rsid w:val="005E3E7C"/>
    <w:rsid w:val="005E6C34"/>
    <w:rsid w:val="005F068D"/>
    <w:rsid w:val="005F0749"/>
    <w:rsid w:val="005F0CE3"/>
    <w:rsid w:val="006029C0"/>
    <w:rsid w:val="006037D3"/>
    <w:rsid w:val="00603940"/>
    <w:rsid w:val="006042DA"/>
    <w:rsid w:val="00604F7E"/>
    <w:rsid w:val="00606487"/>
    <w:rsid w:val="00607423"/>
    <w:rsid w:val="0061043B"/>
    <w:rsid w:val="00610C50"/>
    <w:rsid w:val="0061186F"/>
    <w:rsid w:val="00611C31"/>
    <w:rsid w:val="00611D98"/>
    <w:rsid w:val="00611E82"/>
    <w:rsid w:val="00612079"/>
    <w:rsid w:val="00612239"/>
    <w:rsid w:val="006151BD"/>
    <w:rsid w:val="0061598C"/>
    <w:rsid w:val="00616634"/>
    <w:rsid w:val="006177C0"/>
    <w:rsid w:val="006202C9"/>
    <w:rsid w:val="0062164D"/>
    <w:rsid w:val="0062215C"/>
    <w:rsid w:val="006221FB"/>
    <w:rsid w:val="006266DC"/>
    <w:rsid w:val="006274B5"/>
    <w:rsid w:val="00630468"/>
    <w:rsid w:val="006306A7"/>
    <w:rsid w:val="00633A8E"/>
    <w:rsid w:val="00633D55"/>
    <w:rsid w:val="00635C4B"/>
    <w:rsid w:val="0063680A"/>
    <w:rsid w:val="00637409"/>
    <w:rsid w:val="00641DB2"/>
    <w:rsid w:val="0064458F"/>
    <w:rsid w:val="006452BF"/>
    <w:rsid w:val="0064709C"/>
    <w:rsid w:val="00647865"/>
    <w:rsid w:val="00652937"/>
    <w:rsid w:val="00653193"/>
    <w:rsid w:val="00653C5B"/>
    <w:rsid w:val="00653D42"/>
    <w:rsid w:val="00654AF7"/>
    <w:rsid w:val="00655686"/>
    <w:rsid w:val="00656937"/>
    <w:rsid w:val="00657B87"/>
    <w:rsid w:val="0066027F"/>
    <w:rsid w:val="0066081E"/>
    <w:rsid w:val="0066144E"/>
    <w:rsid w:val="0066217D"/>
    <w:rsid w:val="006629D4"/>
    <w:rsid w:val="00664C13"/>
    <w:rsid w:val="00664CB0"/>
    <w:rsid w:val="0066572A"/>
    <w:rsid w:val="00665859"/>
    <w:rsid w:val="00665AEE"/>
    <w:rsid w:val="00666A9B"/>
    <w:rsid w:val="0067104F"/>
    <w:rsid w:val="0067509F"/>
    <w:rsid w:val="006757D7"/>
    <w:rsid w:val="00676027"/>
    <w:rsid w:val="00677219"/>
    <w:rsid w:val="0067748C"/>
    <w:rsid w:val="00681E61"/>
    <w:rsid w:val="00682715"/>
    <w:rsid w:val="00684BDE"/>
    <w:rsid w:val="006859DB"/>
    <w:rsid w:val="00685AEC"/>
    <w:rsid w:val="00687E0D"/>
    <w:rsid w:val="00687E7A"/>
    <w:rsid w:val="006909BA"/>
    <w:rsid w:val="006923AC"/>
    <w:rsid w:val="00692801"/>
    <w:rsid w:val="00692847"/>
    <w:rsid w:val="00692BB0"/>
    <w:rsid w:val="00693C9D"/>
    <w:rsid w:val="00694722"/>
    <w:rsid w:val="00696667"/>
    <w:rsid w:val="00697057"/>
    <w:rsid w:val="0069735B"/>
    <w:rsid w:val="006A050E"/>
    <w:rsid w:val="006A10CF"/>
    <w:rsid w:val="006A2C56"/>
    <w:rsid w:val="006A2CF8"/>
    <w:rsid w:val="006A4018"/>
    <w:rsid w:val="006A4BBE"/>
    <w:rsid w:val="006A52AE"/>
    <w:rsid w:val="006A7A95"/>
    <w:rsid w:val="006B1D85"/>
    <w:rsid w:val="006B275B"/>
    <w:rsid w:val="006B31E9"/>
    <w:rsid w:val="006B3B5C"/>
    <w:rsid w:val="006C0227"/>
    <w:rsid w:val="006C1C58"/>
    <w:rsid w:val="006C4334"/>
    <w:rsid w:val="006C4695"/>
    <w:rsid w:val="006C5249"/>
    <w:rsid w:val="006C7270"/>
    <w:rsid w:val="006D2D53"/>
    <w:rsid w:val="006D2FE4"/>
    <w:rsid w:val="006D3CD5"/>
    <w:rsid w:val="006D43E4"/>
    <w:rsid w:val="006D4CE5"/>
    <w:rsid w:val="006E24C3"/>
    <w:rsid w:val="006E4756"/>
    <w:rsid w:val="006E4A77"/>
    <w:rsid w:val="006E5941"/>
    <w:rsid w:val="006F1750"/>
    <w:rsid w:val="006F3639"/>
    <w:rsid w:val="006F3DF9"/>
    <w:rsid w:val="006F55DA"/>
    <w:rsid w:val="006F5B48"/>
    <w:rsid w:val="006F6C23"/>
    <w:rsid w:val="006F7786"/>
    <w:rsid w:val="007003FD"/>
    <w:rsid w:val="00704320"/>
    <w:rsid w:val="00707A58"/>
    <w:rsid w:val="00710A64"/>
    <w:rsid w:val="00711A09"/>
    <w:rsid w:val="00712773"/>
    <w:rsid w:val="00712B5D"/>
    <w:rsid w:val="007136D4"/>
    <w:rsid w:val="00713996"/>
    <w:rsid w:val="0072125C"/>
    <w:rsid w:val="00721C8A"/>
    <w:rsid w:val="007225AF"/>
    <w:rsid w:val="0072297A"/>
    <w:rsid w:val="007230EC"/>
    <w:rsid w:val="007237DC"/>
    <w:rsid w:val="007243F7"/>
    <w:rsid w:val="00726D40"/>
    <w:rsid w:val="00731A4D"/>
    <w:rsid w:val="00732A1D"/>
    <w:rsid w:val="00732B19"/>
    <w:rsid w:val="00736003"/>
    <w:rsid w:val="007406BB"/>
    <w:rsid w:val="0074156B"/>
    <w:rsid w:val="00741B61"/>
    <w:rsid w:val="00741F8C"/>
    <w:rsid w:val="00741FA5"/>
    <w:rsid w:val="0074307C"/>
    <w:rsid w:val="00743A26"/>
    <w:rsid w:val="007449DC"/>
    <w:rsid w:val="007462B6"/>
    <w:rsid w:val="00746A69"/>
    <w:rsid w:val="00747543"/>
    <w:rsid w:val="00747E14"/>
    <w:rsid w:val="00752946"/>
    <w:rsid w:val="00752B5A"/>
    <w:rsid w:val="00753D9E"/>
    <w:rsid w:val="0075492A"/>
    <w:rsid w:val="00755997"/>
    <w:rsid w:val="00755C2D"/>
    <w:rsid w:val="00756815"/>
    <w:rsid w:val="00756C7A"/>
    <w:rsid w:val="0076043A"/>
    <w:rsid w:val="00760EBA"/>
    <w:rsid w:val="00764AC1"/>
    <w:rsid w:val="00765254"/>
    <w:rsid w:val="007656E1"/>
    <w:rsid w:val="00767A80"/>
    <w:rsid w:val="00767EB8"/>
    <w:rsid w:val="00770864"/>
    <w:rsid w:val="00771B8F"/>
    <w:rsid w:val="00772A17"/>
    <w:rsid w:val="00772B95"/>
    <w:rsid w:val="00772ED6"/>
    <w:rsid w:val="0077517B"/>
    <w:rsid w:val="00780109"/>
    <w:rsid w:val="00784DCA"/>
    <w:rsid w:val="007874F4"/>
    <w:rsid w:val="00787AD8"/>
    <w:rsid w:val="00790BEA"/>
    <w:rsid w:val="007922DC"/>
    <w:rsid w:val="00792F7A"/>
    <w:rsid w:val="00794F7A"/>
    <w:rsid w:val="007952A2"/>
    <w:rsid w:val="007960E5"/>
    <w:rsid w:val="007969E7"/>
    <w:rsid w:val="007973F0"/>
    <w:rsid w:val="007979F6"/>
    <w:rsid w:val="007A0260"/>
    <w:rsid w:val="007A2B93"/>
    <w:rsid w:val="007A2C6F"/>
    <w:rsid w:val="007A2F19"/>
    <w:rsid w:val="007A4407"/>
    <w:rsid w:val="007A4BD3"/>
    <w:rsid w:val="007A6F80"/>
    <w:rsid w:val="007B0777"/>
    <w:rsid w:val="007B0BE5"/>
    <w:rsid w:val="007B281C"/>
    <w:rsid w:val="007B313F"/>
    <w:rsid w:val="007B31DE"/>
    <w:rsid w:val="007B3AD9"/>
    <w:rsid w:val="007B7ACF"/>
    <w:rsid w:val="007C0059"/>
    <w:rsid w:val="007C0BB8"/>
    <w:rsid w:val="007C1A66"/>
    <w:rsid w:val="007C3045"/>
    <w:rsid w:val="007C3C17"/>
    <w:rsid w:val="007C53EE"/>
    <w:rsid w:val="007C677C"/>
    <w:rsid w:val="007D2EED"/>
    <w:rsid w:val="007D4C0C"/>
    <w:rsid w:val="007D51A1"/>
    <w:rsid w:val="007E25FA"/>
    <w:rsid w:val="007E3D23"/>
    <w:rsid w:val="007E5150"/>
    <w:rsid w:val="007E58FA"/>
    <w:rsid w:val="007E6087"/>
    <w:rsid w:val="007E65E0"/>
    <w:rsid w:val="007F42E0"/>
    <w:rsid w:val="007F5E23"/>
    <w:rsid w:val="007F6399"/>
    <w:rsid w:val="007F6B81"/>
    <w:rsid w:val="008016FD"/>
    <w:rsid w:val="00801F84"/>
    <w:rsid w:val="00802930"/>
    <w:rsid w:val="00804DA7"/>
    <w:rsid w:val="00805053"/>
    <w:rsid w:val="008066EF"/>
    <w:rsid w:val="00807464"/>
    <w:rsid w:val="00807FB0"/>
    <w:rsid w:val="00811BAE"/>
    <w:rsid w:val="00815091"/>
    <w:rsid w:val="00815886"/>
    <w:rsid w:val="008160FC"/>
    <w:rsid w:val="00823C2A"/>
    <w:rsid w:val="0083039B"/>
    <w:rsid w:val="0083359C"/>
    <w:rsid w:val="0083422C"/>
    <w:rsid w:val="0083636C"/>
    <w:rsid w:val="008375A2"/>
    <w:rsid w:val="00837F2D"/>
    <w:rsid w:val="00841A55"/>
    <w:rsid w:val="00841EFB"/>
    <w:rsid w:val="008433A7"/>
    <w:rsid w:val="008435D9"/>
    <w:rsid w:val="00844827"/>
    <w:rsid w:val="008454C1"/>
    <w:rsid w:val="00845606"/>
    <w:rsid w:val="00845E65"/>
    <w:rsid w:val="008469FF"/>
    <w:rsid w:val="00846F27"/>
    <w:rsid w:val="00851985"/>
    <w:rsid w:val="008525F1"/>
    <w:rsid w:val="00852ADB"/>
    <w:rsid w:val="00853948"/>
    <w:rsid w:val="00853DA2"/>
    <w:rsid w:val="00857795"/>
    <w:rsid w:val="0086021C"/>
    <w:rsid w:val="0086135C"/>
    <w:rsid w:val="008623A4"/>
    <w:rsid w:val="00863C6A"/>
    <w:rsid w:val="00865836"/>
    <w:rsid w:val="008661FB"/>
    <w:rsid w:val="00866F1E"/>
    <w:rsid w:val="00874001"/>
    <w:rsid w:val="00881655"/>
    <w:rsid w:val="00881A05"/>
    <w:rsid w:val="00881E88"/>
    <w:rsid w:val="00885EDA"/>
    <w:rsid w:val="00886913"/>
    <w:rsid w:val="008879B6"/>
    <w:rsid w:val="00887D80"/>
    <w:rsid w:val="008918C1"/>
    <w:rsid w:val="00891A34"/>
    <w:rsid w:val="008925D4"/>
    <w:rsid w:val="008927E9"/>
    <w:rsid w:val="00893B66"/>
    <w:rsid w:val="00894231"/>
    <w:rsid w:val="00896FAF"/>
    <w:rsid w:val="008A0D0B"/>
    <w:rsid w:val="008A13B5"/>
    <w:rsid w:val="008A1B2F"/>
    <w:rsid w:val="008A3210"/>
    <w:rsid w:val="008A41EF"/>
    <w:rsid w:val="008A472E"/>
    <w:rsid w:val="008A70BB"/>
    <w:rsid w:val="008A7DD9"/>
    <w:rsid w:val="008B03B9"/>
    <w:rsid w:val="008B054D"/>
    <w:rsid w:val="008B0AB9"/>
    <w:rsid w:val="008B1D10"/>
    <w:rsid w:val="008B52E4"/>
    <w:rsid w:val="008B69BC"/>
    <w:rsid w:val="008C0308"/>
    <w:rsid w:val="008C18F2"/>
    <w:rsid w:val="008C2C9B"/>
    <w:rsid w:val="008C3CD3"/>
    <w:rsid w:val="008C405D"/>
    <w:rsid w:val="008C4973"/>
    <w:rsid w:val="008C7974"/>
    <w:rsid w:val="008D0886"/>
    <w:rsid w:val="008D198C"/>
    <w:rsid w:val="008D420F"/>
    <w:rsid w:val="008D5E47"/>
    <w:rsid w:val="008D652F"/>
    <w:rsid w:val="008D6A55"/>
    <w:rsid w:val="008D78D2"/>
    <w:rsid w:val="008E00D5"/>
    <w:rsid w:val="008E27EC"/>
    <w:rsid w:val="008E3B36"/>
    <w:rsid w:val="008E4881"/>
    <w:rsid w:val="008E6319"/>
    <w:rsid w:val="008E6735"/>
    <w:rsid w:val="008F19DC"/>
    <w:rsid w:val="008F2374"/>
    <w:rsid w:val="008F4AD0"/>
    <w:rsid w:val="008F56D8"/>
    <w:rsid w:val="008F610C"/>
    <w:rsid w:val="008F7193"/>
    <w:rsid w:val="008F7759"/>
    <w:rsid w:val="00900CC6"/>
    <w:rsid w:val="00901902"/>
    <w:rsid w:val="009079F5"/>
    <w:rsid w:val="00907A0E"/>
    <w:rsid w:val="00914AA0"/>
    <w:rsid w:val="00915F4C"/>
    <w:rsid w:val="00916E08"/>
    <w:rsid w:val="00920A81"/>
    <w:rsid w:val="009213B8"/>
    <w:rsid w:val="009214E2"/>
    <w:rsid w:val="009237D9"/>
    <w:rsid w:val="00923EB8"/>
    <w:rsid w:val="0092475C"/>
    <w:rsid w:val="00925C5F"/>
    <w:rsid w:val="00931C47"/>
    <w:rsid w:val="00931D85"/>
    <w:rsid w:val="00933E65"/>
    <w:rsid w:val="00934A01"/>
    <w:rsid w:val="00934CAE"/>
    <w:rsid w:val="009360BC"/>
    <w:rsid w:val="00940352"/>
    <w:rsid w:val="009413FE"/>
    <w:rsid w:val="00945AA0"/>
    <w:rsid w:val="00951CA1"/>
    <w:rsid w:val="00953562"/>
    <w:rsid w:val="00953643"/>
    <w:rsid w:val="0095495E"/>
    <w:rsid w:val="00954B6A"/>
    <w:rsid w:val="00954C2F"/>
    <w:rsid w:val="00954D92"/>
    <w:rsid w:val="009553EB"/>
    <w:rsid w:val="0095606A"/>
    <w:rsid w:val="00956126"/>
    <w:rsid w:val="0095723C"/>
    <w:rsid w:val="009616C5"/>
    <w:rsid w:val="0096274D"/>
    <w:rsid w:val="00962CA8"/>
    <w:rsid w:val="00963437"/>
    <w:rsid w:val="0096669A"/>
    <w:rsid w:val="00966BAA"/>
    <w:rsid w:val="00967E64"/>
    <w:rsid w:val="009720EB"/>
    <w:rsid w:val="009731BD"/>
    <w:rsid w:val="00976803"/>
    <w:rsid w:val="009848D6"/>
    <w:rsid w:val="00985FB1"/>
    <w:rsid w:val="009874F5"/>
    <w:rsid w:val="0099189F"/>
    <w:rsid w:val="009928A7"/>
    <w:rsid w:val="00992FE6"/>
    <w:rsid w:val="00993F52"/>
    <w:rsid w:val="009948F4"/>
    <w:rsid w:val="009970FF"/>
    <w:rsid w:val="009A140E"/>
    <w:rsid w:val="009A3D51"/>
    <w:rsid w:val="009A615E"/>
    <w:rsid w:val="009A6F3E"/>
    <w:rsid w:val="009A75BA"/>
    <w:rsid w:val="009B29E2"/>
    <w:rsid w:val="009B2F62"/>
    <w:rsid w:val="009B39DE"/>
    <w:rsid w:val="009B3B14"/>
    <w:rsid w:val="009B560D"/>
    <w:rsid w:val="009B5D8B"/>
    <w:rsid w:val="009B7C82"/>
    <w:rsid w:val="009C1657"/>
    <w:rsid w:val="009C2930"/>
    <w:rsid w:val="009C5430"/>
    <w:rsid w:val="009C54FD"/>
    <w:rsid w:val="009C6AC8"/>
    <w:rsid w:val="009D60DC"/>
    <w:rsid w:val="009D67CB"/>
    <w:rsid w:val="009D67F4"/>
    <w:rsid w:val="009D7F0C"/>
    <w:rsid w:val="009E0110"/>
    <w:rsid w:val="009E0942"/>
    <w:rsid w:val="009E28D2"/>
    <w:rsid w:val="009E331B"/>
    <w:rsid w:val="009E420A"/>
    <w:rsid w:val="009E5014"/>
    <w:rsid w:val="009E5210"/>
    <w:rsid w:val="009E73DD"/>
    <w:rsid w:val="009E7539"/>
    <w:rsid w:val="009F0487"/>
    <w:rsid w:val="009F11B4"/>
    <w:rsid w:val="009F13AF"/>
    <w:rsid w:val="009F1DB9"/>
    <w:rsid w:val="009F2C5C"/>
    <w:rsid w:val="009F3173"/>
    <w:rsid w:val="009F4336"/>
    <w:rsid w:val="009F4C2D"/>
    <w:rsid w:val="009F59EB"/>
    <w:rsid w:val="009F65EC"/>
    <w:rsid w:val="00A006FB"/>
    <w:rsid w:val="00A0106B"/>
    <w:rsid w:val="00A03432"/>
    <w:rsid w:val="00A04937"/>
    <w:rsid w:val="00A06BD0"/>
    <w:rsid w:val="00A06BDF"/>
    <w:rsid w:val="00A06E80"/>
    <w:rsid w:val="00A1408C"/>
    <w:rsid w:val="00A15F10"/>
    <w:rsid w:val="00A16F9D"/>
    <w:rsid w:val="00A178A3"/>
    <w:rsid w:val="00A17DFD"/>
    <w:rsid w:val="00A20071"/>
    <w:rsid w:val="00A204ED"/>
    <w:rsid w:val="00A21ADF"/>
    <w:rsid w:val="00A23309"/>
    <w:rsid w:val="00A2572F"/>
    <w:rsid w:val="00A26405"/>
    <w:rsid w:val="00A26659"/>
    <w:rsid w:val="00A273DF"/>
    <w:rsid w:val="00A27459"/>
    <w:rsid w:val="00A318EF"/>
    <w:rsid w:val="00A320DD"/>
    <w:rsid w:val="00A33C7A"/>
    <w:rsid w:val="00A33F10"/>
    <w:rsid w:val="00A34ACC"/>
    <w:rsid w:val="00A36EFA"/>
    <w:rsid w:val="00A376D2"/>
    <w:rsid w:val="00A42961"/>
    <w:rsid w:val="00A43444"/>
    <w:rsid w:val="00A442F5"/>
    <w:rsid w:val="00A4717E"/>
    <w:rsid w:val="00A476C2"/>
    <w:rsid w:val="00A50B4B"/>
    <w:rsid w:val="00A536FE"/>
    <w:rsid w:val="00A56402"/>
    <w:rsid w:val="00A565A6"/>
    <w:rsid w:val="00A56C04"/>
    <w:rsid w:val="00A56C3B"/>
    <w:rsid w:val="00A60548"/>
    <w:rsid w:val="00A60F3B"/>
    <w:rsid w:val="00A61A02"/>
    <w:rsid w:val="00A61D9E"/>
    <w:rsid w:val="00A70805"/>
    <w:rsid w:val="00A70B6E"/>
    <w:rsid w:val="00A71A9C"/>
    <w:rsid w:val="00A71FD5"/>
    <w:rsid w:val="00A7384B"/>
    <w:rsid w:val="00A75795"/>
    <w:rsid w:val="00A767FD"/>
    <w:rsid w:val="00A800EA"/>
    <w:rsid w:val="00A844F2"/>
    <w:rsid w:val="00A866A1"/>
    <w:rsid w:val="00A8702F"/>
    <w:rsid w:val="00A91A39"/>
    <w:rsid w:val="00A92B88"/>
    <w:rsid w:val="00A93421"/>
    <w:rsid w:val="00A936A7"/>
    <w:rsid w:val="00A93C02"/>
    <w:rsid w:val="00A95441"/>
    <w:rsid w:val="00A95C86"/>
    <w:rsid w:val="00A95FFA"/>
    <w:rsid w:val="00A964F1"/>
    <w:rsid w:val="00A97C1E"/>
    <w:rsid w:val="00AA076C"/>
    <w:rsid w:val="00AA64B8"/>
    <w:rsid w:val="00AA6E2F"/>
    <w:rsid w:val="00AB0F39"/>
    <w:rsid w:val="00AB35DC"/>
    <w:rsid w:val="00AB6538"/>
    <w:rsid w:val="00AB6C4F"/>
    <w:rsid w:val="00AC258B"/>
    <w:rsid w:val="00AC311A"/>
    <w:rsid w:val="00AC494E"/>
    <w:rsid w:val="00AC6ADA"/>
    <w:rsid w:val="00AC7AA4"/>
    <w:rsid w:val="00AD0174"/>
    <w:rsid w:val="00AD06EE"/>
    <w:rsid w:val="00AD080C"/>
    <w:rsid w:val="00AD1E26"/>
    <w:rsid w:val="00AD2CE8"/>
    <w:rsid w:val="00AD4BB4"/>
    <w:rsid w:val="00AD57DA"/>
    <w:rsid w:val="00AE17EB"/>
    <w:rsid w:val="00AE1A52"/>
    <w:rsid w:val="00AE3075"/>
    <w:rsid w:val="00AE33A1"/>
    <w:rsid w:val="00AF129B"/>
    <w:rsid w:val="00AF39FB"/>
    <w:rsid w:val="00AF46E8"/>
    <w:rsid w:val="00AF5DE0"/>
    <w:rsid w:val="00AF703E"/>
    <w:rsid w:val="00B00393"/>
    <w:rsid w:val="00B02FF4"/>
    <w:rsid w:val="00B06D4E"/>
    <w:rsid w:val="00B07458"/>
    <w:rsid w:val="00B076C1"/>
    <w:rsid w:val="00B0776C"/>
    <w:rsid w:val="00B10353"/>
    <w:rsid w:val="00B10F79"/>
    <w:rsid w:val="00B11732"/>
    <w:rsid w:val="00B129F4"/>
    <w:rsid w:val="00B141BF"/>
    <w:rsid w:val="00B15F08"/>
    <w:rsid w:val="00B16E72"/>
    <w:rsid w:val="00B175A8"/>
    <w:rsid w:val="00B203C9"/>
    <w:rsid w:val="00B22442"/>
    <w:rsid w:val="00B238E2"/>
    <w:rsid w:val="00B2513A"/>
    <w:rsid w:val="00B256BA"/>
    <w:rsid w:val="00B271CE"/>
    <w:rsid w:val="00B334EE"/>
    <w:rsid w:val="00B337D4"/>
    <w:rsid w:val="00B339D7"/>
    <w:rsid w:val="00B346F5"/>
    <w:rsid w:val="00B3565A"/>
    <w:rsid w:val="00B43210"/>
    <w:rsid w:val="00B45947"/>
    <w:rsid w:val="00B47674"/>
    <w:rsid w:val="00B50E99"/>
    <w:rsid w:val="00B5232D"/>
    <w:rsid w:val="00B537AB"/>
    <w:rsid w:val="00B54889"/>
    <w:rsid w:val="00B5701C"/>
    <w:rsid w:val="00B57699"/>
    <w:rsid w:val="00B57A91"/>
    <w:rsid w:val="00B57E6E"/>
    <w:rsid w:val="00B61A22"/>
    <w:rsid w:val="00B61E76"/>
    <w:rsid w:val="00B62441"/>
    <w:rsid w:val="00B62516"/>
    <w:rsid w:val="00B64028"/>
    <w:rsid w:val="00B64999"/>
    <w:rsid w:val="00B667DC"/>
    <w:rsid w:val="00B67415"/>
    <w:rsid w:val="00B76186"/>
    <w:rsid w:val="00B7660D"/>
    <w:rsid w:val="00B82021"/>
    <w:rsid w:val="00B83451"/>
    <w:rsid w:val="00B9103D"/>
    <w:rsid w:val="00B910E1"/>
    <w:rsid w:val="00B9117F"/>
    <w:rsid w:val="00B922BA"/>
    <w:rsid w:val="00B92426"/>
    <w:rsid w:val="00B929AF"/>
    <w:rsid w:val="00B937D1"/>
    <w:rsid w:val="00B946E9"/>
    <w:rsid w:val="00B94FFC"/>
    <w:rsid w:val="00B97BB6"/>
    <w:rsid w:val="00BA0213"/>
    <w:rsid w:val="00BA2267"/>
    <w:rsid w:val="00BA2A4A"/>
    <w:rsid w:val="00BA4B45"/>
    <w:rsid w:val="00BA4D3E"/>
    <w:rsid w:val="00BA4E35"/>
    <w:rsid w:val="00BA5837"/>
    <w:rsid w:val="00BA77F2"/>
    <w:rsid w:val="00BA7E5A"/>
    <w:rsid w:val="00BB0DD7"/>
    <w:rsid w:val="00BB1695"/>
    <w:rsid w:val="00BB1A6E"/>
    <w:rsid w:val="00BB23ED"/>
    <w:rsid w:val="00BB3821"/>
    <w:rsid w:val="00BB5584"/>
    <w:rsid w:val="00BC1652"/>
    <w:rsid w:val="00BC2982"/>
    <w:rsid w:val="00BC402C"/>
    <w:rsid w:val="00BC5446"/>
    <w:rsid w:val="00BC5AA5"/>
    <w:rsid w:val="00BD082D"/>
    <w:rsid w:val="00BD1610"/>
    <w:rsid w:val="00BD2360"/>
    <w:rsid w:val="00BD23FF"/>
    <w:rsid w:val="00BD2F3A"/>
    <w:rsid w:val="00BD4884"/>
    <w:rsid w:val="00BD6755"/>
    <w:rsid w:val="00BD7D66"/>
    <w:rsid w:val="00BE196D"/>
    <w:rsid w:val="00BE21A8"/>
    <w:rsid w:val="00BE2274"/>
    <w:rsid w:val="00BE49C6"/>
    <w:rsid w:val="00BE4A73"/>
    <w:rsid w:val="00BE6D9D"/>
    <w:rsid w:val="00BE7F7E"/>
    <w:rsid w:val="00BF0267"/>
    <w:rsid w:val="00BF1B34"/>
    <w:rsid w:val="00BF532F"/>
    <w:rsid w:val="00BF6CEB"/>
    <w:rsid w:val="00BF76EB"/>
    <w:rsid w:val="00BF775E"/>
    <w:rsid w:val="00BF7ADF"/>
    <w:rsid w:val="00BF7F89"/>
    <w:rsid w:val="00C00C48"/>
    <w:rsid w:val="00C0219E"/>
    <w:rsid w:val="00C03BA0"/>
    <w:rsid w:val="00C04AE7"/>
    <w:rsid w:val="00C04DD6"/>
    <w:rsid w:val="00C075AE"/>
    <w:rsid w:val="00C07A9B"/>
    <w:rsid w:val="00C108D7"/>
    <w:rsid w:val="00C10A84"/>
    <w:rsid w:val="00C11E5F"/>
    <w:rsid w:val="00C12835"/>
    <w:rsid w:val="00C12BD0"/>
    <w:rsid w:val="00C133A5"/>
    <w:rsid w:val="00C13D42"/>
    <w:rsid w:val="00C15B56"/>
    <w:rsid w:val="00C164AC"/>
    <w:rsid w:val="00C16F87"/>
    <w:rsid w:val="00C177C0"/>
    <w:rsid w:val="00C20030"/>
    <w:rsid w:val="00C204D0"/>
    <w:rsid w:val="00C2067A"/>
    <w:rsid w:val="00C2143A"/>
    <w:rsid w:val="00C2160A"/>
    <w:rsid w:val="00C2519A"/>
    <w:rsid w:val="00C2609E"/>
    <w:rsid w:val="00C272EB"/>
    <w:rsid w:val="00C326DE"/>
    <w:rsid w:val="00C35337"/>
    <w:rsid w:val="00C35538"/>
    <w:rsid w:val="00C36942"/>
    <w:rsid w:val="00C400F3"/>
    <w:rsid w:val="00C44586"/>
    <w:rsid w:val="00C4538A"/>
    <w:rsid w:val="00C52225"/>
    <w:rsid w:val="00C5322F"/>
    <w:rsid w:val="00C53363"/>
    <w:rsid w:val="00C5366B"/>
    <w:rsid w:val="00C53B66"/>
    <w:rsid w:val="00C54F68"/>
    <w:rsid w:val="00C55626"/>
    <w:rsid w:val="00C55EB5"/>
    <w:rsid w:val="00C56A5D"/>
    <w:rsid w:val="00C5717E"/>
    <w:rsid w:val="00C61001"/>
    <w:rsid w:val="00C639AF"/>
    <w:rsid w:val="00C640BE"/>
    <w:rsid w:val="00C64151"/>
    <w:rsid w:val="00C64344"/>
    <w:rsid w:val="00C654E7"/>
    <w:rsid w:val="00C66C28"/>
    <w:rsid w:val="00C67750"/>
    <w:rsid w:val="00C70D10"/>
    <w:rsid w:val="00C73D2A"/>
    <w:rsid w:val="00C7471E"/>
    <w:rsid w:val="00C74CEF"/>
    <w:rsid w:val="00C76E8A"/>
    <w:rsid w:val="00C77097"/>
    <w:rsid w:val="00C77492"/>
    <w:rsid w:val="00C81CC7"/>
    <w:rsid w:val="00C8212D"/>
    <w:rsid w:val="00C827EA"/>
    <w:rsid w:val="00C830A5"/>
    <w:rsid w:val="00C83D36"/>
    <w:rsid w:val="00C85829"/>
    <w:rsid w:val="00C85B9A"/>
    <w:rsid w:val="00C86A4B"/>
    <w:rsid w:val="00C86E07"/>
    <w:rsid w:val="00C876F4"/>
    <w:rsid w:val="00C92441"/>
    <w:rsid w:val="00C932BD"/>
    <w:rsid w:val="00CA2E25"/>
    <w:rsid w:val="00CA563C"/>
    <w:rsid w:val="00CA5F9A"/>
    <w:rsid w:val="00CA78D4"/>
    <w:rsid w:val="00CA7AC2"/>
    <w:rsid w:val="00CA7E73"/>
    <w:rsid w:val="00CB2AFA"/>
    <w:rsid w:val="00CB2C53"/>
    <w:rsid w:val="00CB440C"/>
    <w:rsid w:val="00CB57A8"/>
    <w:rsid w:val="00CB5C35"/>
    <w:rsid w:val="00CC0ECA"/>
    <w:rsid w:val="00CC2EBC"/>
    <w:rsid w:val="00CC38DC"/>
    <w:rsid w:val="00CC3C9C"/>
    <w:rsid w:val="00CC6645"/>
    <w:rsid w:val="00CC6F7F"/>
    <w:rsid w:val="00CC7692"/>
    <w:rsid w:val="00CD21DF"/>
    <w:rsid w:val="00CD3605"/>
    <w:rsid w:val="00CD4A77"/>
    <w:rsid w:val="00CD4CB6"/>
    <w:rsid w:val="00CD55FA"/>
    <w:rsid w:val="00CE37EA"/>
    <w:rsid w:val="00CE390F"/>
    <w:rsid w:val="00CE3EB6"/>
    <w:rsid w:val="00CE59BD"/>
    <w:rsid w:val="00CE6FFE"/>
    <w:rsid w:val="00CE7025"/>
    <w:rsid w:val="00CE7F65"/>
    <w:rsid w:val="00CF172F"/>
    <w:rsid w:val="00CF213A"/>
    <w:rsid w:val="00CF2A3A"/>
    <w:rsid w:val="00CF3351"/>
    <w:rsid w:val="00CF3670"/>
    <w:rsid w:val="00CF3E6F"/>
    <w:rsid w:val="00CF4197"/>
    <w:rsid w:val="00CF5555"/>
    <w:rsid w:val="00CF61CF"/>
    <w:rsid w:val="00CF650C"/>
    <w:rsid w:val="00CF66BC"/>
    <w:rsid w:val="00D006CC"/>
    <w:rsid w:val="00D06448"/>
    <w:rsid w:val="00D074DD"/>
    <w:rsid w:val="00D11A22"/>
    <w:rsid w:val="00D1281F"/>
    <w:rsid w:val="00D13189"/>
    <w:rsid w:val="00D14917"/>
    <w:rsid w:val="00D1574E"/>
    <w:rsid w:val="00D15BBC"/>
    <w:rsid w:val="00D16179"/>
    <w:rsid w:val="00D17F8B"/>
    <w:rsid w:val="00D20237"/>
    <w:rsid w:val="00D222BE"/>
    <w:rsid w:val="00D22709"/>
    <w:rsid w:val="00D23DD6"/>
    <w:rsid w:val="00D254C9"/>
    <w:rsid w:val="00D300C2"/>
    <w:rsid w:val="00D316DD"/>
    <w:rsid w:val="00D33731"/>
    <w:rsid w:val="00D3408C"/>
    <w:rsid w:val="00D352ED"/>
    <w:rsid w:val="00D3729D"/>
    <w:rsid w:val="00D37D91"/>
    <w:rsid w:val="00D4148D"/>
    <w:rsid w:val="00D4169C"/>
    <w:rsid w:val="00D41E62"/>
    <w:rsid w:val="00D42EF7"/>
    <w:rsid w:val="00D44A27"/>
    <w:rsid w:val="00D44BC9"/>
    <w:rsid w:val="00D458C3"/>
    <w:rsid w:val="00D45F15"/>
    <w:rsid w:val="00D53B01"/>
    <w:rsid w:val="00D53E76"/>
    <w:rsid w:val="00D54E99"/>
    <w:rsid w:val="00D56A0D"/>
    <w:rsid w:val="00D56FBF"/>
    <w:rsid w:val="00D62D3F"/>
    <w:rsid w:val="00D62DB1"/>
    <w:rsid w:val="00D631E3"/>
    <w:rsid w:val="00D63274"/>
    <w:rsid w:val="00D63D82"/>
    <w:rsid w:val="00D63ED8"/>
    <w:rsid w:val="00D64A77"/>
    <w:rsid w:val="00D6568C"/>
    <w:rsid w:val="00D66E30"/>
    <w:rsid w:val="00D67295"/>
    <w:rsid w:val="00D67A15"/>
    <w:rsid w:val="00D725A4"/>
    <w:rsid w:val="00D72F74"/>
    <w:rsid w:val="00D74AFE"/>
    <w:rsid w:val="00D75971"/>
    <w:rsid w:val="00D8301D"/>
    <w:rsid w:val="00D8423F"/>
    <w:rsid w:val="00D8665E"/>
    <w:rsid w:val="00D872CA"/>
    <w:rsid w:val="00D87E82"/>
    <w:rsid w:val="00D91EB8"/>
    <w:rsid w:val="00D9240B"/>
    <w:rsid w:val="00D92623"/>
    <w:rsid w:val="00D92846"/>
    <w:rsid w:val="00D9362D"/>
    <w:rsid w:val="00D939F8"/>
    <w:rsid w:val="00D9477D"/>
    <w:rsid w:val="00D948BB"/>
    <w:rsid w:val="00DA27DC"/>
    <w:rsid w:val="00DA347C"/>
    <w:rsid w:val="00DA5074"/>
    <w:rsid w:val="00DA696B"/>
    <w:rsid w:val="00DA6C2B"/>
    <w:rsid w:val="00DA7207"/>
    <w:rsid w:val="00DB1102"/>
    <w:rsid w:val="00DB27D5"/>
    <w:rsid w:val="00DB2E50"/>
    <w:rsid w:val="00DB5280"/>
    <w:rsid w:val="00DB6DE0"/>
    <w:rsid w:val="00DB6FEC"/>
    <w:rsid w:val="00DC2002"/>
    <w:rsid w:val="00DC2A59"/>
    <w:rsid w:val="00DC33A8"/>
    <w:rsid w:val="00DC63FF"/>
    <w:rsid w:val="00DD0896"/>
    <w:rsid w:val="00DD0B2A"/>
    <w:rsid w:val="00DD0BC5"/>
    <w:rsid w:val="00DD1110"/>
    <w:rsid w:val="00DD2333"/>
    <w:rsid w:val="00DD415B"/>
    <w:rsid w:val="00DD6187"/>
    <w:rsid w:val="00DE153C"/>
    <w:rsid w:val="00DE1BE1"/>
    <w:rsid w:val="00DE34A5"/>
    <w:rsid w:val="00DE4B72"/>
    <w:rsid w:val="00DE77D7"/>
    <w:rsid w:val="00DF2BB8"/>
    <w:rsid w:val="00DF2FEA"/>
    <w:rsid w:val="00DF43A7"/>
    <w:rsid w:val="00DF48D9"/>
    <w:rsid w:val="00DF5CD4"/>
    <w:rsid w:val="00DF73D0"/>
    <w:rsid w:val="00DF792D"/>
    <w:rsid w:val="00E02DD8"/>
    <w:rsid w:val="00E04B26"/>
    <w:rsid w:val="00E05E91"/>
    <w:rsid w:val="00E07351"/>
    <w:rsid w:val="00E12803"/>
    <w:rsid w:val="00E12E60"/>
    <w:rsid w:val="00E14D59"/>
    <w:rsid w:val="00E15100"/>
    <w:rsid w:val="00E15522"/>
    <w:rsid w:val="00E16AFB"/>
    <w:rsid w:val="00E20247"/>
    <w:rsid w:val="00E2256F"/>
    <w:rsid w:val="00E244F7"/>
    <w:rsid w:val="00E24D07"/>
    <w:rsid w:val="00E25714"/>
    <w:rsid w:val="00E2630C"/>
    <w:rsid w:val="00E268D4"/>
    <w:rsid w:val="00E26F34"/>
    <w:rsid w:val="00E26FD9"/>
    <w:rsid w:val="00E274C0"/>
    <w:rsid w:val="00E30BD6"/>
    <w:rsid w:val="00E3410C"/>
    <w:rsid w:val="00E3443E"/>
    <w:rsid w:val="00E3454D"/>
    <w:rsid w:val="00E3698D"/>
    <w:rsid w:val="00E36EA4"/>
    <w:rsid w:val="00E40390"/>
    <w:rsid w:val="00E40BED"/>
    <w:rsid w:val="00E41A70"/>
    <w:rsid w:val="00E4215D"/>
    <w:rsid w:val="00E4258A"/>
    <w:rsid w:val="00E42BFD"/>
    <w:rsid w:val="00E4504B"/>
    <w:rsid w:val="00E452BE"/>
    <w:rsid w:val="00E456A9"/>
    <w:rsid w:val="00E464C2"/>
    <w:rsid w:val="00E47A9D"/>
    <w:rsid w:val="00E50AD5"/>
    <w:rsid w:val="00E50EAA"/>
    <w:rsid w:val="00E52B51"/>
    <w:rsid w:val="00E54C9A"/>
    <w:rsid w:val="00E5634D"/>
    <w:rsid w:val="00E61B8D"/>
    <w:rsid w:val="00E64CAE"/>
    <w:rsid w:val="00E65260"/>
    <w:rsid w:val="00E67933"/>
    <w:rsid w:val="00E70BEE"/>
    <w:rsid w:val="00E712CD"/>
    <w:rsid w:val="00E71CE2"/>
    <w:rsid w:val="00E74893"/>
    <w:rsid w:val="00E753A5"/>
    <w:rsid w:val="00E756A2"/>
    <w:rsid w:val="00E76A12"/>
    <w:rsid w:val="00E7702B"/>
    <w:rsid w:val="00E774BC"/>
    <w:rsid w:val="00E77E6D"/>
    <w:rsid w:val="00E80AC6"/>
    <w:rsid w:val="00E824C3"/>
    <w:rsid w:val="00E82E32"/>
    <w:rsid w:val="00E85860"/>
    <w:rsid w:val="00E859A4"/>
    <w:rsid w:val="00E86E71"/>
    <w:rsid w:val="00E90F5E"/>
    <w:rsid w:val="00E92D28"/>
    <w:rsid w:val="00E930B7"/>
    <w:rsid w:val="00E97ED9"/>
    <w:rsid w:val="00EA2035"/>
    <w:rsid w:val="00EA2A92"/>
    <w:rsid w:val="00EA3894"/>
    <w:rsid w:val="00EA38BE"/>
    <w:rsid w:val="00EA448A"/>
    <w:rsid w:val="00EB0533"/>
    <w:rsid w:val="00EB0987"/>
    <w:rsid w:val="00EB2254"/>
    <w:rsid w:val="00EB6450"/>
    <w:rsid w:val="00EB7709"/>
    <w:rsid w:val="00EC0D68"/>
    <w:rsid w:val="00EC1A6F"/>
    <w:rsid w:val="00EC1D1F"/>
    <w:rsid w:val="00EC3FDA"/>
    <w:rsid w:val="00EC4455"/>
    <w:rsid w:val="00EC5D9F"/>
    <w:rsid w:val="00EC7CD7"/>
    <w:rsid w:val="00ED1B41"/>
    <w:rsid w:val="00ED263C"/>
    <w:rsid w:val="00ED2B16"/>
    <w:rsid w:val="00ED3F0C"/>
    <w:rsid w:val="00ED4F43"/>
    <w:rsid w:val="00ED539D"/>
    <w:rsid w:val="00ED5AF1"/>
    <w:rsid w:val="00ED697B"/>
    <w:rsid w:val="00ED6F4F"/>
    <w:rsid w:val="00ED7348"/>
    <w:rsid w:val="00EE0087"/>
    <w:rsid w:val="00EE26DF"/>
    <w:rsid w:val="00EE4A29"/>
    <w:rsid w:val="00EE5595"/>
    <w:rsid w:val="00EE5F8E"/>
    <w:rsid w:val="00EE6D85"/>
    <w:rsid w:val="00EE74C8"/>
    <w:rsid w:val="00EF078E"/>
    <w:rsid w:val="00EF338B"/>
    <w:rsid w:val="00EF3BB8"/>
    <w:rsid w:val="00EF425F"/>
    <w:rsid w:val="00EF4E0C"/>
    <w:rsid w:val="00EF54EE"/>
    <w:rsid w:val="00F0103F"/>
    <w:rsid w:val="00F0274E"/>
    <w:rsid w:val="00F041BF"/>
    <w:rsid w:val="00F04899"/>
    <w:rsid w:val="00F05B8D"/>
    <w:rsid w:val="00F05CF0"/>
    <w:rsid w:val="00F115FB"/>
    <w:rsid w:val="00F120BC"/>
    <w:rsid w:val="00F12955"/>
    <w:rsid w:val="00F13F8C"/>
    <w:rsid w:val="00F153FD"/>
    <w:rsid w:val="00F16698"/>
    <w:rsid w:val="00F17079"/>
    <w:rsid w:val="00F17CB6"/>
    <w:rsid w:val="00F20E00"/>
    <w:rsid w:val="00F21008"/>
    <w:rsid w:val="00F218EC"/>
    <w:rsid w:val="00F23A6F"/>
    <w:rsid w:val="00F23E07"/>
    <w:rsid w:val="00F24F27"/>
    <w:rsid w:val="00F24F8F"/>
    <w:rsid w:val="00F26497"/>
    <w:rsid w:val="00F26CB0"/>
    <w:rsid w:val="00F26FEB"/>
    <w:rsid w:val="00F3019A"/>
    <w:rsid w:val="00F30D25"/>
    <w:rsid w:val="00F32FF9"/>
    <w:rsid w:val="00F35171"/>
    <w:rsid w:val="00F36791"/>
    <w:rsid w:val="00F37689"/>
    <w:rsid w:val="00F420C8"/>
    <w:rsid w:val="00F449D2"/>
    <w:rsid w:val="00F44A71"/>
    <w:rsid w:val="00F45E55"/>
    <w:rsid w:val="00F50FB9"/>
    <w:rsid w:val="00F535ED"/>
    <w:rsid w:val="00F5590B"/>
    <w:rsid w:val="00F56C3F"/>
    <w:rsid w:val="00F57748"/>
    <w:rsid w:val="00F62AFE"/>
    <w:rsid w:val="00F6322B"/>
    <w:rsid w:val="00F63CCC"/>
    <w:rsid w:val="00F6400F"/>
    <w:rsid w:val="00F6535F"/>
    <w:rsid w:val="00F670BD"/>
    <w:rsid w:val="00F67E70"/>
    <w:rsid w:val="00F73360"/>
    <w:rsid w:val="00F73BB2"/>
    <w:rsid w:val="00F73DAD"/>
    <w:rsid w:val="00F73FDB"/>
    <w:rsid w:val="00F746CC"/>
    <w:rsid w:val="00F75760"/>
    <w:rsid w:val="00F75A02"/>
    <w:rsid w:val="00F837D0"/>
    <w:rsid w:val="00F83E77"/>
    <w:rsid w:val="00F84CEA"/>
    <w:rsid w:val="00F85C96"/>
    <w:rsid w:val="00F905EE"/>
    <w:rsid w:val="00F91362"/>
    <w:rsid w:val="00F92C73"/>
    <w:rsid w:val="00F92FD5"/>
    <w:rsid w:val="00F939C3"/>
    <w:rsid w:val="00F9493E"/>
    <w:rsid w:val="00F94F6B"/>
    <w:rsid w:val="00F96FFA"/>
    <w:rsid w:val="00F976FC"/>
    <w:rsid w:val="00FA0049"/>
    <w:rsid w:val="00FA2775"/>
    <w:rsid w:val="00FB059D"/>
    <w:rsid w:val="00FB06A9"/>
    <w:rsid w:val="00FB0825"/>
    <w:rsid w:val="00FB0EE9"/>
    <w:rsid w:val="00FB284D"/>
    <w:rsid w:val="00FB4260"/>
    <w:rsid w:val="00FB42D7"/>
    <w:rsid w:val="00FB4780"/>
    <w:rsid w:val="00FB4846"/>
    <w:rsid w:val="00FB608B"/>
    <w:rsid w:val="00FB6AE8"/>
    <w:rsid w:val="00FB6C3F"/>
    <w:rsid w:val="00FC198F"/>
    <w:rsid w:val="00FC3375"/>
    <w:rsid w:val="00FC4394"/>
    <w:rsid w:val="00FC47E8"/>
    <w:rsid w:val="00FC5111"/>
    <w:rsid w:val="00FC5798"/>
    <w:rsid w:val="00FC6C11"/>
    <w:rsid w:val="00FC6E00"/>
    <w:rsid w:val="00FC6EAB"/>
    <w:rsid w:val="00FD1020"/>
    <w:rsid w:val="00FD1B5E"/>
    <w:rsid w:val="00FD26B0"/>
    <w:rsid w:val="00FD2E08"/>
    <w:rsid w:val="00FD3B75"/>
    <w:rsid w:val="00FD4787"/>
    <w:rsid w:val="00FD4B7E"/>
    <w:rsid w:val="00FD54EA"/>
    <w:rsid w:val="00FE1623"/>
    <w:rsid w:val="00FE1FBF"/>
    <w:rsid w:val="00FE2B44"/>
    <w:rsid w:val="00FE3122"/>
    <w:rsid w:val="00FE4141"/>
    <w:rsid w:val="00FE569A"/>
    <w:rsid w:val="00FE7E7E"/>
    <w:rsid w:val="00FF01F7"/>
    <w:rsid w:val="00FF0465"/>
    <w:rsid w:val="00FF15C6"/>
    <w:rsid w:val="00FF2D90"/>
    <w:rsid w:val="00FF463A"/>
    <w:rsid w:val="00FF67B6"/>
    <w:rsid w:val="012877C0"/>
    <w:rsid w:val="01AF252D"/>
    <w:rsid w:val="01C14687"/>
    <w:rsid w:val="01E35C83"/>
    <w:rsid w:val="022206C8"/>
    <w:rsid w:val="024025DC"/>
    <w:rsid w:val="024E04EF"/>
    <w:rsid w:val="02513C28"/>
    <w:rsid w:val="0260397E"/>
    <w:rsid w:val="026459FD"/>
    <w:rsid w:val="02863196"/>
    <w:rsid w:val="0289057E"/>
    <w:rsid w:val="02EB4148"/>
    <w:rsid w:val="032E59E3"/>
    <w:rsid w:val="034C1028"/>
    <w:rsid w:val="035012E1"/>
    <w:rsid w:val="03657CA9"/>
    <w:rsid w:val="037C5AFD"/>
    <w:rsid w:val="03C473B7"/>
    <w:rsid w:val="03DB4775"/>
    <w:rsid w:val="043C5AA9"/>
    <w:rsid w:val="04725941"/>
    <w:rsid w:val="047620E3"/>
    <w:rsid w:val="048220E9"/>
    <w:rsid w:val="04B163B9"/>
    <w:rsid w:val="04DE7DF1"/>
    <w:rsid w:val="04EA5A88"/>
    <w:rsid w:val="05743288"/>
    <w:rsid w:val="05852604"/>
    <w:rsid w:val="05D77E8B"/>
    <w:rsid w:val="05E20938"/>
    <w:rsid w:val="05FE6345"/>
    <w:rsid w:val="060276EF"/>
    <w:rsid w:val="063D0369"/>
    <w:rsid w:val="0677693A"/>
    <w:rsid w:val="06A6772F"/>
    <w:rsid w:val="06A825C7"/>
    <w:rsid w:val="06A86B9B"/>
    <w:rsid w:val="06B5654A"/>
    <w:rsid w:val="06B64A4F"/>
    <w:rsid w:val="07286941"/>
    <w:rsid w:val="07345D03"/>
    <w:rsid w:val="07392024"/>
    <w:rsid w:val="074B29BC"/>
    <w:rsid w:val="07524142"/>
    <w:rsid w:val="07633CCF"/>
    <w:rsid w:val="07677474"/>
    <w:rsid w:val="0773405B"/>
    <w:rsid w:val="078179C6"/>
    <w:rsid w:val="07C451FC"/>
    <w:rsid w:val="07C65A40"/>
    <w:rsid w:val="07DA0EFA"/>
    <w:rsid w:val="086D51A2"/>
    <w:rsid w:val="086F12AB"/>
    <w:rsid w:val="088C7A57"/>
    <w:rsid w:val="089E5548"/>
    <w:rsid w:val="08A128DC"/>
    <w:rsid w:val="08E32F67"/>
    <w:rsid w:val="08FA2F8E"/>
    <w:rsid w:val="09304D3A"/>
    <w:rsid w:val="09376519"/>
    <w:rsid w:val="09902112"/>
    <w:rsid w:val="099B0F39"/>
    <w:rsid w:val="09B3479F"/>
    <w:rsid w:val="09D07714"/>
    <w:rsid w:val="09EA056C"/>
    <w:rsid w:val="0A02049F"/>
    <w:rsid w:val="0A124598"/>
    <w:rsid w:val="0A61376A"/>
    <w:rsid w:val="0AA25D26"/>
    <w:rsid w:val="0AA86DBE"/>
    <w:rsid w:val="0AE911E2"/>
    <w:rsid w:val="0AFE36FE"/>
    <w:rsid w:val="0B216017"/>
    <w:rsid w:val="0B690000"/>
    <w:rsid w:val="0BD90F56"/>
    <w:rsid w:val="0C022D36"/>
    <w:rsid w:val="0C271FA8"/>
    <w:rsid w:val="0C9924A2"/>
    <w:rsid w:val="0CBC3743"/>
    <w:rsid w:val="0CD7373F"/>
    <w:rsid w:val="0D21529C"/>
    <w:rsid w:val="0D33432C"/>
    <w:rsid w:val="0D406A07"/>
    <w:rsid w:val="0D4C557B"/>
    <w:rsid w:val="0D9A1C6A"/>
    <w:rsid w:val="0DB32981"/>
    <w:rsid w:val="0DED68F1"/>
    <w:rsid w:val="0DFA18A6"/>
    <w:rsid w:val="0E1C19E4"/>
    <w:rsid w:val="0E2E2015"/>
    <w:rsid w:val="0E596588"/>
    <w:rsid w:val="0E7E1D64"/>
    <w:rsid w:val="0E923B7B"/>
    <w:rsid w:val="0EA501BE"/>
    <w:rsid w:val="0F0A4FE8"/>
    <w:rsid w:val="0F2D3983"/>
    <w:rsid w:val="0F6F19D1"/>
    <w:rsid w:val="0F705607"/>
    <w:rsid w:val="0F7565C0"/>
    <w:rsid w:val="0F7C6944"/>
    <w:rsid w:val="0F94197C"/>
    <w:rsid w:val="0FA32C71"/>
    <w:rsid w:val="0FB52D47"/>
    <w:rsid w:val="0FC236A6"/>
    <w:rsid w:val="0FD41F67"/>
    <w:rsid w:val="0FDA73A5"/>
    <w:rsid w:val="0FDD6E52"/>
    <w:rsid w:val="0FEB3601"/>
    <w:rsid w:val="10064C74"/>
    <w:rsid w:val="10146479"/>
    <w:rsid w:val="1025514C"/>
    <w:rsid w:val="102C7A6E"/>
    <w:rsid w:val="1051110E"/>
    <w:rsid w:val="10A42C5E"/>
    <w:rsid w:val="10BA45CC"/>
    <w:rsid w:val="10BB117E"/>
    <w:rsid w:val="10DB172E"/>
    <w:rsid w:val="10F40B31"/>
    <w:rsid w:val="110F1BD5"/>
    <w:rsid w:val="1114283C"/>
    <w:rsid w:val="11184CA3"/>
    <w:rsid w:val="111C7550"/>
    <w:rsid w:val="11767188"/>
    <w:rsid w:val="11902CC5"/>
    <w:rsid w:val="11934EC6"/>
    <w:rsid w:val="11C126DB"/>
    <w:rsid w:val="11FE1F49"/>
    <w:rsid w:val="121C2D21"/>
    <w:rsid w:val="122942A3"/>
    <w:rsid w:val="122F0903"/>
    <w:rsid w:val="1288282E"/>
    <w:rsid w:val="12CA4636"/>
    <w:rsid w:val="130B0817"/>
    <w:rsid w:val="132041F2"/>
    <w:rsid w:val="132E3E25"/>
    <w:rsid w:val="1353182C"/>
    <w:rsid w:val="135B74AD"/>
    <w:rsid w:val="139329C1"/>
    <w:rsid w:val="13E86C1F"/>
    <w:rsid w:val="143D4587"/>
    <w:rsid w:val="148124CB"/>
    <w:rsid w:val="14935955"/>
    <w:rsid w:val="14B53D8D"/>
    <w:rsid w:val="15023CA2"/>
    <w:rsid w:val="157A49C0"/>
    <w:rsid w:val="15817925"/>
    <w:rsid w:val="15965C6D"/>
    <w:rsid w:val="15A7458D"/>
    <w:rsid w:val="15E3170B"/>
    <w:rsid w:val="15F7761B"/>
    <w:rsid w:val="161E6D84"/>
    <w:rsid w:val="162E798F"/>
    <w:rsid w:val="16734D9D"/>
    <w:rsid w:val="1689152D"/>
    <w:rsid w:val="169271EB"/>
    <w:rsid w:val="169A49B2"/>
    <w:rsid w:val="169C7CA8"/>
    <w:rsid w:val="16D0665F"/>
    <w:rsid w:val="16D07461"/>
    <w:rsid w:val="16DE4297"/>
    <w:rsid w:val="17080B24"/>
    <w:rsid w:val="171A78CF"/>
    <w:rsid w:val="1762318A"/>
    <w:rsid w:val="17657E9C"/>
    <w:rsid w:val="17826335"/>
    <w:rsid w:val="17910EAA"/>
    <w:rsid w:val="17BB6913"/>
    <w:rsid w:val="17E94F31"/>
    <w:rsid w:val="18757658"/>
    <w:rsid w:val="18796E67"/>
    <w:rsid w:val="188A030C"/>
    <w:rsid w:val="19083357"/>
    <w:rsid w:val="19115143"/>
    <w:rsid w:val="19193E50"/>
    <w:rsid w:val="193E2251"/>
    <w:rsid w:val="19BF2059"/>
    <w:rsid w:val="19D27543"/>
    <w:rsid w:val="1A012E3B"/>
    <w:rsid w:val="1A114519"/>
    <w:rsid w:val="1A1726B1"/>
    <w:rsid w:val="1A2B7124"/>
    <w:rsid w:val="1A973A3A"/>
    <w:rsid w:val="1A9E5BAA"/>
    <w:rsid w:val="1B67570D"/>
    <w:rsid w:val="1B77250E"/>
    <w:rsid w:val="1B790164"/>
    <w:rsid w:val="1BAB76BA"/>
    <w:rsid w:val="1BAE1AB4"/>
    <w:rsid w:val="1BB52C1C"/>
    <w:rsid w:val="1BC96F2D"/>
    <w:rsid w:val="1BCB564E"/>
    <w:rsid w:val="1BFB4298"/>
    <w:rsid w:val="1C5F0976"/>
    <w:rsid w:val="1C7B4710"/>
    <w:rsid w:val="1C894447"/>
    <w:rsid w:val="1CA967F0"/>
    <w:rsid w:val="1CC11607"/>
    <w:rsid w:val="1CE84C05"/>
    <w:rsid w:val="1CEB2453"/>
    <w:rsid w:val="1D0A757A"/>
    <w:rsid w:val="1D0F61DE"/>
    <w:rsid w:val="1D294D39"/>
    <w:rsid w:val="1DAC04F6"/>
    <w:rsid w:val="1DB53861"/>
    <w:rsid w:val="1DC4401E"/>
    <w:rsid w:val="1DE231AA"/>
    <w:rsid w:val="1E097C1D"/>
    <w:rsid w:val="1E13634C"/>
    <w:rsid w:val="1E186B17"/>
    <w:rsid w:val="1E6630A0"/>
    <w:rsid w:val="1EB17AAB"/>
    <w:rsid w:val="1EC512F5"/>
    <w:rsid w:val="1EE76F67"/>
    <w:rsid w:val="1EE77DBE"/>
    <w:rsid w:val="1EF00924"/>
    <w:rsid w:val="1EF417AF"/>
    <w:rsid w:val="1EF41FE0"/>
    <w:rsid w:val="1F311F70"/>
    <w:rsid w:val="1F40786D"/>
    <w:rsid w:val="1F505A44"/>
    <w:rsid w:val="1F7A7B75"/>
    <w:rsid w:val="1FB55CBE"/>
    <w:rsid w:val="1FCC3CD5"/>
    <w:rsid w:val="1FE70B0B"/>
    <w:rsid w:val="1FF16CE6"/>
    <w:rsid w:val="20381050"/>
    <w:rsid w:val="206F2764"/>
    <w:rsid w:val="20785385"/>
    <w:rsid w:val="208452A5"/>
    <w:rsid w:val="20A113E0"/>
    <w:rsid w:val="20AC2DEC"/>
    <w:rsid w:val="20AD3120"/>
    <w:rsid w:val="20F9026B"/>
    <w:rsid w:val="21207BCE"/>
    <w:rsid w:val="214B5D1B"/>
    <w:rsid w:val="215009A2"/>
    <w:rsid w:val="21761C17"/>
    <w:rsid w:val="217A40A2"/>
    <w:rsid w:val="21CC0FE4"/>
    <w:rsid w:val="21D027FD"/>
    <w:rsid w:val="221655EB"/>
    <w:rsid w:val="224C34BD"/>
    <w:rsid w:val="22754549"/>
    <w:rsid w:val="229E5927"/>
    <w:rsid w:val="22D27A6A"/>
    <w:rsid w:val="2317141B"/>
    <w:rsid w:val="23333814"/>
    <w:rsid w:val="2334175D"/>
    <w:rsid w:val="23572920"/>
    <w:rsid w:val="23A50C30"/>
    <w:rsid w:val="23BA1EB0"/>
    <w:rsid w:val="23FD1BC3"/>
    <w:rsid w:val="2403627A"/>
    <w:rsid w:val="2437784B"/>
    <w:rsid w:val="243F50F0"/>
    <w:rsid w:val="24582BC0"/>
    <w:rsid w:val="247B38AE"/>
    <w:rsid w:val="248C154E"/>
    <w:rsid w:val="24982A21"/>
    <w:rsid w:val="24A412B7"/>
    <w:rsid w:val="250F60C6"/>
    <w:rsid w:val="25236B79"/>
    <w:rsid w:val="255B66A7"/>
    <w:rsid w:val="25606C8F"/>
    <w:rsid w:val="257A0E47"/>
    <w:rsid w:val="257D08AA"/>
    <w:rsid w:val="25837377"/>
    <w:rsid w:val="25AD5808"/>
    <w:rsid w:val="25C601F5"/>
    <w:rsid w:val="25D47E5C"/>
    <w:rsid w:val="26021317"/>
    <w:rsid w:val="260E26DB"/>
    <w:rsid w:val="2621605F"/>
    <w:rsid w:val="26231752"/>
    <w:rsid w:val="2630427A"/>
    <w:rsid w:val="26486180"/>
    <w:rsid w:val="26517A53"/>
    <w:rsid w:val="265F6959"/>
    <w:rsid w:val="269E1273"/>
    <w:rsid w:val="26A52BA4"/>
    <w:rsid w:val="26A7761A"/>
    <w:rsid w:val="271B280C"/>
    <w:rsid w:val="273934D0"/>
    <w:rsid w:val="276D45C8"/>
    <w:rsid w:val="277F726D"/>
    <w:rsid w:val="27AE4C81"/>
    <w:rsid w:val="283C7A6C"/>
    <w:rsid w:val="284677BF"/>
    <w:rsid w:val="28686781"/>
    <w:rsid w:val="286A5FEE"/>
    <w:rsid w:val="28A53F43"/>
    <w:rsid w:val="28E02A1E"/>
    <w:rsid w:val="28FE5F0E"/>
    <w:rsid w:val="29000207"/>
    <w:rsid w:val="299F5EB7"/>
    <w:rsid w:val="29B035A5"/>
    <w:rsid w:val="29E83BA8"/>
    <w:rsid w:val="2A040FE1"/>
    <w:rsid w:val="2A1E6785"/>
    <w:rsid w:val="2A525C89"/>
    <w:rsid w:val="2A962BB1"/>
    <w:rsid w:val="2A9860B1"/>
    <w:rsid w:val="2AAF7C14"/>
    <w:rsid w:val="2AC13BCC"/>
    <w:rsid w:val="2AF3526C"/>
    <w:rsid w:val="2AFA1BE0"/>
    <w:rsid w:val="2B0F05CE"/>
    <w:rsid w:val="2B264065"/>
    <w:rsid w:val="2B5F2D11"/>
    <w:rsid w:val="2B7502BB"/>
    <w:rsid w:val="2BA612E3"/>
    <w:rsid w:val="2BB507B2"/>
    <w:rsid w:val="2BD65CAD"/>
    <w:rsid w:val="2C0C45F4"/>
    <w:rsid w:val="2C0D5489"/>
    <w:rsid w:val="2C3E41B6"/>
    <w:rsid w:val="2C4710F9"/>
    <w:rsid w:val="2C642936"/>
    <w:rsid w:val="2C930FE8"/>
    <w:rsid w:val="2C9E6345"/>
    <w:rsid w:val="2CC05F7C"/>
    <w:rsid w:val="2CC529EE"/>
    <w:rsid w:val="2CD06F4A"/>
    <w:rsid w:val="2D024C1A"/>
    <w:rsid w:val="2D047913"/>
    <w:rsid w:val="2D194B08"/>
    <w:rsid w:val="2D264D90"/>
    <w:rsid w:val="2D2C1DBA"/>
    <w:rsid w:val="2D674215"/>
    <w:rsid w:val="2D6915E4"/>
    <w:rsid w:val="2D7545FA"/>
    <w:rsid w:val="2DE25DD3"/>
    <w:rsid w:val="2DEC76EC"/>
    <w:rsid w:val="2E183CA9"/>
    <w:rsid w:val="2E3B438B"/>
    <w:rsid w:val="2E480B35"/>
    <w:rsid w:val="2E871F6C"/>
    <w:rsid w:val="2ED87100"/>
    <w:rsid w:val="2F1B0B35"/>
    <w:rsid w:val="2F405EE3"/>
    <w:rsid w:val="2F45212B"/>
    <w:rsid w:val="2F681F92"/>
    <w:rsid w:val="2F8A473E"/>
    <w:rsid w:val="2F8C28E1"/>
    <w:rsid w:val="2F8F6136"/>
    <w:rsid w:val="2F995ECE"/>
    <w:rsid w:val="2FBA7F5D"/>
    <w:rsid w:val="2FD0635E"/>
    <w:rsid w:val="2FDD345C"/>
    <w:rsid w:val="2FE22946"/>
    <w:rsid w:val="2FF06C86"/>
    <w:rsid w:val="2FFC3753"/>
    <w:rsid w:val="30014C13"/>
    <w:rsid w:val="306F72D2"/>
    <w:rsid w:val="30B3242C"/>
    <w:rsid w:val="30DC703C"/>
    <w:rsid w:val="30DF1DCF"/>
    <w:rsid w:val="30ED1814"/>
    <w:rsid w:val="310337EB"/>
    <w:rsid w:val="313C08E6"/>
    <w:rsid w:val="314365C3"/>
    <w:rsid w:val="31A27E95"/>
    <w:rsid w:val="31F864B7"/>
    <w:rsid w:val="32990F45"/>
    <w:rsid w:val="32C30843"/>
    <w:rsid w:val="32F27435"/>
    <w:rsid w:val="32F641A0"/>
    <w:rsid w:val="32FF2900"/>
    <w:rsid w:val="33222915"/>
    <w:rsid w:val="332A7298"/>
    <w:rsid w:val="3366526B"/>
    <w:rsid w:val="33694CF9"/>
    <w:rsid w:val="336E1BE8"/>
    <w:rsid w:val="337033E5"/>
    <w:rsid w:val="338F1F96"/>
    <w:rsid w:val="339F7250"/>
    <w:rsid w:val="33F215F7"/>
    <w:rsid w:val="344014BA"/>
    <w:rsid w:val="344722F5"/>
    <w:rsid w:val="345E7A54"/>
    <w:rsid w:val="34BF7D11"/>
    <w:rsid w:val="34D312C1"/>
    <w:rsid w:val="34E4534C"/>
    <w:rsid w:val="34F915C4"/>
    <w:rsid w:val="3508232F"/>
    <w:rsid w:val="35164F44"/>
    <w:rsid w:val="35266AE6"/>
    <w:rsid w:val="352E4F9E"/>
    <w:rsid w:val="353A5DB2"/>
    <w:rsid w:val="355118CA"/>
    <w:rsid w:val="35691EF5"/>
    <w:rsid w:val="35B82BBA"/>
    <w:rsid w:val="35BD6802"/>
    <w:rsid w:val="36305F08"/>
    <w:rsid w:val="36691639"/>
    <w:rsid w:val="366B4F66"/>
    <w:rsid w:val="367A1AE1"/>
    <w:rsid w:val="368524AC"/>
    <w:rsid w:val="368F555C"/>
    <w:rsid w:val="36A205C4"/>
    <w:rsid w:val="36E019D7"/>
    <w:rsid w:val="373301AE"/>
    <w:rsid w:val="37392636"/>
    <w:rsid w:val="374800C8"/>
    <w:rsid w:val="37874AA5"/>
    <w:rsid w:val="378C34E7"/>
    <w:rsid w:val="37991E9C"/>
    <w:rsid w:val="37AF2447"/>
    <w:rsid w:val="37BF4425"/>
    <w:rsid w:val="37C52881"/>
    <w:rsid w:val="37E521FE"/>
    <w:rsid w:val="381B0CC2"/>
    <w:rsid w:val="383F77C8"/>
    <w:rsid w:val="38F92C81"/>
    <w:rsid w:val="39102E1E"/>
    <w:rsid w:val="394835AF"/>
    <w:rsid w:val="39570F51"/>
    <w:rsid w:val="395D7F6B"/>
    <w:rsid w:val="39656479"/>
    <w:rsid w:val="39A14A37"/>
    <w:rsid w:val="39BA475C"/>
    <w:rsid w:val="39CD7D54"/>
    <w:rsid w:val="39D92959"/>
    <w:rsid w:val="39F9604F"/>
    <w:rsid w:val="3A9041B9"/>
    <w:rsid w:val="3A9560C2"/>
    <w:rsid w:val="3A996EE5"/>
    <w:rsid w:val="3AB25459"/>
    <w:rsid w:val="3AD847ED"/>
    <w:rsid w:val="3AE97E30"/>
    <w:rsid w:val="3AFF3CC6"/>
    <w:rsid w:val="3B014BE6"/>
    <w:rsid w:val="3B1039B8"/>
    <w:rsid w:val="3B215498"/>
    <w:rsid w:val="3B6C65C2"/>
    <w:rsid w:val="3B70247D"/>
    <w:rsid w:val="3B8B3B7A"/>
    <w:rsid w:val="3BAE7331"/>
    <w:rsid w:val="3BF4232F"/>
    <w:rsid w:val="3C130491"/>
    <w:rsid w:val="3C5E6B0B"/>
    <w:rsid w:val="3CAE3EFB"/>
    <w:rsid w:val="3D053211"/>
    <w:rsid w:val="3D0616CA"/>
    <w:rsid w:val="3D3A4BE6"/>
    <w:rsid w:val="3D42200C"/>
    <w:rsid w:val="3D732E54"/>
    <w:rsid w:val="3DB25A5B"/>
    <w:rsid w:val="3DBA632F"/>
    <w:rsid w:val="3E09029B"/>
    <w:rsid w:val="3E0D0ACC"/>
    <w:rsid w:val="3E194251"/>
    <w:rsid w:val="3E26578B"/>
    <w:rsid w:val="3E3E4115"/>
    <w:rsid w:val="3E5959D1"/>
    <w:rsid w:val="3E6C6201"/>
    <w:rsid w:val="3E6F5F66"/>
    <w:rsid w:val="3E9E6179"/>
    <w:rsid w:val="3EB369FD"/>
    <w:rsid w:val="3ED77E2C"/>
    <w:rsid w:val="3EE355D0"/>
    <w:rsid w:val="3F07032D"/>
    <w:rsid w:val="3F0B3622"/>
    <w:rsid w:val="3F2F3836"/>
    <w:rsid w:val="3F3409F6"/>
    <w:rsid w:val="3F503D8C"/>
    <w:rsid w:val="3F5433AF"/>
    <w:rsid w:val="3F6C744A"/>
    <w:rsid w:val="3FB553D0"/>
    <w:rsid w:val="3FB5602E"/>
    <w:rsid w:val="3FC558A2"/>
    <w:rsid w:val="3FD715C9"/>
    <w:rsid w:val="3FEB53A7"/>
    <w:rsid w:val="3FED77CF"/>
    <w:rsid w:val="401B5C80"/>
    <w:rsid w:val="402A647F"/>
    <w:rsid w:val="40514E49"/>
    <w:rsid w:val="405B5D63"/>
    <w:rsid w:val="405E10D4"/>
    <w:rsid w:val="40BF1E6D"/>
    <w:rsid w:val="40E83F0F"/>
    <w:rsid w:val="40F110AF"/>
    <w:rsid w:val="4105229D"/>
    <w:rsid w:val="4122362A"/>
    <w:rsid w:val="412317BB"/>
    <w:rsid w:val="415828E6"/>
    <w:rsid w:val="416820D8"/>
    <w:rsid w:val="416E643B"/>
    <w:rsid w:val="41994793"/>
    <w:rsid w:val="41BB56CA"/>
    <w:rsid w:val="41C36320"/>
    <w:rsid w:val="41C720B8"/>
    <w:rsid w:val="41D90893"/>
    <w:rsid w:val="42867002"/>
    <w:rsid w:val="429E43A1"/>
    <w:rsid w:val="42A72F0F"/>
    <w:rsid w:val="42E65C5D"/>
    <w:rsid w:val="42ED13FA"/>
    <w:rsid w:val="42EE1D1D"/>
    <w:rsid w:val="431A5C36"/>
    <w:rsid w:val="4395047D"/>
    <w:rsid w:val="44353AA3"/>
    <w:rsid w:val="446B3D5B"/>
    <w:rsid w:val="448D04E1"/>
    <w:rsid w:val="44F275ED"/>
    <w:rsid w:val="44FB5CC1"/>
    <w:rsid w:val="450562CE"/>
    <w:rsid w:val="455933CC"/>
    <w:rsid w:val="45AD769E"/>
    <w:rsid w:val="45EA1E07"/>
    <w:rsid w:val="45F605F5"/>
    <w:rsid w:val="461E35B1"/>
    <w:rsid w:val="4635704A"/>
    <w:rsid w:val="465F702A"/>
    <w:rsid w:val="46AA0A63"/>
    <w:rsid w:val="46AF6F91"/>
    <w:rsid w:val="471F11F2"/>
    <w:rsid w:val="471F3F39"/>
    <w:rsid w:val="472252D9"/>
    <w:rsid w:val="4727115F"/>
    <w:rsid w:val="473903BE"/>
    <w:rsid w:val="47625ED1"/>
    <w:rsid w:val="47C40DD5"/>
    <w:rsid w:val="47E75E09"/>
    <w:rsid w:val="483D1BC9"/>
    <w:rsid w:val="4846086D"/>
    <w:rsid w:val="484A1F8D"/>
    <w:rsid w:val="485F0F61"/>
    <w:rsid w:val="48650803"/>
    <w:rsid w:val="489C026E"/>
    <w:rsid w:val="489C78FE"/>
    <w:rsid w:val="48B131E5"/>
    <w:rsid w:val="48CD1333"/>
    <w:rsid w:val="48D94640"/>
    <w:rsid w:val="48F51DDC"/>
    <w:rsid w:val="492342C3"/>
    <w:rsid w:val="49391808"/>
    <w:rsid w:val="494D3F74"/>
    <w:rsid w:val="49562D02"/>
    <w:rsid w:val="499661F8"/>
    <w:rsid w:val="499A2DFD"/>
    <w:rsid w:val="49CB5668"/>
    <w:rsid w:val="49D201C8"/>
    <w:rsid w:val="4A1E549B"/>
    <w:rsid w:val="4A687024"/>
    <w:rsid w:val="4A6E6746"/>
    <w:rsid w:val="4A9C3295"/>
    <w:rsid w:val="4AC00E99"/>
    <w:rsid w:val="4AE87B39"/>
    <w:rsid w:val="4AF163DD"/>
    <w:rsid w:val="4B0E0F36"/>
    <w:rsid w:val="4B230500"/>
    <w:rsid w:val="4B294D26"/>
    <w:rsid w:val="4B426AE1"/>
    <w:rsid w:val="4BA55545"/>
    <w:rsid w:val="4BAA0F20"/>
    <w:rsid w:val="4BDC7A4B"/>
    <w:rsid w:val="4C075C73"/>
    <w:rsid w:val="4C245054"/>
    <w:rsid w:val="4C2A56EA"/>
    <w:rsid w:val="4C2B63D6"/>
    <w:rsid w:val="4C5426A7"/>
    <w:rsid w:val="4C7038FB"/>
    <w:rsid w:val="4C827E17"/>
    <w:rsid w:val="4CA84402"/>
    <w:rsid w:val="4CB42233"/>
    <w:rsid w:val="4CCD39DA"/>
    <w:rsid w:val="4CFB6F95"/>
    <w:rsid w:val="4D292A39"/>
    <w:rsid w:val="4D7C41F2"/>
    <w:rsid w:val="4D8D5673"/>
    <w:rsid w:val="4D952497"/>
    <w:rsid w:val="4DB913D5"/>
    <w:rsid w:val="4DBF646A"/>
    <w:rsid w:val="4DC1224F"/>
    <w:rsid w:val="4DC23A1D"/>
    <w:rsid w:val="4DFC186F"/>
    <w:rsid w:val="4E053FFC"/>
    <w:rsid w:val="4E406066"/>
    <w:rsid w:val="4E976DC6"/>
    <w:rsid w:val="4F170FE3"/>
    <w:rsid w:val="4F2E75E9"/>
    <w:rsid w:val="4F687188"/>
    <w:rsid w:val="4F755D84"/>
    <w:rsid w:val="4FB9448B"/>
    <w:rsid w:val="500F0F32"/>
    <w:rsid w:val="50151DD1"/>
    <w:rsid w:val="501F2BA3"/>
    <w:rsid w:val="50265E0A"/>
    <w:rsid w:val="503567A2"/>
    <w:rsid w:val="504F4E87"/>
    <w:rsid w:val="505F1861"/>
    <w:rsid w:val="50A60283"/>
    <w:rsid w:val="50B45C2E"/>
    <w:rsid w:val="50C82DED"/>
    <w:rsid w:val="511F355B"/>
    <w:rsid w:val="513741C7"/>
    <w:rsid w:val="514F04EA"/>
    <w:rsid w:val="51595259"/>
    <w:rsid w:val="51797EFB"/>
    <w:rsid w:val="51914BFA"/>
    <w:rsid w:val="51D830AF"/>
    <w:rsid w:val="51D96987"/>
    <w:rsid w:val="51DD23AF"/>
    <w:rsid w:val="51EF0064"/>
    <w:rsid w:val="51EF38C2"/>
    <w:rsid w:val="520A3EC1"/>
    <w:rsid w:val="52262BFA"/>
    <w:rsid w:val="5237369C"/>
    <w:rsid w:val="524B5398"/>
    <w:rsid w:val="525F53C4"/>
    <w:rsid w:val="52976ACB"/>
    <w:rsid w:val="529B4390"/>
    <w:rsid w:val="52A5375E"/>
    <w:rsid w:val="52B0655E"/>
    <w:rsid w:val="52BE382F"/>
    <w:rsid w:val="52C0055C"/>
    <w:rsid w:val="52C109C7"/>
    <w:rsid w:val="52D56276"/>
    <w:rsid w:val="52E87389"/>
    <w:rsid w:val="52F15438"/>
    <w:rsid w:val="52F5553C"/>
    <w:rsid w:val="52FB6928"/>
    <w:rsid w:val="531C7AD9"/>
    <w:rsid w:val="53314392"/>
    <w:rsid w:val="536F129E"/>
    <w:rsid w:val="53731FA9"/>
    <w:rsid w:val="53791829"/>
    <w:rsid w:val="538763F5"/>
    <w:rsid w:val="53BA3F0E"/>
    <w:rsid w:val="541805F8"/>
    <w:rsid w:val="543F69EA"/>
    <w:rsid w:val="5445580D"/>
    <w:rsid w:val="544E7E5A"/>
    <w:rsid w:val="545A7D43"/>
    <w:rsid w:val="547C6C6D"/>
    <w:rsid w:val="5484752A"/>
    <w:rsid w:val="549D1A14"/>
    <w:rsid w:val="54B55507"/>
    <w:rsid w:val="54D53927"/>
    <w:rsid w:val="54FC27C1"/>
    <w:rsid w:val="550C19AC"/>
    <w:rsid w:val="5527170D"/>
    <w:rsid w:val="552E230F"/>
    <w:rsid w:val="5545557F"/>
    <w:rsid w:val="5566250B"/>
    <w:rsid w:val="558D5077"/>
    <w:rsid w:val="559B01C1"/>
    <w:rsid w:val="55AC51D2"/>
    <w:rsid w:val="55B57209"/>
    <w:rsid w:val="55DE366B"/>
    <w:rsid w:val="55E17C68"/>
    <w:rsid w:val="56034FE5"/>
    <w:rsid w:val="5614632C"/>
    <w:rsid w:val="561B75C4"/>
    <w:rsid w:val="56463262"/>
    <w:rsid w:val="56775F49"/>
    <w:rsid w:val="5690783C"/>
    <w:rsid w:val="56CC39BF"/>
    <w:rsid w:val="56E8239C"/>
    <w:rsid w:val="56FD5EBA"/>
    <w:rsid w:val="5723596A"/>
    <w:rsid w:val="575D6F13"/>
    <w:rsid w:val="578373DA"/>
    <w:rsid w:val="57862643"/>
    <w:rsid w:val="579A77B4"/>
    <w:rsid w:val="57AE6D93"/>
    <w:rsid w:val="57B42283"/>
    <w:rsid w:val="57B60F59"/>
    <w:rsid w:val="57BF57D8"/>
    <w:rsid w:val="57CE3F8B"/>
    <w:rsid w:val="57E16AAA"/>
    <w:rsid w:val="5810450B"/>
    <w:rsid w:val="58905CB5"/>
    <w:rsid w:val="59476115"/>
    <w:rsid w:val="597E04AB"/>
    <w:rsid w:val="59874A4C"/>
    <w:rsid w:val="59993150"/>
    <w:rsid w:val="59E25C25"/>
    <w:rsid w:val="59EF7445"/>
    <w:rsid w:val="59F31C71"/>
    <w:rsid w:val="5A0C0D0A"/>
    <w:rsid w:val="5A524082"/>
    <w:rsid w:val="5A6B0950"/>
    <w:rsid w:val="5A6E274B"/>
    <w:rsid w:val="5ADE286C"/>
    <w:rsid w:val="5B1F1FCF"/>
    <w:rsid w:val="5B31040E"/>
    <w:rsid w:val="5B6014DE"/>
    <w:rsid w:val="5B8F1A3B"/>
    <w:rsid w:val="5BB1104F"/>
    <w:rsid w:val="5BBA0B4F"/>
    <w:rsid w:val="5BDC0C81"/>
    <w:rsid w:val="5BE80CF5"/>
    <w:rsid w:val="5C1C6902"/>
    <w:rsid w:val="5C1D0A8F"/>
    <w:rsid w:val="5C3A56BE"/>
    <w:rsid w:val="5C6776D2"/>
    <w:rsid w:val="5C9625AC"/>
    <w:rsid w:val="5CC9118C"/>
    <w:rsid w:val="5D1B7756"/>
    <w:rsid w:val="5D24203A"/>
    <w:rsid w:val="5D3A04BC"/>
    <w:rsid w:val="5D3B68EA"/>
    <w:rsid w:val="5D59272F"/>
    <w:rsid w:val="5D8C19A7"/>
    <w:rsid w:val="5DA42C12"/>
    <w:rsid w:val="5DAA2F72"/>
    <w:rsid w:val="5E0D7652"/>
    <w:rsid w:val="5E266B47"/>
    <w:rsid w:val="5E3632AD"/>
    <w:rsid w:val="5E6B18C2"/>
    <w:rsid w:val="5EC23316"/>
    <w:rsid w:val="5EC50DAC"/>
    <w:rsid w:val="5EC76362"/>
    <w:rsid w:val="5EE75C28"/>
    <w:rsid w:val="5EF778F9"/>
    <w:rsid w:val="5F34112B"/>
    <w:rsid w:val="5F3C7AEA"/>
    <w:rsid w:val="5F3E6121"/>
    <w:rsid w:val="5F534C96"/>
    <w:rsid w:val="5F963010"/>
    <w:rsid w:val="5FE21B30"/>
    <w:rsid w:val="60906CCE"/>
    <w:rsid w:val="60AA5077"/>
    <w:rsid w:val="60B22581"/>
    <w:rsid w:val="60BD06D2"/>
    <w:rsid w:val="60BE03F0"/>
    <w:rsid w:val="60DB59D8"/>
    <w:rsid w:val="60E8020D"/>
    <w:rsid w:val="60F611BD"/>
    <w:rsid w:val="6103018B"/>
    <w:rsid w:val="611D2854"/>
    <w:rsid w:val="612A62AB"/>
    <w:rsid w:val="61354623"/>
    <w:rsid w:val="613A1C1F"/>
    <w:rsid w:val="61891651"/>
    <w:rsid w:val="61A81C58"/>
    <w:rsid w:val="61C4132B"/>
    <w:rsid w:val="61D42C1C"/>
    <w:rsid w:val="61F92A6F"/>
    <w:rsid w:val="6261092B"/>
    <w:rsid w:val="62B769DC"/>
    <w:rsid w:val="62BB6D8E"/>
    <w:rsid w:val="62C33EC4"/>
    <w:rsid w:val="62D75E40"/>
    <w:rsid w:val="63694B63"/>
    <w:rsid w:val="63905138"/>
    <w:rsid w:val="63CE0DD0"/>
    <w:rsid w:val="640712B6"/>
    <w:rsid w:val="64154D56"/>
    <w:rsid w:val="64173FF3"/>
    <w:rsid w:val="64D4350D"/>
    <w:rsid w:val="64D72636"/>
    <w:rsid w:val="64F178C7"/>
    <w:rsid w:val="64FA0544"/>
    <w:rsid w:val="65485C90"/>
    <w:rsid w:val="65727758"/>
    <w:rsid w:val="65982C83"/>
    <w:rsid w:val="659D71F0"/>
    <w:rsid w:val="65BF3227"/>
    <w:rsid w:val="65DB699D"/>
    <w:rsid w:val="65F80CBE"/>
    <w:rsid w:val="660B5E44"/>
    <w:rsid w:val="660C3E24"/>
    <w:rsid w:val="661B2FFC"/>
    <w:rsid w:val="6635189E"/>
    <w:rsid w:val="66636DA7"/>
    <w:rsid w:val="66711F12"/>
    <w:rsid w:val="67066F2C"/>
    <w:rsid w:val="67505F8C"/>
    <w:rsid w:val="67651657"/>
    <w:rsid w:val="67914FBA"/>
    <w:rsid w:val="679A0D77"/>
    <w:rsid w:val="67B8059B"/>
    <w:rsid w:val="67E50D68"/>
    <w:rsid w:val="68283606"/>
    <w:rsid w:val="68345E8F"/>
    <w:rsid w:val="68FD0D1C"/>
    <w:rsid w:val="690F7EA7"/>
    <w:rsid w:val="6915613A"/>
    <w:rsid w:val="6941672D"/>
    <w:rsid w:val="69750960"/>
    <w:rsid w:val="697A39E0"/>
    <w:rsid w:val="69C30027"/>
    <w:rsid w:val="69CF24DC"/>
    <w:rsid w:val="69DF1E3D"/>
    <w:rsid w:val="69FB496B"/>
    <w:rsid w:val="6A1A7DA3"/>
    <w:rsid w:val="6A512121"/>
    <w:rsid w:val="6A5309D7"/>
    <w:rsid w:val="6A6D70AD"/>
    <w:rsid w:val="6A6F4B3D"/>
    <w:rsid w:val="6A806A08"/>
    <w:rsid w:val="6A947182"/>
    <w:rsid w:val="6AD21FD2"/>
    <w:rsid w:val="6B036375"/>
    <w:rsid w:val="6B172FBF"/>
    <w:rsid w:val="6B352F4C"/>
    <w:rsid w:val="6B3E3547"/>
    <w:rsid w:val="6B662C52"/>
    <w:rsid w:val="6B7333BB"/>
    <w:rsid w:val="6B806608"/>
    <w:rsid w:val="6BD319B3"/>
    <w:rsid w:val="6BEF3C5F"/>
    <w:rsid w:val="6BFC735F"/>
    <w:rsid w:val="6C0F02A4"/>
    <w:rsid w:val="6C215EAA"/>
    <w:rsid w:val="6C23619F"/>
    <w:rsid w:val="6C250B24"/>
    <w:rsid w:val="6C590ECC"/>
    <w:rsid w:val="6C6C184A"/>
    <w:rsid w:val="6C9E648C"/>
    <w:rsid w:val="6CA86739"/>
    <w:rsid w:val="6CDA05E1"/>
    <w:rsid w:val="6CDF5A47"/>
    <w:rsid w:val="6CF34043"/>
    <w:rsid w:val="6D1C31AB"/>
    <w:rsid w:val="6D204DB9"/>
    <w:rsid w:val="6D236405"/>
    <w:rsid w:val="6D41368F"/>
    <w:rsid w:val="6D4B5A6F"/>
    <w:rsid w:val="6D5C41E2"/>
    <w:rsid w:val="6DE953A6"/>
    <w:rsid w:val="6E3A3FA2"/>
    <w:rsid w:val="6E580988"/>
    <w:rsid w:val="6E5B1AB5"/>
    <w:rsid w:val="6E6F23D2"/>
    <w:rsid w:val="6EB517C7"/>
    <w:rsid w:val="6ED22832"/>
    <w:rsid w:val="6EE3190F"/>
    <w:rsid w:val="6EFF66B0"/>
    <w:rsid w:val="6F024A9F"/>
    <w:rsid w:val="6F3E1568"/>
    <w:rsid w:val="6F527B03"/>
    <w:rsid w:val="6F5F1689"/>
    <w:rsid w:val="6F7307C0"/>
    <w:rsid w:val="6F7B465A"/>
    <w:rsid w:val="6F8E32A4"/>
    <w:rsid w:val="6FA90C15"/>
    <w:rsid w:val="6FC52FB3"/>
    <w:rsid w:val="7025762A"/>
    <w:rsid w:val="703D47C7"/>
    <w:rsid w:val="70803ADA"/>
    <w:rsid w:val="709D077E"/>
    <w:rsid w:val="70C4385F"/>
    <w:rsid w:val="70FC7CF9"/>
    <w:rsid w:val="7105441D"/>
    <w:rsid w:val="710C33EB"/>
    <w:rsid w:val="711B0DB4"/>
    <w:rsid w:val="7138613C"/>
    <w:rsid w:val="71842430"/>
    <w:rsid w:val="71892A18"/>
    <w:rsid w:val="71907CAE"/>
    <w:rsid w:val="71987116"/>
    <w:rsid w:val="719A4569"/>
    <w:rsid w:val="71A61963"/>
    <w:rsid w:val="71DB1E04"/>
    <w:rsid w:val="71DC2D77"/>
    <w:rsid w:val="72100D33"/>
    <w:rsid w:val="724745B5"/>
    <w:rsid w:val="724E5B99"/>
    <w:rsid w:val="725F72B6"/>
    <w:rsid w:val="726619F3"/>
    <w:rsid w:val="7270752F"/>
    <w:rsid w:val="729C6CD1"/>
    <w:rsid w:val="72AB4ACD"/>
    <w:rsid w:val="72BD3E0F"/>
    <w:rsid w:val="72C35C78"/>
    <w:rsid w:val="72C86A45"/>
    <w:rsid w:val="72E53CA7"/>
    <w:rsid w:val="72E80587"/>
    <w:rsid w:val="730E577A"/>
    <w:rsid w:val="732E6D16"/>
    <w:rsid w:val="7332363F"/>
    <w:rsid w:val="733D1677"/>
    <w:rsid w:val="733D554B"/>
    <w:rsid w:val="733D6E8A"/>
    <w:rsid w:val="73810C79"/>
    <w:rsid w:val="73BF7121"/>
    <w:rsid w:val="73D246C4"/>
    <w:rsid w:val="73E63FAD"/>
    <w:rsid w:val="73E65FDE"/>
    <w:rsid w:val="73EC654B"/>
    <w:rsid w:val="73FE7CAF"/>
    <w:rsid w:val="74164168"/>
    <w:rsid w:val="741C481A"/>
    <w:rsid w:val="74737D6C"/>
    <w:rsid w:val="74861472"/>
    <w:rsid w:val="748E5B2A"/>
    <w:rsid w:val="74D9451F"/>
    <w:rsid w:val="75155309"/>
    <w:rsid w:val="751A02DC"/>
    <w:rsid w:val="754F48BF"/>
    <w:rsid w:val="75745BA4"/>
    <w:rsid w:val="757B5C49"/>
    <w:rsid w:val="759E50FE"/>
    <w:rsid w:val="75C31411"/>
    <w:rsid w:val="75CD67FB"/>
    <w:rsid w:val="75D90DBE"/>
    <w:rsid w:val="75FF5579"/>
    <w:rsid w:val="76086F5A"/>
    <w:rsid w:val="76092C49"/>
    <w:rsid w:val="765E60A6"/>
    <w:rsid w:val="76664776"/>
    <w:rsid w:val="76A1750B"/>
    <w:rsid w:val="76B161E7"/>
    <w:rsid w:val="76D804ED"/>
    <w:rsid w:val="77187921"/>
    <w:rsid w:val="771E3C94"/>
    <w:rsid w:val="77374AE5"/>
    <w:rsid w:val="77592488"/>
    <w:rsid w:val="77764550"/>
    <w:rsid w:val="778B00B8"/>
    <w:rsid w:val="778B75D3"/>
    <w:rsid w:val="77D15D7E"/>
    <w:rsid w:val="77EA10E8"/>
    <w:rsid w:val="78172B7C"/>
    <w:rsid w:val="782A02FC"/>
    <w:rsid w:val="78810C2A"/>
    <w:rsid w:val="78882EAE"/>
    <w:rsid w:val="792A6B62"/>
    <w:rsid w:val="7930488D"/>
    <w:rsid w:val="794D4C23"/>
    <w:rsid w:val="79583737"/>
    <w:rsid w:val="797809C0"/>
    <w:rsid w:val="798152B2"/>
    <w:rsid w:val="798D55C8"/>
    <w:rsid w:val="79F10BF9"/>
    <w:rsid w:val="79FF7789"/>
    <w:rsid w:val="7A095C97"/>
    <w:rsid w:val="7A267EC1"/>
    <w:rsid w:val="7A37260E"/>
    <w:rsid w:val="7A4E2566"/>
    <w:rsid w:val="7A5C7453"/>
    <w:rsid w:val="7A610296"/>
    <w:rsid w:val="7A8472E4"/>
    <w:rsid w:val="7A9A0DE5"/>
    <w:rsid w:val="7AD87B58"/>
    <w:rsid w:val="7AEA3B99"/>
    <w:rsid w:val="7B4D7010"/>
    <w:rsid w:val="7B6C5FAE"/>
    <w:rsid w:val="7B742666"/>
    <w:rsid w:val="7B8D4D8A"/>
    <w:rsid w:val="7BAF0785"/>
    <w:rsid w:val="7BAF2247"/>
    <w:rsid w:val="7BC174AC"/>
    <w:rsid w:val="7BDD141F"/>
    <w:rsid w:val="7BE662D6"/>
    <w:rsid w:val="7BF36627"/>
    <w:rsid w:val="7BFD64CF"/>
    <w:rsid w:val="7C082564"/>
    <w:rsid w:val="7C344CEC"/>
    <w:rsid w:val="7C517A12"/>
    <w:rsid w:val="7C6826E6"/>
    <w:rsid w:val="7C975A3F"/>
    <w:rsid w:val="7CF1279F"/>
    <w:rsid w:val="7D2701C2"/>
    <w:rsid w:val="7D2F50FC"/>
    <w:rsid w:val="7D543B16"/>
    <w:rsid w:val="7D890613"/>
    <w:rsid w:val="7D9C5074"/>
    <w:rsid w:val="7DAC6532"/>
    <w:rsid w:val="7DC01404"/>
    <w:rsid w:val="7DC532E8"/>
    <w:rsid w:val="7E041BAA"/>
    <w:rsid w:val="7E0C6C3E"/>
    <w:rsid w:val="7E123EAA"/>
    <w:rsid w:val="7E182B60"/>
    <w:rsid w:val="7E220D02"/>
    <w:rsid w:val="7E332E30"/>
    <w:rsid w:val="7E484108"/>
    <w:rsid w:val="7E584BFD"/>
    <w:rsid w:val="7E8907D6"/>
    <w:rsid w:val="7EAF1CDC"/>
    <w:rsid w:val="7EC9614C"/>
    <w:rsid w:val="7EDA402E"/>
    <w:rsid w:val="7EEC4462"/>
    <w:rsid w:val="7EF65A47"/>
    <w:rsid w:val="7F040A44"/>
    <w:rsid w:val="7F104F2A"/>
    <w:rsid w:val="7F396370"/>
    <w:rsid w:val="7FA67A41"/>
    <w:rsid w:val="7FCF44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6">
    <w:name w:val="heading 1"/>
    <w:basedOn w:val="1"/>
    <w:next w:val="1"/>
    <w:link w:val="61"/>
    <w:qFormat/>
    <w:uiPriority w:val="0"/>
    <w:pPr>
      <w:keepNext/>
      <w:jc w:val="center"/>
      <w:outlineLvl w:val="0"/>
    </w:pPr>
    <w:rPr>
      <w:rFonts w:ascii="仿宋_GB2312" w:hAnsi="仿宋_GB2312" w:eastAsia="宋体"/>
      <w:b/>
      <w:kern w:val="2"/>
      <w:sz w:val="32"/>
    </w:rPr>
  </w:style>
  <w:style w:type="paragraph" w:styleId="7">
    <w:name w:val="heading 2"/>
    <w:basedOn w:val="6"/>
    <w:next w:val="6"/>
    <w:link w:val="62"/>
    <w:qFormat/>
    <w:uiPriority w:val="9"/>
    <w:pPr>
      <w:keepNext/>
      <w:keepLines/>
      <w:widowControl/>
      <w:spacing w:before="260" w:after="260"/>
      <w:ind w:left="284"/>
      <w:jc w:val="left"/>
      <w:outlineLvl w:val="1"/>
    </w:pPr>
    <w:rPr>
      <w:rFonts w:ascii="Arial" w:hAnsi="Arial"/>
      <w:bCs/>
      <w:sz w:val="28"/>
      <w:szCs w:val="32"/>
    </w:rPr>
  </w:style>
  <w:style w:type="paragraph" w:styleId="8">
    <w:name w:val="heading 3"/>
    <w:basedOn w:val="1"/>
    <w:next w:val="1"/>
    <w:link w:val="88"/>
    <w:qFormat/>
    <w:uiPriority w:val="0"/>
    <w:pPr>
      <w:keepNext/>
      <w:spacing w:beforeLines="200" w:line="400" w:lineRule="exact"/>
      <w:jc w:val="center"/>
      <w:outlineLvl w:val="2"/>
    </w:pPr>
    <w:rPr>
      <w:rFonts w:ascii="Times New Roman"/>
      <w:b/>
      <w:bCs/>
      <w:kern w:val="2"/>
      <w:szCs w:val="24"/>
    </w:rPr>
  </w:style>
  <w:style w:type="paragraph" w:styleId="9">
    <w:name w:val="heading 4"/>
    <w:basedOn w:val="1"/>
    <w:next w:val="1"/>
    <w:link w:val="81"/>
    <w:qFormat/>
    <w:uiPriority w:val="0"/>
    <w:pPr>
      <w:keepNext/>
      <w:keepLines/>
      <w:tabs>
        <w:tab w:val="left" w:pos="864"/>
      </w:tabs>
      <w:spacing w:before="120" w:line="360" w:lineRule="auto"/>
      <w:ind w:left="864" w:hanging="864"/>
      <w:outlineLvl w:val="3"/>
    </w:pPr>
    <w:rPr>
      <w:rFonts w:ascii="Arial" w:hAnsi="Arial"/>
      <w:bCs/>
      <w:kern w:val="2"/>
      <w:szCs w:val="28"/>
    </w:rPr>
  </w:style>
  <w:style w:type="paragraph" w:styleId="10">
    <w:name w:val="heading 5"/>
    <w:basedOn w:val="1"/>
    <w:next w:val="1"/>
    <w:link w:val="99"/>
    <w:qFormat/>
    <w:uiPriority w:val="0"/>
    <w:pPr>
      <w:keepNext/>
      <w:keepLines/>
      <w:tabs>
        <w:tab w:val="left" w:pos="1008"/>
        <w:tab w:val="left" w:pos="1218"/>
      </w:tabs>
      <w:spacing w:before="60" w:line="360" w:lineRule="auto"/>
      <w:ind w:left="1008" w:hanging="1008"/>
      <w:outlineLvl w:val="4"/>
    </w:pPr>
    <w:rPr>
      <w:rFonts w:ascii="Arial Unicode MS" w:hAnsi="Arial Unicode MS"/>
      <w:bCs/>
      <w:kern w:val="2"/>
      <w:szCs w:val="24"/>
    </w:rPr>
  </w:style>
  <w:style w:type="paragraph" w:styleId="11">
    <w:name w:val="heading 6"/>
    <w:basedOn w:val="1"/>
    <w:next w:val="1"/>
    <w:link w:val="108"/>
    <w:qFormat/>
    <w:uiPriority w:val="0"/>
    <w:pPr>
      <w:keepNext/>
      <w:keepLines/>
      <w:tabs>
        <w:tab w:val="left" w:pos="1152"/>
      </w:tabs>
      <w:spacing w:before="60" w:line="360" w:lineRule="auto"/>
      <w:ind w:left="1152" w:hanging="1152"/>
      <w:outlineLvl w:val="5"/>
    </w:pPr>
    <w:rPr>
      <w:rFonts w:ascii="Arial Unicode MS" w:hAnsi="Arial Unicode MS"/>
      <w:bCs/>
      <w:kern w:val="2"/>
      <w:szCs w:val="24"/>
    </w:rPr>
  </w:style>
  <w:style w:type="paragraph" w:styleId="12">
    <w:name w:val="heading 7"/>
    <w:basedOn w:val="1"/>
    <w:next w:val="1"/>
    <w:link w:val="94"/>
    <w:qFormat/>
    <w:uiPriority w:val="0"/>
    <w:pPr>
      <w:keepNext/>
      <w:tabs>
        <w:tab w:val="left" w:pos="1296"/>
      </w:tabs>
      <w:autoSpaceDE w:val="0"/>
      <w:autoSpaceDN w:val="0"/>
      <w:adjustRightInd w:val="0"/>
      <w:spacing w:line="288" w:lineRule="auto"/>
      <w:ind w:left="1296" w:hanging="1296"/>
      <w:outlineLvl w:val="6"/>
    </w:pPr>
    <w:rPr>
      <w:rFonts w:ascii="Arial" w:hAnsi="Arial"/>
      <w:b/>
      <w:color w:val="000000"/>
      <w:kern w:val="2"/>
      <w:sz w:val="15"/>
    </w:rPr>
  </w:style>
  <w:style w:type="paragraph" w:styleId="13">
    <w:name w:val="heading 8"/>
    <w:basedOn w:val="1"/>
    <w:next w:val="1"/>
    <w:link w:val="98"/>
    <w:qFormat/>
    <w:uiPriority w:val="0"/>
    <w:pPr>
      <w:keepNext/>
      <w:tabs>
        <w:tab w:val="left" w:pos="1440"/>
      </w:tabs>
      <w:spacing w:line="360" w:lineRule="auto"/>
      <w:ind w:left="1440" w:hanging="1440"/>
      <w:outlineLvl w:val="7"/>
    </w:pPr>
    <w:rPr>
      <w:rFonts w:ascii="仿宋_GB2312" w:eastAsia="仿宋_GB2312"/>
      <w:b/>
      <w:kern w:val="2"/>
    </w:rPr>
  </w:style>
  <w:style w:type="paragraph" w:styleId="14">
    <w:name w:val="heading 9"/>
    <w:basedOn w:val="1"/>
    <w:next w:val="1"/>
    <w:link w:val="85"/>
    <w:qFormat/>
    <w:uiPriority w:val="0"/>
    <w:pPr>
      <w:keepNext/>
      <w:keepLines/>
      <w:tabs>
        <w:tab w:val="left" w:pos="1584"/>
      </w:tabs>
      <w:spacing w:before="240" w:after="64" w:line="320" w:lineRule="auto"/>
      <w:ind w:left="1584" w:hanging="1584"/>
      <w:outlineLvl w:val="8"/>
    </w:pPr>
    <w:rPr>
      <w:rFonts w:ascii="Arial" w:hAnsi="Arial" w:eastAsia="黑体"/>
      <w:kern w:val="2"/>
      <w:sz w:val="21"/>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widowControl w:val="0"/>
      <w:adjustRightInd/>
      <w:snapToGrid/>
      <w:spacing w:after="0"/>
      <w:ind w:firstLine="420"/>
      <w:jc w:val="both"/>
    </w:pPr>
    <w:rPr>
      <w:rFonts w:ascii="Times New Roman" w:hAnsi="Times New Roman" w:eastAsia="宋体" w:cs="Times New Roman"/>
      <w:kern w:val="2"/>
      <w:sz w:val="21"/>
      <w:szCs w:val="24"/>
    </w:rPr>
  </w:style>
  <w:style w:type="paragraph" w:styleId="3">
    <w:name w:val="Body Text Indent"/>
    <w:basedOn w:val="1"/>
    <w:next w:val="4"/>
    <w:link w:val="102"/>
    <w:qFormat/>
    <w:uiPriority w:val="0"/>
    <w:pPr>
      <w:widowControl/>
      <w:ind w:firstLine="652" w:firstLineChars="233"/>
    </w:pPr>
    <w:rPr>
      <w:rFonts w:ascii="Times New Roman"/>
      <w:sz w:val="28"/>
    </w:rPr>
  </w:style>
  <w:style w:type="paragraph" w:styleId="4">
    <w:name w:val="envelope return"/>
    <w:basedOn w:val="1"/>
    <w:qFormat/>
    <w:uiPriority w:val="0"/>
    <w:pPr>
      <w:snapToGrid w:val="0"/>
    </w:pPr>
    <w:rPr>
      <w:rFonts w:ascii="Arial" w:hAnsi="Arial"/>
    </w:rPr>
  </w:style>
  <w:style w:type="paragraph" w:styleId="5">
    <w:name w:val="Body Text"/>
    <w:basedOn w:val="1"/>
    <w:next w:val="1"/>
    <w:link w:val="84"/>
    <w:qFormat/>
    <w:uiPriority w:val="0"/>
    <w:pPr>
      <w:spacing w:after="120"/>
    </w:pPr>
    <w:rPr>
      <w:rFonts w:ascii="Times New Roman"/>
      <w:kern w:val="2"/>
      <w:sz w:val="21"/>
    </w:rPr>
  </w:style>
  <w:style w:type="paragraph" w:styleId="15">
    <w:name w:val="toc 7"/>
    <w:basedOn w:val="1"/>
    <w:next w:val="1"/>
    <w:unhideWhenUsed/>
    <w:qFormat/>
    <w:uiPriority w:val="39"/>
    <w:pPr>
      <w:ind w:left="2520" w:leftChars="1200"/>
    </w:pPr>
  </w:style>
  <w:style w:type="paragraph" w:styleId="16">
    <w:name w:val="Normal Indent"/>
    <w:basedOn w:val="1"/>
    <w:link w:val="83"/>
    <w:qFormat/>
    <w:uiPriority w:val="0"/>
    <w:pPr>
      <w:spacing w:line="300" w:lineRule="auto"/>
      <w:ind w:firstLine="420" w:firstLineChars="200"/>
    </w:pPr>
    <w:rPr>
      <w:rFonts w:ascii="Times New Roman"/>
      <w:kern w:val="2"/>
      <w:sz w:val="21"/>
      <w:szCs w:val="24"/>
    </w:rPr>
  </w:style>
  <w:style w:type="paragraph" w:styleId="17">
    <w:name w:val="caption"/>
    <w:basedOn w:val="1"/>
    <w:next w:val="1"/>
    <w:link w:val="71"/>
    <w:qFormat/>
    <w:uiPriority w:val="0"/>
    <w:pPr>
      <w:spacing w:before="152" w:after="160"/>
    </w:pPr>
    <w:rPr>
      <w:rFonts w:ascii="Arial" w:hAnsi="Arial" w:eastAsia="黑体"/>
      <w:kern w:val="2"/>
      <w:sz w:val="20"/>
    </w:rPr>
  </w:style>
  <w:style w:type="paragraph" w:styleId="18">
    <w:name w:val="Document Map"/>
    <w:basedOn w:val="1"/>
    <w:link w:val="92"/>
    <w:qFormat/>
    <w:uiPriority w:val="0"/>
    <w:pPr>
      <w:shd w:val="clear" w:color="auto" w:fill="000080"/>
    </w:pPr>
    <w:rPr>
      <w:rFonts w:ascii="Times New Roman"/>
      <w:kern w:val="2"/>
      <w:sz w:val="21"/>
    </w:rPr>
  </w:style>
  <w:style w:type="paragraph" w:styleId="19">
    <w:name w:val="annotation text"/>
    <w:basedOn w:val="1"/>
    <w:link w:val="97"/>
    <w:qFormat/>
    <w:uiPriority w:val="0"/>
    <w:pPr>
      <w:jc w:val="left"/>
    </w:pPr>
    <w:rPr>
      <w:rFonts w:ascii="Times New Roman"/>
      <w:kern w:val="2"/>
      <w:sz w:val="21"/>
      <w:szCs w:val="24"/>
    </w:rPr>
  </w:style>
  <w:style w:type="paragraph" w:styleId="20">
    <w:name w:val="Body Text 3"/>
    <w:basedOn w:val="1"/>
    <w:link w:val="101"/>
    <w:qFormat/>
    <w:uiPriority w:val="0"/>
    <w:pPr>
      <w:jc w:val="center"/>
    </w:pPr>
    <w:rPr>
      <w:rFonts w:ascii="Times New Roman"/>
      <w:b/>
      <w:spacing w:val="-20"/>
      <w:w w:val="110"/>
      <w:kern w:val="2"/>
      <w:sz w:val="52"/>
    </w:rPr>
  </w:style>
  <w:style w:type="paragraph" w:styleId="21">
    <w:name w:val="HTML Address"/>
    <w:basedOn w:val="1"/>
    <w:qFormat/>
    <w:uiPriority w:val="0"/>
    <w:pPr>
      <w:widowControl/>
      <w:jc w:val="left"/>
    </w:pPr>
    <w:rPr>
      <w:rFonts w:hAnsi="宋体" w:cs="宋体"/>
      <w:i/>
      <w:iCs/>
      <w:szCs w:val="24"/>
    </w:rPr>
  </w:style>
  <w:style w:type="paragraph" w:styleId="22">
    <w:name w:val="toc 5"/>
    <w:basedOn w:val="1"/>
    <w:next w:val="1"/>
    <w:unhideWhenUsed/>
    <w:qFormat/>
    <w:uiPriority w:val="39"/>
    <w:pPr>
      <w:ind w:left="1680" w:leftChars="800"/>
    </w:pPr>
  </w:style>
  <w:style w:type="paragraph" w:styleId="23">
    <w:name w:val="toc 3"/>
    <w:basedOn w:val="1"/>
    <w:next w:val="1"/>
    <w:unhideWhenUsed/>
    <w:qFormat/>
    <w:uiPriority w:val="39"/>
    <w:pPr>
      <w:ind w:left="840" w:leftChars="400"/>
    </w:pPr>
  </w:style>
  <w:style w:type="paragraph" w:styleId="24">
    <w:name w:val="Plain Text"/>
    <w:basedOn w:val="1"/>
    <w:link w:val="114"/>
    <w:qFormat/>
    <w:uiPriority w:val="0"/>
    <w:rPr>
      <w:rFonts w:hAnsi="Courier New"/>
      <w:kern w:val="2"/>
      <w:sz w:val="21"/>
    </w:rPr>
  </w:style>
  <w:style w:type="paragraph" w:styleId="25">
    <w:name w:val="toc 8"/>
    <w:basedOn w:val="1"/>
    <w:next w:val="1"/>
    <w:unhideWhenUsed/>
    <w:qFormat/>
    <w:uiPriority w:val="39"/>
    <w:pPr>
      <w:ind w:left="2940" w:leftChars="1400"/>
    </w:pPr>
  </w:style>
  <w:style w:type="paragraph" w:styleId="26">
    <w:name w:val="Date"/>
    <w:basedOn w:val="1"/>
    <w:next w:val="1"/>
    <w:link w:val="91"/>
    <w:qFormat/>
    <w:uiPriority w:val="0"/>
    <w:rPr>
      <w:rFonts w:ascii="Times New Roman"/>
      <w:kern w:val="2"/>
      <w:sz w:val="28"/>
    </w:rPr>
  </w:style>
  <w:style w:type="paragraph" w:styleId="27">
    <w:name w:val="Body Text Indent 2"/>
    <w:basedOn w:val="1"/>
    <w:link w:val="112"/>
    <w:qFormat/>
    <w:uiPriority w:val="99"/>
    <w:pPr>
      <w:tabs>
        <w:tab w:val="left" w:pos="5625"/>
      </w:tabs>
      <w:ind w:left="1138" w:leftChars="542"/>
    </w:pPr>
    <w:rPr>
      <w:rFonts w:ascii="Times New Roman"/>
      <w:kern w:val="2"/>
    </w:rPr>
  </w:style>
  <w:style w:type="paragraph" w:styleId="28">
    <w:name w:val="Balloon Text"/>
    <w:basedOn w:val="1"/>
    <w:link w:val="116"/>
    <w:qFormat/>
    <w:uiPriority w:val="99"/>
    <w:rPr>
      <w:rFonts w:ascii="Times New Roman"/>
      <w:kern w:val="2"/>
      <w:sz w:val="18"/>
      <w:szCs w:val="18"/>
    </w:rPr>
  </w:style>
  <w:style w:type="paragraph" w:styleId="29">
    <w:name w:val="footer"/>
    <w:basedOn w:val="1"/>
    <w:next w:val="1"/>
    <w:link w:val="69"/>
    <w:qFormat/>
    <w:uiPriority w:val="99"/>
    <w:pPr>
      <w:tabs>
        <w:tab w:val="center" w:pos="4153"/>
        <w:tab w:val="right" w:pos="8306"/>
      </w:tabs>
      <w:snapToGrid w:val="0"/>
      <w:jc w:val="left"/>
    </w:pPr>
    <w:rPr>
      <w:rFonts w:ascii="Times New Roman"/>
      <w:kern w:val="2"/>
      <w:sz w:val="18"/>
      <w:szCs w:val="18"/>
    </w:rPr>
  </w:style>
  <w:style w:type="paragraph" w:styleId="30">
    <w:name w:val="header"/>
    <w:basedOn w:val="1"/>
    <w:link w:val="66"/>
    <w:qFormat/>
    <w:uiPriority w:val="0"/>
    <w:pPr>
      <w:pBdr>
        <w:bottom w:val="single" w:color="auto" w:sz="6" w:space="1"/>
      </w:pBdr>
      <w:tabs>
        <w:tab w:val="center" w:pos="4153"/>
        <w:tab w:val="right" w:pos="8306"/>
      </w:tabs>
      <w:snapToGrid w:val="0"/>
      <w:jc w:val="center"/>
    </w:pPr>
    <w:rPr>
      <w:rFonts w:ascii="Times New Roman"/>
      <w:kern w:val="2"/>
      <w:sz w:val="18"/>
      <w:szCs w:val="18"/>
    </w:rPr>
  </w:style>
  <w:style w:type="paragraph" w:styleId="31">
    <w:name w:val="toc 1"/>
    <w:basedOn w:val="1"/>
    <w:next w:val="1"/>
    <w:unhideWhenUsed/>
    <w:qFormat/>
    <w:uiPriority w:val="39"/>
    <w:pPr>
      <w:tabs>
        <w:tab w:val="left" w:pos="1418"/>
        <w:tab w:val="right" w:leader="dot" w:pos="8302"/>
      </w:tabs>
      <w:spacing w:line="960" w:lineRule="auto"/>
    </w:pPr>
  </w:style>
  <w:style w:type="paragraph" w:styleId="32">
    <w:name w:val="toc 4"/>
    <w:basedOn w:val="1"/>
    <w:next w:val="1"/>
    <w:unhideWhenUsed/>
    <w:qFormat/>
    <w:uiPriority w:val="39"/>
    <w:pPr>
      <w:ind w:left="1260" w:leftChars="600"/>
    </w:pPr>
  </w:style>
  <w:style w:type="paragraph" w:styleId="33">
    <w:name w:val="Subtitle"/>
    <w:basedOn w:val="1"/>
    <w:next w:val="1"/>
    <w:link w:val="109"/>
    <w:qFormat/>
    <w:uiPriority w:val="0"/>
    <w:pPr>
      <w:spacing w:before="240" w:after="60" w:line="312" w:lineRule="auto"/>
      <w:jc w:val="center"/>
      <w:outlineLvl w:val="1"/>
    </w:pPr>
    <w:rPr>
      <w:rFonts w:ascii="Cambria" w:hAnsi="Cambria"/>
      <w:b/>
      <w:bCs/>
      <w:kern w:val="28"/>
      <w:sz w:val="32"/>
      <w:szCs w:val="32"/>
    </w:rPr>
  </w:style>
  <w:style w:type="paragraph" w:styleId="34">
    <w:name w:val="List"/>
    <w:basedOn w:val="1"/>
    <w:qFormat/>
    <w:uiPriority w:val="0"/>
    <w:pPr>
      <w:numPr>
        <w:ilvl w:val="1"/>
        <w:numId w:val="1"/>
      </w:numPr>
      <w:spacing w:line="360" w:lineRule="auto"/>
      <w:jc w:val="left"/>
    </w:pPr>
    <w:rPr>
      <w:szCs w:val="24"/>
    </w:rPr>
  </w:style>
  <w:style w:type="paragraph" w:styleId="35">
    <w:name w:val="toc 6"/>
    <w:basedOn w:val="1"/>
    <w:next w:val="1"/>
    <w:unhideWhenUsed/>
    <w:qFormat/>
    <w:uiPriority w:val="39"/>
    <w:pPr>
      <w:ind w:left="2100" w:leftChars="1000"/>
    </w:pPr>
  </w:style>
  <w:style w:type="paragraph" w:styleId="36">
    <w:name w:val="Body Text Indent 3"/>
    <w:basedOn w:val="1"/>
    <w:link w:val="80"/>
    <w:qFormat/>
    <w:uiPriority w:val="0"/>
    <w:pPr>
      <w:spacing w:line="410" w:lineRule="exact"/>
      <w:ind w:left="619" w:leftChars="295" w:firstLine="390" w:firstLineChars="179"/>
    </w:pPr>
    <w:rPr>
      <w:rFonts w:hAnsi="宋体"/>
      <w:spacing w:val="4"/>
      <w:kern w:val="2"/>
      <w:sz w:val="21"/>
    </w:rPr>
  </w:style>
  <w:style w:type="paragraph" w:styleId="37">
    <w:name w:val="toc 2"/>
    <w:basedOn w:val="1"/>
    <w:next w:val="1"/>
    <w:unhideWhenUsed/>
    <w:qFormat/>
    <w:uiPriority w:val="39"/>
    <w:pPr>
      <w:tabs>
        <w:tab w:val="right" w:leader="dot" w:pos="8302"/>
      </w:tabs>
      <w:spacing w:line="960" w:lineRule="auto"/>
      <w:ind w:left="420" w:leftChars="200"/>
    </w:pPr>
  </w:style>
  <w:style w:type="paragraph" w:styleId="38">
    <w:name w:val="toc 9"/>
    <w:basedOn w:val="1"/>
    <w:next w:val="1"/>
    <w:unhideWhenUsed/>
    <w:qFormat/>
    <w:uiPriority w:val="39"/>
    <w:pPr>
      <w:ind w:left="3360" w:leftChars="1600"/>
    </w:pPr>
  </w:style>
  <w:style w:type="paragraph" w:styleId="39">
    <w:name w:val="Body Text 2"/>
    <w:basedOn w:val="1"/>
    <w:link w:val="79"/>
    <w:qFormat/>
    <w:uiPriority w:val="0"/>
    <w:rPr>
      <w:rFonts w:ascii="楷体_GB2312" w:hAnsi="Copperplate Gothic Bold" w:eastAsia="楷体_GB2312"/>
      <w:kern w:val="2"/>
      <w:sz w:val="2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cs="Courier New"/>
      <w:sz w:val="20"/>
    </w:rPr>
  </w:style>
  <w:style w:type="paragraph" w:styleId="41">
    <w:name w:val="Normal (Web)"/>
    <w:basedOn w:val="1"/>
    <w:next w:val="29"/>
    <w:qFormat/>
    <w:uiPriority w:val="99"/>
    <w:pPr>
      <w:widowControl/>
      <w:spacing w:before="100" w:beforeAutospacing="1" w:after="100" w:afterAutospacing="1"/>
      <w:jc w:val="left"/>
    </w:pPr>
    <w:rPr>
      <w:rFonts w:hAnsi="宋体"/>
      <w:szCs w:val="24"/>
    </w:rPr>
  </w:style>
  <w:style w:type="paragraph" w:styleId="42">
    <w:name w:val="Title"/>
    <w:basedOn w:val="1"/>
    <w:next w:val="1"/>
    <w:link w:val="95"/>
    <w:qFormat/>
    <w:uiPriority w:val="0"/>
    <w:pPr>
      <w:spacing w:before="240" w:after="60"/>
      <w:jc w:val="center"/>
      <w:outlineLvl w:val="0"/>
    </w:pPr>
    <w:rPr>
      <w:rFonts w:ascii="Cambria" w:hAnsi="Cambria"/>
      <w:b/>
      <w:bCs/>
      <w:kern w:val="2"/>
      <w:sz w:val="32"/>
      <w:szCs w:val="32"/>
    </w:rPr>
  </w:style>
  <w:style w:type="paragraph" w:styleId="43">
    <w:name w:val="annotation subject"/>
    <w:basedOn w:val="19"/>
    <w:next w:val="19"/>
    <w:link w:val="75"/>
    <w:qFormat/>
    <w:uiPriority w:val="0"/>
    <w:rPr>
      <w:b/>
      <w:bCs/>
    </w:rPr>
  </w:style>
  <w:style w:type="paragraph" w:styleId="44">
    <w:name w:val="Body Text First Indent"/>
    <w:basedOn w:val="5"/>
    <w:next w:val="2"/>
    <w:unhideWhenUsed/>
    <w:qFormat/>
    <w:uiPriority w:val="99"/>
    <w:pPr>
      <w:ind w:firstLine="420" w:firstLineChars="100"/>
    </w:p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22"/>
    <w:rPr>
      <w:b/>
      <w:bCs/>
    </w:rPr>
  </w:style>
  <w:style w:type="character" w:styleId="49">
    <w:name w:val="page number"/>
    <w:basedOn w:val="47"/>
    <w:qFormat/>
    <w:uiPriority w:val="0"/>
  </w:style>
  <w:style w:type="character" w:styleId="50">
    <w:name w:val="FollowedHyperlink"/>
    <w:qFormat/>
    <w:uiPriority w:val="0"/>
    <w:rPr>
      <w:rFonts w:hint="eastAsia" w:ascii="宋体" w:hAnsi="宋体" w:eastAsia="宋体" w:cs="宋体"/>
      <w:color w:val="000000"/>
      <w:sz w:val="18"/>
      <w:szCs w:val="18"/>
      <w:u w:val="none"/>
    </w:rPr>
  </w:style>
  <w:style w:type="character" w:styleId="51">
    <w:name w:val="Emphasis"/>
    <w:qFormat/>
    <w:uiPriority w:val="0"/>
    <w:rPr>
      <w:i/>
      <w:iCs/>
    </w:rPr>
  </w:style>
  <w:style w:type="character" w:styleId="52">
    <w:name w:val="HTML Definition"/>
    <w:basedOn w:val="47"/>
    <w:unhideWhenUsed/>
    <w:qFormat/>
    <w:uiPriority w:val="99"/>
    <w:rPr>
      <w:i/>
    </w:rPr>
  </w:style>
  <w:style w:type="character" w:styleId="53">
    <w:name w:val="HTML Typewriter"/>
    <w:qFormat/>
    <w:uiPriority w:val="0"/>
    <w:rPr>
      <w:rFonts w:ascii="黑体" w:hAnsi="Courier New" w:eastAsia="黑体" w:cs="Courier New"/>
      <w:sz w:val="20"/>
      <w:szCs w:val="20"/>
    </w:rPr>
  </w:style>
  <w:style w:type="character" w:styleId="54">
    <w:name w:val="Hyperlink"/>
    <w:qFormat/>
    <w:uiPriority w:val="99"/>
    <w:rPr>
      <w:rFonts w:hint="eastAsia" w:ascii="宋体" w:hAnsi="宋体" w:eastAsia="宋体" w:cs="宋体"/>
      <w:color w:val="000000"/>
      <w:sz w:val="18"/>
      <w:szCs w:val="18"/>
      <w:u w:val="none"/>
    </w:rPr>
  </w:style>
  <w:style w:type="character" w:styleId="55">
    <w:name w:val="HTML Code"/>
    <w:basedOn w:val="47"/>
    <w:unhideWhenUsed/>
    <w:qFormat/>
    <w:uiPriority w:val="99"/>
    <w:rPr>
      <w:rFonts w:ascii="Consolas" w:hAnsi="Consolas" w:eastAsia="Consolas" w:cs="Consolas"/>
      <w:color w:val="C7254E"/>
      <w:sz w:val="21"/>
      <w:szCs w:val="21"/>
      <w:shd w:val="clear" w:color="auto" w:fill="F9F2F4"/>
    </w:rPr>
  </w:style>
  <w:style w:type="character" w:styleId="56">
    <w:name w:val="annotation reference"/>
    <w:qFormat/>
    <w:uiPriority w:val="0"/>
    <w:rPr>
      <w:sz w:val="21"/>
      <w:szCs w:val="21"/>
    </w:rPr>
  </w:style>
  <w:style w:type="character" w:styleId="57">
    <w:name w:val="HTML Keyboard"/>
    <w:basedOn w:val="47"/>
    <w:unhideWhenUsed/>
    <w:qFormat/>
    <w:uiPriority w:val="99"/>
    <w:rPr>
      <w:rFonts w:hint="default" w:ascii="Consolas" w:hAnsi="Consolas" w:eastAsia="Consolas" w:cs="Consolas"/>
      <w:color w:val="FFFFFF"/>
      <w:sz w:val="21"/>
      <w:szCs w:val="21"/>
      <w:shd w:val="clear" w:color="auto" w:fill="333333"/>
    </w:rPr>
  </w:style>
  <w:style w:type="character" w:styleId="58">
    <w:name w:val="HTML Sample"/>
    <w:basedOn w:val="47"/>
    <w:unhideWhenUsed/>
    <w:qFormat/>
    <w:uiPriority w:val="99"/>
    <w:rPr>
      <w:rFonts w:hint="default" w:ascii="Consolas" w:hAnsi="Consolas" w:eastAsia="Consolas" w:cs="Consolas"/>
      <w:sz w:val="21"/>
      <w:szCs w:val="21"/>
    </w:rPr>
  </w:style>
  <w:style w:type="paragraph" w:customStyle="1" w:styleId="59">
    <w:name w:val="Char Char Char Char Char Char Char Char Char Char Char1 Char Char Char Char Char Char Char Char Char Char Char Char22"/>
    <w:basedOn w:val="1"/>
    <w:qFormat/>
    <w:uiPriority w:val="0"/>
  </w:style>
  <w:style w:type="paragraph" w:customStyle="1" w:styleId="60">
    <w:name w:val="Char Char Char Char Char Char Char Char Char Char Char1 Char Char Char Char Char Char Char Char Char Char Char Char4"/>
    <w:basedOn w:val="1"/>
    <w:qFormat/>
    <w:uiPriority w:val="0"/>
  </w:style>
  <w:style w:type="character" w:customStyle="1" w:styleId="61">
    <w:name w:val="标题 1 Char"/>
    <w:link w:val="6"/>
    <w:qFormat/>
    <w:uiPriority w:val="0"/>
    <w:rPr>
      <w:rFonts w:ascii="仿宋_GB2312" w:hAnsi="仿宋_GB2312" w:eastAsia="宋体"/>
      <w:b/>
      <w:kern w:val="2"/>
      <w:sz w:val="32"/>
    </w:rPr>
  </w:style>
  <w:style w:type="character" w:customStyle="1" w:styleId="62">
    <w:name w:val="标题 2 Char"/>
    <w:link w:val="7"/>
    <w:qFormat/>
    <w:uiPriority w:val="9"/>
    <w:rPr>
      <w:rFonts w:ascii="Arial" w:hAnsi="Arial"/>
      <w:b/>
      <w:bCs/>
      <w:sz w:val="28"/>
      <w:szCs w:val="32"/>
    </w:rPr>
  </w:style>
  <w:style w:type="character" w:customStyle="1" w:styleId="63">
    <w:name w:val="displayarti"/>
    <w:basedOn w:val="47"/>
    <w:qFormat/>
    <w:uiPriority w:val="0"/>
    <w:rPr>
      <w:color w:val="FFFFFF"/>
      <w:shd w:val="clear" w:color="auto" w:fill="A00000"/>
    </w:rPr>
  </w:style>
  <w:style w:type="character" w:customStyle="1" w:styleId="64">
    <w:name w:val="列出段落 Char"/>
    <w:link w:val="65"/>
    <w:qFormat/>
    <w:uiPriority w:val="34"/>
    <w:rPr>
      <w:rFonts w:ascii="Calibri" w:hAnsi="Calibri"/>
      <w:kern w:val="2"/>
      <w:sz w:val="21"/>
      <w:szCs w:val="22"/>
    </w:rPr>
  </w:style>
  <w:style w:type="paragraph" w:styleId="65">
    <w:name w:val="List Paragraph"/>
    <w:basedOn w:val="1"/>
    <w:link w:val="64"/>
    <w:qFormat/>
    <w:uiPriority w:val="34"/>
    <w:pPr>
      <w:ind w:firstLine="420" w:firstLineChars="200"/>
    </w:pPr>
    <w:rPr>
      <w:rFonts w:ascii="Calibri" w:hAnsi="Calibri"/>
      <w:kern w:val="2"/>
      <w:sz w:val="21"/>
      <w:szCs w:val="22"/>
    </w:rPr>
  </w:style>
  <w:style w:type="character" w:customStyle="1" w:styleId="66">
    <w:name w:val="页眉 Char"/>
    <w:link w:val="30"/>
    <w:qFormat/>
    <w:uiPriority w:val="0"/>
    <w:rPr>
      <w:rFonts w:eastAsia="宋体"/>
      <w:kern w:val="2"/>
      <w:sz w:val="18"/>
      <w:szCs w:val="18"/>
      <w:lang w:val="en-US" w:eastAsia="zh-CN" w:bidi="ar-SA"/>
    </w:rPr>
  </w:style>
  <w:style w:type="character" w:customStyle="1" w:styleId="67">
    <w:name w:val="hui3"/>
    <w:qFormat/>
    <w:uiPriority w:val="0"/>
    <w:rPr>
      <w:color w:val="333333"/>
    </w:rPr>
  </w:style>
  <w:style w:type="character" w:customStyle="1" w:styleId="68">
    <w:name w:val="para1"/>
    <w:qFormat/>
    <w:uiPriority w:val="0"/>
    <w:rPr>
      <w:rFonts w:hint="default" w:ascii="Arial" w:hAnsi="Arial" w:cs="Arial"/>
      <w:sz w:val="18"/>
      <w:szCs w:val="18"/>
    </w:rPr>
  </w:style>
  <w:style w:type="character" w:customStyle="1" w:styleId="69">
    <w:name w:val="页脚 Char"/>
    <w:link w:val="29"/>
    <w:qFormat/>
    <w:uiPriority w:val="99"/>
    <w:rPr>
      <w:rFonts w:eastAsia="宋体"/>
      <w:kern w:val="2"/>
      <w:sz w:val="18"/>
      <w:szCs w:val="18"/>
      <w:lang w:val="en-US" w:eastAsia="zh-CN" w:bidi="ar-SA"/>
    </w:rPr>
  </w:style>
  <w:style w:type="character" w:customStyle="1" w:styleId="70">
    <w:name w:val="base"/>
    <w:basedOn w:val="47"/>
    <w:qFormat/>
    <w:uiPriority w:val="0"/>
  </w:style>
  <w:style w:type="character" w:customStyle="1" w:styleId="71">
    <w:name w:val="题注 Char"/>
    <w:link w:val="17"/>
    <w:qFormat/>
    <w:uiPriority w:val="0"/>
    <w:rPr>
      <w:rFonts w:ascii="Arial" w:hAnsi="Arial" w:eastAsia="黑体" w:cs="Arial"/>
      <w:kern w:val="2"/>
    </w:rPr>
  </w:style>
  <w:style w:type="character" w:customStyle="1" w:styleId="72">
    <w:name w:val="old"/>
    <w:basedOn w:val="47"/>
    <w:qFormat/>
    <w:uiPriority w:val="0"/>
    <w:rPr>
      <w:color w:val="999999"/>
    </w:rPr>
  </w:style>
  <w:style w:type="character" w:customStyle="1" w:styleId="73">
    <w:name w:val="Char Char7"/>
    <w:qFormat/>
    <w:uiPriority w:val="0"/>
    <w:rPr>
      <w:rFonts w:ascii="宋体" w:hAnsi="Courier New" w:eastAsia="宋体"/>
      <w:kern w:val="2"/>
      <w:sz w:val="21"/>
      <w:lang w:val="en-US" w:eastAsia="zh-CN" w:bidi="ar-SA"/>
    </w:rPr>
  </w:style>
  <w:style w:type="character" w:customStyle="1" w:styleId="74">
    <w:name w:val="indent"/>
    <w:basedOn w:val="47"/>
    <w:qFormat/>
    <w:uiPriority w:val="0"/>
  </w:style>
  <w:style w:type="character" w:customStyle="1" w:styleId="75">
    <w:name w:val="批注主题 Char"/>
    <w:link w:val="43"/>
    <w:qFormat/>
    <w:uiPriority w:val="0"/>
    <w:rPr>
      <w:rFonts w:eastAsia="宋体"/>
      <w:b/>
      <w:bCs/>
      <w:kern w:val="2"/>
      <w:sz w:val="21"/>
      <w:szCs w:val="24"/>
      <w:lang w:val="en-US" w:eastAsia="zh-CN" w:bidi="ar-SA"/>
    </w:rPr>
  </w:style>
  <w:style w:type="character" w:customStyle="1" w:styleId="76">
    <w:name w:val="tmpztreemove_arrow"/>
    <w:basedOn w:val="47"/>
    <w:qFormat/>
    <w:uiPriority w:val="0"/>
    <w:rPr>
      <w:shd w:val="clear" w:color="auto" w:fill="FFFFFF"/>
    </w:rPr>
  </w:style>
  <w:style w:type="character" w:customStyle="1" w:styleId="77">
    <w:name w:val="ziti12-333-25"/>
    <w:basedOn w:val="47"/>
    <w:qFormat/>
    <w:uiPriority w:val="0"/>
  </w:style>
  <w:style w:type="character" w:customStyle="1" w:styleId="78">
    <w:name w:val="emtidy-2"/>
    <w:basedOn w:val="47"/>
    <w:qFormat/>
    <w:uiPriority w:val="0"/>
  </w:style>
  <w:style w:type="character" w:customStyle="1" w:styleId="79">
    <w:name w:val="正文文本 2 Char"/>
    <w:link w:val="39"/>
    <w:qFormat/>
    <w:uiPriority w:val="0"/>
    <w:rPr>
      <w:rFonts w:ascii="楷体_GB2312" w:hAnsi="Copperplate Gothic Bold" w:eastAsia="楷体_GB2312"/>
      <w:kern w:val="2"/>
      <w:sz w:val="28"/>
    </w:rPr>
  </w:style>
  <w:style w:type="character" w:customStyle="1" w:styleId="80">
    <w:name w:val="正文文本缩进 3 Char"/>
    <w:link w:val="36"/>
    <w:qFormat/>
    <w:uiPriority w:val="0"/>
    <w:rPr>
      <w:rFonts w:ascii="宋体" w:hAnsi="宋体"/>
      <w:spacing w:val="4"/>
      <w:kern w:val="2"/>
      <w:sz w:val="21"/>
    </w:rPr>
  </w:style>
  <w:style w:type="character" w:customStyle="1" w:styleId="81">
    <w:name w:val="标题 4 Char"/>
    <w:link w:val="9"/>
    <w:qFormat/>
    <w:uiPriority w:val="0"/>
    <w:rPr>
      <w:rFonts w:ascii="Arial" w:hAnsi="Arial"/>
      <w:bCs/>
      <w:kern w:val="2"/>
      <w:sz w:val="24"/>
      <w:szCs w:val="28"/>
    </w:rPr>
  </w:style>
  <w:style w:type="character" w:customStyle="1" w:styleId="82">
    <w:name w:val="button"/>
    <w:basedOn w:val="47"/>
    <w:qFormat/>
    <w:uiPriority w:val="0"/>
  </w:style>
  <w:style w:type="character" w:customStyle="1" w:styleId="83">
    <w:name w:val="正文缩进 Char"/>
    <w:link w:val="16"/>
    <w:qFormat/>
    <w:uiPriority w:val="0"/>
    <w:rPr>
      <w:kern w:val="2"/>
      <w:sz w:val="21"/>
      <w:szCs w:val="24"/>
    </w:rPr>
  </w:style>
  <w:style w:type="character" w:customStyle="1" w:styleId="84">
    <w:name w:val="正文文本 Char"/>
    <w:link w:val="5"/>
    <w:qFormat/>
    <w:uiPriority w:val="0"/>
    <w:rPr>
      <w:kern w:val="2"/>
      <w:sz w:val="21"/>
    </w:rPr>
  </w:style>
  <w:style w:type="character" w:customStyle="1" w:styleId="85">
    <w:name w:val="标题 9 Char"/>
    <w:link w:val="14"/>
    <w:qFormat/>
    <w:uiPriority w:val="0"/>
    <w:rPr>
      <w:rFonts w:ascii="Arial" w:hAnsi="Arial" w:eastAsia="黑体"/>
      <w:kern w:val="2"/>
      <w:sz w:val="21"/>
      <w:szCs w:val="21"/>
    </w:rPr>
  </w:style>
  <w:style w:type="character" w:customStyle="1" w:styleId="86">
    <w:name w:val="正文文本 2 Char1"/>
    <w:semiHidden/>
    <w:qFormat/>
    <w:uiPriority w:val="99"/>
    <w:rPr>
      <w:kern w:val="2"/>
      <w:sz w:val="21"/>
    </w:rPr>
  </w:style>
  <w:style w:type="character" w:customStyle="1" w:styleId="87">
    <w:name w:val="emtidy-5"/>
    <w:basedOn w:val="47"/>
    <w:qFormat/>
    <w:uiPriority w:val="0"/>
  </w:style>
  <w:style w:type="character" w:customStyle="1" w:styleId="88">
    <w:name w:val="标题 3 Char"/>
    <w:link w:val="8"/>
    <w:qFormat/>
    <w:uiPriority w:val="0"/>
    <w:rPr>
      <w:b/>
      <w:bCs/>
      <w:kern w:val="2"/>
      <w:sz w:val="24"/>
      <w:szCs w:val="24"/>
    </w:rPr>
  </w:style>
  <w:style w:type="character" w:customStyle="1" w:styleId="89">
    <w:name w:val="正文文本 3 Char1"/>
    <w:semiHidden/>
    <w:qFormat/>
    <w:uiPriority w:val="99"/>
    <w:rPr>
      <w:kern w:val="2"/>
      <w:sz w:val="16"/>
      <w:szCs w:val="16"/>
    </w:rPr>
  </w:style>
  <w:style w:type="character" w:customStyle="1" w:styleId="90">
    <w:name w:val="glyphicon4"/>
    <w:basedOn w:val="47"/>
    <w:qFormat/>
    <w:uiPriority w:val="0"/>
  </w:style>
  <w:style w:type="character" w:customStyle="1" w:styleId="91">
    <w:name w:val="日期 Char"/>
    <w:link w:val="26"/>
    <w:qFormat/>
    <w:uiPriority w:val="0"/>
    <w:rPr>
      <w:kern w:val="2"/>
      <w:sz w:val="28"/>
    </w:rPr>
  </w:style>
  <w:style w:type="character" w:customStyle="1" w:styleId="92">
    <w:name w:val="文档结构图 Char"/>
    <w:link w:val="18"/>
    <w:qFormat/>
    <w:uiPriority w:val="0"/>
    <w:rPr>
      <w:kern w:val="2"/>
      <w:sz w:val="21"/>
      <w:shd w:val="clear" w:color="auto" w:fill="000080"/>
    </w:rPr>
  </w:style>
  <w:style w:type="character" w:customStyle="1" w:styleId="93">
    <w:name w:val="emtidy-4"/>
    <w:basedOn w:val="47"/>
    <w:qFormat/>
    <w:uiPriority w:val="0"/>
  </w:style>
  <w:style w:type="character" w:customStyle="1" w:styleId="94">
    <w:name w:val="标题 7 Char"/>
    <w:link w:val="12"/>
    <w:qFormat/>
    <w:uiPriority w:val="0"/>
    <w:rPr>
      <w:rFonts w:ascii="Arial" w:hAnsi="Arial"/>
      <w:b/>
      <w:color w:val="000000"/>
      <w:kern w:val="2"/>
      <w:sz w:val="15"/>
    </w:rPr>
  </w:style>
  <w:style w:type="character" w:customStyle="1" w:styleId="95">
    <w:name w:val="标题 Char"/>
    <w:link w:val="42"/>
    <w:qFormat/>
    <w:uiPriority w:val="0"/>
    <w:rPr>
      <w:rFonts w:ascii="Cambria" w:hAnsi="Cambria"/>
      <w:b/>
      <w:bCs/>
      <w:kern w:val="2"/>
      <w:sz w:val="32"/>
      <w:szCs w:val="32"/>
    </w:rPr>
  </w:style>
  <w:style w:type="character" w:customStyle="1" w:styleId="96">
    <w:name w:val="hour_pm"/>
    <w:basedOn w:val="47"/>
    <w:qFormat/>
    <w:uiPriority w:val="0"/>
  </w:style>
  <w:style w:type="character" w:customStyle="1" w:styleId="97">
    <w:name w:val="批注文字 Char"/>
    <w:link w:val="19"/>
    <w:qFormat/>
    <w:uiPriority w:val="0"/>
    <w:rPr>
      <w:rFonts w:eastAsia="宋体"/>
      <w:kern w:val="2"/>
      <w:sz w:val="21"/>
      <w:szCs w:val="24"/>
      <w:lang w:val="en-US" w:eastAsia="zh-CN" w:bidi="ar-SA"/>
    </w:rPr>
  </w:style>
  <w:style w:type="character" w:customStyle="1" w:styleId="98">
    <w:name w:val="标题 8 Char"/>
    <w:link w:val="13"/>
    <w:qFormat/>
    <w:uiPriority w:val="0"/>
    <w:rPr>
      <w:rFonts w:ascii="仿宋_GB2312" w:eastAsia="仿宋_GB2312"/>
      <w:b/>
      <w:kern w:val="2"/>
      <w:sz w:val="24"/>
    </w:rPr>
  </w:style>
  <w:style w:type="character" w:customStyle="1" w:styleId="99">
    <w:name w:val="标题 5 Char"/>
    <w:link w:val="10"/>
    <w:qFormat/>
    <w:uiPriority w:val="0"/>
    <w:rPr>
      <w:rFonts w:ascii="Arial Unicode MS" w:hAnsi="Arial Unicode MS"/>
      <w:bCs/>
      <w:kern w:val="2"/>
      <w:sz w:val="24"/>
      <w:szCs w:val="24"/>
    </w:rPr>
  </w:style>
  <w:style w:type="character" w:customStyle="1" w:styleId="100">
    <w:name w:val="style31"/>
    <w:qFormat/>
    <w:uiPriority w:val="0"/>
    <w:rPr>
      <w:sz w:val="21"/>
      <w:szCs w:val="21"/>
    </w:rPr>
  </w:style>
  <w:style w:type="character" w:customStyle="1" w:styleId="101">
    <w:name w:val="正文文本 3 Char"/>
    <w:link w:val="20"/>
    <w:qFormat/>
    <w:uiPriority w:val="0"/>
    <w:rPr>
      <w:b/>
      <w:spacing w:val="-20"/>
      <w:w w:val="110"/>
      <w:kern w:val="2"/>
      <w:sz w:val="52"/>
    </w:rPr>
  </w:style>
  <w:style w:type="character" w:customStyle="1" w:styleId="102">
    <w:name w:val="正文文本缩进 Char"/>
    <w:link w:val="3"/>
    <w:qFormat/>
    <w:uiPriority w:val="0"/>
    <w:rPr>
      <w:sz w:val="28"/>
    </w:rPr>
  </w:style>
  <w:style w:type="character" w:customStyle="1" w:styleId="103">
    <w:name w:val="gpa"/>
    <w:basedOn w:val="47"/>
    <w:qFormat/>
    <w:uiPriority w:val="0"/>
    <w:rPr>
      <w:rFonts w:ascii="Arial" w:hAnsi="Arial" w:cs="Arial"/>
      <w:sz w:val="15"/>
      <w:szCs w:val="15"/>
    </w:rPr>
  </w:style>
  <w:style w:type="character" w:customStyle="1" w:styleId="104">
    <w:name w:val="样式 正文缩进 + 首行缩进:  2 字符 段前: 0.5 行 段后: 0.5 行 Char"/>
    <w:link w:val="105"/>
    <w:qFormat/>
    <w:uiPriority w:val="0"/>
    <w:rPr>
      <w:rFonts w:cs="宋体"/>
      <w:kern w:val="2"/>
      <w:sz w:val="24"/>
    </w:rPr>
  </w:style>
  <w:style w:type="paragraph" w:customStyle="1" w:styleId="105">
    <w:name w:val="样式 正文缩进 + 首行缩进:  2 字符 段前: 0.5 行 段后: 0.5 行"/>
    <w:basedOn w:val="16"/>
    <w:link w:val="104"/>
    <w:qFormat/>
    <w:uiPriority w:val="0"/>
    <w:pPr>
      <w:spacing w:beforeLines="50" w:afterLines="50" w:line="360" w:lineRule="auto"/>
      <w:ind w:firstLine="480"/>
    </w:pPr>
    <w:rPr>
      <w:sz w:val="24"/>
      <w:szCs w:val="20"/>
    </w:rPr>
  </w:style>
  <w:style w:type="character" w:customStyle="1" w:styleId="106">
    <w:name w:val="ca-01"/>
    <w:qFormat/>
    <w:uiPriority w:val="0"/>
    <w:rPr>
      <w:rFonts w:hint="eastAsia" w:ascii="宋体" w:hAnsi="宋体" w:eastAsia="宋体"/>
      <w:sz w:val="28"/>
      <w:szCs w:val="28"/>
    </w:rPr>
  </w:style>
  <w:style w:type="character" w:customStyle="1" w:styleId="107">
    <w:name w:val="style5 style5"/>
    <w:basedOn w:val="47"/>
    <w:qFormat/>
    <w:uiPriority w:val="0"/>
  </w:style>
  <w:style w:type="character" w:customStyle="1" w:styleId="108">
    <w:name w:val="标题 6 Char"/>
    <w:link w:val="11"/>
    <w:qFormat/>
    <w:uiPriority w:val="0"/>
    <w:rPr>
      <w:rFonts w:ascii="Arial Unicode MS" w:hAnsi="Arial Unicode MS"/>
      <w:bCs/>
      <w:kern w:val="2"/>
      <w:sz w:val="24"/>
      <w:szCs w:val="24"/>
    </w:rPr>
  </w:style>
  <w:style w:type="character" w:customStyle="1" w:styleId="109">
    <w:name w:val="副标题 Char"/>
    <w:link w:val="33"/>
    <w:qFormat/>
    <w:uiPriority w:val="0"/>
    <w:rPr>
      <w:rFonts w:ascii="Cambria" w:hAnsi="Cambria"/>
      <w:b/>
      <w:bCs/>
      <w:kern w:val="28"/>
      <w:sz w:val="32"/>
      <w:szCs w:val="32"/>
    </w:rPr>
  </w:style>
  <w:style w:type="character" w:customStyle="1" w:styleId="110">
    <w:name w:val="招标书 正文 Char"/>
    <w:link w:val="111"/>
    <w:qFormat/>
    <w:uiPriority w:val="0"/>
    <w:rPr>
      <w:rFonts w:ascii="宋体" w:hAnsi="宋体"/>
      <w:color w:val="000000"/>
      <w:sz w:val="24"/>
      <w:szCs w:val="28"/>
    </w:rPr>
  </w:style>
  <w:style w:type="paragraph" w:customStyle="1" w:styleId="111">
    <w:name w:val="招标书 正文"/>
    <w:basedOn w:val="1"/>
    <w:link w:val="110"/>
    <w:qFormat/>
    <w:uiPriority w:val="0"/>
    <w:pPr>
      <w:widowControl/>
      <w:snapToGrid w:val="0"/>
      <w:spacing w:line="560" w:lineRule="exact"/>
      <w:ind w:firstLine="560" w:firstLineChars="200"/>
      <w:jc w:val="left"/>
    </w:pPr>
    <w:rPr>
      <w:rFonts w:hAnsi="宋体"/>
      <w:color w:val="000000"/>
      <w:szCs w:val="28"/>
    </w:rPr>
  </w:style>
  <w:style w:type="character" w:customStyle="1" w:styleId="112">
    <w:name w:val="正文文本缩进 2 Char"/>
    <w:link w:val="27"/>
    <w:qFormat/>
    <w:uiPriority w:val="99"/>
    <w:rPr>
      <w:kern w:val="2"/>
      <w:sz w:val="24"/>
    </w:rPr>
  </w:style>
  <w:style w:type="character" w:customStyle="1" w:styleId="113">
    <w:name w:val="selected"/>
    <w:basedOn w:val="47"/>
    <w:qFormat/>
    <w:uiPriority w:val="0"/>
    <w:rPr>
      <w:shd w:val="clear" w:color="auto" w:fill="B00006"/>
    </w:rPr>
  </w:style>
  <w:style w:type="character" w:customStyle="1" w:styleId="114">
    <w:name w:val="纯文本 Char"/>
    <w:link w:val="24"/>
    <w:qFormat/>
    <w:uiPriority w:val="0"/>
    <w:rPr>
      <w:rFonts w:ascii="宋体" w:hAnsi="Courier New" w:eastAsia="宋体"/>
      <w:kern w:val="2"/>
      <w:sz w:val="21"/>
      <w:lang w:val="en-US" w:eastAsia="zh-CN" w:bidi="ar-SA"/>
    </w:rPr>
  </w:style>
  <w:style w:type="character" w:customStyle="1" w:styleId="115">
    <w:name w:val="emtidy-6"/>
    <w:basedOn w:val="47"/>
    <w:qFormat/>
    <w:uiPriority w:val="0"/>
  </w:style>
  <w:style w:type="character" w:customStyle="1" w:styleId="116">
    <w:name w:val="批注框文本 Char"/>
    <w:link w:val="28"/>
    <w:qFormat/>
    <w:uiPriority w:val="99"/>
    <w:rPr>
      <w:kern w:val="2"/>
      <w:sz w:val="18"/>
      <w:szCs w:val="18"/>
    </w:rPr>
  </w:style>
  <w:style w:type="character" w:customStyle="1" w:styleId="117">
    <w:name w:val="副标题 Char1"/>
    <w:qFormat/>
    <w:uiPriority w:val="11"/>
    <w:rPr>
      <w:rFonts w:ascii="Cambria" w:hAnsi="Cambria" w:cs="Times New Roman"/>
      <w:b/>
      <w:bCs/>
      <w:kern w:val="28"/>
      <w:sz w:val="32"/>
      <w:szCs w:val="32"/>
    </w:rPr>
  </w:style>
  <w:style w:type="character" w:customStyle="1" w:styleId="118">
    <w:name w:val="emtidy-3"/>
    <w:basedOn w:val="47"/>
    <w:qFormat/>
    <w:uiPriority w:val="0"/>
  </w:style>
  <w:style w:type="character" w:customStyle="1" w:styleId="119">
    <w:name w:val="introduction1"/>
    <w:qFormat/>
    <w:uiPriority w:val="0"/>
  </w:style>
  <w:style w:type="character" w:customStyle="1" w:styleId="120">
    <w:name w:val="c lh15"/>
    <w:basedOn w:val="47"/>
    <w:qFormat/>
    <w:uiPriority w:val="0"/>
  </w:style>
  <w:style w:type="character" w:customStyle="1" w:styleId="121">
    <w:name w:val="hour_am"/>
    <w:basedOn w:val="47"/>
    <w:qFormat/>
    <w:uiPriority w:val="0"/>
  </w:style>
  <w:style w:type="character" w:customStyle="1" w:styleId="122">
    <w:name w:val="c1"/>
    <w:qFormat/>
    <w:uiPriority w:val="0"/>
    <w:rPr>
      <w:sz w:val="28"/>
      <w:szCs w:val="28"/>
    </w:rPr>
  </w:style>
  <w:style w:type="character" w:customStyle="1" w:styleId="123">
    <w:name w:val="hover3"/>
    <w:basedOn w:val="47"/>
    <w:qFormat/>
    <w:uiPriority w:val="0"/>
    <w:rPr>
      <w:shd w:val="clear" w:color="auto" w:fill="EEEEEE"/>
    </w:rPr>
  </w:style>
  <w:style w:type="character" w:customStyle="1" w:styleId="124">
    <w:name w:val="unnamed11"/>
    <w:basedOn w:val="47"/>
    <w:qFormat/>
    <w:uiPriority w:val="0"/>
  </w:style>
  <w:style w:type="paragraph" w:customStyle="1" w:styleId="125">
    <w:name w:val="标准"/>
    <w:basedOn w:val="1"/>
    <w:qFormat/>
    <w:uiPriority w:val="0"/>
    <w:pPr>
      <w:widowControl/>
      <w:autoSpaceDE w:val="0"/>
      <w:autoSpaceDN w:val="0"/>
      <w:adjustRightInd w:val="0"/>
      <w:spacing w:line="318" w:lineRule="atLeast"/>
    </w:pPr>
    <w:rPr>
      <w:rFonts w:ascii="楷体_GB2312" w:hAnsi="宋体" w:eastAsia="楷体_GB2312" w:cs="宋体"/>
    </w:rPr>
  </w:style>
  <w:style w:type="paragraph" w:customStyle="1" w:styleId="126">
    <w:name w:val="Form Header 1"/>
    <w:basedOn w:val="1"/>
    <w:next w:val="1"/>
    <w:qFormat/>
    <w:uiPriority w:val="0"/>
    <w:pPr>
      <w:widowControl/>
      <w:spacing w:before="80" w:after="80"/>
      <w:jc w:val="left"/>
    </w:pPr>
    <w:rPr>
      <w:rFonts w:ascii="Arial" w:hAnsi="Arial"/>
      <w:b/>
      <w:lang w:val="de-DE" w:eastAsia="en-US"/>
    </w:rPr>
  </w:style>
  <w:style w:type="paragraph" w:customStyle="1" w:styleId="127">
    <w:name w:val="样式3"/>
    <w:basedOn w:val="24"/>
    <w:qFormat/>
    <w:uiPriority w:val="0"/>
    <w:pPr>
      <w:spacing w:line="0" w:lineRule="atLeast"/>
      <w:outlineLvl w:val="0"/>
    </w:pPr>
    <w:rPr>
      <w:sz w:val="28"/>
    </w:rPr>
  </w:style>
  <w:style w:type="paragraph" w:customStyle="1" w:styleId="128">
    <w:name w:val="表格文字"/>
    <w:basedOn w:val="1"/>
    <w:qFormat/>
    <w:uiPriority w:val="0"/>
    <w:pPr>
      <w:spacing w:before="120" w:after="120"/>
    </w:pPr>
    <w:rPr>
      <w:rFonts w:ascii="新宋体" w:hAnsi="宋体" w:eastAsia="新宋体"/>
      <w:bCs/>
      <w:color w:val="000000"/>
      <w:sz w:val="18"/>
      <w:szCs w:val="18"/>
    </w:rPr>
  </w:style>
  <w:style w:type="paragraph" w:customStyle="1" w:styleId="129">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hAnsi="宋体"/>
      <w:b/>
      <w:bCs/>
      <w:szCs w:val="24"/>
    </w:rPr>
  </w:style>
  <w:style w:type="paragraph" w:customStyle="1" w:styleId="130">
    <w:name w:val="表格标题"/>
    <w:basedOn w:val="1"/>
    <w:qFormat/>
    <w:uiPriority w:val="0"/>
    <w:pPr>
      <w:adjustRightInd w:val="0"/>
      <w:snapToGrid w:val="0"/>
      <w:spacing w:beforeLines="50" w:afterLines="50"/>
      <w:ind w:left="22" w:leftChars="8"/>
      <w:jc w:val="center"/>
    </w:pPr>
    <w:rPr>
      <w:b/>
      <w:bCs/>
      <w:color w:val="000000"/>
      <w:sz w:val="32"/>
      <w:szCs w:val="32"/>
    </w:rPr>
  </w:style>
  <w:style w:type="paragraph" w:customStyle="1" w:styleId="131">
    <w:name w:val="纯文本1"/>
    <w:basedOn w:val="1"/>
    <w:qFormat/>
    <w:uiPriority w:val="0"/>
    <w:pPr>
      <w:spacing w:line="324" w:lineRule="auto"/>
    </w:pPr>
    <w:rPr>
      <w:rFonts w:hAnsi="Courier New" w:cs="Courier New"/>
      <w:szCs w:val="21"/>
    </w:rPr>
  </w:style>
  <w:style w:type="paragraph" w:customStyle="1" w:styleId="132">
    <w:name w:val="1册标题2"/>
    <w:basedOn w:val="1"/>
    <w:next w:val="1"/>
    <w:qFormat/>
    <w:uiPriority w:val="0"/>
    <w:pPr>
      <w:adjustRightInd w:val="0"/>
      <w:spacing w:beforeLines="50" w:afterLines="50" w:line="300" w:lineRule="auto"/>
      <w:jc w:val="center"/>
      <w:textAlignment w:val="baseline"/>
      <w:outlineLvl w:val="1"/>
    </w:pPr>
    <w:rPr>
      <w:rFonts w:ascii="Arial" w:hAnsi="Arial" w:eastAsia="黑体"/>
      <w:bCs/>
      <w:sz w:val="32"/>
      <w:szCs w:val="24"/>
    </w:rPr>
  </w:style>
  <w:style w:type="paragraph" w:customStyle="1" w:styleId="133">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134">
    <w:name w:val="正文序号 3"/>
    <w:basedOn w:val="1"/>
    <w:qFormat/>
    <w:uiPriority w:val="0"/>
    <w:pPr>
      <w:numPr>
        <w:ilvl w:val="2"/>
        <w:numId w:val="2"/>
      </w:numPr>
      <w:spacing w:before="60"/>
    </w:pPr>
    <w:rPr>
      <w:szCs w:val="24"/>
    </w:rPr>
  </w:style>
  <w:style w:type="paragraph" w:customStyle="1" w:styleId="135">
    <w:name w:val="Char12"/>
    <w:basedOn w:val="1"/>
    <w:qFormat/>
    <w:uiPriority w:val="0"/>
    <w:pPr>
      <w:tabs>
        <w:tab w:val="left" w:pos="360"/>
      </w:tabs>
    </w:pPr>
    <w:rPr>
      <w:szCs w:val="24"/>
    </w:rPr>
  </w:style>
  <w:style w:type="paragraph" w:customStyle="1" w:styleId="136">
    <w:name w:val="小标题 2"/>
    <w:basedOn w:val="1"/>
    <w:qFormat/>
    <w:uiPriority w:val="0"/>
    <w:pPr>
      <w:autoSpaceDE w:val="0"/>
      <w:autoSpaceDN w:val="0"/>
      <w:adjustRightInd w:val="0"/>
    </w:pPr>
    <w:rPr>
      <w:rFonts w:ascii="黑体" w:eastAsia="黑体" w:cs="黑体"/>
      <w:szCs w:val="24"/>
    </w:rPr>
  </w:style>
  <w:style w:type="paragraph" w:customStyle="1" w:styleId="137">
    <w:name w:val="普通(网站)1"/>
    <w:basedOn w:val="1"/>
    <w:qFormat/>
    <w:uiPriority w:val="0"/>
    <w:pPr>
      <w:widowControl/>
      <w:spacing w:before="100" w:beforeAutospacing="1" w:after="100" w:afterAutospacing="1"/>
      <w:jc w:val="left"/>
    </w:pPr>
    <w:rPr>
      <w:rFonts w:hAnsi="宋体" w:cs="宋体"/>
      <w:szCs w:val="24"/>
    </w:rPr>
  </w:style>
  <w:style w:type="paragraph" w:customStyle="1" w:styleId="138">
    <w:name w:val="case31"/>
    <w:basedOn w:val="1"/>
    <w:qFormat/>
    <w:uiPriority w:val="0"/>
    <w:pPr>
      <w:widowControl/>
      <w:spacing w:before="100" w:beforeAutospacing="1" w:after="100" w:afterAutospacing="1"/>
      <w:jc w:val="left"/>
    </w:pPr>
    <w:rPr>
      <w:rFonts w:hAnsi="宋体"/>
      <w:color w:val="000000"/>
      <w:szCs w:val="24"/>
    </w:rPr>
  </w:style>
  <w:style w:type="paragraph" w:customStyle="1" w:styleId="139">
    <w:name w:val="表内文字"/>
    <w:basedOn w:val="1"/>
    <w:qFormat/>
    <w:uiPriority w:val="0"/>
    <w:pPr>
      <w:jc w:val="left"/>
    </w:pPr>
    <w:rPr>
      <w:szCs w:val="24"/>
    </w:rPr>
  </w:style>
  <w:style w:type="paragraph" w:customStyle="1" w:styleId="140">
    <w:name w:val="_Style 3"/>
    <w:basedOn w:val="1"/>
    <w:qFormat/>
    <w:uiPriority w:val="34"/>
    <w:pPr>
      <w:ind w:firstLine="420" w:firstLineChars="200"/>
    </w:pPr>
    <w:rPr>
      <w:rFonts w:ascii="Calibri" w:hAnsi="Calibri"/>
      <w:szCs w:val="22"/>
    </w:rPr>
  </w:style>
  <w:style w:type="paragraph" w:customStyle="1" w:styleId="141">
    <w:name w:val="?§?§?¨¤?§o????¨¤?"/>
    <w:basedOn w:val="1"/>
    <w:qFormat/>
    <w:uiPriority w:val="0"/>
    <w:pPr>
      <w:autoSpaceDE w:val="0"/>
      <w:autoSpaceDN w:val="0"/>
      <w:adjustRightInd w:val="0"/>
      <w:jc w:val="left"/>
    </w:pPr>
  </w:style>
  <w:style w:type="paragraph" w:customStyle="1" w:styleId="142">
    <w:name w:val="Char"/>
    <w:basedOn w:val="1"/>
    <w:qFormat/>
    <w:uiPriority w:val="0"/>
    <w:rPr>
      <w:rFonts w:hAnsi="宋体"/>
      <w:szCs w:val="24"/>
    </w:rPr>
  </w:style>
  <w:style w:type="paragraph" w:customStyle="1" w:styleId="143">
    <w:name w:val="p0"/>
    <w:basedOn w:val="1"/>
    <w:qFormat/>
    <w:uiPriority w:val="0"/>
    <w:pPr>
      <w:widowControl/>
      <w:snapToGrid w:val="0"/>
      <w:spacing w:line="312" w:lineRule="atLeast"/>
      <w:textAlignment w:val="baseline"/>
    </w:pPr>
    <w:rPr>
      <w:szCs w:val="21"/>
    </w:rPr>
  </w:style>
  <w:style w:type="paragraph" w:customStyle="1" w:styleId="144">
    <w:name w:val="xl51"/>
    <w:basedOn w:val="1"/>
    <w:qFormat/>
    <w:uiPriority w:val="0"/>
    <w:pPr>
      <w:widowControl/>
      <w:spacing w:before="100" w:beforeAutospacing="1" w:after="100" w:afterAutospacing="1"/>
      <w:jc w:val="center"/>
    </w:pPr>
    <w:rPr>
      <w:rFonts w:ascii="Arial Unicode MS" w:hAnsi="Arial Unicode MS" w:eastAsia="Arial Unicode MS"/>
      <w:b/>
      <w:sz w:val="32"/>
    </w:rPr>
  </w:style>
  <w:style w:type="paragraph" w:customStyle="1" w:styleId="145">
    <w:name w:val="正文段"/>
    <w:basedOn w:val="1"/>
    <w:qFormat/>
    <w:uiPriority w:val="0"/>
    <w:pPr>
      <w:adjustRightInd w:val="0"/>
      <w:snapToGrid w:val="0"/>
      <w:spacing w:line="360" w:lineRule="auto"/>
    </w:pPr>
    <w:rPr>
      <w:rFonts w:eastAsia="仿宋_GB2312"/>
      <w:spacing w:val="-8"/>
    </w:rPr>
  </w:style>
  <w:style w:type="paragraph" w:customStyle="1" w:styleId="146">
    <w:name w:val="Char1"/>
    <w:basedOn w:val="1"/>
    <w:qFormat/>
    <w:uiPriority w:val="0"/>
    <w:pPr>
      <w:tabs>
        <w:tab w:val="left" w:pos="360"/>
      </w:tabs>
      <w:ind w:left="360" w:hanging="360" w:hangingChars="200"/>
    </w:pPr>
    <w:rPr>
      <w:szCs w:val="24"/>
    </w:rPr>
  </w:style>
  <w:style w:type="paragraph" w:customStyle="1" w:styleId="147">
    <w:name w:val="插图编号"/>
    <w:basedOn w:val="1"/>
    <w:next w:val="16"/>
    <w:qFormat/>
    <w:uiPriority w:val="0"/>
    <w:pPr>
      <w:tabs>
        <w:tab w:val="left" w:pos="1440"/>
      </w:tabs>
      <w:spacing w:line="360" w:lineRule="auto"/>
      <w:ind w:left="1021" w:hanging="1021"/>
    </w:pPr>
    <w:rPr>
      <w:spacing w:val="20"/>
      <w:szCs w:val="24"/>
    </w:rPr>
  </w:style>
  <w:style w:type="paragraph" w:customStyle="1" w:styleId="148">
    <w:name w:val="Char111"/>
    <w:basedOn w:val="1"/>
    <w:qFormat/>
    <w:uiPriority w:val="0"/>
    <w:pPr>
      <w:tabs>
        <w:tab w:val="left" w:pos="360"/>
      </w:tabs>
      <w:ind w:left="360" w:hanging="360" w:hangingChars="200"/>
    </w:pPr>
    <w:rPr>
      <w:szCs w:val="24"/>
    </w:rPr>
  </w:style>
  <w:style w:type="paragraph" w:customStyle="1" w:styleId="149">
    <w:name w:val="(a)正文"/>
    <w:basedOn w:val="1"/>
    <w:qFormat/>
    <w:uiPriority w:val="0"/>
    <w:pPr>
      <w:widowControl/>
      <w:tabs>
        <w:tab w:val="left" w:pos="1871"/>
        <w:tab w:val="left" w:pos="2081"/>
      </w:tabs>
      <w:spacing w:line="360" w:lineRule="exact"/>
      <w:ind w:left="1871" w:hanging="510"/>
    </w:pPr>
  </w:style>
  <w:style w:type="paragraph" w:customStyle="1" w:styleId="150">
    <w:name w:val="二级条标题"/>
    <w:basedOn w:val="1"/>
    <w:next w:val="1"/>
    <w:qFormat/>
    <w:uiPriority w:val="0"/>
    <w:pPr>
      <w:widowControl/>
      <w:numPr>
        <w:ilvl w:val="3"/>
        <w:numId w:val="3"/>
      </w:numPr>
      <w:jc w:val="left"/>
      <w:outlineLvl w:val="3"/>
    </w:pPr>
    <w:rPr>
      <w:rFonts w:eastAsia="黑体"/>
    </w:rPr>
  </w:style>
  <w:style w:type="paragraph" w:customStyle="1" w:styleId="151">
    <w:name w:val="日期1"/>
    <w:basedOn w:val="1"/>
    <w:next w:val="1"/>
    <w:qFormat/>
    <w:uiPriority w:val="0"/>
    <w:rPr>
      <w:rFonts w:ascii="黑体" w:eastAsia="黑体"/>
      <w:sz w:val="28"/>
    </w:rPr>
  </w:style>
  <w:style w:type="paragraph" w:customStyle="1" w:styleId="152">
    <w:name w:val="文字列表"/>
    <w:basedOn w:val="1"/>
    <w:qFormat/>
    <w:uiPriority w:val="0"/>
    <w:pPr>
      <w:tabs>
        <w:tab w:val="left" w:pos="420"/>
      </w:tabs>
      <w:spacing w:line="360" w:lineRule="auto"/>
      <w:ind w:left="358" w:leftChars="128" w:firstLine="2"/>
    </w:pPr>
    <w:rPr>
      <w:spacing w:val="20"/>
      <w:szCs w:val="24"/>
    </w:rPr>
  </w:style>
  <w:style w:type="paragraph" w:customStyle="1" w:styleId="153">
    <w:name w:val="Char2"/>
    <w:basedOn w:val="1"/>
    <w:qFormat/>
    <w:uiPriority w:val="0"/>
    <w:pPr>
      <w:numPr>
        <w:ilvl w:val="0"/>
        <w:numId w:val="4"/>
      </w:numPr>
      <w:tabs>
        <w:tab w:val="left" w:pos="1200"/>
        <w:tab w:val="clear" w:pos="720"/>
      </w:tabs>
      <w:ind w:left="1200" w:hanging="360"/>
    </w:pPr>
    <w:rPr>
      <w:szCs w:val="24"/>
    </w:rPr>
  </w:style>
  <w:style w:type="paragraph" w:customStyle="1" w:styleId="154">
    <w:name w:val="TOC 标题1"/>
    <w:basedOn w:val="6"/>
    <w:next w:val="1"/>
    <w:qFormat/>
    <w:uiPriority w:val="39"/>
    <w:pPr>
      <w:keepLines/>
      <w:widowControl/>
      <w:spacing w:before="480" w:line="276" w:lineRule="auto"/>
      <w:jc w:val="left"/>
      <w:outlineLvl w:val="9"/>
    </w:pPr>
    <w:rPr>
      <w:rFonts w:ascii="Cambria" w:hAnsi="Cambria" w:eastAsia="宋体"/>
      <w:bCs/>
      <w:color w:val="365F91"/>
      <w:kern w:val="0"/>
      <w:sz w:val="28"/>
      <w:szCs w:val="28"/>
    </w:rPr>
  </w:style>
  <w:style w:type="paragraph" w:customStyle="1" w:styleId="155">
    <w:name w:val="普通(网站)11"/>
    <w:basedOn w:val="1"/>
    <w:qFormat/>
    <w:uiPriority w:val="0"/>
    <w:pPr>
      <w:widowControl/>
      <w:spacing w:before="100" w:beforeAutospacing="1" w:after="100" w:afterAutospacing="1"/>
      <w:jc w:val="left"/>
    </w:pPr>
    <w:rPr>
      <w:rFonts w:hAnsi="宋体" w:cs="宋体"/>
      <w:szCs w:val="24"/>
    </w:rPr>
  </w:style>
  <w:style w:type="paragraph" w:customStyle="1" w:styleId="156">
    <w:name w:val="表格文字中"/>
    <w:basedOn w:val="1"/>
    <w:qFormat/>
    <w:uiPriority w:val="0"/>
    <w:pPr>
      <w:adjustRightInd w:val="0"/>
      <w:snapToGrid w:val="0"/>
      <w:ind w:left="22" w:leftChars="8"/>
      <w:jc w:val="center"/>
    </w:pPr>
    <w:rPr>
      <w:szCs w:val="24"/>
    </w:rPr>
  </w:style>
  <w:style w:type="paragraph" w:customStyle="1" w:styleId="157">
    <w:name w:val="Q/19LGT01—2001"/>
    <w:basedOn w:val="1"/>
    <w:qFormat/>
    <w:uiPriority w:val="0"/>
    <w:pPr>
      <w:tabs>
        <w:tab w:val="left" w:pos="555"/>
      </w:tabs>
      <w:spacing w:line="360" w:lineRule="auto"/>
      <w:ind w:firstLine="420" w:firstLineChars="200"/>
    </w:pPr>
    <w:rPr>
      <w:rFonts w:hAnsi="宋体"/>
      <w:bCs/>
    </w:rPr>
  </w:style>
  <w:style w:type="paragraph" w:customStyle="1" w:styleId="158">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9">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rPr>
  </w:style>
  <w:style w:type="paragraph" w:customStyle="1" w:styleId="160">
    <w:name w:val="Char Char Char Char"/>
    <w:basedOn w:val="1"/>
    <w:qFormat/>
    <w:uiPriority w:val="0"/>
    <w:pPr>
      <w:widowControl/>
      <w:spacing w:after="160" w:line="240" w:lineRule="exact"/>
      <w:jc w:val="center"/>
    </w:pPr>
    <w:rPr>
      <w:rFonts w:hAnsi="宋体"/>
      <w:b/>
      <w:sz w:val="28"/>
      <w:szCs w:val="28"/>
      <w:lang w:eastAsia="en-US"/>
    </w:rPr>
  </w:style>
  <w:style w:type="paragraph" w:customStyle="1" w:styleId="161">
    <w:name w:val="正文序号 1"/>
    <w:basedOn w:val="1"/>
    <w:qFormat/>
    <w:uiPriority w:val="0"/>
    <w:pPr>
      <w:numPr>
        <w:ilvl w:val="0"/>
        <w:numId w:val="2"/>
      </w:numPr>
      <w:spacing w:before="60"/>
    </w:pPr>
    <w:rPr>
      <w:szCs w:val="24"/>
    </w:rPr>
  </w:style>
  <w:style w:type="paragraph" w:customStyle="1" w:styleId="162">
    <w:name w:val="_Style 37"/>
    <w:basedOn w:val="1"/>
    <w:qFormat/>
    <w:uiPriority w:val="0"/>
    <w:pPr>
      <w:widowControl/>
      <w:spacing w:after="160" w:line="240" w:lineRule="exact"/>
      <w:jc w:val="center"/>
    </w:pPr>
    <w:rPr>
      <w:rFonts w:hAnsi="宋体"/>
      <w:b/>
      <w:sz w:val="28"/>
      <w:szCs w:val="28"/>
      <w:lang w:eastAsia="en-US"/>
    </w:rPr>
  </w:style>
  <w:style w:type="paragraph" w:customStyle="1" w:styleId="163">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64">
    <w:name w:val="Char1 Char Char Char"/>
    <w:basedOn w:val="1"/>
    <w:qFormat/>
    <w:uiPriority w:val="0"/>
  </w:style>
  <w:style w:type="paragraph" w:customStyle="1" w:styleId="165">
    <w:name w:val="??¨???¨????ì?¨¨??¨?o??????ì?¨¨?"/>
    <w:basedOn w:val="1"/>
    <w:qFormat/>
    <w:uiPriority w:val="0"/>
    <w:pPr>
      <w:autoSpaceDE w:val="0"/>
      <w:autoSpaceDN w:val="0"/>
      <w:adjustRightInd w:val="0"/>
      <w:jc w:val="left"/>
    </w:pPr>
  </w:style>
  <w:style w:type="paragraph" w:customStyle="1" w:styleId="166">
    <w:name w:val="正文序号 2"/>
    <w:basedOn w:val="1"/>
    <w:qFormat/>
    <w:uiPriority w:val="0"/>
    <w:pPr>
      <w:numPr>
        <w:ilvl w:val="1"/>
        <w:numId w:val="2"/>
      </w:numPr>
      <w:spacing w:before="60"/>
    </w:pPr>
    <w:rPr>
      <w:szCs w:val="24"/>
    </w:rPr>
  </w:style>
  <w:style w:type="paragraph" w:customStyle="1" w:styleId="167">
    <w:name w:val="Char2 Char Char Char"/>
    <w:basedOn w:val="1"/>
    <w:qFormat/>
    <w:uiPriority w:val="0"/>
    <w:rPr>
      <w:rFonts w:ascii="Tahoma" w:hAnsi="Tahoma"/>
    </w:rPr>
  </w:style>
  <w:style w:type="paragraph" w:customStyle="1" w:styleId="168">
    <w:name w:val="日期11"/>
    <w:basedOn w:val="1"/>
    <w:next w:val="1"/>
    <w:qFormat/>
    <w:uiPriority w:val="0"/>
    <w:rPr>
      <w:rFonts w:ascii="黑体" w:eastAsia="黑体"/>
      <w:sz w:val="28"/>
    </w:rPr>
  </w:style>
  <w:style w:type="paragraph" w:customStyle="1" w:styleId="169">
    <w:name w:val="正文1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70">
    <w:name w:val="缺省文本"/>
    <w:basedOn w:val="1"/>
    <w:qFormat/>
    <w:uiPriority w:val="0"/>
    <w:pPr>
      <w:autoSpaceDE w:val="0"/>
      <w:autoSpaceDN w:val="0"/>
      <w:adjustRightInd w:val="0"/>
      <w:jc w:val="left"/>
    </w:pPr>
  </w:style>
  <w:style w:type="paragraph" w:customStyle="1" w:styleId="171">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172">
    <w:name w:val="Char Char1"/>
    <w:basedOn w:val="1"/>
    <w:qFormat/>
    <w:uiPriority w:val="0"/>
    <w:pPr>
      <w:widowControl/>
      <w:spacing w:after="160" w:line="240" w:lineRule="exact"/>
      <w:jc w:val="left"/>
    </w:pPr>
    <w:rPr>
      <w:rFonts w:ascii="Verdana" w:hAnsi="Verdana" w:eastAsia="楷体_GB2312"/>
      <w:b/>
      <w:i/>
      <w:iCs/>
      <w:color w:val="000000"/>
      <w:sz w:val="20"/>
      <w:lang w:eastAsia="en-US"/>
    </w:rPr>
  </w:style>
  <w:style w:type="paragraph" w:customStyle="1" w:styleId="173">
    <w:name w:val="排列"/>
    <w:basedOn w:val="1"/>
    <w:qFormat/>
    <w:uiPriority w:val="0"/>
    <w:pPr>
      <w:adjustRightInd w:val="0"/>
      <w:spacing w:line="360" w:lineRule="auto"/>
      <w:ind w:hanging="627"/>
      <w:jc w:val="left"/>
    </w:pPr>
    <w:rPr>
      <w:b/>
    </w:rPr>
  </w:style>
  <w:style w:type="paragraph" w:customStyle="1" w:styleId="174">
    <w:name w:val="Char11"/>
    <w:basedOn w:val="1"/>
    <w:qFormat/>
    <w:uiPriority w:val="0"/>
    <w:rPr>
      <w:rFonts w:hAnsi="宋体"/>
      <w:szCs w:val="24"/>
    </w:rPr>
  </w:style>
  <w:style w:type="paragraph" w:styleId="17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76">
    <w:name w:val="ec_msonormal"/>
    <w:basedOn w:val="1"/>
    <w:qFormat/>
    <w:uiPriority w:val="0"/>
    <w:pPr>
      <w:widowControl/>
      <w:spacing w:before="100" w:beforeAutospacing="1" w:after="100" w:afterAutospacing="1"/>
      <w:jc w:val="left"/>
    </w:pPr>
    <w:rPr>
      <w:rFonts w:hAnsi="宋体" w:cs="宋体"/>
      <w:szCs w:val="24"/>
    </w:rPr>
  </w:style>
  <w:style w:type="paragraph" w:customStyle="1" w:styleId="177">
    <w:name w:val="列出段落1"/>
    <w:basedOn w:val="1"/>
    <w:qFormat/>
    <w:uiPriority w:val="34"/>
    <w:pPr>
      <w:ind w:firstLine="420" w:firstLineChars="200"/>
    </w:pPr>
  </w:style>
  <w:style w:type="paragraph" w:customStyle="1" w:styleId="178">
    <w:name w:val="Char3"/>
    <w:basedOn w:val="1"/>
    <w:qFormat/>
    <w:uiPriority w:val="0"/>
    <w:pPr>
      <w:tabs>
        <w:tab w:val="left" w:pos="360"/>
      </w:tabs>
    </w:pPr>
    <w:rPr>
      <w:szCs w:val="24"/>
    </w:rPr>
  </w:style>
  <w:style w:type="paragraph" w:customStyle="1" w:styleId="179">
    <w:name w:val="列出段落11"/>
    <w:basedOn w:val="1"/>
    <w:qFormat/>
    <w:uiPriority w:val="0"/>
    <w:pPr>
      <w:ind w:firstLine="420" w:firstLineChars="200"/>
    </w:pPr>
  </w:style>
  <w:style w:type="paragraph" w:customStyle="1" w:styleId="180">
    <w:name w:val="正文序号 4"/>
    <w:basedOn w:val="1"/>
    <w:qFormat/>
    <w:uiPriority w:val="0"/>
    <w:pPr>
      <w:numPr>
        <w:ilvl w:val="3"/>
        <w:numId w:val="2"/>
      </w:numPr>
      <w:spacing w:before="60"/>
    </w:pPr>
    <w:rPr>
      <w:szCs w:val="24"/>
    </w:rPr>
  </w:style>
  <w:style w:type="character" w:customStyle="1" w:styleId="181">
    <w:name w:val="font41"/>
    <w:basedOn w:val="47"/>
    <w:qFormat/>
    <w:uiPriority w:val="0"/>
    <w:rPr>
      <w:rFonts w:hint="eastAsia" w:ascii="宋体" w:hAnsi="宋体" w:eastAsia="宋体" w:cs="宋体"/>
      <w:color w:val="000000"/>
      <w:sz w:val="21"/>
      <w:szCs w:val="21"/>
      <w:u w:val="none"/>
    </w:rPr>
  </w:style>
  <w:style w:type="paragraph" w:customStyle="1" w:styleId="182">
    <w:name w:val="title13"/>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183">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84">
    <w:name w:val="_Style 2"/>
    <w:basedOn w:val="1"/>
    <w:qFormat/>
    <w:uiPriority w:val="34"/>
    <w:pPr>
      <w:ind w:firstLine="420" w:firstLineChars="200"/>
    </w:pPr>
    <w:rPr>
      <w:rFonts w:ascii="Calibri" w:hAnsi="Calibri"/>
      <w:sz w:val="21"/>
      <w:szCs w:val="24"/>
    </w:rPr>
  </w:style>
  <w:style w:type="paragraph" w:customStyle="1" w:styleId="185">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186">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187">
    <w:name w:val="WPSOffice手动目录 1"/>
    <w:qFormat/>
    <w:uiPriority w:val="0"/>
    <w:pPr>
      <w:ind w:leftChars="0"/>
    </w:pPr>
    <w:rPr>
      <w:rFonts w:ascii="Calibri" w:hAnsi="Calibri" w:eastAsia="宋体" w:cs="Times New Roman"/>
      <w:sz w:val="20"/>
      <w:szCs w:val="20"/>
    </w:rPr>
  </w:style>
  <w:style w:type="paragraph" w:customStyle="1" w:styleId="188">
    <w:name w:val="WPSOffice手动目录 2"/>
    <w:qFormat/>
    <w:uiPriority w:val="0"/>
    <w:pPr>
      <w:ind w:leftChars="200"/>
    </w:pPr>
    <w:rPr>
      <w:rFonts w:ascii="Calibri" w:hAnsi="Calibri" w:eastAsia="宋体" w:cs="Times New Roman"/>
      <w:sz w:val="20"/>
      <w:szCs w:val="20"/>
    </w:rPr>
  </w:style>
  <w:style w:type="paragraph" w:customStyle="1" w:styleId="189">
    <w:name w:val="WPSOffice手动目录 3"/>
    <w:qFormat/>
    <w:uiPriority w:val="0"/>
    <w:pPr>
      <w:ind w:leftChars="400"/>
    </w:pPr>
    <w:rPr>
      <w:rFonts w:ascii="Calibri" w:hAnsi="Calibri" w:eastAsia="宋体" w:cs="Times New Roman"/>
      <w:sz w:val="20"/>
      <w:szCs w:val="20"/>
    </w:rPr>
  </w:style>
  <w:style w:type="character" w:customStyle="1" w:styleId="190">
    <w:name w:val="font01"/>
    <w:basedOn w:val="47"/>
    <w:qFormat/>
    <w:uiPriority w:val="0"/>
    <w:rPr>
      <w:rFonts w:hint="eastAsia" w:ascii="宋体" w:hAnsi="宋体" w:eastAsia="宋体" w:cs="宋体"/>
      <w:color w:val="000000"/>
      <w:sz w:val="20"/>
      <w:szCs w:val="20"/>
      <w:u w:val="none"/>
    </w:rPr>
  </w:style>
  <w:style w:type="character" w:customStyle="1" w:styleId="191">
    <w:name w:val="font61"/>
    <w:basedOn w:val="47"/>
    <w:qFormat/>
    <w:uiPriority w:val="0"/>
    <w:rPr>
      <w:rFonts w:hint="eastAsia" w:ascii="宋体" w:hAnsi="宋体" w:eastAsia="宋体" w:cs="宋体"/>
      <w:color w:val="000000"/>
      <w:sz w:val="20"/>
      <w:szCs w:val="20"/>
      <w:u w:val="none"/>
    </w:rPr>
  </w:style>
  <w:style w:type="paragraph" w:customStyle="1" w:styleId="192">
    <w:name w:val="正文缩进1"/>
    <w:basedOn w:val="1"/>
    <w:qFormat/>
    <w:uiPriority w:val="0"/>
    <w:pPr>
      <w:ind w:firstLine="420" w:firstLineChars="200"/>
    </w:pPr>
  </w:style>
  <w:style w:type="paragraph" w:customStyle="1" w:styleId="193">
    <w:name w:val="表格字体"/>
    <w:basedOn w:val="1"/>
    <w:qFormat/>
    <w:uiPriority w:val="1"/>
    <w:pPr>
      <w:tabs>
        <w:tab w:val="left" w:pos="1170"/>
      </w:tabs>
      <w:ind w:firstLine="480"/>
    </w:pPr>
    <w:rPr>
      <w:sz w:val="24"/>
    </w:rPr>
  </w:style>
  <w:style w:type="character" w:customStyle="1" w:styleId="194">
    <w:name w:val="font51"/>
    <w:basedOn w:val="47"/>
    <w:qFormat/>
    <w:uiPriority w:val="0"/>
    <w:rPr>
      <w:rFonts w:hint="eastAsia" w:ascii="宋体" w:hAnsi="宋体" w:eastAsia="宋体" w:cs="宋体"/>
      <w:color w:val="000000"/>
      <w:sz w:val="20"/>
      <w:szCs w:val="20"/>
      <w:u w:val="none"/>
    </w:rPr>
  </w:style>
  <w:style w:type="character" w:customStyle="1" w:styleId="195">
    <w:name w:val="font11"/>
    <w:basedOn w:val="47"/>
    <w:qFormat/>
    <w:uiPriority w:val="0"/>
    <w:rPr>
      <w:rFonts w:hint="eastAsia" w:ascii="宋体" w:hAnsi="宋体" w:eastAsia="宋体" w:cs="宋体"/>
      <w:color w:val="000000"/>
      <w:sz w:val="20"/>
      <w:szCs w:val="20"/>
      <w:u w:val="none"/>
    </w:rPr>
  </w:style>
  <w:style w:type="paragraph" w:customStyle="1" w:styleId="196">
    <w:name w:val="_Style 8"/>
    <w:basedOn w:val="1"/>
    <w:next w:val="1"/>
    <w:qFormat/>
    <w:uiPriority w:val="0"/>
    <w:pPr>
      <w:pBdr>
        <w:top w:val="single" w:color="auto" w:sz="6" w:space="1"/>
      </w:pBdr>
      <w:jc w:val="center"/>
    </w:pPr>
    <w:rPr>
      <w:rFonts w:ascii="Arial" w:eastAsia="宋体"/>
      <w:vanish/>
      <w:sz w:val="16"/>
    </w:rPr>
  </w:style>
  <w:style w:type="character" w:customStyle="1" w:styleId="197">
    <w:name w:val="NormalCharacter"/>
    <w:uiPriority w:val="0"/>
    <w:rPr>
      <w:rFonts w:ascii="Tahoma" w:hAnsi="Tahoma" w:eastAsia="宋体"/>
      <w:sz w:val="24"/>
      <w:szCs w:val="20"/>
    </w:rPr>
  </w:style>
  <w:style w:type="paragraph" w:customStyle="1" w:styleId="198">
    <w:name w:val="目录"/>
    <w:basedOn w:val="1"/>
    <w:qFormat/>
    <w:uiPriority w:val="0"/>
    <w:pPr>
      <w:widowControl/>
      <w:spacing w:line="240" w:lineRule="auto"/>
      <w:jc w:val="center"/>
    </w:pPr>
    <w:rPr>
      <w:rFonts w:ascii="宋体"/>
      <w:b/>
      <w:kern w:val="0"/>
      <w:sz w:val="36"/>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64</Pages>
  <Words>26097</Words>
  <Characters>27722</Characters>
  <Lines>280</Lines>
  <Paragraphs>78</Paragraphs>
  <TotalTime>26</TotalTime>
  <ScaleCrop>false</ScaleCrop>
  <LinksUpToDate>false</LinksUpToDate>
  <CharactersWithSpaces>30511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2019-04-02T13:00:00Z</dcterms:created>
  <dc:creator>Administrator</dc:creator>
  <cp:lastModifiedBy>Administrator</cp:lastModifiedBy>
  <cp:lastPrinted>2022-12-15T07:38:00Z</cp:lastPrinted>
  <dcterms:modified xsi:type="dcterms:W3CDTF">2023-07-27T07:40:44Z</dcterms:modified>
  <dc:title>政府采购货物和服务项目</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66440DFCE6C64CAE8548CA76196E4DDC</vt:lpwstr>
  </property>
</Properties>
</file>