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20" w:afterLines="50" w:line="360" w:lineRule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为提高医疗服务能力，我院需自筹资金采购全数字化超高端彩色多普勒超声诊断仪1套，预算金额300万元，清洗工作站1套，预算金额49万元，合计349万元整。具体采购需求如下：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topLinePunct w:val="0"/>
        <w:bidi w:val="0"/>
        <w:snapToGrid/>
        <w:spacing w:after="0" w:line="360" w:lineRule="auto"/>
        <w:ind w:left="0" w:leftChars="0" w:right="0"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全数字化超高端彩色多普勒超声诊断仪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一、设备名称：全数字化超高端彩色多普勒超声诊断仪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二、数量：一套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三、设备要求：提供“进”字号医疗器械注册证，提供原厂技术白皮书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四、用途：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主要用于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心脏、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腹部、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血管（外周、颅脑、腹部）、妇科、产科、小器官、骨骼肌肉、神经、泌尿、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等方面的临床诊断和科研教学工作，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具备持续升级能力，能满足开展新的临床应用需求。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五、主要技术规格及系统概述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highlight w:val="none"/>
        </w:rPr>
        <w:t>5.1 主机成像系统：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5.1.1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全新集束精准发射技术，全程动态聚焦发射声束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5.1.2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脉冲优化处理技术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5.1.3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海量并行处理技术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5.1.4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自适应增益补偿技术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5.1.5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数字化二维灰阶成像及M型显像单元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5.1.6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解剖M型技术,可360度任意旋转M型取样线角度的进行测量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5.1.7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脉冲反向谐波成像单元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5.1.8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彩色多普勒成像技术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5.1.9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自适应宽频带彩色多普勒成像技术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5.1.10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彩色多普勒能量图技术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5.1.11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方向性能量图技术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5.1.12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数字化频谱多普勒显示和分析单元 (包括 PW 、CW和 HPRF)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5.1.13 动态范围≥31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dB（提供技术白皮书截图证明）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5.1.14 数字化通道≥4700000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5.1.15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智能全程聚焦技术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b/>
          <w:i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5.1.16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智能化一键图像优化技术，可分单键优化和连续优化，可自适应调整图像的增益等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5.1.17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空间复合成像技术，同时作用于发射和接收，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支持所有凸阵、微凸阵和线阵成像探头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5.1.18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斑点噪声抑制技术，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支持所有成像探头，可分级调节≥5级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5.1.19显示器同屏可显示两种不同类型探头的图像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5.1.20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 xml:space="preserve"> 应具备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实时二同步 /三同步能力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5.1.21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 xml:space="preserve">应配备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DICOM 3.0 标准输出接口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5.1.22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应配备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一体化超声工作站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jc w:val="both"/>
        <w:textAlignment w:val="baseline"/>
        <w:rPr>
          <w:rFonts w:hint="eastAsia" w:ascii="宋体" w:hAnsi="宋体" w:eastAsia="宋体" w:cs="宋体"/>
          <w:b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highlight w:val="none"/>
        </w:rPr>
        <w:t>5.2 先进成像技术：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5.2.1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具备冰晶探头技术或纯净波单晶体探头技术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探头振元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使用单晶体材质，同时对接收波束进行提纯处理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5.2.2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具备智能多普勒血管检查技术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1)单键优化二维、多普勒图像质量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2)单键自动调整取样框角度、位置、取样门位置、角度等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3)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具备血流自动追踪技术，可跟随探头的移动实时追踪血管位置，自动调整彩色图像（包括取样框角度、位置等），自动优化频谱测量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2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5.2.3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应采用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全屏高清显示，放大后图像显示区域尺寸≥21″，分辨率≥1080p，放大后整个显示器屏幕内仅显示有效图像信息，无其他菜单界面显示。（附显示器全屏显示图）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5.2.4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应具有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多影像实时对比联合诊断技术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主机可直接获取和浏览CT/NM/MR，乳房X线/超声的DICOM图像，同屏对比既往和目前的超声图像，回顾实时的、存储的、输出的图像进行对比诊断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5.2.5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应具有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扩展成像技术：凸阵、微凸阵、线阵探头均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具有此功能，且空间复合成像技术及斑点噪声抑制技术支持其扩展区域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5.2.6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应具有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超声声速自动校正技术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bidi w:val="0"/>
        <w:snapToGrid/>
        <w:spacing w:after="0" w:line="360" w:lineRule="auto"/>
        <w:ind w:left="400" w:leftChars="0" w:right="0" w:firstLine="480" w:firstLineChars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针对晚孕期肥胖及困难病人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bidi w:val="0"/>
        <w:snapToGrid/>
        <w:spacing w:after="0" w:line="360" w:lineRule="auto"/>
        <w:ind w:left="400" w:leftChars="0" w:right="0" w:firstLine="480" w:firstLineChars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可用于乳腺检查，并可调整级别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bidi w:val="0"/>
        <w:snapToGrid/>
        <w:spacing w:after="0" w:line="360" w:lineRule="auto"/>
        <w:ind w:left="400" w:leftChars="0" w:right="0" w:firstLine="480" w:firstLineChars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专门的预置条件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de-DE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de-DE"/>
        </w:rPr>
        <w:t xml:space="preserve">5.2.7.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应具有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de-DE"/>
        </w:rPr>
        <w:t>3D/4D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成像功能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de-DE"/>
        </w:rPr>
        <w:t>1）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具备三维、四维实时成像功能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2）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具备自由臂三维成像、支持常规凸阵、微凸阵、线阵探头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3）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具有表面模式、骨骼模式、反转成像模式等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2" w:firstLineChars="20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 xml:space="preserve">5.2.8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应具有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真实渲染成像功能：通过容积处理方式，增强容积图像的细节显示。智能可变光源系统通过虚拟光源位置的改变可得到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eastAsia="zh-CN"/>
        </w:rPr>
        <w:t>多方位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容积成像难以获得的多方位容积增强显示。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 1）光源可在容积图像上跟随手动调节的位置可视可调。（附图证明容积图像上的可直视调节光源）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b/>
          <w:i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 2）光源移动方向，光源可沿X/Y/Z轴三个方位进行调节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 3）全触屏手势操控三维成像后处理。（附图证明）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 4）光源快速起始位置≥6个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5.2.9容积轮廓剪影显示模式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5.2.10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/>
        </w:rPr>
        <w:t>应具备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仿真容积轮廓剪影显示模式。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5.2.11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/>
        </w:rPr>
        <w:t>应具备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胎儿自动识别容积成像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5.2.12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/>
        </w:rPr>
        <w:t>应具备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容积深度渲染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5.2.13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/>
        </w:rPr>
        <w:t>应具备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自动产科测量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功能。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textAlignment w:val="baseline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5.3 测量和分析： ( B 型、M 型、D 型、彩色模式)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5.3.1 一般测量：距离、面积、周长等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5.3.2 产科测量：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包括全面的产科径线测量、NT测量、单/双胎儿孕龄及生长曲线、羊水指数、新生儿髋关节角度等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5.3.3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/>
        </w:rPr>
        <w:t>应具备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外周血管测量和计算功能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617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5.3.4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/>
        </w:rPr>
        <w:t>应具备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多普勒血流测量与分析 (含自动多普勒频谱包络计算)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tabs>
          <w:tab w:val="left" w:pos="1617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5.3.5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/>
        </w:rPr>
        <w:t>应具备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心脏功能测量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textAlignment w:val="baseline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5.4 图像存储 (电影) 回放重显及病案管理单元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</w:rPr>
        <w:t>5.4.1 数字化捕捉、回放、存储静、动态图像，实时图像传输，实时 JPEG 解压缩，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right="0"/>
        <w:jc w:val="both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</w:rPr>
        <w:t>可进行参数编程调节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5.4.2 超声主机自带硬盘数量≥2个（提供技术白皮书截图证明），硬盘容量≥600G，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具备固态硬盘，DVD／USB图像存储，电影回放重现单元≥2200帧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</w:rPr>
        <w:t xml:space="preserve">5.4.3 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</w:rPr>
        <w:t>具备主机硬盘图像数据存储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</w:rPr>
        <w:t>5.4.4 病案管理单元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</w:rPr>
        <w:t>包括病人资料、报告、图像等的存储、修改、检索和打印等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</w:rPr>
        <w:t>5.4.5 可根据检查要求对工作站参数（存储、压缩、回放）进行编程调节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textAlignment w:val="baseline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5.5 输入/输出信号：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5.5.1 输入：DICOM DATA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5.5.2 输出：S-视频、DP高清数字化输出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jc w:val="both"/>
        <w:textAlignment w:val="baseline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5.6 连通性：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</w:rPr>
        <w:t>医学数字图像和通信 DICOM 3.0 版接口部件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六、系统技术参数及要求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2" w:firstLineChars="200"/>
        <w:jc w:val="both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6.1 系统通用功能：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6.1.1 高分辨率液晶硬屏显示器≥21英寸，无闪烁，不间断逐行扫描，可上下左右任意旋转，可前后折叠。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6.1.2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操作面板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具备液晶触摸屏≥11.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英寸,可通过手指滑动触摸屏进行翻页，直接点击触摸屏即可选择需要调节的参数，操作面板可上下左右进行高度调整及旋转，最大旋转角度≥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360度。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6.1.3 触摸屏可以同屏实时显示显示器的超声图像，超声主机自带实体全键盘（提供图片证明）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6.1.4 探头接口选择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4个，微型非针式，并激活可互换通用，容积探头可接任意探头接口。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6.1.5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预设条件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针对不同的检查脏器,预置最佳化图像的检查条件,减少操作时的调节,及常用所需的外部调节及组合调节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6.1.6 安全性能：符合国家商品安全质量要求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textAlignment w:val="baseline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6.2 探头规格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6.2.1 频率：超宽频带探头，频率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1 MHz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22 MHz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6.2.2 二维、彩色、多普勒均可独立变频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6.2.3 类型：线阵、凸阵 、相控阵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2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6.2.4 经腹凸阵探头（1.0-5.0MHz）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高频电子线阵探头（5.0-12.0MHZ）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经胸心脏探头（1.0-5.0MHz）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腹部容积探头（2.0-6.0MHz）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以上探头至少两只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具备冰晶探头或单晶体探头技术（提供技术白皮书截图证明探头频率及材质）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6.2.5 B/D 兼用：电子线阵：B/PWD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电子凸阵：B/PWD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电子相控阵：B/PWD、 B/CWD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6.2.5 穿刺导向：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应配备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探头穿刺导向装置；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6.3 二维显像主要参数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6.3.1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成像速度：凸阵探头, 85°角,18CM深度时,帧速度≥5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帧/秒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6.3.2 增益调节：TGC增益补偿≥8段，LGC侧向增益补偿≥4段，B/M 可独立调节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6.3.3 数字式声束形成器：数字式全程动态聚焦，数字式可变孔径及动态变迹，A/D≥12bit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6.3.4 高分辨率放大：放大时增加信息量，提高分辨率及帧率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6.3.5 声束聚焦：发射及接收全程连续聚焦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6.3.6 接收方式：独立接收和发射通道数, 多倍信号并行处理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6.3.7 二维灰阶成像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256 灰阶。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textAlignment w:val="baseline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6.4 频谱多普勒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6.4.1 显示模式：脉冲多普勒 (PWD)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高脉冲重复频率 (HPRF)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2400" w:firstLineChars="10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连续波多普勒（CW）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6.4.2 发射频率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电子凸阵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PWD:2.0-2.2MHz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360" w:lineRule="auto"/>
        <w:ind w:left="0" w:leftChars="0" w:right="0" w:firstLine="2400" w:firstLineChars="100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电子线阵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PWD:5.75-7.0MHz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6.4.3 显示方式：B/D、M/D、D、B/CDV、B/CPA、B/CDV/PW；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2400" w:firstLineChars="10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B/CPA/PW；B/CDV/CW；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6.4.4 最大测量速度：PWD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正或反向血流速度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：≥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10.0 m/s（0度夹角）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6.4.5 最低测量速度：≤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mm/s (非噪音信号)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6.4.6 Doppler及M型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电影回放：≥45 秒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6.4.7 滤波器：高通滤波或低通滤波两种，分级选择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6.4.8 取样宽度及位置范围：宽度 1mm至20mm多级可调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6.4.9 频谱基线零位移动：≥8 级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6.4.10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显示控制：反转显示 (上/下)、零移位、B-刷新、D 扩展、B/D 扩展，局放及移位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6.4.11 实时自动包络频谱并完成频谱测量计算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textAlignment w:val="baseline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6.5 彩色多普勒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6.5.1 显示方式：速度图 (CDV)、能量图 (CPA)、方向性能量图（DCPA）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6.5.2 扫描速率：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凸阵探头、最大角度，18cm深时，彩色显示帧频≥1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帧/ S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6.5.3 彩色增强功能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彩色多普勒能量图(CDE/CPI)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组织多普勒(TDI)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 xml:space="preserve">6.5.4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具有双同步 / 三同步显示(B/D/CDV)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6.5.5 显示控制：零位移动、黑白与彩色比较、彩色对比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6.5.6 显示位置调整：线阵扫描感兴趣的图像范围：-20°～ +20°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textAlignment w:val="baseline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6.6 超声功率输出调节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6.6.1 B/M、PWD、COLOR DOPPLER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6.6.2 输出功率选择分级可调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2" w:firstLineChars="200"/>
        <w:textAlignment w:val="baseline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6.7 记录装置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6.7.1 内置一体化超声工作站：数字化储存静态及动态图像，动态图像及静态图像以AVI、BMP或JPEG等PC通用格式直接储存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6.7.2 主机硬盘容量≥600G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6.7.3 DVD-RW 或USB图像存储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6.7.4 USB接口≥5个，用于图像传输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6.8 技术手册：中文技术手册</w:t>
      </w:r>
    </w:p>
    <w:tbl>
      <w:tblPr>
        <w:tblStyle w:val="6"/>
        <w:tblW w:w="9737" w:type="dxa"/>
        <w:tblInd w:w="-5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43"/>
        <w:gridCol w:w="7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3902"/>
                <w:tab w:val="center" w:pos="4803"/>
              </w:tabs>
              <w:spacing w:beforeLines="0" w:afterLines="0"/>
              <w:ind w:left="-440" w:leftChars="-200" w:firstLine="0" w:firstLineChar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ab/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清洗工作站参数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清洗台面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1、 台面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应采用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进口PMMA高分子复合材料，经数次冷热加工一次性成型；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2、 面层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质薄而坚硬，耐摩擦耐酸碱，光亮平滑，抗菌，易清洗；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3、 固层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应采用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塑料碳纤维胶合而成，起到加固台面的承重，安装固定作用；防止迸裂的作用，防止台面长期使用变形；台面支架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应采用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全优质镜面不锈钢.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4、尺寸可选：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单方槽长680mm×宽7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0mm；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干燥台面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680mm，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750mm,900mm,1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可选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设备整体总高度1800mm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功能背板及灯箱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整体造型结构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按功能作用形成分体组合，便于设备的检修保养，搬迁和功能升级之用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防水柜门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钢化彩晶玻璃柜门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颜色应可根据用户需求选择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微电脑控制器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主要部件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采用隐蔽方式布置，简便而功效强大。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采用进口CPU中心处理芯片，液晶数码显示，多套系统供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用户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选择，控制系统稳定，读时准确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具有自动时间定时启动注液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注气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排洗及过期报警等功能。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自动注流器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严格按国家卫生部2004年颁布的《内镜清洗消毒操作规范（2004版）》的标准，使用流动水，隐藏式设计，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采用国际标准做法。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工作表面清洁洁净，水注流系统可直接将净化后纯净水注入内镜，避免二次污染。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尽量使工作人员避免误操作，注流器高水压，低流量，适合不同管径内镜；脉冲冲洗提高清洗效果；清洗步骤完成可直接排出余水，故障维修简易快捷，使用成本低。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水处理器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过滤型水处理器过滤精度为1μM，不锈钢材质，多层式渗透，净化过滤水质更保证内镜清洗安全，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采用反冲式维护清洗，无需更换滤芯，水处理量：2～5T/h可选。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专用空气压缩机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采用低噪音无油气泵，带有油水分离器的功能，能分离空气中的油污，水分，提高干燥台上干燥气体的清洁度。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内镜烘干机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对内窥镜管壁内水分进行干燥，可避免因与水接触受潮长菌的现象发生。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高压水枪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特别针对硬镜不同径口清洗，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提供8种不同口径枪头，可调节水流量、水压、水冲力，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设有专用安全防震环，避免管路不畅，高压水冲破内镜管壁。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高压气枪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特别针对硬镜不同径口吹干，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提供8种不同口径枪头戓专用气枪喷头，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设有专用安全防震环，避免管路不畅，气压冲破内镜管壁。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专用水龙头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应进行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多层防腐处理，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承受数年高酸碱恶劣环境的考验，管路同进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具有耐腐蚀功能。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供排水系统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应采用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优质PP-R供、排水管路。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方槽盖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避免消毒液气体外散，减少人员刺激。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快速接头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每槽的每个流程（注液、吸液等）均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采用专用接头连接内镜的每个接口，最大化的为用户节约时间。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供气管路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采用优质的专用知名品牌气动部件，承压强，寿命长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漏电保护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采用降压电源，漏电保护, 为设备提供12V安全电压.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嵌入式超声波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应采用微控型超声清洗槽为台面镶嵌式，工作频率：40～50KHz、定时、加热、温控实时数码显示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产品资质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具有医疗器械注册证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流程</w:t>
            </w:r>
          </w:p>
        </w:tc>
        <w:tc>
          <w:tcPr>
            <w:tcW w:w="7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预洗槽+酶洗槽+漂洗槽+浸泡消毒槽+终末漂洗槽+干燥</w:t>
            </w:r>
          </w:p>
        </w:tc>
      </w:tr>
    </w:tbl>
    <w:p>
      <w:pPr>
        <w:ind w:left="0" w:leftChars="0" w:right="-559" w:rightChars="-254" w:firstLine="0" w:firstLineChars="0"/>
      </w:pPr>
    </w:p>
    <w:p>
      <w:pPr>
        <w:ind w:left="0" w:leftChars="0" w:right="-559" w:rightChars="-254" w:firstLine="0" w:firstLineChars="0"/>
      </w:pPr>
    </w:p>
    <w:tbl>
      <w:tblPr>
        <w:tblStyle w:val="6"/>
        <w:tblW w:w="0" w:type="auto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6242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34" w:firstLineChars="12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2.酸性氧化电位水生成器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34" w:firstLineChars="12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要 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用途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医疗科室提供酸化水消毒液；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数量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1套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AC220V 50Hz、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额定功率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50VA、待机功率≤10W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消毒液生成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量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每分钟酸化水的生成量为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L、碱性水的生成量为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L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酸碱共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L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9" w:firstLineChars="1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消毒液技术指标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60"/>
              </w:tabs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pH值2.0-3.0；</w:t>
            </w: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60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ORP值≥1100mv；</w:t>
            </w: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60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氯离子含量&lt;450mg/L；</w:t>
            </w: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9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设备主要性能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60"/>
              </w:tabs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实时在线显示pH值、ORP值、有效氯含量、电解电流、累计运行时间等参数，随时监测消毒液的技术指标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三项关键指标的在线显示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应具有自动提示更换耗材功能，以保证设备工作在最佳状态；</w:t>
            </w: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应具有自动正极冲洗和倒极冲洗功能，以保证电解槽使用寿命及消毒液出水指标稳定性；</w:t>
            </w: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触摸屏应具备电流过大、原水缺水等中文报警显示，同时伴有声音报警，以保证设备的正常运行和消毒液的合格；</w:t>
            </w: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设备的倒极冲洗、正极冲洗和运行状态都在液晶屏上有与之对应的图型颜色显示，使设备的工作状态一目了然；</w:t>
            </w: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盐液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浓度可随意配比，设备正常使用的情况下不用停机即可添加电解质；</w:t>
            </w: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电解槽的进盐部分为耐腐精密计量泵自动进盐、同时可自动调节进盐量</w:t>
            </w: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电解槽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配有6片</w:t>
            </w:r>
            <w:r>
              <w:rPr>
                <w:rFonts w:hint="eastAsia" w:ascii="宋体" w:hAnsi="宋体" w:eastAsia="宋体" w:cs="宋体"/>
                <w:sz w:val="24"/>
              </w:rPr>
              <w:t>电极板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组成</w:t>
            </w:r>
            <w:r>
              <w:rPr>
                <w:rFonts w:hint="eastAsia" w:ascii="宋体" w:hAnsi="宋体" w:eastAsia="宋体" w:cs="宋体"/>
                <w:sz w:val="24"/>
              </w:rPr>
              <w:t>，电解面积大、电解效率高、电解性能更稳定、电解槽的使用寿命更长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</w:tc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9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控制方式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应采用具有CE认证的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PLC控制，一切均按程序自动运行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提供CE认证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人机界面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≥7寸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液晶触摸屏操作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组成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主要由控制系统（PLC+触摸屏）、电解槽、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监测仪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等组成，所有组成件集中在设备内部，占地面积小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柜式一体机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设备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主机外壳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采用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PE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材质，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美观耐腐蚀；</w:t>
            </w:r>
          </w:p>
        </w:tc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9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消毒液输送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系统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设备配备耐腐蚀酸水泵和碱水泵、可适应远距离用水点；</w:t>
            </w: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根据用水点的使用情况，酸碱泵自动启停运行；</w:t>
            </w:r>
          </w:p>
        </w:tc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保修及售后服务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公司有专业的售后服务部及专业工程师，接到报修后立即响应，24小时内到达现场并处理完毕，全免费保修期为1年，终身维修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060"/>
              </w:tabs>
              <w:snapToGrid w:val="0"/>
              <w:spacing w:line="360" w:lineRule="auto"/>
              <w:ind w:left="29" w:leftChars="13" w:firstLine="28" w:firstLineChars="12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521063"/>
    <w:multiLevelType w:val="multilevel"/>
    <w:tmpl w:val="4D521063"/>
    <w:lvl w:ilvl="0" w:tentative="0">
      <w:start w:val="1"/>
      <w:numFmt w:val="decimal"/>
      <w:lvlText w:val="%1)"/>
      <w:lvlJc w:val="left"/>
      <w:pPr>
        <w:ind w:left="1310" w:hanging="360"/>
      </w:pPr>
    </w:lvl>
    <w:lvl w:ilvl="1" w:tentative="0">
      <w:start w:val="1"/>
      <w:numFmt w:val="lowerLetter"/>
      <w:lvlText w:val="%2."/>
      <w:lvlJc w:val="left"/>
      <w:pPr>
        <w:ind w:left="2030" w:hanging="360"/>
      </w:pPr>
    </w:lvl>
    <w:lvl w:ilvl="2" w:tentative="0">
      <w:start w:val="1"/>
      <w:numFmt w:val="lowerRoman"/>
      <w:lvlText w:val="%3."/>
      <w:lvlJc w:val="right"/>
      <w:pPr>
        <w:ind w:left="2750" w:hanging="180"/>
      </w:pPr>
    </w:lvl>
    <w:lvl w:ilvl="3" w:tentative="0">
      <w:start w:val="1"/>
      <w:numFmt w:val="decimal"/>
      <w:lvlText w:val="%4."/>
      <w:lvlJc w:val="left"/>
      <w:pPr>
        <w:ind w:left="3470" w:hanging="360"/>
      </w:pPr>
    </w:lvl>
    <w:lvl w:ilvl="4" w:tentative="0">
      <w:start w:val="1"/>
      <w:numFmt w:val="lowerLetter"/>
      <w:lvlText w:val="%5."/>
      <w:lvlJc w:val="left"/>
      <w:pPr>
        <w:ind w:left="4190" w:hanging="360"/>
      </w:pPr>
    </w:lvl>
    <w:lvl w:ilvl="5" w:tentative="0">
      <w:start w:val="1"/>
      <w:numFmt w:val="lowerRoman"/>
      <w:lvlText w:val="%6."/>
      <w:lvlJc w:val="right"/>
      <w:pPr>
        <w:ind w:left="4910" w:hanging="180"/>
      </w:pPr>
    </w:lvl>
    <w:lvl w:ilvl="6" w:tentative="0">
      <w:start w:val="1"/>
      <w:numFmt w:val="decimal"/>
      <w:lvlText w:val="%7."/>
      <w:lvlJc w:val="left"/>
      <w:pPr>
        <w:ind w:left="5630" w:hanging="360"/>
      </w:pPr>
    </w:lvl>
    <w:lvl w:ilvl="7" w:tentative="0">
      <w:start w:val="1"/>
      <w:numFmt w:val="lowerLetter"/>
      <w:lvlText w:val="%8."/>
      <w:lvlJc w:val="left"/>
      <w:pPr>
        <w:ind w:left="6350" w:hanging="360"/>
      </w:pPr>
    </w:lvl>
    <w:lvl w:ilvl="8" w:tentative="0">
      <w:start w:val="1"/>
      <w:numFmt w:val="lowerRoman"/>
      <w:lvlText w:val="%9."/>
      <w:lvlJc w:val="right"/>
      <w:pPr>
        <w:ind w:left="70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47EFA"/>
    <w:rsid w:val="00005C93"/>
    <w:rsid w:val="00006599"/>
    <w:rsid w:val="0002715C"/>
    <w:rsid w:val="00040E7C"/>
    <w:rsid w:val="00044F6C"/>
    <w:rsid w:val="00053E7E"/>
    <w:rsid w:val="00053F65"/>
    <w:rsid w:val="00092036"/>
    <w:rsid w:val="000970C0"/>
    <w:rsid w:val="000A1393"/>
    <w:rsid w:val="000A6F8E"/>
    <w:rsid w:val="000C1A51"/>
    <w:rsid w:val="000D1141"/>
    <w:rsid w:val="000E15F6"/>
    <w:rsid w:val="00102DC2"/>
    <w:rsid w:val="00117F75"/>
    <w:rsid w:val="00124589"/>
    <w:rsid w:val="001245C7"/>
    <w:rsid w:val="00130C5F"/>
    <w:rsid w:val="00131A80"/>
    <w:rsid w:val="0014466C"/>
    <w:rsid w:val="00145F88"/>
    <w:rsid w:val="00154F7B"/>
    <w:rsid w:val="001562B3"/>
    <w:rsid w:val="0016085D"/>
    <w:rsid w:val="00162366"/>
    <w:rsid w:val="0017727D"/>
    <w:rsid w:val="00182190"/>
    <w:rsid w:val="001902F2"/>
    <w:rsid w:val="00196E84"/>
    <w:rsid w:val="001A0A25"/>
    <w:rsid w:val="001A3752"/>
    <w:rsid w:val="001A42B7"/>
    <w:rsid w:val="001B5005"/>
    <w:rsid w:val="001D38B9"/>
    <w:rsid w:val="001E3BB4"/>
    <w:rsid w:val="00205409"/>
    <w:rsid w:val="0021346D"/>
    <w:rsid w:val="00215B67"/>
    <w:rsid w:val="0023007A"/>
    <w:rsid w:val="00231E8C"/>
    <w:rsid w:val="00232597"/>
    <w:rsid w:val="00232C7B"/>
    <w:rsid w:val="00235030"/>
    <w:rsid w:val="0024501C"/>
    <w:rsid w:val="00251961"/>
    <w:rsid w:val="002614B2"/>
    <w:rsid w:val="00264E02"/>
    <w:rsid w:val="00265CB6"/>
    <w:rsid w:val="00267827"/>
    <w:rsid w:val="00276D80"/>
    <w:rsid w:val="002A08F2"/>
    <w:rsid w:val="002B7571"/>
    <w:rsid w:val="002B76F8"/>
    <w:rsid w:val="002D521D"/>
    <w:rsid w:val="002F08E8"/>
    <w:rsid w:val="0030064A"/>
    <w:rsid w:val="00304EA8"/>
    <w:rsid w:val="0030748A"/>
    <w:rsid w:val="00321676"/>
    <w:rsid w:val="0033037A"/>
    <w:rsid w:val="00336E0D"/>
    <w:rsid w:val="00340254"/>
    <w:rsid w:val="00356907"/>
    <w:rsid w:val="00366885"/>
    <w:rsid w:val="00370E79"/>
    <w:rsid w:val="00372B59"/>
    <w:rsid w:val="00373D2B"/>
    <w:rsid w:val="00373F3B"/>
    <w:rsid w:val="00373FE1"/>
    <w:rsid w:val="003800BA"/>
    <w:rsid w:val="00383E3C"/>
    <w:rsid w:val="00394966"/>
    <w:rsid w:val="003A373A"/>
    <w:rsid w:val="003B4163"/>
    <w:rsid w:val="003B654A"/>
    <w:rsid w:val="003C045F"/>
    <w:rsid w:val="003D15E0"/>
    <w:rsid w:val="003D36FA"/>
    <w:rsid w:val="003E1254"/>
    <w:rsid w:val="003F059D"/>
    <w:rsid w:val="003F1014"/>
    <w:rsid w:val="003F1282"/>
    <w:rsid w:val="00400492"/>
    <w:rsid w:val="00415705"/>
    <w:rsid w:val="004401A9"/>
    <w:rsid w:val="00445808"/>
    <w:rsid w:val="0045035D"/>
    <w:rsid w:val="00473F09"/>
    <w:rsid w:val="004900A2"/>
    <w:rsid w:val="0049615B"/>
    <w:rsid w:val="004A438B"/>
    <w:rsid w:val="004B4E6D"/>
    <w:rsid w:val="004B7788"/>
    <w:rsid w:val="004C0D64"/>
    <w:rsid w:val="004C1F75"/>
    <w:rsid w:val="004D4212"/>
    <w:rsid w:val="004D619E"/>
    <w:rsid w:val="004F49D5"/>
    <w:rsid w:val="005039CC"/>
    <w:rsid w:val="00516EAB"/>
    <w:rsid w:val="005176B7"/>
    <w:rsid w:val="00517756"/>
    <w:rsid w:val="005245A3"/>
    <w:rsid w:val="0052616F"/>
    <w:rsid w:val="0053017C"/>
    <w:rsid w:val="00536D57"/>
    <w:rsid w:val="0054320F"/>
    <w:rsid w:val="00552CF5"/>
    <w:rsid w:val="00553B13"/>
    <w:rsid w:val="00563964"/>
    <w:rsid w:val="0057377A"/>
    <w:rsid w:val="005764F9"/>
    <w:rsid w:val="00582606"/>
    <w:rsid w:val="0058581F"/>
    <w:rsid w:val="005A0571"/>
    <w:rsid w:val="005A165A"/>
    <w:rsid w:val="005A3EE7"/>
    <w:rsid w:val="005B114D"/>
    <w:rsid w:val="005B231C"/>
    <w:rsid w:val="005B5546"/>
    <w:rsid w:val="005C5E2A"/>
    <w:rsid w:val="005C7D5F"/>
    <w:rsid w:val="005D5694"/>
    <w:rsid w:val="005E2DAC"/>
    <w:rsid w:val="005E6427"/>
    <w:rsid w:val="005E674E"/>
    <w:rsid w:val="005F25BB"/>
    <w:rsid w:val="005F25E0"/>
    <w:rsid w:val="006157DC"/>
    <w:rsid w:val="006242E9"/>
    <w:rsid w:val="00624F20"/>
    <w:rsid w:val="006444A6"/>
    <w:rsid w:val="00644A87"/>
    <w:rsid w:val="006458ED"/>
    <w:rsid w:val="00645F63"/>
    <w:rsid w:val="006504FC"/>
    <w:rsid w:val="0065102F"/>
    <w:rsid w:val="00652188"/>
    <w:rsid w:val="0066007A"/>
    <w:rsid w:val="00660638"/>
    <w:rsid w:val="00681B31"/>
    <w:rsid w:val="00683AE1"/>
    <w:rsid w:val="00691BBE"/>
    <w:rsid w:val="00694E41"/>
    <w:rsid w:val="00696067"/>
    <w:rsid w:val="00697A44"/>
    <w:rsid w:val="006A0281"/>
    <w:rsid w:val="006A417A"/>
    <w:rsid w:val="006D229B"/>
    <w:rsid w:val="006F7376"/>
    <w:rsid w:val="0070617A"/>
    <w:rsid w:val="00706554"/>
    <w:rsid w:val="00717B17"/>
    <w:rsid w:val="007345AB"/>
    <w:rsid w:val="00756F28"/>
    <w:rsid w:val="00781955"/>
    <w:rsid w:val="007A578B"/>
    <w:rsid w:val="007B33E6"/>
    <w:rsid w:val="007B4669"/>
    <w:rsid w:val="007E1E6C"/>
    <w:rsid w:val="007F47B6"/>
    <w:rsid w:val="007F54B0"/>
    <w:rsid w:val="0080079A"/>
    <w:rsid w:val="00801F04"/>
    <w:rsid w:val="00803D97"/>
    <w:rsid w:val="008041C8"/>
    <w:rsid w:val="00805314"/>
    <w:rsid w:val="0085628A"/>
    <w:rsid w:val="0086171A"/>
    <w:rsid w:val="00862A50"/>
    <w:rsid w:val="00890CF9"/>
    <w:rsid w:val="00897101"/>
    <w:rsid w:val="008A4962"/>
    <w:rsid w:val="008B4089"/>
    <w:rsid w:val="008E06EB"/>
    <w:rsid w:val="008E76B7"/>
    <w:rsid w:val="008F2003"/>
    <w:rsid w:val="008F384E"/>
    <w:rsid w:val="00903984"/>
    <w:rsid w:val="00912281"/>
    <w:rsid w:val="00914FD4"/>
    <w:rsid w:val="00923D06"/>
    <w:rsid w:val="0092402A"/>
    <w:rsid w:val="00940594"/>
    <w:rsid w:val="009460B2"/>
    <w:rsid w:val="0094771A"/>
    <w:rsid w:val="00954F2C"/>
    <w:rsid w:val="00964219"/>
    <w:rsid w:val="00970259"/>
    <w:rsid w:val="00971975"/>
    <w:rsid w:val="009769E8"/>
    <w:rsid w:val="009830DC"/>
    <w:rsid w:val="00984072"/>
    <w:rsid w:val="0098525F"/>
    <w:rsid w:val="009C5CA3"/>
    <w:rsid w:val="009D7381"/>
    <w:rsid w:val="009E433A"/>
    <w:rsid w:val="009E4CB2"/>
    <w:rsid w:val="009F37BA"/>
    <w:rsid w:val="009F70A4"/>
    <w:rsid w:val="00A01ADA"/>
    <w:rsid w:val="00A11E6C"/>
    <w:rsid w:val="00A20E46"/>
    <w:rsid w:val="00A217CB"/>
    <w:rsid w:val="00A234A0"/>
    <w:rsid w:val="00A23767"/>
    <w:rsid w:val="00A26726"/>
    <w:rsid w:val="00A3169E"/>
    <w:rsid w:val="00A31706"/>
    <w:rsid w:val="00A3202E"/>
    <w:rsid w:val="00A3614B"/>
    <w:rsid w:val="00A36818"/>
    <w:rsid w:val="00A37AC7"/>
    <w:rsid w:val="00A41B65"/>
    <w:rsid w:val="00A43B6D"/>
    <w:rsid w:val="00A600FA"/>
    <w:rsid w:val="00A61724"/>
    <w:rsid w:val="00A76B66"/>
    <w:rsid w:val="00AA30B0"/>
    <w:rsid w:val="00AA3267"/>
    <w:rsid w:val="00AD0C97"/>
    <w:rsid w:val="00AF485B"/>
    <w:rsid w:val="00B042D0"/>
    <w:rsid w:val="00B04B19"/>
    <w:rsid w:val="00B17B6A"/>
    <w:rsid w:val="00B217E4"/>
    <w:rsid w:val="00B22142"/>
    <w:rsid w:val="00B26459"/>
    <w:rsid w:val="00B3724F"/>
    <w:rsid w:val="00B41E15"/>
    <w:rsid w:val="00B47623"/>
    <w:rsid w:val="00B47B9A"/>
    <w:rsid w:val="00B47EFA"/>
    <w:rsid w:val="00B56DEF"/>
    <w:rsid w:val="00B7054E"/>
    <w:rsid w:val="00B70D38"/>
    <w:rsid w:val="00B754C9"/>
    <w:rsid w:val="00B80701"/>
    <w:rsid w:val="00B9497C"/>
    <w:rsid w:val="00BC4462"/>
    <w:rsid w:val="00BC78C1"/>
    <w:rsid w:val="00BC7C41"/>
    <w:rsid w:val="00BD2A22"/>
    <w:rsid w:val="00BD3011"/>
    <w:rsid w:val="00BD4818"/>
    <w:rsid w:val="00BD69D1"/>
    <w:rsid w:val="00BE4EB9"/>
    <w:rsid w:val="00BF5E25"/>
    <w:rsid w:val="00C01001"/>
    <w:rsid w:val="00C25E13"/>
    <w:rsid w:val="00C73543"/>
    <w:rsid w:val="00C76585"/>
    <w:rsid w:val="00CB06A2"/>
    <w:rsid w:val="00CB17C6"/>
    <w:rsid w:val="00CB2D53"/>
    <w:rsid w:val="00CC3749"/>
    <w:rsid w:val="00CC70F9"/>
    <w:rsid w:val="00CE314F"/>
    <w:rsid w:val="00CE39BC"/>
    <w:rsid w:val="00CE5CAA"/>
    <w:rsid w:val="00CF12AD"/>
    <w:rsid w:val="00CF4CDD"/>
    <w:rsid w:val="00D11E58"/>
    <w:rsid w:val="00D32164"/>
    <w:rsid w:val="00D32AF4"/>
    <w:rsid w:val="00D42972"/>
    <w:rsid w:val="00D50209"/>
    <w:rsid w:val="00D629F6"/>
    <w:rsid w:val="00D951B2"/>
    <w:rsid w:val="00DA5E5E"/>
    <w:rsid w:val="00DB3289"/>
    <w:rsid w:val="00DB41D8"/>
    <w:rsid w:val="00DC21AD"/>
    <w:rsid w:val="00DC4501"/>
    <w:rsid w:val="00DD04D4"/>
    <w:rsid w:val="00DD7AAA"/>
    <w:rsid w:val="00DE6A83"/>
    <w:rsid w:val="00E00C46"/>
    <w:rsid w:val="00E04F04"/>
    <w:rsid w:val="00E07510"/>
    <w:rsid w:val="00E105A7"/>
    <w:rsid w:val="00E10BD9"/>
    <w:rsid w:val="00E10C08"/>
    <w:rsid w:val="00E2327D"/>
    <w:rsid w:val="00E248EC"/>
    <w:rsid w:val="00E53F4A"/>
    <w:rsid w:val="00E54783"/>
    <w:rsid w:val="00E56DCD"/>
    <w:rsid w:val="00E621F4"/>
    <w:rsid w:val="00E91874"/>
    <w:rsid w:val="00EB643F"/>
    <w:rsid w:val="00ED388C"/>
    <w:rsid w:val="00ED765B"/>
    <w:rsid w:val="00F04453"/>
    <w:rsid w:val="00F23346"/>
    <w:rsid w:val="00F31CCA"/>
    <w:rsid w:val="00F346B8"/>
    <w:rsid w:val="00F606B1"/>
    <w:rsid w:val="00F700DC"/>
    <w:rsid w:val="00F709FC"/>
    <w:rsid w:val="00F72D62"/>
    <w:rsid w:val="00F83E73"/>
    <w:rsid w:val="00F94B46"/>
    <w:rsid w:val="00FC1E59"/>
    <w:rsid w:val="00FD731E"/>
    <w:rsid w:val="00FF5F63"/>
    <w:rsid w:val="06B933DA"/>
    <w:rsid w:val="08053EFD"/>
    <w:rsid w:val="10AD5132"/>
    <w:rsid w:val="1BF86666"/>
    <w:rsid w:val="1FEF3071"/>
    <w:rsid w:val="237F64BA"/>
    <w:rsid w:val="2660016D"/>
    <w:rsid w:val="2CCF04B2"/>
    <w:rsid w:val="32452FC5"/>
    <w:rsid w:val="32A92A88"/>
    <w:rsid w:val="38A0681A"/>
    <w:rsid w:val="3C2D6FA3"/>
    <w:rsid w:val="48A94D17"/>
    <w:rsid w:val="4A143551"/>
    <w:rsid w:val="5C8C341B"/>
    <w:rsid w:val="60714E01"/>
    <w:rsid w:val="629A17D8"/>
    <w:rsid w:val="678E0047"/>
    <w:rsid w:val="69A27DD9"/>
    <w:rsid w:val="74990B85"/>
    <w:rsid w:val="75EB036F"/>
    <w:rsid w:val="776668EA"/>
    <w:rsid w:val="7A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3"/>
    <w:semiHidden/>
    <w:qFormat/>
    <w:uiPriority w:val="99"/>
  </w:style>
  <w:style w:type="character" w:customStyle="1" w:styleId="12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Philips</Company>
  <Pages>6</Pages>
  <Words>3473</Words>
  <Characters>4253</Characters>
  <Lines>33</Lines>
  <Paragraphs>9</Paragraphs>
  <TotalTime>1</TotalTime>
  <ScaleCrop>false</ScaleCrop>
  <LinksUpToDate>false</LinksUpToDate>
  <CharactersWithSpaces>4547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2020-04-07T07:58:00Z</dcterms:created>
  <dc:creator>YAN, Ivy</dc:creator>
  <cp:lastModifiedBy>闫晓颖</cp:lastModifiedBy>
  <dcterms:modified xsi:type="dcterms:W3CDTF">2022-12-09T12:14:25Z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899B7BA9117B474582385AD355F0934E</vt:lpwstr>
  </property>
</Properties>
</file>